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61CC6" w14:textId="77777777" w:rsidR="005F330C" w:rsidRPr="005F330C" w:rsidRDefault="005F330C" w:rsidP="005F330C">
      <w:pPr>
        <w:spacing w:after="0" w:line="360" w:lineRule="auto"/>
        <w:jc w:val="center"/>
        <w:rPr>
          <w:rFonts w:ascii="Arial" w:eastAsia="Times New Roman" w:hAnsi="Arial" w:cs="Arial"/>
          <w:b/>
          <w:bCs/>
          <w:spacing w:val="-7"/>
          <w:sz w:val="24"/>
          <w:szCs w:val="24"/>
          <w:lang w:eastAsia="ru-RU"/>
        </w:rPr>
      </w:pPr>
      <w:bookmarkStart w:id="0" w:name="_GoBack"/>
      <w:bookmarkEnd w:id="0"/>
    </w:p>
    <w:p w14:paraId="46BAB657" w14:textId="77777777" w:rsidR="005F330C" w:rsidRPr="005F330C" w:rsidRDefault="005F330C" w:rsidP="005F330C">
      <w:pPr>
        <w:spacing w:after="0" w:line="360" w:lineRule="auto"/>
        <w:jc w:val="center"/>
        <w:rPr>
          <w:rFonts w:ascii="Arial" w:eastAsia="Times New Roman" w:hAnsi="Arial" w:cs="Arial"/>
          <w:b/>
          <w:bCs/>
          <w:spacing w:val="-7"/>
          <w:sz w:val="24"/>
          <w:szCs w:val="24"/>
          <w:lang w:eastAsia="ru-RU"/>
        </w:rPr>
      </w:pPr>
    </w:p>
    <w:p w14:paraId="03F1FC5A" w14:textId="77777777" w:rsidR="005F330C" w:rsidRPr="005F330C" w:rsidRDefault="005F330C" w:rsidP="005F330C">
      <w:pPr>
        <w:spacing w:after="0" w:line="360" w:lineRule="auto"/>
        <w:jc w:val="center"/>
        <w:rPr>
          <w:rFonts w:ascii="Arial" w:eastAsia="Times New Roman" w:hAnsi="Arial" w:cs="Arial"/>
          <w:b/>
          <w:bCs/>
          <w:spacing w:val="-7"/>
          <w:sz w:val="24"/>
          <w:szCs w:val="24"/>
          <w:lang w:eastAsia="ru-RU"/>
        </w:rPr>
      </w:pPr>
    </w:p>
    <w:p w14:paraId="756ACCE1" w14:textId="77777777" w:rsidR="005F330C" w:rsidRPr="005F330C" w:rsidRDefault="005F330C" w:rsidP="005F330C">
      <w:pPr>
        <w:spacing w:after="0" w:line="360" w:lineRule="auto"/>
        <w:jc w:val="center"/>
        <w:rPr>
          <w:rFonts w:ascii="Arial" w:eastAsia="Times New Roman" w:hAnsi="Arial" w:cs="Arial"/>
          <w:b/>
          <w:bCs/>
          <w:spacing w:val="-7"/>
          <w:sz w:val="24"/>
          <w:szCs w:val="24"/>
          <w:lang w:eastAsia="ru-RU"/>
        </w:rPr>
      </w:pPr>
    </w:p>
    <w:p w14:paraId="1D42B8D2" w14:textId="77777777" w:rsidR="005F330C" w:rsidRPr="005F330C" w:rsidRDefault="005F330C" w:rsidP="005F330C">
      <w:pPr>
        <w:spacing w:after="0" w:line="360" w:lineRule="auto"/>
        <w:jc w:val="center"/>
        <w:rPr>
          <w:rFonts w:ascii="Arial" w:eastAsia="Times New Roman" w:hAnsi="Arial" w:cs="Arial"/>
          <w:b/>
          <w:bCs/>
          <w:spacing w:val="-7"/>
          <w:sz w:val="24"/>
          <w:szCs w:val="24"/>
          <w:lang w:eastAsia="ru-RU"/>
        </w:rPr>
      </w:pPr>
    </w:p>
    <w:p w14:paraId="6E6E7404" w14:textId="77777777" w:rsidR="005F330C" w:rsidRPr="005F330C" w:rsidRDefault="00C760EE" w:rsidP="005F330C">
      <w:pPr>
        <w:spacing w:after="0" w:line="360" w:lineRule="auto"/>
        <w:jc w:val="center"/>
        <w:rPr>
          <w:rFonts w:ascii="Arial" w:eastAsia="Times New Roman" w:hAnsi="Arial" w:cs="Arial"/>
          <w:b/>
          <w:bCs/>
          <w:spacing w:val="-7"/>
          <w:sz w:val="24"/>
          <w:szCs w:val="24"/>
          <w:lang w:eastAsia="ru-RU"/>
        </w:rPr>
      </w:pPr>
      <w:r w:rsidRPr="005F330C">
        <w:rPr>
          <w:rFonts w:ascii="Arial" w:eastAsia="Times New Roman" w:hAnsi="Arial" w:cs="Arial"/>
          <w:b/>
          <w:bCs/>
          <w:spacing w:val="-7"/>
          <w:sz w:val="24"/>
          <w:szCs w:val="24"/>
          <w:lang w:eastAsia="ru-RU"/>
        </w:rPr>
        <w:t xml:space="preserve">PROTOCOL </w:t>
      </w:r>
    </w:p>
    <w:p w14:paraId="4EB6AD88" w14:textId="77777777" w:rsidR="005F330C" w:rsidRPr="005F330C" w:rsidRDefault="005F330C" w:rsidP="005F330C">
      <w:pPr>
        <w:spacing w:after="0" w:line="360" w:lineRule="auto"/>
        <w:jc w:val="center"/>
        <w:rPr>
          <w:rFonts w:ascii="Arial" w:eastAsia="Times New Roman" w:hAnsi="Arial" w:cs="Arial"/>
          <w:b/>
          <w:bCs/>
          <w:spacing w:val="-7"/>
          <w:sz w:val="24"/>
          <w:szCs w:val="24"/>
          <w:lang w:eastAsia="ru-RU"/>
        </w:rPr>
      </w:pPr>
    </w:p>
    <w:p w14:paraId="3E1B9F5F" w14:textId="77777777" w:rsidR="005F330C" w:rsidRPr="005F330C" w:rsidRDefault="000352E0" w:rsidP="005F330C">
      <w:pPr>
        <w:spacing w:after="0" w:line="360" w:lineRule="auto"/>
        <w:jc w:val="center"/>
        <w:rPr>
          <w:rFonts w:ascii="Arial" w:eastAsia="Times New Roman" w:hAnsi="Arial" w:cs="Arial"/>
          <w:b/>
          <w:bCs/>
          <w:spacing w:val="-7"/>
          <w:sz w:val="24"/>
          <w:szCs w:val="24"/>
          <w:lang w:eastAsia="ru-RU"/>
        </w:rPr>
      </w:pPr>
      <w:r w:rsidRPr="005F330C">
        <w:rPr>
          <w:rFonts w:ascii="Arial" w:eastAsia="Times New Roman" w:hAnsi="Arial" w:cs="Arial"/>
          <w:b/>
          <w:bCs/>
          <w:spacing w:val="-7"/>
          <w:sz w:val="24"/>
          <w:szCs w:val="24"/>
          <w:lang w:eastAsia="ru-RU"/>
        </w:rPr>
        <w:t xml:space="preserve">AMENDING </w:t>
      </w:r>
    </w:p>
    <w:p w14:paraId="512C09C1" w14:textId="77777777" w:rsidR="005F330C" w:rsidRPr="005F330C" w:rsidRDefault="005F330C" w:rsidP="005F330C">
      <w:pPr>
        <w:spacing w:after="0" w:line="360" w:lineRule="auto"/>
        <w:jc w:val="center"/>
        <w:rPr>
          <w:rFonts w:ascii="Arial" w:eastAsia="Times New Roman" w:hAnsi="Arial" w:cs="Arial"/>
          <w:b/>
          <w:bCs/>
          <w:spacing w:val="-7"/>
          <w:sz w:val="24"/>
          <w:szCs w:val="24"/>
          <w:lang w:eastAsia="ru-RU"/>
        </w:rPr>
      </w:pPr>
    </w:p>
    <w:p w14:paraId="403FDAC7" w14:textId="77777777" w:rsidR="005F330C" w:rsidRPr="005F330C" w:rsidRDefault="000352E0" w:rsidP="005F330C">
      <w:pPr>
        <w:spacing w:after="0" w:line="360" w:lineRule="auto"/>
        <w:jc w:val="center"/>
        <w:rPr>
          <w:rFonts w:ascii="Arial" w:eastAsia="Times New Roman" w:hAnsi="Arial" w:cs="Arial"/>
          <w:b/>
          <w:bCs/>
          <w:spacing w:val="-7"/>
          <w:sz w:val="24"/>
          <w:szCs w:val="24"/>
          <w:lang w:eastAsia="ru-RU"/>
        </w:rPr>
      </w:pPr>
      <w:r w:rsidRPr="005F330C">
        <w:rPr>
          <w:rFonts w:ascii="Arial" w:eastAsia="Times New Roman" w:hAnsi="Arial" w:cs="Arial"/>
          <w:b/>
          <w:bCs/>
          <w:spacing w:val="-7"/>
          <w:sz w:val="24"/>
          <w:szCs w:val="24"/>
          <w:lang w:eastAsia="ru-RU"/>
        </w:rPr>
        <w:t xml:space="preserve">THE CONVENTION </w:t>
      </w:r>
    </w:p>
    <w:p w14:paraId="217F18AB" w14:textId="77777777" w:rsidR="005F330C" w:rsidRPr="005F330C" w:rsidRDefault="005F330C" w:rsidP="005F330C">
      <w:pPr>
        <w:spacing w:after="0" w:line="360" w:lineRule="auto"/>
        <w:jc w:val="center"/>
        <w:rPr>
          <w:rFonts w:ascii="Arial" w:eastAsia="Times New Roman" w:hAnsi="Arial" w:cs="Arial"/>
          <w:b/>
          <w:bCs/>
          <w:spacing w:val="-7"/>
          <w:sz w:val="24"/>
          <w:szCs w:val="24"/>
          <w:lang w:eastAsia="ru-RU"/>
        </w:rPr>
      </w:pPr>
    </w:p>
    <w:p w14:paraId="07EA15A9" w14:textId="77777777" w:rsidR="005F330C" w:rsidRPr="005F330C" w:rsidRDefault="00C760EE" w:rsidP="005F330C">
      <w:pPr>
        <w:spacing w:after="0" w:line="360" w:lineRule="auto"/>
        <w:jc w:val="center"/>
        <w:rPr>
          <w:rFonts w:ascii="Arial" w:eastAsia="Times New Roman" w:hAnsi="Arial" w:cs="Arial"/>
          <w:b/>
          <w:bCs/>
          <w:spacing w:val="-7"/>
          <w:sz w:val="24"/>
          <w:szCs w:val="24"/>
          <w:lang w:eastAsia="ru-RU"/>
        </w:rPr>
      </w:pPr>
      <w:r w:rsidRPr="005F330C">
        <w:rPr>
          <w:rFonts w:ascii="Arial" w:eastAsia="Times New Roman" w:hAnsi="Arial" w:cs="Arial"/>
          <w:b/>
          <w:bCs/>
          <w:spacing w:val="-7"/>
          <w:sz w:val="24"/>
          <w:szCs w:val="24"/>
          <w:lang w:eastAsia="ru-RU"/>
        </w:rPr>
        <w:t xml:space="preserve">BETWEEN </w:t>
      </w:r>
    </w:p>
    <w:p w14:paraId="23E20CA6" w14:textId="77777777" w:rsidR="005F330C" w:rsidRPr="005F330C" w:rsidRDefault="005F330C" w:rsidP="005F330C">
      <w:pPr>
        <w:spacing w:after="0" w:line="360" w:lineRule="auto"/>
        <w:jc w:val="center"/>
        <w:rPr>
          <w:rFonts w:ascii="Arial" w:eastAsia="Times New Roman" w:hAnsi="Arial" w:cs="Arial"/>
          <w:b/>
          <w:bCs/>
          <w:spacing w:val="-7"/>
          <w:sz w:val="24"/>
          <w:szCs w:val="24"/>
          <w:lang w:eastAsia="ru-RU"/>
        </w:rPr>
      </w:pPr>
    </w:p>
    <w:p w14:paraId="519DD721" w14:textId="77777777" w:rsidR="005F330C" w:rsidRPr="005F330C" w:rsidRDefault="00ED2DB2" w:rsidP="005F330C">
      <w:pPr>
        <w:spacing w:after="0" w:line="360" w:lineRule="auto"/>
        <w:jc w:val="center"/>
        <w:rPr>
          <w:rFonts w:ascii="Arial" w:eastAsia="Times New Roman" w:hAnsi="Arial" w:cs="Arial"/>
          <w:b/>
          <w:bCs/>
          <w:spacing w:val="-7"/>
          <w:sz w:val="24"/>
          <w:szCs w:val="24"/>
          <w:lang w:eastAsia="ru-RU"/>
        </w:rPr>
      </w:pPr>
      <w:r w:rsidRPr="005F330C">
        <w:rPr>
          <w:rFonts w:ascii="Arial" w:eastAsia="Times New Roman" w:hAnsi="Arial" w:cs="Arial"/>
          <w:b/>
          <w:bCs/>
          <w:spacing w:val="-7"/>
          <w:sz w:val="24"/>
          <w:szCs w:val="24"/>
          <w:lang w:eastAsia="ru-RU"/>
        </w:rPr>
        <w:t xml:space="preserve">NEW ZEALAND </w:t>
      </w:r>
    </w:p>
    <w:p w14:paraId="320BFC72" w14:textId="77777777" w:rsidR="005F330C" w:rsidRPr="005F330C" w:rsidRDefault="005F330C" w:rsidP="005F330C">
      <w:pPr>
        <w:spacing w:after="0" w:line="360" w:lineRule="auto"/>
        <w:jc w:val="center"/>
        <w:rPr>
          <w:rFonts w:ascii="Arial" w:eastAsia="Times New Roman" w:hAnsi="Arial" w:cs="Arial"/>
          <w:b/>
          <w:bCs/>
          <w:spacing w:val="-7"/>
          <w:sz w:val="24"/>
          <w:szCs w:val="24"/>
          <w:lang w:eastAsia="ru-RU"/>
        </w:rPr>
      </w:pPr>
    </w:p>
    <w:p w14:paraId="1BCCD4EA" w14:textId="77777777" w:rsidR="005F330C" w:rsidRPr="005F330C" w:rsidRDefault="00ED2DB2" w:rsidP="005F330C">
      <w:pPr>
        <w:spacing w:after="0" w:line="360" w:lineRule="auto"/>
        <w:jc w:val="center"/>
        <w:rPr>
          <w:rFonts w:ascii="Arial" w:eastAsia="Times New Roman" w:hAnsi="Arial" w:cs="Arial"/>
          <w:b/>
          <w:bCs/>
          <w:spacing w:val="-7"/>
          <w:sz w:val="24"/>
          <w:szCs w:val="24"/>
          <w:lang w:eastAsia="ru-RU"/>
        </w:rPr>
      </w:pPr>
      <w:r w:rsidRPr="005F330C">
        <w:rPr>
          <w:rFonts w:ascii="Arial" w:eastAsia="Times New Roman" w:hAnsi="Arial" w:cs="Arial"/>
          <w:b/>
          <w:bCs/>
          <w:spacing w:val="-7"/>
          <w:sz w:val="24"/>
          <w:szCs w:val="24"/>
          <w:lang w:eastAsia="ru-RU"/>
        </w:rPr>
        <w:t xml:space="preserve">AND </w:t>
      </w:r>
    </w:p>
    <w:p w14:paraId="10E0677A" w14:textId="77777777" w:rsidR="005F330C" w:rsidRPr="005F330C" w:rsidRDefault="005F330C" w:rsidP="005F330C">
      <w:pPr>
        <w:spacing w:after="0" w:line="360" w:lineRule="auto"/>
        <w:jc w:val="center"/>
        <w:rPr>
          <w:rFonts w:ascii="Arial" w:eastAsia="Times New Roman" w:hAnsi="Arial" w:cs="Arial"/>
          <w:b/>
          <w:bCs/>
          <w:spacing w:val="-7"/>
          <w:sz w:val="24"/>
          <w:szCs w:val="24"/>
          <w:lang w:eastAsia="ru-RU"/>
        </w:rPr>
      </w:pPr>
    </w:p>
    <w:p w14:paraId="4A3B967A" w14:textId="77777777" w:rsidR="005F330C" w:rsidRPr="005F330C" w:rsidRDefault="00ED2DB2" w:rsidP="005F330C">
      <w:pPr>
        <w:spacing w:after="0" w:line="360" w:lineRule="auto"/>
        <w:jc w:val="center"/>
        <w:rPr>
          <w:rFonts w:ascii="Arial" w:eastAsia="Times New Roman" w:hAnsi="Arial" w:cs="Arial"/>
          <w:b/>
          <w:bCs/>
          <w:spacing w:val="-7"/>
          <w:sz w:val="24"/>
          <w:szCs w:val="24"/>
          <w:lang w:eastAsia="ru-RU"/>
        </w:rPr>
      </w:pPr>
      <w:r w:rsidRPr="005F330C">
        <w:rPr>
          <w:rFonts w:ascii="Arial" w:eastAsia="Times New Roman" w:hAnsi="Arial" w:cs="Arial"/>
          <w:b/>
          <w:bCs/>
          <w:spacing w:val="-7"/>
          <w:sz w:val="24"/>
          <w:szCs w:val="24"/>
          <w:lang w:eastAsia="ru-RU"/>
        </w:rPr>
        <w:t>THE SWISS CONFEDERATION</w:t>
      </w:r>
      <w:r w:rsidR="00C760EE" w:rsidRPr="005F330C">
        <w:rPr>
          <w:rFonts w:ascii="Arial" w:eastAsia="Times New Roman" w:hAnsi="Arial" w:cs="Arial"/>
          <w:b/>
          <w:bCs/>
          <w:spacing w:val="-7"/>
          <w:sz w:val="24"/>
          <w:szCs w:val="24"/>
          <w:lang w:eastAsia="ru-RU"/>
        </w:rPr>
        <w:t xml:space="preserve"> </w:t>
      </w:r>
    </w:p>
    <w:p w14:paraId="477339DB" w14:textId="77777777" w:rsidR="005F330C" w:rsidRPr="005F330C" w:rsidRDefault="005F330C" w:rsidP="005F330C">
      <w:pPr>
        <w:spacing w:after="0" w:line="360" w:lineRule="auto"/>
        <w:jc w:val="center"/>
        <w:rPr>
          <w:rFonts w:ascii="Arial" w:eastAsia="Times New Roman" w:hAnsi="Arial" w:cs="Arial"/>
          <w:b/>
          <w:bCs/>
          <w:spacing w:val="-7"/>
          <w:sz w:val="24"/>
          <w:szCs w:val="24"/>
          <w:lang w:eastAsia="ru-RU"/>
        </w:rPr>
      </w:pPr>
    </w:p>
    <w:p w14:paraId="0BEE606E" w14:textId="77777777" w:rsidR="005F330C" w:rsidRPr="005F330C" w:rsidRDefault="005F330C" w:rsidP="005F330C">
      <w:pPr>
        <w:spacing w:after="0" w:line="360" w:lineRule="auto"/>
        <w:jc w:val="center"/>
        <w:rPr>
          <w:rFonts w:ascii="Arial" w:eastAsia="Times New Roman" w:hAnsi="Arial" w:cs="Arial"/>
          <w:b/>
          <w:bCs/>
          <w:spacing w:val="-7"/>
          <w:sz w:val="24"/>
          <w:szCs w:val="24"/>
          <w:lang w:eastAsia="ru-RU"/>
        </w:rPr>
      </w:pPr>
    </w:p>
    <w:p w14:paraId="4CE74AFE" w14:textId="6B08B0CB" w:rsidR="00C760EE" w:rsidRPr="005F330C" w:rsidRDefault="00C760EE" w:rsidP="005F330C">
      <w:pPr>
        <w:spacing w:after="0" w:line="360" w:lineRule="auto"/>
        <w:jc w:val="center"/>
        <w:rPr>
          <w:rFonts w:ascii="Arial" w:eastAsia="Times New Roman" w:hAnsi="Arial" w:cs="Arial"/>
          <w:b/>
          <w:bCs/>
          <w:spacing w:val="-7"/>
          <w:sz w:val="24"/>
          <w:szCs w:val="24"/>
          <w:lang w:eastAsia="ru-RU"/>
        </w:rPr>
      </w:pPr>
      <w:r w:rsidRPr="005F330C">
        <w:rPr>
          <w:rFonts w:ascii="Arial" w:eastAsia="Times New Roman" w:hAnsi="Arial" w:cs="Arial"/>
          <w:b/>
          <w:bCs/>
          <w:spacing w:val="-7"/>
          <w:sz w:val="24"/>
          <w:szCs w:val="24"/>
          <w:lang w:eastAsia="ru-RU"/>
        </w:rPr>
        <w:t xml:space="preserve">FOR THE AVOIDANCE OF DOUBLE TAXATION </w:t>
      </w:r>
      <w:r w:rsidR="00C3636F" w:rsidRPr="005F330C">
        <w:rPr>
          <w:rFonts w:ascii="Arial" w:eastAsia="Times New Roman" w:hAnsi="Arial" w:cs="Arial"/>
          <w:b/>
          <w:bCs/>
          <w:spacing w:val="-7"/>
          <w:sz w:val="24"/>
          <w:szCs w:val="24"/>
          <w:lang w:eastAsia="ru-RU"/>
        </w:rPr>
        <w:t>WITH RESPECT TO TAXES ON INCOME</w:t>
      </w:r>
      <w:r w:rsidRPr="005F330C">
        <w:rPr>
          <w:rFonts w:ascii="Arial" w:eastAsia="Times New Roman" w:hAnsi="Arial" w:cs="Arial"/>
          <w:b/>
          <w:bCs/>
          <w:spacing w:val="-7"/>
          <w:sz w:val="24"/>
          <w:szCs w:val="24"/>
          <w:lang w:eastAsia="ru-RU"/>
        </w:rPr>
        <w:t xml:space="preserve"> </w:t>
      </w:r>
    </w:p>
    <w:p w14:paraId="732ED6F6" w14:textId="77777777" w:rsidR="005F330C" w:rsidRPr="005F330C" w:rsidRDefault="005F330C" w:rsidP="00C760EE">
      <w:pPr>
        <w:spacing w:after="0" w:line="360" w:lineRule="atLeast"/>
        <w:jc w:val="center"/>
        <w:rPr>
          <w:rFonts w:ascii="Arial" w:eastAsia="Times New Roman" w:hAnsi="Arial" w:cs="Arial"/>
          <w:b/>
          <w:bCs/>
          <w:spacing w:val="-7"/>
          <w:sz w:val="24"/>
          <w:szCs w:val="24"/>
          <w:lang w:eastAsia="ru-RU"/>
        </w:rPr>
      </w:pPr>
    </w:p>
    <w:p w14:paraId="66F98D2E" w14:textId="77777777" w:rsidR="005F330C" w:rsidRPr="005F330C" w:rsidRDefault="005F330C" w:rsidP="00C760EE">
      <w:pPr>
        <w:spacing w:after="0" w:line="360" w:lineRule="atLeast"/>
        <w:jc w:val="center"/>
        <w:rPr>
          <w:rFonts w:ascii="Arial" w:eastAsia="Times New Roman" w:hAnsi="Arial" w:cs="Arial"/>
          <w:b/>
          <w:bCs/>
          <w:spacing w:val="-7"/>
          <w:sz w:val="24"/>
          <w:szCs w:val="24"/>
          <w:lang w:eastAsia="ru-RU"/>
        </w:rPr>
      </w:pPr>
    </w:p>
    <w:p w14:paraId="0EAA1A9F" w14:textId="77777777" w:rsidR="005F330C" w:rsidRPr="005F330C" w:rsidRDefault="005F330C" w:rsidP="00C760EE">
      <w:pPr>
        <w:spacing w:after="0" w:line="360" w:lineRule="atLeast"/>
        <w:jc w:val="center"/>
        <w:rPr>
          <w:rFonts w:ascii="Arial" w:eastAsia="Times New Roman" w:hAnsi="Arial" w:cs="Arial"/>
          <w:b/>
          <w:bCs/>
          <w:spacing w:val="-7"/>
          <w:sz w:val="24"/>
          <w:szCs w:val="24"/>
          <w:lang w:eastAsia="ru-RU"/>
        </w:rPr>
      </w:pPr>
    </w:p>
    <w:p w14:paraId="2ECBF15F" w14:textId="77777777" w:rsidR="005F330C" w:rsidRPr="005F330C" w:rsidRDefault="005F330C" w:rsidP="00C760EE">
      <w:pPr>
        <w:spacing w:after="0" w:line="360" w:lineRule="atLeast"/>
        <w:jc w:val="center"/>
        <w:rPr>
          <w:rFonts w:ascii="Arial" w:eastAsia="Times New Roman" w:hAnsi="Arial" w:cs="Arial"/>
          <w:b/>
          <w:bCs/>
          <w:spacing w:val="-7"/>
          <w:sz w:val="24"/>
          <w:szCs w:val="24"/>
          <w:lang w:eastAsia="ru-RU"/>
        </w:rPr>
      </w:pPr>
    </w:p>
    <w:p w14:paraId="60F79869" w14:textId="77777777" w:rsidR="005F330C" w:rsidRPr="005F330C" w:rsidRDefault="005F330C" w:rsidP="00C760EE">
      <w:pPr>
        <w:spacing w:after="0" w:line="360" w:lineRule="atLeast"/>
        <w:jc w:val="center"/>
        <w:rPr>
          <w:rFonts w:ascii="Arial" w:eastAsia="Times New Roman" w:hAnsi="Arial" w:cs="Arial"/>
          <w:b/>
          <w:bCs/>
          <w:spacing w:val="-7"/>
          <w:sz w:val="24"/>
          <w:szCs w:val="24"/>
          <w:lang w:eastAsia="ru-RU"/>
        </w:rPr>
      </w:pPr>
    </w:p>
    <w:p w14:paraId="159ED840" w14:textId="77777777" w:rsidR="005F330C" w:rsidRPr="005F330C" w:rsidRDefault="005F330C" w:rsidP="00C760EE">
      <w:pPr>
        <w:spacing w:after="0" w:line="360" w:lineRule="atLeast"/>
        <w:jc w:val="center"/>
        <w:rPr>
          <w:rFonts w:ascii="Arial" w:eastAsia="Times New Roman" w:hAnsi="Arial" w:cs="Arial"/>
          <w:b/>
          <w:bCs/>
          <w:spacing w:val="-7"/>
          <w:sz w:val="24"/>
          <w:szCs w:val="24"/>
          <w:lang w:eastAsia="ru-RU"/>
        </w:rPr>
      </w:pPr>
    </w:p>
    <w:p w14:paraId="09DADC81" w14:textId="77777777" w:rsidR="005F330C" w:rsidRPr="005F330C" w:rsidRDefault="005F330C" w:rsidP="00C760EE">
      <w:pPr>
        <w:spacing w:after="0" w:line="360" w:lineRule="atLeast"/>
        <w:jc w:val="center"/>
        <w:rPr>
          <w:rFonts w:ascii="Arial" w:eastAsia="Times New Roman" w:hAnsi="Arial" w:cs="Arial"/>
          <w:b/>
          <w:bCs/>
          <w:spacing w:val="-7"/>
          <w:sz w:val="24"/>
          <w:szCs w:val="24"/>
          <w:lang w:eastAsia="ru-RU"/>
        </w:rPr>
      </w:pPr>
    </w:p>
    <w:p w14:paraId="2C49FEC1" w14:textId="77777777" w:rsidR="005F330C" w:rsidRPr="005F330C" w:rsidRDefault="005F330C" w:rsidP="00C760EE">
      <w:pPr>
        <w:spacing w:after="0" w:line="360" w:lineRule="atLeast"/>
        <w:jc w:val="center"/>
        <w:rPr>
          <w:rFonts w:ascii="Arial" w:eastAsia="Times New Roman" w:hAnsi="Arial" w:cs="Arial"/>
          <w:b/>
          <w:bCs/>
          <w:spacing w:val="-7"/>
          <w:sz w:val="24"/>
          <w:szCs w:val="24"/>
          <w:lang w:eastAsia="ru-RU"/>
        </w:rPr>
      </w:pPr>
    </w:p>
    <w:p w14:paraId="6034BE2D" w14:textId="77777777" w:rsidR="00D04794" w:rsidRDefault="00D04794" w:rsidP="005F330C">
      <w:pPr>
        <w:shd w:val="clear" w:color="auto" w:fill="FFFFFF"/>
        <w:spacing w:after="0" w:line="360" w:lineRule="atLeast"/>
        <w:rPr>
          <w:rFonts w:ascii="Arial" w:eastAsia="Times New Roman" w:hAnsi="Arial" w:cs="Arial"/>
          <w:b/>
          <w:bCs/>
          <w:spacing w:val="-7"/>
          <w:sz w:val="24"/>
          <w:szCs w:val="24"/>
          <w:lang w:eastAsia="ru-RU"/>
        </w:rPr>
      </w:pPr>
    </w:p>
    <w:p w14:paraId="6D612119" w14:textId="77777777" w:rsidR="005F330C" w:rsidRPr="005F330C" w:rsidRDefault="005F330C" w:rsidP="005F330C">
      <w:pPr>
        <w:shd w:val="clear" w:color="auto" w:fill="FFFFFF"/>
        <w:spacing w:after="0" w:line="360" w:lineRule="atLeast"/>
        <w:rPr>
          <w:rFonts w:ascii="Arial" w:eastAsia="Times New Roman" w:hAnsi="Arial" w:cs="Arial"/>
          <w:b/>
          <w:spacing w:val="-6"/>
          <w:sz w:val="24"/>
          <w:szCs w:val="24"/>
          <w:lang w:eastAsia="ru-RU"/>
        </w:rPr>
      </w:pPr>
    </w:p>
    <w:p w14:paraId="3A7856C1" w14:textId="5697105B" w:rsidR="00FD2D68" w:rsidRPr="00C7216B" w:rsidRDefault="00FD2D68" w:rsidP="00FD2D68">
      <w:pPr>
        <w:pStyle w:val="Autor"/>
        <w:spacing w:line="360" w:lineRule="auto"/>
        <w:rPr>
          <w:rFonts w:ascii="Arial" w:hAnsi="Arial" w:cs="Arial"/>
          <w:sz w:val="24"/>
          <w:szCs w:val="24"/>
          <w:lang w:val="en-US"/>
        </w:rPr>
      </w:pPr>
      <w:r w:rsidRPr="00C7216B">
        <w:rPr>
          <w:rFonts w:ascii="Arial" w:hAnsi="Arial" w:cs="Arial"/>
          <w:sz w:val="24"/>
          <w:szCs w:val="24"/>
          <w:lang w:val="en-US"/>
        </w:rPr>
        <w:lastRenderedPageBreak/>
        <w:t>The Government of New Zealand</w:t>
      </w:r>
      <w:r w:rsidRPr="00C7216B">
        <w:rPr>
          <w:rFonts w:ascii="Arial" w:hAnsi="Arial" w:cs="Arial"/>
          <w:sz w:val="24"/>
          <w:szCs w:val="24"/>
          <w:lang w:val="en-US"/>
        </w:rPr>
        <w:br/>
        <w:t>and</w:t>
      </w:r>
      <w:r w:rsidRPr="00C7216B">
        <w:rPr>
          <w:rFonts w:ascii="Arial" w:hAnsi="Arial" w:cs="Arial"/>
          <w:sz w:val="24"/>
          <w:szCs w:val="24"/>
          <w:lang w:val="en-US"/>
        </w:rPr>
        <w:br/>
        <w:t xml:space="preserve">the </w:t>
      </w:r>
      <w:r>
        <w:rPr>
          <w:rFonts w:ascii="Arial" w:hAnsi="Arial" w:cs="Arial"/>
          <w:sz w:val="24"/>
          <w:szCs w:val="24"/>
          <w:lang w:val="en-US"/>
        </w:rPr>
        <w:t>Swiss Federal Council</w:t>
      </w:r>
      <w:r w:rsidRPr="00C7216B">
        <w:rPr>
          <w:rFonts w:ascii="Arial" w:hAnsi="Arial" w:cs="Arial"/>
          <w:sz w:val="24"/>
          <w:szCs w:val="24"/>
          <w:lang w:val="en-US"/>
        </w:rPr>
        <w:t xml:space="preserve">;  </w:t>
      </w:r>
    </w:p>
    <w:p w14:paraId="35A4F2CB" w14:textId="77777777" w:rsidR="00FD2D68" w:rsidRPr="00C7216B" w:rsidRDefault="00FD2D68" w:rsidP="00FD2D68">
      <w:pPr>
        <w:pStyle w:val="Absatz"/>
        <w:spacing w:line="360" w:lineRule="auto"/>
        <w:rPr>
          <w:rFonts w:ascii="Arial" w:hAnsi="Arial" w:cs="Arial"/>
          <w:sz w:val="24"/>
          <w:szCs w:val="24"/>
          <w:lang w:val="en-US"/>
        </w:rPr>
      </w:pPr>
      <w:r w:rsidRPr="00C7216B">
        <w:rPr>
          <w:rFonts w:ascii="Arial" w:hAnsi="Arial" w:cs="Arial"/>
          <w:sz w:val="24"/>
          <w:szCs w:val="24"/>
          <w:lang w:val="en-US"/>
        </w:rPr>
        <w:t>Desiring to amend the Convention between the Swiss Confederation and New Zealand for the Avoidance of Double Taxation with Respect to Taxes on Income signed at Berne on 6 June 1980 (hereinafter “the Convention”);</w:t>
      </w:r>
    </w:p>
    <w:p w14:paraId="140336EE" w14:textId="77777777" w:rsidR="00FD2D68" w:rsidRPr="00C7216B" w:rsidRDefault="00FD2D68" w:rsidP="00FD2D68">
      <w:pPr>
        <w:pStyle w:val="Verb"/>
        <w:spacing w:line="360" w:lineRule="auto"/>
        <w:rPr>
          <w:rFonts w:ascii="Arial" w:hAnsi="Arial" w:cs="Arial"/>
          <w:sz w:val="24"/>
          <w:szCs w:val="24"/>
          <w:lang w:val="en-US"/>
        </w:rPr>
      </w:pPr>
      <w:r w:rsidRPr="00C7216B">
        <w:rPr>
          <w:rFonts w:ascii="Arial" w:hAnsi="Arial" w:cs="Arial"/>
          <w:sz w:val="24"/>
          <w:szCs w:val="24"/>
          <w:lang w:val="en-US"/>
        </w:rPr>
        <w:t>Have agreed as follows:</w:t>
      </w:r>
    </w:p>
    <w:p w14:paraId="5A5F127D" w14:textId="77777777" w:rsidR="00FD2D68" w:rsidRPr="00C7216B" w:rsidRDefault="00FD2D68" w:rsidP="00FD2D68">
      <w:pPr>
        <w:pStyle w:val="Heading9"/>
        <w:spacing w:line="360" w:lineRule="auto"/>
        <w:rPr>
          <w:rFonts w:ascii="Arial" w:hAnsi="Arial" w:cs="Arial"/>
          <w:b/>
          <w:sz w:val="24"/>
          <w:szCs w:val="24"/>
          <w:lang w:val="en-US"/>
        </w:rPr>
      </w:pPr>
      <w:r w:rsidRPr="00C7216B">
        <w:rPr>
          <w:rFonts w:ascii="Arial" w:hAnsi="Arial" w:cs="Arial"/>
          <w:b/>
          <w:sz w:val="24"/>
          <w:szCs w:val="24"/>
          <w:lang w:val="en-US"/>
        </w:rPr>
        <w:t>Article I</w:t>
      </w:r>
    </w:p>
    <w:p w14:paraId="0C5530F0" w14:textId="77777777" w:rsidR="00FD2D68" w:rsidRPr="00C7216B" w:rsidRDefault="00FD2D68" w:rsidP="00FD2D68">
      <w:pPr>
        <w:pStyle w:val="Absatz"/>
        <w:spacing w:line="360" w:lineRule="auto"/>
        <w:rPr>
          <w:rFonts w:ascii="Arial" w:hAnsi="Arial" w:cs="Arial"/>
          <w:sz w:val="24"/>
          <w:szCs w:val="24"/>
          <w:lang w:val="en-US"/>
        </w:rPr>
      </w:pPr>
      <w:r w:rsidRPr="00C7216B">
        <w:rPr>
          <w:rFonts w:ascii="Arial" w:hAnsi="Arial" w:cs="Arial"/>
          <w:sz w:val="24"/>
          <w:szCs w:val="24"/>
          <w:lang w:val="en-US" w:eastAsia="ru-RU"/>
        </w:rPr>
        <w:t>The following new preamble shall replace the existing preamble:</w:t>
      </w:r>
      <w:r w:rsidRPr="00C7216B">
        <w:rPr>
          <w:rFonts w:ascii="Arial" w:hAnsi="Arial" w:cs="Arial"/>
          <w:sz w:val="24"/>
          <w:szCs w:val="24"/>
          <w:lang w:val="en-US"/>
        </w:rPr>
        <w:t xml:space="preserve"> </w:t>
      </w:r>
    </w:p>
    <w:p w14:paraId="3B430D67" w14:textId="77777777" w:rsidR="00FD2D68" w:rsidRPr="00C7216B" w:rsidRDefault="00FD2D68" w:rsidP="00FD2D68">
      <w:pPr>
        <w:pStyle w:val="Absatz"/>
        <w:spacing w:line="360" w:lineRule="auto"/>
        <w:rPr>
          <w:rFonts w:ascii="Arial" w:hAnsi="Arial" w:cs="Arial"/>
          <w:i/>
          <w:sz w:val="24"/>
          <w:szCs w:val="24"/>
          <w:lang w:val="en-US" w:eastAsia="ru-RU"/>
        </w:rPr>
      </w:pPr>
      <w:r w:rsidRPr="00C7216B">
        <w:rPr>
          <w:rFonts w:ascii="Arial" w:hAnsi="Arial" w:cs="Arial"/>
          <w:sz w:val="24"/>
          <w:szCs w:val="24"/>
          <w:lang w:val="en-US" w:eastAsia="ru-RU"/>
        </w:rPr>
        <w:t>“</w:t>
      </w:r>
      <w:r w:rsidRPr="00C7216B">
        <w:rPr>
          <w:rFonts w:ascii="Arial" w:hAnsi="Arial" w:cs="Arial"/>
          <w:i/>
          <w:sz w:val="24"/>
          <w:szCs w:val="24"/>
          <w:lang w:val="en-US" w:eastAsia="ru-RU"/>
        </w:rPr>
        <w:t>The Swiss Federal Council and the Government of New Zealand;</w:t>
      </w:r>
    </w:p>
    <w:p w14:paraId="1665F453" w14:textId="77777777" w:rsidR="00FD2D68" w:rsidRPr="00C7216B" w:rsidRDefault="00FD2D68" w:rsidP="00FD2D68">
      <w:pPr>
        <w:pStyle w:val="Absatz"/>
        <w:spacing w:line="360" w:lineRule="auto"/>
        <w:rPr>
          <w:rFonts w:ascii="Arial" w:hAnsi="Arial" w:cs="Arial"/>
          <w:sz w:val="24"/>
          <w:szCs w:val="24"/>
          <w:lang w:val="en-US"/>
        </w:rPr>
      </w:pPr>
      <w:r w:rsidRPr="00C7216B">
        <w:rPr>
          <w:rFonts w:ascii="Arial" w:hAnsi="Arial" w:cs="Arial"/>
          <w:sz w:val="24"/>
          <w:szCs w:val="24"/>
          <w:lang w:val="en-US"/>
        </w:rPr>
        <w:t>Intending to conclude a Convention for the elimination of double taxation with respect to taxes on income without creating opportunities for non-taxation or reduced taxation through tax evasion or avoidance (including through treaty-shopping arrangements aimed at obtaining reliefs provided in this Convention for the indirect benefit of residents of third States);</w:t>
      </w:r>
    </w:p>
    <w:p w14:paraId="605AC7B4" w14:textId="77777777" w:rsidR="00FD2D68" w:rsidRPr="00C7216B" w:rsidRDefault="00FD2D68" w:rsidP="00FD2D68">
      <w:pPr>
        <w:pStyle w:val="Verb"/>
        <w:spacing w:line="360" w:lineRule="auto"/>
        <w:rPr>
          <w:rFonts w:ascii="Arial" w:hAnsi="Arial" w:cs="Arial"/>
          <w:sz w:val="24"/>
          <w:szCs w:val="24"/>
          <w:lang w:val="en-US"/>
        </w:rPr>
      </w:pPr>
      <w:r>
        <w:rPr>
          <w:rFonts w:ascii="Arial" w:hAnsi="Arial" w:cs="Arial"/>
          <w:sz w:val="24"/>
          <w:szCs w:val="24"/>
          <w:lang w:val="en-US"/>
        </w:rPr>
        <w:t>Hav</w:t>
      </w:r>
      <w:r w:rsidRPr="00C7216B">
        <w:rPr>
          <w:rFonts w:ascii="Arial" w:hAnsi="Arial" w:cs="Arial"/>
          <w:sz w:val="24"/>
          <w:szCs w:val="24"/>
          <w:lang w:val="en-US"/>
        </w:rPr>
        <w:t>e agreed as follows:”</w:t>
      </w:r>
    </w:p>
    <w:p w14:paraId="15AC1D09" w14:textId="77777777" w:rsidR="00FD2D68" w:rsidRPr="00C7216B" w:rsidRDefault="00FD2D68" w:rsidP="00FD2D68">
      <w:pPr>
        <w:pStyle w:val="Heading9"/>
        <w:spacing w:line="360" w:lineRule="auto"/>
        <w:ind w:left="0" w:firstLine="0"/>
        <w:rPr>
          <w:rFonts w:ascii="Arial" w:hAnsi="Arial" w:cs="Arial"/>
          <w:b/>
          <w:sz w:val="24"/>
          <w:szCs w:val="24"/>
          <w:lang w:val="en-US"/>
        </w:rPr>
      </w:pPr>
      <w:r w:rsidRPr="00C7216B">
        <w:rPr>
          <w:rFonts w:ascii="Arial" w:hAnsi="Arial" w:cs="Arial"/>
          <w:b/>
          <w:sz w:val="24"/>
          <w:szCs w:val="24"/>
          <w:lang w:val="en-US"/>
        </w:rPr>
        <w:t>Article II</w:t>
      </w:r>
    </w:p>
    <w:p w14:paraId="06E2912E" w14:textId="77777777" w:rsidR="00FD2D68" w:rsidRPr="00C7216B" w:rsidRDefault="00FD2D68" w:rsidP="00FD2D68">
      <w:pPr>
        <w:pStyle w:val="Absatz"/>
        <w:spacing w:line="360" w:lineRule="auto"/>
        <w:rPr>
          <w:rFonts w:ascii="Arial" w:hAnsi="Arial" w:cs="Arial"/>
          <w:sz w:val="24"/>
          <w:szCs w:val="24"/>
          <w:lang w:val="en-US"/>
        </w:rPr>
      </w:pPr>
      <w:r w:rsidRPr="00C7216B">
        <w:rPr>
          <w:rFonts w:ascii="Arial" w:hAnsi="Arial" w:cs="Arial"/>
          <w:sz w:val="24"/>
          <w:szCs w:val="24"/>
          <w:lang w:val="en-US"/>
        </w:rPr>
        <w:t>1.  The existing paragraph 7 of Article 7 (Business profits) of the Convention shall be renumbered as paragraph 8.</w:t>
      </w:r>
    </w:p>
    <w:p w14:paraId="3CE839F3" w14:textId="77777777" w:rsidR="00FD2D68" w:rsidRPr="00C7216B" w:rsidRDefault="00FD2D68" w:rsidP="00FD2D68">
      <w:pPr>
        <w:pStyle w:val="Absatz"/>
        <w:spacing w:line="360" w:lineRule="auto"/>
        <w:rPr>
          <w:rFonts w:ascii="Arial" w:hAnsi="Arial" w:cs="Arial"/>
          <w:sz w:val="24"/>
          <w:szCs w:val="24"/>
          <w:lang w:val="en-US"/>
        </w:rPr>
      </w:pPr>
      <w:r w:rsidRPr="00C7216B">
        <w:rPr>
          <w:rFonts w:ascii="Arial" w:hAnsi="Arial" w:cs="Arial"/>
          <w:sz w:val="24"/>
          <w:szCs w:val="24"/>
          <w:lang w:val="en-US"/>
        </w:rPr>
        <w:t>2.  The following new paragraph 7 shall be added to Article 7 (Business profits) of the Convention:</w:t>
      </w:r>
    </w:p>
    <w:p w14:paraId="3403E782" w14:textId="77777777" w:rsidR="00FD2D68" w:rsidRPr="00C7216B" w:rsidRDefault="00FD2D68" w:rsidP="00FD2D68">
      <w:pPr>
        <w:pStyle w:val="Absatz"/>
        <w:spacing w:line="360" w:lineRule="auto"/>
        <w:rPr>
          <w:rFonts w:ascii="Arial" w:hAnsi="Arial" w:cs="Arial"/>
          <w:sz w:val="24"/>
          <w:szCs w:val="24"/>
          <w:lang w:val="en-US"/>
        </w:rPr>
      </w:pPr>
      <w:r w:rsidRPr="00C7216B">
        <w:rPr>
          <w:rFonts w:ascii="Arial" w:hAnsi="Arial" w:cs="Arial"/>
          <w:sz w:val="24"/>
          <w:szCs w:val="24"/>
          <w:lang w:val="en-US"/>
        </w:rPr>
        <w:t xml:space="preserve">“7. A Contracting State shall make no adjustment to the profits that are attributable to a permanent establishment of an enterprise of one of the Contracting States after 5 years from the end of the taxable year in which the profits would have been attributable to the permanent establishment. The provisions of this paragraph shall not apply in the case of fraud, gross negligence or </w:t>
      </w:r>
      <w:proofErr w:type="spellStart"/>
      <w:r w:rsidRPr="00C7216B">
        <w:rPr>
          <w:rFonts w:ascii="Arial" w:hAnsi="Arial" w:cs="Arial"/>
          <w:sz w:val="24"/>
          <w:szCs w:val="24"/>
          <w:lang w:val="en-US"/>
        </w:rPr>
        <w:t>wilful</w:t>
      </w:r>
      <w:proofErr w:type="spellEnd"/>
      <w:r w:rsidRPr="00C7216B">
        <w:rPr>
          <w:rFonts w:ascii="Arial" w:hAnsi="Arial" w:cs="Arial"/>
          <w:sz w:val="24"/>
          <w:szCs w:val="24"/>
          <w:lang w:val="en-US"/>
        </w:rPr>
        <w:t xml:space="preserve"> default.”</w:t>
      </w:r>
    </w:p>
    <w:p w14:paraId="14D543F7" w14:textId="77777777" w:rsidR="00FD2D68" w:rsidRPr="00C7216B" w:rsidRDefault="00FD2D68" w:rsidP="00FD2D68">
      <w:pPr>
        <w:pStyle w:val="Heading9"/>
        <w:spacing w:line="360" w:lineRule="auto"/>
        <w:rPr>
          <w:rFonts w:ascii="Arial" w:hAnsi="Arial" w:cs="Arial"/>
          <w:b/>
          <w:sz w:val="24"/>
          <w:szCs w:val="24"/>
          <w:lang w:val="en-US"/>
        </w:rPr>
      </w:pPr>
      <w:r w:rsidRPr="00C7216B">
        <w:rPr>
          <w:rFonts w:ascii="Arial" w:hAnsi="Arial" w:cs="Arial"/>
          <w:b/>
          <w:sz w:val="24"/>
          <w:szCs w:val="24"/>
          <w:lang w:val="en-US"/>
        </w:rPr>
        <w:lastRenderedPageBreak/>
        <w:t>Article</w:t>
      </w:r>
      <w:r w:rsidRPr="00C7216B">
        <w:rPr>
          <w:rFonts w:ascii="Arial" w:hAnsi="Arial" w:cs="Arial"/>
          <w:b/>
          <w:sz w:val="24"/>
          <w:szCs w:val="24"/>
          <w:lang w:val="en-GB"/>
        </w:rPr>
        <w:t xml:space="preserve"> </w:t>
      </w:r>
      <w:r w:rsidRPr="00C7216B">
        <w:rPr>
          <w:rFonts w:ascii="Arial" w:hAnsi="Arial" w:cs="Arial"/>
          <w:b/>
          <w:sz w:val="24"/>
          <w:szCs w:val="24"/>
          <w:lang w:val="en-US"/>
        </w:rPr>
        <w:t>III</w:t>
      </w:r>
    </w:p>
    <w:p w14:paraId="549D171F" w14:textId="77777777" w:rsidR="00FD2D68" w:rsidRPr="00C7216B" w:rsidRDefault="00FD2D68" w:rsidP="00FD2D68">
      <w:pPr>
        <w:pStyle w:val="Absatz"/>
        <w:spacing w:line="360" w:lineRule="auto"/>
        <w:rPr>
          <w:rFonts w:ascii="Arial" w:hAnsi="Arial" w:cs="Arial"/>
          <w:sz w:val="24"/>
          <w:szCs w:val="24"/>
          <w:lang w:val="en-US"/>
        </w:rPr>
      </w:pPr>
      <w:r w:rsidRPr="00C7216B">
        <w:rPr>
          <w:rFonts w:ascii="Arial" w:hAnsi="Arial" w:cs="Arial"/>
          <w:sz w:val="24"/>
          <w:szCs w:val="24"/>
          <w:lang w:val="en-US"/>
        </w:rPr>
        <w:t xml:space="preserve">The existing paragraph of Article 9 (Associated enterprises) of the Convention shall be numbered as paragraph 1. </w:t>
      </w:r>
    </w:p>
    <w:p w14:paraId="298CE98A" w14:textId="77777777" w:rsidR="00FD2D68" w:rsidRPr="00C7216B" w:rsidRDefault="00FD2D68" w:rsidP="00FD2D68">
      <w:pPr>
        <w:pStyle w:val="Absatz"/>
        <w:spacing w:line="360" w:lineRule="auto"/>
        <w:rPr>
          <w:rFonts w:ascii="Arial" w:hAnsi="Arial" w:cs="Arial"/>
          <w:sz w:val="24"/>
          <w:szCs w:val="24"/>
          <w:lang w:val="en-US"/>
        </w:rPr>
      </w:pPr>
      <w:r w:rsidRPr="00C7216B">
        <w:rPr>
          <w:rFonts w:ascii="Arial" w:hAnsi="Arial" w:cs="Arial"/>
          <w:sz w:val="24"/>
          <w:szCs w:val="24"/>
          <w:lang w:val="en-US"/>
        </w:rPr>
        <w:t>2.  The following new paragraph 2 shall be added to Article 9 (Associated enterprises) of the Convention:</w:t>
      </w:r>
    </w:p>
    <w:p w14:paraId="1DE80E7A" w14:textId="77777777" w:rsidR="00FD2D68" w:rsidRPr="00C7216B" w:rsidRDefault="00FD2D68" w:rsidP="00FD2D68">
      <w:pPr>
        <w:pStyle w:val="Absatz"/>
        <w:spacing w:line="360" w:lineRule="auto"/>
        <w:rPr>
          <w:rFonts w:ascii="Arial" w:hAnsi="Arial" w:cs="Arial"/>
          <w:sz w:val="24"/>
          <w:szCs w:val="24"/>
          <w:lang w:val="en-US"/>
        </w:rPr>
      </w:pPr>
      <w:r w:rsidRPr="00C7216B">
        <w:rPr>
          <w:rFonts w:ascii="Arial" w:hAnsi="Arial" w:cs="Arial"/>
          <w:sz w:val="24"/>
          <w:szCs w:val="24"/>
          <w:lang w:val="en-US"/>
        </w:rPr>
        <w:t>“2. 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14:paraId="6A8032C3" w14:textId="77777777" w:rsidR="00FD2D68" w:rsidRPr="00C7216B" w:rsidRDefault="00FD2D68" w:rsidP="00FD2D68">
      <w:pPr>
        <w:pStyle w:val="Absatz"/>
        <w:spacing w:line="360" w:lineRule="auto"/>
        <w:rPr>
          <w:rFonts w:ascii="Arial" w:hAnsi="Arial" w:cs="Arial"/>
          <w:sz w:val="24"/>
          <w:szCs w:val="24"/>
          <w:lang w:val="en-US"/>
        </w:rPr>
      </w:pPr>
      <w:r w:rsidRPr="00C7216B">
        <w:rPr>
          <w:rFonts w:ascii="Arial" w:hAnsi="Arial" w:cs="Arial"/>
          <w:sz w:val="24"/>
          <w:szCs w:val="24"/>
          <w:lang w:val="en-US"/>
        </w:rPr>
        <w:t xml:space="preserve">3.  The following new paragraph 3 shall be added to Article 9 (Associated enterprises) of the Convention: </w:t>
      </w:r>
    </w:p>
    <w:p w14:paraId="532857E1" w14:textId="77777777" w:rsidR="00FD2D68" w:rsidRPr="00C7216B" w:rsidRDefault="00FD2D68" w:rsidP="00FD2D68">
      <w:pPr>
        <w:pStyle w:val="Absatz"/>
        <w:spacing w:line="360" w:lineRule="auto"/>
        <w:rPr>
          <w:rFonts w:ascii="Arial" w:hAnsi="Arial" w:cs="Arial"/>
          <w:sz w:val="24"/>
          <w:szCs w:val="24"/>
          <w:lang w:val="en-US"/>
        </w:rPr>
      </w:pPr>
      <w:r w:rsidRPr="00C7216B">
        <w:rPr>
          <w:rFonts w:ascii="Arial" w:hAnsi="Arial" w:cs="Arial"/>
          <w:sz w:val="24"/>
          <w:szCs w:val="24"/>
          <w:lang w:val="en-US"/>
        </w:rPr>
        <w:t xml:space="preserve">“3. A Contracting State shall not include in the profits of an enterprise, and tax accordingly, profits that would have accrued to the enterprise but by reason of the conditions referred to in paragraph 1 have not so accrued, after 5 years from the end of the taxable year in which the profits would have accrued to the enterprise. The provisions of this paragraph shall not apply in the case of fraud, gross negligence or </w:t>
      </w:r>
      <w:proofErr w:type="spellStart"/>
      <w:r w:rsidRPr="00C7216B">
        <w:rPr>
          <w:rFonts w:ascii="Arial" w:hAnsi="Arial" w:cs="Arial"/>
          <w:sz w:val="24"/>
          <w:szCs w:val="24"/>
          <w:lang w:val="en-US"/>
        </w:rPr>
        <w:t>wilful</w:t>
      </w:r>
      <w:proofErr w:type="spellEnd"/>
      <w:r w:rsidRPr="00C7216B">
        <w:rPr>
          <w:rFonts w:ascii="Arial" w:hAnsi="Arial" w:cs="Arial"/>
          <w:sz w:val="24"/>
          <w:szCs w:val="24"/>
          <w:lang w:val="en-US"/>
        </w:rPr>
        <w:t xml:space="preserve"> default.”</w:t>
      </w:r>
    </w:p>
    <w:p w14:paraId="4DC021F0" w14:textId="77777777" w:rsidR="00FD2D68" w:rsidRPr="00C7216B" w:rsidRDefault="00FD2D68" w:rsidP="00FD2D68">
      <w:pPr>
        <w:pStyle w:val="Heading9"/>
        <w:spacing w:line="360" w:lineRule="auto"/>
        <w:rPr>
          <w:rFonts w:ascii="Arial" w:hAnsi="Arial" w:cs="Arial"/>
          <w:b/>
          <w:sz w:val="24"/>
          <w:szCs w:val="24"/>
          <w:lang w:val="en-US"/>
        </w:rPr>
      </w:pPr>
      <w:r w:rsidRPr="00C7216B">
        <w:rPr>
          <w:rFonts w:ascii="Arial" w:hAnsi="Arial" w:cs="Arial"/>
          <w:b/>
          <w:sz w:val="24"/>
          <w:szCs w:val="24"/>
          <w:lang w:val="en-US"/>
        </w:rPr>
        <w:t>Article IV</w:t>
      </w:r>
    </w:p>
    <w:p w14:paraId="5EE2CDCD" w14:textId="77777777" w:rsidR="00FD2D68" w:rsidRPr="00C7216B" w:rsidRDefault="00FD2D68" w:rsidP="00FD2D68">
      <w:pPr>
        <w:pStyle w:val="Absatz"/>
        <w:spacing w:line="360" w:lineRule="auto"/>
        <w:rPr>
          <w:rFonts w:ascii="Arial" w:hAnsi="Arial" w:cs="Arial"/>
          <w:spacing w:val="-6"/>
          <w:sz w:val="24"/>
          <w:szCs w:val="24"/>
          <w:lang w:val="en-US" w:eastAsia="ru-RU"/>
        </w:rPr>
      </w:pPr>
      <w:r w:rsidRPr="00C7216B">
        <w:rPr>
          <w:rFonts w:ascii="Arial" w:hAnsi="Arial" w:cs="Arial"/>
          <w:spacing w:val="-6"/>
          <w:sz w:val="24"/>
          <w:szCs w:val="24"/>
          <w:lang w:val="en-US" w:eastAsia="ru-RU"/>
        </w:rPr>
        <w:t>The following new paragraph 6 shall be added to Article 22 (Elimination of double taxation) of the Convention:</w:t>
      </w:r>
    </w:p>
    <w:p w14:paraId="3DFE149A" w14:textId="77777777" w:rsidR="00FD2D68" w:rsidRPr="00C7216B" w:rsidRDefault="00FD2D68" w:rsidP="00FD2D68">
      <w:pPr>
        <w:pStyle w:val="Absatz"/>
        <w:spacing w:line="360" w:lineRule="auto"/>
        <w:rPr>
          <w:rFonts w:ascii="Arial" w:hAnsi="Arial" w:cs="Arial"/>
          <w:sz w:val="24"/>
          <w:szCs w:val="24"/>
          <w:lang w:val="en-US" w:eastAsia="ru-RU"/>
        </w:rPr>
      </w:pPr>
      <w:r w:rsidRPr="00C7216B">
        <w:rPr>
          <w:rFonts w:ascii="Arial" w:hAnsi="Arial" w:cs="Arial"/>
          <w:sz w:val="24"/>
          <w:szCs w:val="24"/>
          <w:lang w:val="en-US" w:eastAsia="ru-RU"/>
        </w:rPr>
        <w:t xml:space="preserve">“6. The provisions of paragraph 3 shall not apply to income derived by a resident of Switzerland where New Zealand applies the provisions of this </w:t>
      </w:r>
      <w:r w:rsidRPr="00C7216B">
        <w:rPr>
          <w:rFonts w:ascii="Arial" w:hAnsi="Arial" w:cs="Arial"/>
          <w:sz w:val="24"/>
          <w:szCs w:val="24"/>
          <w:lang w:val="en-US" w:eastAsia="ru-RU"/>
        </w:rPr>
        <w:lastRenderedPageBreak/>
        <w:t>Convention to exempt such income from tax or applies the provisions of paragraph 2 of Article 10, paragraph 2 of Article 11 or paragraph 2 of Article 12 to such income.”</w:t>
      </w:r>
    </w:p>
    <w:p w14:paraId="57693DB2" w14:textId="77777777" w:rsidR="00FD2D68" w:rsidRPr="00C7216B" w:rsidRDefault="00FD2D68" w:rsidP="00FD2D68">
      <w:pPr>
        <w:pStyle w:val="Heading9"/>
        <w:spacing w:line="360" w:lineRule="auto"/>
        <w:rPr>
          <w:rFonts w:ascii="Arial" w:hAnsi="Arial" w:cs="Arial"/>
          <w:b/>
          <w:sz w:val="24"/>
          <w:szCs w:val="24"/>
          <w:lang w:val="en-US"/>
        </w:rPr>
      </w:pPr>
      <w:r w:rsidRPr="00C7216B">
        <w:rPr>
          <w:rFonts w:ascii="Arial" w:hAnsi="Arial" w:cs="Arial"/>
          <w:b/>
          <w:sz w:val="24"/>
          <w:szCs w:val="24"/>
          <w:lang w:val="en-US"/>
        </w:rPr>
        <w:t xml:space="preserve">Article </w:t>
      </w:r>
      <w:r w:rsidRPr="00C7216B">
        <w:rPr>
          <w:rFonts w:ascii="Arial" w:hAnsi="Arial" w:cs="Arial"/>
          <w:b/>
          <w:sz w:val="24"/>
          <w:szCs w:val="24"/>
          <w:lang w:val="en-GB"/>
        </w:rPr>
        <w:t>V</w:t>
      </w:r>
    </w:p>
    <w:p w14:paraId="7B70C920" w14:textId="77777777" w:rsidR="00FD2D68" w:rsidRPr="00C7216B" w:rsidRDefault="00FD2D68" w:rsidP="00FD2D68">
      <w:pPr>
        <w:pStyle w:val="Absatz"/>
        <w:spacing w:line="360" w:lineRule="auto"/>
        <w:rPr>
          <w:rFonts w:ascii="Arial" w:hAnsi="Arial" w:cs="Arial"/>
          <w:spacing w:val="-6"/>
          <w:sz w:val="24"/>
          <w:szCs w:val="24"/>
          <w:lang w:val="en-US" w:eastAsia="ru-RU"/>
        </w:rPr>
      </w:pPr>
      <w:r w:rsidRPr="00C7216B">
        <w:rPr>
          <w:rFonts w:ascii="Arial" w:hAnsi="Arial" w:cs="Arial"/>
          <w:spacing w:val="-6"/>
          <w:sz w:val="24"/>
          <w:szCs w:val="24"/>
          <w:lang w:val="en-US" w:eastAsia="ru-RU"/>
        </w:rPr>
        <w:t>The first sentence of paragraph 1 of Article 23 (Mutual agreement procedure) of the Convention shall be deleted and replaced by the following sentence:</w:t>
      </w:r>
    </w:p>
    <w:p w14:paraId="30E0CD4F" w14:textId="77777777" w:rsidR="00FD2D68" w:rsidRPr="00C7216B" w:rsidRDefault="00FD2D68" w:rsidP="00FD2D68">
      <w:pPr>
        <w:pStyle w:val="Absatz"/>
        <w:spacing w:line="360" w:lineRule="auto"/>
        <w:rPr>
          <w:rFonts w:ascii="Arial" w:hAnsi="Arial" w:cs="Arial"/>
          <w:sz w:val="24"/>
          <w:szCs w:val="24"/>
          <w:lang w:val="en-US" w:eastAsia="ru-RU"/>
        </w:rPr>
      </w:pPr>
      <w:r w:rsidRPr="00C7216B">
        <w:rPr>
          <w:rFonts w:ascii="Arial" w:hAnsi="Arial" w:cs="Arial"/>
          <w:sz w:val="24"/>
          <w:szCs w:val="24"/>
          <w:lang w:val="en-US" w:eastAsia="ru-RU"/>
        </w:rPr>
        <w:t>“Where a person considers that the actions of one or both of the Contracting States result or will result for that person in taxation not in accordance with the provisions of this Convention, that person may, irrespective of the remedies provided by the domestic law of those States, present the case to the competent authority of either Contracting State.”</w:t>
      </w:r>
    </w:p>
    <w:p w14:paraId="3B310CC4" w14:textId="77777777" w:rsidR="00FD2D68" w:rsidRPr="00C7216B" w:rsidRDefault="00FD2D68" w:rsidP="00FD2D68">
      <w:pPr>
        <w:pStyle w:val="Heading9"/>
        <w:spacing w:line="360" w:lineRule="auto"/>
        <w:rPr>
          <w:rFonts w:ascii="Arial" w:hAnsi="Arial" w:cs="Arial"/>
          <w:b/>
          <w:sz w:val="24"/>
          <w:szCs w:val="24"/>
          <w:lang w:val="en-GB"/>
        </w:rPr>
      </w:pPr>
      <w:r w:rsidRPr="00C7216B">
        <w:rPr>
          <w:rFonts w:ascii="Arial" w:hAnsi="Arial" w:cs="Arial"/>
          <w:b/>
          <w:sz w:val="24"/>
          <w:szCs w:val="24"/>
          <w:lang w:val="en-US"/>
        </w:rPr>
        <w:t xml:space="preserve">Article </w:t>
      </w:r>
      <w:r w:rsidRPr="00C7216B">
        <w:rPr>
          <w:rFonts w:ascii="Arial" w:hAnsi="Arial" w:cs="Arial"/>
          <w:b/>
          <w:sz w:val="24"/>
          <w:szCs w:val="24"/>
          <w:lang w:val="en-GB"/>
        </w:rPr>
        <w:t>VI</w:t>
      </w:r>
    </w:p>
    <w:p w14:paraId="63C39677" w14:textId="77777777" w:rsidR="00FD2D68" w:rsidRPr="00C7216B" w:rsidRDefault="00FD2D68" w:rsidP="00FD2D68">
      <w:pPr>
        <w:pStyle w:val="Absatz"/>
        <w:spacing w:line="360" w:lineRule="auto"/>
        <w:rPr>
          <w:rFonts w:ascii="Arial" w:hAnsi="Arial" w:cs="Arial"/>
          <w:spacing w:val="-6"/>
          <w:sz w:val="24"/>
          <w:szCs w:val="24"/>
          <w:lang w:val="en-US" w:eastAsia="ru-RU"/>
        </w:rPr>
      </w:pPr>
      <w:r w:rsidRPr="00C7216B">
        <w:rPr>
          <w:rFonts w:ascii="Arial" w:hAnsi="Arial" w:cs="Arial"/>
          <w:spacing w:val="-6"/>
          <w:sz w:val="24"/>
          <w:szCs w:val="24"/>
          <w:lang w:val="en-US" w:eastAsia="ru-RU"/>
        </w:rPr>
        <w:t>The following new paragraphs 5 and 6 shall be added to Article 23 (Mutual agreement procedure) of the Convention:</w:t>
      </w:r>
    </w:p>
    <w:p w14:paraId="61703636" w14:textId="77777777" w:rsidR="00FD2D68" w:rsidRPr="00C7216B" w:rsidRDefault="00FD2D68" w:rsidP="00FD2D68">
      <w:pPr>
        <w:pStyle w:val="Absatz"/>
        <w:spacing w:line="360" w:lineRule="auto"/>
        <w:rPr>
          <w:rFonts w:ascii="Arial" w:hAnsi="Arial" w:cs="Arial"/>
          <w:sz w:val="24"/>
          <w:szCs w:val="24"/>
          <w:lang w:val="en-US" w:eastAsia="ru-RU"/>
        </w:rPr>
      </w:pPr>
      <w:r w:rsidRPr="00C7216B">
        <w:rPr>
          <w:rFonts w:ascii="Arial" w:hAnsi="Arial" w:cs="Arial"/>
          <w:sz w:val="24"/>
          <w:szCs w:val="24"/>
          <w:lang w:val="en-US" w:eastAsia="ru-RU"/>
        </w:rPr>
        <w:t>“5.  Where,</w:t>
      </w:r>
    </w:p>
    <w:p w14:paraId="28DC8D6F" w14:textId="77777777" w:rsidR="00FD2D68" w:rsidRPr="00C7216B" w:rsidRDefault="00FD2D68" w:rsidP="00FD2D68">
      <w:pPr>
        <w:pStyle w:val="Struktur1"/>
        <w:spacing w:line="360" w:lineRule="auto"/>
        <w:rPr>
          <w:rFonts w:ascii="Arial" w:hAnsi="Arial" w:cs="Arial"/>
          <w:sz w:val="24"/>
          <w:szCs w:val="24"/>
          <w:lang w:val="en-US" w:eastAsia="ru-RU"/>
        </w:rPr>
      </w:pPr>
      <w:r w:rsidRPr="00C7216B">
        <w:rPr>
          <w:rFonts w:ascii="Arial" w:hAnsi="Arial" w:cs="Arial"/>
          <w:sz w:val="24"/>
          <w:szCs w:val="24"/>
          <w:lang w:val="en-US" w:eastAsia="ru-RU"/>
        </w:rPr>
        <w:t>(a)</w:t>
      </w:r>
      <w:r w:rsidRPr="00C7216B">
        <w:rPr>
          <w:rFonts w:ascii="Arial" w:hAnsi="Arial" w:cs="Arial"/>
          <w:sz w:val="24"/>
          <w:szCs w:val="24"/>
          <w:lang w:val="en-US" w:eastAsia="ru-RU"/>
        </w:rPr>
        <w:tab/>
        <w:t>under paragraph 1, a person has presented a case to the competent authority of a Contracting State on the basis that the actions of one or both of the Contracting States have resulted for that person in taxation not in accordance with the provisions of this Convention, and</w:t>
      </w:r>
    </w:p>
    <w:p w14:paraId="302AB0AB" w14:textId="77777777" w:rsidR="00FD2D68" w:rsidRPr="00C7216B" w:rsidRDefault="00FD2D68" w:rsidP="00FD2D68">
      <w:pPr>
        <w:pStyle w:val="Struktur1"/>
        <w:spacing w:line="360" w:lineRule="auto"/>
        <w:rPr>
          <w:rFonts w:ascii="Arial" w:hAnsi="Arial" w:cs="Arial"/>
          <w:sz w:val="24"/>
          <w:szCs w:val="24"/>
          <w:lang w:val="en-US" w:eastAsia="ru-RU"/>
        </w:rPr>
      </w:pPr>
      <w:r w:rsidRPr="00C7216B">
        <w:rPr>
          <w:rFonts w:ascii="Arial" w:hAnsi="Arial" w:cs="Arial"/>
          <w:sz w:val="24"/>
          <w:szCs w:val="24"/>
          <w:lang w:val="en-US" w:eastAsia="ru-RU"/>
        </w:rPr>
        <w:t>(b)</w:t>
      </w:r>
      <w:r w:rsidRPr="00C7216B">
        <w:rPr>
          <w:rFonts w:ascii="Arial" w:hAnsi="Arial" w:cs="Arial"/>
          <w:sz w:val="24"/>
          <w:szCs w:val="24"/>
          <w:lang w:val="en-US" w:eastAsia="ru-RU"/>
        </w:rPr>
        <w:tab/>
        <w:t>the competent authorities are unable to reach an agreement to resolve that case pursuant to paragraph 2 within three years from the date when all the information required by the competent authorities in order to address the case has been provided to both competent authorities,</w:t>
      </w:r>
    </w:p>
    <w:p w14:paraId="70C865B0" w14:textId="77777777" w:rsidR="00FD2D68" w:rsidRPr="00C7216B" w:rsidRDefault="00FD2D68" w:rsidP="00FD2D68">
      <w:pPr>
        <w:pStyle w:val="Absatz"/>
        <w:spacing w:line="360" w:lineRule="auto"/>
        <w:rPr>
          <w:rFonts w:ascii="Arial" w:hAnsi="Arial" w:cs="Arial"/>
          <w:spacing w:val="-6"/>
          <w:sz w:val="24"/>
          <w:szCs w:val="24"/>
          <w:lang w:val="en-US" w:eastAsia="ru-RU"/>
        </w:rPr>
      </w:pPr>
      <w:r w:rsidRPr="00C7216B">
        <w:rPr>
          <w:rFonts w:ascii="Arial" w:hAnsi="Arial" w:cs="Arial"/>
          <w:spacing w:val="-6"/>
          <w:sz w:val="24"/>
          <w:szCs w:val="24"/>
          <w:lang w:val="en-US" w:eastAsia="ru-RU"/>
        </w:rPr>
        <w:t xml:space="preserve">any unresolved issues arising from the case shall be submitted to arbitration if the person so requests in writing. These unresolved issues shall not, however, be submitted to arbitration if a decision on these issues has already been rendered by a court or administrative tribunal of either State. Unless a person directly affected by the case does not accept the mutual agreement that </w:t>
      </w:r>
      <w:r w:rsidRPr="00C7216B">
        <w:rPr>
          <w:rFonts w:ascii="Arial" w:hAnsi="Arial" w:cs="Arial"/>
          <w:spacing w:val="-6"/>
          <w:sz w:val="24"/>
          <w:szCs w:val="24"/>
          <w:lang w:val="en-US" w:eastAsia="ru-RU"/>
        </w:rPr>
        <w:lastRenderedPageBreak/>
        <w:t>implements the arbitration decision, that decision shall be binding on both Contracting States and shall be implemented notwithstanding any time limits in the domestic laws of these States. The competent authorities of the Contracting States shall by mutual agreement settle the mode of application of this paragraph.</w:t>
      </w:r>
    </w:p>
    <w:p w14:paraId="52F1FB69" w14:textId="77777777" w:rsidR="00FD2D68" w:rsidRDefault="00FD2D68" w:rsidP="00FD2D68">
      <w:pPr>
        <w:pStyle w:val="Absatz"/>
        <w:spacing w:line="360" w:lineRule="auto"/>
        <w:rPr>
          <w:rFonts w:ascii="Arial" w:hAnsi="Arial" w:cs="Arial"/>
          <w:sz w:val="24"/>
          <w:szCs w:val="24"/>
          <w:lang w:val="en-US" w:eastAsia="ru-RU"/>
        </w:rPr>
      </w:pPr>
      <w:r w:rsidRPr="00C7216B">
        <w:rPr>
          <w:rFonts w:ascii="Arial" w:hAnsi="Arial" w:cs="Arial"/>
          <w:sz w:val="24"/>
          <w:szCs w:val="24"/>
          <w:lang w:val="en-US" w:eastAsia="ru-RU"/>
        </w:rPr>
        <w:t>6. The Contracting States may release to the arbitration board, established under the provisions of paragraph 5, such information as is necessary for carrying out the arbitration procedure. The members of the arbitration board shall be subject to the limitations of disclosure described in paragraph 1 of Article 24 with respect to the information so released.”</w:t>
      </w:r>
    </w:p>
    <w:p w14:paraId="2846C955" w14:textId="77777777" w:rsidR="00FD2D68" w:rsidRPr="00C7216B" w:rsidRDefault="00FD2D68" w:rsidP="00FD2D68">
      <w:pPr>
        <w:pStyle w:val="Absatz"/>
        <w:spacing w:line="360" w:lineRule="auto"/>
        <w:rPr>
          <w:rFonts w:ascii="Arial" w:hAnsi="Arial" w:cs="Arial"/>
          <w:sz w:val="24"/>
          <w:szCs w:val="24"/>
          <w:lang w:val="en-US" w:eastAsia="ru-RU"/>
        </w:rPr>
      </w:pPr>
    </w:p>
    <w:p w14:paraId="3EA681B8" w14:textId="77777777" w:rsidR="00FD2D68" w:rsidRPr="00C7216B" w:rsidRDefault="00FD2D68" w:rsidP="00FD2D68">
      <w:pPr>
        <w:pStyle w:val="Heading9"/>
        <w:spacing w:line="360" w:lineRule="auto"/>
        <w:rPr>
          <w:rFonts w:ascii="Arial" w:hAnsi="Arial" w:cs="Arial"/>
          <w:b/>
          <w:sz w:val="24"/>
          <w:szCs w:val="24"/>
          <w:lang w:val="en-GB"/>
        </w:rPr>
      </w:pPr>
      <w:r w:rsidRPr="00C7216B">
        <w:rPr>
          <w:rFonts w:ascii="Arial" w:hAnsi="Arial" w:cs="Arial"/>
          <w:b/>
          <w:sz w:val="24"/>
          <w:szCs w:val="24"/>
          <w:lang w:val="en-GB"/>
        </w:rPr>
        <w:t>Article VII</w:t>
      </w:r>
    </w:p>
    <w:p w14:paraId="14CB4065" w14:textId="77777777" w:rsidR="00FD2D68" w:rsidRPr="00C7216B" w:rsidRDefault="00FD2D68" w:rsidP="00FD2D68">
      <w:pPr>
        <w:pStyle w:val="Absatz"/>
        <w:spacing w:line="360" w:lineRule="auto"/>
        <w:rPr>
          <w:rFonts w:ascii="Arial" w:hAnsi="Arial" w:cs="Arial"/>
          <w:spacing w:val="-6"/>
          <w:sz w:val="24"/>
          <w:szCs w:val="24"/>
          <w:lang w:val="en-US" w:eastAsia="ru-RU"/>
        </w:rPr>
      </w:pPr>
      <w:r w:rsidRPr="00C7216B">
        <w:rPr>
          <w:rFonts w:ascii="Arial" w:hAnsi="Arial" w:cs="Arial"/>
          <w:spacing w:val="-6"/>
          <w:sz w:val="24"/>
          <w:szCs w:val="24"/>
          <w:lang w:val="en-US" w:eastAsia="ru-RU"/>
        </w:rPr>
        <w:t xml:space="preserve">The following new Article 25A (Entitlement to benefits) shall be added to the Convention immediately following Article 25: </w:t>
      </w:r>
    </w:p>
    <w:p w14:paraId="54722048" w14:textId="77777777" w:rsidR="00FD2D68" w:rsidRPr="00C7216B" w:rsidRDefault="00FD2D68" w:rsidP="00FD2D68">
      <w:pPr>
        <w:pStyle w:val="Heading9"/>
        <w:spacing w:line="360" w:lineRule="auto"/>
        <w:rPr>
          <w:rFonts w:ascii="Arial" w:hAnsi="Arial" w:cs="Arial"/>
          <w:sz w:val="24"/>
          <w:szCs w:val="24"/>
          <w:lang w:val="en-GB"/>
        </w:rPr>
      </w:pPr>
      <w:r w:rsidRPr="00C7216B">
        <w:rPr>
          <w:rFonts w:ascii="Arial" w:hAnsi="Arial" w:cs="Arial"/>
          <w:sz w:val="24"/>
          <w:szCs w:val="24"/>
          <w:lang w:val="en-GB"/>
        </w:rPr>
        <w:t xml:space="preserve">“Article 25A </w:t>
      </w:r>
      <w:r w:rsidRPr="00C7216B">
        <w:rPr>
          <w:rFonts w:ascii="Arial" w:hAnsi="Arial" w:cs="Arial"/>
          <w:sz w:val="24"/>
          <w:szCs w:val="24"/>
          <w:lang w:val="en-GB"/>
        </w:rPr>
        <w:tab/>
        <w:t>Entitlement to benefits</w:t>
      </w:r>
    </w:p>
    <w:p w14:paraId="394D4FD6" w14:textId="77777777" w:rsidR="00FD2D68" w:rsidRPr="00C7216B" w:rsidRDefault="00FD2D68" w:rsidP="00FD2D68">
      <w:pPr>
        <w:pStyle w:val="Absatz"/>
        <w:spacing w:line="360" w:lineRule="auto"/>
        <w:rPr>
          <w:rFonts w:ascii="Arial" w:hAnsi="Arial" w:cs="Arial"/>
          <w:spacing w:val="-6"/>
          <w:sz w:val="24"/>
          <w:szCs w:val="24"/>
          <w:lang w:val="en-US" w:eastAsia="ru-RU"/>
        </w:rPr>
      </w:pPr>
      <w:r w:rsidRPr="00C7216B">
        <w:rPr>
          <w:rFonts w:ascii="Arial" w:hAnsi="Arial" w:cs="Arial"/>
          <w:spacing w:val="-6"/>
          <w:sz w:val="24"/>
          <w:szCs w:val="24"/>
          <w:lang w:val="en-US" w:eastAsia="ru-RU"/>
        </w:rPr>
        <w:t>Notwithstanding the other provisions of this Convention, a benefit under this Convention shall not be granted in respect of an item of income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this Convention.”</w:t>
      </w:r>
    </w:p>
    <w:p w14:paraId="65FC8AE0" w14:textId="77777777" w:rsidR="00FD2D68" w:rsidRPr="00C7216B" w:rsidRDefault="00FD2D68" w:rsidP="00FD2D68">
      <w:pPr>
        <w:pStyle w:val="Heading9"/>
        <w:spacing w:line="360" w:lineRule="auto"/>
        <w:rPr>
          <w:rFonts w:ascii="Arial" w:hAnsi="Arial" w:cs="Arial"/>
          <w:b/>
          <w:sz w:val="24"/>
          <w:szCs w:val="24"/>
          <w:lang w:val="en-GB"/>
        </w:rPr>
      </w:pPr>
      <w:r w:rsidRPr="00C7216B">
        <w:rPr>
          <w:rFonts w:ascii="Arial" w:hAnsi="Arial" w:cs="Arial"/>
          <w:b/>
          <w:sz w:val="24"/>
          <w:szCs w:val="24"/>
          <w:lang w:val="en-GB"/>
        </w:rPr>
        <w:t>Article VIII</w:t>
      </w:r>
    </w:p>
    <w:p w14:paraId="24688DD1" w14:textId="77777777" w:rsidR="00FD2D68" w:rsidRPr="00C7216B" w:rsidRDefault="00FD2D68" w:rsidP="00FD2D68">
      <w:pPr>
        <w:pStyle w:val="Absatz"/>
        <w:spacing w:line="360" w:lineRule="auto"/>
        <w:rPr>
          <w:rFonts w:ascii="Arial" w:hAnsi="Arial" w:cs="Arial"/>
          <w:spacing w:val="-6"/>
          <w:sz w:val="24"/>
          <w:szCs w:val="24"/>
          <w:lang w:val="en-US" w:eastAsia="ru-RU"/>
        </w:rPr>
      </w:pPr>
      <w:r w:rsidRPr="00C7216B">
        <w:rPr>
          <w:rFonts w:ascii="Arial" w:hAnsi="Arial" w:cs="Arial"/>
          <w:spacing w:val="-6"/>
          <w:sz w:val="24"/>
          <w:szCs w:val="24"/>
          <w:lang w:val="en-US" w:eastAsia="ru-RU"/>
        </w:rPr>
        <w:t>1. The existing paragraph 4 of the Protocol to the Convention shall be renumbered as paragraph 5.</w:t>
      </w:r>
    </w:p>
    <w:p w14:paraId="5A15479E" w14:textId="77777777" w:rsidR="00FD2D68" w:rsidRPr="00C7216B" w:rsidRDefault="00FD2D68" w:rsidP="00FD2D68">
      <w:pPr>
        <w:pStyle w:val="Absatz"/>
        <w:spacing w:line="360" w:lineRule="auto"/>
        <w:rPr>
          <w:rFonts w:ascii="Arial" w:hAnsi="Arial" w:cs="Arial"/>
          <w:spacing w:val="-6"/>
          <w:sz w:val="24"/>
          <w:szCs w:val="24"/>
          <w:lang w:val="en-US" w:eastAsia="ru-RU"/>
        </w:rPr>
      </w:pPr>
      <w:r w:rsidRPr="00C7216B">
        <w:rPr>
          <w:rFonts w:ascii="Arial" w:hAnsi="Arial" w:cs="Arial"/>
          <w:spacing w:val="-6"/>
          <w:sz w:val="24"/>
          <w:szCs w:val="24"/>
          <w:lang w:val="en-US" w:eastAsia="ru-RU"/>
        </w:rPr>
        <w:t>2. The following new paragraph 4 shall be added to the Protocol to the Convention:</w:t>
      </w:r>
    </w:p>
    <w:p w14:paraId="7D69572E" w14:textId="77777777" w:rsidR="00FD2D68" w:rsidRPr="00C7216B" w:rsidRDefault="00FD2D68" w:rsidP="00FD2D68">
      <w:pPr>
        <w:pStyle w:val="Heading9"/>
        <w:spacing w:line="360" w:lineRule="auto"/>
        <w:rPr>
          <w:rFonts w:ascii="Arial" w:hAnsi="Arial" w:cs="Arial"/>
          <w:sz w:val="24"/>
          <w:szCs w:val="24"/>
          <w:lang w:val="en-GB"/>
        </w:rPr>
      </w:pPr>
      <w:r w:rsidRPr="00C7216B">
        <w:rPr>
          <w:rFonts w:ascii="Arial" w:hAnsi="Arial" w:cs="Arial"/>
          <w:sz w:val="24"/>
          <w:szCs w:val="24"/>
          <w:lang w:val="en-GB"/>
        </w:rPr>
        <w:lastRenderedPageBreak/>
        <w:t>“4. With reference to paragraph 5 of Article 23</w:t>
      </w:r>
    </w:p>
    <w:p w14:paraId="4D42774C" w14:textId="77777777" w:rsidR="00FD2D68" w:rsidRPr="00C7216B" w:rsidRDefault="00FD2D68" w:rsidP="00FD2D68">
      <w:pPr>
        <w:pStyle w:val="Absatz"/>
        <w:spacing w:line="360" w:lineRule="auto"/>
        <w:rPr>
          <w:rFonts w:ascii="Arial" w:hAnsi="Arial" w:cs="Arial"/>
          <w:spacing w:val="-6"/>
          <w:sz w:val="24"/>
          <w:szCs w:val="24"/>
          <w:lang w:val="en-US" w:eastAsia="ru-RU"/>
        </w:rPr>
      </w:pPr>
      <w:r w:rsidRPr="00C7216B">
        <w:rPr>
          <w:rFonts w:ascii="Arial" w:hAnsi="Arial" w:cs="Arial"/>
          <w:spacing w:val="-6"/>
          <w:sz w:val="24"/>
          <w:szCs w:val="24"/>
          <w:lang w:val="en-US" w:eastAsia="ru-RU"/>
        </w:rPr>
        <w:t>Notwithstanding paragraph 5 of Article 23 a case may not be submitted to arbitration if:</w:t>
      </w:r>
    </w:p>
    <w:p w14:paraId="09E7748E" w14:textId="77777777" w:rsidR="00FD2D68" w:rsidRPr="00C7216B" w:rsidRDefault="00FD2D68" w:rsidP="00FD2D68">
      <w:pPr>
        <w:pStyle w:val="Struktur1"/>
        <w:spacing w:line="360" w:lineRule="auto"/>
        <w:rPr>
          <w:rFonts w:ascii="Arial" w:hAnsi="Arial" w:cs="Arial"/>
          <w:sz w:val="24"/>
          <w:szCs w:val="24"/>
          <w:lang w:val="en-GB"/>
        </w:rPr>
      </w:pPr>
      <w:r w:rsidRPr="00C7216B">
        <w:rPr>
          <w:rFonts w:ascii="Arial" w:hAnsi="Arial" w:cs="Arial"/>
          <w:sz w:val="24"/>
          <w:szCs w:val="24"/>
          <w:lang w:val="en-US" w:eastAsia="ru-RU"/>
        </w:rPr>
        <w:t>(a) in the case of New Zealand:</w:t>
      </w:r>
    </w:p>
    <w:p w14:paraId="0F6F2C2D" w14:textId="77777777" w:rsidR="00FD2D68" w:rsidRPr="00C7216B" w:rsidRDefault="00FD2D68" w:rsidP="00FD2D68">
      <w:pPr>
        <w:pStyle w:val="Struktur2"/>
        <w:spacing w:line="360" w:lineRule="auto"/>
        <w:rPr>
          <w:rFonts w:ascii="Arial" w:hAnsi="Arial" w:cs="Arial"/>
          <w:sz w:val="24"/>
          <w:szCs w:val="24"/>
          <w:lang w:val="en-US" w:eastAsia="ru-RU"/>
        </w:rPr>
      </w:pPr>
      <w:r w:rsidRPr="00C7216B">
        <w:rPr>
          <w:rFonts w:ascii="Arial" w:hAnsi="Arial" w:cs="Arial"/>
          <w:sz w:val="24"/>
          <w:szCs w:val="24"/>
          <w:lang w:val="en-US" w:eastAsia="ru-RU"/>
        </w:rPr>
        <w:t>(i)  the case involves the application of New Zealand’s general anti-avoidance rule contained in section BG 1 of the Income Tax Act 2007, including any subsequent provisions replacing, amending or updating these anti-avoidance rules. New Zealand shall notify the Swiss Confederation through diplomatic channels of any such subsequent provisions;</w:t>
      </w:r>
    </w:p>
    <w:p w14:paraId="36FE83DA" w14:textId="77777777" w:rsidR="00FD2D68" w:rsidRPr="00C7216B" w:rsidRDefault="00FD2D68" w:rsidP="00FD2D68">
      <w:pPr>
        <w:pStyle w:val="Struktur2"/>
        <w:spacing w:line="360" w:lineRule="auto"/>
        <w:rPr>
          <w:rFonts w:ascii="Arial" w:hAnsi="Arial" w:cs="Arial"/>
          <w:sz w:val="24"/>
          <w:szCs w:val="24"/>
          <w:lang w:val="en-US" w:eastAsia="ru-RU"/>
        </w:rPr>
      </w:pPr>
      <w:r w:rsidRPr="00C7216B">
        <w:rPr>
          <w:rFonts w:ascii="Arial" w:hAnsi="Arial" w:cs="Arial"/>
          <w:sz w:val="24"/>
          <w:szCs w:val="24"/>
          <w:lang w:val="en-US" w:eastAsia="ru-RU"/>
        </w:rPr>
        <w:t>(ii) the case involves the application of New Zealand’s permanent establishment anti-avoidance rule contained in section GB 54 of the Income Tax Act 2007, including any subsequent provisions replacing, amending or updating these an</w:t>
      </w:r>
      <w:r>
        <w:rPr>
          <w:rFonts w:ascii="Arial" w:hAnsi="Arial" w:cs="Arial"/>
          <w:sz w:val="24"/>
          <w:szCs w:val="24"/>
          <w:lang w:val="en-US" w:eastAsia="ru-RU"/>
        </w:rPr>
        <w:t>ti-avoidance rules. New </w:t>
      </w:r>
      <w:r w:rsidRPr="00C7216B">
        <w:rPr>
          <w:rFonts w:ascii="Arial" w:hAnsi="Arial" w:cs="Arial"/>
          <w:sz w:val="24"/>
          <w:szCs w:val="24"/>
          <w:lang w:val="en-US" w:eastAsia="ru-RU"/>
        </w:rPr>
        <w:t>Zealand shall notify the Swiss Confederation through diplomatic channels of any such subsequent provisions; and</w:t>
      </w:r>
    </w:p>
    <w:p w14:paraId="5D15234D" w14:textId="77777777" w:rsidR="00FD2D68" w:rsidRPr="00C7216B" w:rsidRDefault="00FD2D68" w:rsidP="00FD2D68">
      <w:pPr>
        <w:pStyle w:val="Struktur1"/>
        <w:spacing w:line="360" w:lineRule="auto"/>
        <w:rPr>
          <w:rFonts w:ascii="Arial" w:hAnsi="Arial" w:cs="Arial"/>
          <w:sz w:val="24"/>
          <w:szCs w:val="24"/>
          <w:lang w:val="en-US" w:eastAsia="ru-RU"/>
        </w:rPr>
      </w:pPr>
      <w:r w:rsidRPr="00C7216B">
        <w:rPr>
          <w:rFonts w:ascii="Arial" w:hAnsi="Arial" w:cs="Arial"/>
          <w:sz w:val="24"/>
          <w:szCs w:val="24"/>
          <w:lang w:val="en-US" w:eastAsia="ru-RU"/>
        </w:rPr>
        <w:t>(b) in the case of Switzerland, the case involves the application of tax avoidance as defined under case law by the Swiss Federal Court.</w:t>
      </w:r>
    </w:p>
    <w:p w14:paraId="0EF82A66" w14:textId="77777777" w:rsidR="00FD2D68" w:rsidRPr="00C7216B" w:rsidRDefault="00FD2D68" w:rsidP="00FD2D68">
      <w:pPr>
        <w:pStyle w:val="Absatz"/>
        <w:spacing w:line="360" w:lineRule="auto"/>
        <w:rPr>
          <w:rFonts w:ascii="Arial" w:hAnsi="Arial" w:cs="Arial"/>
          <w:spacing w:val="-6"/>
          <w:sz w:val="24"/>
          <w:szCs w:val="24"/>
          <w:lang w:val="en-US" w:eastAsia="ru-RU"/>
        </w:rPr>
      </w:pPr>
      <w:r w:rsidRPr="00C7216B">
        <w:rPr>
          <w:rFonts w:ascii="Arial" w:hAnsi="Arial" w:cs="Arial"/>
          <w:spacing w:val="-6"/>
          <w:sz w:val="24"/>
          <w:szCs w:val="24"/>
          <w:lang w:val="en-US" w:eastAsia="ru-RU"/>
        </w:rPr>
        <w:t>It is further understood that the provisions of paragraph 5 of Article 23 shall not apply if:</w:t>
      </w:r>
    </w:p>
    <w:p w14:paraId="617F5455" w14:textId="77777777" w:rsidR="00FD2D68" w:rsidRPr="00C7216B" w:rsidRDefault="00FD2D68" w:rsidP="00FD2D68">
      <w:pPr>
        <w:pStyle w:val="Struktur1"/>
        <w:spacing w:line="360" w:lineRule="auto"/>
        <w:rPr>
          <w:rFonts w:ascii="Arial" w:hAnsi="Arial" w:cs="Arial"/>
          <w:sz w:val="24"/>
          <w:szCs w:val="24"/>
          <w:lang w:val="en-US" w:eastAsia="ru-RU"/>
        </w:rPr>
      </w:pPr>
      <w:r w:rsidRPr="00C7216B">
        <w:rPr>
          <w:rFonts w:ascii="Arial" w:hAnsi="Arial" w:cs="Arial"/>
          <w:sz w:val="24"/>
          <w:szCs w:val="24"/>
          <w:lang w:val="en-US" w:eastAsia="ru-RU"/>
        </w:rPr>
        <w:t>(a) the case concerns issues where Chapter VI D.4 (hard-to-value intangibles) of the OECD Transfer Pricing Guidelines for Multinational Enterprises and Tax Administrations (July 2017 or a later version of those Guidelines) is applied by a Contracting State in an adjustment according to paragraph 1 of Article 9:</w:t>
      </w:r>
    </w:p>
    <w:p w14:paraId="6CD33371" w14:textId="77777777" w:rsidR="00FD2D68" w:rsidRPr="00C7216B" w:rsidRDefault="00FD2D68" w:rsidP="00FD2D68">
      <w:pPr>
        <w:pStyle w:val="Struktur2"/>
        <w:spacing w:line="360" w:lineRule="auto"/>
        <w:rPr>
          <w:rFonts w:ascii="Arial" w:hAnsi="Arial" w:cs="Arial"/>
          <w:sz w:val="24"/>
          <w:szCs w:val="24"/>
          <w:lang w:val="en-US" w:eastAsia="ru-RU"/>
        </w:rPr>
      </w:pPr>
      <w:r w:rsidRPr="00C7216B">
        <w:rPr>
          <w:rFonts w:ascii="Arial" w:hAnsi="Arial" w:cs="Arial"/>
          <w:sz w:val="24"/>
          <w:szCs w:val="24"/>
          <w:lang w:val="en-US" w:eastAsia="ru-RU"/>
        </w:rPr>
        <w:t>(i) in a fiscal year that is not time barred but concerns profits that relate to a time barred fiscal year in that Contracting State; or</w:t>
      </w:r>
    </w:p>
    <w:p w14:paraId="7D696BD6" w14:textId="77777777" w:rsidR="00FD2D68" w:rsidRPr="00C7216B" w:rsidRDefault="00FD2D68" w:rsidP="00FD2D68">
      <w:pPr>
        <w:pStyle w:val="Struktur2"/>
        <w:spacing w:line="360" w:lineRule="auto"/>
        <w:rPr>
          <w:rFonts w:ascii="Arial" w:hAnsi="Arial" w:cs="Arial"/>
          <w:sz w:val="24"/>
          <w:szCs w:val="24"/>
          <w:lang w:val="en-US" w:eastAsia="ru-RU"/>
        </w:rPr>
      </w:pPr>
      <w:r w:rsidRPr="00C7216B">
        <w:rPr>
          <w:rFonts w:ascii="Arial" w:hAnsi="Arial" w:cs="Arial"/>
          <w:sz w:val="24"/>
          <w:szCs w:val="24"/>
          <w:lang w:val="en-US" w:eastAsia="ru-RU"/>
        </w:rPr>
        <w:t xml:space="preserve">(ii) through the application of domestic legislation which provides for a more extended period for adjustments specifically for hard-to-value </w:t>
      </w:r>
      <w:r w:rsidRPr="00C7216B">
        <w:rPr>
          <w:rFonts w:ascii="Arial" w:hAnsi="Arial" w:cs="Arial"/>
          <w:sz w:val="24"/>
          <w:szCs w:val="24"/>
          <w:lang w:val="en-US" w:eastAsia="ru-RU"/>
        </w:rPr>
        <w:lastRenderedPageBreak/>
        <w:t>intangibles than what applies under the regular statute of limitation for reassessments;</w:t>
      </w:r>
    </w:p>
    <w:p w14:paraId="505ADF43" w14:textId="77777777" w:rsidR="00FD2D68" w:rsidRDefault="00FD2D68" w:rsidP="00FD2D68">
      <w:pPr>
        <w:pStyle w:val="Struktur1"/>
        <w:spacing w:line="360" w:lineRule="auto"/>
        <w:rPr>
          <w:rFonts w:ascii="Arial" w:hAnsi="Arial" w:cs="Arial"/>
          <w:sz w:val="24"/>
          <w:szCs w:val="24"/>
          <w:lang w:val="en-US" w:eastAsia="ru-RU"/>
        </w:rPr>
      </w:pPr>
      <w:r w:rsidRPr="00C7216B">
        <w:rPr>
          <w:rFonts w:ascii="Arial" w:hAnsi="Arial" w:cs="Arial"/>
          <w:sz w:val="24"/>
          <w:szCs w:val="24"/>
          <w:lang w:val="en-US" w:eastAsia="ru-RU"/>
        </w:rPr>
        <w:t xml:space="preserve">(b) the case </w:t>
      </w:r>
      <w:proofErr w:type="gramStart"/>
      <w:r w:rsidRPr="00C7216B">
        <w:rPr>
          <w:rFonts w:ascii="Arial" w:hAnsi="Arial" w:cs="Arial"/>
          <w:sz w:val="24"/>
          <w:szCs w:val="24"/>
          <w:lang w:val="en-US" w:eastAsia="ru-RU"/>
        </w:rPr>
        <w:t>is connected with</w:t>
      </w:r>
      <w:proofErr w:type="gramEnd"/>
      <w:r w:rsidRPr="00C7216B">
        <w:rPr>
          <w:rFonts w:ascii="Arial" w:hAnsi="Arial" w:cs="Arial"/>
          <w:sz w:val="24"/>
          <w:szCs w:val="24"/>
          <w:lang w:val="en-US" w:eastAsia="ru-RU"/>
        </w:rPr>
        <w:t xml:space="preserve"> fraud, gross negligence or </w:t>
      </w:r>
      <w:proofErr w:type="spellStart"/>
      <w:r w:rsidRPr="00C7216B">
        <w:rPr>
          <w:rFonts w:ascii="Arial" w:hAnsi="Arial" w:cs="Arial"/>
          <w:sz w:val="24"/>
          <w:szCs w:val="24"/>
          <w:lang w:val="en-US" w:eastAsia="ru-RU"/>
        </w:rPr>
        <w:t>wilful</w:t>
      </w:r>
      <w:proofErr w:type="spellEnd"/>
      <w:r w:rsidRPr="00C7216B">
        <w:rPr>
          <w:rFonts w:ascii="Arial" w:hAnsi="Arial" w:cs="Arial"/>
          <w:sz w:val="24"/>
          <w:szCs w:val="24"/>
          <w:lang w:val="en-US" w:eastAsia="ru-RU"/>
        </w:rPr>
        <w:t xml:space="preserve"> default.”</w:t>
      </w:r>
    </w:p>
    <w:p w14:paraId="4933E42E" w14:textId="77777777" w:rsidR="00FD2D68" w:rsidRPr="00C7216B" w:rsidRDefault="00FD2D68" w:rsidP="00FD2D68">
      <w:pPr>
        <w:pStyle w:val="Struktur1"/>
        <w:spacing w:line="360" w:lineRule="auto"/>
        <w:rPr>
          <w:rFonts w:ascii="Arial" w:hAnsi="Arial" w:cs="Arial"/>
          <w:sz w:val="24"/>
          <w:szCs w:val="24"/>
          <w:lang w:val="en-US" w:eastAsia="ru-RU"/>
        </w:rPr>
      </w:pPr>
    </w:p>
    <w:p w14:paraId="66C5A68E" w14:textId="77777777" w:rsidR="00FD2D68" w:rsidRPr="00C7216B" w:rsidRDefault="00FD2D68" w:rsidP="00FD2D68">
      <w:pPr>
        <w:pStyle w:val="Heading9"/>
        <w:spacing w:line="360" w:lineRule="auto"/>
        <w:rPr>
          <w:rFonts w:ascii="Arial" w:hAnsi="Arial" w:cs="Arial"/>
          <w:b/>
          <w:sz w:val="24"/>
          <w:szCs w:val="24"/>
          <w:lang w:val="en-US"/>
        </w:rPr>
      </w:pPr>
      <w:r w:rsidRPr="00C7216B">
        <w:rPr>
          <w:rFonts w:ascii="Arial" w:hAnsi="Arial" w:cs="Arial"/>
          <w:b/>
          <w:sz w:val="24"/>
          <w:szCs w:val="24"/>
          <w:lang w:val="en-US"/>
        </w:rPr>
        <w:t>Article IX</w:t>
      </w:r>
    </w:p>
    <w:p w14:paraId="47937A5D" w14:textId="77777777" w:rsidR="00FD2D68" w:rsidRPr="00C7216B" w:rsidRDefault="00FD2D68" w:rsidP="00FD2D68">
      <w:pPr>
        <w:pStyle w:val="Absatz"/>
        <w:spacing w:line="360" w:lineRule="auto"/>
        <w:rPr>
          <w:rFonts w:ascii="Arial" w:hAnsi="Arial" w:cs="Arial"/>
          <w:spacing w:val="-6"/>
          <w:sz w:val="24"/>
          <w:szCs w:val="24"/>
          <w:lang w:val="en-US" w:eastAsia="ru-RU"/>
        </w:rPr>
      </w:pPr>
      <w:r w:rsidRPr="00C7216B">
        <w:rPr>
          <w:rFonts w:ascii="Arial" w:hAnsi="Arial" w:cs="Arial"/>
          <w:spacing w:val="-6"/>
          <w:sz w:val="24"/>
          <w:szCs w:val="24"/>
          <w:lang w:val="en-US" w:eastAsia="ru-RU"/>
        </w:rPr>
        <w:t>1. Each of the Contracting States shall notify the other via diplomatic channels of the completion of the procedures required by its law for the bringing into force of this Protocol.</w:t>
      </w:r>
    </w:p>
    <w:p w14:paraId="7FCA2762" w14:textId="77777777" w:rsidR="00FD2D68" w:rsidRPr="00C7216B" w:rsidRDefault="00FD2D68" w:rsidP="00FD2D68">
      <w:pPr>
        <w:pStyle w:val="Absatz"/>
        <w:spacing w:line="360" w:lineRule="auto"/>
        <w:rPr>
          <w:rFonts w:ascii="Arial" w:hAnsi="Arial" w:cs="Arial"/>
          <w:spacing w:val="-6"/>
          <w:sz w:val="24"/>
          <w:szCs w:val="24"/>
          <w:lang w:val="en-US" w:eastAsia="ru-RU"/>
        </w:rPr>
      </w:pPr>
      <w:r w:rsidRPr="00C7216B">
        <w:rPr>
          <w:rFonts w:ascii="Arial" w:hAnsi="Arial" w:cs="Arial"/>
          <w:spacing w:val="-6"/>
          <w:sz w:val="24"/>
          <w:szCs w:val="24"/>
          <w:lang w:val="en-US" w:eastAsia="ru-RU"/>
        </w:rPr>
        <w:t>2.  The Protocol shall enter into force on the date of the receipt of the later of these notifications and shall thereupon have effect:</w:t>
      </w:r>
    </w:p>
    <w:p w14:paraId="0955E67F" w14:textId="77777777" w:rsidR="00FD2D68" w:rsidRPr="00C7216B" w:rsidRDefault="00FD2D68" w:rsidP="00FD2D68">
      <w:pPr>
        <w:pStyle w:val="Struktur1"/>
        <w:spacing w:line="360" w:lineRule="auto"/>
        <w:rPr>
          <w:rFonts w:ascii="Arial" w:hAnsi="Arial" w:cs="Arial"/>
          <w:sz w:val="24"/>
          <w:szCs w:val="24"/>
          <w:lang w:val="en-US" w:eastAsia="ru-RU"/>
        </w:rPr>
      </w:pPr>
      <w:r w:rsidRPr="00C7216B">
        <w:rPr>
          <w:rFonts w:ascii="Arial" w:hAnsi="Arial" w:cs="Arial"/>
          <w:sz w:val="24"/>
          <w:szCs w:val="24"/>
          <w:lang w:val="en-US" w:eastAsia="ru-RU"/>
        </w:rPr>
        <w:t>(a) in the case of New Zealand:</w:t>
      </w:r>
    </w:p>
    <w:p w14:paraId="3F784E69" w14:textId="77777777" w:rsidR="00FD2D68" w:rsidRPr="00C7216B" w:rsidRDefault="00FD2D68" w:rsidP="00FD2D68">
      <w:pPr>
        <w:pStyle w:val="Struktur2"/>
        <w:spacing w:line="360" w:lineRule="auto"/>
        <w:rPr>
          <w:rFonts w:ascii="Arial" w:hAnsi="Arial" w:cs="Arial"/>
          <w:sz w:val="24"/>
          <w:szCs w:val="24"/>
          <w:lang w:val="en-US" w:eastAsia="ru-RU"/>
        </w:rPr>
      </w:pPr>
      <w:r w:rsidRPr="00C7216B">
        <w:rPr>
          <w:rFonts w:ascii="Arial" w:hAnsi="Arial" w:cs="Arial"/>
          <w:sz w:val="24"/>
          <w:szCs w:val="24"/>
          <w:lang w:val="en-US" w:eastAsia="ru-RU"/>
        </w:rPr>
        <w:t>(i) in respect of withholding tax on income, profits or gains derived by a non-resident, for amounts paid or credited on or after the first day of January following the calendar year in which the Protocol enters into force;</w:t>
      </w:r>
    </w:p>
    <w:p w14:paraId="0564D56F" w14:textId="77777777" w:rsidR="00FD2D68" w:rsidRPr="00C7216B" w:rsidRDefault="00FD2D68" w:rsidP="00FD2D68">
      <w:pPr>
        <w:pStyle w:val="Struktur2"/>
        <w:spacing w:line="360" w:lineRule="auto"/>
        <w:rPr>
          <w:rFonts w:ascii="Arial" w:hAnsi="Arial" w:cs="Arial"/>
          <w:sz w:val="24"/>
          <w:szCs w:val="24"/>
          <w:lang w:val="en-US" w:eastAsia="ru-RU"/>
        </w:rPr>
      </w:pPr>
      <w:r w:rsidRPr="00C7216B">
        <w:rPr>
          <w:rFonts w:ascii="Arial" w:hAnsi="Arial" w:cs="Arial"/>
          <w:sz w:val="24"/>
          <w:szCs w:val="24"/>
          <w:lang w:val="en-US" w:eastAsia="ru-RU"/>
        </w:rPr>
        <w:t>(ii) in respect of other taxes, for any taxation year beginning on or after 1 April next following the date on which the Protocol enters into force; and</w:t>
      </w:r>
    </w:p>
    <w:p w14:paraId="085CBB26" w14:textId="77777777" w:rsidR="00FD2D68" w:rsidRPr="00C7216B" w:rsidRDefault="00FD2D68" w:rsidP="00FD2D68">
      <w:pPr>
        <w:pStyle w:val="Struktur1"/>
        <w:spacing w:line="360" w:lineRule="auto"/>
        <w:rPr>
          <w:rFonts w:ascii="Arial" w:hAnsi="Arial" w:cs="Arial"/>
          <w:sz w:val="24"/>
          <w:szCs w:val="24"/>
          <w:lang w:val="en-US" w:eastAsia="ru-RU"/>
        </w:rPr>
      </w:pPr>
      <w:r w:rsidRPr="00C7216B">
        <w:rPr>
          <w:rFonts w:ascii="Arial" w:hAnsi="Arial" w:cs="Arial"/>
          <w:sz w:val="24"/>
          <w:szCs w:val="24"/>
          <w:lang w:val="en-US" w:eastAsia="ru-RU"/>
        </w:rPr>
        <w:t>(b) in the case of Switzerland:</w:t>
      </w:r>
    </w:p>
    <w:p w14:paraId="688460A4" w14:textId="77777777" w:rsidR="00FD2D68" w:rsidRPr="00C7216B" w:rsidRDefault="00FD2D68" w:rsidP="00FD2D68">
      <w:pPr>
        <w:pStyle w:val="Struktur2"/>
        <w:spacing w:line="360" w:lineRule="auto"/>
        <w:rPr>
          <w:rFonts w:ascii="Arial" w:hAnsi="Arial" w:cs="Arial"/>
          <w:sz w:val="24"/>
          <w:szCs w:val="24"/>
          <w:lang w:val="en-US" w:eastAsia="ru-RU"/>
        </w:rPr>
      </w:pPr>
      <w:r w:rsidRPr="00C7216B">
        <w:rPr>
          <w:rFonts w:ascii="Arial" w:hAnsi="Arial" w:cs="Arial"/>
          <w:sz w:val="24"/>
          <w:szCs w:val="24"/>
          <w:lang w:val="en-US" w:eastAsia="ru-RU"/>
        </w:rPr>
        <w:t>(i) in respect of taxes withheld at source, for amounts paid or credited on or after the first day of January of the year next following the date on which the Protocol enters into force;</w:t>
      </w:r>
    </w:p>
    <w:p w14:paraId="397C6A7D" w14:textId="77777777" w:rsidR="00FD2D68" w:rsidRPr="00C7216B" w:rsidRDefault="00FD2D68" w:rsidP="00FD2D68">
      <w:pPr>
        <w:pStyle w:val="Struktur2"/>
        <w:spacing w:line="360" w:lineRule="auto"/>
        <w:rPr>
          <w:rFonts w:ascii="Arial" w:hAnsi="Arial" w:cs="Arial"/>
          <w:sz w:val="24"/>
          <w:szCs w:val="24"/>
          <w:lang w:val="en-US" w:eastAsia="ru-RU"/>
        </w:rPr>
      </w:pPr>
      <w:r w:rsidRPr="00C7216B">
        <w:rPr>
          <w:rFonts w:ascii="Arial" w:hAnsi="Arial" w:cs="Arial"/>
          <w:sz w:val="24"/>
          <w:szCs w:val="24"/>
          <w:lang w:val="en-US" w:eastAsia="ru-RU"/>
        </w:rPr>
        <w:t>(ii) in respect of other taxes, for taxation years beginning on or after the first day of January of the year next following the date on which the Protocol enters into force.</w:t>
      </w:r>
    </w:p>
    <w:p w14:paraId="750E215D" w14:textId="77777777" w:rsidR="00FD2D68" w:rsidRPr="00C7216B" w:rsidRDefault="00FD2D68" w:rsidP="00FD2D68">
      <w:pPr>
        <w:pStyle w:val="Absatz"/>
        <w:spacing w:line="360" w:lineRule="auto"/>
        <w:rPr>
          <w:rFonts w:ascii="Arial" w:hAnsi="Arial" w:cs="Arial"/>
          <w:spacing w:val="-6"/>
          <w:sz w:val="24"/>
          <w:szCs w:val="24"/>
          <w:lang w:val="en-US" w:eastAsia="ru-RU"/>
        </w:rPr>
      </w:pPr>
      <w:r w:rsidRPr="00C7216B">
        <w:rPr>
          <w:rFonts w:ascii="Arial" w:hAnsi="Arial" w:cs="Arial"/>
          <w:spacing w:val="-6"/>
          <w:sz w:val="24"/>
          <w:szCs w:val="24"/>
          <w:lang w:val="en-US" w:eastAsia="ru-RU"/>
        </w:rPr>
        <w:t xml:space="preserve">3. Notwithstanding the provisions of subparagraphs (a) and (b) of paragraph 2, the amendments made by Articles II, III, V, VI and VIII of this Protocol shall have effect from the date of entry into force of this Protocol, without regard to the taxable period to which the matter relates. However, for cases that are under </w:t>
      </w:r>
      <w:r w:rsidRPr="00C7216B">
        <w:rPr>
          <w:rFonts w:ascii="Arial" w:hAnsi="Arial" w:cs="Arial"/>
          <w:spacing w:val="-6"/>
          <w:sz w:val="24"/>
          <w:szCs w:val="24"/>
          <w:lang w:val="en-US" w:eastAsia="ru-RU"/>
        </w:rPr>
        <w:lastRenderedPageBreak/>
        <w:t>consideration under paragraph 2 of Article 23 of the Convention at the date of entry into force of this Protocol, the start date of the 3-year period referred to in paragraph 5 of Article 23 of the Convention shall be the later of the date of entry into force of this Protocol and the date otherwise provided for under paragraph 5 of Article 23 of the Convention.</w:t>
      </w:r>
    </w:p>
    <w:p w14:paraId="3A22D277" w14:textId="77777777" w:rsidR="00FD2D68" w:rsidRDefault="00FD2D68" w:rsidP="00FD2D68">
      <w:pPr>
        <w:pStyle w:val="Unterschriften"/>
        <w:rPr>
          <w:lang w:val="en-US" w:eastAsia="ru-RU"/>
        </w:rPr>
      </w:pPr>
    </w:p>
    <w:p w14:paraId="64F0E570" w14:textId="77777777" w:rsidR="00FD2D68" w:rsidRDefault="00FD2D68" w:rsidP="00FD2D68">
      <w:pPr>
        <w:pStyle w:val="Unterschriften"/>
        <w:rPr>
          <w:lang w:val="en-US" w:eastAsia="ru-RU"/>
        </w:rPr>
      </w:pPr>
    </w:p>
    <w:p w14:paraId="089EDB19" w14:textId="77777777" w:rsidR="00FD2D68" w:rsidRDefault="00FD2D68" w:rsidP="00FD2D68">
      <w:pPr>
        <w:pStyle w:val="Unterschriften"/>
        <w:rPr>
          <w:lang w:val="en-US" w:eastAsia="ru-RU"/>
        </w:rPr>
      </w:pPr>
    </w:p>
    <w:p w14:paraId="514806A7" w14:textId="77777777" w:rsidR="00FD2D68" w:rsidRDefault="00FD2D68" w:rsidP="00FD2D68">
      <w:pPr>
        <w:pStyle w:val="Unterschriften"/>
        <w:rPr>
          <w:lang w:val="en-US" w:eastAsia="ru-RU"/>
        </w:rPr>
      </w:pPr>
    </w:p>
    <w:p w14:paraId="533413D3" w14:textId="77777777" w:rsidR="00FD2D68" w:rsidRDefault="00FD2D68" w:rsidP="00FD2D68">
      <w:pPr>
        <w:pStyle w:val="Unterschriften"/>
        <w:rPr>
          <w:lang w:val="en-US" w:eastAsia="ru-RU"/>
        </w:rPr>
      </w:pPr>
    </w:p>
    <w:p w14:paraId="0FE979B8" w14:textId="77777777" w:rsidR="00FD2D68" w:rsidRDefault="00FD2D68" w:rsidP="00FD2D68">
      <w:pPr>
        <w:pStyle w:val="Unterschriften"/>
        <w:rPr>
          <w:lang w:val="en-US" w:eastAsia="ru-RU"/>
        </w:rPr>
      </w:pPr>
    </w:p>
    <w:p w14:paraId="0AEF492F" w14:textId="77777777" w:rsidR="00FD2D68" w:rsidRDefault="00FD2D68" w:rsidP="00FD2D68">
      <w:pPr>
        <w:pStyle w:val="Unterschriften"/>
        <w:rPr>
          <w:lang w:val="en-US" w:eastAsia="ru-RU"/>
        </w:rPr>
      </w:pPr>
    </w:p>
    <w:p w14:paraId="18D7528A" w14:textId="77777777" w:rsidR="00FD2D68" w:rsidRDefault="00FD2D68" w:rsidP="00FD2D68">
      <w:pPr>
        <w:pStyle w:val="Unterschriften"/>
        <w:rPr>
          <w:lang w:val="en-US" w:eastAsia="ru-RU"/>
        </w:rPr>
      </w:pPr>
    </w:p>
    <w:p w14:paraId="17863008" w14:textId="77777777" w:rsidR="00FD2D68" w:rsidRDefault="00FD2D68" w:rsidP="00FD2D68">
      <w:pPr>
        <w:pStyle w:val="Unterschriften"/>
        <w:rPr>
          <w:lang w:val="en-US" w:eastAsia="ru-RU"/>
        </w:rPr>
      </w:pPr>
    </w:p>
    <w:p w14:paraId="1C324FE9" w14:textId="77777777" w:rsidR="00FD2D68" w:rsidRDefault="00FD2D68" w:rsidP="00FD2D68">
      <w:pPr>
        <w:pStyle w:val="Absatz"/>
        <w:spacing w:line="360" w:lineRule="auto"/>
        <w:rPr>
          <w:rFonts w:ascii="Arial" w:hAnsi="Arial" w:cs="Arial"/>
          <w:sz w:val="24"/>
          <w:szCs w:val="24"/>
          <w:lang w:val="en-US"/>
        </w:rPr>
        <w:sectPr w:rsidR="00FD2D68" w:rsidSect="00D6115B">
          <w:footerReference w:type="even" r:id="rId7"/>
          <w:footerReference w:type="default" r:id="rId8"/>
          <w:footerReference w:type="first" r:id="rId9"/>
          <w:pgSz w:w="11907" w:h="16839" w:code="9"/>
          <w:pgMar w:top="1985" w:right="1985" w:bottom="1985" w:left="1985" w:header="680" w:footer="567" w:gutter="0"/>
          <w:pgNumType w:start="1"/>
          <w:cols w:space="720"/>
          <w:titlePg/>
          <w:docGrid w:linePitch="245"/>
        </w:sectPr>
      </w:pPr>
    </w:p>
    <w:p w14:paraId="72001FEB" w14:textId="77777777" w:rsidR="00BC0B88" w:rsidRPr="00EB325B" w:rsidRDefault="00BC0B88" w:rsidP="00BC6414">
      <w:pPr>
        <w:pStyle w:val="Schlussint"/>
        <w:spacing w:line="360" w:lineRule="auto"/>
        <w:rPr>
          <w:sz w:val="24"/>
          <w:szCs w:val="24"/>
          <w:lang w:eastAsia="ru-RU"/>
        </w:rPr>
      </w:pPr>
    </w:p>
    <w:sectPr w:rsidR="00BC0B88" w:rsidRPr="00EB325B" w:rsidSect="005F330C">
      <w:headerReference w:type="default" r:id="rId10"/>
      <w:footerReference w:type="default" r:id="rId11"/>
      <w:headerReference w:type="first" r:id="rId12"/>
      <w:pgSz w:w="11906" w:h="16838"/>
      <w:pgMar w:top="1985" w:right="1985" w:bottom="1985"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3041B" w14:textId="77777777" w:rsidR="00A24954" w:rsidRDefault="00A24954" w:rsidP="00BE2A80">
      <w:pPr>
        <w:spacing w:after="0" w:line="240" w:lineRule="auto"/>
      </w:pPr>
      <w:r>
        <w:separator/>
      </w:r>
    </w:p>
  </w:endnote>
  <w:endnote w:type="continuationSeparator" w:id="0">
    <w:p w14:paraId="289DC9B6" w14:textId="77777777" w:rsidR="00A24954" w:rsidRDefault="00A24954" w:rsidP="00BE2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4B06A" w14:textId="77777777" w:rsidR="00FD2D68" w:rsidRPr="00DD49E6" w:rsidRDefault="00FD2D68" w:rsidP="00DD49E6">
    <w:pPr>
      <w:pStyle w:val="Footer"/>
      <w:jc w:val="center"/>
      <w:rPr>
        <w:rFonts w:ascii="Arial" w:hAnsi="Arial" w:cs="Arial"/>
        <w:sz w:val="24"/>
        <w:szCs w:val="24"/>
      </w:rPr>
    </w:pPr>
    <w:r w:rsidRPr="00DD49E6">
      <w:rPr>
        <w:rFonts w:ascii="Arial" w:hAnsi="Arial" w:cs="Arial"/>
        <w:sz w:val="24"/>
        <w:szCs w:val="24"/>
      </w:rPr>
      <w:fldChar w:fldCharType="begin"/>
    </w:r>
    <w:r w:rsidRPr="00DD49E6">
      <w:rPr>
        <w:rFonts w:ascii="Arial" w:hAnsi="Arial" w:cs="Arial"/>
        <w:sz w:val="24"/>
        <w:szCs w:val="24"/>
      </w:rPr>
      <w:instrText>PAGE   \* MERGEFORMAT</w:instrText>
    </w:r>
    <w:r w:rsidRPr="00DD49E6">
      <w:rPr>
        <w:rFonts w:ascii="Arial" w:hAnsi="Arial" w:cs="Arial"/>
        <w:sz w:val="24"/>
        <w:szCs w:val="24"/>
      </w:rPr>
      <w:fldChar w:fldCharType="separate"/>
    </w:r>
    <w:r w:rsidRPr="00FA036C">
      <w:rPr>
        <w:rFonts w:ascii="Arial" w:hAnsi="Arial" w:cs="Arial"/>
        <w:noProof/>
        <w:sz w:val="24"/>
        <w:szCs w:val="24"/>
        <w:lang w:val="de-DE"/>
      </w:rPr>
      <w:t>2</w:t>
    </w:r>
    <w:r w:rsidRPr="00DD49E6">
      <w:rPr>
        <w:rFonts w:ascii="Arial" w:hAnsi="Arial" w:cs="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AB480" w14:textId="77777777" w:rsidR="00FD2D68" w:rsidRPr="00DD49E6" w:rsidRDefault="00FD2D68" w:rsidP="00DD49E6">
    <w:pPr>
      <w:pStyle w:val="Footer"/>
      <w:jc w:val="center"/>
      <w:rPr>
        <w:rFonts w:ascii="Arial" w:hAnsi="Arial" w:cs="Arial"/>
        <w:sz w:val="24"/>
        <w:szCs w:val="24"/>
      </w:rPr>
    </w:pPr>
    <w:r w:rsidRPr="00DD49E6">
      <w:rPr>
        <w:rFonts w:ascii="Arial" w:hAnsi="Arial" w:cs="Arial"/>
        <w:sz w:val="24"/>
        <w:szCs w:val="24"/>
      </w:rPr>
      <w:fldChar w:fldCharType="begin"/>
    </w:r>
    <w:r w:rsidRPr="00DD49E6">
      <w:rPr>
        <w:rFonts w:ascii="Arial" w:hAnsi="Arial" w:cs="Arial"/>
        <w:sz w:val="24"/>
        <w:szCs w:val="24"/>
      </w:rPr>
      <w:instrText>PAGE</w:instrText>
    </w:r>
    <w:r w:rsidRPr="00DD49E6">
      <w:rPr>
        <w:rFonts w:ascii="Arial" w:hAnsi="Arial" w:cs="Arial"/>
        <w:sz w:val="24"/>
        <w:szCs w:val="24"/>
      </w:rPr>
      <w:fldChar w:fldCharType="separate"/>
    </w:r>
    <w:r w:rsidR="00347FDF">
      <w:rPr>
        <w:rFonts w:ascii="Arial" w:hAnsi="Arial" w:cs="Arial"/>
        <w:noProof/>
        <w:sz w:val="24"/>
        <w:szCs w:val="24"/>
      </w:rPr>
      <w:t>7</w:t>
    </w:r>
    <w:r w:rsidRPr="00DD49E6">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7A54E" w14:textId="77777777" w:rsidR="00FD2D68" w:rsidRDefault="00FD2D68">
    <w:pPr>
      <w:pStyle w:val="Footer"/>
      <w:tabs>
        <w:tab w:val="right" w:pos="6123"/>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rPr>
      <w:id w:val="-36207130"/>
      <w:docPartObj>
        <w:docPartGallery w:val="Page Numbers (Bottom of Page)"/>
        <w:docPartUnique/>
      </w:docPartObj>
    </w:sdtPr>
    <w:sdtEndPr>
      <w:rPr>
        <w:noProof/>
      </w:rPr>
    </w:sdtEndPr>
    <w:sdtContent>
      <w:p w14:paraId="37C18118" w14:textId="4321B366" w:rsidR="002064E3" w:rsidRPr="002064E3" w:rsidRDefault="002064E3">
        <w:pPr>
          <w:pStyle w:val="Footer"/>
          <w:jc w:val="center"/>
          <w:rPr>
            <w:rFonts w:ascii="Arial" w:hAnsi="Arial" w:cs="Arial"/>
            <w:sz w:val="24"/>
          </w:rPr>
        </w:pPr>
        <w:r w:rsidRPr="002064E3">
          <w:rPr>
            <w:rFonts w:ascii="Arial" w:hAnsi="Arial" w:cs="Arial"/>
            <w:sz w:val="24"/>
          </w:rPr>
          <w:fldChar w:fldCharType="begin"/>
        </w:r>
        <w:r w:rsidRPr="002064E3">
          <w:rPr>
            <w:rFonts w:ascii="Arial" w:hAnsi="Arial" w:cs="Arial"/>
            <w:sz w:val="24"/>
          </w:rPr>
          <w:instrText xml:space="preserve"> PAGE   \* MERGEFORMAT </w:instrText>
        </w:r>
        <w:r w:rsidRPr="002064E3">
          <w:rPr>
            <w:rFonts w:ascii="Arial" w:hAnsi="Arial" w:cs="Arial"/>
            <w:sz w:val="24"/>
          </w:rPr>
          <w:fldChar w:fldCharType="separate"/>
        </w:r>
        <w:r w:rsidR="00FD2D68">
          <w:rPr>
            <w:rFonts w:ascii="Arial" w:hAnsi="Arial" w:cs="Arial"/>
            <w:noProof/>
            <w:sz w:val="24"/>
          </w:rPr>
          <w:t>2</w:t>
        </w:r>
        <w:r w:rsidRPr="002064E3">
          <w:rPr>
            <w:rFonts w:ascii="Arial" w:hAnsi="Arial" w:cs="Arial"/>
            <w:noProof/>
            <w:sz w:val="24"/>
          </w:rPr>
          <w:fldChar w:fldCharType="end"/>
        </w:r>
      </w:p>
    </w:sdtContent>
  </w:sdt>
  <w:p w14:paraId="0C645C12" w14:textId="77777777" w:rsidR="002064E3" w:rsidRDefault="00206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5F899" w14:textId="77777777" w:rsidR="00A24954" w:rsidRDefault="00A24954" w:rsidP="00BE2A80">
      <w:pPr>
        <w:spacing w:after="0" w:line="240" w:lineRule="auto"/>
      </w:pPr>
      <w:r>
        <w:separator/>
      </w:r>
    </w:p>
  </w:footnote>
  <w:footnote w:type="continuationSeparator" w:id="0">
    <w:p w14:paraId="3485283B" w14:textId="77777777" w:rsidR="00A24954" w:rsidRDefault="00A24954" w:rsidP="00BE2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D9E4D" w14:textId="6207F140" w:rsidR="00B5527B" w:rsidRPr="009446A4" w:rsidRDefault="00B5527B">
    <w:pPr>
      <w:pStyle w:val="Header"/>
      <w:rPr>
        <w:rFonts w:ascii="Times New Roman" w:hAnsi="Times New Roman" w:cs="Times New Roman"/>
      </w:rPr>
    </w:pPr>
    <w:r>
      <w:tab/>
    </w:r>
    <w:r>
      <w:tab/>
    </w:r>
  </w:p>
  <w:p w14:paraId="47A6EF7A" w14:textId="77777777" w:rsidR="00B5527B" w:rsidRDefault="00B55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EE791" w14:textId="6639BCDD" w:rsidR="004F701F" w:rsidRPr="004F701F" w:rsidRDefault="004F701F">
    <w:pPr>
      <w:pStyle w:val="Header"/>
      <w:rPr>
        <w:rFonts w:ascii="Times New Roman" w:hAnsi="Times New Roman" w:cs="Times New Roman"/>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8149A"/>
    <w:multiLevelType w:val="hybridMultilevel"/>
    <w:tmpl w:val="0EB4647C"/>
    <w:lvl w:ilvl="0" w:tplc="7BAA9B16">
      <w:start w:val="1"/>
      <w:numFmt w:val="lowerLetter"/>
      <w:lvlText w:val="(%1)"/>
      <w:lvlJc w:val="left"/>
      <w:pPr>
        <w:ind w:left="1440" w:hanging="72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 w15:restartNumberingAfterBreak="0">
    <w:nsid w:val="10E2635F"/>
    <w:multiLevelType w:val="hybridMultilevel"/>
    <w:tmpl w:val="C248E1AE"/>
    <w:lvl w:ilvl="0" w:tplc="0286388A">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9A62F68"/>
    <w:multiLevelType w:val="hybridMultilevel"/>
    <w:tmpl w:val="E0E6843E"/>
    <w:lvl w:ilvl="0" w:tplc="8E40D60A">
      <w:start w:val="1"/>
      <w:numFmt w:val="lowerLetter"/>
      <w:lvlText w:val="(%1)"/>
      <w:lvlJc w:val="left"/>
      <w:pPr>
        <w:ind w:left="1080" w:hanging="360"/>
      </w:pPr>
      <w:rPr>
        <w:rFonts w:hint="default"/>
      </w:rPr>
    </w:lvl>
    <w:lvl w:ilvl="1" w:tplc="08070019">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 w15:restartNumberingAfterBreak="0">
    <w:nsid w:val="2F726E06"/>
    <w:multiLevelType w:val="hybridMultilevel"/>
    <w:tmpl w:val="78388B10"/>
    <w:lvl w:ilvl="0" w:tplc="957E835A">
      <w:start w:val="9"/>
      <w:numFmt w:val="lowerLetter"/>
      <w:lvlText w:val="(%1)"/>
      <w:lvlJc w:val="left"/>
      <w:pPr>
        <w:ind w:left="1800" w:hanging="360"/>
      </w:pPr>
      <w:rPr>
        <w:rFonts w:hint="default"/>
      </w:rPr>
    </w:lvl>
    <w:lvl w:ilvl="1" w:tplc="08070019" w:tentative="1">
      <w:start w:val="1"/>
      <w:numFmt w:val="lowerLetter"/>
      <w:lvlText w:val="%2."/>
      <w:lvlJc w:val="left"/>
      <w:pPr>
        <w:ind w:left="2520" w:hanging="360"/>
      </w:pPr>
    </w:lvl>
    <w:lvl w:ilvl="2" w:tplc="0807001B" w:tentative="1">
      <w:start w:val="1"/>
      <w:numFmt w:val="lowerRoman"/>
      <w:lvlText w:val="%3."/>
      <w:lvlJc w:val="right"/>
      <w:pPr>
        <w:ind w:left="3240" w:hanging="180"/>
      </w:pPr>
    </w:lvl>
    <w:lvl w:ilvl="3" w:tplc="0807000F" w:tentative="1">
      <w:start w:val="1"/>
      <w:numFmt w:val="decimal"/>
      <w:lvlText w:val="%4."/>
      <w:lvlJc w:val="left"/>
      <w:pPr>
        <w:ind w:left="3960" w:hanging="360"/>
      </w:pPr>
    </w:lvl>
    <w:lvl w:ilvl="4" w:tplc="08070019" w:tentative="1">
      <w:start w:val="1"/>
      <w:numFmt w:val="lowerLetter"/>
      <w:lvlText w:val="%5."/>
      <w:lvlJc w:val="left"/>
      <w:pPr>
        <w:ind w:left="4680" w:hanging="360"/>
      </w:pPr>
    </w:lvl>
    <w:lvl w:ilvl="5" w:tplc="0807001B" w:tentative="1">
      <w:start w:val="1"/>
      <w:numFmt w:val="lowerRoman"/>
      <w:lvlText w:val="%6."/>
      <w:lvlJc w:val="right"/>
      <w:pPr>
        <w:ind w:left="5400" w:hanging="180"/>
      </w:pPr>
    </w:lvl>
    <w:lvl w:ilvl="6" w:tplc="0807000F" w:tentative="1">
      <w:start w:val="1"/>
      <w:numFmt w:val="decimal"/>
      <w:lvlText w:val="%7."/>
      <w:lvlJc w:val="left"/>
      <w:pPr>
        <w:ind w:left="6120" w:hanging="360"/>
      </w:pPr>
    </w:lvl>
    <w:lvl w:ilvl="7" w:tplc="08070019" w:tentative="1">
      <w:start w:val="1"/>
      <w:numFmt w:val="lowerLetter"/>
      <w:lvlText w:val="%8."/>
      <w:lvlJc w:val="left"/>
      <w:pPr>
        <w:ind w:left="6840" w:hanging="360"/>
      </w:pPr>
    </w:lvl>
    <w:lvl w:ilvl="8" w:tplc="0807001B" w:tentative="1">
      <w:start w:val="1"/>
      <w:numFmt w:val="lowerRoman"/>
      <w:lvlText w:val="%9."/>
      <w:lvlJc w:val="right"/>
      <w:pPr>
        <w:ind w:left="7560" w:hanging="180"/>
      </w:pPr>
    </w:lvl>
  </w:abstractNum>
  <w:abstractNum w:abstractNumId="4" w15:restartNumberingAfterBreak="0">
    <w:nsid w:val="39925D9E"/>
    <w:multiLevelType w:val="hybridMultilevel"/>
    <w:tmpl w:val="88E8C802"/>
    <w:lvl w:ilvl="0" w:tplc="B6BA7290">
      <w:start w:val="1"/>
      <w:numFmt w:val="lowerRoman"/>
      <w:lvlText w:val="(%1)"/>
      <w:lvlJc w:val="left"/>
      <w:pPr>
        <w:ind w:left="2136" w:hanging="720"/>
      </w:pPr>
      <w:rPr>
        <w:rFonts w:hint="default"/>
      </w:rPr>
    </w:lvl>
    <w:lvl w:ilvl="1" w:tplc="08070019" w:tentative="1">
      <w:start w:val="1"/>
      <w:numFmt w:val="lowerLetter"/>
      <w:lvlText w:val="%2."/>
      <w:lvlJc w:val="left"/>
      <w:pPr>
        <w:ind w:left="2496" w:hanging="360"/>
      </w:pPr>
    </w:lvl>
    <w:lvl w:ilvl="2" w:tplc="0807001B" w:tentative="1">
      <w:start w:val="1"/>
      <w:numFmt w:val="lowerRoman"/>
      <w:lvlText w:val="%3."/>
      <w:lvlJc w:val="right"/>
      <w:pPr>
        <w:ind w:left="3216" w:hanging="180"/>
      </w:pPr>
    </w:lvl>
    <w:lvl w:ilvl="3" w:tplc="0807000F" w:tentative="1">
      <w:start w:val="1"/>
      <w:numFmt w:val="decimal"/>
      <w:lvlText w:val="%4."/>
      <w:lvlJc w:val="left"/>
      <w:pPr>
        <w:ind w:left="3936" w:hanging="360"/>
      </w:pPr>
    </w:lvl>
    <w:lvl w:ilvl="4" w:tplc="08070019" w:tentative="1">
      <w:start w:val="1"/>
      <w:numFmt w:val="lowerLetter"/>
      <w:lvlText w:val="%5."/>
      <w:lvlJc w:val="left"/>
      <w:pPr>
        <w:ind w:left="4656" w:hanging="360"/>
      </w:pPr>
    </w:lvl>
    <w:lvl w:ilvl="5" w:tplc="0807001B" w:tentative="1">
      <w:start w:val="1"/>
      <w:numFmt w:val="lowerRoman"/>
      <w:lvlText w:val="%6."/>
      <w:lvlJc w:val="right"/>
      <w:pPr>
        <w:ind w:left="5376" w:hanging="180"/>
      </w:pPr>
    </w:lvl>
    <w:lvl w:ilvl="6" w:tplc="0807000F" w:tentative="1">
      <w:start w:val="1"/>
      <w:numFmt w:val="decimal"/>
      <w:lvlText w:val="%7."/>
      <w:lvlJc w:val="left"/>
      <w:pPr>
        <w:ind w:left="6096" w:hanging="360"/>
      </w:pPr>
    </w:lvl>
    <w:lvl w:ilvl="7" w:tplc="08070019" w:tentative="1">
      <w:start w:val="1"/>
      <w:numFmt w:val="lowerLetter"/>
      <w:lvlText w:val="%8."/>
      <w:lvlJc w:val="left"/>
      <w:pPr>
        <w:ind w:left="6816" w:hanging="360"/>
      </w:pPr>
    </w:lvl>
    <w:lvl w:ilvl="8" w:tplc="0807001B" w:tentative="1">
      <w:start w:val="1"/>
      <w:numFmt w:val="lowerRoman"/>
      <w:lvlText w:val="%9."/>
      <w:lvlJc w:val="right"/>
      <w:pPr>
        <w:ind w:left="7536" w:hanging="180"/>
      </w:pPr>
    </w:lvl>
  </w:abstractNum>
  <w:abstractNum w:abstractNumId="5" w15:restartNumberingAfterBreak="0">
    <w:nsid w:val="4A4A4F10"/>
    <w:multiLevelType w:val="hybridMultilevel"/>
    <w:tmpl w:val="525CE7E8"/>
    <w:lvl w:ilvl="0" w:tplc="0286388A">
      <w:start w:val="1"/>
      <w:numFmt w:val="lowerLetter"/>
      <w:lvlText w:val="(%1)"/>
      <w:lvlJc w:val="left"/>
      <w:pPr>
        <w:ind w:left="1440" w:hanging="720"/>
      </w:pPr>
      <w:rPr>
        <w:rFonts w:hint="default"/>
      </w:rPr>
    </w:lvl>
    <w:lvl w:ilvl="1" w:tplc="08070019">
      <w:start w:val="1"/>
      <w:numFmt w:val="lowerLetter"/>
      <w:lvlText w:val="%2."/>
      <w:lvlJc w:val="left"/>
      <w:pPr>
        <w:ind w:left="1800" w:hanging="360"/>
      </w:pPr>
    </w:lvl>
    <w:lvl w:ilvl="2" w:tplc="0807001B">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6" w15:restartNumberingAfterBreak="0">
    <w:nsid w:val="4C5109D3"/>
    <w:multiLevelType w:val="hybridMultilevel"/>
    <w:tmpl w:val="88E8C802"/>
    <w:lvl w:ilvl="0" w:tplc="B6BA7290">
      <w:start w:val="1"/>
      <w:numFmt w:val="lowerRoman"/>
      <w:lvlText w:val="(%1)"/>
      <w:lvlJc w:val="left"/>
      <w:pPr>
        <w:ind w:left="2136" w:hanging="720"/>
      </w:pPr>
      <w:rPr>
        <w:rFonts w:hint="default"/>
      </w:rPr>
    </w:lvl>
    <w:lvl w:ilvl="1" w:tplc="08070019" w:tentative="1">
      <w:start w:val="1"/>
      <w:numFmt w:val="lowerLetter"/>
      <w:lvlText w:val="%2."/>
      <w:lvlJc w:val="left"/>
      <w:pPr>
        <w:ind w:left="2496" w:hanging="360"/>
      </w:pPr>
    </w:lvl>
    <w:lvl w:ilvl="2" w:tplc="0807001B" w:tentative="1">
      <w:start w:val="1"/>
      <w:numFmt w:val="lowerRoman"/>
      <w:lvlText w:val="%3."/>
      <w:lvlJc w:val="right"/>
      <w:pPr>
        <w:ind w:left="3216" w:hanging="180"/>
      </w:pPr>
    </w:lvl>
    <w:lvl w:ilvl="3" w:tplc="0807000F" w:tentative="1">
      <w:start w:val="1"/>
      <w:numFmt w:val="decimal"/>
      <w:lvlText w:val="%4."/>
      <w:lvlJc w:val="left"/>
      <w:pPr>
        <w:ind w:left="3936" w:hanging="360"/>
      </w:pPr>
    </w:lvl>
    <w:lvl w:ilvl="4" w:tplc="08070019" w:tentative="1">
      <w:start w:val="1"/>
      <w:numFmt w:val="lowerLetter"/>
      <w:lvlText w:val="%5."/>
      <w:lvlJc w:val="left"/>
      <w:pPr>
        <w:ind w:left="4656" w:hanging="360"/>
      </w:pPr>
    </w:lvl>
    <w:lvl w:ilvl="5" w:tplc="0807001B" w:tentative="1">
      <w:start w:val="1"/>
      <w:numFmt w:val="lowerRoman"/>
      <w:lvlText w:val="%6."/>
      <w:lvlJc w:val="right"/>
      <w:pPr>
        <w:ind w:left="5376" w:hanging="180"/>
      </w:pPr>
    </w:lvl>
    <w:lvl w:ilvl="6" w:tplc="0807000F" w:tentative="1">
      <w:start w:val="1"/>
      <w:numFmt w:val="decimal"/>
      <w:lvlText w:val="%7."/>
      <w:lvlJc w:val="left"/>
      <w:pPr>
        <w:ind w:left="6096" w:hanging="360"/>
      </w:pPr>
    </w:lvl>
    <w:lvl w:ilvl="7" w:tplc="08070019" w:tentative="1">
      <w:start w:val="1"/>
      <w:numFmt w:val="lowerLetter"/>
      <w:lvlText w:val="%8."/>
      <w:lvlJc w:val="left"/>
      <w:pPr>
        <w:ind w:left="6816" w:hanging="360"/>
      </w:pPr>
    </w:lvl>
    <w:lvl w:ilvl="8" w:tplc="0807001B" w:tentative="1">
      <w:start w:val="1"/>
      <w:numFmt w:val="lowerRoman"/>
      <w:lvlText w:val="%9."/>
      <w:lvlJc w:val="right"/>
      <w:pPr>
        <w:ind w:left="7536" w:hanging="180"/>
      </w:pPr>
    </w:lvl>
  </w:abstractNum>
  <w:abstractNum w:abstractNumId="7" w15:restartNumberingAfterBreak="0">
    <w:nsid w:val="4E432311"/>
    <w:multiLevelType w:val="hybridMultilevel"/>
    <w:tmpl w:val="3CE0C600"/>
    <w:lvl w:ilvl="0" w:tplc="12E650FC">
      <w:start w:val="1"/>
      <w:numFmt w:val="lowerRoman"/>
      <w:lvlText w:val="(%1)"/>
      <w:lvlJc w:val="left"/>
      <w:pPr>
        <w:ind w:left="2160" w:hanging="720"/>
      </w:pPr>
      <w:rPr>
        <w:rFonts w:hint="default"/>
      </w:rPr>
    </w:lvl>
    <w:lvl w:ilvl="1" w:tplc="08070019">
      <w:start w:val="1"/>
      <w:numFmt w:val="lowerLetter"/>
      <w:lvlText w:val="%2."/>
      <w:lvlJc w:val="left"/>
      <w:pPr>
        <w:ind w:left="2520" w:hanging="360"/>
      </w:pPr>
    </w:lvl>
    <w:lvl w:ilvl="2" w:tplc="0807001B" w:tentative="1">
      <w:start w:val="1"/>
      <w:numFmt w:val="lowerRoman"/>
      <w:lvlText w:val="%3."/>
      <w:lvlJc w:val="right"/>
      <w:pPr>
        <w:ind w:left="3240" w:hanging="180"/>
      </w:pPr>
    </w:lvl>
    <w:lvl w:ilvl="3" w:tplc="0807000F" w:tentative="1">
      <w:start w:val="1"/>
      <w:numFmt w:val="decimal"/>
      <w:lvlText w:val="%4."/>
      <w:lvlJc w:val="left"/>
      <w:pPr>
        <w:ind w:left="3960" w:hanging="360"/>
      </w:pPr>
    </w:lvl>
    <w:lvl w:ilvl="4" w:tplc="08070019" w:tentative="1">
      <w:start w:val="1"/>
      <w:numFmt w:val="lowerLetter"/>
      <w:lvlText w:val="%5."/>
      <w:lvlJc w:val="left"/>
      <w:pPr>
        <w:ind w:left="4680" w:hanging="360"/>
      </w:pPr>
    </w:lvl>
    <w:lvl w:ilvl="5" w:tplc="0807001B" w:tentative="1">
      <w:start w:val="1"/>
      <w:numFmt w:val="lowerRoman"/>
      <w:lvlText w:val="%6."/>
      <w:lvlJc w:val="right"/>
      <w:pPr>
        <w:ind w:left="5400" w:hanging="180"/>
      </w:pPr>
    </w:lvl>
    <w:lvl w:ilvl="6" w:tplc="0807000F" w:tentative="1">
      <w:start w:val="1"/>
      <w:numFmt w:val="decimal"/>
      <w:lvlText w:val="%7."/>
      <w:lvlJc w:val="left"/>
      <w:pPr>
        <w:ind w:left="6120" w:hanging="360"/>
      </w:pPr>
    </w:lvl>
    <w:lvl w:ilvl="7" w:tplc="08070019" w:tentative="1">
      <w:start w:val="1"/>
      <w:numFmt w:val="lowerLetter"/>
      <w:lvlText w:val="%8."/>
      <w:lvlJc w:val="left"/>
      <w:pPr>
        <w:ind w:left="6840" w:hanging="360"/>
      </w:pPr>
    </w:lvl>
    <w:lvl w:ilvl="8" w:tplc="0807001B" w:tentative="1">
      <w:start w:val="1"/>
      <w:numFmt w:val="lowerRoman"/>
      <w:lvlText w:val="%9."/>
      <w:lvlJc w:val="right"/>
      <w:pPr>
        <w:ind w:left="7560" w:hanging="180"/>
      </w:pPr>
    </w:lvl>
  </w:abstractNum>
  <w:abstractNum w:abstractNumId="8" w15:restartNumberingAfterBreak="0">
    <w:nsid w:val="5CD77789"/>
    <w:multiLevelType w:val="hybridMultilevel"/>
    <w:tmpl w:val="7F4E78C2"/>
    <w:lvl w:ilvl="0" w:tplc="0807000F">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9" w15:restartNumberingAfterBreak="0">
    <w:nsid w:val="686D60C8"/>
    <w:multiLevelType w:val="hybridMultilevel"/>
    <w:tmpl w:val="88E8C802"/>
    <w:lvl w:ilvl="0" w:tplc="B6BA7290">
      <w:start w:val="1"/>
      <w:numFmt w:val="lowerRoman"/>
      <w:lvlText w:val="(%1)"/>
      <w:lvlJc w:val="left"/>
      <w:pPr>
        <w:ind w:left="2136" w:hanging="720"/>
      </w:pPr>
      <w:rPr>
        <w:rFonts w:hint="default"/>
      </w:rPr>
    </w:lvl>
    <w:lvl w:ilvl="1" w:tplc="08070019" w:tentative="1">
      <w:start w:val="1"/>
      <w:numFmt w:val="lowerLetter"/>
      <w:lvlText w:val="%2."/>
      <w:lvlJc w:val="left"/>
      <w:pPr>
        <w:ind w:left="2496" w:hanging="360"/>
      </w:pPr>
    </w:lvl>
    <w:lvl w:ilvl="2" w:tplc="0807001B" w:tentative="1">
      <w:start w:val="1"/>
      <w:numFmt w:val="lowerRoman"/>
      <w:lvlText w:val="%3."/>
      <w:lvlJc w:val="right"/>
      <w:pPr>
        <w:ind w:left="3216" w:hanging="180"/>
      </w:pPr>
    </w:lvl>
    <w:lvl w:ilvl="3" w:tplc="0807000F" w:tentative="1">
      <w:start w:val="1"/>
      <w:numFmt w:val="decimal"/>
      <w:lvlText w:val="%4."/>
      <w:lvlJc w:val="left"/>
      <w:pPr>
        <w:ind w:left="3936" w:hanging="360"/>
      </w:pPr>
    </w:lvl>
    <w:lvl w:ilvl="4" w:tplc="08070019" w:tentative="1">
      <w:start w:val="1"/>
      <w:numFmt w:val="lowerLetter"/>
      <w:lvlText w:val="%5."/>
      <w:lvlJc w:val="left"/>
      <w:pPr>
        <w:ind w:left="4656" w:hanging="360"/>
      </w:pPr>
    </w:lvl>
    <w:lvl w:ilvl="5" w:tplc="0807001B" w:tentative="1">
      <w:start w:val="1"/>
      <w:numFmt w:val="lowerRoman"/>
      <w:lvlText w:val="%6."/>
      <w:lvlJc w:val="right"/>
      <w:pPr>
        <w:ind w:left="5376" w:hanging="180"/>
      </w:pPr>
    </w:lvl>
    <w:lvl w:ilvl="6" w:tplc="0807000F" w:tentative="1">
      <w:start w:val="1"/>
      <w:numFmt w:val="decimal"/>
      <w:lvlText w:val="%7."/>
      <w:lvlJc w:val="left"/>
      <w:pPr>
        <w:ind w:left="6096" w:hanging="360"/>
      </w:pPr>
    </w:lvl>
    <w:lvl w:ilvl="7" w:tplc="08070019" w:tentative="1">
      <w:start w:val="1"/>
      <w:numFmt w:val="lowerLetter"/>
      <w:lvlText w:val="%8."/>
      <w:lvlJc w:val="left"/>
      <w:pPr>
        <w:ind w:left="6816" w:hanging="360"/>
      </w:pPr>
    </w:lvl>
    <w:lvl w:ilvl="8" w:tplc="0807001B" w:tentative="1">
      <w:start w:val="1"/>
      <w:numFmt w:val="lowerRoman"/>
      <w:lvlText w:val="%9."/>
      <w:lvlJc w:val="right"/>
      <w:pPr>
        <w:ind w:left="7536" w:hanging="180"/>
      </w:pPr>
    </w:lvl>
  </w:abstractNum>
  <w:abstractNum w:abstractNumId="10" w15:restartNumberingAfterBreak="0">
    <w:nsid w:val="72422D47"/>
    <w:multiLevelType w:val="hybridMultilevel"/>
    <w:tmpl w:val="056EC110"/>
    <w:lvl w:ilvl="0" w:tplc="E43C5374">
      <w:start w:val="1"/>
      <w:numFmt w:val="lowerLetter"/>
      <w:lvlText w:val="(%1)"/>
      <w:lvlJc w:val="left"/>
      <w:pPr>
        <w:ind w:left="1410" w:hanging="69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1" w15:restartNumberingAfterBreak="0">
    <w:nsid w:val="75A178B3"/>
    <w:multiLevelType w:val="hybridMultilevel"/>
    <w:tmpl w:val="118214F2"/>
    <w:lvl w:ilvl="0" w:tplc="0807000F">
      <w:start w:val="1"/>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7FC16F11"/>
    <w:multiLevelType w:val="hybridMultilevel"/>
    <w:tmpl w:val="29A62B4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1"/>
  </w:num>
  <w:num w:numId="5">
    <w:abstractNumId w:val="2"/>
  </w:num>
  <w:num w:numId="6">
    <w:abstractNumId w:val="5"/>
  </w:num>
  <w:num w:numId="7">
    <w:abstractNumId w:val="4"/>
  </w:num>
  <w:num w:numId="8">
    <w:abstractNumId w:val="3"/>
  </w:num>
  <w:num w:numId="9">
    <w:abstractNumId w:val="9"/>
  </w:num>
  <w:num w:numId="10">
    <w:abstractNumId w:val="10"/>
  </w:num>
  <w:num w:numId="11">
    <w:abstractNumId w:val="6"/>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7C"/>
    <w:rsid w:val="0000145C"/>
    <w:rsid w:val="00012236"/>
    <w:rsid w:val="000352E0"/>
    <w:rsid w:val="0005369B"/>
    <w:rsid w:val="00067D03"/>
    <w:rsid w:val="00083294"/>
    <w:rsid w:val="00093C82"/>
    <w:rsid w:val="000B14F9"/>
    <w:rsid w:val="000B70CD"/>
    <w:rsid w:val="000B72C1"/>
    <w:rsid w:val="000D3E0F"/>
    <w:rsid w:val="000E360B"/>
    <w:rsid w:val="0010083E"/>
    <w:rsid w:val="00105F28"/>
    <w:rsid w:val="00116AB9"/>
    <w:rsid w:val="00132DEB"/>
    <w:rsid w:val="00142893"/>
    <w:rsid w:val="001438C3"/>
    <w:rsid w:val="001673C3"/>
    <w:rsid w:val="001719A5"/>
    <w:rsid w:val="001806C3"/>
    <w:rsid w:val="00180CE2"/>
    <w:rsid w:val="00180EB5"/>
    <w:rsid w:val="001835DC"/>
    <w:rsid w:val="0019127E"/>
    <w:rsid w:val="00194153"/>
    <w:rsid w:val="001A6D19"/>
    <w:rsid w:val="001C1B87"/>
    <w:rsid w:val="001C5D76"/>
    <w:rsid w:val="001D5D90"/>
    <w:rsid w:val="001D60E3"/>
    <w:rsid w:val="001E1CF2"/>
    <w:rsid w:val="00205222"/>
    <w:rsid w:val="002064E3"/>
    <w:rsid w:val="0022002A"/>
    <w:rsid w:val="00244593"/>
    <w:rsid w:val="00251761"/>
    <w:rsid w:val="00256A24"/>
    <w:rsid w:val="002630A2"/>
    <w:rsid w:val="00267D6D"/>
    <w:rsid w:val="0027119A"/>
    <w:rsid w:val="00273326"/>
    <w:rsid w:val="00284B35"/>
    <w:rsid w:val="002926A5"/>
    <w:rsid w:val="002E017A"/>
    <w:rsid w:val="002E507A"/>
    <w:rsid w:val="00314501"/>
    <w:rsid w:val="00325EFC"/>
    <w:rsid w:val="00344FF0"/>
    <w:rsid w:val="00347FDF"/>
    <w:rsid w:val="003562F4"/>
    <w:rsid w:val="00357AB2"/>
    <w:rsid w:val="003601A1"/>
    <w:rsid w:val="00362020"/>
    <w:rsid w:val="00374FF0"/>
    <w:rsid w:val="00390596"/>
    <w:rsid w:val="00392A70"/>
    <w:rsid w:val="003B228F"/>
    <w:rsid w:val="003B38A5"/>
    <w:rsid w:val="003B4543"/>
    <w:rsid w:val="003C586B"/>
    <w:rsid w:val="0040604C"/>
    <w:rsid w:val="004110B0"/>
    <w:rsid w:val="004210FB"/>
    <w:rsid w:val="004413C0"/>
    <w:rsid w:val="00450F77"/>
    <w:rsid w:val="00461BDC"/>
    <w:rsid w:val="00471D1D"/>
    <w:rsid w:val="00476F62"/>
    <w:rsid w:val="00482429"/>
    <w:rsid w:val="0048673E"/>
    <w:rsid w:val="00486AF5"/>
    <w:rsid w:val="004B3D2D"/>
    <w:rsid w:val="004C34DC"/>
    <w:rsid w:val="004D1C55"/>
    <w:rsid w:val="004D3B36"/>
    <w:rsid w:val="004D4C3B"/>
    <w:rsid w:val="004D7367"/>
    <w:rsid w:val="004E049D"/>
    <w:rsid w:val="004E4349"/>
    <w:rsid w:val="004E50D5"/>
    <w:rsid w:val="004F4C38"/>
    <w:rsid w:val="004F701F"/>
    <w:rsid w:val="005109B0"/>
    <w:rsid w:val="0052288E"/>
    <w:rsid w:val="00546A27"/>
    <w:rsid w:val="00553507"/>
    <w:rsid w:val="0056773F"/>
    <w:rsid w:val="00570776"/>
    <w:rsid w:val="0057476B"/>
    <w:rsid w:val="00587DC6"/>
    <w:rsid w:val="00590AFB"/>
    <w:rsid w:val="0059154A"/>
    <w:rsid w:val="005A67F9"/>
    <w:rsid w:val="005B2B82"/>
    <w:rsid w:val="005B42AB"/>
    <w:rsid w:val="005D075A"/>
    <w:rsid w:val="005E657C"/>
    <w:rsid w:val="005F0C7C"/>
    <w:rsid w:val="005F22F0"/>
    <w:rsid w:val="005F2BFC"/>
    <w:rsid w:val="005F330C"/>
    <w:rsid w:val="005F3502"/>
    <w:rsid w:val="006229C3"/>
    <w:rsid w:val="00634268"/>
    <w:rsid w:val="00635A12"/>
    <w:rsid w:val="00645D64"/>
    <w:rsid w:val="00671780"/>
    <w:rsid w:val="006727B5"/>
    <w:rsid w:val="00683932"/>
    <w:rsid w:val="006A37ED"/>
    <w:rsid w:val="006A7413"/>
    <w:rsid w:val="006B7CC0"/>
    <w:rsid w:val="006D1976"/>
    <w:rsid w:val="006D41AC"/>
    <w:rsid w:val="006E0AE6"/>
    <w:rsid w:val="006E1638"/>
    <w:rsid w:val="006E3B7E"/>
    <w:rsid w:val="006F5536"/>
    <w:rsid w:val="0070661E"/>
    <w:rsid w:val="00720F35"/>
    <w:rsid w:val="00730C87"/>
    <w:rsid w:val="007339C3"/>
    <w:rsid w:val="00735707"/>
    <w:rsid w:val="00737623"/>
    <w:rsid w:val="00743F01"/>
    <w:rsid w:val="0076238D"/>
    <w:rsid w:val="007669C4"/>
    <w:rsid w:val="00785237"/>
    <w:rsid w:val="00796852"/>
    <w:rsid w:val="007A714B"/>
    <w:rsid w:val="007D1387"/>
    <w:rsid w:val="007D2A97"/>
    <w:rsid w:val="007D749D"/>
    <w:rsid w:val="007D7B38"/>
    <w:rsid w:val="00824ED2"/>
    <w:rsid w:val="00845143"/>
    <w:rsid w:val="00845756"/>
    <w:rsid w:val="00845D37"/>
    <w:rsid w:val="00877768"/>
    <w:rsid w:val="00877BCD"/>
    <w:rsid w:val="0088230E"/>
    <w:rsid w:val="008A1DA2"/>
    <w:rsid w:val="008B171B"/>
    <w:rsid w:val="008F3FA1"/>
    <w:rsid w:val="008F4DC8"/>
    <w:rsid w:val="00905479"/>
    <w:rsid w:val="0091057B"/>
    <w:rsid w:val="00915155"/>
    <w:rsid w:val="009446A4"/>
    <w:rsid w:val="0094649D"/>
    <w:rsid w:val="00982D50"/>
    <w:rsid w:val="00993F27"/>
    <w:rsid w:val="009C1CB9"/>
    <w:rsid w:val="009C66F4"/>
    <w:rsid w:val="009D5A45"/>
    <w:rsid w:val="009D7E98"/>
    <w:rsid w:val="009E3F02"/>
    <w:rsid w:val="00A004FA"/>
    <w:rsid w:val="00A068C4"/>
    <w:rsid w:val="00A10E90"/>
    <w:rsid w:val="00A13636"/>
    <w:rsid w:val="00A2226F"/>
    <w:rsid w:val="00A24954"/>
    <w:rsid w:val="00A24E39"/>
    <w:rsid w:val="00A44319"/>
    <w:rsid w:val="00A50CD3"/>
    <w:rsid w:val="00A5226E"/>
    <w:rsid w:val="00A56FEF"/>
    <w:rsid w:val="00A8027F"/>
    <w:rsid w:val="00A819F9"/>
    <w:rsid w:val="00A851D7"/>
    <w:rsid w:val="00A9409C"/>
    <w:rsid w:val="00AA1DF2"/>
    <w:rsid w:val="00AA5AEC"/>
    <w:rsid w:val="00AA78D7"/>
    <w:rsid w:val="00AB0148"/>
    <w:rsid w:val="00AF152D"/>
    <w:rsid w:val="00B01610"/>
    <w:rsid w:val="00B03E7D"/>
    <w:rsid w:val="00B1689A"/>
    <w:rsid w:val="00B26000"/>
    <w:rsid w:val="00B332B0"/>
    <w:rsid w:val="00B339D0"/>
    <w:rsid w:val="00B33C11"/>
    <w:rsid w:val="00B4011D"/>
    <w:rsid w:val="00B412D4"/>
    <w:rsid w:val="00B53360"/>
    <w:rsid w:val="00B5527B"/>
    <w:rsid w:val="00B553FB"/>
    <w:rsid w:val="00B66E49"/>
    <w:rsid w:val="00B73F73"/>
    <w:rsid w:val="00B82968"/>
    <w:rsid w:val="00B92E91"/>
    <w:rsid w:val="00B94FD8"/>
    <w:rsid w:val="00BA1A8A"/>
    <w:rsid w:val="00BA3CF4"/>
    <w:rsid w:val="00BC0B88"/>
    <w:rsid w:val="00BC13E1"/>
    <w:rsid w:val="00BC1B80"/>
    <w:rsid w:val="00BC6414"/>
    <w:rsid w:val="00BD7E0B"/>
    <w:rsid w:val="00BE0362"/>
    <w:rsid w:val="00BE2A80"/>
    <w:rsid w:val="00BF31A3"/>
    <w:rsid w:val="00C12A2A"/>
    <w:rsid w:val="00C3636F"/>
    <w:rsid w:val="00C505C8"/>
    <w:rsid w:val="00C760EE"/>
    <w:rsid w:val="00C83820"/>
    <w:rsid w:val="00C84E79"/>
    <w:rsid w:val="00C90826"/>
    <w:rsid w:val="00C94CFF"/>
    <w:rsid w:val="00D04794"/>
    <w:rsid w:val="00D05F5A"/>
    <w:rsid w:val="00D07960"/>
    <w:rsid w:val="00D11226"/>
    <w:rsid w:val="00D164C9"/>
    <w:rsid w:val="00D227AF"/>
    <w:rsid w:val="00D243F5"/>
    <w:rsid w:val="00D31564"/>
    <w:rsid w:val="00D41B83"/>
    <w:rsid w:val="00D41BE6"/>
    <w:rsid w:val="00D4264A"/>
    <w:rsid w:val="00D5639A"/>
    <w:rsid w:val="00D60D5A"/>
    <w:rsid w:val="00D622BC"/>
    <w:rsid w:val="00D737F7"/>
    <w:rsid w:val="00D814E4"/>
    <w:rsid w:val="00D82918"/>
    <w:rsid w:val="00D870CF"/>
    <w:rsid w:val="00DB1100"/>
    <w:rsid w:val="00DC1992"/>
    <w:rsid w:val="00DC3E66"/>
    <w:rsid w:val="00DD7F20"/>
    <w:rsid w:val="00DE3BB3"/>
    <w:rsid w:val="00DF657C"/>
    <w:rsid w:val="00E00818"/>
    <w:rsid w:val="00E03715"/>
    <w:rsid w:val="00E22680"/>
    <w:rsid w:val="00E23184"/>
    <w:rsid w:val="00E512D1"/>
    <w:rsid w:val="00E63CE3"/>
    <w:rsid w:val="00E73C79"/>
    <w:rsid w:val="00E765D2"/>
    <w:rsid w:val="00E8671D"/>
    <w:rsid w:val="00E86AB9"/>
    <w:rsid w:val="00E8794D"/>
    <w:rsid w:val="00E94CF5"/>
    <w:rsid w:val="00E95F61"/>
    <w:rsid w:val="00EA6C76"/>
    <w:rsid w:val="00EB325B"/>
    <w:rsid w:val="00ED0897"/>
    <w:rsid w:val="00ED2DB2"/>
    <w:rsid w:val="00EE1088"/>
    <w:rsid w:val="00F3077A"/>
    <w:rsid w:val="00F31BBE"/>
    <w:rsid w:val="00F45170"/>
    <w:rsid w:val="00F53AF0"/>
    <w:rsid w:val="00F6275C"/>
    <w:rsid w:val="00F74AF6"/>
    <w:rsid w:val="00F76AA2"/>
    <w:rsid w:val="00F847A0"/>
    <w:rsid w:val="00F8745D"/>
    <w:rsid w:val="00F915AF"/>
    <w:rsid w:val="00FC75FA"/>
    <w:rsid w:val="00FD2D68"/>
    <w:rsid w:val="00FD380A"/>
    <w:rsid w:val="00FF21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67FDBC"/>
  <w15:docId w15:val="{DF65E944-E36D-409E-B701-C41E3413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9">
    <w:name w:val="heading 9"/>
    <w:link w:val="Heading9Char"/>
    <w:qFormat/>
    <w:rsid w:val="00FD2D68"/>
    <w:pPr>
      <w:keepNext/>
      <w:keepLines/>
      <w:tabs>
        <w:tab w:val="left" w:pos="1134"/>
      </w:tabs>
      <w:spacing w:before="280" w:after="0" w:line="200" w:lineRule="exact"/>
      <w:ind w:left="1134" w:hanging="1134"/>
      <w:outlineLvl w:val="8"/>
    </w:pPr>
    <w:rPr>
      <w:rFonts w:ascii="Times New Roman" w:eastAsia="Times New Roman" w:hAnsi="Times New Roman" w:cs="Times New Roman"/>
      <w:sz w:val="18"/>
      <w:szCs w:val="20"/>
      <w:lang w:val="de-CH"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153"/>
    <w:pPr>
      <w:ind w:left="720"/>
      <w:contextualSpacing/>
    </w:pPr>
  </w:style>
  <w:style w:type="table" w:styleId="TableGrid">
    <w:name w:val="Table Grid"/>
    <w:basedOn w:val="TableNormal"/>
    <w:uiPriority w:val="59"/>
    <w:rsid w:val="00BC0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3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636"/>
    <w:rPr>
      <w:rFonts w:ascii="Segoe UI" w:hAnsi="Segoe UI" w:cs="Segoe UI"/>
      <w:sz w:val="18"/>
      <w:szCs w:val="18"/>
    </w:rPr>
  </w:style>
  <w:style w:type="paragraph" w:styleId="Header">
    <w:name w:val="header"/>
    <w:basedOn w:val="Normal"/>
    <w:link w:val="HeaderChar"/>
    <w:unhideWhenUsed/>
    <w:rsid w:val="00BE2A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2A80"/>
  </w:style>
  <w:style w:type="paragraph" w:styleId="Footer">
    <w:name w:val="footer"/>
    <w:basedOn w:val="Normal"/>
    <w:link w:val="FooterChar"/>
    <w:unhideWhenUsed/>
    <w:rsid w:val="00BE2A80"/>
    <w:pPr>
      <w:tabs>
        <w:tab w:val="center" w:pos="4536"/>
        <w:tab w:val="right" w:pos="9072"/>
      </w:tabs>
      <w:spacing w:after="0" w:line="240" w:lineRule="auto"/>
    </w:pPr>
  </w:style>
  <w:style w:type="character" w:customStyle="1" w:styleId="FooterChar">
    <w:name w:val="Footer Char"/>
    <w:basedOn w:val="DefaultParagraphFont"/>
    <w:link w:val="Footer"/>
    <w:rsid w:val="00BE2A80"/>
  </w:style>
  <w:style w:type="character" w:styleId="CommentReference">
    <w:name w:val="annotation reference"/>
    <w:basedOn w:val="DefaultParagraphFont"/>
    <w:semiHidden/>
    <w:rsid w:val="00392A70"/>
    <w:rPr>
      <w:sz w:val="16"/>
      <w:szCs w:val="16"/>
    </w:rPr>
  </w:style>
  <w:style w:type="paragraph" w:styleId="CommentText">
    <w:name w:val="annotation text"/>
    <w:basedOn w:val="Normal"/>
    <w:link w:val="CommentTextChar"/>
    <w:semiHidden/>
    <w:rsid w:val="00392A7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92A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081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00818"/>
    <w:rPr>
      <w:rFonts w:ascii="Times New Roman" w:eastAsia="Times New Roman" w:hAnsi="Times New Roman" w:cs="Times New Roman"/>
      <w:b/>
      <w:bCs/>
      <w:sz w:val="20"/>
      <w:szCs w:val="20"/>
    </w:rPr>
  </w:style>
  <w:style w:type="paragraph" w:styleId="Revision">
    <w:name w:val="Revision"/>
    <w:hidden/>
    <w:uiPriority w:val="99"/>
    <w:semiHidden/>
    <w:rsid w:val="00105F28"/>
    <w:pPr>
      <w:spacing w:after="0" w:line="240" w:lineRule="auto"/>
    </w:pPr>
  </w:style>
  <w:style w:type="paragraph" w:customStyle="1" w:styleId="Schlussint">
    <w:name w:val="Schluss int"/>
    <w:basedOn w:val="Normal"/>
    <w:next w:val="Normal"/>
    <w:rsid w:val="00B92E91"/>
    <w:pPr>
      <w:spacing w:before="400" w:after="280" w:line="200" w:lineRule="exact"/>
      <w:jc w:val="both"/>
    </w:pPr>
    <w:rPr>
      <w:rFonts w:ascii="Times New Roman" w:eastAsia="Times New Roman" w:hAnsi="Times New Roman" w:cs="Times New Roman"/>
      <w:sz w:val="18"/>
      <w:szCs w:val="20"/>
      <w:lang w:val="de-CH" w:eastAsia="de-DE"/>
    </w:rPr>
  </w:style>
  <w:style w:type="character" w:customStyle="1" w:styleId="Heading9Char">
    <w:name w:val="Heading 9 Char"/>
    <w:basedOn w:val="DefaultParagraphFont"/>
    <w:link w:val="Heading9"/>
    <w:rsid w:val="00FD2D68"/>
    <w:rPr>
      <w:rFonts w:ascii="Times New Roman" w:eastAsia="Times New Roman" w:hAnsi="Times New Roman" w:cs="Times New Roman"/>
      <w:sz w:val="18"/>
      <w:szCs w:val="20"/>
      <w:lang w:val="de-CH" w:eastAsia="de-DE"/>
    </w:rPr>
  </w:style>
  <w:style w:type="paragraph" w:customStyle="1" w:styleId="Absatz">
    <w:name w:val="Absatz"/>
    <w:link w:val="AbsatzChar"/>
    <w:rsid w:val="00FD2D68"/>
    <w:pPr>
      <w:spacing w:before="80" w:after="0" w:line="200" w:lineRule="exact"/>
      <w:jc w:val="both"/>
    </w:pPr>
    <w:rPr>
      <w:rFonts w:ascii="Times New Roman" w:eastAsia="Times New Roman" w:hAnsi="Times New Roman" w:cs="Times New Roman"/>
      <w:sz w:val="18"/>
      <w:szCs w:val="20"/>
      <w:lang w:val="de-CH" w:eastAsia="de-DE"/>
    </w:rPr>
  </w:style>
  <w:style w:type="paragraph" w:customStyle="1" w:styleId="Autor">
    <w:name w:val="Autor"/>
    <w:next w:val="Normal"/>
    <w:rsid w:val="00FD2D68"/>
    <w:pPr>
      <w:keepNext/>
      <w:keepLines/>
      <w:spacing w:after="0" w:line="200" w:lineRule="exact"/>
    </w:pPr>
    <w:rPr>
      <w:rFonts w:ascii="Times New Roman" w:eastAsia="Times New Roman" w:hAnsi="Times New Roman" w:cs="Times New Roman"/>
      <w:i/>
      <w:sz w:val="18"/>
      <w:szCs w:val="20"/>
      <w:lang w:val="de-CH" w:eastAsia="de-DE"/>
    </w:rPr>
  </w:style>
  <w:style w:type="paragraph" w:customStyle="1" w:styleId="Verb">
    <w:name w:val="Verb"/>
    <w:rsid w:val="00FD2D68"/>
    <w:pPr>
      <w:spacing w:before="60" w:after="360" w:line="200" w:lineRule="exact"/>
    </w:pPr>
    <w:rPr>
      <w:rFonts w:ascii="Times New Roman" w:eastAsia="Times New Roman" w:hAnsi="Times New Roman" w:cs="Times New Roman"/>
      <w:i/>
      <w:sz w:val="18"/>
      <w:szCs w:val="20"/>
      <w:lang w:val="de-CH" w:eastAsia="de-DE"/>
    </w:rPr>
  </w:style>
  <w:style w:type="paragraph" w:customStyle="1" w:styleId="Struktur2">
    <w:name w:val="Struktur 2"/>
    <w:rsid w:val="00FD2D68"/>
    <w:pPr>
      <w:tabs>
        <w:tab w:val="left" w:pos="924"/>
      </w:tabs>
      <w:spacing w:before="40" w:after="0" w:line="200" w:lineRule="exact"/>
      <w:ind w:left="924" w:hanging="357"/>
      <w:jc w:val="both"/>
    </w:pPr>
    <w:rPr>
      <w:rFonts w:ascii="Times New Roman" w:eastAsia="Times New Roman" w:hAnsi="Times New Roman" w:cs="Times New Roman"/>
      <w:sz w:val="18"/>
      <w:szCs w:val="20"/>
      <w:lang w:val="de-CH" w:eastAsia="de-DE"/>
    </w:rPr>
  </w:style>
  <w:style w:type="paragraph" w:customStyle="1" w:styleId="Struktur1">
    <w:name w:val="Struktur 1"/>
    <w:link w:val="Struktur1Char"/>
    <w:rsid w:val="00FD2D68"/>
    <w:pPr>
      <w:tabs>
        <w:tab w:val="left" w:pos="567"/>
      </w:tabs>
      <w:spacing w:before="80" w:after="0" w:line="200" w:lineRule="exact"/>
      <w:ind w:left="567" w:hanging="357"/>
      <w:jc w:val="both"/>
    </w:pPr>
    <w:rPr>
      <w:rFonts w:ascii="Times New Roman" w:eastAsia="Times New Roman" w:hAnsi="Times New Roman" w:cs="Times New Roman"/>
      <w:sz w:val="18"/>
      <w:szCs w:val="20"/>
      <w:lang w:val="de-CH" w:eastAsia="de-DE"/>
    </w:rPr>
  </w:style>
  <w:style w:type="paragraph" w:customStyle="1" w:styleId="Unterschriften">
    <w:name w:val="Unterschriften"/>
    <w:basedOn w:val="Absatz"/>
    <w:rsid w:val="00FD2D68"/>
    <w:pPr>
      <w:tabs>
        <w:tab w:val="left" w:pos="2807"/>
        <w:tab w:val="left" w:pos="3402"/>
        <w:tab w:val="right" w:pos="6112"/>
      </w:tabs>
      <w:spacing w:before="120"/>
      <w:jc w:val="left"/>
    </w:pPr>
  </w:style>
  <w:style w:type="character" w:customStyle="1" w:styleId="AbsatzChar">
    <w:name w:val="Absatz Char"/>
    <w:link w:val="Absatz"/>
    <w:rsid w:val="00FD2D68"/>
    <w:rPr>
      <w:rFonts w:ascii="Times New Roman" w:eastAsia="Times New Roman" w:hAnsi="Times New Roman" w:cs="Times New Roman"/>
      <w:sz w:val="18"/>
      <w:szCs w:val="20"/>
      <w:lang w:val="de-CH" w:eastAsia="de-DE"/>
    </w:rPr>
  </w:style>
  <w:style w:type="character" w:customStyle="1" w:styleId="Struktur1Char">
    <w:name w:val="Struktur 1 Char"/>
    <w:link w:val="Struktur1"/>
    <w:rsid w:val="00FD2D68"/>
    <w:rPr>
      <w:rFonts w:ascii="Times New Roman" w:eastAsia="Times New Roman" w:hAnsi="Times New Roman" w:cs="Times New Roman"/>
      <w:sz w:val="18"/>
      <w:szCs w:val="20"/>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77358">
      <w:bodyDiv w:val="1"/>
      <w:marLeft w:val="0"/>
      <w:marRight w:val="0"/>
      <w:marTop w:val="0"/>
      <w:marBottom w:val="0"/>
      <w:divBdr>
        <w:top w:val="none" w:sz="0" w:space="0" w:color="auto"/>
        <w:left w:val="none" w:sz="0" w:space="0" w:color="auto"/>
        <w:bottom w:val="none" w:sz="0" w:space="0" w:color="auto"/>
        <w:right w:val="none" w:sz="0" w:space="0" w:color="auto"/>
      </w:divBdr>
    </w:div>
    <w:div w:id="200416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1713</Words>
  <Characters>8758</Characters>
  <Application>Microsoft Office Word</Application>
  <DocSecurity>0</DocSecurity>
  <Lines>216</Lines>
  <Paragraphs>67</Paragraphs>
  <ScaleCrop>false</ScaleCrop>
  <HeadingPairs>
    <vt:vector size="2" baseType="variant">
      <vt:variant>
        <vt:lpstr>Title</vt:lpstr>
      </vt:variant>
      <vt:variant>
        <vt:i4>1</vt:i4>
      </vt:variant>
    </vt:vector>
  </HeadingPairs>
  <TitlesOfParts>
    <vt:vector size="1" baseType="lpstr">
      <vt:lpstr>Protocol amending the convention between New Zealand and the Swiss Confederation for the avoidance of double taxation with respect to taxes on income (August 2019)</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amending the convention between New Zealand and the Swiss Confederation for the avoidance of double taxation with respect to taxes on income (August 2019)</dc:title>
  <dc:creator/>
  <dcterms:created xsi:type="dcterms:W3CDTF">2019-08-07T23:06:00Z</dcterms:created>
  <dcterms:modified xsi:type="dcterms:W3CDTF">2019-08-07T23:08:00Z</dcterms:modified>
</cp:coreProperties>
</file>