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69DF8F6E" w:rsidR="00EF50FD" w:rsidRPr="00A864A5" w:rsidRDefault="00EF50FD" w:rsidP="00EF50FD">
      <w:pPr>
        <w:pStyle w:val="Heading1"/>
        <w:spacing w:before="0" w:after="120" w:line="276" w:lineRule="auto"/>
        <w:rPr>
          <w:color w:val="0082AB"/>
          <w:lang w:val="en-NZ"/>
        </w:rPr>
      </w:pPr>
      <w:bookmarkStart w:id="0" w:name="_Toc93607250"/>
      <w:bookmarkStart w:id="1" w:name="_Toc93608021"/>
      <w:bookmarkStart w:id="2" w:name="_Toc93609713"/>
      <w:r w:rsidRPr="00A864A5">
        <w:rPr>
          <w:color w:val="0082AB"/>
          <w:lang w:val="en-NZ"/>
        </w:rPr>
        <w:t xml:space="preserve">Regulatory Impact Statement: </w:t>
      </w:r>
      <w:r w:rsidR="00961F54">
        <w:rPr>
          <w:color w:val="0082AB"/>
          <w:lang w:val="en-NZ"/>
        </w:rPr>
        <w:t xml:space="preserve">Minimum standards for financial </w:t>
      </w:r>
      <w:r w:rsidR="00573414">
        <w:rPr>
          <w:color w:val="0082AB"/>
          <w:lang w:val="en-NZ"/>
        </w:rPr>
        <w:t xml:space="preserve">statements prepared </w:t>
      </w:r>
      <w:r w:rsidR="00961F54">
        <w:rPr>
          <w:color w:val="0082AB"/>
          <w:lang w:val="en-NZ"/>
        </w:rPr>
        <w:t>by domestic trusts</w:t>
      </w:r>
      <w:bookmarkEnd w:id="0"/>
      <w:bookmarkEnd w:id="1"/>
      <w:bookmarkEnd w:id="2"/>
    </w:p>
    <w:p w14:paraId="3BD94C32" w14:textId="2F835BE6" w:rsidR="0062657E" w:rsidRPr="00A864A5" w:rsidRDefault="0017116F" w:rsidP="0024561D">
      <w:pPr>
        <w:pStyle w:val="Heading2"/>
      </w:pPr>
      <w:bookmarkStart w:id="3" w:name="_Toc93607251"/>
      <w:bookmarkStart w:id="4" w:name="_Toc93608022"/>
      <w:bookmarkStart w:id="5" w:name="_Toc93609714"/>
      <w:r w:rsidRPr="00A864A5">
        <w:t>Covershee</w:t>
      </w:r>
      <w:r w:rsidR="00EF50FD" w:rsidRPr="00A864A5">
        <w:t>t</w:t>
      </w:r>
      <w:bookmarkEnd w:id="3"/>
      <w:bookmarkEnd w:id="4"/>
      <w:bookmarkEnd w:id="5"/>
    </w:p>
    <w:p w14:paraId="6DD276F7" w14:textId="7DC5C400" w:rsidR="0062657E" w:rsidRPr="00A864A5" w:rsidRDefault="0062657E" w:rsidP="00743278">
      <w:pPr>
        <w:pStyle w:val="spacer"/>
        <w:rPr>
          <w:lang w:val="en-NZ"/>
        </w:rPr>
      </w:pP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EB6134" w:rsidRPr="00A864A5" w14:paraId="24CAC5A8" w14:textId="77777777" w:rsidTr="006448CF">
        <w:tc>
          <w:tcPr>
            <w:tcW w:w="5000" w:type="pct"/>
            <w:gridSpan w:val="2"/>
            <w:tcBorders>
              <w:bottom w:val="single" w:sz="4" w:space="0" w:color="DDDDDD"/>
            </w:tcBorders>
            <w:shd w:val="clear" w:color="auto" w:fill="99CDDD"/>
            <w:hideMark/>
          </w:tcPr>
          <w:p w14:paraId="3273EFFF" w14:textId="48C848C9" w:rsidR="001F29E6" w:rsidRPr="00A864A5" w:rsidRDefault="001F29E6" w:rsidP="00354522">
            <w:pPr>
              <w:pStyle w:val="TableHeadings"/>
              <w:rPr>
                <w:color w:val="002060"/>
                <w:szCs w:val="22"/>
                <w:lang w:val="en-NZ"/>
              </w:rPr>
            </w:pPr>
            <w:bookmarkStart w:id="6" w:name="_Hlk47357107"/>
            <w:r w:rsidRPr="00A864A5">
              <w:rPr>
                <w:szCs w:val="22"/>
                <w:lang w:val="en-NZ"/>
              </w:rPr>
              <w:t>Purpose</w:t>
            </w:r>
            <w:r w:rsidR="002C0E77">
              <w:rPr>
                <w:szCs w:val="22"/>
                <w:lang w:val="en-NZ"/>
              </w:rPr>
              <w:t xml:space="preserve"> of Document</w:t>
            </w:r>
          </w:p>
        </w:tc>
      </w:tr>
      <w:tr w:rsidR="00EB6134" w:rsidRPr="00A864A5" w14:paraId="24C44C49" w14:textId="77777777" w:rsidTr="006448CF">
        <w:trPr>
          <w:trHeight w:val="414"/>
        </w:trPr>
        <w:tc>
          <w:tcPr>
            <w:tcW w:w="1328" w:type="pct"/>
            <w:tcBorders>
              <w:top w:val="nil"/>
            </w:tcBorders>
            <w:shd w:val="clear" w:color="auto" w:fill="EBF5F8"/>
          </w:tcPr>
          <w:p w14:paraId="120D8478" w14:textId="731F9FCE" w:rsidR="001F29E6" w:rsidRPr="00A864A5" w:rsidRDefault="001F29E6" w:rsidP="00354522">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72E2B27A" w:rsidR="001F29E6" w:rsidRPr="008064C0" w:rsidRDefault="00271DC4" w:rsidP="00354522">
            <w:pPr>
              <w:rPr>
                <w:rFonts w:cs="Arial"/>
                <w:i/>
                <w:color w:val="000000"/>
                <w:szCs w:val="22"/>
                <w:lang w:val="en-NZ"/>
              </w:rPr>
            </w:pPr>
            <w:r>
              <w:rPr>
                <w:rFonts w:cs="Arial"/>
                <w:i/>
                <w:color w:val="000000"/>
                <w:szCs w:val="22"/>
                <w:lang w:val="en-NZ"/>
              </w:rPr>
              <w:t xml:space="preserve">Setting minimum </w:t>
            </w:r>
            <w:r w:rsidR="00961F54">
              <w:rPr>
                <w:rFonts w:cs="Arial"/>
                <w:i/>
                <w:color w:val="000000"/>
                <w:szCs w:val="22"/>
                <w:lang w:val="en-NZ"/>
              </w:rPr>
              <w:t>standards for financial statements prepared</w:t>
            </w:r>
            <w:r w:rsidR="00E2033F">
              <w:rPr>
                <w:rFonts w:cs="Arial"/>
                <w:i/>
                <w:color w:val="000000"/>
                <w:szCs w:val="22"/>
                <w:lang w:val="en-NZ"/>
              </w:rPr>
              <w:t xml:space="preserve"> by domestic</w:t>
            </w:r>
            <w:r>
              <w:rPr>
                <w:rFonts w:cs="Arial"/>
                <w:i/>
                <w:color w:val="000000"/>
                <w:szCs w:val="22"/>
                <w:lang w:val="en-NZ"/>
              </w:rPr>
              <w:t xml:space="preserve"> trusts</w:t>
            </w:r>
          </w:p>
        </w:tc>
      </w:tr>
      <w:tr w:rsidR="00EB6134" w:rsidRPr="00A864A5" w14:paraId="2895A1B0" w14:textId="77777777" w:rsidTr="006448CF">
        <w:trPr>
          <w:trHeight w:val="506"/>
        </w:trPr>
        <w:tc>
          <w:tcPr>
            <w:tcW w:w="1328" w:type="pct"/>
            <w:tcBorders>
              <w:top w:val="nil"/>
            </w:tcBorders>
            <w:shd w:val="clear" w:color="auto" w:fill="EBF5F8"/>
          </w:tcPr>
          <w:p w14:paraId="19AF4671" w14:textId="697D59E7" w:rsidR="001F29E6" w:rsidRPr="00A864A5" w:rsidRDefault="002C0E77" w:rsidP="00354522">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251E26BD" w:rsidR="001F29E6" w:rsidRPr="008064C0" w:rsidRDefault="00271DC4" w:rsidP="00354522">
            <w:pPr>
              <w:rPr>
                <w:rFonts w:cs="Arial"/>
                <w:i/>
                <w:color w:val="000000"/>
                <w:szCs w:val="22"/>
                <w:lang w:val="en-NZ"/>
              </w:rPr>
            </w:pPr>
            <w:r>
              <w:rPr>
                <w:rFonts w:cs="Arial"/>
                <w:i/>
                <w:color w:val="000000"/>
                <w:szCs w:val="22"/>
                <w:lang w:val="en-NZ"/>
              </w:rPr>
              <w:t>Inland Revenue</w:t>
            </w:r>
          </w:p>
        </w:tc>
      </w:tr>
      <w:tr w:rsidR="00EB6134" w:rsidRPr="00A864A5" w14:paraId="568C5BEC" w14:textId="77777777" w:rsidTr="006448CF">
        <w:trPr>
          <w:trHeight w:val="317"/>
        </w:trPr>
        <w:tc>
          <w:tcPr>
            <w:tcW w:w="1328" w:type="pct"/>
            <w:tcBorders>
              <w:top w:val="nil"/>
            </w:tcBorders>
            <w:shd w:val="clear" w:color="auto" w:fill="EBF5F8"/>
          </w:tcPr>
          <w:p w14:paraId="0F68A519" w14:textId="4F678206" w:rsidR="001F29E6" w:rsidRPr="00A864A5" w:rsidRDefault="001F29E6" w:rsidP="00354522">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3C92607C" w14:textId="5061CD46" w:rsidR="001F29E6" w:rsidRPr="008064C0" w:rsidRDefault="00271DC4" w:rsidP="00354522">
            <w:pPr>
              <w:rPr>
                <w:rFonts w:cs="Arial"/>
                <w:i/>
                <w:color w:val="000000"/>
                <w:szCs w:val="22"/>
                <w:lang w:val="en-NZ"/>
              </w:rPr>
            </w:pPr>
            <w:r>
              <w:rPr>
                <w:rFonts w:cs="Arial"/>
                <w:i/>
                <w:color w:val="000000"/>
                <w:szCs w:val="22"/>
                <w:lang w:val="en-NZ"/>
              </w:rPr>
              <w:t>Minister of Revenue</w:t>
            </w:r>
          </w:p>
        </w:tc>
      </w:tr>
      <w:tr w:rsidR="00EB6134" w:rsidRPr="00A864A5" w14:paraId="73C7C7FD" w14:textId="77777777" w:rsidTr="006448CF">
        <w:trPr>
          <w:trHeight w:val="202"/>
        </w:trPr>
        <w:tc>
          <w:tcPr>
            <w:tcW w:w="1328" w:type="pct"/>
            <w:tcBorders>
              <w:top w:val="nil"/>
            </w:tcBorders>
            <w:shd w:val="clear" w:color="auto" w:fill="EBF5F8"/>
          </w:tcPr>
          <w:p w14:paraId="5B57759D" w14:textId="6F936C83" w:rsidR="00C11B3B" w:rsidRPr="00A864A5" w:rsidRDefault="00C11B3B" w:rsidP="00354522">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72E979BD" w:rsidR="00C11B3B" w:rsidRPr="00A864A5" w:rsidRDefault="00FB0BF4" w:rsidP="00354522">
            <w:pPr>
              <w:rPr>
                <w:rFonts w:cs="Arial"/>
                <w:i/>
                <w:color w:val="000000"/>
                <w:szCs w:val="22"/>
                <w:lang w:val="en-NZ"/>
              </w:rPr>
            </w:pPr>
            <w:r w:rsidRPr="00DA4FC6">
              <w:rPr>
                <w:rFonts w:cs="Arial"/>
                <w:i/>
                <w:color w:val="000000"/>
                <w:szCs w:val="22"/>
                <w:lang w:val="en-NZ"/>
              </w:rPr>
              <w:t xml:space="preserve">21 </w:t>
            </w:r>
            <w:r w:rsidR="00AE31ED" w:rsidRPr="00DA4FC6">
              <w:rPr>
                <w:rFonts w:cs="Arial"/>
                <w:i/>
                <w:color w:val="000000"/>
                <w:szCs w:val="22"/>
                <w:lang w:val="en-NZ"/>
              </w:rPr>
              <w:t>February 2022</w:t>
            </w:r>
          </w:p>
        </w:tc>
      </w:tr>
      <w:tr w:rsidR="00EB6134" w:rsidRPr="00A864A5" w14:paraId="7F643A0E" w14:textId="77777777" w:rsidTr="006448CF">
        <w:tc>
          <w:tcPr>
            <w:tcW w:w="5000" w:type="pct"/>
            <w:gridSpan w:val="2"/>
            <w:tcBorders>
              <w:bottom w:val="single" w:sz="4" w:space="0" w:color="DDDDDD"/>
            </w:tcBorders>
            <w:shd w:val="clear" w:color="auto" w:fill="99CDDD"/>
            <w:hideMark/>
          </w:tcPr>
          <w:p w14:paraId="7F446F06" w14:textId="570ED786" w:rsidR="0079435C" w:rsidRPr="00A864A5" w:rsidRDefault="0079435C" w:rsidP="00354522">
            <w:pPr>
              <w:pStyle w:val="TableHeadings"/>
              <w:rPr>
                <w:color w:val="002060"/>
                <w:szCs w:val="22"/>
                <w:lang w:val="en-NZ"/>
              </w:rPr>
            </w:pPr>
            <w:r w:rsidRPr="00A864A5">
              <w:rPr>
                <w:szCs w:val="22"/>
                <w:lang w:val="en-NZ"/>
              </w:rPr>
              <w:t>Problem Definition</w:t>
            </w:r>
          </w:p>
        </w:tc>
      </w:tr>
      <w:tr w:rsidR="007E6E0A" w:rsidRPr="00A864A5" w14:paraId="058C86B2" w14:textId="77777777" w:rsidTr="006448CF">
        <w:trPr>
          <w:trHeight w:val="824"/>
        </w:trPr>
        <w:tc>
          <w:tcPr>
            <w:tcW w:w="5000" w:type="pct"/>
            <w:gridSpan w:val="2"/>
            <w:tcBorders>
              <w:top w:val="nil"/>
            </w:tcBorders>
            <w:shd w:val="clear" w:color="auto" w:fill="auto"/>
          </w:tcPr>
          <w:p w14:paraId="44E01863" w14:textId="78B16A3C" w:rsidR="00337A50" w:rsidRDefault="00154919" w:rsidP="005F312F">
            <w:pPr>
              <w:tabs>
                <w:tab w:val="left" w:pos="7424"/>
                <w:tab w:val="right" w:pos="8636"/>
              </w:tabs>
              <w:spacing w:before="180"/>
              <w:jc w:val="both"/>
            </w:pPr>
            <w:r>
              <w:rPr>
                <w:rFonts w:cs="Arial"/>
                <w:szCs w:val="22"/>
                <w:lang w:val="en-NZ"/>
              </w:rPr>
              <w:t>I</w:t>
            </w:r>
            <w:r w:rsidR="00271DC4">
              <w:rPr>
                <w:rFonts w:cs="Arial"/>
                <w:szCs w:val="22"/>
                <w:lang w:val="en-NZ"/>
              </w:rPr>
              <w:t>ncreased disclosure requirements for</w:t>
            </w:r>
            <w:r>
              <w:rPr>
                <w:rFonts w:cs="Arial"/>
                <w:szCs w:val="22"/>
                <w:lang w:val="en-NZ"/>
              </w:rPr>
              <w:t xml:space="preserve"> </w:t>
            </w:r>
            <w:r w:rsidR="002D476D">
              <w:rPr>
                <w:rFonts w:cs="Arial"/>
                <w:szCs w:val="22"/>
                <w:lang w:val="en-NZ"/>
              </w:rPr>
              <w:t xml:space="preserve">trusts </w:t>
            </w:r>
            <w:r w:rsidR="00271DC4">
              <w:rPr>
                <w:rFonts w:cs="Arial"/>
                <w:szCs w:val="22"/>
                <w:lang w:val="en-NZ"/>
              </w:rPr>
              <w:t>were enacted in December 2020 for the 2021–22 and later income years</w:t>
            </w:r>
            <w:r w:rsidR="00C37B7E">
              <w:rPr>
                <w:rFonts w:cs="Arial"/>
                <w:szCs w:val="22"/>
                <w:lang w:val="en-NZ"/>
              </w:rPr>
              <w:t xml:space="preserve"> to </w:t>
            </w:r>
            <w:r w:rsidR="00371D0E">
              <w:rPr>
                <w:rFonts w:cs="Arial"/>
                <w:szCs w:val="22"/>
                <w:lang w:val="en-NZ"/>
              </w:rPr>
              <w:t xml:space="preserve">help </w:t>
            </w:r>
            <w:r w:rsidR="00B362DA">
              <w:t xml:space="preserve">evaluate the </w:t>
            </w:r>
            <w:r w:rsidR="00F473E0">
              <w:t xml:space="preserve">effectiveness of the </w:t>
            </w:r>
            <w:r w:rsidR="00B362DA">
              <w:t>new top personal tax rate of 39% and gain insight into the use of structures and entities by trustees in New Zealand.</w:t>
            </w:r>
            <w:r w:rsidR="00754685">
              <w:rPr>
                <w:rStyle w:val="FootnoteReference"/>
              </w:rPr>
              <w:footnoteReference w:id="2"/>
            </w:r>
            <w:r w:rsidR="00EF06A6">
              <w:t xml:space="preserve"> The disclosure requirements </w:t>
            </w:r>
            <w:r w:rsidR="003621C3">
              <w:t>do not apply to certain categories of trusts, including foreign trusts, so for the purposes of this regulatory impact statement (RIS) we have referred to the disclosure rules as relating to domestic trusts only</w:t>
            </w:r>
            <w:r w:rsidR="002815BA">
              <w:t>.</w:t>
            </w:r>
          </w:p>
          <w:p w14:paraId="71B6B517" w14:textId="77777777" w:rsidR="00C96F6B" w:rsidRDefault="00337A50" w:rsidP="005F312F">
            <w:pPr>
              <w:tabs>
                <w:tab w:val="left" w:pos="7424"/>
                <w:tab w:val="right" w:pos="8636"/>
              </w:tabs>
              <w:spacing w:before="180"/>
              <w:jc w:val="both"/>
              <w:rPr>
                <w:rFonts w:cs="Arial"/>
                <w:szCs w:val="22"/>
              </w:rPr>
            </w:pPr>
            <w:r>
              <w:t xml:space="preserve">The disclosure rules include </w:t>
            </w:r>
            <w:r w:rsidR="00271DC4">
              <w:rPr>
                <w:rFonts w:cs="Arial"/>
                <w:szCs w:val="22"/>
                <w:lang w:val="en-NZ"/>
              </w:rPr>
              <w:t xml:space="preserve">the requirement for trustees of </w:t>
            </w:r>
            <w:r w:rsidR="00154919">
              <w:rPr>
                <w:rFonts w:cs="Arial"/>
                <w:szCs w:val="22"/>
                <w:lang w:val="en-NZ"/>
              </w:rPr>
              <w:t>domestic</w:t>
            </w:r>
            <w:r w:rsidR="00271DC4">
              <w:rPr>
                <w:rFonts w:cs="Arial"/>
                <w:szCs w:val="22"/>
                <w:lang w:val="en-NZ"/>
              </w:rPr>
              <w:t xml:space="preserve"> trusts to prepare financial statements.</w:t>
            </w:r>
            <w:r>
              <w:rPr>
                <w:rFonts w:cs="Arial"/>
                <w:szCs w:val="22"/>
                <w:lang w:val="en-NZ"/>
              </w:rPr>
              <w:t xml:space="preserve"> </w:t>
            </w:r>
            <w:r w:rsidR="00271DC4">
              <w:rPr>
                <w:rFonts w:cs="Arial"/>
                <w:szCs w:val="22"/>
                <w:lang w:val="en-NZ"/>
              </w:rPr>
              <w:t xml:space="preserve">The </w:t>
            </w:r>
            <w:r>
              <w:rPr>
                <w:rFonts w:cs="Arial"/>
                <w:szCs w:val="22"/>
                <w:lang w:val="en-NZ"/>
              </w:rPr>
              <w:t>rules</w:t>
            </w:r>
            <w:r w:rsidR="00271DC4">
              <w:rPr>
                <w:rFonts w:cs="Arial"/>
                <w:szCs w:val="22"/>
                <w:lang w:val="en-NZ"/>
              </w:rPr>
              <w:t xml:space="preserve"> </w:t>
            </w:r>
            <w:r>
              <w:rPr>
                <w:rFonts w:cs="Arial"/>
                <w:szCs w:val="22"/>
                <w:lang w:val="en-NZ"/>
              </w:rPr>
              <w:t xml:space="preserve">do </w:t>
            </w:r>
            <w:r w:rsidR="00271DC4">
              <w:rPr>
                <w:rFonts w:cs="Arial"/>
                <w:szCs w:val="22"/>
                <w:lang w:val="en-NZ"/>
              </w:rPr>
              <w:t>not specify what level of detail the financial statements should be prepared to.</w:t>
            </w:r>
          </w:p>
          <w:p w14:paraId="4EBB6131" w14:textId="609E87FB" w:rsidR="0079435C" w:rsidRPr="00A864A5" w:rsidRDefault="00927109" w:rsidP="005F312F">
            <w:pPr>
              <w:tabs>
                <w:tab w:val="left" w:pos="7424"/>
                <w:tab w:val="right" w:pos="8636"/>
              </w:tabs>
              <w:spacing w:before="180"/>
              <w:jc w:val="both"/>
              <w:rPr>
                <w:rFonts w:cs="Arial"/>
                <w:szCs w:val="22"/>
                <w:lang w:val="en-NZ"/>
              </w:rPr>
            </w:pPr>
            <w:r>
              <w:rPr>
                <w:rFonts w:cs="Arial"/>
                <w:szCs w:val="22"/>
                <w:lang w:val="en-NZ"/>
              </w:rPr>
              <w:t>T</w:t>
            </w:r>
            <w:r w:rsidR="006E4342" w:rsidRPr="006E4342">
              <w:rPr>
                <w:rFonts w:cs="Arial"/>
                <w:szCs w:val="22"/>
                <w:lang w:val="en-NZ"/>
              </w:rPr>
              <w:t xml:space="preserve">here would be uncertainty regarding the level of detail the </w:t>
            </w:r>
            <w:r>
              <w:rPr>
                <w:rFonts w:cs="Arial"/>
                <w:szCs w:val="22"/>
                <w:lang w:val="en-NZ"/>
              </w:rPr>
              <w:t xml:space="preserve">financial </w:t>
            </w:r>
            <w:r w:rsidR="006E4342" w:rsidRPr="006E4342">
              <w:rPr>
                <w:rFonts w:cs="Arial"/>
                <w:szCs w:val="22"/>
                <w:lang w:val="en-NZ"/>
              </w:rPr>
              <w:t>statements must be prepared to</w:t>
            </w:r>
            <w:r w:rsidR="00A76F22">
              <w:rPr>
                <w:rFonts w:cs="Arial"/>
                <w:szCs w:val="22"/>
                <w:lang w:val="en-NZ"/>
              </w:rPr>
              <w:t xml:space="preserve"> </w:t>
            </w:r>
            <w:r w:rsidR="00290587">
              <w:rPr>
                <w:rFonts w:cs="Arial"/>
                <w:szCs w:val="22"/>
                <w:lang w:val="en-NZ"/>
              </w:rPr>
              <w:t xml:space="preserve">if </w:t>
            </w:r>
            <w:r w:rsidR="00A76F22">
              <w:rPr>
                <w:rFonts w:cs="Arial"/>
                <w:szCs w:val="22"/>
                <w:lang w:val="en-NZ"/>
              </w:rPr>
              <w:t>minimum standards were not set</w:t>
            </w:r>
            <w:r w:rsidR="006E4342" w:rsidRPr="006E4342">
              <w:rPr>
                <w:rFonts w:cs="Arial"/>
                <w:szCs w:val="22"/>
                <w:lang w:val="en-NZ"/>
              </w:rPr>
              <w:t xml:space="preserve">. This would affect the quality of data collected and possibly lead to non-compliance with the </w:t>
            </w:r>
            <w:r w:rsidR="0082074A">
              <w:rPr>
                <w:rFonts w:cs="Arial"/>
                <w:szCs w:val="22"/>
                <w:lang w:val="en-NZ"/>
              </w:rPr>
              <w:t xml:space="preserve">disclosure </w:t>
            </w:r>
            <w:r w:rsidR="006E4342" w:rsidRPr="006E4342">
              <w:rPr>
                <w:rFonts w:cs="Arial"/>
                <w:szCs w:val="22"/>
                <w:lang w:val="en-NZ"/>
              </w:rPr>
              <w:t>rules.</w:t>
            </w:r>
            <w:r w:rsidR="0079435C" w:rsidRPr="00A864A5">
              <w:rPr>
                <w:rFonts w:cs="Arial"/>
                <w:szCs w:val="22"/>
                <w:lang w:val="en-NZ"/>
              </w:rPr>
              <w:tab/>
            </w:r>
            <w:r w:rsidR="0079435C" w:rsidRPr="00A864A5">
              <w:rPr>
                <w:rFonts w:cs="Arial"/>
                <w:szCs w:val="22"/>
                <w:lang w:val="en-NZ"/>
              </w:rPr>
              <w:tab/>
            </w:r>
          </w:p>
        </w:tc>
      </w:tr>
      <w:tr w:rsidR="00EB6134" w:rsidRPr="00A864A5" w14:paraId="7CED8916" w14:textId="77777777" w:rsidTr="006448CF">
        <w:tc>
          <w:tcPr>
            <w:tcW w:w="5000" w:type="pct"/>
            <w:gridSpan w:val="2"/>
            <w:tcBorders>
              <w:bottom w:val="single" w:sz="4" w:space="0" w:color="DDDDDD"/>
            </w:tcBorders>
            <w:shd w:val="clear" w:color="auto" w:fill="99CDDD"/>
            <w:hideMark/>
          </w:tcPr>
          <w:p w14:paraId="163B530B" w14:textId="0ACEE607" w:rsidR="00C93549" w:rsidRPr="00A864A5" w:rsidRDefault="00063943" w:rsidP="00354522">
            <w:pPr>
              <w:pStyle w:val="TableHeadings"/>
              <w:rPr>
                <w:color w:val="002060"/>
                <w:szCs w:val="22"/>
                <w:lang w:val="en-NZ"/>
              </w:rPr>
            </w:pPr>
            <w:bookmarkStart w:id="7" w:name="_Hlk57202117"/>
            <w:r w:rsidRPr="00A864A5">
              <w:rPr>
                <w:szCs w:val="22"/>
                <w:lang w:val="en-NZ"/>
              </w:rPr>
              <w:t>Exe</w:t>
            </w:r>
            <w:r w:rsidR="0079435C" w:rsidRPr="00A864A5">
              <w:rPr>
                <w:szCs w:val="22"/>
                <w:lang w:val="en-NZ"/>
              </w:rPr>
              <w:t>cutive Summary</w:t>
            </w:r>
          </w:p>
        </w:tc>
      </w:tr>
      <w:tr w:rsidR="007E6E0A" w:rsidRPr="00A864A5" w14:paraId="6B25993E" w14:textId="77777777" w:rsidTr="006448CF">
        <w:trPr>
          <w:trHeight w:val="944"/>
        </w:trPr>
        <w:tc>
          <w:tcPr>
            <w:tcW w:w="5000" w:type="pct"/>
            <w:gridSpan w:val="2"/>
            <w:tcBorders>
              <w:top w:val="nil"/>
            </w:tcBorders>
            <w:shd w:val="clear" w:color="auto" w:fill="auto"/>
          </w:tcPr>
          <w:p w14:paraId="18F57A30" w14:textId="6480DA7E" w:rsidR="00E51E13" w:rsidRPr="005F312F" w:rsidRDefault="00E51E13" w:rsidP="005F312F">
            <w:pPr>
              <w:spacing w:before="180"/>
              <w:jc w:val="both"/>
              <w:rPr>
                <w:b/>
                <w:bCs/>
              </w:rPr>
            </w:pPr>
            <w:r w:rsidRPr="005F312F">
              <w:rPr>
                <w:b/>
                <w:bCs/>
              </w:rPr>
              <w:t>Background</w:t>
            </w:r>
          </w:p>
          <w:p w14:paraId="14E3FC14" w14:textId="3CD39714" w:rsidR="00B8068D" w:rsidRDefault="00B8068D" w:rsidP="005F312F">
            <w:pPr>
              <w:spacing w:before="180"/>
              <w:jc w:val="both"/>
            </w:pPr>
            <w:r>
              <w:t xml:space="preserve">In December 2020, amendments were made to the Tax Administration Act 1994 (TAA) </w:t>
            </w:r>
            <w:r w:rsidR="00A76F22">
              <w:t xml:space="preserve">that </w:t>
            </w:r>
            <w:r w:rsidR="0082074A">
              <w:t>introduce</w:t>
            </w:r>
            <w:r w:rsidR="00A76F22">
              <w:t>d</w:t>
            </w:r>
            <w:r w:rsidR="0082074A">
              <w:t xml:space="preserve"> increased disclosure </w:t>
            </w:r>
            <w:r>
              <w:t>require</w:t>
            </w:r>
            <w:r w:rsidR="0082074A">
              <w:t>ments for</w:t>
            </w:r>
            <w:r>
              <w:t xml:space="preserve"> trustees of </w:t>
            </w:r>
            <w:r w:rsidR="00C96F6B">
              <w:t>domestic</w:t>
            </w:r>
            <w:r>
              <w:t xml:space="preserve"> trusts </w:t>
            </w:r>
            <w:r w:rsidR="0082074A">
              <w:t>f</w:t>
            </w:r>
            <w:r w:rsidR="001F42A1">
              <w:t>or</w:t>
            </w:r>
            <w:r w:rsidR="0082074A">
              <w:t xml:space="preserve"> the </w:t>
            </w:r>
            <w:r w:rsidR="0082074A" w:rsidRPr="004A63F6">
              <w:t>2021–22 and later income years</w:t>
            </w:r>
            <w:r>
              <w:t xml:space="preserve">. These </w:t>
            </w:r>
            <w:r w:rsidR="0082074A">
              <w:t>disclosure rules</w:t>
            </w:r>
            <w:r>
              <w:t xml:space="preserve"> were introduced</w:t>
            </w:r>
            <w:r w:rsidRPr="008F1C98">
              <w:t xml:space="preserve"> to </w:t>
            </w:r>
            <w:r w:rsidR="00453AAE">
              <w:t xml:space="preserve">gain insight into </w:t>
            </w:r>
            <w:r w:rsidR="008C153A">
              <w:t>the effectiveness of the top personal tax rate of 39%</w:t>
            </w:r>
            <w:r w:rsidRPr="008F1C98">
              <w:t xml:space="preserve"> and to provide better information to understand and monitor the use of structures and entities by trustees</w:t>
            </w:r>
            <w:r>
              <w:t>.</w:t>
            </w:r>
          </w:p>
          <w:p w14:paraId="4AE0F6CA" w14:textId="7C9E4648" w:rsidR="00296B3F" w:rsidRDefault="001F42A1" w:rsidP="005F312F">
            <w:pPr>
              <w:spacing w:before="180"/>
              <w:jc w:val="both"/>
            </w:pPr>
            <w:r>
              <w:t xml:space="preserve">The disclosure rules </w:t>
            </w:r>
            <w:r w:rsidR="00F53412">
              <w:t xml:space="preserve">apply to </w:t>
            </w:r>
            <w:r w:rsidR="00B8068D">
              <w:t>trusts that have assessable income and do not fall within certain exclusion categories</w:t>
            </w:r>
            <w:r w:rsidR="00F53412">
              <w:t xml:space="preserve">. The rules include the requirement for </w:t>
            </w:r>
            <w:r w:rsidR="00296B3F">
              <w:t xml:space="preserve">these </w:t>
            </w:r>
            <w:r w:rsidR="00F53412">
              <w:t>trusts to prepare</w:t>
            </w:r>
            <w:r>
              <w:t xml:space="preserve"> </w:t>
            </w:r>
            <w:r w:rsidR="00F53412">
              <w:t>a</w:t>
            </w:r>
            <w:r w:rsidR="00704D34">
              <w:t xml:space="preserve"> statement of profit or loss and a statement of financial position</w:t>
            </w:r>
            <w:r w:rsidR="00F53412">
              <w:t>.</w:t>
            </w:r>
          </w:p>
          <w:p w14:paraId="49BC59C3" w14:textId="1F5FBB44" w:rsidR="007D2CE6" w:rsidRDefault="007D2CE6" w:rsidP="005F312F">
            <w:pPr>
              <w:spacing w:before="180"/>
              <w:jc w:val="both"/>
            </w:pPr>
            <w:r>
              <w:lastRenderedPageBreak/>
              <w:t xml:space="preserve">The TAA does not specify what information trustees must include </w:t>
            </w:r>
            <w:r w:rsidR="002B51B7">
              <w:t>in these financial statements</w:t>
            </w:r>
            <w:r>
              <w:t>.</w:t>
            </w:r>
            <w:r w:rsidR="00BF58BE">
              <w:t xml:space="preserve"> </w:t>
            </w:r>
            <w:r w:rsidR="00453AAE">
              <w:t>T</w:t>
            </w:r>
            <w:r w:rsidR="00BF58BE" w:rsidRPr="00BF58BE">
              <w:t>here would be uncertainty regarding the level of detail the</w:t>
            </w:r>
            <w:r w:rsidR="00453AAE">
              <w:t xml:space="preserve"> </w:t>
            </w:r>
            <w:r w:rsidR="00BF58BE" w:rsidRPr="00BF58BE">
              <w:t>statements must be prepared to</w:t>
            </w:r>
            <w:r w:rsidR="00453AAE">
              <w:t xml:space="preserve"> if minimum standards were not set</w:t>
            </w:r>
            <w:r w:rsidR="00BF58BE" w:rsidRPr="00BF58BE">
              <w:t>. This would affect the quality of data collected and possibly lead to non-compliance with the rules.</w:t>
            </w:r>
          </w:p>
          <w:p w14:paraId="5A7C2FF9" w14:textId="50D0D68C" w:rsidR="003832C6" w:rsidRDefault="003832C6" w:rsidP="005F312F">
            <w:pPr>
              <w:spacing w:before="180"/>
              <w:jc w:val="both"/>
            </w:pPr>
            <w:r>
              <w:t xml:space="preserve">Officials considered </w:t>
            </w:r>
            <w:r w:rsidR="0062255F">
              <w:t xml:space="preserve">whether to </w:t>
            </w:r>
            <w:r w:rsidR="007E6BD5">
              <w:t>adopt</w:t>
            </w:r>
            <w:r w:rsidR="0062255F">
              <w:t xml:space="preserve"> </w:t>
            </w:r>
            <w:r w:rsidR="007E6BD5">
              <w:t xml:space="preserve">accounting standards set by the External Reporting Board (XRB), set minimum standards by secondary legislation, or </w:t>
            </w:r>
            <w:r w:rsidR="0062255F">
              <w:t>set minimum standards by primary legislation. These options are analysed in further detail in Section</w:t>
            </w:r>
            <w:r w:rsidR="007E6BD5">
              <w:t xml:space="preserve"> </w:t>
            </w:r>
            <w:r w:rsidR="0062255F">
              <w:t>2.</w:t>
            </w:r>
          </w:p>
          <w:p w14:paraId="61A15ACF" w14:textId="73A4E38B" w:rsidR="00E51E13" w:rsidRPr="005F312F" w:rsidRDefault="00E51E13" w:rsidP="005F312F">
            <w:pPr>
              <w:spacing w:before="180"/>
              <w:jc w:val="both"/>
              <w:rPr>
                <w:b/>
                <w:bCs/>
              </w:rPr>
            </w:pPr>
            <w:r w:rsidRPr="005F312F">
              <w:rPr>
                <w:b/>
                <w:bCs/>
              </w:rPr>
              <w:t>Proposal</w:t>
            </w:r>
          </w:p>
          <w:p w14:paraId="228E9BEF" w14:textId="3EE8A629" w:rsidR="006A59B7" w:rsidRDefault="006A59B7" w:rsidP="005F312F">
            <w:pPr>
              <w:spacing w:before="180"/>
              <w:jc w:val="both"/>
            </w:pPr>
            <w:r>
              <w:t xml:space="preserve">Officials propose </w:t>
            </w:r>
            <w:r w:rsidR="00BC22CD">
              <w:t xml:space="preserve">setting minimum standards for financial statements prepared by domestic trusts by Order in Council </w:t>
            </w:r>
            <w:r w:rsidR="000D4416">
              <w:t xml:space="preserve">(OIC) </w:t>
            </w:r>
            <w:r w:rsidR="00BC22CD">
              <w:t xml:space="preserve">made under a generic financial reporting provision of the </w:t>
            </w:r>
            <w:r w:rsidR="00AB5AD9">
              <w:t>TAA</w:t>
            </w:r>
            <w:r w:rsidR="00BC22CD">
              <w:t>.</w:t>
            </w:r>
          </w:p>
          <w:p w14:paraId="5299E48E" w14:textId="38B78979" w:rsidR="001155E1" w:rsidRDefault="00573EF1" w:rsidP="005F312F">
            <w:pPr>
              <w:spacing w:before="180"/>
              <w:jc w:val="both"/>
            </w:pPr>
            <w:r>
              <w:t xml:space="preserve">Setting minimum standards </w:t>
            </w:r>
            <w:r w:rsidR="00D354C1">
              <w:t xml:space="preserve">would provide increased certainty, support compliance with the disclosure rules, and </w:t>
            </w:r>
            <w:r w:rsidR="007E70EB">
              <w:t xml:space="preserve">improve </w:t>
            </w:r>
            <w:r w:rsidR="006A59B7">
              <w:t>the quality of data collected.</w:t>
            </w:r>
            <w:r w:rsidR="00C53582">
              <w:t xml:space="preserve"> </w:t>
            </w:r>
          </w:p>
          <w:p w14:paraId="6D50B59D" w14:textId="20734A10" w:rsidR="00BF58BE" w:rsidRDefault="00C53582" w:rsidP="005F312F">
            <w:pPr>
              <w:spacing w:before="180"/>
              <w:jc w:val="both"/>
            </w:pPr>
            <w:r>
              <w:t xml:space="preserve">Officials consider that </w:t>
            </w:r>
            <w:r w:rsidR="00826F81">
              <w:t xml:space="preserve">an </w:t>
            </w:r>
            <w:r>
              <w:t xml:space="preserve">OIC is the appropriate </w:t>
            </w:r>
            <w:r w:rsidR="00826F81">
              <w:t>instrument</w:t>
            </w:r>
            <w:r>
              <w:t xml:space="preserve"> for setting these standards, as </w:t>
            </w:r>
            <w:r w:rsidR="0070354A">
              <w:t xml:space="preserve">it </w:t>
            </w:r>
            <w:r w:rsidR="006721AD">
              <w:t>creates consistency in the legislative framework for different entity types (companies, foreign trusts and domestic trusts)</w:t>
            </w:r>
            <w:r w:rsidR="001155E1">
              <w:t xml:space="preserve">. </w:t>
            </w:r>
            <w:r w:rsidR="00E146EA">
              <w:t>This approach</w:t>
            </w:r>
            <w:r w:rsidR="00E03A8D">
              <w:t xml:space="preserve"> also</w:t>
            </w:r>
            <w:r w:rsidR="00E146EA">
              <w:t xml:space="preserve"> enhances the transparency of the standards </w:t>
            </w:r>
            <w:r w:rsidR="00562A89">
              <w:t>and subjects the</w:t>
            </w:r>
            <w:r w:rsidR="00A733BC">
              <w:t>m</w:t>
            </w:r>
            <w:r w:rsidR="00562A89">
              <w:t xml:space="preserve"> to review by the Minister of Revenue </w:t>
            </w:r>
            <w:r w:rsidR="00A121BD">
              <w:t xml:space="preserve">and the consent of </w:t>
            </w:r>
            <w:r w:rsidR="00A733BC">
              <w:t xml:space="preserve">the </w:t>
            </w:r>
            <w:r w:rsidR="00A121BD">
              <w:t>Executive Council</w:t>
            </w:r>
            <w:r w:rsidR="00231B40">
              <w:t xml:space="preserve">, thereby </w:t>
            </w:r>
            <w:r w:rsidR="00F91496">
              <w:t xml:space="preserve">assuring taxpayers </w:t>
            </w:r>
            <w:r w:rsidR="0038189A">
              <w:t xml:space="preserve">that appropriate processes </w:t>
            </w:r>
            <w:r w:rsidR="006977EC">
              <w:t>have been undertaken.</w:t>
            </w:r>
          </w:p>
          <w:p w14:paraId="753ADE1B" w14:textId="5A8EB2D8" w:rsidR="00E51E13" w:rsidRPr="005F312F" w:rsidRDefault="00E51E13" w:rsidP="005F312F">
            <w:pPr>
              <w:spacing w:before="180"/>
              <w:jc w:val="both"/>
              <w:rPr>
                <w:b/>
                <w:bCs/>
              </w:rPr>
            </w:pPr>
            <w:r w:rsidRPr="005F312F">
              <w:rPr>
                <w:b/>
                <w:bCs/>
              </w:rPr>
              <w:t>Consultation and stakeholders’ views</w:t>
            </w:r>
          </w:p>
          <w:p w14:paraId="531F3173" w14:textId="2E4148B1" w:rsidR="007D2C6F" w:rsidRDefault="006A59B7" w:rsidP="005F312F">
            <w:pPr>
              <w:spacing w:before="180"/>
              <w:jc w:val="both"/>
              <w:rPr>
                <w:lang w:val="en-NZ"/>
              </w:rPr>
            </w:pPr>
            <w:r>
              <w:rPr>
                <w:lang w:val="en-NZ"/>
              </w:rPr>
              <w:t xml:space="preserve">The proposed minimum standards </w:t>
            </w:r>
            <w:r w:rsidR="00573EF1">
              <w:rPr>
                <w:lang w:val="en-NZ"/>
              </w:rPr>
              <w:t xml:space="preserve">have been designed based on feedback </w:t>
            </w:r>
            <w:r w:rsidR="00CF170C">
              <w:rPr>
                <w:lang w:val="en-NZ"/>
              </w:rPr>
              <w:t xml:space="preserve">received in consultation and </w:t>
            </w:r>
            <w:r w:rsidR="00374D3F">
              <w:rPr>
                <w:lang w:val="en-NZ"/>
              </w:rPr>
              <w:t>are</w:t>
            </w:r>
            <w:r w:rsidR="00CF170C">
              <w:rPr>
                <w:lang w:val="en-NZ"/>
              </w:rPr>
              <w:t xml:space="preserve"> aimed at striking a balance between </w:t>
            </w:r>
            <w:r w:rsidR="007D2C6F">
              <w:t xml:space="preserve">supporting the Government’s </w:t>
            </w:r>
            <w:r w:rsidR="00BD5D03">
              <w:t xml:space="preserve">trust disclosure rules </w:t>
            </w:r>
            <w:r w:rsidR="007D2C6F">
              <w:t xml:space="preserve">objectives and minimising compliance costs for trusts. The proposed minimum standards provide </w:t>
            </w:r>
            <w:r w:rsidR="003235DF">
              <w:t>simplified reporting requirements for an estimated 75% of affected trusts</w:t>
            </w:r>
            <w:r w:rsidR="007D2C6F">
              <w:t>.</w:t>
            </w:r>
          </w:p>
          <w:p w14:paraId="3876CD64" w14:textId="32197383" w:rsidR="00D13972" w:rsidRDefault="007D2C6F" w:rsidP="005F312F">
            <w:pPr>
              <w:spacing w:before="180"/>
              <w:jc w:val="both"/>
              <w:rPr>
                <w:lang w:val="en-NZ"/>
              </w:rPr>
            </w:pPr>
            <w:r>
              <w:rPr>
                <w:lang w:val="en-NZ"/>
              </w:rPr>
              <w:t xml:space="preserve">Officials undertook targeted and public consultation in 2021. Stakeholders broadly supported setting minimum standards by </w:t>
            </w:r>
            <w:r w:rsidR="000D4416">
              <w:rPr>
                <w:lang w:val="en-NZ"/>
              </w:rPr>
              <w:t>OIC</w:t>
            </w:r>
            <w:r w:rsidR="008676B0">
              <w:rPr>
                <w:lang w:val="en-NZ"/>
              </w:rPr>
              <w:t xml:space="preserve">, as it would increase certainty for trustees regarding </w:t>
            </w:r>
            <w:r w:rsidR="00374D3F">
              <w:rPr>
                <w:lang w:val="en-NZ"/>
              </w:rPr>
              <w:t xml:space="preserve">their </w:t>
            </w:r>
            <w:r w:rsidR="008676B0">
              <w:rPr>
                <w:lang w:val="en-NZ"/>
              </w:rPr>
              <w:t>reporting obligations</w:t>
            </w:r>
            <w:r w:rsidR="00512682">
              <w:rPr>
                <w:lang w:val="en-NZ"/>
              </w:rPr>
              <w:t>.</w:t>
            </w:r>
          </w:p>
          <w:p w14:paraId="32A1256D" w14:textId="0AE46BF2" w:rsidR="000132F6" w:rsidRPr="007D2C6F" w:rsidRDefault="004E5B20" w:rsidP="005F312F">
            <w:pPr>
              <w:spacing w:before="180"/>
              <w:jc w:val="both"/>
            </w:pPr>
            <w:r>
              <w:rPr>
                <w:lang w:val="en-NZ"/>
              </w:rPr>
              <w:t xml:space="preserve">Although the </w:t>
            </w:r>
            <w:r w:rsidR="006A24DC">
              <w:rPr>
                <w:lang w:val="en-NZ"/>
              </w:rPr>
              <w:t xml:space="preserve">new disclosure </w:t>
            </w:r>
            <w:r w:rsidR="005C67B4">
              <w:rPr>
                <w:lang w:val="en-NZ"/>
              </w:rPr>
              <w:t>rules introduced in December 2020 were not the focus of officials’ consultation in 2021, s</w:t>
            </w:r>
            <w:r w:rsidR="003F1BC3">
              <w:rPr>
                <w:lang w:val="en-NZ"/>
              </w:rPr>
              <w:t xml:space="preserve">ubmitters raised concerns regarding the </w:t>
            </w:r>
            <w:r w:rsidR="00FD0571">
              <w:rPr>
                <w:lang w:val="en-NZ"/>
              </w:rPr>
              <w:t xml:space="preserve">expected </w:t>
            </w:r>
            <w:r w:rsidR="003F1BC3">
              <w:rPr>
                <w:lang w:val="en-NZ"/>
              </w:rPr>
              <w:t xml:space="preserve">significant compliance costs of the </w:t>
            </w:r>
            <w:r w:rsidR="00D13972">
              <w:rPr>
                <w:lang w:val="en-NZ"/>
              </w:rPr>
              <w:t>rules</w:t>
            </w:r>
            <w:r w:rsidR="006A24DC">
              <w:rPr>
                <w:lang w:val="en-NZ"/>
              </w:rPr>
              <w:t xml:space="preserve"> for trustees</w:t>
            </w:r>
            <w:r w:rsidR="00D13972">
              <w:rPr>
                <w:lang w:val="en-NZ"/>
              </w:rPr>
              <w:t xml:space="preserve">. A number of submitters recommended </w:t>
            </w:r>
            <w:r w:rsidR="00A65C85">
              <w:rPr>
                <w:lang w:val="en-NZ"/>
              </w:rPr>
              <w:t>legislative amendments</w:t>
            </w:r>
            <w:r w:rsidR="00374D3F">
              <w:rPr>
                <w:lang w:val="en-NZ"/>
              </w:rPr>
              <w:t xml:space="preserve"> to</w:t>
            </w:r>
            <w:r w:rsidR="00A65C85">
              <w:rPr>
                <w:lang w:val="en-NZ"/>
              </w:rPr>
              <w:t xml:space="preserve"> </w:t>
            </w:r>
            <w:r w:rsidR="00D13972">
              <w:rPr>
                <w:lang w:val="en-NZ"/>
              </w:rPr>
              <w:t>exclud</w:t>
            </w:r>
            <w:r w:rsidR="00374D3F">
              <w:rPr>
                <w:lang w:val="en-NZ"/>
              </w:rPr>
              <w:t>e</w:t>
            </w:r>
            <w:r w:rsidR="00D13972">
              <w:rPr>
                <w:lang w:val="en-NZ"/>
              </w:rPr>
              <w:t xml:space="preserve"> small trusts from the trust disclosure rules</w:t>
            </w:r>
            <w:r w:rsidR="00CC285C">
              <w:rPr>
                <w:lang w:val="en-NZ"/>
              </w:rPr>
              <w:t>,</w:t>
            </w:r>
            <w:r w:rsidR="00D13972">
              <w:rPr>
                <w:lang w:val="en-NZ"/>
              </w:rPr>
              <w:t xml:space="preserve"> or </w:t>
            </w:r>
            <w:r w:rsidR="00CC285C">
              <w:rPr>
                <w:lang w:val="en-NZ"/>
              </w:rPr>
              <w:t xml:space="preserve">to </w:t>
            </w:r>
            <w:r w:rsidR="00A65C85">
              <w:rPr>
                <w:lang w:val="en-NZ"/>
              </w:rPr>
              <w:t xml:space="preserve">defer the implementation of the rules for one year to allow </w:t>
            </w:r>
            <w:r w:rsidR="005910F7">
              <w:rPr>
                <w:lang w:val="en-NZ"/>
              </w:rPr>
              <w:t>trustees to re</w:t>
            </w:r>
            <w:r w:rsidR="00D11382">
              <w:rPr>
                <w:lang w:val="en-NZ"/>
              </w:rPr>
              <w:t>structure out of the rules or give them more time to prepare. Matters relating to the implementation or scope of the wider disclosure rules are outside the scope of this RIS.</w:t>
            </w:r>
          </w:p>
        </w:tc>
      </w:tr>
      <w:tr w:rsidR="00EB6134" w:rsidRPr="00A864A5" w14:paraId="42ED5650" w14:textId="77777777" w:rsidTr="006448CF">
        <w:tc>
          <w:tcPr>
            <w:tcW w:w="5000" w:type="pct"/>
            <w:gridSpan w:val="2"/>
            <w:tcBorders>
              <w:bottom w:val="single" w:sz="4" w:space="0" w:color="DDDDDD"/>
            </w:tcBorders>
            <w:shd w:val="clear" w:color="auto" w:fill="99CDDD"/>
            <w:hideMark/>
          </w:tcPr>
          <w:p w14:paraId="195A9405" w14:textId="74F1F41C" w:rsidR="00E8143E" w:rsidRPr="00A864A5" w:rsidRDefault="00E8143E" w:rsidP="00354522">
            <w:pPr>
              <w:pStyle w:val="TableHeadings"/>
              <w:rPr>
                <w:color w:val="002060"/>
                <w:szCs w:val="22"/>
                <w:lang w:val="en-NZ"/>
              </w:rPr>
            </w:pPr>
            <w:bookmarkStart w:id="8" w:name="_Hlk57203483"/>
            <w:bookmarkEnd w:id="6"/>
            <w:bookmarkEnd w:id="7"/>
            <w:r w:rsidRPr="00F61DBA">
              <w:rPr>
                <w:szCs w:val="22"/>
                <w:lang w:val="en-NZ"/>
              </w:rPr>
              <w:lastRenderedPageBreak/>
              <w:t xml:space="preserve">Limitations </w:t>
            </w:r>
            <w:r w:rsidR="003F775E" w:rsidRPr="00F61DBA">
              <w:rPr>
                <w:szCs w:val="22"/>
                <w:lang w:val="en-NZ"/>
              </w:rPr>
              <w:t>and</w:t>
            </w:r>
            <w:r w:rsidRPr="00F61DBA">
              <w:rPr>
                <w:szCs w:val="22"/>
                <w:lang w:val="en-NZ"/>
              </w:rPr>
              <w:t xml:space="preserve"> Constraints on Analysis</w:t>
            </w:r>
          </w:p>
        </w:tc>
      </w:tr>
      <w:tr w:rsidR="007E6E0A" w:rsidRPr="00A864A5" w14:paraId="2E89EDEC" w14:textId="77777777" w:rsidTr="006448CF">
        <w:trPr>
          <w:trHeight w:val="978"/>
        </w:trPr>
        <w:tc>
          <w:tcPr>
            <w:tcW w:w="5000" w:type="pct"/>
            <w:gridSpan w:val="2"/>
            <w:tcBorders>
              <w:top w:val="nil"/>
            </w:tcBorders>
            <w:shd w:val="clear" w:color="auto" w:fill="auto"/>
          </w:tcPr>
          <w:p w14:paraId="48915AE1" w14:textId="1069EC9D" w:rsidR="0015659F" w:rsidRPr="0015659F" w:rsidRDefault="0015659F" w:rsidP="005F312F">
            <w:pPr>
              <w:spacing w:before="180"/>
              <w:jc w:val="both"/>
              <w:rPr>
                <w:rFonts w:cs="Arial"/>
                <w:b/>
                <w:bCs/>
                <w:szCs w:val="22"/>
                <w:lang w:val="en-NZ"/>
              </w:rPr>
            </w:pPr>
            <w:r w:rsidRPr="0015659F">
              <w:rPr>
                <w:rFonts w:cs="Arial"/>
                <w:b/>
                <w:bCs/>
                <w:szCs w:val="22"/>
                <w:lang w:val="en-NZ"/>
              </w:rPr>
              <w:t>Data limitations</w:t>
            </w:r>
          </w:p>
          <w:p w14:paraId="501EC2CE" w14:textId="45B1A090" w:rsidR="00210A77" w:rsidRDefault="009E2DEE" w:rsidP="005F312F">
            <w:pPr>
              <w:spacing w:before="180"/>
              <w:jc w:val="both"/>
              <w:rPr>
                <w:rFonts w:cs="Arial"/>
                <w:szCs w:val="22"/>
                <w:lang w:val="en-NZ"/>
              </w:rPr>
            </w:pPr>
            <w:r>
              <w:rPr>
                <w:rFonts w:cs="Arial"/>
                <w:szCs w:val="22"/>
                <w:lang w:val="en-NZ"/>
              </w:rPr>
              <w:t xml:space="preserve">Inland Revenue records indicate that approximately 180,000 domestic trusts (excluding estates) report assessable income each year </w:t>
            </w:r>
            <w:r w:rsidR="00B97218">
              <w:rPr>
                <w:rFonts w:cs="Arial"/>
                <w:szCs w:val="22"/>
                <w:lang w:val="en-NZ"/>
              </w:rPr>
              <w:t>and will be subject to the disclosure rules in section 59BA of the TAA.</w:t>
            </w:r>
            <w:r w:rsidR="00210A77">
              <w:rPr>
                <w:rFonts w:cs="Arial"/>
                <w:szCs w:val="22"/>
                <w:lang w:val="en-NZ"/>
              </w:rPr>
              <w:t xml:space="preserve"> Trusts that report assessable income file an IR6 form (</w:t>
            </w:r>
            <w:r w:rsidR="005B0A2E">
              <w:rPr>
                <w:rFonts w:cs="Arial"/>
                <w:szCs w:val="22"/>
                <w:lang w:val="en-NZ"/>
              </w:rPr>
              <w:t xml:space="preserve">income tax return for estates and trusts). IR6 data </w:t>
            </w:r>
            <w:r w:rsidR="00220835">
              <w:rPr>
                <w:rFonts w:cs="Arial"/>
                <w:szCs w:val="22"/>
                <w:lang w:val="en-NZ"/>
              </w:rPr>
              <w:t xml:space="preserve">from the 2019–20 year </w:t>
            </w:r>
            <w:r w:rsidR="005B0A2E">
              <w:rPr>
                <w:rFonts w:cs="Arial"/>
                <w:szCs w:val="22"/>
                <w:lang w:val="en-NZ"/>
              </w:rPr>
              <w:t xml:space="preserve">has been used to estimate </w:t>
            </w:r>
            <w:r w:rsidR="00E52EAD">
              <w:rPr>
                <w:rFonts w:cs="Arial"/>
                <w:szCs w:val="22"/>
                <w:lang w:val="en-NZ"/>
              </w:rPr>
              <w:t xml:space="preserve">various income and expenditure thresholds for </w:t>
            </w:r>
            <w:r w:rsidR="00053455" w:rsidRPr="00CA514E">
              <w:rPr>
                <w:rFonts w:cs="Arial"/>
                <w:szCs w:val="22"/>
                <w:lang w:val="en-NZ"/>
              </w:rPr>
              <w:t>determining which trusts should be eligible for simplified reporting requirements</w:t>
            </w:r>
            <w:r w:rsidR="00E52EAD">
              <w:rPr>
                <w:rFonts w:cs="Arial"/>
                <w:szCs w:val="22"/>
                <w:lang w:val="en-NZ"/>
              </w:rPr>
              <w:t xml:space="preserve"> (see section 2).</w:t>
            </w:r>
          </w:p>
          <w:p w14:paraId="6CF620A5" w14:textId="780DD44A" w:rsidR="004D0024" w:rsidRDefault="0019680C" w:rsidP="005F312F">
            <w:pPr>
              <w:spacing w:before="180"/>
              <w:jc w:val="both"/>
              <w:rPr>
                <w:rFonts w:cs="Arial"/>
                <w:szCs w:val="22"/>
                <w:lang w:val="en-NZ"/>
              </w:rPr>
            </w:pPr>
            <w:r>
              <w:rPr>
                <w:rFonts w:cs="Arial"/>
                <w:szCs w:val="22"/>
                <w:lang w:val="en-NZ"/>
              </w:rPr>
              <w:t xml:space="preserve">A trust </w:t>
            </w:r>
            <w:r w:rsidR="00B97218">
              <w:rPr>
                <w:rFonts w:cs="Arial"/>
                <w:szCs w:val="22"/>
                <w:lang w:val="en-NZ"/>
              </w:rPr>
              <w:t>that derive</w:t>
            </w:r>
            <w:r>
              <w:rPr>
                <w:rFonts w:cs="Arial"/>
                <w:szCs w:val="22"/>
                <w:lang w:val="en-NZ"/>
              </w:rPr>
              <w:t>s</w:t>
            </w:r>
            <w:r w:rsidR="00B97218">
              <w:rPr>
                <w:rFonts w:cs="Arial"/>
                <w:szCs w:val="22"/>
                <w:lang w:val="en-NZ"/>
              </w:rPr>
              <w:t xml:space="preserve"> business income </w:t>
            </w:r>
            <w:r>
              <w:rPr>
                <w:rFonts w:cs="Arial"/>
                <w:szCs w:val="22"/>
                <w:lang w:val="en-NZ"/>
              </w:rPr>
              <w:t>must</w:t>
            </w:r>
            <w:r w:rsidR="00B97218">
              <w:rPr>
                <w:rFonts w:cs="Arial"/>
                <w:szCs w:val="22"/>
                <w:lang w:val="en-NZ"/>
              </w:rPr>
              <w:t xml:space="preserve"> either file an IR10 financial statement form or file a set of financial statements with Inland Revenue.</w:t>
            </w:r>
            <w:r w:rsidR="002674B1">
              <w:rPr>
                <w:rFonts w:cs="Arial"/>
                <w:szCs w:val="22"/>
                <w:lang w:val="en-NZ"/>
              </w:rPr>
              <w:t xml:space="preserve"> Some trusts without business income </w:t>
            </w:r>
            <w:r w:rsidR="00F15D88">
              <w:rPr>
                <w:rFonts w:cs="Arial"/>
                <w:szCs w:val="22"/>
                <w:lang w:val="en-NZ"/>
              </w:rPr>
              <w:t xml:space="preserve">voluntarily </w:t>
            </w:r>
            <w:r w:rsidR="002674B1">
              <w:rPr>
                <w:rFonts w:cs="Arial"/>
                <w:szCs w:val="22"/>
                <w:lang w:val="en-NZ"/>
              </w:rPr>
              <w:t>file an IR10</w:t>
            </w:r>
            <w:r w:rsidR="002E3392">
              <w:rPr>
                <w:rFonts w:cs="Arial"/>
                <w:szCs w:val="22"/>
                <w:lang w:val="en-NZ"/>
              </w:rPr>
              <w:t xml:space="preserve"> form</w:t>
            </w:r>
            <w:r w:rsidR="002674B1">
              <w:rPr>
                <w:rFonts w:cs="Arial"/>
                <w:szCs w:val="22"/>
                <w:lang w:val="en-NZ"/>
              </w:rPr>
              <w:t xml:space="preserve"> </w:t>
            </w:r>
            <w:r w:rsidR="00F15D88">
              <w:rPr>
                <w:rFonts w:cs="Arial"/>
                <w:szCs w:val="22"/>
                <w:lang w:val="en-NZ"/>
              </w:rPr>
              <w:t>or other financial forms with Inland Revenue</w:t>
            </w:r>
            <w:r w:rsidR="002674B1">
              <w:rPr>
                <w:rFonts w:cs="Arial"/>
                <w:szCs w:val="22"/>
                <w:lang w:val="en-NZ"/>
              </w:rPr>
              <w:t>.</w:t>
            </w:r>
          </w:p>
          <w:p w14:paraId="4B098347" w14:textId="28E2209A" w:rsidR="00E90230" w:rsidRDefault="008102EC" w:rsidP="005F312F">
            <w:pPr>
              <w:spacing w:before="180"/>
              <w:jc w:val="both"/>
              <w:rPr>
                <w:rFonts w:cs="Arial"/>
                <w:szCs w:val="22"/>
                <w:lang w:val="en-NZ"/>
              </w:rPr>
            </w:pPr>
            <w:r>
              <w:rPr>
                <w:rFonts w:cs="Arial"/>
                <w:szCs w:val="22"/>
                <w:lang w:val="en-NZ"/>
              </w:rPr>
              <w:t xml:space="preserve">Approximately 180,000 complying trusts filed </w:t>
            </w:r>
            <w:r w:rsidR="0094622E">
              <w:rPr>
                <w:rFonts w:cs="Arial"/>
                <w:szCs w:val="22"/>
                <w:lang w:val="en-NZ"/>
              </w:rPr>
              <w:t xml:space="preserve">returns </w:t>
            </w:r>
            <w:r w:rsidR="00E27068">
              <w:rPr>
                <w:rFonts w:cs="Arial"/>
                <w:szCs w:val="22"/>
                <w:lang w:val="en-NZ"/>
              </w:rPr>
              <w:t xml:space="preserve">for </w:t>
            </w:r>
            <w:r w:rsidR="0094622E">
              <w:rPr>
                <w:rFonts w:cs="Arial"/>
                <w:szCs w:val="22"/>
                <w:lang w:val="en-NZ"/>
              </w:rPr>
              <w:t>the 2019–20 year.</w:t>
            </w:r>
            <w:r w:rsidR="006B76FC">
              <w:rPr>
                <w:rFonts w:cs="Arial"/>
                <w:szCs w:val="22"/>
                <w:lang w:val="en-NZ"/>
              </w:rPr>
              <w:t xml:space="preserve"> Of these trusts, </w:t>
            </w:r>
            <w:r w:rsidR="007A0DB7">
              <w:rPr>
                <w:rFonts w:cs="Arial"/>
                <w:szCs w:val="22"/>
                <w:lang w:val="en-NZ"/>
              </w:rPr>
              <w:t>1</w:t>
            </w:r>
            <w:r w:rsidR="004D06FA">
              <w:rPr>
                <w:rFonts w:cs="Arial"/>
                <w:szCs w:val="22"/>
                <w:lang w:val="en-NZ"/>
              </w:rPr>
              <w:t>25</w:t>
            </w:r>
            <w:r w:rsidR="007A0DB7">
              <w:rPr>
                <w:rFonts w:cs="Arial"/>
                <w:szCs w:val="22"/>
                <w:lang w:val="en-NZ"/>
              </w:rPr>
              <w:t xml:space="preserve">,000 </w:t>
            </w:r>
            <w:r w:rsidR="004C5E11">
              <w:rPr>
                <w:rFonts w:cs="Arial"/>
                <w:szCs w:val="22"/>
                <w:lang w:val="en-NZ"/>
              </w:rPr>
              <w:t xml:space="preserve">trusts derived </w:t>
            </w:r>
            <w:r w:rsidR="004D06FA">
              <w:rPr>
                <w:rFonts w:cs="Arial"/>
                <w:szCs w:val="22"/>
                <w:lang w:val="en-NZ"/>
              </w:rPr>
              <w:t xml:space="preserve">business </w:t>
            </w:r>
            <w:r w:rsidR="004C5E11">
              <w:rPr>
                <w:rFonts w:cs="Arial"/>
                <w:szCs w:val="22"/>
                <w:lang w:val="en-NZ"/>
              </w:rPr>
              <w:t>income and</w:t>
            </w:r>
            <w:r w:rsidR="00F63B6E">
              <w:rPr>
                <w:rFonts w:cs="Arial"/>
                <w:szCs w:val="22"/>
                <w:lang w:val="en-NZ"/>
              </w:rPr>
              <w:t>/or filed financial statements with Inland Revenue</w:t>
            </w:r>
            <w:r w:rsidR="002D7B95">
              <w:rPr>
                <w:rFonts w:cs="Arial"/>
                <w:szCs w:val="22"/>
                <w:lang w:val="en-NZ"/>
              </w:rPr>
              <w:t xml:space="preserve"> (approximately </w:t>
            </w:r>
            <w:r w:rsidR="0004354D">
              <w:rPr>
                <w:rFonts w:cs="Arial"/>
                <w:szCs w:val="22"/>
                <w:lang w:val="en-NZ"/>
              </w:rPr>
              <w:t>110,000 filed an IR10)</w:t>
            </w:r>
            <w:r w:rsidR="00F63B6E">
              <w:rPr>
                <w:rFonts w:cs="Arial"/>
                <w:szCs w:val="22"/>
                <w:lang w:val="en-NZ"/>
              </w:rPr>
              <w:t xml:space="preserve">. </w:t>
            </w:r>
            <w:r w:rsidR="004C5E11">
              <w:rPr>
                <w:rFonts w:cs="Arial"/>
                <w:szCs w:val="22"/>
                <w:lang w:val="en-NZ"/>
              </w:rPr>
              <w:t xml:space="preserve">Officials have used IR10 data from the 2019–20 year for these trusts to estimate various asset thresholds </w:t>
            </w:r>
            <w:r w:rsidR="006C54F1">
              <w:rPr>
                <w:rFonts w:cs="Arial"/>
                <w:szCs w:val="22"/>
                <w:lang w:val="en-NZ"/>
              </w:rPr>
              <w:t xml:space="preserve">to </w:t>
            </w:r>
            <w:r w:rsidR="006C54F1" w:rsidRPr="000A1ADA">
              <w:rPr>
                <w:rFonts w:cs="Arial"/>
                <w:szCs w:val="22"/>
                <w:lang w:val="en-NZ"/>
              </w:rPr>
              <w:t>determin</w:t>
            </w:r>
            <w:r w:rsidR="006C54F1">
              <w:rPr>
                <w:rFonts w:cs="Arial"/>
                <w:szCs w:val="22"/>
                <w:lang w:val="en-NZ"/>
              </w:rPr>
              <w:t>e</w:t>
            </w:r>
            <w:r w:rsidR="006C54F1" w:rsidRPr="000A1ADA">
              <w:rPr>
                <w:rFonts w:cs="Arial"/>
                <w:szCs w:val="22"/>
                <w:lang w:val="en-NZ"/>
              </w:rPr>
              <w:t xml:space="preserve"> </w:t>
            </w:r>
            <w:r w:rsidR="00B40BB7" w:rsidRPr="000A1ADA">
              <w:rPr>
                <w:rFonts w:cs="Arial"/>
                <w:szCs w:val="22"/>
                <w:lang w:val="en-NZ"/>
              </w:rPr>
              <w:t>which trusts should be eligible for simplified reporting requirements</w:t>
            </w:r>
            <w:r w:rsidR="004C5E11" w:rsidRPr="00B40BB7">
              <w:rPr>
                <w:rFonts w:cs="Arial"/>
                <w:szCs w:val="22"/>
                <w:lang w:val="en-NZ"/>
              </w:rPr>
              <w:t xml:space="preserve"> (see section </w:t>
            </w:r>
            <w:r w:rsidR="004C5E11" w:rsidRPr="00BD0198">
              <w:rPr>
                <w:rFonts w:cs="Arial"/>
                <w:szCs w:val="22"/>
                <w:lang w:val="en-NZ"/>
              </w:rPr>
              <w:t>2)</w:t>
            </w:r>
            <w:r w:rsidR="004C5E11">
              <w:rPr>
                <w:rFonts w:cs="Arial"/>
                <w:szCs w:val="22"/>
                <w:lang w:val="en-NZ"/>
              </w:rPr>
              <w:t xml:space="preserve">. The estimates for the </w:t>
            </w:r>
            <w:r w:rsidR="006C54F1">
              <w:rPr>
                <w:rFonts w:cs="Arial"/>
                <w:szCs w:val="22"/>
                <w:lang w:val="en-NZ"/>
              </w:rPr>
              <w:t xml:space="preserve">total </w:t>
            </w:r>
            <w:r w:rsidR="004C5E11">
              <w:rPr>
                <w:rFonts w:cs="Arial"/>
                <w:szCs w:val="22"/>
                <w:lang w:val="en-NZ"/>
              </w:rPr>
              <w:t xml:space="preserve">number of trusts affected by asset thresholds are extrapolated from </w:t>
            </w:r>
            <w:r w:rsidR="0033306F">
              <w:rPr>
                <w:rFonts w:cs="Arial"/>
                <w:szCs w:val="22"/>
                <w:lang w:val="en-NZ"/>
              </w:rPr>
              <w:t xml:space="preserve">data </w:t>
            </w:r>
            <w:r w:rsidR="00D15E65">
              <w:rPr>
                <w:rFonts w:cs="Arial"/>
                <w:szCs w:val="22"/>
                <w:lang w:val="en-NZ"/>
              </w:rPr>
              <w:t xml:space="preserve">from </w:t>
            </w:r>
            <w:r w:rsidR="0033306F">
              <w:rPr>
                <w:rFonts w:cs="Arial"/>
                <w:szCs w:val="22"/>
                <w:lang w:val="en-NZ"/>
              </w:rPr>
              <w:t>the</w:t>
            </w:r>
            <w:r w:rsidR="004C5E11">
              <w:rPr>
                <w:rFonts w:cs="Arial"/>
                <w:szCs w:val="22"/>
                <w:lang w:val="en-NZ"/>
              </w:rPr>
              <w:t xml:space="preserve"> 110,000 trusts that </w:t>
            </w:r>
            <w:r w:rsidR="00B6418D">
              <w:rPr>
                <w:rFonts w:cs="Arial"/>
                <w:szCs w:val="22"/>
                <w:lang w:val="en-NZ"/>
              </w:rPr>
              <w:t>filed an IR10</w:t>
            </w:r>
            <w:r w:rsidR="004C5E11">
              <w:rPr>
                <w:rFonts w:cs="Arial"/>
                <w:szCs w:val="22"/>
                <w:lang w:val="en-NZ"/>
              </w:rPr>
              <w:t xml:space="preserve"> in the 2019–20 year</w:t>
            </w:r>
            <w:r w:rsidR="005D16A1">
              <w:rPr>
                <w:rFonts w:cs="Arial"/>
                <w:szCs w:val="22"/>
                <w:lang w:val="en-NZ"/>
              </w:rPr>
              <w:t>.</w:t>
            </w:r>
          </w:p>
          <w:p w14:paraId="269B096A" w14:textId="0609859F" w:rsidR="00911873" w:rsidRDefault="00911873" w:rsidP="005F312F">
            <w:pPr>
              <w:spacing w:before="180"/>
              <w:jc w:val="both"/>
              <w:rPr>
                <w:rFonts w:cs="Arial"/>
                <w:szCs w:val="22"/>
                <w:lang w:val="en-NZ"/>
              </w:rPr>
            </w:pPr>
            <w:r>
              <w:rPr>
                <w:rFonts w:cs="Arial"/>
                <w:szCs w:val="22"/>
                <w:lang w:val="en-NZ"/>
              </w:rPr>
              <w:t xml:space="preserve">During consultation on proposed minimum standards in 2021, some submitters indicated that if trustees file an IR10, they report accounting income, along with total assets and liabilities including non-income earning assets and liabilities. Other submitters have indicated that when trustees file an IR10 they will report only business income, business assets and business liabilities. </w:t>
            </w:r>
            <w:r w:rsidR="0082039A">
              <w:rPr>
                <w:rFonts w:cs="Arial"/>
                <w:szCs w:val="22"/>
                <w:lang w:val="en-NZ"/>
              </w:rPr>
              <w:t xml:space="preserve">The </w:t>
            </w:r>
            <w:r>
              <w:rPr>
                <w:rFonts w:cs="Arial"/>
                <w:szCs w:val="22"/>
                <w:lang w:val="en-NZ"/>
              </w:rPr>
              <w:t xml:space="preserve">variable quality of </w:t>
            </w:r>
            <w:r w:rsidR="0082039A">
              <w:rPr>
                <w:rFonts w:cs="Arial"/>
                <w:szCs w:val="22"/>
                <w:lang w:val="en-NZ"/>
              </w:rPr>
              <w:t>this</w:t>
            </w:r>
            <w:r w:rsidR="0057538A">
              <w:rPr>
                <w:rFonts w:cs="Arial"/>
                <w:szCs w:val="22"/>
                <w:lang w:val="en-NZ"/>
              </w:rPr>
              <w:t xml:space="preserve"> </w:t>
            </w:r>
            <w:r>
              <w:rPr>
                <w:rFonts w:cs="Arial"/>
                <w:szCs w:val="22"/>
                <w:lang w:val="en-NZ"/>
              </w:rPr>
              <w:t>data is a significant limitation on any analysis based on the IR10 data (</w:t>
            </w:r>
            <w:r w:rsidR="006C54F1">
              <w:rPr>
                <w:rFonts w:cs="Arial"/>
                <w:szCs w:val="22"/>
                <w:lang w:val="en-NZ"/>
              </w:rPr>
              <w:t>i.e.,</w:t>
            </w:r>
            <w:r>
              <w:rPr>
                <w:rFonts w:cs="Arial"/>
                <w:szCs w:val="22"/>
                <w:lang w:val="en-NZ"/>
              </w:rPr>
              <w:t xml:space="preserve"> the number of trusts captured by different asset thresholds) </w:t>
            </w:r>
          </w:p>
          <w:p w14:paraId="505FBC26" w14:textId="3657D7CA" w:rsidR="004E19B5" w:rsidRDefault="004E19B5" w:rsidP="005F312F">
            <w:pPr>
              <w:spacing w:before="180"/>
              <w:jc w:val="both"/>
              <w:rPr>
                <w:rFonts w:cs="Arial"/>
                <w:szCs w:val="22"/>
                <w:lang w:val="en-NZ"/>
              </w:rPr>
            </w:pPr>
            <w:r w:rsidRPr="00D67A33">
              <w:rPr>
                <w:rFonts w:cs="Arial"/>
                <w:szCs w:val="22"/>
                <w:lang w:val="en-NZ"/>
              </w:rPr>
              <w:t>As noted in the regulatory impact assessment (</w:t>
            </w:r>
            <w:r w:rsidRPr="00D67A33">
              <w:rPr>
                <w:lang w:val="en-NZ"/>
              </w:rPr>
              <w:t>RIA)</w:t>
            </w:r>
            <w:r w:rsidRPr="009C454D">
              <w:rPr>
                <w:lang w:val="en-NZ"/>
              </w:rPr>
              <w:t xml:space="preserve"> for the new 39% rate</w:t>
            </w:r>
            <w:r w:rsidR="00190844">
              <w:rPr>
                <w:lang w:val="en-NZ"/>
              </w:rPr>
              <w:t>,</w:t>
            </w:r>
            <w:r>
              <w:rPr>
                <w:rStyle w:val="FootnoteReference"/>
                <w:lang w:val="en-NZ"/>
              </w:rPr>
              <w:footnoteReference w:id="3"/>
            </w:r>
            <w:r w:rsidRPr="00D67A33">
              <w:rPr>
                <w:lang w:val="en-NZ"/>
              </w:rPr>
              <w:t xml:space="preserve"> Inland Revenue has a limited understanding of the compliance costs that trusts will face with the increased disclosure requirements and how large the costs will be. </w:t>
            </w:r>
            <w:r w:rsidR="0057538A">
              <w:rPr>
                <w:lang w:val="en-NZ"/>
              </w:rPr>
              <w:t>T</w:t>
            </w:r>
            <w:r w:rsidRPr="000A1ADA">
              <w:rPr>
                <w:lang w:val="en-NZ"/>
              </w:rPr>
              <w:t xml:space="preserve">his has constrained the ability of officials to accurately determine the </w:t>
            </w:r>
            <w:r w:rsidR="008C65E6">
              <w:rPr>
                <w:lang w:val="en-NZ"/>
              </w:rPr>
              <w:t xml:space="preserve">quantum and nature of </w:t>
            </w:r>
            <w:r w:rsidRPr="000A1ADA">
              <w:rPr>
                <w:lang w:val="en-NZ"/>
              </w:rPr>
              <w:t>compliance costs of the proposed minimum standards.</w:t>
            </w:r>
          </w:p>
          <w:p w14:paraId="043A3B06" w14:textId="6733F3AC" w:rsidR="0015659F" w:rsidRPr="00F64167" w:rsidRDefault="0015659F" w:rsidP="005F312F">
            <w:pPr>
              <w:spacing w:before="180"/>
              <w:jc w:val="both"/>
              <w:rPr>
                <w:rFonts w:cs="Arial"/>
                <w:b/>
                <w:bCs/>
                <w:szCs w:val="22"/>
                <w:lang w:val="en-NZ"/>
              </w:rPr>
            </w:pPr>
            <w:r>
              <w:rPr>
                <w:rFonts w:cs="Arial"/>
                <w:b/>
                <w:bCs/>
                <w:szCs w:val="22"/>
                <w:lang w:val="en-NZ"/>
              </w:rPr>
              <w:t>Other constraints</w:t>
            </w:r>
          </w:p>
          <w:p w14:paraId="42AFF342" w14:textId="7FED766E" w:rsidR="00BE2948" w:rsidRDefault="00BE2948" w:rsidP="005F312F">
            <w:pPr>
              <w:spacing w:before="180"/>
              <w:jc w:val="both"/>
              <w:rPr>
                <w:iCs/>
                <w:color w:val="000000"/>
                <w:lang w:val="en-NZ"/>
              </w:rPr>
            </w:pPr>
            <w:r>
              <w:rPr>
                <w:iCs/>
                <w:color w:val="000000"/>
                <w:lang w:val="en-NZ"/>
              </w:rPr>
              <w:t>The disclosure rules in section 59BA</w:t>
            </w:r>
            <w:r w:rsidR="00AE7316">
              <w:rPr>
                <w:iCs/>
                <w:color w:val="000000"/>
                <w:lang w:val="en-NZ"/>
              </w:rPr>
              <w:t xml:space="preserve"> of the TAA</w:t>
            </w:r>
            <w:r>
              <w:rPr>
                <w:iCs/>
                <w:color w:val="000000"/>
                <w:lang w:val="en-NZ"/>
              </w:rPr>
              <w:t xml:space="preserve"> were introduced to support the integrity of the new 39% </w:t>
            </w:r>
            <w:r w:rsidR="002F43F5">
              <w:rPr>
                <w:iCs/>
                <w:color w:val="000000"/>
                <w:lang w:val="en-NZ"/>
              </w:rPr>
              <w:t xml:space="preserve">rate </w:t>
            </w:r>
            <w:r>
              <w:rPr>
                <w:iCs/>
                <w:color w:val="000000"/>
                <w:lang w:val="en-NZ"/>
              </w:rPr>
              <w:t xml:space="preserve">and </w:t>
            </w:r>
            <w:r w:rsidRPr="008F1C98">
              <w:t>to provide better information to understand and monitor the use of structures and entities by trustees</w:t>
            </w:r>
            <w:r>
              <w:t xml:space="preserve">. The objectives </w:t>
            </w:r>
            <w:r w:rsidR="004E19B5">
              <w:t xml:space="preserve">of the disclosure rules </w:t>
            </w:r>
            <w:r>
              <w:t xml:space="preserve">are Government priorities. </w:t>
            </w:r>
            <w:r w:rsidR="00567576">
              <w:t>The proposed minimum standards for financial statements prepared by domestic trusts are constrained by these objectives and the rules set out in section 59BA:</w:t>
            </w:r>
          </w:p>
          <w:p w14:paraId="16109DF3" w14:textId="0F8123FD" w:rsidR="007F4756" w:rsidRPr="008B0754" w:rsidRDefault="007F4756" w:rsidP="005F312F">
            <w:pPr>
              <w:pStyle w:val="ListParagraph"/>
              <w:numPr>
                <w:ilvl w:val="0"/>
                <w:numId w:val="40"/>
              </w:numPr>
              <w:spacing w:before="180"/>
              <w:ind w:left="714" w:hanging="357"/>
              <w:contextualSpacing w:val="0"/>
              <w:jc w:val="both"/>
              <w:rPr>
                <w:rFonts w:cs="Arial"/>
                <w:szCs w:val="22"/>
                <w:lang w:val="en-NZ"/>
              </w:rPr>
            </w:pPr>
            <w:r w:rsidRPr="008B0754">
              <w:rPr>
                <w:rFonts w:cs="Arial"/>
                <w:szCs w:val="22"/>
                <w:lang w:val="en-NZ"/>
              </w:rPr>
              <w:t xml:space="preserve">Consideration of the disclosure rules in section 59BA </w:t>
            </w:r>
            <w:r w:rsidR="008B68F6" w:rsidRPr="008B0754">
              <w:rPr>
                <w:rFonts w:cs="Arial"/>
                <w:szCs w:val="22"/>
                <w:lang w:val="en-NZ"/>
              </w:rPr>
              <w:t>is</w:t>
            </w:r>
            <w:r w:rsidRPr="008B0754">
              <w:rPr>
                <w:rFonts w:cs="Arial"/>
                <w:szCs w:val="22"/>
                <w:lang w:val="en-NZ"/>
              </w:rPr>
              <w:t xml:space="preserve"> outside the scope of this proposal.</w:t>
            </w:r>
            <w:r w:rsidR="00D6448A" w:rsidRPr="008B0754">
              <w:rPr>
                <w:rFonts w:cs="Arial"/>
                <w:szCs w:val="22"/>
                <w:lang w:val="en-NZ"/>
              </w:rPr>
              <w:t xml:space="preserve"> Although officials have progressed some minor amendments to section 59BA, the </w:t>
            </w:r>
            <w:r w:rsidR="00C15CCD" w:rsidRPr="008B0754">
              <w:rPr>
                <w:rFonts w:cs="Arial"/>
                <w:szCs w:val="22"/>
                <w:lang w:val="en-NZ"/>
              </w:rPr>
              <w:t>purpose</w:t>
            </w:r>
            <w:r w:rsidR="00D6448A" w:rsidRPr="008B0754">
              <w:rPr>
                <w:rFonts w:cs="Arial"/>
                <w:szCs w:val="22"/>
                <w:lang w:val="en-NZ"/>
              </w:rPr>
              <w:t xml:space="preserve"> of this project is </w:t>
            </w:r>
            <w:r w:rsidR="00C15CCD" w:rsidRPr="008B0754">
              <w:rPr>
                <w:rFonts w:cs="Arial"/>
                <w:szCs w:val="22"/>
                <w:lang w:val="en-NZ"/>
              </w:rPr>
              <w:t>to set minimum standards for financial statements prepared by domestic trusts</w:t>
            </w:r>
            <w:r w:rsidR="00567576" w:rsidRPr="008B0754">
              <w:rPr>
                <w:rFonts w:cs="Arial"/>
                <w:szCs w:val="22"/>
                <w:lang w:val="en-NZ"/>
              </w:rPr>
              <w:t xml:space="preserve">, </w:t>
            </w:r>
            <w:r w:rsidR="00567576" w:rsidRPr="00962168">
              <w:rPr>
                <w:rFonts w:cs="Arial"/>
                <w:szCs w:val="22"/>
                <w:lang w:val="en-NZ"/>
              </w:rPr>
              <w:t>not</w:t>
            </w:r>
            <w:r w:rsidR="00567576" w:rsidRPr="008B0754">
              <w:rPr>
                <w:rFonts w:cs="Arial"/>
                <w:b/>
                <w:bCs/>
                <w:i/>
                <w:iCs/>
                <w:szCs w:val="22"/>
                <w:lang w:val="en-NZ"/>
              </w:rPr>
              <w:t xml:space="preserve"> </w:t>
            </w:r>
            <w:r w:rsidR="00567576" w:rsidRPr="008B0754">
              <w:rPr>
                <w:rFonts w:cs="Arial"/>
                <w:szCs w:val="22"/>
                <w:lang w:val="en-NZ"/>
              </w:rPr>
              <w:t xml:space="preserve">revisit </w:t>
            </w:r>
            <w:r w:rsidR="008B0754" w:rsidRPr="008B0754">
              <w:rPr>
                <w:rFonts w:cs="Arial"/>
                <w:szCs w:val="22"/>
                <w:lang w:val="en-NZ"/>
              </w:rPr>
              <w:t>the disclosure rules enacted in December 2020</w:t>
            </w:r>
            <w:r w:rsidR="004A6567" w:rsidRPr="008B0754">
              <w:rPr>
                <w:rFonts w:cs="Arial"/>
                <w:szCs w:val="22"/>
                <w:lang w:val="en-NZ"/>
              </w:rPr>
              <w:t>.</w:t>
            </w:r>
            <w:r w:rsidR="00714F1B" w:rsidRPr="008B0754">
              <w:rPr>
                <w:rFonts w:cs="Arial"/>
                <w:szCs w:val="22"/>
                <w:lang w:val="en-NZ"/>
              </w:rPr>
              <w:t xml:space="preserve"> </w:t>
            </w:r>
          </w:p>
          <w:p w14:paraId="71F59C12" w14:textId="21D7A263" w:rsidR="00C84F84" w:rsidRPr="00287F8C" w:rsidRDefault="002632E4" w:rsidP="005F312F">
            <w:pPr>
              <w:pStyle w:val="ListParagraph"/>
              <w:numPr>
                <w:ilvl w:val="0"/>
                <w:numId w:val="40"/>
              </w:numPr>
              <w:spacing w:before="180"/>
              <w:ind w:left="714" w:hanging="357"/>
              <w:contextualSpacing w:val="0"/>
              <w:jc w:val="both"/>
              <w:rPr>
                <w:rFonts w:cs="Arial"/>
                <w:szCs w:val="22"/>
                <w:lang w:val="en-NZ"/>
              </w:rPr>
            </w:pPr>
            <w:r w:rsidRPr="00C84F84">
              <w:rPr>
                <w:iCs/>
                <w:color w:val="000000"/>
                <w:lang w:val="en-NZ"/>
              </w:rPr>
              <w:t xml:space="preserve">The disclosure rules in section 59BA were introduced for the </w:t>
            </w:r>
            <w:r w:rsidRPr="00C84F84">
              <w:rPr>
                <w:rFonts w:cs="Arial"/>
                <w:szCs w:val="22"/>
                <w:lang w:val="en-NZ"/>
              </w:rPr>
              <w:t>2021–22 and later income years.</w:t>
            </w:r>
            <w:r w:rsidR="0054729E" w:rsidRPr="00C84F84">
              <w:rPr>
                <w:rFonts w:cs="Arial"/>
                <w:szCs w:val="22"/>
                <w:lang w:val="en-NZ"/>
              </w:rPr>
              <w:t xml:space="preserve"> It is important that the disclosure rules apply for the 2021–22 income year –</w:t>
            </w:r>
            <w:r w:rsidR="006A5320" w:rsidRPr="00C84F84">
              <w:rPr>
                <w:rFonts w:cs="Arial"/>
                <w:szCs w:val="22"/>
                <w:lang w:val="en-NZ"/>
              </w:rPr>
              <w:t xml:space="preserve"> </w:t>
            </w:r>
            <w:r w:rsidR="0054729E" w:rsidRPr="00C84F84">
              <w:rPr>
                <w:rFonts w:cs="Arial"/>
                <w:szCs w:val="22"/>
                <w:lang w:val="en-NZ"/>
              </w:rPr>
              <w:t xml:space="preserve">the first year of the </w:t>
            </w:r>
            <w:r w:rsidR="0054729E" w:rsidRPr="00C84F84">
              <w:rPr>
                <w:iCs/>
                <w:color w:val="000000"/>
                <w:lang w:val="en-NZ"/>
              </w:rPr>
              <w:t>new 39% personal tax rate</w:t>
            </w:r>
            <w:r w:rsidR="002649CB">
              <w:rPr>
                <w:iCs/>
                <w:color w:val="000000"/>
                <w:lang w:val="en-NZ"/>
              </w:rPr>
              <w:t xml:space="preserve"> –</w:t>
            </w:r>
            <w:r w:rsidR="006A5320" w:rsidRPr="00C84F84">
              <w:rPr>
                <w:iCs/>
                <w:color w:val="000000"/>
                <w:lang w:val="en-NZ"/>
              </w:rPr>
              <w:t xml:space="preserve"> so that the rules can </w:t>
            </w:r>
            <w:r w:rsidR="00597C92">
              <w:rPr>
                <w:iCs/>
                <w:color w:val="000000"/>
                <w:lang w:val="en-NZ"/>
              </w:rPr>
              <w:t>help</w:t>
            </w:r>
            <w:r w:rsidR="0069328F">
              <w:rPr>
                <w:iCs/>
                <w:color w:val="000000"/>
                <w:lang w:val="en-NZ"/>
              </w:rPr>
              <w:t xml:space="preserve"> the Commissioner</w:t>
            </w:r>
            <w:r w:rsidR="00745CC2">
              <w:rPr>
                <w:iCs/>
                <w:color w:val="000000"/>
                <w:lang w:val="en-NZ"/>
              </w:rPr>
              <w:t xml:space="preserve"> of Inland Revenue</w:t>
            </w:r>
            <w:r w:rsidR="0069328F">
              <w:rPr>
                <w:iCs/>
                <w:color w:val="000000"/>
                <w:lang w:val="en-NZ"/>
              </w:rPr>
              <w:t xml:space="preserve"> identify whether</w:t>
            </w:r>
            <w:r w:rsidR="007371DB">
              <w:rPr>
                <w:iCs/>
                <w:color w:val="000000"/>
                <w:lang w:val="en-NZ"/>
              </w:rPr>
              <w:t xml:space="preserve"> trusts are being used to avoid </w:t>
            </w:r>
            <w:r w:rsidR="003F596B">
              <w:rPr>
                <w:iCs/>
                <w:color w:val="000000"/>
                <w:lang w:val="en-NZ"/>
              </w:rPr>
              <w:t xml:space="preserve">paying the new 39% rate. </w:t>
            </w:r>
            <w:r w:rsidR="00C45B6E">
              <w:rPr>
                <w:iCs/>
                <w:color w:val="000000"/>
                <w:lang w:val="en-NZ"/>
              </w:rPr>
              <w:t>T</w:t>
            </w:r>
            <w:r w:rsidR="008B0754">
              <w:rPr>
                <w:iCs/>
                <w:color w:val="000000"/>
                <w:lang w:val="en-NZ"/>
              </w:rPr>
              <w:t xml:space="preserve">he proposal to set minimum </w:t>
            </w:r>
            <w:r w:rsidR="00BC3689">
              <w:rPr>
                <w:iCs/>
                <w:color w:val="000000"/>
                <w:lang w:val="en-NZ"/>
              </w:rPr>
              <w:t xml:space="preserve">standards for financial statements prepared by domestic trusts </w:t>
            </w:r>
            <w:r w:rsidR="00C45B6E">
              <w:rPr>
                <w:iCs/>
                <w:color w:val="000000"/>
                <w:lang w:val="en-NZ"/>
              </w:rPr>
              <w:t>has been developed in the context of</w:t>
            </w:r>
            <w:r w:rsidR="00BC3689">
              <w:rPr>
                <w:iCs/>
                <w:color w:val="000000"/>
                <w:lang w:val="en-NZ"/>
              </w:rPr>
              <w:t xml:space="preserve"> the requirement for domestic trusts to prepare a statement of profit or loss and a statement of financial position f</w:t>
            </w:r>
            <w:r w:rsidR="00C45B6E">
              <w:rPr>
                <w:iCs/>
                <w:color w:val="000000"/>
                <w:lang w:val="en-NZ"/>
              </w:rPr>
              <w:t>or</w:t>
            </w:r>
            <w:r w:rsidR="00BC3689">
              <w:rPr>
                <w:iCs/>
                <w:color w:val="000000"/>
                <w:lang w:val="en-NZ"/>
              </w:rPr>
              <w:t xml:space="preserve"> the </w:t>
            </w:r>
            <w:r w:rsidR="00BC3689" w:rsidRPr="00C84F84">
              <w:rPr>
                <w:rFonts w:cs="Arial"/>
                <w:szCs w:val="22"/>
                <w:lang w:val="en-NZ"/>
              </w:rPr>
              <w:t xml:space="preserve">2021–22 </w:t>
            </w:r>
            <w:r w:rsidR="00C45B6E">
              <w:rPr>
                <w:rFonts w:cs="Arial"/>
                <w:szCs w:val="22"/>
                <w:lang w:val="en-NZ"/>
              </w:rPr>
              <w:t xml:space="preserve">and later </w:t>
            </w:r>
            <w:r w:rsidR="00BC3689" w:rsidRPr="00C84F84">
              <w:rPr>
                <w:rFonts w:cs="Arial"/>
                <w:szCs w:val="22"/>
                <w:lang w:val="en-NZ"/>
              </w:rPr>
              <w:t>income year</w:t>
            </w:r>
            <w:r w:rsidR="00C45B6E">
              <w:rPr>
                <w:rFonts w:cs="Arial"/>
                <w:szCs w:val="22"/>
                <w:lang w:val="en-NZ"/>
              </w:rPr>
              <w:t>s</w:t>
            </w:r>
            <w:r w:rsidR="00BC3689">
              <w:rPr>
                <w:rFonts w:cs="Arial"/>
                <w:szCs w:val="22"/>
                <w:lang w:val="en-NZ"/>
              </w:rPr>
              <w:t>.</w:t>
            </w:r>
          </w:p>
          <w:p w14:paraId="23B490E0" w14:textId="4732604E" w:rsidR="00991083" w:rsidRPr="00991083" w:rsidRDefault="00991083" w:rsidP="005F312F">
            <w:pPr>
              <w:pStyle w:val="ListParagraph"/>
              <w:numPr>
                <w:ilvl w:val="0"/>
                <w:numId w:val="40"/>
              </w:numPr>
              <w:spacing w:before="180"/>
              <w:ind w:left="714" w:hanging="357"/>
              <w:contextualSpacing w:val="0"/>
              <w:jc w:val="both"/>
              <w:rPr>
                <w:rFonts w:cs="Arial"/>
                <w:szCs w:val="22"/>
                <w:lang w:val="en-NZ"/>
              </w:rPr>
            </w:pPr>
            <w:r>
              <w:rPr>
                <w:iCs/>
                <w:color w:val="000000"/>
                <w:lang w:val="en-NZ"/>
              </w:rPr>
              <w:t xml:space="preserve">Officials consider that a class of trusts cannot be exempted from the disclosure requirements in section 59BA by an </w:t>
            </w:r>
            <w:r w:rsidR="00886C94">
              <w:rPr>
                <w:iCs/>
                <w:color w:val="000000"/>
                <w:lang w:val="en-NZ"/>
              </w:rPr>
              <w:t>OIC</w:t>
            </w:r>
            <w:r>
              <w:rPr>
                <w:iCs/>
                <w:color w:val="000000"/>
                <w:lang w:val="en-NZ"/>
              </w:rPr>
              <w:t xml:space="preserve"> made under section 21C</w:t>
            </w:r>
            <w:r w:rsidR="00217C2F">
              <w:rPr>
                <w:iCs/>
                <w:color w:val="000000"/>
                <w:lang w:val="en-NZ"/>
              </w:rPr>
              <w:t xml:space="preserve"> of the TAA</w:t>
            </w:r>
            <w:r>
              <w:rPr>
                <w:iCs/>
                <w:color w:val="000000"/>
                <w:lang w:val="en-NZ"/>
              </w:rPr>
              <w:t xml:space="preserve">. </w:t>
            </w:r>
            <w:r w:rsidR="00157709">
              <w:rPr>
                <w:iCs/>
                <w:color w:val="000000"/>
                <w:lang w:val="en-NZ"/>
              </w:rPr>
              <w:t xml:space="preserve">Such an exemption would require amending section 59BA itself. </w:t>
            </w:r>
            <w:r>
              <w:rPr>
                <w:iCs/>
                <w:color w:val="000000"/>
                <w:lang w:val="en-NZ"/>
              </w:rPr>
              <w:t xml:space="preserve">A proposed </w:t>
            </w:r>
            <w:r w:rsidR="00641FAB">
              <w:rPr>
                <w:iCs/>
                <w:color w:val="000000"/>
                <w:lang w:val="en-NZ"/>
              </w:rPr>
              <w:t>OIC</w:t>
            </w:r>
            <w:r>
              <w:rPr>
                <w:iCs/>
                <w:color w:val="000000"/>
                <w:lang w:val="en-NZ"/>
              </w:rPr>
              <w:t xml:space="preserve"> would supplement the requirements in section 59BA and provide increased certainty regarding reporting obligations – it </w:t>
            </w:r>
            <w:r w:rsidR="00684868">
              <w:rPr>
                <w:iCs/>
                <w:color w:val="000000"/>
                <w:lang w:val="en-NZ"/>
              </w:rPr>
              <w:t>cannot</w:t>
            </w:r>
            <w:r>
              <w:rPr>
                <w:iCs/>
                <w:color w:val="000000"/>
                <w:lang w:val="en-NZ"/>
              </w:rPr>
              <w:t xml:space="preserve"> override the obligation in section 59BA for trusts to prepare financial statements. </w:t>
            </w:r>
            <w:r w:rsidR="00886C94">
              <w:rPr>
                <w:iCs/>
                <w:color w:val="000000"/>
                <w:lang w:val="en-NZ"/>
              </w:rPr>
              <w:t>T</w:t>
            </w:r>
            <w:r>
              <w:rPr>
                <w:iCs/>
                <w:color w:val="000000"/>
                <w:lang w:val="en-NZ"/>
              </w:rPr>
              <w:t xml:space="preserve">he proposal to set minimum standards by </w:t>
            </w:r>
            <w:r w:rsidR="00886C94">
              <w:rPr>
                <w:iCs/>
                <w:color w:val="000000"/>
                <w:lang w:val="en-NZ"/>
              </w:rPr>
              <w:t>OIC</w:t>
            </w:r>
            <w:r>
              <w:rPr>
                <w:iCs/>
                <w:color w:val="000000"/>
                <w:lang w:val="en-NZ"/>
              </w:rPr>
              <w:t xml:space="preserve"> is constrained in the amount of relief that can be provided to </w:t>
            </w:r>
            <w:r w:rsidR="00BD1BC4">
              <w:rPr>
                <w:iCs/>
                <w:color w:val="000000"/>
                <w:lang w:val="en-NZ"/>
              </w:rPr>
              <w:t>trusts</w:t>
            </w:r>
            <w:r w:rsidR="00886C94">
              <w:rPr>
                <w:iCs/>
                <w:color w:val="000000"/>
                <w:lang w:val="en-NZ"/>
              </w:rPr>
              <w:t>; t</w:t>
            </w:r>
            <w:r w:rsidR="00BD1BC4">
              <w:rPr>
                <w:iCs/>
                <w:color w:val="000000"/>
                <w:lang w:val="en-NZ"/>
              </w:rPr>
              <w:t xml:space="preserve">he </w:t>
            </w:r>
            <w:r w:rsidR="00886C94">
              <w:rPr>
                <w:iCs/>
                <w:color w:val="000000"/>
                <w:lang w:val="en-NZ"/>
              </w:rPr>
              <w:t>OIC</w:t>
            </w:r>
            <w:r w:rsidR="00BD1BC4">
              <w:rPr>
                <w:iCs/>
                <w:color w:val="000000"/>
                <w:lang w:val="en-NZ"/>
              </w:rPr>
              <w:t xml:space="preserve"> cannot fully exempt classes of trusts from the obligation to prepare financial statements.</w:t>
            </w:r>
            <w:r w:rsidR="00941C94">
              <w:rPr>
                <w:iCs/>
                <w:color w:val="000000"/>
                <w:lang w:val="en-NZ"/>
              </w:rPr>
              <w:t xml:space="preserve"> </w:t>
            </w:r>
            <w:r w:rsidR="00AD19D2">
              <w:rPr>
                <w:iCs/>
                <w:color w:val="000000"/>
                <w:lang w:val="en-NZ"/>
              </w:rPr>
              <w:t>However, t</w:t>
            </w:r>
            <w:r w:rsidR="00941C94">
              <w:rPr>
                <w:iCs/>
                <w:color w:val="000000"/>
                <w:lang w:val="en-NZ"/>
              </w:rPr>
              <w:t xml:space="preserve">he minimum standards </w:t>
            </w:r>
            <w:r w:rsidR="00941C94" w:rsidRPr="00F64167">
              <w:rPr>
                <w:i/>
                <w:color w:val="000000"/>
                <w:lang w:val="en-NZ"/>
              </w:rPr>
              <w:t>can</w:t>
            </w:r>
            <w:r w:rsidR="00941C94">
              <w:rPr>
                <w:iCs/>
                <w:color w:val="000000"/>
                <w:lang w:val="en-NZ"/>
              </w:rPr>
              <w:t xml:space="preserve"> provide </w:t>
            </w:r>
            <w:r w:rsidR="00171E64" w:rsidRPr="00F64167">
              <w:rPr>
                <w:iCs/>
                <w:color w:val="000000"/>
                <w:lang w:val="en-NZ"/>
              </w:rPr>
              <w:t>partial</w:t>
            </w:r>
            <w:r w:rsidR="00171E64">
              <w:rPr>
                <w:iCs/>
                <w:color w:val="000000"/>
                <w:lang w:val="en-NZ"/>
              </w:rPr>
              <w:t xml:space="preserve"> relief </w:t>
            </w:r>
            <w:r w:rsidR="00025E67">
              <w:rPr>
                <w:iCs/>
                <w:color w:val="000000"/>
                <w:lang w:val="en-NZ"/>
              </w:rPr>
              <w:t xml:space="preserve">by </w:t>
            </w:r>
            <w:r w:rsidR="00AD19D2">
              <w:rPr>
                <w:iCs/>
                <w:color w:val="000000"/>
                <w:lang w:val="en-NZ"/>
              </w:rPr>
              <w:t>prescrib</w:t>
            </w:r>
            <w:r w:rsidR="0077317D">
              <w:rPr>
                <w:iCs/>
                <w:color w:val="000000"/>
                <w:lang w:val="en-NZ"/>
              </w:rPr>
              <w:t>ing simpler standards for certain classes of trusts.</w:t>
            </w:r>
          </w:p>
          <w:p w14:paraId="3DBA48DC" w14:textId="4C4EE26D" w:rsidR="00C25683" w:rsidRPr="00957410" w:rsidRDefault="00C84F84" w:rsidP="005F312F">
            <w:pPr>
              <w:pStyle w:val="ListParagraph"/>
              <w:numPr>
                <w:ilvl w:val="0"/>
                <w:numId w:val="40"/>
              </w:numPr>
              <w:spacing w:before="180"/>
              <w:ind w:left="714" w:hanging="357"/>
              <w:contextualSpacing w:val="0"/>
              <w:jc w:val="both"/>
              <w:rPr>
                <w:rFonts w:cs="Arial"/>
                <w:szCs w:val="22"/>
                <w:lang w:val="en-NZ"/>
              </w:rPr>
            </w:pPr>
            <w:r>
              <w:rPr>
                <w:iCs/>
                <w:color w:val="000000"/>
                <w:lang w:val="en-NZ"/>
              </w:rPr>
              <w:t>The disclosure rules rely on a number of other existing regimes in the TAA. For example, non-active trusts excluded from the requirement to file a return under section 43B of the TAA a</w:t>
            </w:r>
            <w:r w:rsidR="00991083">
              <w:rPr>
                <w:iCs/>
                <w:color w:val="000000"/>
                <w:lang w:val="en-NZ"/>
              </w:rPr>
              <w:t>re</w:t>
            </w:r>
            <w:r>
              <w:rPr>
                <w:iCs/>
                <w:color w:val="000000"/>
                <w:lang w:val="en-NZ"/>
              </w:rPr>
              <w:t xml:space="preserve"> exempt from the new disclosure rules</w:t>
            </w:r>
            <w:r w:rsidR="00991083">
              <w:rPr>
                <w:iCs/>
                <w:color w:val="000000"/>
                <w:lang w:val="en-NZ"/>
              </w:rPr>
              <w:t>.</w:t>
            </w:r>
            <w:r w:rsidR="00D27EDA">
              <w:rPr>
                <w:iCs/>
                <w:color w:val="000000"/>
                <w:lang w:val="en-NZ"/>
              </w:rPr>
              <w:t xml:space="preserve"> </w:t>
            </w:r>
            <w:r w:rsidR="00517E29">
              <w:rPr>
                <w:iCs/>
                <w:color w:val="000000"/>
                <w:lang w:val="en-NZ"/>
              </w:rPr>
              <w:t>One way to provide further relief for small</w:t>
            </w:r>
            <w:r w:rsidR="00A17D00">
              <w:rPr>
                <w:iCs/>
                <w:color w:val="000000"/>
                <w:lang w:val="en-NZ"/>
              </w:rPr>
              <w:t>er</w:t>
            </w:r>
            <w:r w:rsidR="00517E29">
              <w:rPr>
                <w:iCs/>
                <w:color w:val="000000"/>
                <w:lang w:val="en-NZ"/>
              </w:rPr>
              <w:t xml:space="preserve"> trusts from the disclosure rules could be to expand the non-active trust definition. </w:t>
            </w:r>
            <w:r w:rsidR="00D27EDA">
              <w:rPr>
                <w:iCs/>
                <w:color w:val="000000"/>
                <w:lang w:val="en-NZ"/>
              </w:rPr>
              <w:t xml:space="preserve">Issues relating to the non-active trust definition, and whether </w:t>
            </w:r>
            <w:r w:rsidR="007D1A80">
              <w:rPr>
                <w:iCs/>
                <w:color w:val="000000"/>
                <w:lang w:val="en-NZ"/>
              </w:rPr>
              <w:t xml:space="preserve">that </w:t>
            </w:r>
            <w:r w:rsidR="00D27EDA">
              <w:rPr>
                <w:iCs/>
                <w:color w:val="000000"/>
                <w:lang w:val="en-NZ"/>
              </w:rPr>
              <w:t>definition is broad enough, are beyond the scope of this project</w:t>
            </w:r>
            <w:r w:rsidR="00517E29">
              <w:rPr>
                <w:iCs/>
                <w:color w:val="000000"/>
                <w:lang w:val="en-NZ"/>
              </w:rPr>
              <w:t>. Th</w:t>
            </w:r>
            <w:r w:rsidR="00803206">
              <w:rPr>
                <w:iCs/>
                <w:color w:val="000000"/>
                <w:lang w:val="en-NZ"/>
              </w:rPr>
              <w:t>e limited relief provided by the non-active trust definition places additional</w:t>
            </w:r>
            <w:r w:rsidR="00DE6E4D">
              <w:rPr>
                <w:iCs/>
                <w:color w:val="000000"/>
                <w:lang w:val="en-NZ"/>
              </w:rPr>
              <w:t xml:space="preserve"> pressure on </w:t>
            </w:r>
            <w:r w:rsidR="0012118D">
              <w:rPr>
                <w:iCs/>
                <w:color w:val="000000"/>
                <w:lang w:val="en-NZ"/>
              </w:rPr>
              <w:t xml:space="preserve">the </w:t>
            </w:r>
            <w:r w:rsidR="005A67CF">
              <w:rPr>
                <w:iCs/>
                <w:color w:val="000000"/>
                <w:lang w:val="en-NZ"/>
              </w:rPr>
              <w:t xml:space="preserve">level </w:t>
            </w:r>
            <w:r w:rsidR="006C2DA9">
              <w:rPr>
                <w:iCs/>
                <w:color w:val="000000"/>
                <w:lang w:val="en-NZ"/>
              </w:rPr>
              <w:t>of relief</w:t>
            </w:r>
            <w:r w:rsidR="00D41491">
              <w:rPr>
                <w:iCs/>
                <w:color w:val="000000"/>
                <w:lang w:val="en-NZ"/>
              </w:rPr>
              <w:t xml:space="preserve"> provided by the</w:t>
            </w:r>
            <w:r w:rsidR="0012118D">
              <w:rPr>
                <w:iCs/>
                <w:color w:val="000000"/>
                <w:lang w:val="en-NZ"/>
              </w:rPr>
              <w:t xml:space="preserve"> minimum standards</w:t>
            </w:r>
            <w:r w:rsidR="00DE6E4D">
              <w:rPr>
                <w:iCs/>
                <w:color w:val="000000"/>
                <w:lang w:val="en-NZ"/>
              </w:rPr>
              <w:t>.</w:t>
            </w:r>
          </w:p>
        </w:tc>
      </w:tr>
      <w:tr w:rsidR="00EB6134" w:rsidRPr="00A864A5" w14:paraId="0EA0047F" w14:textId="77777777" w:rsidTr="006448CF">
        <w:tc>
          <w:tcPr>
            <w:tcW w:w="5000" w:type="pct"/>
            <w:gridSpan w:val="2"/>
            <w:tcBorders>
              <w:bottom w:val="single" w:sz="4" w:space="0" w:color="DDDDDD"/>
            </w:tcBorders>
            <w:shd w:val="clear" w:color="auto" w:fill="99CDDD"/>
            <w:hideMark/>
          </w:tcPr>
          <w:p w14:paraId="7A579FF2" w14:textId="5BB39E7A" w:rsidR="00413FD8" w:rsidRPr="00A864A5" w:rsidRDefault="00413FD8" w:rsidP="00354522">
            <w:pPr>
              <w:pStyle w:val="TableHeadings"/>
              <w:rPr>
                <w:color w:val="002060"/>
                <w:szCs w:val="22"/>
                <w:lang w:val="en-NZ"/>
              </w:rPr>
            </w:pPr>
            <w:bookmarkStart w:id="9" w:name="_Hlk47608084"/>
            <w:bookmarkEnd w:id="8"/>
            <w:r w:rsidRPr="00A864A5">
              <w:rPr>
                <w:szCs w:val="22"/>
                <w:lang w:val="en-NZ"/>
              </w:rPr>
              <w:t xml:space="preserve">Responsible Manager </w:t>
            </w:r>
          </w:p>
        </w:tc>
      </w:tr>
      <w:tr w:rsidR="007E6E0A" w:rsidRPr="00A864A5" w14:paraId="091E60B6" w14:textId="77777777" w:rsidTr="006448CF">
        <w:trPr>
          <w:trHeight w:val="1761"/>
        </w:trPr>
        <w:tc>
          <w:tcPr>
            <w:tcW w:w="5000" w:type="pct"/>
            <w:gridSpan w:val="2"/>
            <w:tcBorders>
              <w:top w:val="nil"/>
            </w:tcBorders>
            <w:shd w:val="clear" w:color="auto" w:fill="auto"/>
          </w:tcPr>
          <w:p w14:paraId="2BD94019" w14:textId="14D396B3" w:rsidR="00413FD8" w:rsidRPr="007D6067" w:rsidRDefault="00206902" w:rsidP="00560FED">
            <w:pPr>
              <w:spacing w:before="60" w:after="0" w:line="276" w:lineRule="auto"/>
              <w:ind w:left="284" w:hanging="284"/>
              <w:jc w:val="both"/>
              <w:rPr>
                <w:rFonts w:cs="Arial"/>
                <w:szCs w:val="22"/>
                <w:lang w:val="en-NZ"/>
              </w:rPr>
            </w:pPr>
            <w:r w:rsidRPr="007D6067">
              <w:rPr>
                <w:rFonts w:cs="Arial"/>
                <w:szCs w:val="22"/>
                <w:lang w:val="en-NZ"/>
              </w:rPr>
              <w:t>Stewart Donaldson</w:t>
            </w:r>
          </w:p>
          <w:p w14:paraId="14C17A55" w14:textId="5063F8DA" w:rsidR="00560FED" w:rsidRPr="007D6067" w:rsidRDefault="00206902" w:rsidP="00560FED">
            <w:pPr>
              <w:spacing w:before="60" w:after="0" w:line="276" w:lineRule="auto"/>
              <w:ind w:left="284" w:hanging="284"/>
              <w:jc w:val="both"/>
              <w:rPr>
                <w:rFonts w:cs="Arial"/>
                <w:szCs w:val="22"/>
                <w:lang w:val="en-NZ"/>
              </w:rPr>
            </w:pPr>
            <w:r w:rsidRPr="007D6067">
              <w:rPr>
                <w:rFonts w:cs="Arial"/>
                <w:szCs w:val="22"/>
                <w:lang w:val="en-NZ"/>
              </w:rPr>
              <w:t>Principal Policy Advisor</w:t>
            </w:r>
          </w:p>
          <w:p w14:paraId="66F8B0E7" w14:textId="030F045A" w:rsidR="00262C2A" w:rsidRPr="007D6067" w:rsidRDefault="00262C2A" w:rsidP="00560FED">
            <w:pPr>
              <w:spacing w:before="60" w:after="0" w:line="276" w:lineRule="auto"/>
              <w:ind w:left="284" w:hanging="284"/>
              <w:jc w:val="both"/>
              <w:rPr>
                <w:rFonts w:cs="Arial"/>
                <w:szCs w:val="22"/>
                <w:lang w:val="en-NZ"/>
              </w:rPr>
            </w:pPr>
            <w:r w:rsidRPr="007D6067">
              <w:rPr>
                <w:rFonts w:cs="Arial"/>
                <w:szCs w:val="22"/>
                <w:lang w:val="en-NZ"/>
              </w:rPr>
              <w:t>Policy and Regulatory Stewardship</w:t>
            </w:r>
          </w:p>
          <w:p w14:paraId="4E99BE46" w14:textId="0E6F32EA" w:rsidR="00413FD8" w:rsidRPr="007D6067" w:rsidRDefault="00AD326D" w:rsidP="00560FED">
            <w:pPr>
              <w:spacing w:before="60" w:after="0" w:line="276" w:lineRule="auto"/>
              <w:ind w:left="284" w:hanging="284"/>
              <w:jc w:val="both"/>
              <w:rPr>
                <w:rFonts w:cs="Arial"/>
                <w:szCs w:val="22"/>
                <w:lang w:val="en-NZ"/>
              </w:rPr>
            </w:pPr>
            <w:r w:rsidRPr="007D6067">
              <w:rPr>
                <w:rFonts w:cs="Arial"/>
                <w:szCs w:val="22"/>
                <w:lang w:val="en-NZ"/>
              </w:rPr>
              <w:t>Inland Revenue</w:t>
            </w:r>
          </w:p>
          <w:p w14:paraId="172BE499" w14:textId="3AC6FD22" w:rsidR="00144B04" w:rsidRPr="00AC3CAF" w:rsidRDefault="00AC3CAF" w:rsidP="00AC3CAF">
            <w:pPr>
              <w:shd w:val="clear" w:color="auto" w:fill="D9D9D9" w:themeFill="background1" w:themeFillShade="D9"/>
              <w:spacing w:after="0"/>
              <w:ind w:right="6546"/>
              <w:rPr>
                <w:rFonts w:cs="Arial"/>
                <w:sz w:val="20"/>
                <w:lang w:val="en-NZ"/>
              </w:rPr>
            </w:pPr>
            <w:r w:rsidRPr="00AC3CAF">
              <w:rPr>
                <w:rFonts w:cs="Arial"/>
                <w:sz w:val="20"/>
                <w:lang w:val="en-NZ"/>
              </w:rPr>
              <w:t>s</w:t>
            </w:r>
            <w:r w:rsidRPr="00AC3CAF">
              <w:rPr>
                <w:rFonts w:cs="Arial"/>
                <w:sz w:val="20"/>
                <w:lang w:val="en-NZ"/>
              </w:rPr>
              <w:t xml:space="preserve"> 9(2)(a)</w:t>
            </w:r>
          </w:p>
          <w:p w14:paraId="5FC748F6" w14:textId="4F8B3FCB" w:rsidR="0094719B" w:rsidRDefault="0094719B" w:rsidP="00AC3CAF">
            <w:pPr>
              <w:shd w:val="clear" w:color="auto" w:fill="D9D9D9" w:themeFill="background1" w:themeFillShade="D9"/>
              <w:spacing w:after="0"/>
              <w:ind w:right="6546"/>
              <w:rPr>
                <w:rFonts w:cs="Arial"/>
                <w:szCs w:val="22"/>
                <w:lang w:val="en-NZ"/>
              </w:rPr>
            </w:pPr>
          </w:p>
          <w:p w14:paraId="2C1B3600" w14:textId="77777777" w:rsidR="00AC3CAF" w:rsidRDefault="00AC3CAF" w:rsidP="00AC3CAF">
            <w:pPr>
              <w:shd w:val="clear" w:color="auto" w:fill="D9D9D9" w:themeFill="background1" w:themeFillShade="D9"/>
              <w:spacing w:after="0"/>
              <w:ind w:right="6546"/>
              <w:rPr>
                <w:rFonts w:cs="Arial"/>
                <w:szCs w:val="22"/>
                <w:lang w:val="en-NZ"/>
              </w:rPr>
            </w:pPr>
          </w:p>
          <w:p w14:paraId="75A69CF1" w14:textId="77777777" w:rsidR="0094719B" w:rsidRDefault="0094719B" w:rsidP="00AC3CAF">
            <w:pPr>
              <w:shd w:val="clear" w:color="auto" w:fill="D9D9D9" w:themeFill="background1" w:themeFillShade="D9"/>
              <w:spacing w:after="0"/>
              <w:ind w:right="6546"/>
              <w:rPr>
                <w:rFonts w:cs="Arial"/>
                <w:szCs w:val="22"/>
                <w:lang w:val="en-NZ"/>
              </w:rPr>
            </w:pPr>
          </w:p>
          <w:p w14:paraId="609D179D" w14:textId="7D85F599" w:rsidR="00413FD8" w:rsidRPr="00DA4FC6" w:rsidRDefault="00FB0BF4" w:rsidP="00560FED">
            <w:pPr>
              <w:spacing w:after="0"/>
              <w:rPr>
                <w:rFonts w:cs="Arial"/>
                <w:szCs w:val="22"/>
                <w:lang w:val="en-NZ"/>
              </w:rPr>
            </w:pPr>
            <w:r w:rsidRPr="00DA4FC6">
              <w:rPr>
                <w:rFonts w:cs="Arial"/>
                <w:szCs w:val="22"/>
                <w:lang w:val="en-NZ"/>
              </w:rPr>
              <w:t>21 February 2022</w:t>
            </w:r>
          </w:p>
          <w:p w14:paraId="65FBD4C4" w14:textId="6AD0A028" w:rsidR="007A20DD" w:rsidRPr="00A864A5" w:rsidRDefault="007A20DD" w:rsidP="00560FED">
            <w:pPr>
              <w:spacing w:after="0"/>
              <w:rPr>
                <w:rFonts w:cs="Arial"/>
                <w:iCs/>
                <w:color w:val="000000"/>
                <w:sz w:val="14"/>
                <w:szCs w:val="14"/>
                <w:lang w:val="en-NZ"/>
              </w:rPr>
            </w:pPr>
          </w:p>
        </w:tc>
      </w:tr>
      <w:tr w:rsidR="00EB6134" w:rsidRPr="00A864A5" w14:paraId="5FCD62D5" w14:textId="77777777" w:rsidTr="006448CF">
        <w:tc>
          <w:tcPr>
            <w:tcW w:w="5000" w:type="pct"/>
            <w:gridSpan w:val="2"/>
            <w:tcBorders>
              <w:bottom w:val="single" w:sz="4" w:space="0" w:color="DDDDDD"/>
            </w:tcBorders>
            <w:shd w:val="clear" w:color="auto" w:fill="99CDDD"/>
            <w:hideMark/>
          </w:tcPr>
          <w:p w14:paraId="55C0C834" w14:textId="4F8BD2CF" w:rsidR="00EB2157" w:rsidRPr="00A864A5" w:rsidRDefault="00EB2157" w:rsidP="00354522">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ssurance</w:t>
            </w:r>
          </w:p>
        </w:tc>
      </w:tr>
      <w:tr w:rsidR="00EB6134" w:rsidRPr="00A864A5" w14:paraId="6F7BACA2" w14:textId="77777777" w:rsidTr="006448CF">
        <w:trPr>
          <w:trHeight w:val="141"/>
        </w:trPr>
        <w:tc>
          <w:tcPr>
            <w:tcW w:w="1328" w:type="pct"/>
            <w:tcBorders>
              <w:top w:val="nil"/>
            </w:tcBorders>
            <w:shd w:val="clear" w:color="auto" w:fill="EBF5F8"/>
          </w:tcPr>
          <w:p w14:paraId="22AF1207" w14:textId="7EA6C592" w:rsidR="00EB2157" w:rsidRPr="00A864A5" w:rsidRDefault="00EB2157" w:rsidP="007D6067">
            <w:pPr>
              <w:spacing w:before="60"/>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71A0E4D5" w:rsidR="00EB2157" w:rsidRPr="00AD326D" w:rsidRDefault="00AD326D" w:rsidP="007D6067">
            <w:pPr>
              <w:spacing w:before="60"/>
              <w:rPr>
                <w:rFonts w:cs="Arial"/>
                <w:iCs/>
                <w:color w:val="000000"/>
                <w:szCs w:val="22"/>
                <w:lang w:val="en-NZ"/>
              </w:rPr>
            </w:pPr>
            <w:r w:rsidRPr="00AD326D">
              <w:rPr>
                <w:rFonts w:cs="Arial"/>
                <w:szCs w:val="22"/>
                <w:lang w:val="en-NZ"/>
              </w:rPr>
              <w:t>Inland Revenue</w:t>
            </w:r>
          </w:p>
        </w:tc>
      </w:tr>
      <w:tr w:rsidR="00EB6134" w:rsidRPr="00A864A5" w14:paraId="228C68D7" w14:textId="77777777" w:rsidTr="006448CF">
        <w:trPr>
          <w:trHeight w:val="1639"/>
        </w:trPr>
        <w:tc>
          <w:tcPr>
            <w:tcW w:w="1328" w:type="pct"/>
            <w:tcBorders>
              <w:top w:val="nil"/>
            </w:tcBorders>
            <w:shd w:val="clear" w:color="auto" w:fill="EBF5F8"/>
          </w:tcPr>
          <w:p w14:paraId="4DF0990E" w14:textId="00252464" w:rsidR="00EB2157" w:rsidRPr="00A864A5" w:rsidRDefault="00F321A6" w:rsidP="007D6067">
            <w:pPr>
              <w:spacing w:before="60"/>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28FD900F" w14:textId="09513B94" w:rsidR="00EB2157" w:rsidRPr="00DF2CDB" w:rsidRDefault="00175FE1" w:rsidP="007D6067">
            <w:pPr>
              <w:spacing w:before="60"/>
              <w:jc w:val="both"/>
              <w:rPr>
                <w:rFonts w:cs="Arial"/>
                <w:iCs/>
                <w:color w:val="000000"/>
                <w:szCs w:val="22"/>
                <w:highlight w:val="yellow"/>
                <w:lang w:val="en-NZ"/>
              </w:rPr>
            </w:pPr>
            <w:r>
              <w:t xml:space="preserve">The Quality Assurance reviewers at Inland Revenue have reviewed </w:t>
            </w:r>
            <w:r>
              <w:rPr>
                <w:i/>
                <w:iCs/>
              </w:rPr>
              <w:t xml:space="preserve">Regulatory Impact Statement: Minimum standards for financial </w:t>
            </w:r>
            <w:r w:rsidR="00573414">
              <w:rPr>
                <w:i/>
                <w:iCs/>
              </w:rPr>
              <w:t xml:space="preserve">statements prepared </w:t>
            </w:r>
            <w:r>
              <w:rPr>
                <w:i/>
                <w:iCs/>
              </w:rPr>
              <w:t>by domestic trusts</w:t>
            </w:r>
            <w:r>
              <w:t xml:space="preserve"> and consider that the information and analysis summarised in it </w:t>
            </w:r>
            <w:r>
              <w:rPr>
                <w:b/>
                <w:bCs/>
              </w:rPr>
              <w:t>meets</w:t>
            </w:r>
            <w:r>
              <w:t xml:space="preserve"> the quality assurance criteria of the Regulatory Impact Statement framework</w:t>
            </w:r>
            <w:r w:rsidRPr="00DA4FC6">
              <w:rPr>
                <w:rFonts w:cs="Arial"/>
                <w:szCs w:val="22"/>
                <w:lang w:val="en-NZ"/>
              </w:rPr>
              <w:t>.</w:t>
            </w:r>
          </w:p>
        </w:tc>
      </w:tr>
    </w:tbl>
    <w:p w14:paraId="37E1279A" w14:textId="77777777" w:rsidR="00144359" w:rsidRDefault="00144359" w:rsidP="0024561D">
      <w:pPr>
        <w:pStyle w:val="Heading2"/>
      </w:pPr>
      <w:bookmarkStart w:id="10" w:name="_Toc363047038"/>
      <w:bookmarkStart w:id="11" w:name="_Toc362940530"/>
      <w:bookmarkStart w:id="12" w:name="_Toc362618966"/>
      <w:bookmarkStart w:id="13" w:name="_Toc362434720"/>
      <w:bookmarkStart w:id="14" w:name="_Toc362368098"/>
      <w:bookmarkEnd w:id="9"/>
    </w:p>
    <w:p w14:paraId="1523A877" w14:textId="77777777" w:rsidR="00F11E38" w:rsidRDefault="00F11E38">
      <w:pPr>
        <w:spacing w:after="0" w:line="240" w:lineRule="auto"/>
        <w:rPr>
          <w:lang w:val="en-NZ"/>
        </w:rPr>
      </w:pPr>
      <w:r>
        <w:rPr>
          <w:lang w:val="en-NZ"/>
        </w:rPr>
        <w:br w:type="page"/>
      </w:r>
    </w:p>
    <w:p w14:paraId="3E327532" w14:textId="53B914E3" w:rsidR="00C53DAC" w:rsidRDefault="00F16C50" w:rsidP="0024561D">
      <w:pPr>
        <w:pStyle w:val="Heading2"/>
      </w:pPr>
      <w:bookmarkStart w:id="15" w:name="_Toc93607252"/>
      <w:bookmarkStart w:id="16" w:name="_Toc93608023"/>
      <w:bookmarkStart w:id="17" w:name="_Toc93609715"/>
      <w:r w:rsidRPr="00A864A5">
        <w:t xml:space="preserve">Section 1: </w:t>
      </w:r>
      <w:r w:rsidR="0022201B">
        <w:t>Diagnos</w:t>
      </w:r>
      <w:r w:rsidR="001C4A82">
        <w:t>ing</w:t>
      </w:r>
      <w:r w:rsidR="0022201B">
        <w:t xml:space="preserve"> the policy problem</w:t>
      </w:r>
      <w:bookmarkEnd w:id="15"/>
      <w:bookmarkEnd w:id="16"/>
      <w:bookmarkEnd w:id="17"/>
    </w:p>
    <w:p w14:paraId="4E48D616" w14:textId="530CA23A" w:rsidR="007D78A1" w:rsidRPr="00A864A5" w:rsidRDefault="007E4F5A" w:rsidP="005F312F">
      <w:pPr>
        <w:pStyle w:val="Heading3"/>
        <w:spacing w:before="240"/>
      </w:pPr>
      <w:bookmarkStart w:id="18" w:name="_Toc93607253"/>
      <w:bookmarkStart w:id="19" w:name="_Toc93608024"/>
      <w:bookmarkStart w:id="20" w:name="_Toc93609716"/>
      <w:r>
        <w:t xml:space="preserve">What is the context behind the </w:t>
      </w:r>
      <w:r w:rsidR="008E4014">
        <w:t xml:space="preserve">policy </w:t>
      </w:r>
      <w:r>
        <w:t>problem</w:t>
      </w:r>
      <w:r w:rsidR="000F740F">
        <w:t xml:space="preserve"> and </w:t>
      </w:r>
      <w:r w:rsidR="00E0257A">
        <w:t>how is the s</w:t>
      </w:r>
      <w:r w:rsidR="000F740F">
        <w:t>tatus quo</w:t>
      </w:r>
      <w:r w:rsidR="00E0257A">
        <w:t xml:space="preserve"> expected to develop</w:t>
      </w:r>
      <w:r>
        <w:t>?</w:t>
      </w:r>
      <w:bookmarkEnd w:id="18"/>
      <w:bookmarkEnd w:id="19"/>
      <w:bookmarkEnd w:id="20"/>
    </w:p>
    <w:p w14:paraId="62DE5440" w14:textId="2979CAEE" w:rsidR="007A28CD" w:rsidRPr="00863ADC" w:rsidRDefault="007A28CD" w:rsidP="005F312F">
      <w:pPr>
        <w:pStyle w:val="ListParagraph"/>
        <w:numPr>
          <w:ilvl w:val="0"/>
          <w:numId w:val="9"/>
        </w:numPr>
        <w:spacing w:before="180"/>
        <w:ind w:left="567" w:hanging="567"/>
        <w:contextualSpacing w:val="0"/>
        <w:jc w:val="both"/>
        <w:rPr>
          <w:lang w:val="en-NZ"/>
        </w:rPr>
      </w:pPr>
      <w:r>
        <w:t>In</w:t>
      </w:r>
      <w:r w:rsidR="003D3A07" w:rsidRPr="00583CB7">
        <w:t xml:space="preserve"> November 2020, Cabinet</w:t>
      </w:r>
      <w:r>
        <w:t xml:space="preserve"> agreed to introduce the new top personal income tax rate of 39%. As an integrity measure, Inland Revenue recommended also increasing the trustee tax rate from 33% to 39%. The integrity risk from trusts arises because </w:t>
      </w:r>
      <w:r w:rsidR="00CB3176">
        <w:t>income retained in a trust is taxed as trustee income at 33% as a final tax.</w:t>
      </w:r>
      <w:r w:rsidR="008D430A">
        <w:t xml:space="preserve"> There is no additional tax when the income is subsequently distributed to a higher rate beneficiary</w:t>
      </w:r>
      <w:r w:rsidR="00863ADC">
        <w:t>, so they do not need to pay the top personal tax rate on any such distributions.</w:t>
      </w:r>
      <w:r w:rsidR="00412851">
        <w:rPr>
          <w:rStyle w:val="FootnoteReference"/>
        </w:rPr>
        <w:footnoteReference w:id="4"/>
      </w:r>
    </w:p>
    <w:p w14:paraId="282260EF" w14:textId="21FC4F3B" w:rsidR="003D3A07" w:rsidRPr="00863ADC" w:rsidRDefault="00863ADC" w:rsidP="005F312F">
      <w:pPr>
        <w:pStyle w:val="ListParagraph"/>
        <w:numPr>
          <w:ilvl w:val="0"/>
          <w:numId w:val="9"/>
        </w:numPr>
        <w:spacing w:before="180"/>
        <w:ind w:left="567" w:hanging="567"/>
        <w:contextualSpacing w:val="0"/>
        <w:jc w:val="both"/>
        <w:rPr>
          <w:lang w:val="en-NZ"/>
        </w:rPr>
      </w:pPr>
      <w:r>
        <w:t>Cabinet</w:t>
      </w:r>
      <w:r w:rsidR="003D3A07" w:rsidRPr="00583CB7">
        <w:t xml:space="preserve"> decided to defer the decision on whether to increase the trustee income tax rate to 39% to a later date pending information on whether there is a behavioural response to avoid paying the new personal income tax rate. Cabinet agreed to collect information from trustees to test compliance and effective operation of the 39% top personal income tax rate and provide better information to understand and monitor the use of structures and entities by trustees (CAB-21-MIN-0484 refers).</w:t>
      </w:r>
    </w:p>
    <w:p w14:paraId="18F1049F" w14:textId="2929C555" w:rsidR="00AC6BD8" w:rsidRDefault="00106831" w:rsidP="005F312F">
      <w:pPr>
        <w:pStyle w:val="ListParagraph"/>
        <w:numPr>
          <w:ilvl w:val="0"/>
          <w:numId w:val="9"/>
        </w:numPr>
        <w:spacing w:before="180"/>
        <w:ind w:left="567" w:hanging="567"/>
        <w:contextualSpacing w:val="0"/>
        <w:jc w:val="both"/>
        <w:rPr>
          <w:lang w:val="en-NZ"/>
        </w:rPr>
      </w:pPr>
      <w:r w:rsidRPr="001314E4">
        <w:rPr>
          <w:lang w:val="en-NZ"/>
        </w:rPr>
        <w:t xml:space="preserve">The Taxation (Income Tax Rate and Other </w:t>
      </w:r>
      <w:r w:rsidR="0084273E">
        <w:rPr>
          <w:lang w:val="en-NZ"/>
        </w:rPr>
        <w:t>Matters</w:t>
      </w:r>
      <w:r w:rsidRPr="001314E4">
        <w:rPr>
          <w:lang w:val="en-NZ"/>
        </w:rPr>
        <w:t xml:space="preserve">) Act 2020 was enacted on 7 December 2020 and introduced </w:t>
      </w:r>
      <w:r w:rsidR="00435DA1">
        <w:rPr>
          <w:lang w:val="en-NZ"/>
        </w:rPr>
        <w:t xml:space="preserve">the new top personal tax rate of 39% </w:t>
      </w:r>
      <w:r w:rsidR="00C65554">
        <w:rPr>
          <w:lang w:val="en-NZ"/>
        </w:rPr>
        <w:t xml:space="preserve">and increased disclosure requirements for trusts </w:t>
      </w:r>
      <w:r w:rsidR="00435DA1">
        <w:rPr>
          <w:lang w:val="en-NZ"/>
        </w:rPr>
        <w:t xml:space="preserve">for the </w:t>
      </w:r>
      <w:r w:rsidR="00C65554">
        <w:t xml:space="preserve">2021–22 and later income years. </w:t>
      </w:r>
      <w:r w:rsidR="00611BE0">
        <w:t>The disclosure rules are contained in section 59BA of the TAA and</w:t>
      </w:r>
      <w:r w:rsidRPr="001314E4">
        <w:rPr>
          <w:lang w:val="en-NZ"/>
        </w:rPr>
        <w:t xml:space="preserve"> support the Commissioner’s ability to assess compliance with the new 39% personal income tax rate and assist the Commissioner in understanding and monitoring the use of structures and entities by trustees.</w:t>
      </w:r>
    </w:p>
    <w:p w14:paraId="2F7AEC38" w14:textId="0C67574A" w:rsidR="00385463" w:rsidRDefault="006A2D7F" w:rsidP="005F312F">
      <w:pPr>
        <w:pStyle w:val="ListParagraph"/>
        <w:numPr>
          <w:ilvl w:val="0"/>
          <w:numId w:val="9"/>
        </w:numPr>
        <w:spacing w:before="180"/>
        <w:ind w:left="567" w:hanging="567"/>
        <w:contextualSpacing w:val="0"/>
        <w:jc w:val="both"/>
        <w:rPr>
          <w:lang w:val="en-NZ"/>
        </w:rPr>
      </w:pPr>
      <w:r>
        <w:rPr>
          <w:lang w:val="en-NZ"/>
        </w:rPr>
        <w:t xml:space="preserve">These </w:t>
      </w:r>
      <w:r w:rsidR="00611BE0">
        <w:rPr>
          <w:lang w:val="en-NZ"/>
        </w:rPr>
        <w:t xml:space="preserve">disclosure </w:t>
      </w:r>
      <w:r>
        <w:rPr>
          <w:lang w:val="en-NZ"/>
        </w:rPr>
        <w:t>rul</w:t>
      </w:r>
      <w:r w:rsidR="00903752">
        <w:rPr>
          <w:lang w:val="en-NZ"/>
        </w:rPr>
        <w:t xml:space="preserve">es </w:t>
      </w:r>
      <w:r>
        <w:rPr>
          <w:lang w:val="en-NZ"/>
        </w:rPr>
        <w:t xml:space="preserve">apply to trustees of trusts that derive assessable income </w:t>
      </w:r>
      <w:r w:rsidR="00611BE0">
        <w:rPr>
          <w:lang w:val="en-NZ"/>
        </w:rPr>
        <w:t xml:space="preserve">in a tax year </w:t>
      </w:r>
      <w:r>
        <w:rPr>
          <w:lang w:val="en-NZ"/>
        </w:rPr>
        <w:t xml:space="preserve">and </w:t>
      </w:r>
      <w:r w:rsidR="00660795">
        <w:rPr>
          <w:lang w:val="en-NZ"/>
        </w:rPr>
        <w:t xml:space="preserve">do not fall within </w:t>
      </w:r>
      <w:r>
        <w:rPr>
          <w:lang w:val="en-NZ"/>
        </w:rPr>
        <w:t>specific exclusions</w:t>
      </w:r>
      <w:r w:rsidR="00C916F4">
        <w:rPr>
          <w:lang w:val="en-NZ"/>
        </w:rPr>
        <w:t>.</w:t>
      </w:r>
      <w:r w:rsidR="000A38F4">
        <w:rPr>
          <w:rStyle w:val="FootnoteReference"/>
          <w:lang w:val="en-NZ"/>
        </w:rPr>
        <w:footnoteReference w:id="5"/>
      </w:r>
      <w:r w:rsidR="001619FC">
        <w:rPr>
          <w:lang w:val="en-NZ"/>
        </w:rPr>
        <w:t xml:space="preserve"> The rules apply for the 2020–21 and later income years and require trustees</w:t>
      </w:r>
      <w:r w:rsidR="000F7E55">
        <w:rPr>
          <w:lang w:val="en-NZ"/>
        </w:rPr>
        <w:t xml:space="preserve"> to</w:t>
      </w:r>
      <w:r w:rsidR="00D9563F">
        <w:rPr>
          <w:lang w:val="en-NZ"/>
        </w:rPr>
        <w:t xml:space="preserve"> prepare a statement of profit or loss and a statement of financial position</w:t>
      </w:r>
      <w:r w:rsidR="00967986">
        <w:rPr>
          <w:lang w:val="en-NZ"/>
        </w:rPr>
        <w:t>. T</w:t>
      </w:r>
      <w:r w:rsidR="00CD6967">
        <w:rPr>
          <w:lang w:val="en-NZ"/>
        </w:rPr>
        <w:t xml:space="preserve">rustees </w:t>
      </w:r>
      <w:r w:rsidR="00D9563F">
        <w:rPr>
          <w:lang w:val="en-NZ"/>
        </w:rPr>
        <w:t>must disclose the following information in the form prescribed by the Commissioner</w:t>
      </w:r>
      <w:r w:rsidR="001619FC">
        <w:rPr>
          <w:lang w:val="en-NZ"/>
        </w:rPr>
        <w:t>:</w:t>
      </w:r>
    </w:p>
    <w:p w14:paraId="7DC5CCC3" w14:textId="423AC54C" w:rsidR="001619FC" w:rsidRDefault="007359FD" w:rsidP="005F312F">
      <w:pPr>
        <w:pStyle w:val="ListParagraph"/>
        <w:numPr>
          <w:ilvl w:val="1"/>
          <w:numId w:val="9"/>
        </w:numPr>
        <w:spacing w:before="180"/>
        <w:ind w:left="1276"/>
        <w:contextualSpacing w:val="0"/>
        <w:jc w:val="both"/>
        <w:rPr>
          <w:lang w:val="en-NZ"/>
        </w:rPr>
      </w:pPr>
      <w:r>
        <w:rPr>
          <w:lang w:val="en-NZ"/>
        </w:rPr>
        <w:t xml:space="preserve">the </w:t>
      </w:r>
      <w:r w:rsidR="001619FC">
        <w:rPr>
          <w:lang w:val="en-NZ"/>
        </w:rPr>
        <w:t>amount and nature of settlements received</w:t>
      </w:r>
      <w:r w:rsidR="00C83515">
        <w:rPr>
          <w:lang w:val="en-NZ"/>
        </w:rPr>
        <w:t xml:space="preserve"> (</w:t>
      </w:r>
      <w:r w:rsidR="00A17923">
        <w:rPr>
          <w:lang w:val="en-NZ"/>
        </w:rPr>
        <w:t xml:space="preserve">settlements </w:t>
      </w:r>
      <w:r w:rsidR="009361F2">
        <w:rPr>
          <w:lang w:val="en-NZ"/>
        </w:rPr>
        <w:t xml:space="preserve">do not </w:t>
      </w:r>
      <w:r w:rsidR="007D4C34">
        <w:rPr>
          <w:lang w:val="en-NZ"/>
        </w:rPr>
        <w:t xml:space="preserve">need to be disclosed if they </w:t>
      </w:r>
      <w:r w:rsidR="00A17923">
        <w:rPr>
          <w:lang w:val="en-NZ"/>
        </w:rPr>
        <w:t>are</w:t>
      </w:r>
      <w:r w:rsidR="00566FEF">
        <w:rPr>
          <w:lang w:val="en-NZ"/>
        </w:rPr>
        <w:t xml:space="preserve"> </w:t>
      </w:r>
      <w:r w:rsidR="00C83515" w:rsidRPr="00C83515">
        <w:rPr>
          <w:lang w:val="en-NZ"/>
        </w:rPr>
        <w:t>minor services incidental to the activities of the trust</w:t>
      </w:r>
      <w:r w:rsidR="009361F2" w:rsidRPr="009361F2">
        <w:t xml:space="preserve"> </w:t>
      </w:r>
      <w:r w:rsidR="00D02F1E">
        <w:t>and</w:t>
      </w:r>
      <w:r w:rsidR="005F5138">
        <w:t xml:space="preserve"> </w:t>
      </w:r>
      <w:r w:rsidR="009361F2">
        <w:t xml:space="preserve">are </w:t>
      </w:r>
      <w:r w:rsidR="009361F2" w:rsidRPr="009361F2">
        <w:rPr>
          <w:lang w:val="en-NZ"/>
        </w:rPr>
        <w:t>provided to the trustee</w:t>
      </w:r>
      <w:r w:rsidR="009361F2">
        <w:rPr>
          <w:lang w:val="en-NZ"/>
        </w:rPr>
        <w:t xml:space="preserve"> </w:t>
      </w:r>
      <w:r w:rsidR="009361F2" w:rsidRPr="009361F2">
        <w:rPr>
          <w:lang w:val="en-NZ"/>
        </w:rPr>
        <w:t>at less than market value</w:t>
      </w:r>
      <w:proofErr w:type="gramStart"/>
      <w:r w:rsidR="00A17923">
        <w:rPr>
          <w:lang w:val="en-NZ"/>
        </w:rPr>
        <w:t>)</w:t>
      </w:r>
      <w:r w:rsidR="00C83515" w:rsidRPr="00C83515">
        <w:rPr>
          <w:lang w:val="en-NZ"/>
        </w:rPr>
        <w:t>;</w:t>
      </w:r>
      <w:proofErr w:type="gramEnd"/>
    </w:p>
    <w:p w14:paraId="245892DA" w14:textId="1EEB83F9" w:rsidR="001619FC" w:rsidRDefault="007359FD" w:rsidP="005F312F">
      <w:pPr>
        <w:pStyle w:val="ListParagraph"/>
        <w:numPr>
          <w:ilvl w:val="1"/>
          <w:numId w:val="9"/>
        </w:numPr>
        <w:spacing w:before="180"/>
        <w:ind w:left="1276"/>
        <w:contextualSpacing w:val="0"/>
        <w:jc w:val="both"/>
        <w:rPr>
          <w:lang w:val="en-NZ"/>
        </w:rPr>
      </w:pPr>
      <w:r>
        <w:rPr>
          <w:lang w:val="en-NZ"/>
        </w:rPr>
        <w:t xml:space="preserve">settlor </w:t>
      </w:r>
      <w:r w:rsidR="001619FC">
        <w:rPr>
          <w:lang w:val="en-NZ"/>
        </w:rPr>
        <w:t xml:space="preserve">details, including details of previous settlors if not previously supplied to the </w:t>
      </w:r>
      <w:proofErr w:type="gramStart"/>
      <w:r w:rsidR="001619FC">
        <w:rPr>
          <w:lang w:val="en-NZ"/>
        </w:rPr>
        <w:t>Commissioner</w:t>
      </w:r>
      <w:r>
        <w:rPr>
          <w:lang w:val="en-NZ"/>
        </w:rPr>
        <w:t>;</w:t>
      </w:r>
      <w:proofErr w:type="gramEnd"/>
    </w:p>
    <w:p w14:paraId="5DBAB3F7" w14:textId="30FB977A" w:rsidR="00967006" w:rsidRDefault="007359FD" w:rsidP="005F312F">
      <w:pPr>
        <w:pStyle w:val="ListParagraph"/>
        <w:numPr>
          <w:ilvl w:val="1"/>
          <w:numId w:val="9"/>
        </w:numPr>
        <w:spacing w:before="180"/>
        <w:ind w:left="1276"/>
        <w:contextualSpacing w:val="0"/>
        <w:jc w:val="both"/>
        <w:rPr>
          <w:lang w:val="en-NZ"/>
        </w:rPr>
      </w:pPr>
      <w:r>
        <w:rPr>
          <w:lang w:val="en-NZ"/>
        </w:rPr>
        <w:t xml:space="preserve">the </w:t>
      </w:r>
      <w:r w:rsidR="00967006">
        <w:rPr>
          <w:lang w:val="en-NZ"/>
        </w:rPr>
        <w:t xml:space="preserve">amount </w:t>
      </w:r>
      <w:r w:rsidR="009157F3">
        <w:rPr>
          <w:lang w:val="en-NZ"/>
        </w:rPr>
        <w:t xml:space="preserve">and nature </w:t>
      </w:r>
      <w:r w:rsidR="00967006">
        <w:rPr>
          <w:lang w:val="en-NZ"/>
        </w:rPr>
        <w:t>of distributions made</w:t>
      </w:r>
      <w:r w:rsidR="008F54FD">
        <w:rPr>
          <w:rStyle w:val="FootnoteReference"/>
          <w:lang w:val="en-NZ"/>
        </w:rPr>
        <w:footnoteReference w:id="6"/>
      </w:r>
      <w:r w:rsidR="00967006">
        <w:rPr>
          <w:lang w:val="en-NZ"/>
        </w:rPr>
        <w:t xml:space="preserve"> and details of beneficiaries who received the distributions</w:t>
      </w:r>
      <w:r>
        <w:rPr>
          <w:lang w:val="en-NZ"/>
        </w:rPr>
        <w:t>; and</w:t>
      </w:r>
    </w:p>
    <w:p w14:paraId="19FB83F7" w14:textId="71FFB93A" w:rsidR="00967006" w:rsidRDefault="007359FD" w:rsidP="005F312F">
      <w:pPr>
        <w:pStyle w:val="ListParagraph"/>
        <w:numPr>
          <w:ilvl w:val="1"/>
          <w:numId w:val="9"/>
        </w:numPr>
        <w:spacing w:before="180"/>
        <w:ind w:left="1276"/>
        <w:contextualSpacing w:val="0"/>
        <w:jc w:val="both"/>
        <w:rPr>
          <w:lang w:val="en-NZ"/>
        </w:rPr>
      </w:pPr>
      <w:r>
        <w:rPr>
          <w:lang w:val="en-NZ"/>
        </w:rPr>
        <w:t xml:space="preserve">appointer </w:t>
      </w:r>
      <w:r w:rsidR="00967006">
        <w:rPr>
          <w:lang w:val="en-NZ"/>
        </w:rPr>
        <w:t>details</w:t>
      </w:r>
      <w:r w:rsidR="00297EEF">
        <w:rPr>
          <w:lang w:val="en-NZ"/>
        </w:rPr>
        <w:t>.</w:t>
      </w:r>
      <w:r w:rsidR="00206902">
        <w:rPr>
          <w:rStyle w:val="FootnoteReference"/>
          <w:lang w:val="en-NZ"/>
        </w:rPr>
        <w:footnoteReference w:id="7"/>
      </w:r>
    </w:p>
    <w:p w14:paraId="3D7B7D99" w14:textId="77777777" w:rsidR="00DE3324" w:rsidRDefault="00E6255A" w:rsidP="005F312F">
      <w:pPr>
        <w:pStyle w:val="ListParagraph"/>
        <w:numPr>
          <w:ilvl w:val="0"/>
          <w:numId w:val="9"/>
        </w:numPr>
        <w:spacing w:before="180"/>
        <w:ind w:left="567" w:hanging="567"/>
        <w:contextualSpacing w:val="0"/>
        <w:jc w:val="both"/>
        <w:rPr>
          <w:lang w:val="en-NZ"/>
        </w:rPr>
      </w:pPr>
      <w:r>
        <w:rPr>
          <w:lang w:val="en-NZ"/>
        </w:rPr>
        <w:t xml:space="preserve">The total volume of trusts in New Zealand has been estimated to be </w:t>
      </w:r>
      <w:r w:rsidR="001A1B8B">
        <w:rPr>
          <w:lang w:val="en-NZ"/>
        </w:rPr>
        <w:t>over 400</w:t>
      </w:r>
      <w:r>
        <w:rPr>
          <w:lang w:val="en-NZ"/>
        </w:rPr>
        <w:t>,000</w:t>
      </w:r>
      <w:r w:rsidR="000B4C66">
        <w:rPr>
          <w:lang w:val="en-NZ"/>
        </w:rPr>
        <w:t>.</w:t>
      </w:r>
      <w:r w:rsidR="00801980">
        <w:rPr>
          <w:rStyle w:val="FootnoteReference"/>
          <w:lang w:val="en-NZ"/>
        </w:rPr>
        <w:footnoteReference w:id="8"/>
      </w:r>
      <w:r>
        <w:rPr>
          <w:lang w:val="en-NZ"/>
        </w:rPr>
        <w:t xml:space="preserve"> Inland Revenue records indicate that</w:t>
      </w:r>
      <w:r w:rsidR="007D22B7">
        <w:rPr>
          <w:lang w:val="en-NZ"/>
        </w:rPr>
        <w:t xml:space="preserve"> </w:t>
      </w:r>
      <w:r w:rsidR="00811E4B">
        <w:rPr>
          <w:lang w:val="en-NZ"/>
        </w:rPr>
        <w:t>approximately 180,000 domestic trusts report assessable income each year and may be affected to some extent by the new disclosure requirements.</w:t>
      </w:r>
    </w:p>
    <w:p w14:paraId="3948E111" w14:textId="0B594861" w:rsidR="00E6255A" w:rsidRPr="004F423E" w:rsidRDefault="00B678EA" w:rsidP="005F312F">
      <w:pPr>
        <w:pStyle w:val="ListParagraph"/>
        <w:numPr>
          <w:ilvl w:val="0"/>
          <w:numId w:val="9"/>
        </w:numPr>
        <w:spacing w:before="180"/>
        <w:ind w:left="567" w:hanging="567"/>
        <w:contextualSpacing w:val="0"/>
        <w:jc w:val="both"/>
        <w:rPr>
          <w:lang w:val="en-NZ"/>
        </w:rPr>
      </w:pPr>
      <w:r>
        <w:rPr>
          <w:lang w:val="en-NZ"/>
        </w:rPr>
        <w:t>For the 2019-20 income year a</w:t>
      </w:r>
      <w:r w:rsidR="00680681">
        <w:rPr>
          <w:lang w:val="en-NZ"/>
        </w:rPr>
        <w:t xml:space="preserve">pproximately </w:t>
      </w:r>
      <w:r w:rsidR="00F807FB">
        <w:rPr>
          <w:rFonts w:cs="Arial"/>
          <w:szCs w:val="22"/>
          <w:lang w:val="en-NZ"/>
        </w:rPr>
        <w:t>125,000 trusts derived business income and/or filed financial statements with Inland Revenue (approximately 110,000 filed an IR10</w:t>
      </w:r>
      <w:r w:rsidR="00293183">
        <w:rPr>
          <w:rFonts w:cs="Arial"/>
          <w:szCs w:val="22"/>
          <w:lang w:val="en-NZ"/>
        </w:rPr>
        <w:t xml:space="preserve"> form</w:t>
      </w:r>
      <w:r w:rsidR="00F807FB">
        <w:rPr>
          <w:rFonts w:cs="Arial"/>
          <w:szCs w:val="22"/>
          <w:lang w:val="en-NZ"/>
        </w:rPr>
        <w:t xml:space="preserve">). </w:t>
      </w:r>
      <w:r w:rsidR="00DE3324" w:rsidRPr="004F423E">
        <w:rPr>
          <w:lang w:val="en-NZ"/>
        </w:rPr>
        <w:t xml:space="preserve">The remaining 55,000 </w:t>
      </w:r>
      <w:r w:rsidR="00AC3B84" w:rsidRPr="004F423E">
        <w:rPr>
          <w:lang w:val="en-NZ"/>
        </w:rPr>
        <w:t>domestic trusts will be most affected by t</w:t>
      </w:r>
      <w:r w:rsidR="00811E4B" w:rsidRPr="004F423E">
        <w:rPr>
          <w:lang w:val="en-NZ"/>
        </w:rPr>
        <w:t xml:space="preserve">he </w:t>
      </w:r>
      <w:r w:rsidR="00FA2E97" w:rsidRPr="004F423E">
        <w:rPr>
          <w:lang w:val="en-NZ"/>
        </w:rPr>
        <w:t xml:space="preserve">requirement </w:t>
      </w:r>
      <w:r w:rsidR="00085FA8" w:rsidRPr="004F423E">
        <w:rPr>
          <w:lang w:val="en-NZ"/>
        </w:rPr>
        <w:t xml:space="preserve">to prepare </w:t>
      </w:r>
      <w:r w:rsidR="00811E4B" w:rsidRPr="004F423E">
        <w:rPr>
          <w:lang w:val="en-NZ"/>
        </w:rPr>
        <w:t>financial statement</w:t>
      </w:r>
      <w:r w:rsidR="00085FA8" w:rsidRPr="004F423E">
        <w:rPr>
          <w:lang w:val="en-NZ"/>
        </w:rPr>
        <w:t>s</w:t>
      </w:r>
      <w:r w:rsidR="00811E4B" w:rsidRPr="004F423E">
        <w:rPr>
          <w:lang w:val="en-NZ"/>
        </w:rPr>
        <w:t>. These are trusts that report assessable income to Inland Revenue but do not currently report business income or file any financial statements.</w:t>
      </w:r>
    </w:p>
    <w:p w14:paraId="1C07FDC4" w14:textId="408119DF" w:rsidR="0014439B" w:rsidRPr="00D837A0" w:rsidRDefault="002F41B7" w:rsidP="00760DFD">
      <w:pPr>
        <w:pStyle w:val="ListParagraph"/>
        <w:numPr>
          <w:ilvl w:val="0"/>
          <w:numId w:val="9"/>
        </w:numPr>
        <w:spacing w:before="180"/>
        <w:ind w:left="567" w:hanging="567"/>
        <w:contextualSpacing w:val="0"/>
        <w:jc w:val="both"/>
        <w:rPr>
          <w:lang w:val="en-NZ"/>
        </w:rPr>
      </w:pPr>
      <w:r>
        <w:rPr>
          <w:lang w:val="en-NZ"/>
        </w:rPr>
        <w:t xml:space="preserve">The Trusts Act 2019 introduced increased compliance requirements, including the requirement for each trustee of a trust to keep core documents. This includes records </w:t>
      </w:r>
      <w:r w:rsidRPr="002B4E78">
        <w:rPr>
          <w:lang w:val="en-NZ"/>
        </w:rPr>
        <w:t>of the trust property that identifies the assets, liabilities, income, and expenses of the trust and that are appropriate to the value and complexity of the trust property.</w:t>
      </w:r>
      <w:r>
        <w:rPr>
          <w:lang w:val="en-NZ"/>
        </w:rPr>
        <w:t xml:space="preserve"> </w:t>
      </w:r>
      <w:r w:rsidR="00B94415">
        <w:rPr>
          <w:lang w:val="en-NZ"/>
        </w:rPr>
        <w:t>The</w:t>
      </w:r>
      <w:r w:rsidR="00B94415" w:rsidRPr="00760DFD">
        <w:rPr>
          <w:lang w:val="en-NZ"/>
        </w:rPr>
        <w:t xml:space="preserve"> </w:t>
      </w:r>
      <w:r w:rsidR="0014439B" w:rsidRPr="00760DFD">
        <w:rPr>
          <w:lang w:val="en-NZ"/>
        </w:rPr>
        <w:t xml:space="preserve">RIA for the new </w:t>
      </w:r>
      <w:r w:rsidR="00C12FA7" w:rsidRPr="00760DFD">
        <w:rPr>
          <w:lang w:val="en-NZ"/>
        </w:rPr>
        <w:t>39%</w:t>
      </w:r>
      <w:r w:rsidR="0014439B" w:rsidRPr="00760DFD">
        <w:rPr>
          <w:lang w:val="en-NZ"/>
        </w:rPr>
        <w:t xml:space="preserve"> rate noted that the new </w:t>
      </w:r>
      <w:r w:rsidR="00815084" w:rsidRPr="002F41B7">
        <w:rPr>
          <w:lang w:val="en-NZ"/>
        </w:rPr>
        <w:t xml:space="preserve">trust </w:t>
      </w:r>
      <w:r w:rsidR="0014439B" w:rsidRPr="002F41B7">
        <w:rPr>
          <w:lang w:val="en-NZ"/>
        </w:rPr>
        <w:t>disclosure rules will increase compliance costs for trustees on top of recent changes to the Trusts Act</w:t>
      </w:r>
      <w:r w:rsidR="00815084" w:rsidRPr="002F41B7">
        <w:rPr>
          <w:lang w:val="en-NZ"/>
        </w:rPr>
        <w:t>.</w:t>
      </w:r>
      <w:r w:rsidR="00C5425C" w:rsidRPr="00162CB4">
        <w:rPr>
          <w:rStyle w:val="FootnoteReference"/>
          <w:lang w:val="en-NZ"/>
        </w:rPr>
        <w:footnoteReference w:id="9"/>
      </w:r>
      <w:r w:rsidR="00B21055" w:rsidRPr="00B21055">
        <w:rPr>
          <w:lang w:val="en-NZ"/>
        </w:rPr>
        <w:t xml:space="preserve"> </w:t>
      </w:r>
      <w:r w:rsidR="00B21055" w:rsidRPr="00AC7862">
        <w:rPr>
          <w:lang w:val="en-NZ"/>
        </w:rPr>
        <w:t>The compliance costs relating to the keeping and preparation of financial records do not arise solely from the new trust disclosure rules in the TAA.</w:t>
      </w:r>
      <w:r w:rsidR="00760DFD">
        <w:rPr>
          <w:lang w:val="en-NZ"/>
        </w:rPr>
        <w:t xml:space="preserve"> </w:t>
      </w:r>
    </w:p>
    <w:p w14:paraId="478EFC4A" w14:textId="14913F36" w:rsidR="00E901E5" w:rsidRPr="00E901E5" w:rsidRDefault="007D78A1" w:rsidP="005F312F">
      <w:pPr>
        <w:pStyle w:val="Heading3"/>
        <w:spacing w:before="240"/>
      </w:pPr>
      <w:bookmarkStart w:id="21" w:name="_Toc93607254"/>
      <w:bookmarkStart w:id="22" w:name="_Toc93608025"/>
      <w:bookmarkStart w:id="23" w:name="_Toc93609717"/>
      <w:r w:rsidRPr="00A864A5">
        <w:t>What is the policy problem</w:t>
      </w:r>
      <w:r w:rsidR="002352C4">
        <w:t xml:space="preserve"> or opportunity</w:t>
      </w:r>
      <w:r w:rsidRPr="00A864A5">
        <w:t>?</w:t>
      </w:r>
      <w:bookmarkEnd w:id="21"/>
      <w:bookmarkEnd w:id="22"/>
      <w:bookmarkEnd w:id="23"/>
    </w:p>
    <w:p w14:paraId="2933345D" w14:textId="57886E48" w:rsidR="003100D3" w:rsidRPr="003100D3" w:rsidRDefault="00B70DF0" w:rsidP="005F312F">
      <w:pPr>
        <w:pStyle w:val="ListParagraph"/>
        <w:numPr>
          <w:ilvl w:val="0"/>
          <w:numId w:val="9"/>
        </w:numPr>
        <w:spacing w:before="180"/>
        <w:ind w:left="567" w:hanging="567"/>
        <w:contextualSpacing w:val="0"/>
        <w:jc w:val="both"/>
        <w:rPr>
          <w:lang w:val="en-NZ"/>
        </w:rPr>
      </w:pPr>
      <w:r>
        <w:rPr>
          <w:rFonts w:cs="Arial"/>
          <w:szCs w:val="22"/>
          <w:lang w:val="en-NZ"/>
        </w:rPr>
        <w:t xml:space="preserve">Section 59BA of the TAA </w:t>
      </w:r>
      <w:r w:rsidR="00A26DD9">
        <w:rPr>
          <w:rFonts w:cs="Arial"/>
          <w:szCs w:val="22"/>
          <w:lang w:val="en-NZ"/>
        </w:rPr>
        <w:t>require</w:t>
      </w:r>
      <w:r>
        <w:rPr>
          <w:rFonts w:cs="Arial"/>
          <w:szCs w:val="22"/>
          <w:lang w:val="en-NZ"/>
        </w:rPr>
        <w:t>s</w:t>
      </w:r>
      <w:r w:rsidR="00A26DD9">
        <w:rPr>
          <w:rFonts w:cs="Arial"/>
          <w:szCs w:val="22"/>
          <w:lang w:val="en-NZ"/>
        </w:rPr>
        <w:t xml:space="preserve"> domestic</w:t>
      </w:r>
      <w:r w:rsidR="00BE1B14">
        <w:rPr>
          <w:rFonts w:cs="Arial"/>
          <w:szCs w:val="22"/>
          <w:lang w:val="en-NZ"/>
        </w:rPr>
        <w:t xml:space="preserve"> trust</w:t>
      </w:r>
      <w:r w:rsidR="00A26DD9">
        <w:rPr>
          <w:rFonts w:cs="Arial"/>
          <w:szCs w:val="22"/>
          <w:lang w:val="en-NZ"/>
        </w:rPr>
        <w:t>s that derive assessable income</w:t>
      </w:r>
      <w:r w:rsidR="003B02BC">
        <w:rPr>
          <w:rFonts w:cs="Arial"/>
          <w:szCs w:val="22"/>
          <w:lang w:val="en-NZ"/>
        </w:rPr>
        <w:t xml:space="preserve">, </w:t>
      </w:r>
      <w:r w:rsidR="00A26DD9">
        <w:rPr>
          <w:rFonts w:cs="Arial"/>
          <w:szCs w:val="22"/>
          <w:lang w:val="en-NZ"/>
        </w:rPr>
        <w:t xml:space="preserve">and </w:t>
      </w:r>
      <w:r w:rsidR="003B02BC">
        <w:rPr>
          <w:rFonts w:cs="Arial"/>
          <w:szCs w:val="22"/>
          <w:lang w:val="en-NZ"/>
        </w:rPr>
        <w:t xml:space="preserve">that do not fall within certain exclusions, to </w:t>
      </w:r>
      <w:r w:rsidR="00605FF7">
        <w:rPr>
          <w:rFonts w:cs="Arial"/>
          <w:szCs w:val="22"/>
          <w:lang w:val="en-NZ"/>
        </w:rPr>
        <w:t>prepare statement</w:t>
      </w:r>
      <w:r w:rsidR="001A69E8">
        <w:rPr>
          <w:rFonts w:cs="Arial"/>
          <w:szCs w:val="22"/>
          <w:lang w:val="en-NZ"/>
        </w:rPr>
        <w:t>s</w:t>
      </w:r>
      <w:r w:rsidR="00605FF7">
        <w:rPr>
          <w:rFonts w:cs="Arial"/>
          <w:szCs w:val="22"/>
          <w:lang w:val="en-NZ"/>
        </w:rPr>
        <w:t xml:space="preserve"> of profit or loss and statement</w:t>
      </w:r>
      <w:r w:rsidR="001A69E8">
        <w:rPr>
          <w:rFonts w:cs="Arial"/>
          <w:szCs w:val="22"/>
          <w:lang w:val="en-NZ"/>
        </w:rPr>
        <w:t>s</w:t>
      </w:r>
      <w:r w:rsidR="00605FF7">
        <w:rPr>
          <w:rFonts w:cs="Arial"/>
          <w:szCs w:val="22"/>
          <w:lang w:val="en-NZ"/>
        </w:rPr>
        <w:t xml:space="preserve"> of financial position.</w:t>
      </w:r>
      <w:r w:rsidR="00D82A80">
        <w:rPr>
          <w:rFonts w:cs="Arial"/>
          <w:szCs w:val="22"/>
          <w:lang w:val="en-NZ"/>
        </w:rPr>
        <w:t xml:space="preserve"> </w:t>
      </w:r>
      <w:r w:rsidR="00FB4362">
        <w:rPr>
          <w:rFonts w:cs="Arial"/>
          <w:szCs w:val="22"/>
          <w:lang w:val="en-NZ"/>
        </w:rPr>
        <w:t xml:space="preserve">Section 59BA does not specify what </w:t>
      </w:r>
      <w:r w:rsidR="00A26DD9">
        <w:rPr>
          <w:rFonts w:cs="Arial"/>
          <w:szCs w:val="22"/>
          <w:lang w:val="en-NZ"/>
        </w:rPr>
        <w:t>level of detail these statements should be prepared to</w:t>
      </w:r>
      <w:r w:rsidR="00EB7B6D">
        <w:rPr>
          <w:rFonts w:cs="Arial"/>
          <w:szCs w:val="22"/>
          <w:lang w:val="en-NZ"/>
        </w:rPr>
        <w:t>.</w:t>
      </w:r>
      <w:r w:rsidR="007E3780">
        <w:rPr>
          <w:rFonts w:cs="Arial"/>
          <w:szCs w:val="22"/>
          <w:lang w:val="en-NZ"/>
        </w:rPr>
        <w:t xml:space="preserve"> In </w:t>
      </w:r>
      <w:r w:rsidR="00132999">
        <w:rPr>
          <w:rFonts w:cs="Arial"/>
          <w:szCs w:val="22"/>
          <w:lang w:val="en-NZ"/>
        </w:rPr>
        <w:t xml:space="preserve">the </w:t>
      </w:r>
      <w:r w:rsidR="007E3780">
        <w:rPr>
          <w:rFonts w:cs="Arial"/>
          <w:szCs w:val="22"/>
          <w:lang w:val="en-NZ"/>
        </w:rPr>
        <w:t xml:space="preserve">absence of minimum standards, there is significant uncertainty for trustees subject to these rules </w:t>
      </w:r>
      <w:r w:rsidR="00D53F85">
        <w:rPr>
          <w:rFonts w:cs="Arial"/>
          <w:szCs w:val="22"/>
          <w:lang w:val="en-NZ"/>
        </w:rPr>
        <w:t xml:space="preserve">regarding </w:t>
      </w:r>
      <w:r w:rsidR="00205633">
        <w:rPr>
          <w:rFonts w:cs="Arial"/>
          <w:szCs w:val="22"/>
          <w:lang w:val="en-NZ"/>
        </w:rPr>
        <w:t>their reporting requirements</w:t>
      </w:r>
      <w:r w:rsidR="00EB7B6D">
        <w:rPr>
          <w:rFonts w:cs="Arial"/>
          <w:szCs w:val="22"/>
          <w:lang w:val="en-NZ"/>
        </w:rPr>
        <w:t>.</w:t>
      </w:r>
      <w:r w:rsidR="008E1F86">
        <w:rPr>
          <w:rFonts w:cs="Arial"/>
          <w:szCs w:val="22"/>
          <w:lang w:val="en-NZ"/>
        </w:rPr>
        <w:t xml:space="preserve"> </w:t>
      </w:r>
    </w:p>
    <w:p w14:paraId="6FFEE6D1" w14:textId="553257C7" w:rsidR="00FB5750" w:rsidRDefault="00FB5750" w:rsidP="005F312F">
      <w:pPr>
        <w:pStyle w:val="ListParagraph"/>
        <w:numPr>
          <w:ilvl w:val="0"/>
          <w:numId w:val="9"/>
        </w:numPr>
        <w:spacing w:before="180"/>
        <w:ind w:left="567" w:hanging="567"/>
        <w:contextualSpacing w:val="0"/>
        <w:jc w:val="both"/>
        <w:rPr>
          <w:lang w:val="en-NZ"/>
        </w:rPr>
      </w:pPr>
      <w:r>
        <w:rPr>
          <w:lang w:val="en-NZ"/>
        </w:rPr>
        <w:t xml:space="preserve">In </w:t>
      </w:r>
      <w:r w:rsidR="005A27D5">
        <w:rPr>
          <w:lang w:val="en-NZ"/>
        </w:rPr>
        <w:t xml:space="preserve">particular, uncertainty would arise as to </w:t>
      </w:r>
      <w:r>
        <w:rPr>
          <w:lang w:val="en-NZ"/>
        </w:rPr>
        <w:t xml:space="preserve">the level of detail the </w:t>
      </w:r>
      <w:r w:rsidR="005A27D5">
        <w:rPr>
          <w:lang w:val="en-NZ"/>
        </w:rPr>
        <w:t xml:space="preserve">financial </w:t>
      </w:r>
      <w:r>
        <w:rPr>
          <w:lang w:val="en-NZ"/>
        </w:rPr>
        <w:t>statements must be prepared to. This would affect the quality of data collected and possibl</w:t>
      </w:r>
      <w:r w:rsidR="009B0689">
        <w:rPr>
          <w:lang w:val="en-NZ"/>
        </w:rPr>
        <w:t>y</w:t>
      </w:r>
      <w:r>
        <w:rPr>
          <w:lang w:val="en-NZ"/>
        </w:rPr>
        <w:t xml:space="preserve"> lead to non-compliance with the rules.</w:t>
      </w:r>
    </w:p>
    <w:p w14:paraId="1185D550" w14:textId="77777777" w:rsidR="007B07C9" w:rsidRDefault="007B07C9" w:rsidP="007B07C9">
      <w:pPr>
        <w:spacing w:before="240"/>
        <w:rPr>
          <w:rFonts w:ascii="Arial Bold" w:hAnsi="Arial Bold"/>
          <w:b/>
          <w:color w:val="0082AB"/>
          <w:spacing w:val="20"/>
          <w:w w:val="90"/>
          <w:sz w:val="24"/>
          <w:szCs w:val="22"/>
          <w:lang w:val="en-NZ"/>
        </w:rPr>
      </w:pPr>
      <w:r>
        <w:rPr>
          <w:rFonts w:ascii="Arial Bold" w:hAnsi="Arial Bold"/>
          <w:b/>
          <w:color w:val="0082AB"/>
          <w:spacing w:val="20"/>
          <w:w w:val="90"/>
          <w:sz w:val="24"/>
          <w:szCs w:val="22"/>
          <w:lang w:val="en-NZ"/>
        </w:rPr>
        <w:br w:type="page"/>
      </w:r>
    </w:p>
    <w:p w14:paraId="56C5B4D1" w14:textId="2437F384" w:rsidR="00B4163B" w:rsidRPr="00F027D4" w:rsidRDefault="00B4163B" w:rsidP="005F312F">
      <w:pPr>
        <w:spacing w:before="240"/>
        <w:rPr>
          <w:rFonts w:ascii="Arial Bold" w:hAnsi="Arial Bold"/>
          <w:b/>
          <w:color w:val="0082AB"/>
          <w:spacing w:val="20"/>
          <w:w w:val="90"/>
          <w:sz w:val="24"/>
          <w:szCs w:val="22"/>
          <w:lang w:val="en-NZ"/>
        </w:rPr>
      </w:pPr>
      <w:r w:rsidRPr="00F027D4">
        <w:rPr>
          <w:rFonts w:ascii="Arial Bold" w:hAnsi="Arial Bold"/>
          <w:b/>
          <w:color w:val="0082AB"/>
          <w:spacing w:val="20"/>
          <w:w w:val="90"/>
          <w:sz w:val="24"/>
          <w:szCs w:val="22"/>
          <w:lang w:val="en-NZ"/>
        </w:rPr>
        <w:t>Consultation</w:t>
      </w:r>
    </w:p>
    <w:p w14:paraId="36217A2F" w14:textId="738C6009" w:rsidR="001C2AD0" w:rsidRDefault="001C2AD0" w:rsidP="000719B5">
      <w:pPr>
        <w:pStyle w:val="ListParagraph"/>
        <w:numPr>
          <w:ilvl w:val="0"/>
          <w:numId w:val="9"/>
        </w:numPr>
        <w:spacing w:before="180"/>
        <w:ind w:left="567" w:hanging="567"/>
        <w:contextualSpacing w:val="0"/>
        <w:jc w:val="both"/>
        <w:rPr>
          <w:lang w:val="en-NZ"/>
        </w:rPr>
      </w:pPr>
      <w:r>
        <w:rPr>
          <w:lang w:val="en-NZ"/>
        </w:rPr>
        <w:t xml:space="preserve">Based on feedback received in targeted consultation, officials progressed </w:t>
      </w:r>
      <w:r w:rsidR="00571F71">
        <w:rPr>
          <w:lang w:val="en-NZ"/>
        </w:rPr>
        <w:t>changes in early 2021 to the list of exemptions from the disclosure rules in section 59BA</w:t>
      </w:r>
      <w:r w:rsidR="00DE658D">
        <w:rPr>
          <w:lang w:val="en-NZ"/>
        </w:rPr>
        <w:t xml:space="preserve"> to reduce compliance costs</w:t>
      </w:r>
      <w:r w:rsidR="0080083C">
        <w:rPr>
          <w:lang w:val="en-NZ"/>
        </w:rPr>
        <w:t>.</w:t>
      </w:r>
      <w:r w:rsidR="00DE658D">
        <w:rPr>
          <w:rStyle w:val="FootnoteReference"/>
          <w:lang w:val="en-NZ"/>
        </w:rPr>
        <w:footnoteReference w:id="10"/>
      </w:r>
    </w:p>
    <w:p w14:paraId="5E757065" w14:textId="23857DE6" w:rsidR="0039733D" w:rsidRDefault="00B4163B" w:rsidP="007D6067">
      <w:pPr>
        <w:pStyle w:val="ListParagraph"/>
        <w:numPr>
          <w:ilvl w:val="0"/>
          <w:numId w:val="9"/>
        </w:numPr>
        <w:spacing w:before="180"/>
        <w:ind w:left="567" w:hanging="567"/>
        <w:contextualSpacing w:val="0"/>
        <w:jc w:val="both"/>
        <w:rPr>
          <w:lang w:val="en-NZ"/>
        </w:rPr>
      </w:pPr>
      <w:r>
        <w:rPr>
          <w:lang w:val="en-NZ"/>
        </w:rPr>
        <w:t>In June 2021, Inland Revenue undertook targeted consultation on aspects of the new financial reporting requirements with 11 stakeholders.</w:t>
      </w:r>
      <w:r w:rsidR="0015595F">
        <w:rPr>
          <w:rStyle w:val="FootnoteReference"/>
          <w:lang w:val="en-NZ"/>
        </w:rPr>
        <w:footnoteReference w:id="11"/>
      </w:r>
      <w:r>
        <w:rPr>
          <w:lang w:val="en-NZ"/>
        </w:rPr>
        <w:t xml:space="preserve"> The purpose of the consultation was to </w:t>
      </w:r>
      <w:r w:rsidR="00BF40FF">
        <w:rPr>
          <w:lang w:val="en-NZ"/>
        </w:rPr>
        <w:t>provide</w:t>
      </w:r>
      <w:r>
        <w:rPr>
          <w:lang w:val="en-NZ"/>
        </w:rPr>
        <w:t xml:space="preserve"> an early reasonableness check of officials’ proposals before public consultation occurred later in 2021. The consultation questions included whether it was appropriate</w:t>
      </w:r>
      <w:r w:rsidRPr="00317DD1">
        <w:t xml:space="preserve"> </w:t>
      </w:r>
      <w:r w:rsidRPr="00317DD1">
        <w:rPr>
          <w:lang w:val="en-NZ"/>
        </w:rPr>
        <w:t xml:space="preserve">to set the minimum requirements for </w:t>
      </w:r>
      <w:r>
        <w:rPr>
          <w:lang w:val="en-NZ"/>
        </w:rPr>
        <w:t>f</w:t>
      </w:r>
      <w:r w:rsidRPr="00317DD1">
        <w:rPr>
          <w:lang w:val="en-NZ"/>
        </w:rPr>
        <w:t xml:space="preserve">inancial </w:t>
      </w:r>
      <w:r>
        <w:rPr>
          <w:lang w:val="en-NZ"/>
        </w:rPr>
        <w:t>s</w:t>
      </w:r>
      <w:r w:rsidRPr="00317DD1">
        <w:rPr>
          <w:lang w:val="en-NZ"/>
        </w:rPr>
        <w:t xml:space="preserve">tatements </w:t>
      </w:r>
      <w:r>
        <w:rPr>
          <w:lang w:val="en-NZ"/>
        </w:rPr>
        <w:t xml:space="preserve">prepared by domestic trusts </w:t>
      </w:r>
      <w:r w:rsidRPr="00317DD1">
        <w:rPr>
          <w:lang w:val="en-NZ"/>
        </w:rPr>
        <w:t xml:space="preserve">by </w:t>
      </w:r>
      <w:r w:rsidR="00E64F0E">
        <w:rPr>
          <w:lang w:val="en-NZ"/>
        </w:rPr>
        <w:t xml:space="preserve">an </w:t>
      </w:r>
      <w:r w:rsidRPr="00317DD1">
        <w:rPr>
          <w:lang w:val="en-NZ"/>
        </w:rPr>
        <w:t>OIC</w:t>
      </w:r>
      <w:r>
        <w:rPr>
          <w:lang w:val="en-NZ"/>
        </w:rPr>
        <w:t xml:space="preserve"> made</w:t>
      </w:r>
      <w:r w:rsidRPr="00317DD1">
        <w:rPr>
          <w:lang w:val="en-NZ"/>
        </w:rPr>
        <w:t xml:space="preserve"> under section 21C of the TAA and what information requirements may cause practical difficulties. </w:t>
      </w:r>
    </w:p>
    <w:p w14:paraId="6A90F110" w14:textId="4EBBC523" w:rsidR="00B4163B" w:rsidRPr="0039733D" w:rsidRDefault="0039733D" w:rsidP="007D6067">
      <w:pPr>
        <w:pStyle w:val="ListParagraph"/>
        <w:numPr>
          <w:ilvl w:val="0"/>
          <w:numId w:val="9"/>
        </w:numPr>
        <w:spacing w:before="180"/>
        <w:ind w:left="567" w:hanging="567"/>
        <w:contextualSpacing w:val="0"/>
        <w:jc w:val="both"/>
        <w:rPr>
          <w:lang w:val="en-NZ"/>
        </w:rPr>
      </w:pPr>
      <w:r w:rsidRPr="0039733D">
        <w:rPr>
          <w:lang w:val="en-NZ"/>
        </w:rPr>
        <w:t>Before an OIC is made under section 21C of the TAA, the Minister of Revenue must consult with professional accounting bodies. Consultation undertaken by Inland Revenue officials in 2021 satisfies this requirement.</w:t>
      </w:r>
      <w:r>
        <w:rPr>
          <w:lang w:val="en-NZ"/>
        </w:rPr>
        <w:t xml:space="preserve"> </w:t>
      </w:r>
      <w:r w:rsidR="00B4163B" w:rsidRPr="0039733D">
        <w:rPr>
          <w:lang w:val="en-NZ"/>
        </w:rPr>
        <w:t>Most submitters agreed it was appropriate to set the minimum requirements for the financial statements through an OIC. A small number did not express a view.</w:t>
      </w:r>
      <w:r w:rsidR="005806FA">
        <w:rPr>
          <w:lang w:val="en-NZ"/>
        </w:rPr>
        <w:t xml:space="preserve"> </w:t>
      </w:r>
      <w:r w:rsidR="00D727BC">
        <w:rPr>
          <w:lang w:val="en-NZ"/>
        </w:rPr>
        <w:t>No submitters opposed setting minimum standards by OIC.</w:t>
      </w:r>
    </w:p>
    <w:p w14:paraId="74F0E196" w14:textId="6B4D3546" w:rsidR="00EA2716" w:rsidRDefault="00950CE4" w:rsidP="007D6067">
      <w:pPr>
        <w:pStyle w:val="ListParagraph"/>
        <w:numPr>
          <w:ilvl w:val="0"/>
          <w:numId w:val="9"/>
        </w:numPr>
        <w:spacing w:before="180"/>
        <w:ind w:left="567" w:hanging="567"/>
        <w:contextualSpacing w:val="0"/>
        <w:jc w:val="both"/>
        <w:rPr>
          <w:lang w:val="en-NZ"/>
        </w:rPr>
      </w:pPr>
      <w:r>
        <w:rPr>
          <w:lang w:val="en-NZ"/>
        </w:rPr>
        <w:t xml:space="preserve">The minimum standards proposed in June 2021 were largely based on the minimum standards for financial statements prepared by foreign trusts. </w:t>
      </w:r>
      <w:r w:rsidR="00222CA2">
        <w:rPr>
          <w:lang w:val="en-NZ"/>
        </w:rPr>
        <w:t xml:space="preserve">Consultation feedback was that the minimum standards for </w:t>
      </w:r>
      <w:r w:rsidR="00E85E83">
        <w:rPr>
          <w:lang w:val="en-NZ"/>
        </w:rPr>
        <w:t xml:space="preserve">financial statements prepared by </w:t>
      </w:r>
      <w:r w:rsidR="00222CA2">
        <w:rPr>
          <w:lang w:val="en-NZ"/>
        </w:rPr>
        <w:t xml:space="preserve">companies was a more appropriate starting basis for domestic trusts, as the foreign trusts regime </w:t>
      </w:r>
      <w:r w:rsidR="00100A08">
        <w:rPr>
          <w:lang w:val="en-NZ"/>
        </w:rPr>
        <w:t xml:space="preserve">is complex and would impose </w:t>
      </w:r>
      <w:r w:rsidR="00EA2716">
        <w:rPr>
          <w:lang w:val="en-NZ"/>
        </w:rPr>
        <w:t xml:space="preserve">more compliance costs. </w:t>
      </w:r>
      <w:r w:rsidR="00EA2716" w:rsidRPr="00EA2716">
        <w:rPr>
          <w:lang w:val="en-NZ"/>
        </w:rPr>
        <w:t>Officials revised the proposed minimum standards to align with the minimum standards for companies more closely.</w:t>
      </w:r>
    </w:p>
    <w:p w14:paraId="353335BF" w14:textId="0497FA26" w:rsidR="00B4163B" w:rsidRPr="007F1F46" w:rsidRDefault="00B4163B" w:rsidP="007D6067">
      <w:pPr>
        <w:pStyle w:val="ListParagraph"/>
        <w:numPr>
          <w:ilvl w:val="0"/>
          <w:numId w:val="9"/>
        </w:numPr>
        <w:spacing w:before="180"/>
        <w:ind w:left="567" w:hanging="567"/>
        <w:contextualSpacing w:val="0"/>
        <w:jc w:val="both"/>
        <w:rPr>
          <w:lang w:val="en-NZ"/>
        </w:rPr>
      </w:pPr>
      <w:r w:rsidRPr="007F1F46">
        <w:rPr>
          <w:lang w:val="en-NZ"/>
        </w:rPr>
        <w:t xml:space="preserve">An officials’ issues paper </w:t>
      </w:r>
      <w:r w:rsidR="004C57AD">
        <w:rPr>
          <w:lang w:val="en-NZ"/>
        </w:rPr>
        <w:t>on</w:t>
      </w:r>
      <w:r w:rsidRPr="007F1F46">
        <w:rPr>
          <w:lang w:val="en-NZ"/>
        </w:rPr>
        <w:t xml:space="preserve"> proposed minimum </w:t>
      </w:r>
      <w:r w:rsidR="00EA2716" w:rsidRPr="007F1F46">
        <w:rPr>
          <w:lang w:val="en-NZ"/>
        </w:rPr>
        <w:t>standards</w:t>
      </w:r>
      <w:r w:rsidRPr="007F1F46">
        <w:rPr>
          <w:lang w:val="en-NZ"/>
        </w:rPr>
        <w:t xml:space="preserve"> </w:t>
      </w:r>
      <w:r w:rsidR="004C57AD">
        <w:rPr>
          <w:lang w:val="en-NZ"/>
        </w:rPr>
        <w:t xml:space="preserve">for financial </w:t>
      </w:r>
      <w:r w:rsidR="00E12EC4">
        <w:rPr>
          <w:lang w:val="en-NZ"/>
        </w:rPr>
        <w:t xml:space="preserve">reporting by domestic trusts </w:t>
      </w:r>
      <w:r w:rsidRPr="007F1F46">
        <w:rPr>
          <w:lang w:val="en-NZ"/>
        </w:rPr>
        <w:t>w</w:t>
      </w:r>
      <w:r w:rsidR="00EA2716" w:rsidRPr="007F1F46">
        <w:rPr>
          <w:lang w:val="en-NZ"/>
        </w:rPr>
        <w:t>as</w:t>
      </w:r>
      <w:r w:rsidRPr="007F1F46">
        <w:rPr>
          <w:lang w:val="en-NZ"/>
        </w:rPr>
        <w:t xml:space="preserve"> released for public consultation on 15 October 2021 with a submission due date of 15 November 2021</w:t>
      </w:r>
      <w:r w:rsidR="0015595F">
        <w:rPr>
          <w:lang w:val="en-NZ"/>
        </w:rPr>
        <w:t>.</w:t>
      </w:r>
      <w:r w:rsidR="0015595F">
        <w:rPr>
          <w:rStyle w:val="FootnoteReference"/>
          <w:lang w:val="en-NZ"/>
        </w:rPr>
        <w:footnoteReference w:id="12"/>
      </w:r>
      <w:r w:rsidRPr="007F1F46">
        <w:rPr>
          <w:lang w:val="en-NZ"/>
        </w:rPr>
        <w:t xml:space="preserve"> A total of 17 submissions were received.</w:t>
      </w:r>
      <w:r w:rsidR="007F1F46">
        <w:rPr>
          <w:lang w:val="en-NZ"/>
        </w:rPr>
        <w:t xml:space="preserve"> </w:t>
      </w:r>
      <w:r w:rsidRPr="007F1F46">
        <w:rPr>
          <w:lang w:val="en-NZ"/>
        </w:rPr>
        <w:t>The main themes arising from consultation were:</w:t>
      </w:r>
    </w:p>
    <w:p w14:paraId="3F6C5500" w14:textId="4E848C10" w:rsidR="00B4163B" w:rsidRDefault="00B4163B" w:rsidP="007D6067">
      <w:pPr>
        <w:pStyle w:val="ListParagraph"/>
        <w:numPr>
          <w:ilvl w:val="1"/>
          <w:numId w:val="9"/>
        </w:numPr>
        <w:spacing w:before="180" w:line="240" w:lineRule="auto"/>
        <w:ind w:left="993"/>
        <w:contextualSpacing w:val="0"/>
        <w:jc w:val="both"/>
      </w:pPr>
      <w:r w:rsidRPr="00F944F2">
        <w:rPr>
          <w:b/>
          <w:bCs/>
        </w:rPr>
        <w:t xml:space="preserve">Support for </w:t>
      </w:r>
      <w:r w:rsidR="00AC25A7">
        <w:rPr>
          <w:b/>
          <w:bCs/>
        </w:rPr>
        <w:t>OIC</w:t>
      </w:r>
      <w:r>
        <w:rPr>
          <w:b/>
          <w:bCs/>
        </w:rPr>
        <w:t>:</w:t>
      </w:r>
      <w:r>
        <w:t xml:space="preserve"> The proposal to set minimum financial reporting standards by </w:t>
      </w:r>
      <w:r w:rsidR="00AC25A7">
        <w:t xml:space="preserve">OIC </w:t>
      </w:r>
      <w:r>
        <w:t>was supported, as it would increase certainty for trustees regarding reporting obligations.</w:t>
      </w:r>
    </w:p>
    <w:p w14:paraId="3A05C2A2" w14:textId="4DFE1F66" w:rsidR="00B4163B" w:rsidRDefault="00B4163B" w:rsidP="007D6067">
      <w:pPr>
        <w:pStyle w:val="ListParagraph"/>
        <w:numPr>
          <w:ilvl w:val="1"/>
          <w:numId w:val="9"/>
        </w:numPr>
        <w:spacing w:before="180" w:line="240" w:lineRule="auto"/>
        <w:ind w:left="993"/>
        <w:contextualSpacing w:val="0"/>
        <w:jc w:val="both"/>
      </w:pPr>
      <w:r>
        <w:rPr>
          <w:b/>
          <w:bCs/>
        </w:rPr>
        <w:t>R</w:t>
      </w:r>
      <w:r w:rsidRPr="00F944F2">
        <w:rPr>
          <w:b/>
          <w:bCs/>
        </w:rPr>
        <w:t>elief for small trusts</w:t>
      </w:r>
      <w:r>
        <w:rPr>
          <w:b/>
          <w:bCs/>
        </w:rPr>
        <w:t>:</w:t>
      </w:r>
      <w:r>
        <w:t xml:space="preserve"> Submitters engaged on how small trusts should be defined for the purposes of the </w:t>
      </w:r>
      <w:r w:rsidR="00AC25A7">
        <w:t xml:space="preserve">OIC </w:t>
      </w:r>
      <w:r>
        <w:t>relief and the scope of that relief.</w:t>
      </w:r>
    </w:p>
    <w:p w14:paraId="0A088E55" w14:textId="16259DFE" w:rsidR="00B4163B" w:rsidRDefault="00B4163B" w:rsidP="007D6067">
      <w:pPr>
        <w:pStyle w:val="ListParagraph"/>
        <w:numPr>
          <w:ilvl w:val="1"/>
          <w:numId w:val="9"/>
        </w:numPr>
        <w:spacing w:before="180" w:line="240" w:lineRule="auto"/>
        <w:ind w:left="993"/>
        <w:contextualSpacing w:val="0"/>
        <w:jc w:val="both"/>
      </w:pPr>
      <w:r w:rsidRPr="00EB4D1D">
        <w:rPr>
          <w:b/>
          <w:bCs/>
        </w:rPr>
        <w:t>Technical matters:</w:t>
      </w:r>
      <w:r>
        <w:t xml:space="preserve"> Submitters engaged on a range of technical matters that should be required in the </w:t>
      </w:r>
      <w:r w:rsidR="006A4020">
        <w:t>OIC</w:t>
      </w:r>
      <w:r>
        <w:t>, the most significant relating to valuation</w:t>
      </w:r>
      <w:r w:rsidR="00EF1035">
        <w:t xml:space="preserve"> methods</w:t>
      </w:r>
      <w:r>
        <w:t>, associated person disclosures, and disclosures relating to beneficiary accounts</w:t>
      </w:r>
      <w:r w:rsidR="00896526">
        <w:t>.</w:t>
      </w:r>
    </w:p>
    <w:p w14:paraId="38671CF0" w14:textId="0F6A06B1" w:rsidR="00A20211" w:rsidRPr="00EB4D1D" w:rsidRDefault="00A20211" w:rsidP="007D6067">
      <w:pPr>
        <w:pStyle w:val="ListParagraph"/>
        <w:numPr>
          <w:ilvl w:val="1"/>
          <w:numId w:val="9"/>
        </w:numPr>
        <w:spacing w:before="180" w:line="240" w:lineRule="auto"/>
        <w:ind w:left="993"/>
        <w:contextualSpacing w:val="0"/>
        <w:jc w:val="both"/>
      </w:pPr>
      <w:r w:rsidRPr="00F944F2">
        <w:rPr>
          <w:b/>
          <w:bCs/>
        </w:rPr>
        <w:t>High compliance costs</w:t>
      </w:r>
      <w:r>
        <w:rPr>
          <w:b/>
          <w:bCs/>
        </w:rPr>
        <w:t>:</w:t>
      </w:r>
      <w:r>
        <w:t xml:space="preserve"> Although outside the scope of this RIS, submitters considered that the </w:t>
      </w:r>
      <w:r w:rsidR="00CF312C">
        <w:t xml:space="preserve">trust </w:t>
      </w:r>
      <w:r>
        <w:t xml:space="preserve">disclosure rules will result in some trusts incurring significant compliance costs. It was suggested that this could be addressed by legislating a one-year deferral of the disclosure rules to allow trustees to structure out of the rules or give them more time to prepare. In addition, </w:t>
      </w:r>
      <w:r w:rsidR="00CC6191">
        <w:t xml:space="preserve">submitters suggested that </w:t>
      </w:r>
      <w:r>
        <w:t xml:space="preserve">legislative amendments could provide small trusts an exemption from all the disclosure </w:t>
      </w:r>
      <w:r w:rsidR="00A3047E">
        <w:t>requirements</w:t>
      </w:r>
      <w:r>
        <w:t xml:space="preserve">.  </w:t>
      </w:r>
    </w:p>
    <w:p w14:paraId="0548FF51" w14:textId="0007989C" w:rsidR="00B4163B" w:rsidRDefault="00B4163B" w:rsidP="007D6067">
      <w:pPr>
        <w:pStyle w:val="ListParagraph"/>
        <w:numPr>
          <w:ilvl w:val="0"/>
          <w:numId w:val="9"/>
        </w:numPr>
        <w:spacing w:before="180"/>
        <w:ind w:left="567" w:hanging="567"/>
        <w:contextualSpacing w:val="0"/>
        <w:jc w:val="both"/>
        <w:rPr>
          <w:lang w:val="en-NZ"/>
        </w:rPr>
      </w:pPr>
      <w:r>
        <w:rPr>
          <w:lang w:val="en-NZ"/>
        </w:rPr>
        <w:t>After analysing submissions on the issues paper, officials undertook further discussions with eight submitters on the OIC to better understand their concerns and test whether Inland Revenue’s updated proposed minimum standards would be reasonable.</w:t>
      </w:r>
      <w:r w:rsidR="004C50FC">
        <w:rPr>
          <w:lang w:val="en-NZ"/>
        </w:rPr>
        <w:t xml:space="preserve"> This feedback has been used to further develop the proposed minimum standards.</w:t>
      </w:r>
    </w:p>
    <w:p w14:paraId="5C776EE3" w14:textId="5F5B0E24" w:rsidR="00B4163B" w:rsidRPr="00EB4D1D" w:rsidRDefault="00B4163B" w:rsidP="007D6067">
      <w:pPr>
        <w:pStyle w:val="ListParagraph"/>
        <w:numPr>
          <w:ilvl w:val="0"/>
          <w:numId w:val="9"/>
        </w:numPr>
        <w:spacing w:before="180"/>
        <w:ind w:left="567" w:hanging="567"/>
        <w:contextualSpacing w:val="0"/>
        <w:jc w:val="both"/>
        <w:rPr>
          <w:lang w:val="en-NZ"/>
        </w:rPr>
      </w:pPr>
      <w:r>
        <w:rPr>
          <w:lang w:val="en-NZ"/>
        </w:rPr>
        <w:t xml:space="preserve">Some feedback received in consultation related to the disclosure rules in section 59BA rather than the proposed minimum standards to be set by OIC. Based on this feedback officials have recommended </w:t>
      </w:r>
      <w:r w:rsidR="008011B1">
        <w:rPr>
          <w:lang w:val="en-NZ"/>
        </w:rPr>
        <w:t xml:space="preserve">to Ministers </w:t>
      </w:r>
      <w:r>
        <w:rPr>
          <w:lang w:val="en-NZ"/>
        </w:rPr>
        <w:t>some legislative changes to help reduce compliance costs for affected trusts for inclusion in the Taxation (Annual Rates for 2021–22, GST, and Remedial Matters) Bill.</w:t>
      </w:r>
      <w:r w:rsidR="00C24094">
        <w:rPr>
          <w:lang w:val="en-NZ"/>
        </w:rPr>
        <w:t xml:space="preserve"> This Bill is expected to be enacted by the end of March 2022.</w:t>
      </w:r>
    </w:p>
    <w:p w14:paraId="781D54A9" w14:textId="77777777" w:rsidR="0036030A" w:rsidRPr="00847E6E" w:rsidRDefault="0036030A" w:rsidP="007D6067">
      <w:pPr>
        <w:pStyle w:val="Heading3"/>
        <w:spacing w:before="240"/>
        <w:jc w:val="both"/>
      </w:pPr>
      <w:bookmarkStart w:id="24" w:name="_Toc93607256"/>
      <w:bookmarkStart w:id="25" w:name="_Toc93608027"/>
      <w:bookmarkStart w:id="26" w:name="_Toc93609719"/>
      <w:r w:rsidRPr="00A864A5">
        <w:t xml:space="preserve">What objectives </w:t>
      </w:r>
      <w:r>
        <w:t>are sought</w:t>
      </w:r>
      <w:r w:rsidRPr="00A864A5">
        <w:t xml:space="preserve"> in relation to th</w:t>
      </w:r>
      <w:r>
        <w:t>e</w:t>
      </w:r>
      <w:r w:rsidRPr="00A864A5">
        <w:t xml:space="preserve"> policy problem?</w:t>
      </w:r>
      <w:bookmarkEnd w:id="24"/>
      <w:bookmarkEnd w:id="25"/>
      <w:bookmarkEnd w:id="26"/>
    </w:p>
    <w:p w14:paraId="1845DA26" w14:textId="77777777" w:rsidR="0036030A" w:rsidRPr="001702DD" w:rsidRDefault="0036030A" w:rsidP="000719B5">
      <w:pPr>
        <w:pStyle w:val="ListParagraph"/>
        <w:numPr>
          <w:ilvl w:val="0"/>
          <w:numId w:val="9"/>
        </w:numPr>
        <w:spacing w:before="180"/>
        <w:ind w:left="567" w:hanging="567"/>
        <w:contextualSpacing w:val="0"/>
        <w:jc w:val="both"/>
        <w:rPr>
          <w:lang w:val="en-NZ"/>
        </w:rPr>
      </w:pPr>
      <w:r w:rsidRPr="001702DD">
        <w:rPr>
          <w:lang w:val="en-NZ"/>
        </w:rPr>
        <w:t>There are two objectives sought in relation to the proposal to set minimum standards for financial statements prepared by domestic trusts:</w:t>
      </w:r>
    </w:p>
    <w:p w14:paraId="4ACE95EE" w14:textId="522C18DC" w:rsidR="0036030A" w:rsidRPr="001702DD" w:rsidRDefault="0036030A" w:rsidP="007D6067">
      <w:pPr>
        <w:pStyle w:val="ListParagraph"/>
        <w:numPr>
          <w:ilvl w:val="1"/>
          <w:numId w:val="9"/>
        </w:numPr>
        <w:spacing w:before="180"/>
        <w:ind w:left="993"/>
        <w:contextualSpacing w:val="0"/>
        <w:jc w:val="both"/>
        <w:rPr>
          <w:lang w:val="en-NZ"/>
        </w:rPr>
      </w:pPr>
      <w:r w:rsidRPr="001702DD">
        <w:rPr>
          <w:lang w:val="en-NZ"/>
        </w:rPr>
        <w:t>The minimum standards should support the objectives of the disclosure rules</w:t>
      </w:r>
      <w:r w:rsidR="00C80C73">
        <w:rPr>
          <w:lang w:val="en-NZ"/>
        </w:rPr>
        <w:t>,</w:t>
      </w:r>
      <w:r w:rsidRPr="001702DD">
        <w:rPr>
          <w:lang w:val="en-NZ"/>
        </w:rPr>
        <w:t xml:space="preserve"> </w:t>
      </w:r>
      <w:r w:rsidR="00366652">
        <w:rPr>
          <w:lang w:val="en-NZ"/>
        </w:rPr>
        <w:t>which are to</w:t>
      </w:r>
      <w:r w:rsidRPr="001702DD">
        <w:rPr>
          <w:lang w:val="en-NZ"/>
        </w:rPr>
        <w:t xml:space="preserve"> ensur</w:t>
      </w:r>
      <w:r w:rsidR="00366652">
        <w:rPr>
          <w:lang w:val="en-NZ"/>
        </w:rPr>
        <w:t>e</w:t>
      </w:r>
      <w:r w:rsidRPr="001702DD">
        <w:rPr>
          <w:lang w:val="en-NZ"/>
        </w:rPr>
        <w:t xml:space="preserve"> that the Commissioner has sufficient information to </w:t>
      </w:r>
      <w:r w:rsidR="00422717">
        <w:t>evaluate the effectiveness of the new 39%</w:t>
      </w:r>
      <w:r w:rsidR="008D2DDB">
        <w:t xml:space="preserve"> rate</w:t>
      </w:r>
      <w:r w:rsidRPr="001702DD">
        <w:t xml:space="preserve"> and gain insight into the use of structures and entities by trustees in New Zealand.</w:t>
      </w:r>
    </w:p>
    <w:p w14:paraId="73E5B2AE" w14:textId="51A97457" w:rsidR="00B052C1" w:rsidRPr="001702DD" w:rsidRDefault="0036030A" w:rsidP="007D6067">
      <w:pPr>
        <w:pStyle w:val="ListParagraph"/>
        <w:numPr>
          <w:ilvl w:val="1"/>
          <w:numId w:val="9"/>
        </w:numPr>
        <w:spacing w:before="180"/>
        <w:ind w:left="993"/>
        <w:contextualSpacing w:val="0"/>
        <w:jc w:val="both"/>
        <w:rPr>
          <w:lang w:val="en-NZ"/>
        </w:rPr>
      </w:pPr>
      <w:r w:rsidRPr="001702DD">
        <w:rPr>
          <w:lang w:val="en-NZ"/>
        </w:rPr>
        <w:t xml:space="preserve">The minimum standards should reduce </w:t>
      </w:r>
      <w:r w:rsidR="0097698E">
        <w:rPr>
          <w:lang w:val="en-NZ"/>
        </w:rPr>
        <w:t xml:space="preserve">unnecessary </w:t>
      </w:r>
      <w:r w:rsidRPr="001702DD">
        <w:rPr>
          <w:lang w:val="en-NZ"/>
        </w:rPr>
        <w:t>compliance costs for trusts subject to the disclosure rules.</w:t>
      </w:r>
      <w:bookmarkStart w:id="27" w:name="_Toc93607255"/>
      <w:bookmarkStart w:id="28" w:name="_Toc93608026"/>
      <w:bookmarkStart w:id="29" w:name="_Toc93609718"/>
      <w:r w:rsidR="00B052C1" w:rsidRPr="001702DD">
        <w:rPr>
          <w:lang w:val="en-NZ"/>
        </w:rPr>
        <w:br w:type="page"/>
      </w:r>
    </w:p>
    <w:p w14:paraId="2B635B3D" w14:textId="46C31799" w:rsidR="008321F8" w:rsidRDefault="00F402DF" w:rsidP="0024561D">
      <w:pPr>
        <w:pStyle w:val="Heading2"/>
      </w:pPr>
      <w:bookmarkStart w:id="30" w:name="_Toc93607257"/>
      <w:bookmarkStart w:id="31" w:name="_Toc93608028"/>
      <w:bookmarkStart w:id="32" w:name="_Toc93609720"/>
      <w:bookmarkEnd w:id="10"/>
      <w:bookmarkEnd w:id="11"/>
      <w:bookmarkEnd w:id="12"/>
      <w:bookmarkEnd w:id="13"/>
      <w:bookmarkEnd w:id="14"/>
      <w:bookmarkEnd w:id="27"/>
      <w:bookmarkEnd w:id="28"/>
      <w:bookmarkEnd w:id="29"/>
      <w:r w:rsidRPr="00A864A5">
        <w:t xml:space="preserve">Section 2: </w:t>
      </w:r>
      <w:r w:rsidR="001C4A82">
        <w:t xml:space="preserve">Deciding </w:t>
      </w:r>
      <w:r w:rsidR="005275ED">
        <w:t>upon an option</w:t>
      </w:r>
      <w:r w:rsidR="007336C9">
        <w:t xml:space="preserve"> </w:t>
      </w:r>
      <w:r w:rsidR="005C38A2">
        <w:t>to address the policy problem</w:t>
      </w:r>
      <w:bookmarkEnd w:id="30"/>
      <w:bookmarkEnd w:id="31"/>
      <w:bookmarkEnd w:id="32"/>
    </w:p>
    <w:p w14:paraId="3A199392" w14:textId="65706B3F" w:rsidR="008321F8" w:rsidRPr="00A864A5" w:rsidRDefault="008321F8" w:rsidP="005F312F">
      <w:pPr>
        <w:pStyle w:val="Heading3"/>
        <w:spacing w:before="240"/>
      </w:pPr>
      <w:bookmarkStart w:id="33" w:name="_Toc93607258"/>
      <w:bookmarkStart w:id="34" w:name="_Toc93608029"/>
      <w:bookmarkStart w:id="35" w:name="_Toc93609721"/>
      <w:r w:rsidRPr="00A864A5">
        <w:t xml:space="preserve">What criteria will </w:t>
      </w:r>
      <w:r w:rsidR="007336C9">
        <w:t>be used</w:t>
      </w:r>
      <w:r w:rsidR="003A6757">
        <w:t xml:space="preserve"> to</w:t>
      </w:r>
      <w:r w:rsidRPr="00A864A5">
        <w:t xml:space="preserve"> </w:t>
      </w:r>
      <w:r w:rsidR="003A6757">
        <w:t>compare</w:t>
      </w:r>
      <w:r w:rsidRPr="00A864A5">
        <w:t xml:space="preserve"> options </w:t>
      </w:r>
      <w:r w:rsidR="003A6757">
        <w:t>to</w:t>
      </w:r>
      <w:r w:rsidRPr="00A864A5">
        <w:t xml:space="preserve"> the status quo?</w:t>
      </w:r>
      <w:bookmarkEnd w:id="33"/>
      <w:bookmarkEnd w:id="34"/>
      <w:bookmarkEnd w:id="35"/>
    </w:p>
    <w:p w14:paraId="6F2D13FF" w14:textId="0E18C862" w:rsidR="00C07FA5" w:rsidRDefault="00D238E6" w:rsidP="007D6067">
      <w:pPr>
        <w:pStyle w:val="ListParagraph"/>
        <w:numPr>
          <w:ilvl w:val="0"/>
          <w:numId w:val="9"/>
        </w:numPr>
        <w:spacing w:before="180"/>
        <w:ind w:left="567" w:hanging="567"/>
        <w:jc w:val="both"/>
        <w:rPr>
          <w:lang w:val="en-NZ"/>
        </w:rPr>
      </w:pPr>
      <w:r w:rsidRPr="00AC3BCC">
        <w:rPr>
          <w:lang w:val="en-NZ"/>
        </w:rPr>
        <w:t xml:space="preserve">The following criteria will be used to compare options </w:t>
      </w:r>
      <w:r w:rsidR="00E43F3E" w:rsidRPr="00AC3BCC">
        <w:rPr>
          <w:lang w:val="en-NZ"/>
        </w:rPr>
        <w:t xml:space="preserve">for </w:t>
      </w:r>
      <w:r w:rsidR="00EE6768" w:rsidRPr="00AC3BCC">
        <w:rPr>
          <w:lang w:val="en-NZ"/>
        </w:rPr>
        <w:t>minimum standards for financial statements prepared by domestic trusts</w:t>
      </w:r>
      <w:r w:rsidR="00E43F3E" w:rsidRPr="00AC3BCC">
        <w:rPr>
          <w:lang w:val="en-NZ"/>
        </w:rPr>
        <w:t>:</w:t>
      </w:r>
    </w:p>
    <w:p w14:paraId="67CC1E7B" w14:textId="77777777" w:rsidR="00AC3BCC" w:rsidRPr="00AC3BCC" w:rsidRDefault="00AC3BCC" w:rsidP="007D6067">
      <w:pPr>
        <w:pStyle w:val="ListParagraph"/>
        <w:spacing w:before="180"/>
        <w:jc w:val="both"/>
        <w:rPr>
          <w:lang w:val="en-NZ"/>
        </w:rPr>
      </w:pPr>
    </w:p>
    <w:p w14:paraId="289D1592" w14:textId="7E162445" w:rsidR="00EE6768" w:rsidRDefault="00F14B49" w:rsidP="000719B5">
      <w:pPr>
        <w:pStyle w:val="ListParagraph"/>
        <w:numPr>
          <w:ilvl w:val="1"/>
          <w:numId w:val="9"/>
        </w:numPr>
        <w:spacing w:before="180"/>
        <w:ind w:left="1134" w:hanging="425"/>
        <w:contextualSpacing w:val="0"/>
        <w:jc w:val="both"/>
        <w:rPr>
          <w:lang w:val="en-NZ"/>
        </w:rPr>
      </w:pPr>
      <w:r>
        <w:rPr>
          <w:b/>
          <w:bCs/>
          <w:lang w:val="en-NZ"/>
        </w:rPr>
        <w:t>M</w:t>
      </w:r>
      <w:r w:rsidR="00EE6768" w:rsidRPr="006678A4">
        <w:rPr>
          <w:b/>
          <w:bCs/>
          <w:lang w:val="en-NZ"/>
        </w:rPr>
        <w:t>inimis</w:t>
      </w:r>
      <w:r w:rsidR="00CC08DC">
        <w:rPr>
          <w:b/>
          <w:bCs/>
          <w:lang w:val="en-NZ"/>
        </w:rPr>
        <w:t>ing</w:t>
      </w:r>
      <w:r w:rsidR="00EE6768" w:rsidRPr="006678A4">
        <w:rPr>
          <w:b/>
          <w:bCs/>
          <w:lang w:val="en-NZ"/>
        </w:rPr>
        <w:t xml:space="preserve"> compliance costs:</w:t>
      </w:r>
      <w:r w:rsidR="00EE6768">
        <w:rPr>
          <w:lang w:val="en-NZ"/>
        </w:rPr>
        <w:t xml:space="preserve"> The minimum standards should strike a balance between ensuring the Commissioner </w:t>
      </w:r>
      <w:r w:rsidR="00F77BEE">
        <w:rPr>
          <w:lang w:val="en-NZ"/>
        </w:rPr>
        <w:t>has</w:t>
      </w:r>
      <w:r w:rsidR="00EE6768">
        <w:rPr>
          <w:lang w:val="en-NZ"/>
        </w:rPr>
        <w:t xml:space="preserve"> sufficient financial information to meet the Government’s </w:t>
      </w:r>
      <w:r w:rsidR="00647407">
        <w:rPr>
          <w:lang w:val="en-NZ"/>
        </w:rPr>
        <w:t xml:space="preserve">trust </w:t>
      </w:r>
      <w:r w:rsidR="00F77BEE">
        <w:rPr>
          <w:lang w:val="en-NZ"/>
        </w:rPr>
        <w:t xml:space="preserve">disclosure rules </w:t>
      </w:r>
      <w:r w:rsidR="00EE6768">
        <w:rPr>
          <w:lang w:val="en-NZ"/>
        </w:rPr>
        <w:t>objectives and minimising unnecessary compliance costs.</w:t>
      </w:r>
    </w:p>
    <w:p w14:paraId="2D515151" w14:textId="4D2DAF15" w:rsidR="00EE6768" w:rsidRDefault="009B10BA" w:rsidP="007D6067">
      <w:pPr>
        <w:pStyle w:val="ListParagraph"/>
        <w:numPr>
          <w:ilvl w:val="1"/>
          <w:numId w:val="9"/>
        </w:numPr>
        <w:spacing w:before="180"/>
        <w:ind w:left="1134" w:hanging="425"/>
        <w:contextualSpacing w:val="0"/>
        <w:jc w:val="both"/>
        <w:rPr>
          <w:lang w:val="en-NZ"/>
        </w:rPr>
      </w:pPr>
      <w:r>
        <w:rPr>
          <w:b/>
          <w:bCs/>
          <w:lang w:val="en-NZ"/>
        </w:rPr>
        <w:t>Achieving the Gov</w:t>
      </w:r>
      <w:r w:rsidR="005831AE">
        <w:rPr>
          <w:b/>
          <w:bCs/>
          <w:lang w:val="en-NZ"/>
        </w:rPr>
        <w:t>ernment’s objectives</w:t>
      </w:r>
      <w:r w:rsidR="00EE6768" w:rsidRPr="006678A4">
        <w:rPr>
          <w:b/>
          <w:bCs/>
          <w:lang w:val="en-NZ"/>
        </w:rPr>
        <w:t>:</w:t>
      </w:r>
      <w:r w:rsidR="00EE6768">
        <w:rPr>
          <w:lang w:val="en-NZ"/>
        </w:rPr>
        <w:t xml:space="preserve"> The minimum standards should positively impact on the quality of data collected</w:t>
      </w:r>
      <w:r w:rsidR="002A7E2A">
        <w:rPr>
          <w:lang w:val="en-NZ"/>
        </w:rPr>
        <w:t xml:space="preserve"> to</w:t>
      </w:r>
      <w:r w:rsidR="00066BF5">
        <w:rPr>
          <w:lang w:val="en-NZ"/>
        </w:rPr>
        <w:t xml:space="preserve"> help</w:t>
      </w:r>
      <w:r w:rsidR="002A7E2A">
        <w:rPr>
          <w:lang w:val="en-NZ"/>
        </w:rPr>
        <w:t xml:space="preserve"> </w:t>
      </w:r>
      <w:r w:rsidR="008D2DDB">
        <w:t>evaluate the effectiveness of the new 39% rate</w:t>
      </w:r>
      <w:r w:rsidR="002A7E2A">
        <w:rPr>
          <w:lang w:val="en-NZ"/>
        </w:rPr>
        <w:t xml:space="preserve"> and gain insight into the use of structures and entities by trustees</w:t>
      </w:r>
      <w:r w:rsidR="00EE6768">
        <w:rPr>
          <w:lang w:val="en-NZ"/>
        </w:rPr>
        <w:t>.</w:t>
      </w:r>
    </w:p>
    <w:p w14:paraId="23A94AA6" w14:textId="5AE64F29" w:rsidR="00EE6768" w:rsidRDefault="00460DFB" w:rsidP="007D6067">
      <w:pPr>
        <w:pStyle w:val="ListParagraph"/>
        <w:numPr>
          <w:ilvl w:val="1"/>
          <w:numId w:val="9"/>
        </w:numPr>
        <w:spacing w:before="180"/>
        <w:ind w:left="1134" w:hanging="425"/>
        <w:contextualSpacing w:val="0"/>
        <w:jc w:val="both"/>
        <w:rPr>
          <w:lang w:val="en-NZ"/>
        </w:rPr>
      </w:pPr>
      <w:r w:rsidRPr="006678A4">
        <w:rPr>
          <w:b/>
          <w:bCs/>
          <w:lang w:val="en-NZ"/>
        </w:rPr>
        <w:t>Ensur</w:t>
      </w:r>
      <w:r>
        <w:rPr>
          <w:b/>
          <w:bCs/>
          <w:lang w:val="en-NZ"/>
        </w:rPr>
        <w:t>ing</w:t>
      </w:r>
      <w:r w:rsidRPr="006678A4">
        <w:rPr>
          <w:b/>
          <w:bCs/>
          <w:lang w:val="en-NZ"/>
        </w:rPr>
        <w:t xml:space="preserve"> </w:t>
      </w:r>
      <w:r w:rsidR="00EE6768" w:rsidRPr="006678A4">
        <w:rPr>
          <w:b/>
          <w:bCs/>
          <w:lang w:val="en-NZ"/>
        </w:rPr>
        <w:t>consistency with existing frameworks:</w:t>
      </w:r>
      <w:r w:rsidR="00EE6768">
        <w:rPr>
          <w:lang w:val="en-NZ"/>
        </w:rPr>
        <w:t xml:space="preserve"> The minimum standards should be consistent where possible with previous minimum standards set for companies and foreign trusts and should align with accounting </w:t>
      </w:r>
      <w:r w:rsidR="009B10BA">
        <w:rPr>
          <w:lang w:val="en-NZ"/>
        </w:rPr>
        <w:t xml:space="preserve">standards and </w:t>
      </w:r>
      <w:r w:rsidR="00EE6768">
        <w:rPr>
          <w:lang w:val="en-NZ"/>
        </w:rPr>
        <w:t>principles where appropriate.</w:t>
      </w:r>
    </w:p>
    <w:p w14:paraId="69DD8D1A" w14:textId="450E0AE3" w:rsidR="00A713A0" w:rsidRPr="00EE6768" w:rsidRDefault="00EE6768" w:rsidP="007D6067">
      <w:pPr>
        <w:pStyle w:val="ListParagraph"/>
        <w:numPr>
          <w:ilvl w:val="1"/>
          <w:numId w:val="9"/>
        </w:numPr>
        <w:spacing w:before="180"/>
        <w:ind w:left="1134" w:hanging="425"/>
        <w:contextualSpacing w:val="0"/>
        <w:jc w:val="both"/>
        <w:rPr>
          <w:lang w:val="en-NZ"/>
        </w:rPr>
      </w:pPr>
      <w:r w:rsidRPr="006678A4">
        <w:rPr>
          <w:b/>
          <w:bCs/>
          <w:lang w:val="en-NZ"/>
        </w:rPr>
        <w:t>Proportionality:</w:t>
      </w:r>
      <w:r>
        <w:rPr>
          <w:lang w:val="en-NZ"/>
        </w:rPr>
        <w:t xml:space="preserve"> The minimum standards should be tailored to the size of the trust. Small</w:t>
      </w:r>
      <w:r w:rsidR="00E1624A">
        <w:rPr>
          <w:lang w:val="en-NZ"/>
        </w:rPr>
        <w:t>er</w:t>
      </w:r>
      <w:r>
        <w:rPr>
          <w:lang w:val="en-NZ"/>
        </w:rPr>
        <w:t xml:space="preserve"> trusts </w:t>
      </w:r>
      <w:r w:rsidR="00E1624A">
        <w:rPr>
          <w:lang w:val="en-NZ"/>
        </w:rPr>
        <w:t>should have simplified reporting requirements</w:t>
      </w:r>
      <w:r>
        <w:rPr>
          <w:lang w:val="en-NZ"/>
        </w:rPr>
        <w:t>.</w:t>
      </w:r>
    </w:p>
    <w:p w14:paraId="3252D892" w14:textId="6EAB8221" w:rsidR="00E52B84" w:rsidRPr="00CD4B62" w:rsidRDefault="007D78A1" w:rsidP="007D6067">
      <w:pPr>
        <w:pStyle w:val="Heading3"/>
        <w:spacing w:before="240"/>
        <w:jc w:val="both"/>
      </w:pPr>
      <w:bookmarkStart w:id="36" w:name="_Toc93607259"/>
      <w:bookmarkStart w:id="37" w:name="_Toc93608030"/>
      <w:bookmarkStart w:id="38" w:name="_Toc93609722"/>
      <w:r w:rsidRPr="00A864A5">
        <w:t xml:space="preserve">What scope </w:t>
      </w:r>
      <w:r w:rsidR="003A6757">
        <w:t>will</w:t>
      </w:r>
      <w:r w:rsidRPr="00A864A5">
        <w:t xml:space="preserve"> </w:t>
      </w:r>
      <w:r w:rsidR="007336C9">
        <w:t>options be considered</w:t>
      </w:r>
      <w:r w:rsidRPr="00A864A5">
        <w:t xml:space="preserve"> within?</w:t>
      </w:r>
      <w:bookmarkEnd w:id="36"/>
      <w:bookmarkEnd w:id="37"/>
      <w:bookmarkEnd w:id="38"/>
    </w:p>
    <w:p w14:paraId="2CEA5305" w14:textId="4E5E4DB0" w:rsidR="00962D18" w:rsidRPr="00FB5750" w:rsidRDefault="00962D18" w:rsidP="000719B5">
      <w:pPr>
        <w:pStyle w:val="ListParagraph"/>
        <w:numPr>
          <w:ilvl w:val="0"/>
          <w:numId w:val="9"/>
        </w:numPr>
        <w:spacing w:before="180"/>
        <w:ind w:left="567" w:hanging="567"/>
        <w:contextualSpacing w:val="0"/>
        <w:jc w:val="both"/>
        <w:rPr>
          <w:lang w:val="en-NZ"/>
        </w:rPr>
      </w:pPr>
      <w:r w:rsidRPr="00FB5750">
        <w:rPr>
          <w:rFonts w:cs="Arial"/>
          <w:szCs w:val="22"/>
          <w:lang w:val="en-NZ"/>
        </w:rPr>
        <w:t xml:space="preserve">Officials consider that minimum standards for financial statements </w:t>
      </w:r>
      <w:r w:rsidR="0065146D">
        <w:rPr>
          <w:rFonts w:cs="Arial"/>
          <w:szCs w:val="22"/>
          <w:lang w:val="en-NZ"/>
        </w:rPr>
        <w:t xml:space="preserve">prepared by domestic trusts </w:t>
      </w:r>
      <w:r w:rsidRPr="00FB5750">
        <w:rPr>
          <w:rFonts w:cs="Arial"/>
          <w:szCs w:val="22"/>
          <w:lang w:val="en-NZ"/>
        </w:rPr>
        <w:t xml:space="preserve">should be set by </w:t>
      </w:r>
      <w:r>
        <w:rPr>
          <w:rFonts w:cs="Arial"/>
          <w:szCs w:val="22"/>
          <w:lang w:val="en-NZ"/>
        </w:rPr>
        <w:t>OIC</w:t>
      </w:r>
      <w:r w:rsidRPr="00FB5750">
        <w:rPr>
          <w:rFonts w:cs="Arial"/>
          <w:szCs w:val="22"/>
          <w:lang w:val="en-NZ"/>
        </w:rPr>
        <w:t xml:space="preserve"> </w:t>
      </w:r>
      <w:r>
        <w:rPr>
          <w:rFonts w:cs="Arial"/>
          <w:szCs w:val="22"/>
          <w:lang w:val="en-NZ"/>
        </w:rPr>
        <w:t xml:space="preserve">made </w:t>
      </w:r>
      <w:r w:rsidRPr="00FB5750">
        <w:rPr>
          <w:rFonts w:cs="Arial"/>
          <w:szCs w:val="22"/>
          <w:lang w:val="en-NZ"/>
        </w:rPr>
        <w:t xml:space="preserve">under section 21C of the TAA. Section 21C is a generic financial reporting provision that empowers the Governor-General, by </w:t>
      </w:r>
      <w:r>
        <w:rPr>
          <w:rFonts w:cs="Arial"/>
          <w:szCs w:val="22"/>
          <w:lang w:val="en-NZ"/>
        </w:rPr>
        <w:t>OIC</w:t>
      </w:r>
      <w:r w:rsidRPr="00FB5750">
        <w:rPr>
          <w:rFonts w:cs="Arial"/>
          <w:szCs w:val="22"/>
          <w:lang w:val="en-NZ"/>
        </w:rPr>
        <w:t xml:space="preserve"> on recommendation of the Minister of Revenue, to prescribe minimum requirements for financial reporting for certain classes of taxpayers.</w:t>
      </w:r>
    </w:p>
    <w:p w14:paraId="347FB68B" w14:textId="77777777" w:rsidR="00962D18" w:rsidRPr="00D503C7" w:rsidRDefault="00962D18" w:rsidP="007D6067">
      <w:pPr>
        <w:pStyle w:val="ListParagraph"/>
        <w:numPr>
          <w:ilvl w:val="0"/>
          <w:numId w:val="9"/>
        </w:numPr>
        <w:spacing w:before="180"/>
        <w:ind w:left="567" w:hanging="567"/>
        <w:contextualSpacing w:val="0"/>
        <w:jc w:val="both"/>
        <w:rPr>
          <w:lang w:val="en-NZ"/>
        </w:rPr>
      </w:pPr>
      <w:r>
        <w:rPr>
          <w:rFonts w:cs="Arial"/>
          <w:szCs w:val="22"/>
          <w:lang w:val="en-NZ"/>
        </w:rPr>
        <w:t>Two similar OICs have been made under the same section:</w:t>
      </w:r>
    </w:p>
    <w:p w14:paraId="228AB02A" w14:textId="34F10529" w:rsidR="00962D18" w:rsidRPr="00D503C7" w:rsidRDefault="007A284A" w:rsidP="007D6067">
      <w:pPr>
        <w:pStyle w:val="ListParagraph"/>
        <w:numPr>
          <w:ilvl w:val="1"/>
          <w:numId w:val="9"/>
        </w:numPr>
        <w:spacing w:before="180"/>
        <w:ind w:left="1134" w:hanging="425"/>
        <w:contextualSpacing w:val="0"/>
        <w:jc w:val="both"/>
        <w:rPr>
          <w:lang w:val="en-NZ"/>
        </w:rPr>
      </w:pPr>
      <w:r>
        <w:rPr>
          <w:rFonts w:cs="Arial"/>
          <w:szCs w:val="22"/>
          <w:lang w:val="en-NZ"/>
        </w:rPr>
        <w:t xml:space="preserve">the </w:t>
      </w:r>
      <w:hyperlink r:id="rId8" w:history="1">
        <w:r w:rsidR="00962D18" w:rsidRPr="00A94372">
          <w:rPr>
            <w:rStyle w:val="Hyperlink"/>
            <w:rFonts w:cs="Arial"/>
            <w:szCs w:val="22"/>
            <w:lang w:val="en-NZ"/>
          </w:rPr>
          <w:t>Tax Administration (Financial Statements) Order 2014</w:t>
        </w:r>
      </w:hyperlink>
      <w:r w:rsidR="00962D18">
        <w:rPr>
          <w:rFonts w:cs="Arial"/>
          <w:szCs w:val="22"/>
          <w:lang w:val="en-NZ"/>
        </w:rPr>
        <w:t xml:space="preserve"> sets out the minimum standards for financial statements of companies</w:t>
      </w:r>
      <w:r>
        <w:rPr>
          <w:rFonts w:cs="Arial"/>
          <w:szCs w:val="22"/>
          <w:lang w:val="en-NZ"/>
        </w:rPr>
        <w:t xml:space="preserve">; </w:t>
      </w:r>
      <w:r w:rsidR="00962D18">
        <w:rPr>
          <w:rFonts w:cs="Arial"/>
          <w:szCs w:val="22"/>
          <w:lang w:val="en-NZ"/>
        </w:rPr>
        <w:t>and</w:t>
      </w:r>
    </w:p>
    <w:p w14:paraId="3D95018B" w14:textId="1D5FC698" w:rsidR="00962D18" w:rsidRPr="009704E6" w:rsidRDefault="007A284A" w:rsidP="007D6067">
      <w:pPr>
        <w:pStyle w:val="ListParagraph"/>
        <w:numPr>
          <w:ilvl w:val="1"/>
          <w:numId w:val="9"/>
        </w:numPr>
        <w:spacing w:before="180"/>
        <w:ind w:left="1134" w:hanging="425"/>
        <w:contextualSpacing w:val="0"/>
        <w:jc w:val="both"/>
        <w:rPr>
          <w:lang w:val="en-NZ"/>
        </w:rPr>
      </w:pPr>
      <w:r>
        <w:rPr>
          <w:rFonts w:cs="Arial"/>
          <w:szCs w:val="22"/>
          <w:lang w:val="en-NZ"/>
        </w:rPr>
        <w:t xml:space="preserve">the </w:t>
      </w:r>
      <w:hyperlink r:id="rId9" w:history="1">
        <w:r w:rsidR="00962D18" w:rsidRPr="00A94372">
          <w:rPr>
            <w:rStyle w:val="Hyperlink"/>
            <w:rFonts w:cs="Arial"/>
            <w:szCs w:val="22"/>
            <w:lang w:val="en-NZ"/>
          </w:rPr>
          <w:t>Tax Administration (Financial Statements</w:t>
        </w:r>
        <w:r w:rsidR="00962D18" w:rsidRPr="00A94372">
          <w:rPr>
            <w:rStyle w:val="Hyperlink"/>
          </w:rPr>
          <w:t>—Foreign Trusts) Order 2017</w:t>
        </w:r>
      </w:hyperlink>
      <w:r w:rsidR="00962D18">
        <w:t xml:space="preserve"> sets out the minimum standards for financial statements of foreign trusts.</w:t>
      </w:r>
      <w:r w:rsidR="00962D18">
        <w:rPr>
          <w:rFonts w:cs="Arial"/>
          <w:szCs w:val="22"/>
          <w:lang w:val="en-NZ"/>
        </w:rPr>
        <w:t xml:space="preserve"> </w:t>
      </w:r>
    </w:p>
    <w:p w14:paraId="1A03E089" w14:textId="7E5280BE" w:rsidR="00036409" w:rsidRPr="00054DAC" w:rsidRDefault="00E43F3E" w:rsidP="007D6067">
      <w:pPr>
        <w:pStyle w:val="ListParagraph"/>
        <w:numPr>
          <w:ilvl w:val="0"/>
          <w:numId w:val="9"/>
        </w:numPr>
        <w:spacing w:before="180"/>
        <w:ind w:left="567" w:hanging="567"/>
        <w:contextualSpacing w:val="0"/>
        <w:jc w:val="both"/>
        <w:rPr>
          <w:lang w:val="en-NZ"/>
        </w:rPr>
      </w:pPr>
      <w:r w:rsidRPr="00D47075">
        <w:rPr>
          <w:lang w:val="en-NZ"/>
        </w:rPr>
        <w:t xml:space="preserve">The options considered in this </w:t>
      </w:r>
      <w:r w:rsidR="001702DD">
        <w:rPr>
          <w:lang w:val="en-NZ"/>
        </w:rPr>
        <w:t>r</w:t>
      </w:r>
      <w:r w:rsidR="00036409">
        <w:rPr>
          <w:lang w:val="en-NZ"/>
        </w:rPr>
        <w:t xml:space="preserve">egulatory </w:t>
      </w:r>
      <w:r w:rsidR="001702DD">
        <w:rPr>
          <w:lang w:val="en-NZ"/>
        </w:rPr>
        <w:t>i</w:t>
      </w:r>
      <w:r w:rsidR="00036409">
        <w:rPr>
          <w:lang w:val="en-NZ"/>
        </w:rPr>
        <w:t xml:space="preserve">mpact </w:t>
      </w:r>
      <w:r w:rsidR="001702DD">
        <w:rPr>
          <w:lang w:val="en-NZ"/>
        </w:rPr>
        <w:t>s</w:t>
      </w:r>
      <w:r w:rsidR="00036409">
        <w:rPr>
          <w:lang w:val="en-NZ"/>
        </w:rPr>
        <w:t>tatement</w:t>
      </w:r>
      <w:r w:rsidR="0033743C" w:rsidRPr="00D47075">
        <w:rPr>
          <w:lang w:val="en-NZ"/>
        </w:rPr>
        <w:t xml:space="preserve"> </w:t>
      </w:r>
      <w:r w:rsidR="001702DD">
        <w:rPr>
          <w:lang w:val="en-NZ"/>
        </w:rPr>
        <w:t xml:space="preserve">(RIS) </w:t>
      </w:r>
      <w:r w:rsidRPr="00D47075">
        <w:rPr>
          <w:lang w:val="en-NZ"/>
        </w:rPr>
        <w:t xml:space="preserve">are focused on </w:t>
      </w:r>
      <w:r w:rsidR="00EB00E9">
        <w:rPr>
          <w:lang w:val="en-NZ"/>
        </w:rPr>
        <w:t xml:space="preserve">setting </w:t>
      </w:r>
      <w:r w:rsidRPr="00D47075">
        <w:rPr>
          <w:lang w:val="en-NZ"/>
        </w:rPr>
        <w:t xml:space="preserve">minimum </w:t>
      </w:r>
      <w:r w:rsidR="00036409">
        <w:rPr>
          <w:lang w:val="en-NZ"/>
        </w:rPr>
        <w:t xml:space="preserve">standards for </w:t>
      </w:r>
      <w:r w:rsidR="0033743C" w:rsidRPr="00D47075">
        <w:rPr>
          <w:lang w:val="en-NZ"/>
        </w:rPr>
        <w:t xml:space="preserve">financial </w:t>
      </w:r>
      <w:r w:rsidRPr="00D47075">
        <w:rPr>
          <w:lang w:val="en-NZ"/>
        </w:rPr>
        <w:t xml:space="preserve">standards </w:t>
      </w:r>
      <w:r w:rsidR="00036409">
        <w:rPr>
          <w:lang w:val="en-NZ"/>
        </w:rPr>
        <w:t>prepared by domestic trusts.</w:t>
      </w:r>
      <w:r w:rsidR="001702DD">
        <w:rPr>
          <w:lang w:val="en-NZ"/>
        </w:rPr>
        <w:t xml:space="preserve"> </w:t>
      </w:r>
      <w:r w:rsidR="00562BFD">
        <w:rPr>
          <w:lang w:val="en-NZ"/>
        </w:rPr>
        <w:t>A</w:t>
      </w:r>
      <w:r w:rsidR="001702DD">
        <w:rPr>
          <w:lang w:val="en-NZ"/>
        </w:rPr>
        <w:t>mendments to section 59BA are outside the scope of this RIS.</w:t>
      </w:r>
    </w:p>
    <w:p w14:paraId="3B934A6D" w14:textId="68AE45D7" w:rsidR="00DB5324" w:rsidRPr="00054DAC" w:rsidRDefault="00DB5324" w:rsidP="007D6067">
      <w:pPr>
        <w:pStyle w:val="ListParagraph"/>
        <w:numPr>
          <w:ilvl w:val="0"/>
          <w:numId w:val="9"/>
        </w:numPr>
        <w:spacing w:before="180"/>
        <w:ind w:left="567" w:hanging="567"/>
        <w:contextualSpacing w:val="0"/>
        <w:jc w:val="both"/>
        <w:rPr>
          <w:lang w:val="en-NZ"/>
        </w:rPr>
      </w:pPr>
      <w:r>
        <w:rPr>
          <w:lang w:val="en-NZ"/>
        </w:rPr>
        <w:t>During rounds of consultation in 2021, officials received feedback on a wide range of issue</w:t>
      </w:r>
      <w:r w:rsidR="00F7376B">
        <w:rPr>
          <w:lang w:val="en-NZ"/>
        </w:rPr>
        <w:t>s</w:t>
      </w:r>
      <w:r>
        <w:rPr>
          <w:lang w:val="en-NZ"/>
        </w:rPr>
        <w:t xml:space="preserve"> relating to the disclosure rules in section 59BA of the TAA, the proposed minimum standards, and interpretative and guidance matters. The options and proposals discussed in this RIS have been developed based on this consultation feedback.</w:t>
      </w:r>
    </w:p>
    <w:p w14:paraId="6E2D02A2" w14:textId="082BB5F2" w:rsidR="00FD0746" w:rsidRPr="00054DAC" w:rsidRDefault="009E1EAC" w:rsidP="007D6067">
      <w:pPr>
        <w:pStyle w:val="ListParagraph"/>
        <w:numPr>
          <w:ilvl w:val="0"/>
          <w:numId w:val="9"/>
        </w:numPr>
        <w:spacing w:before="180"/>
        <w:ind w:left="567" w:hanging="567"/>
        <w:contextualSpacing w:val="0"/>
        <w:jc w:val="both"/>
        <w:rPr>
          <w:lang w:val="en-NZ"/>
        </w:rPr>
      </w:pPr>
      <w:r>
        <w:rPr>
          <w:lang w:val="en-NZ"/>
        </w:rPr>
        <w:t xml:space="preserve">Inland Revenue undertook public consultation on a draft Operational Statement in 2021 </w:t>
      </w:r>
      <w:r w:rsidR="00DE7A5D">
        <w:rPr>
          <w:lang w:val="en-NZ"/>
        </w:rPr>
        <w:t xml:space="preserve">regarding the Commissioner’s approach to applying the trust information gathering powers contained in section 59BA and section 59BAB of the TAA. Matters relating to the Operational Statement or interpretation of section 59BA are also outside the scope of </w:t>
      </w:r>
      <w:r w:rsidR="009C454D">
        <w:rPr>
          <w:lang w:val="en-NZ"/>
        </w:rPr>
        <w:t xml:space="preserve">this </w:t>
      </w:r>
      <w:r w:rsidR="00DE7A5D">
        <w:rPr>
          <w:lang w:val="en-NZ"/>
        </w:rPr>
        <w:t>RIS.</w:t>
      </w:r>
    </w:p>
    <w:p w14:paraId="5DE9849B" w14:textId="233CED82" w:rsidR="00046D73" w:rsidRPr="00A90227" w:rsidRDefault="00FD0746" w:rsidP="007D6067">
      <w:pPr>
        <w:pStyle w:val="ListParagraph"/>
        <w:numPr>
          <w:ilvl w:val="0"/>
          <w:numId w:val="9"/>
        </w:numPr>
        <w:ind w:left="567" w:hanging="567"/>
        <w:jc w:val="both"/>
        <w:rPr>
          <w:lang w:val="en-NZ"/>
        </w:rPr>
      </w:pPr>
      <w:r>
        <w:rPr>
          <w:lang w:val="en-NZ"/>
        </w:rPr>
        <w:t xml:space="preserve">The options </w:t>
      </w:r>
      <w:r w:rsidR="009C7D38">
        <w:rPr>
          <w:lang w:val="en-NZ"/>
        </w:rPr>
        <w:t xml:space="preserve">are </w:t>
      </w:r>
      <w:r w:rsidR="007F0120">
        <w:rPr>
          <w:lang w:val="en-NZ"/>
        </w:rPr>
        <w:t xml:space="preserve">also </w:t>
      </w:r>
      <w:r w:rsidR="009C7D38">
        <w:rPr>
          <w:lang w:val="en-NZ"/>
        </w:rPr>
        <w:t xml:space="preserve">considered within the context of the previous OICs made under section 21C </w:t>
      </w:r>
      <w:r w:rsidR="00A90227">
        <w:rPr>
          <w:lang w:val="en-NZ"/>
        </w:rPr>
        <w:t>to set minimum standards for companies and foreign trusts.</w:t>
      </w:r>
    </w:p>
    <w:p w14:paraId="67575119" w14:textId="4DDE79BF" w:rsidR="005F6A6C" w:rsidRPr="00787D0C" w:rsidRDefault="00121919" w:rsidP="005F312F">
      <w:pPr>
        <w:pStyle w:val="Heading3"/>
        <w:spacing w:before="240"/>
        <w:rPr>
          <w:b w:val="0"/>
          <w:bCs/>
        </w:rPr>
      </w:pPr>
      <w:bookmarkStart w:id="39" w:name="_Toc93607260"/>
      <w:bookmarkStart w:id="40" w:name="_Toc93608031"/>
      <w:bookmarkStart w:id="41" w:name="_Toc93609723"/>
      <w:r>
        <w:t>What options are being considered?</w:t>
      </w:r>
    </w:p>
    <w:p w14:paraId="0437DA57" w14:textId="068CC0F1" w:rsidR="00143F69" w:rsidRDefault="00DE1DD0" w:rsidP="007D6067">
      <w:pPr>
        <w:pStyle w:val="ListParagraph"/>
        <w:numPr>
          <w:ilvl w:val="0"/>
          <w:numId w:val="9"/>
        </w:numPr>
        <w:spacing w:before="180"/>
        <w:ind w:left="567" w:hanging="567"/>
        <w:contextualSpacing w:val="0"/>
        <w:jc w:val="both"/>
        <w:rPr>
          <w:lang w:val="en-NZ"/>
        </w:rPr>
      </w:pPr>
      <w:r w:rsidRPr="00E57F57">
        <w:rPr>
          <w:lang w:val="en-NZ"/>
        </w:rPr>
        <w:t xml:space="preserve">Based on consultation feedback, the proposed minimum standards have been developed </w:t>
      </w:r>
      <w:r w:rsidR="00015662" w:rsidRPr="00E57F57">
        <w:rPr>
          <w:lang w:val="en-NZ"/>
        </w:rPr>
        <w:t xml:space="preserve">using the minimum standards for financial reporting by companies as a starting basis. </w:t>
      </w:r>
      <w:r w:rsidR="00695245">
        <w:rPr>
          <w:lang w:val="en-NZ"/>
        </w:rPr>
        <w:t xml:space="preserve">A key difference between the </w:t>
      </w:r>
      <w:r w:rsidR="00143F69">
        <w:rPr>
          <w:lang w:val="en-NZ"/>
        </w:rPr>
        <w:t xml:space="preserve">proposed minimum standards for domestic trusts and the minimum financial reporting standards for companies is the </w:t>
      </w:r>
      <w:r w:rsidR="00593B12">
        <w:rPr>
          <w:lang w:val="en-NZ"/>
        </w:rPr>
        <w:t>simplified reporting requirements for an estimated 75% of affected trusts</w:t>
      </w:r>
      <w:r w:rsidR="00143F69">
        <w:rPr>
          <w:lang w:val="en-NZ"/>
        </w:rPr>
        <w:t>.</w:t>
      </w:r>
    </w:p>
    <w:p w14:paraId="44CB3BEA" w14:textId="77777777" w:rsidR="008076EA" w:rsidRDefault="00015662" w:rsidP="000719B5">
      <w:pPr>
        <w:pStyle w:val="ListParagraph"/>
        <w:numPr>
          <w:ilvl w:val="0"/>
          <w:numId w:val="9"/>
        </w:numPr>
        <w:spacing w:before="180"/>
        <w:ind w:left="567" w:hanging="567"/>
        <w:contextualSpacing w:val="0"/>
        <w:jc w:val="both"/>
        <w:rPr>
          <w:lang w:val="en-NZ"/>
        </w:rPr>
      </w:pPr>
      <w:r w:rsidRPr="00143F69">
        <w:rPr>
          <w:lang w:val="en-NZ"/>
        </w:rPr>
        <w:t>Set out below are the key options</w:t>
      </w:r>
      <w:r w:rsidR="00E57F57" w:rsidRPr="00143F69">
        <w:rPr>
          <w:lang w:val="en-NZ"/>
        </w:rPr>
        <w:t xml:space="preserve"> for</w:t>
      </w:r>
      <w:r w:rsidR="008076EA">
        <w:rPr>
          <w:lang w:val="en-NZ"/>
        </w:rPr>
        <w:t>:</w:t>
      </w:r>
    </w:p>
    <w:p w14:paraId="2A18BB06" w14:textId="74FDC808" w:rsidR="008076EA" w:rsidRDefault="0068191C" w:rsidP="007D6067">
      <w:pPr>
        <w:pStyle w:val="ListParagraph"/>
        <w:numPr>
          <w:ilvl w:val="1"/>
          <w:numId w:val="9"/>
        </w:numPr>
        <w:spacing w:before="180"/>
        <w:ind w:left="1134" w:hanging="425"/>
        <w:contextualSpacing w:val="0"/>
        <w:jc w:val="both"/>
        <w:rPr>
          <w:lang w:val="en-NZ"/>
        </w:rPr>
      </w:pPr>
      <w:r>
        <w:rPr>
          <w:lang w:val="en-NZ"/>
        </w:rPr>
        <w:t>s</w:t>
      </w:r>
      <w:r w:rsidRPr="00143F69">
        <w:rPr>
          <w:lang w:val="en-NZ"/>
        </w:rPr>
        <w:t xml:space="preserve">etting </w:t>
      </w:r>
      <w:r w:rsidR="00E57F57" w:rsidRPr="00143F69">
        <w:rPr>
          <w:lang w:val="en-NZ"/>
        </w:rPr>
        <w:t xml:space="preserve">the </w:t>
      </w:r>
      <w:r w:rsidR="00DB3463" w:rsidRPr="00143F69">
        <w:rPr>
          <w:lang w:val="en-NZ"/>
        </w:rPr>
        <w:t>minimum standards</w:t>
      </w:r>
      <w:r w:rsidR="005358B7">
        <w:rPr>
          <w:lang w:val="en-NZ"/>
        </w:rPr>
        <w:t xml:space="preserve"> for financial statements prepared by domestic </w:t>
      </w:r>
      <w:proofErr w:type="gramStart"/>
      <w:r w:rsidR="005358B7">
        <w:rPr>
          <w:lang w:val="en-NZ"/>
        </w:rPr>
        <w:t>trusts;</w:t>
      </w:r>
      <w:proofErr w:type="gramEnd"/>
    </w:p>
    <w:p w14:paraId="4D53EC82" w14:textId="7B0BCF09" w:rsidR="008076EA" w:rsidRDefault="0068191C" w:rsidP="007D6067">
      <w:pPr>
        <w:pStyle w:val="ListParagraph"/>
        <w:numPr>
          <w:ilvl w:val="1"/>
          <w:numId w:val="9"/>
        </w:numPr>
        <w:spacing w:before="180"/>
        <w:ind w:left="1134" w:hanging="425"/>
        <w:contextualSpacing w:val="0"/>
        <w:jc w:val="both"/>
        <w:rPr>
          <w:lang w:val="en-NZ"/>
        </w:rPr>
      </w:pPr>
      <w:r>
        <w:rPr>
          <w:lang w:val="en-NZ"/>
        </w:rPr>
        <w:t>t</w:t>
      </w:r>
      <w:r w:rsidRPr="00143F69">
        <w:rPr>
          <w:lang w:val="en-NZ"/>
        </w:rPr>
        <w:t xml:space="preserve">iming </w:t>
      </w:r>
      <w:r w:rsidR="00DB3463" w:rsidRPr="00143F69">
        <w:rPr>
          <w:lang w:val="en-NZ"/>
        </w:rPr>
        <w:t xml:space="preserve">of the </w:t>
      </w:r>
      <w:proofErr w:type="gramStart"/>
      <w:r w:rsidR="00DB3463" w:rsidRPr="00143F69">
        <w:rPr>
          <w:lang w:val="en-NZ"/>
        </w:rPr>
        <w:t>OIC</w:t>
      </w:r>
      <w:r w:rsidR="005358B7">
        <w:rPr>
          <w:lang w:val="en-NZ"/>
        </w:rPr>
        <w:t>;</w:t>
      </w:r>
      <w:proofErr w:type="gramEnd"/>
    </w:p>
    <w:p w14:paraId="00872221" w14:textId="5556331F" w:rsidR="008076EA" w:rsidRDefault="0068191C" w:rsidP="007D6067">
      <w:pPr>
        <w:pStyle w:val="ListParagraph"/>
        <w:numPr>
          <w:ilvl w:val="1"/>
          <w:numId w:val="9"/>
        </w:numPr>
        <w:spacing w:before="180"/>
        <w:ind w:left="1134" w:hanging="425"/>
        <w:contextualSpacing w:val="0"/>
        <w:jc w:val="both"/>
        <w:rPr>
          <w:lang w:val="en-NZ"/>
        </w:rPr>
      </w:pPr>
      <w:r>
        <w:rPr>
          <w:lang w:val="en-NZ"/>
        </w:rPr>
        <w:t xml:space="preserve">simplified </w:t>
      </w:r>
      <w:r w:rsidR="008076EA">
        <w:rPr>
          <w:lang w:val="en-NZ"/>
        </w:rPr>
        <w:t>reporting requirements for certain trusts</w:t>
      </w:r>
      <w:r w:rsidR="005358B7">
        <w:rPr>
          <w:lang w:val="en-NZ"/>
        </w:rPr>
        <w:t>;</w:t>
      </w:r>
      <w:r w:rsidR="008076EA">
        <w:rPr>
          <w:lang w:val="en-NZ"/>
        </w:rPr>
        <w:t xml:space="preserve"> and </w:t>
      </w:r>
    </w:p>
    <w:p w14:paraId="34E7B0EC" w14:textId="66F401D4" w:rsidR="005358B7" w:rsidRDefault="0068191C" w:rsidP="007D6067">
      <w:pPr>
        <w:pStyle w:val="ListParagraph"/>
        <w:numPr>
          <w:ilvl w:val="1"/>
          <w:numId w:val="9"/>
        </w:numPr>
        <w:spacing w:before="180"/>
        <w:ind w:left="1134" w:hanging="425"/>
        <w:contextualSpacing w:val="0"/>
        <w:jc w:val="both"/>
        <w:rPr>
          <w:lang w:val="en-NZ"/>
        </w:rPr>
      </w:pPr>
      <w:r>
        <w:rPr>
          <w:lang w:val="en-NZ"/>
        </w:rPr>
        <w:t xml:space="preserve">trusts </w:t>
      </w:r>
      <w:r w:rsidR="005358B7">
        <w:rPr>
          <w:lang w:val="en-NZ"/>
        </w:rPr>
        <w:t>eligible for simplified reporting requirements</w:t>
      </w:r>
      <w:r w:rsidR="00DB3463" w:rsidRPr="00143F69">
        <w:rPr>
          <w:lang w:val="en-NZ"/>
        </w:rPr>
        <w:t>.</w:t>
      </w:r>
    </w:p>
    <w:p w14:paraId="74DBC9F6" w14:textId="578DFC58" w:rsidR="003F4131" w:rsidRPr="00F15325" w:rsidRDefault="002A225B" w:rsidP="007D6067">
      <w:pPr>
        <w:pStyle w:val="ListParagraph"/>
        <w:numPr>
          <w:ilvl w:val="0"/>
          <w:numId w:val="9"/>
        </w:numPr>
        <w:spacing w:before="180"/>
        <w:ind w:left="567" w:hanging="567"/>
        <w:contextualSpacing w:val="0"/>
        <w:jc w:val="both"/>
        <w:rPr>
          <w:lang w:val="en-NZ"/>
        </w:rPr>
      </w:pPr>
      <w:r w:rsidRPr="00F15325">
        <w:rPr>
          <w:lang w:val="en-NZ"/>
        </w:rPr>
        <w:t xml:space="preserve">Further detail on </w:t>
      </w:r>
      <w:r w:rsidR="00E57F57" w:rsidRPr="00F15325">
        <w:rPr>
          <w:lang w:val="en-NZ"/>
        </w:rPr>
        <w:t xml:space="preserve">other differences </w:t>
      </w:r>
      <w:r w:rsidR="004E24A6" w:rsidRPr="00BD0198">
        <w:rPr>
          <w:lang w:val="en-NZ"/>
        </w:rPr>
        <w:t xml:space="preserve">between the proposed </w:t>
      </w:r>
      <w:r w:rsidR="0019635D" w:rsidRPr="000A1ADA">
        <w:rPr>
          <w:lang w:val="en-NZ"/>
        </w:rPr>
        <w:t xml:space="preserve">minimum standards </w:t>
      </w:r>
      <w:r w:rsidR="00143F69" w:rsidRPr="000A1ADA">
        <w:rPr>
          <w:lang w:val="en-NZ"/>
        </w:rPr>
        <w:t xml:space="preserve">for </w:t>
      </w:r>
      <w:r w:rsidR="004E24A6" w:rsidRPr="000A1ADA">
        <w:rPr>
          <w:lang w:val="en-NZ"/>
        </w:rPr>
        <w:t>domestic trusts and</w:t>
      </w:r>
      <w:r w:rsidR="0019635D" w:rsidRPr="000A1ADA">
        <w:rPr>
          <w:lang w:val="en-NZ"/>
        </w:rPr>
        <w:t xml:space="preserve"> the minimum standards</w:t>
      </w:r>
      <w:r w:rsidR="004E24A6" w:rsidRPr="000A1ADA">
        <w:rPr>
          <w:lang w:val="en-NZ"/>
        </w:rPr>
        <w:t xml:space="preserve"> for companies</w:t>
      </w:r>
      <w:r w:rsidR="0019635D" w:rsidRPr="000A1ADA">
        <w:rPr>
          <w:lang w:val="en-NZ"/>
        </w:rPr>
        <w:t xml:space="preserve"> are set </w:t>
      </w:r>
      <w:r w:rsidR="00730874" w:rsidRPr="000A1ADA">
        <w:rPr>
          <w:lang w:val="en-NZ"/>
        </w:rPr>
        <w:t>out in Appendix A.</w:t>
      </w:r>
      <w:r w:rsidR="005358B7">
        <w:rPr>
          <w:lang w:val="en-NZ" w:eastAsia="en-NZ"/>
        </w:rPr>
        <w:t xml:space="preserve"> </w:t>
      </w:r>
      <w:r w:rsidR="003F4131" w:rsidRPr="00F15325">
        <w:rPr>
          <w:lang w:val="en-NZ" w:eastAsia="en-NZ"/>
        </w:rPr>
        <w:t>Appendix B contains a detailed summary of the proposed minimum standards.</w:t>
      </w:r>
    </w:p>
    <w:p w14:paraId="20B8DD9C" w14:textId="0BE669E8" w:rsidR="00F306AB" w:rsidRPr="00242BAA" w:rsidRDefault="00F306AB" w:rsidP="005F312F">
      <w:pPr>
        <w:spacing w:before="240"/>
        <w:rPr>
          <w:b/>
          <w:bCs/>
          <w:lang w:val="en-NZ"/>
        </w:rPr>
      </w:pPr>
      <w:r w:rsidRPr="00242BAA">
        <w:rPr>
          <w:b/>
          <w:bCs/>
          <w:lang w:val="en-NZ"/>
        </w:rPr>
        <w:t xml:space="preserve">Setting minimum standards </w:t>
      </w:r>
      <w:r w:rsidR="00D044C6">
        <w:rPr>
          <w:b/>
          <w:bCs/>
          <w:lang w:val="en-NZ"/>
        </w:rPr>
        <w:t>for financial statements prepared by domestic trusts</w:t>
      </w:r>
    </w:p>
    <w:p w14:paraId="313133E5" w14:textId="51996EFC" w:rsidR="00121919" w:rsidRPr="00242BAA" w:rsidRDefault="00121919" w:rsidP="003200B9">
      <w:pPr>
        <w:pStyle w:val="Heading4"/>
        <w:jc w:val="both"/>
        <w:rPr>
          <w:color w:val="auto"/>
          <w:lang w:val="en-NZ"/>
        </w:rPr>
      </w:pPr>
      <w:r w:rsidRPr="00242BAA">
        <w:rPr>
          <w:b w:val="0"/>
          <w:bCs w:val="0"/>
          <w:i/>
          <w:iCs/>
          <w:color w:val="auto"/>
          <w:u w:val="single"/>
          <w:lang w:val="en-NZ"/>
        </w:rPr>
        <w:t>Option One</w:t>
      </w:r>
      <w:r w:rsidRPr="00242BAA">
        <w:rPr>
          <w:b w:val="0"/>
          <w:bCs w:val="0"/>
          <w:color w:val="auto"/>
          <w:u w:val="single"/>
          <w:lang w:val="en-NZ"/>
        </w:rPr>
        <w:t xml:space="preserve"> </w:t>
      </w:r>
      <w:r w:rsidRPr="00242BAA">
        <w:rPr>
          <w:color w:val="auto"/>
          <w:lang w:val="en-NZ"/>
        </w:rPr>
        <w:t xml:space="preserve">– </w:t>
      </w:r>
      <w:r w:rsidR="00345357" w:rsidRPr="00242BAA">
        <w:rPr>
          <w:b w:val="0"/>
          <w:bCs w:val="0"/>
          <w:color w:val="auto"/>
          <w:lang w:val="en-NZ"/>
        </w:rPr>
        <w:t>Maintain status quo and do not set</w:t>
      </w:r>
      <w:r w:rsidR="000763CA" w:rsidRPr="00242BAA">
        <w:rPr>
          <w:b w:val="0"/>
          <w:bCs w:val="0"/>
          <w:color w:val="auto"/>
          <w:lang w:val="en-NZ"/>
        </w:rPr>
        <w:t xml:space="preserve"> minimum standards </w:t>
      </w:r>
    </w:p>
    <w:p w14:paraId="627D94C5" w14:textId="0F761876" w:rsidR="00255E0E" w:rsidRPr="00054DAC" w:rsidRDefault="00255E0E" w:rsidP="005F312F">
      <w:pPr>
        <w:pStyle w:val="ListParagraph"/>
        <w:numPr>
          <w:ilvl w:val="0"/>
          <w:numId w:val="9"/>
        </w:numPr>
        <w:ind w:left="567" w:hanging="567"/>
        <w:contextualSpacing w:val="0"/>
        <w:jc w:val="both"/>
        <w:rPr>
          <w:lang w:val="en-NZ"/>
        </w:rPr>
      </w:pPr>
      <w:r>
        <w:rPr>
          <w:lang w:val="en-NZ"/>
        </w:rPr>
        <w:t xml:space="preserve">Regardless of whether minimum standards are set by </w:t>
      </w:r>
      <w:r w:rsidR="004731AA">
        <w:rPr>
          <w:lang w:val="en-NZ"/>
        </w:rPr>
        <w:t xml:space="preserve">secondary </w:t>
      </w:r>
      <w:r w:rsidR="0066548A">
        <w:rPr>
          <w:lang w:val="en-NZ"/>
        </w:rPr>
        <w:t>or primary legislation</w:t>
      </w:r>
      <w:r>
        <w:rPr>
          <w:lang w:val="en-NZ"/>
        </w:rPr>
        <w:t>, section 59BA(2)(a) of the TAA requires domestic trusts that derive assessable income, and that do not fall within certain exclusion categories, to prepare a statement of profit or loss and a statement of financial position.</w:t>
      </w:r>
    </w:p>
    <w:p w14:paraId="79678D20" w14:textId="39F70C7D" w:rsidR="000D7979" w:rsidRPr="004731AA" w:rsidRDefault="00255E0E" w:rsidP="005F312F">
      <w:pPr>
        <w:pStyle w:val="ListParagraph"/>
        <w:numPr>
          <w:ilvl w:val="0"/>
          <w:numId w:val="9"/>
        </w:numPr>
        <w:ind w:left="567" w:hanging="567"/>
        <w:contextualSpacing w:val="0"/>
        <w:jc w:val="both"/>
        <w:rPr>
          <w:lang w:val="en-NZ"/>
        </w:rPr>
      </w:pPr>
      <w:r w:rsidRPr="00957410">
        <w:rPr>
          <w:lang w:val="en-NZ"/>
        </w:rPr>
        <w:t xml:space="preserve">In </w:t>
      </w:r>
      <w:r w:rsidR="00FB3EE6" w:rsidRPr="00957410">
        <w:rPr>
          <w:lang w:val="en-NZ"/>
        </w:rPr>
        <w:t xml:space="preserve">the </w:t>
      </w:r>
      <w:r w:rsidRPr="00957410">
        <w:rPr>
          <w:lang w:val="en-NZ"/>
        </w:rPr>
        <w:t>absence of minimum standards</w:t>
      </w:r>
      <w:r w:rsidR="009F3E63" w:rsidRPr="004731AA">
        <w:rPr>
          <w:lang w:val="en-NZ"/>
        </w:rPr>
        <w:t xml:space="preserve"> for financial statements, there would be uncertainty regarding the level of detail the statements must be prepared to. This </w:t>
      </w:r>
      <w:r w:rsidR="004731AA">
        <w:rPr>
          <w:lang w:val="en-NZ"/>
        </w:rPr>
        <w:t>w</w:t>
      </w:r>
      <w:r w:rsidR="004731AA" w:rsidRPr="00957410">
        <w:rPr>
          <w:lang w:val="en-NZ"/>
        </w:rPr>
        <w:t xml:space="preserve">ould </w:t>
      </w:r>
      <w:r w:rsidR="004731AA">
        <w:rPr>
          <w:lang w:val="en-NZ"/>
        </w:rPr>
        <w:t>undermine</w:t>
      </w:r>
      <w:r w:rsidR="004731AA" w:rsidRPr="00957410">
        <w:rPr>
          <w:lang w:val="en-NZ"/>
        </w:rPr>
        <w:t xml:space="preserve"> the Government’</w:t>
      </w:r>
      <w:r w:rsidR="004731AA" w:rsidRPr="004731AA">
        <w:rPr>
          <w:lang w:val="en-NZ"/>
        </w:rPr>
        <w:t>s objectives for the disclosure rules by</w:t>
      </w:r>
      <w:r w:rsidR="004731AA">
        <w:rPr>
          <w:lang w:val="en-NZ"/>
        </w:rPr>
        <w:t xml:space="preserve"> negatively impacting</w:t>
      </w:r>
      <w:r w:rsidR="004731AA" w:rsidRPr="00957410">
        <w:rPr>
          <w:lang w:val="en-NZ"/>
        </w:rPr>
        <w:t xml:space="preserve"> </w:t>
      </w:r>
      <w:r w:rsidR="009F3E63" w:rsidRPr="00957410">
        <w:rPr>
          <w:lang w:val="en-NZ"/>
        </w:rPr>
        <w:t xml:space="preserve">the quality of data collected and possibly lead to non-compliance </w:t>
      </w:r>
      <w:r w:rsidR="00C344EC">
        <w:rPr>
          <w:lang w:val="en-NZ"/>
        </w:rPr>
        <w:t>with</w:t>
      </w:r>
      <w:r w:rsidR="00C344EC" w:rsidRPr="00957410">
        <w:rPr>
          <w:lang w:val="en-NZ"/>
        </w:rPr>
        <w:t xml:space="preserve"> </w:t>
      </w:r>
      <w:r w:rsidR="009F3E63" w:rsidRPr="00957410">
        <w:rPr>
          <w:lang w:val="en-NZ"/>
        </w:rPr>
        <w:t xml:space="preserve">the </w:t>
      </w:r>
      <w:r w:rsidR="0015748B" w:rsidRPr="004731AA">
        <w:rPr>
          <w:lang w:val="en-NZ"/>
        </w:rPr>
        <w:t xml:space="preserve">disclosure </w:t>
      </w:r>
      <w:r w:rsidR="009F3E63" w:rsidRPr="004731AA">
        <w:rPr>
          <w:lang w:val="en-NZ"/>
        </w:rPr>
        <w:t>rules.</w:t>
      </w:r>
    </w:p>
    <w:p w14:paraId="6F00F802" w14:textId="2D0FA5BE" w:rsidR="000D7979" w:rsidRPr="00242BAA" w:rsidRDefault="000D7979" w:rsidP="000D7979">
      <w:pPr>
        <w:pStyle w:val="Heading4"/>
        <w:jc w:val="both"/>
        <w:rPr>
          <w:color w:val="auto"/>
          <w:lang w:val="en-NZ"/>
        </w:rPr>
      </w:pPr>
      <w:r w:rsidRPr="00242BAA">
        <w:rPr>
          <w:b w:val="0"/>
          <w:bCs w:val="0"/>
          <w:i/>
          <w:iCs/>
          <w:color w:val="auto"/>
          <w:u w:val="single"/>
          <w:lang w:val="en-NZ"/>
        </w:rPr>
        <w:t>Option Two</w:t>
      </w:r>
      <w:r w:rsidRPr="00242BAA">
        <w:rPr>
          <w:i/>
          <w:iCs/>
          <w:color w:val="auto"/>
          <w:lang w:val="en-NZ"/>
        </w:rPr>
        <w:t xml:space="preserve"> </w:t>
      </w:r>
      <w:r w:rsidRPr="00242BAA">
        <w:rPr>
          <w:color w:val="auto"/>
          <w:lang w:val="en-NZ"/>
        </w:rPr>
        <w:t xml:space="preserve">– </w:t>
      </w:r>
      <w:r>
        <w:rPr>
          <w:b w:val="0"/>
          <w:bCs w:val="0"/>
          <w:color w:val="auto"/>
          <w:lang w:val="en-NZ"/>
        </w:rPr>
        <w:t xml:space="preserve">Adopt existing </w:t>
      </w:r>
      <w:r w:rsidR="00D22712">
        <w:rPr>
          <w:b w:val="0"/>
          <w:bCs w:val="0"/>
          <w:color w:val="auto"/>
          <w:lang w:val="en-NZ"/>
        </w:rPr>
        <w:t>accounting standards frameworks</w:t>
      </w:r>
      <w:r>
        <w:rPr>
          <w:b w:val="0"/>
          <w:bCs w:val="0"/>
          <w:color w:val="auto"/>
          <w:lang w:val="en-NZ"/>
        </w:rPr>
        <w:t xml:space="preserve"> set by the External Reporting Board</w:t>
      </w:r>
    </w:p>
    <w:p w14:paraId="4228D918" w14:textId="3B85BA76" w:rsidR="004E3D8D" w:rsidRPr="00054DAC" w:rsidRDefault="000D7979" w:rsidP="005F312F">
      <w:pPr>
        <w:pStyle w:val="ListParagraph"/>
        <w:numPr>
          <w:ilvl w:val="0"/>
          <w:numId w:val="9"/>
        </w:numPr>
        <w:ind w:left="567" w:hanging="567"/>
        <w:contextualSpacing w:val="0"/>
        <w:jc w:val="both"/>
        <w:rPr>
          <w:lang w:val="en-NZ"/>
        </w:rPr>
      </w:pPr>
      <w:r w:rsidRPr="00F15325">
        <w:rPr>
          <w:rFonts w:cs="Arial"/>
          <w:szCs w:val="22"/>
          <w:lang w:val="en-NZ"/>
        </w:rPr>
        <w:t xml:space="preserve">The External Reporting Board (XRB) sets accounting standards frameworks for for-profit and public </w:t>
      </w:r>
      <w:r w:rsidRPr="00BD0198">
        <w:rPr>
          <w:rFonts w:cs="Arial"/>
          <w:szCs w:val="22"/>
          <w:lang w:val="en-NZ"/>
        </w:rPr>
        <w:t>benefit entities (both not-for-profit and public sector entities) that are required, or opting, to prepare general purpose financial reports</w:t>
      </w:r>
      <w:r w:rsidR="00120FA8">
        <w:rPr>
          <w:rFonts w:cs="Arial"/>
          <w:szCs w:val="22"/>
          <w:lang w:val="en-NZ"/>
        </w:rPr>
        <w:t xml:space="preserve"> (GPFRs)</w:t>
      </w:r>
      <w:r w:rsidRPr="00BD0198">
        <w:rPr>
          <w:rFonts w:cs="Arial"/>
          <w:szCs w:val="22"/>
          <w:lang w:val="en-NZ"/>
        </w:rPr>
        <w:t>.</w:t>
      </w:r>
      <w:r w:rsidR="004E3D8D" w:rsidRPr="000A1ADA">
        <w:rPr>
          <w:rFonts w:cs="Arial"/>
          <w:szCs w:val="22"/>
          <w:lang w:val="en-NZ"/>
        </w:rPr>
        <w:t xml:space="preserve"> </w:t>
      </w:r>
      <w:r w:rsidR="00D255C1" w:rsidRPr="000A1ADA">
        <w:rPr>
          <w:rFonts w:cs="Arial"/>
          <w:szCs w:val="22"/>
          <w:lang w:val="en-NZ"/>
        </w:rPr>
        <w:t xml:space="preserve">Trusts do not generally </w:t>
      </w:r>
      <w:r w:rsidR="007E4A5E" w:rsidRPr="000A1ADA">
        <w:rPr>
          <w:rFonts w:cs="Arial"/>
          <w:szCs w:val="22"/>
          <w:lang w:val="en-NZ"/>
        </w:rPr>
        <w:t xml:space="preserve">come under </w:t>
      </w:r>
      <w:r w:rsidR="002003AE" w:rsidRPr="000A1ADA">
        <w:rPr>
          <w:rFonts w:cs="Arial"/>
          <w:szCs w:val="22"/>
          <w:lang w:val="en-NZ"/>
        </w:rPr>
        <w:t xml:space="preserve">XRB’s reporting standards unless they are charitable trusts </w:t>
      </w:r>
      <w:r w:rsidR="007D2910" w:rsidRPr="000A1ADA">
        <w:rPr>
          <w:rFonts w:cs="Arial"/>
          <w:szCs w:val="22"/>
          <w:lang w:val="en-NZ"/>
        </w:rPr>
        <w:t>which are also registered charities</w:t>
      </w:r>
      <w:r w:rsidR="008A07BE">
        <w:rPr>
          <w:rFonts w:cs="Arial"/>
          <w:szCs w:val="22"/>
          <w:lang w:val="en-NZ"/>
        </w:rPr>
        <w:t>. These trusts</w:t>
      </w:r>
      <w:r w:rsidR="007D2910" w:rsidRPr="000A1ADA">
        <w:rPr>
          <w:rFonts w:cs="Arial"/>
          <w:szCs w:val="22"/>
          <w:lang w:val="en-NZ"/>
        </w:rPr>
        <w:t xml:space="preserve"> are required </w:t>
      </w:r>
      <w:r w:rsidR="008A07BE" w:rsidRPr="000A1ADA">
        <w:rPr>
          <w:rFonts w:cs="Arial"/>
          <w:szCs w:val="22"/>
          <w:lang w:val="en-NZ"/>
        </w:rPr>
        <w:t>under the Charities Act 2005</w:t>
      </w:r>
      <w:r w:rsidR="008A07BE">
        <w:rPr>
          <w:rFonts w:cs="Arial"/>
          <w:szCs w:val="22"/>
          <w:lang w:val="en-NZ"/>
        </w:rPr>
        <w:t xml:space="preserve"> </w:t>
      </w:r>
      <w:r w:rsidR="007D2910" w:rsidRPr="000A1ADA">
        <w:rPr>
          <w:rFonts w:cs="Arial"/>
          <w:szCs w:val="22"/>
          <w:lang w:val="en-NZ"/>
        </w:rPr>
        <w:t>to comply with XRB’s Public Benefit Entity standards</w:t>
      </w:r>
      <w:r w:rsidR="00713834" w:rsidRPr="000A1ADA">
        <w:rPr>
          <w:rFonts w:cs="Arial"/>
          <w:szCs w:val="22"/>
          <w:lang w:val="en-NZ"/>
        </w:rPr>
        <w:t xml:space="preserve">. </w:t>
      </w:r>
      <w:r w:rsidR="006A206E">
        <w:rPr>
          <w:rFonts w:cs="Arial"/>
          <w:szCs w:val="22"/>
          <w:lang w:val="en-NZ"/>
        </w:rPr>
        <w:t>Registered charities</w:t>
      </w:r>
      <w:r w:rsidR="00713834" w:rsidRPr="000A1ADA">
        <w:rPr>
          <w:rFonts w:cs="Arial"/>
          <w:szCs w:val="22"/>
          <w:lang w:val="en-NZ"/>
        </w:rPr>
        <w:t xml:space="preserve"> are specifically excluded from the trust disclosure rules.</w:t>
      </w:r>
      <w:r w:rsidR="008D2105" w:rsidRPr="000A1ADA">
        <w:rPr>
          <w:lang w:val="en-NZ"/>
        </w:rPr>
        <w:t xml:space="preserve"> </w:t>
      </w:r>
    </w:p>
    <w:p w14:paraId="3FF531A5" w14:textId="38BACF32" w:rsidR="008D2105" w:rsidRPr="00054DAC" w:rsidRDefault="004E3D8D" w:rsidP="005F312F">
      <w:pPr>
        <w:pStyle w:val="ListParagraph"/>
        <w:numPr>
          <w:ilvl w:val="0"/>
          <w:numId w:val="9"/>
        </w:numPr>
        <w:ind w:left="567" w:hanging="567"/>
        <w:contextualSpacing w:val="0"/>
        <w:jc w:val="both"/>
        <w:rPr>
          <w:lang w:val="en-NZ"/>
        </w:rPr>
      </w:pPr>
      <w:r>
        <w:rPr>
          <w:lang w:val="en-NZ"/>
        </w:rPr>
        <w:t>In issuing its standards</w:t>
      </w:r>
      <w:r w:rsidR="009A0B97">
        <w:rPr>
          <w:lang w:val="en-NZ"/>
        </w:rPr>
        <w:t xml:space="preserve">, XRB focuses on </w:t>
      </w:r>
      <w:r w:rsidR="00A82886">
        <w:rPr>
          <w:lang w:val="en-NZ"/>
        </w:rPr>
        <w:t xml:space="preserve">the </w:t>
      </w:r>
      <w:r w:rsidR="009A0B97">
        <w:rPr>
          <w:lang w:val="en-NZ"/>
        </w:rPr>
        <w:t>user’s needs for information in GPFR</w:t>
      </w:r>
      <w:r w:rsidR="00120FA8">
        <w:rPr>
          <w:lang w:val="en-NZ"/>
        </w:rPr>
        <w:t>s</w:t>
      </w:r>
      <w:r w:rsidR="004A545C">
        <w:rPr>
          <w:lang w:val="en-NZ"/>
        </w:rPr>
        <w:t>, that is, information intended to meet the needs of users who are not able to require an entity to prepare reports tailored to their particular needs</w:t>
      </w:r>
      <w:r w:rsidR="00A0014F">
        <w:rPr>
          <w:lang w:val="en-NZ"/>
        </w:rPr>
        <w:t xml:space="preserve">. In contrast, the </w:t>
      </w:r>
      <w:r w:rsidR="00D96FED">
        <w:rPr>
          <w:lang w:val="en-NZ"/>
        </w:rPr>
        <w:t>Government is able to legislatively request information from users as Special Purpose Financial Reports (SPFR</w:t>
      </w:r>
      <w:r w:rsidR="006A206E">
        <w:rPr>
          <w:lang w:val="en-NZ"/>
        </w:rPr>
        <w:t>s</w:t>
      </w:r>
      <w:r w:rsidR="00D96FED">
        <w:rPr>
          <w:lang w:val="en-NZ"/>
        </w:rPr>
        <w:t>).</w:t>
      </w:r>
      <w:r w:rsidR="00A0014F">
        <w:rPr>
          <w:lang w:val="en-NZ"/>
        </w:rPr>
        <w:t xml:space="preserve"> </w:t>
      </w:r>
    </w:p>
    <w:p w14:paraId="48E6A8E2" w14:textId="71AB81EF" w:rsidR="00911873" w:rsidRPr="00054DAC" w:rsidRDefault="00F25C3F" w:rsidP="005F312F">
      <w:pPr>
        <w:pStyle w:val="ListParagraph"/>
        <w:numPr>
          <w:ilvl w:val="0"/>
          <w:numId w:val="9"/>
        </w:numPr>
        <w:ind w:left="567" w:hanging="567"/>
        <w:contextualSpacing w:val="0"/>
        <w:jc w:val="both"/>
        <w:rPr>
          <w:lang w:val="en-NZ"/>
        </w:rPr>
      </w:pPr>
      <w:r>
        <w:rPr>
          <w:lang w:val="en-NZ"/>
        </w:rPr>
        <w:t xml:space="preserve">Adopting XRB standards for financial statements prepared by domestic trusts subject to section 59BA </w:t>
      </w:r>
      <w:r w:rsidR="008D2105">
        <w:rPr>
          <w:lang w:val="en-NZ"/>
        </w:rPr>
        <w:t>is inconsistent with the approach to the financial reporting requirements for companies and foreign trusts.</w:t>
      </w:r>
      <w:r w:rsidR="007B0F2F">
        <w:rPr>
          <w:lang w:val="en-NZ"/>
        </w:rPr>
        <w:t xml:space="preserve"> The Financial Reporting Act 2013 </w:t>
      </w:r>
      <w:r w:rsidR="009B119E">
        <w:rPr>
          <w:lang w:val="en-NZ"/>
        </w:rPr>
        <w:t xml:space="preserve">removed </w:t>
      </w:r>
      <w:r w:rsidR="004901F7">
        <w:rPr>
          <w:lang w:val="en-NZ"/>
        </w:rPr>
        <w:t xml:space="preserve">the obligation </w:t>
      </w:r>
      <w:r w:rsidR="006932F4">
        <w:rPr>
          <w:lang w:val="en-NZ"/>
        </w:rPr>
        <w:t xml:space="preserve">for a large number of companies to prepare </w:t>
      </w:r>
      <w:r>
        <w:rPr>
          <w:lang w:val="en-NZ"/>
        </w:rPr>
        <w:t>GPFRs</w:t>
      </w:r>
      <w:r w:rsidR="006932F4">
        <w:rPr>
          <w:lang w:val="en-NZ"/>
        </w:rPr>
        <w:t xml:space="preserve">. The Government at the time decided </w:t>
      </w:r>
      <w:r w:rsidR="00F36947">
        <w:rPr>
          <w:lang w:val="en-NZ"/>
        </w:rPr>
        <w:t xml:space="preserve">that these companies should </w:t>
      </w:r>
      <w:r w:rsidR="002F61EA">
        <w:rPr>
          <w:lang w:val="en-NZ"/>
        </w:rPr>
        <w:t>continue</w:t>
      </w:r>
      <w:r w:rsidR="0094476E">
        <w:rPr>
          <w:lang w:val="en-NZ"/>
        </w:rPr>
        <w:t xml:space="preserve"> to prepare financial reports for tax purposes</w:t>
      </w:r>
      <w:r w:rsidR="00A53B67">
        <w:rPr>
          <w:lang w:val="en-NZ"/>
        </w:rPr>
        <w:t>, but to a lesser and minimum special-purpose level.</w:t>
      </w:r>
      <w:r w:rsidR="004901F7">
        <w:rPr>
          <w:lang w:val="en-NZ"/>
        </w:rPr>
        <w:t xml:space="preserve"> These requirements for companies were set by OIC under section 21C of the TAA.</w:t>
      </w:r>
    </w:p>
    <w:p w14:paraId="5237E4E8" w14:textId="21E3B1F5" w:rsidR="00911873" w:rsidRPr="00977568" w:rsidRDefault="0091488B" w:rsidP="005F312F">
      <w:pPr>
        <w:pStyle w:val="ListParagraph"/>
        <w:numPr>
          <w:ilvl w:val="0"/>
          <w:numId w:val="9"/>
        </w:numPr>
        <w:ind w:left="567" w:hanging="567"/>
        <w:contextualSpacing w:val="0"/>
        <w:jc w:val="both"/>
        <w:rPr>
          <w:lang w:val="en-NZ"/>
        </w:rPr>
      </w:pPr>
      <w:r>
        <w:rPr>
          <w:lang w:val="en-NZ"/>
        </w:rPr>
        <w:t>O</w:t>
      </w:r>
      <w:r w:rsidR="00911873" w:rsidRPr="00977568">
        <w:rPr>
          <w:lang w:val="en-NZ"/>
        </w:rPr>
        <w:t xml:space="preserve">fficials consider that it would be appropriate to tailor specific reporting requirements for </w:t>
      </w:r>
      <w:r w:rsidR="00141356">
        <w:rPr>
          <w:lang w:val="en-NZ"/>
        </w:rPr>
        <w:t>SPFR</w:t>
      </w:r>
      <w:r w:rsidR="00911873" w:rsidRPr="00977568">
        <w:rPr>
          <w:lang w:val="en-NZ"/>
        </w:rPr>
        <w:t xml:space="preserve">s for domestic trusts rather than adopt existing standards for </w:t>
      </w:r>
      <w:r w:rsidR="00F57F25">
        <w:rPr>
          <w:lang w:val="en-NZ"/>
        </w:rPr>
        <w:t>GPFRs</w:t>
      </w:r>
      <w:r w:rsidR="00977568" w:rsidRPr="00977568">
        <w:rPr>
          <w:lang w:val="en-NZ"/>
        </w:rPr>
        <w:t xml:space="preserve">. This would </w:t>
      </w:r>
      <w:r w:rsidR="00700E3F">
        <w:rPr>
          <w:lang w:val="en-NZ"/>
        </w:rPr>
        <w:t>lessen</w:t>
      </w:r>
      <w:r w:rsidR="00977568" w:rsidRPr="00977568">
        <w:rPr>
          <w:lang w:val="en-NZ"/>
        </w:rPr>
        <w:t xml:space="preserve"> unnecessary compliance costs on trusts.</w:t>
      </w:r>
      <w:r w:rsidR="00977568">
        <w:rPr>
          <w:lang w:val="en-NZ"/>
        </w:rPr>
        <w:t xml:space="preserve"> </w:t>
      </w:r>
      <w:r w:rsidR="00911873" w:rsidRPr="00977568">
        <w:rPr>
          <w:lang w:val="en-NZ"/>
        </w:rPr>
        <w:t xml:space="preserve">XRB were consulted during the development of the </w:t>
      </w:r>
      <w:r w:rsidR="009D30B8">
        <w:rPr>
          <w:lang w:val="en-NZ"/>
        </w:rPr>
        <w:t>proposal</w:t>
      </w:r>
      <w:r w:rsidR="00911873" w:rsidRPr="00977568">
        <w:rPr>
          <w:lang w:val="en-NZ"/>
        </w:rPr>
        <w:t>s</w:t>
      </w:r>
      <w:r w:rsidR="00A37FFE">
        <w:rPr>
          <w:lang w:val="en-NZ"/>
        </w:rPr>
        <w:t xml:space="preserve"> and did not object to </w:t>
      </w:r>
      <w:r w:rsidR="009D30B8">
        <w:rPr>
          <w:lang w:val="en-NZ"/>
        </w:rPr>
        <w:t xml:space="preserve">minimum standards for SPFRs prepared by domestic trusts being set by </w:t>
      </w:r>
      <w:r w:rsidR="004110EF">
        <w:rPr>
          <w:lang w:val="en-NZ"/>
        </w:rPr>
        <w:t>OIC</w:t>
      </w:r>
      <w:r w:rsidR="00911873" w:rsidRPr="00977568">
        <w:rPr>
          <w:lang w:val="en-NZ"/>
        </w:rPr>
        <w:t>.</w:t>
      </w:r>
    </w:p>
    <w:p w14:paraId="7BAC8522" w14:textId="5C14196F" w:rsidR="00121919" w:rsidRPr="00242BAA" w:rsidRDefault="00121919" w:rsidP="003200B9">
      <w:pPr>
        <w:pStyle w:val="Heading4"/>
        <w:jc w:val="both"/>
        <w:rPr>
          <w:color w:val="auto"/>
          <w:lang w:val="en-NZ"/>
        </w:rPr>
      </w:pPr>
      <w:r w:rsidRPr="00242BAA">
        <w:rPr>
          <w:b w:val="0"/>
          <w:bCs w:val="0"/>
          <w:i/>
          <w:iCs/>
          <w:color w:val="auto"/>
          <w:u w:val="single"/>
          <w:lang w:val="en-NZ"/>
        </w:rPr>
        <w:t xml:space="preserve">Option </w:t>
      </w:r>
      <w:r w:rsidR="000D7979" w:rsidRPr="00242BAA">
        <w:rPr>
          <w:b w:val="0"/>
          <w:bCs w:val="0"/>
          <w:i/>
          <w:iCs/>
          <w:color w:val="auto"/>
          <w:u w:val="single"/>
          <w:lang w:val="en-NZ"/>
        </w:rPr>
        <w:t>T</w:t>
      </w:r>
      <w:r w:rsidR="000D7979">
        <w:rPr>
          <w:b w:val="0"/>
          <w:bCs w:val="0"/>
          <w:i/>
          <w:iCs/>
          <w:color w:val="auto"/>
          <w:u w:val="single"/>
          <w:lang w:val="en-NZ"/>
        </w:rPr>
        <w:t>hree</w:t>
      </w:r>
      <w:r w:rsidR="000D7979" w:rsidRPr="00242BAA">
        <w:rPr>
          <w:i/>
          <w:iCs/>
          <w:color w:val="auto"/>
          <w:lang w:val="en-NZ"/>
        </w:rPr>
        <w:t xml:space="preserve"> </w:t>
      </w:r>
      <w:r w:rsidRPr="00242BAA">
        <w:rPr>
          <w:color w:val="auto"/>
          <w:lang w:val="en-NZ"/>
        </w:rPr>
        <w:t xml:space="preserve">– </w:t>
      </w:r>
      <w:r w:rsidR="00466254" w:rsidRPr="00943919">
        <w:rPr>
          <w:b w:val="0"/>
          <w:bCs w:val="0"/>
          <w:color w:val="auto"/>
          <w:lang w:val="en-NZ"/>
        </w:rPr>
        <w:t xml:space="preserve">Using secondary legislation </w:t>
      </w:r>
      <w:r w:rsidR="00D6710D" w:rsidRPr="00242BAA">
        <w:rPr>
          <w:b w:val="0"/>
          <w:bCs w:val="0"/>
          <w:color w:val="auto"/>
          <w:lang w:val="en-NZ"/>
        </w:rPr>
        <w:t>to set minimum standards for financial statements prepared by domestic tr</w:t>
      </w:r>
      <w:r w:rsidR="00984970" w:rsidRPr="00242BAA">
        <w:rPr>
          <w:b w:val="0"/>
          <w:bCs w:val="0"/>
          <w:color w:val="auto"/>
          <w:lang w:val="en-NZ"/>
        </w:rPr>
        <w:t>usts</w:t>
      </w:r>
    </w:p>
    <w:p w14:paraId="1B440D65" w14:textId="1DD01CF5" w:rsidR="00451D87" w:rsidRPr="00054DAC" w:rsidRDefault="00466254" w:rsidP="005F312F">
      <w:pPr>
        <w:pStyle w:val="ListParagraph"/>
        <w:numPr>
          <w:ilvl w:val="0"/>
          <w:numId w:val="9"/>
        </w:numPr>
        <w:ind w:left="567" w:hanging="567"/>
        <w:contextualSpacing w:val="0"/>
        <w:jc w:val="both"/>
        <w:rPr>
          <w:lang w:val="en-NZ"/>
        </w:rPr>
      </w:pPr>
      <w:r w:rsidRPr="00957410">
        <w:rPr>
          <w:lang w:val="en-NZ"/>
        </w:rPr>
        <w:t xml:space="preserve">This option </w:t>
      </w:r>
      <w:r w:rsidR="007F3382" w:rsidRPr="00957410">
        <w:rPr>
          <w:lang w:val="en-NZ"/>
        </w:rPr>
        <w:t xml:space="preserve">involves </w:t>
      </w:r>
      <w:r w:rsidR="007F3382" w:rsidRPr="00451D87">
        <w:rPr>
          <w:lang w:val="en-NZ"/>
        </w:rPr>
        <w:t xml:space="preserve">making an OIC under section 21C of the TAA to set minimum standards for financial statements prepared by domestic trusts. </w:t>
      </w:r>
      <w:r w:rsidR="00DC34A9" w:rsidRPr="00451D87">
        <w:rPr>
          <w:lang w:val="en-NZ"/>
        </w:rPr>
        <w:t xml:space="preserve">Two OICs have been previously made under section 21C to set minimum standards for companies and foreign trusts. Using a similar approach for domestic trusts would </w:t>
      </w:r>
      <w:r w:rsidR="00451D87" w:rsidRPr="00451D87">
        <w:rPr>
          <w:lang w:val="en-NZ"/>
        </w:rPr>
        <w:t>supplement the disclosure rules by providing increased certainty for trusts regarding their reporting obligations. This would also ensure consistency in the legislation for different entity types (companies, foreign trusts, and domestic trusts).</w:t>
      </w:r>
    </w:p>
    <w:p w14:paraId="716C6BDE" w14:textId="02A7CD6A" w:rsidR="00451D87" w:rsidRPr="00451D87" w:rsidRDefault="00451D87" w:rsidP="005F312F">
      <w:pPr>
        <w:pStyle w:val="ListParagraph"/>
        <w:numPr>
          <w:ilvl w:val="0"/>
          <w:numId w:val="9"/>
        </w:numPr>
        <w:ind w:left="567" w:hanging="567"/>
        <w:contextualSpacing w:val="0"/>
        <w:jc w:val="both"/>
        <w:rPr>
          <w:lang w:val="en-NZ"/>
        </w:rPr>
      </w:pPr>
      <w:r>
        <w:t>This approach also enhances the transparency of the standards and subjects the</w:t>
      </w:r>
      <w:r w:rsidR="00783115">
        <w:t>m</w:t>
      </w:r>
      <w:r>
        <w:t xml:space="preserve"> to review by the Minister of Revenue and the consent of </w:t>
      </w:r>
      <w:r w:rsidR="001435C6">
        <w:t xml:space="preserve">the </w:t>
      </w:r>
      <w:r>
        <w:t xml:space="preserve">Executive Council, thereby assuring taxpayers that appropriate processes have been undertaken. </w:t>
      </w:r>
      <w:r w:rsidR="00255E0E" w:rsidRPr="00451D87">
        <w:rPr>
          <w:lang w:val="en-NZ"/>
        </w:rPr>
        <w:t>Throughout multiple rounds of consultation in 2021, submitters broadly support</w:t>
      </w:r>
      <w:r w:rsidR="009F3E63" w:rsidRPr="00451D87">
        <w:rPr>
          <w:lang w:val="en-NZ"/>
        </w:rPr>
        <w:t>ed</w:t>
      </w:r>
      <w:r w:rsidR="00255E0E" w:rsidRPr="00451D87">
        <w:rPr>
          <w:lang w:val="en-NZ"/>
        </w:rPr>
        <w:t xml:space="preserve"> setting minimum standards by </w:t>
      </w:r>
      <w:r w:rsidR="009107C3" w:rsidRPr="00451D87">
        <w:rPr>
          <w:lang w:val="en-NZ"/>
        </w:rPr>
        <w:t>OIC</w:t>
      </w:r>
      <w:r w:rsidR="009F3E63" w:rsidRPr="00451D87">
        <w:rPr>
          <w:lang w:val="en-NZ"/>
        </w:rPr>
        <w:t xml:space="preserve">. </w:t>
      </w:r>
    </w:p>
    <w:p w14:paraId="2918BB43" w14:textId="585AC530" w:rsidR="007435B7" w:rsidRPr="00242BAA" w:rsidRDefault="007435B7" w:rsidP="007435B7">
      <w:pPr>
        <w:pStyle w:val="Heading4"/>
        <w:jc w:val="both"/>
        <w:rPr>
          <w:color w:val="auto"/>
          <w:lang w:val="en-NZ"/>
        </w:rPr>
      </w:pPr>
      <w:r w:rsidRPr="00242BAA">
        <w:rPr>
          <w:b w:val="0"/>
          <w:bCs w:val="0"/>
          <w:i/>
          <w:iCs/>
          <w:color w:val="auto"/>
          <w:u w:val="single"/>
          <w:lang w:val="en-NZ"/>
        </w:rPr>
        <w:t xml:space="preserve">Option </w:t>
      </w:r>
      <w:r w:rsidR="000D7979">
        <w:rPr>
          <w:b w:val="0"/>
          <w:bCs w:val="0"/>
          <w:i/>
          <w:iCs/>
          <w:color w:val="auto"/>
          <w:u w:val="single"/>
          <w:lang w:val="en-NZ"/>
        </w:rPr>
        <w:t>Four</w:t>
      </w:r>
      <w:r w:rsidRPr="00242BAA">
        <w:rPr>
          <w:i/>
          <w:iCs/>
          <w:color w:val="auto"/>
          <w:lang w:val="en-NZ"/>
        </w:rPr>
        <w:t xml:space="preserve"> </w:t>
      </w:r>
      <w:r w:rsidRPr="00242BAA">
        <w:rPr>
          <w:color w:val="auto"/>
          <w:lang w:val="en-NZ"/>
        </w:rPr>
        <w:t xml:space="preserve">– </w:t>
      </w:r>
      <w:r w:rsidR="00466254">
        <w:rPr>
          <w:b w:val="0"/>
          <w:bCs w:val="0"/>
          <w:color w:val="auto"/>
          <w:lang w:val="en-NZ"/>
        </w:rPr>
        <w:t>Using primary legislation to set</w:t>
      </w:r>
      <w:r w:rsidR="006A70AF">
        <w:rPr>
          <w:b w:val="0"/>
          <w:bCs w:val="0"/>
          <w:color w:val="auto"/>
          <w:lang w:val="en-NZ"/>
        </w:rPr>
        <w:t xml:space="preserve"> minimum standards for </w:t>
      </w:r>
      <w:r w:rsidR="00466254">
        <w:rPr>
          <w:b w:val="0"/>
          <w:bCs w:val="0"/>
          <w:color w:val="auto"/>
          <w:lang w:val="en-NZ"/>
        </w:rPr>
        <w:t>financial statements prepared by domestic trusts</w:t>
      </w:r>
    </w:p>
    <w:p w14:paraId="4EE7A778" w14:textId="28A5733B" w:rsidR="001C224B" w:rsidRPr="00054DAC" w:rsidRDefault="0005244B" w:rsidP="005F312F">
      <w:pPr>
        <w:pStyle w:val="ListParagraph"/>
        <w:numPr>
          <w:ilvl w:val="0"/>
          <w:numId w:val="9"/>
        </w:numPr>
        <w:ind w:left="567" w:hanging="567"/>
        <w:contextualSpacing w:val="0"/>
        <w:jc w:val="both"/>
        <w:rPr>
          <w:lang w:val="en-NZ"/>
        </w:rPr>
      </w:pPr>
      <w:r w:rsidRPr="001C224B">
        <w:rPr>
          <w:lang w:val="en-NZ"/>
        </w:rPr>
        <w:t>Section 59BA</w:t>
      </w:r>
      <w:r w:rsidR="00451D87">
        <w:rPr>
          <w:lang w:val="en-NZ"/>
        </w:rPr>
        <w:t xml:space="preserve"> of the</w:t>
      </w:r>
      <w:r w:rsidR="001C224B">
        <w:rPr>
          <w:lang w:val="en-NZ"/>
        </w:rPr>
        <w:t xml:space="preserve"> TAA </w:t>
      </w:r>
      <w:r w:rsidR="002C1F5F" w:rsidRPr="001C224B">
        <w:rPr>
          <w:lang w:val="en-NZ"/>
        </w:rPr>
        <w:t xml:space="preserve">could be amended to </w:t>
      </w:r>
      <w:r w:rsidR="00451D87">
        <w:rPr>
          <w:lang w:val="en-NZ"/>
        </w:rPr>
        <w:t xml:space="preserve">explicitly </w:t>
      </w:r>
      <w:r w:rsidR="002C1F5F" w:rsidRPr="001C224B">
        <w:rPr>
          <w:lang w:val="en-NZ"/>
        </w:rPr>
        <w:t>s</w:t>
      </w:r>
      <w:r w:rsidR="00D044C6" w:rsidRPr="001C224B">
        <w:rPr>
          <w:lang w:val="en-NZ"/>
        </w:rPr>
        <w:t xml:space="preserve">pecify </w:t>
      </w:r>
      <w:r w:rsidR="00BB5393" w:rsidRPr="001C224B">
        <w:rPr>
          <w:lang w:val="en-NZ"/>
        </w:rPr>
        <w:t xml:space="preserve">the minimum </w:t>
      </w:r>
      <w:r w:rsidR="00BB5393" w:rsidRPr="00CC12A7">
        <w:rPr>
          <w:lang w:val="en-NZ"/>
        </w:rPr>
        <w:t xml:space="preserve">standards </w:t>
      </w:r>
      <w:r w:rsidR="00451D87">
        <w:rPr>
          <w:lang w:val="en-NZ"/>
        </w:rPr>
        <w:t>for financial statements prepared by domestic trusts</w:t>
      </w:r>
      <w:r w:rsidR="00BB5393" w:rsidRPr="00CC12A7">
        <w:rPr>
          <w:lang w:val="en-NZ"/>
        </w:rPr>
        <w:t>.</w:t>
      </w:r>
      <w:r w:rsidR="001C224B">
        <w:rPr>
          <w:lang w:val="en-NZ"/>
        </w:rPr>
        <w:t xml:space="preserve"> </w:t>
      </w:r>
      <w:r w:rsidR="004E7876" w:rsidRPr="001C224B">
        <w:rPr>
          <w:lang w:val="en-NZ"/>
        </w:rPr>
        <w:t>Similar to Option T</w:t>
      </w:r>
      <w:r w:rsidR="00AE1BDA">
        <w:rPr>
          <w:lang w:val="en-NZ"/>
        </w:rPr>
        <w:t>hree</w:t>
      </w:r>
      <w:r w:rsidR="004E7876" w:rsidRPr="001C224B">
        <w:rPr>
          <w:lang w:val="en-NZ"/>
        </w:rPr>
        <w:t>, t</w:t>
      </w:r>
      <w:r w:rsidR="00BB5393" w:rsidRPr="00CC12A7">
        <w:rPr>
          <w:lang w:val="en-NZ"/>
        </w:rPr>
        <w:t>his approach would provide increased certainty for trusts regarding their reporting obligations.</w:t>
      </w:r>
    </w:p>
    <w:p w14:paraId="58C677B1" w14:textId="1993209B" w:rsidR="00903656" w:rsidRPr="00054DAC" w:rsidRDefault="009B7C71" w:rsidP="005F312F">
      <w:pPr>
        <w:pStyle w:val="ListParagraph"/>
        <w:numPr>
          <w:ilvl w:val="0"/>
          <w:numId w:val="9"/>
        </w:numPr>
        <w:ind w:left="567" w:hanging="567"/>
        <w:contextualSpacing w:val="0"/>
        <w:jc w:val="both"/>
        <w:rPr>
          <w:lang w:val="en-NZ"/>
        </w:rPr>
      </w:pPr>
      <w:r>
        <w:rPr>
          <w:lang w:val="en-NZ"/>
        </w:rPr>
        <w:t>P</w:t>
      </w:r>
      <w:r w:rsidR="004B6932">
        <w:rPr>
          <w:lang w:val="en-NZ"/>
        </w:rPr>
        <w:t xml:space="preserve">lacing the minimum standards alongside the requirement to prepare financial statements in </w:t>
      </w:r>
      <w:r w:rsidR="00627720">
        <w:rPr>
          <w:lang w:val="en-NZ"/>
        </w:rPr>
        <w:t>the TAA</w:t>
      </w:r>
      <w:r w:rsidR="004B6932">
        <w:rPr>
          <w:lang w:val="en-NZ"/>
        </w:rPr>
        <w:t xml:space="preserve"> </w:t>
      </w:r>
      <w:r w:rsidR="007B1998">
        <w:rPr>
          <w:lang w:val="en-NZ"/>
        </w:rPr>
        <w:t>may</w:t>
      </w:r>
      <w:r w:rsidR="004B6932">
        <w:rPr>
          <w:lang w:val="en-NZ"/>
        </w:rPr>
        <w:t xml:space="preserve"> </w:t>
      </w:r>
      <w:r>
        <w:rPr>
          <w:lang w:val="en-NZ"/>
        </w:rPr>
        <w:t>make it easier for trusts to find their reporting obligations</w:t>
      </w:r>
      <w:r w:rsidR="007B1998">
        <w:rPr>
          <w:lang w:val="en-NZ"/>
        </w:rPr>
        <w:t xml:space="preserve">. </w:t>
      </w:r>
      <w:r w:rsidR="001C224B">
        <w:rPr>
          <w:lang w:val="en-NZ"/>
        </w:rPr>
        <w:t xml:space="preserve">This is not </w:t>
      </w:r>
      <w:r w:rsidR="00582DF6">
        <w:rPr>
          <w:lang w:val="en-NZ"/>
        </w:rPr>
        <w:t xml:space="preserve">expected to be a significant benefit </w:t>
      </w:r>
      <w:r w:rsidR="00F4444B">
        <w:rPr>
          <w:lang w:val="en-NZ"/>
        </w:rPr>
        <w:t xml:space="preserve">for trustees </w:t>
      </w:r>
      <w:r w:rsidR="00582DF6">
        <w:rPr>
          <w:lang w:val="en-NZ"/>
        </w:rPr>
        <w:t xml:space="preserve">due to Inland Revenue’s </w:t>
      </w:r>
      <w:r w:rsidR="00451D87">
        <w:rPr>
          <w:lang w:val="en-NZ"/>
        </w:rPr>
        <w:t xml:space="preserve">planned </w:t>
      </w:r>
      <w:r w:rsidR="00582DF6">
        <w:rPr>
          <w:lang w:val="en-NZ"/>
        </w:rPr>
        <w:t xml:space="preserve">extensive communications for the disclosure rules and </w:t>
      </w:r>
      <w:r w:rsidR="00FB0464">
        <w:rPr>
          <w:lang w:val="en-NZ"/>
        </w:rPr>
        <w:t>minimum standards.</w:t>
      </w:r>
    </w:p>
    <w:p w14:paraId="2F92E1F8" w14:textId="0A3BF58F" w:rsidR="00810DDE" w:rsidRPr="00054DAC" w:rsidRDefault="007B1998" w:rsidP="005F312F">
      <w:pPr>
        <w:pStyle w:val="ListParagraph"/>
        <w:numPr>
          <w:ilvl w:val="0"/>
          <w:numId w:val="9"/>
        </w:numPr>
        <w:ind w:left="567" w:hanging="567"/>
        <w:contextualSpacing w:val="0"/>
        <w:jc w:val="both"/>
        <w:rPr>
          <w:lang w:val="en-NZ"/>
        </w:rPr>
      </w:pPr>
      <w:r>
        <w:rPr>
          <w:lang w:val="en-NZ"/>
        </w:rPr>
        <w:t>S</w:t>
      </w:r>
      <w:r w:rsidR="00E66725">
        <w:rPr>
          <w:lang w:val="en-NZ"/>
        </w:rPr>
        <w:t>etting minimum standards in primary legislation</w:t>
      </w:r>
      <w:r w:rsidR="00F4444B">
        <w:rPr>
          <w:lang w:val="en-NZ"/>
        </w:rPr>
        <w:t xml:space="preserve"> </w:t>
      </w:r>
      <w:r w:rsidR="00451D87">
        <w:rPr>
          <w:lang w:val="en-NZ"/>
        </w:rPr>
        <w:t>is inconsistent with the approach for companies and foreign trusts and</w:t>
      </w:r>
      <w:r w:rsidR="00E4461F">
        <w:rPr>
          <w:lang w:val="en-NZ"/>
        </w:rPr>
        <w:t xml:space="preserve"> would</w:t>
      </w:r>
      <w:r w:rsidR="002941FE">
        <w:rPr>
          <w:lang w:val="en-NZ"/>
        </w:rPr>
        <w:t xml:space="preserve"> </w:t>
      </w:r>
      <w:r w:rsidR="004A20A1">
        <w:rPr>
          <w:lang w:val="en-NZ"/>
        </w:rPr>
        <w:t xml:space="preserve">limit the </w:t>
      </w:r>
      <w:r w:rsidR="002941FE">
        <w:rPr>
          <w:lang w:val="en-NZ"/>
        </w:rPr>
        <w:t>flexibility</w:t>
      </w:r>
      <w:r w:rsidR="004A20A1">
        <w:rPr>
          <w:lang w:val="en-NZ"/>
        </w:rPr>
        <w:t xml:space="preserve"> of the Government to </w:t>
      </w:r>
      <w:r w:rsidR="002941FE">
        <w:rPr>
          <w:lang w:val="en-NZ"/>
        </w:rPr>
        <w:t>amend the minimum requirements if necessary</w:t>
      </w:r>
      <w:r w:rsidR="0014549C">
        <w:rPr>
          <w:lang w:val="en-NZ"/>
        </w:rPr>
        <w:t xml:space="preserve">. </w:t>
      </w:r>
    </w:p>
    <w:p w14:paraId="0E5D9435" w14:textId="77777777" w:rsidR="00054DAC" w:rsidRDefault="00054DAC" w:rsidP="004808DA">
      <w:pPr>
        <w:rPr>
          <w:b/>
          <w:bCs/>
          <w:lang w:val="en-NZ"/>
        </w:rPr>
      </w:pPr>
      <w:r>
        <w:rPr>
          <w:b/>
          <w:bCs/>
          <w:lang w:val="en-NZ"/>
        </w:rPr>
        <w:br w:type="page"/>
      </w:r>
    </w:p>
    <w:p w14:paraId="6015F13D" w14:textId="1BCFCFA4" w:rsidR="004808DA" w:rsidRPr="00242BAA" w:rsidRDefault="004808DA" w:rsidP="005F312F">
      <w:pPr>
        <w:spacing w:before="240"/>
        <w:rPr>
          <w:lang w:val="en-NZ"/>
        </w:rPr>
      </w:pPr>
      <w:r w:rsidRPr="00242BAA">
        <w:rPr>
          <w:b/>
          <w:bCs/>
          <w:lang w:val="en-NZ"/>
        </w:rPr>
        <w:t>Timing</w:t>
      </w:r>
      <w:r w:rsidR="00255E0E">
        <w:rPr>
          <w:b/>
          <w:bCs/>
          <w:lang w:val="en-NZ"/>
        </w:rPr>
        <w:t xml:space="preserve"> of </w:t>
      </w:r>
      <w:r w:rsidR="006B3BDD">
        <w:rPr>
          <w:b/>
          <w:bCs/>
          <w:lang w:val="en-NZ"/>
        </w:rPr>
        <w:t>OIC</w:t>
      </w:r>
    </w:p>
    <w:p w14:paraId="124A4AA0" w14:textId="4272F05F" w:rsidR="004808DA" w:rsidRPr="00242BAA" w:rsidRDefault="004808DA" w:rsidP="005F312F">
      <w:pPr>
        <w:pStyle w:val="Heading4"/>
        <w:spacing w:before="180" w:after="180"/>
        <w:jc w:val="both"/>
        <w:rPr>
          <w:color w:val="auto"/>
          <w:lang w:val="en-NZ"/>
        </w:rPr>
      </w:pPr>
      <w:r w:rsidRPr="00242BAA">
        <w:rPr>
          <w:b w:val="0"/>
          <w:bCs w:val="0"/>
          <w:i/>
          <w:iCs/>
          <w:color w:val="auto"/>
          <w:u w:val="single"/>
          <w:lang w:val="en-NZ"/>
        </w:rPr>
        <w:t>Option One</w:t>
      </w:r>
      <w:r w:rsidRPr="00242BAA">
        <w:rPr>
          <w:color w:val="auto"/>
          <w:lang w:val="en-NZ"/>
        </w:rPr>
        <w:t xml:space="preserve"> – </w:t>
      </w:r>
      <w:r w:rsidRPr="00242BAA">
        <w:rPr>
          <w:b w:val="0"/>
          <w:bCs w:val="0"/>
          <w:color w:val="auto"/>
          <w:lang w:val="en-NZ"/>
        </w:rPr>
        <w:t>Set minimum standards</w:t>
      </w:r>
      <w:r w:rsidR="006B3BDD">
        <w:rPr>
          <w:b w:val="0"/>
          <w:bCs w:val="0"/>
          <w:color w:val="auto"/>
          <w:lang w:val="en-NZ"/>
        </w:rPr>
        <w:t xml:space="preserve"> by OIC</w:t>
      </w:r>
      <w:r w:rsidRPr="00242BAA">
        <w:rPr>
          <w:b w:val="0"/>
          <w:bCs w:val="0"/>
          <w:color w:val="auto"/>
          <w:lang w:val="en-NZ"/>
        </w:rPr>
        <w:t xml:space="preserve"> for the </w:t>
      </w:r>
      <w:r w:rsidR="00412423" w:rsidRPr="00242BAA">
        <w:rPr>
          <w:b w:val="0"/>
          <w:bCs w:val="0"/>
          <w:color w:val="auto"/>
          <w:lang w:val="en-NZ"/>
        </w:rPr>
        <w:t>2021–22 and later income years</w:t>
      </w:r>
    </w:p>
    <w:p w14:paraId="3AF951C0" w14:textId="624404BD" w:rsidR="009C4293" w:rsidRPr="00054DAC" w:rsidRDefault="009107C3" w:rsidP="005F312F">
      <w:pPr>
        <w:pStyle w:val="ListParagraph"/>
        <w:numPr>
          <w:ilvl w:val="0"/>
          <w:numId w:val="9"/>
        </w:numPr>
        <w:spacing w:before="180"/>
        <w:ind w:left="567" w:hanging="567"/>
        <w:contextualSpacing w:val="0"/>
        <w:jc w:val="both"/>
        <w:rPr>
          <w:lang w:val="en-NZ"/>
        </w:rPr>
      </w:pPr>
      <w:r>
        <w:rPr>
          <w:lang w:val="en-NZ"/>
        </w:rPr>
        <w:t>This option would align the</w:t>
      </w:r>
      <w:r w:rsidR="009E0C61">
        <w:rPr>
          <w:lang w:val="en-NZ"/>
        </w:rPr>
        <w:t xml:space="preserve"> </w:t>
      </w:r>
      <w:r w:rsidR="004C50FC">
        <w:rPr>
          <w:lang w:val="en-NZ"/>
        </w:rPr>
        <w:t>application</w:t>
      </w:r>
      <w:r w:rsidR="009E0C61">
        <w:rPr>
          <w:lang w:val="en-NZ"/>
        </w:rPr>
        <w:t xml:space="preserve"> of the</w:t>
      </w:r>
      <w:r>
        <w:rPr>
          <w:lang w:val="en-NZ"/>
        </w:rPr>
        <w:t xml:space="preserve"> minimum standards with the </w:t>
      </w:r>
      <w:r w:rsidR="004D6657">
        <w:rPr>
          <w:lang w:val="en-NZ"/>
        </w:rPr>
        <w:t xml:space="preserve">application date of the </w:t>
      </w:r>
      <w:r>
        <w:rPr>
          <w:lang w:val="en-NZ"/>
        </w:rPr>
        <w:t>increased disclosure rules introduced</w:t>
      </w:r>
      <w:r w:rsidR="009E0C61">
        <w:rPr>
          <w:lang w:val="en-NZ"/>
        </w:rPr>
        <w:t xml:space="preserve"> in section 59BA</w:t>
      </w:r>
      <w:r w:rsidR="006715CD">
        <w:rPr>
          <w:lang w:val="en-NZ"/>
        </w:rPr>
        <w:t>.</w:t>
      </w:r>
      <w:r w:rsidR="004D6657">
        <w:rPr>
          <w:lang w:val="en-NZ"/>
        </w:rPr>
        <w:t xml:space="preserve"> </w:t>
      </w:r>
      <w:r w:rsidR="001F1A16">
        <w:rPr>
          <w:lang w:val="en-NZ"/>
        </w:rPr>
        <w:t xml:space="preserve">Aligning the application dates would ensure that the </w:t>
      </w:r>
      <w:r w:rsidR="00DB3DD6">
        <w:rPr>
          <w:lang w:val="en-NZ"/>
        </w:rPr>
        <w:t>OIC provides increased certainty from the first year</w:t>
      </w:r>
      <w:r w:rsidR="00BA18CC">
        <w:rPr>
          <w:lang w:val="en-NZ"/>
        </w:rPr>
        <w:t>.</w:t>
      </w:r>
    </w:p>
    <w:p w14:paraId="76DE21B5" w14:textId="5FF08493" w:rsidR="00BA18CC" w:rsidRPr="00054DAC" w:rsidRDefault="009C4293" w:rsidP="005F312F">
      <w:pPr>
        <w:pStyle w:val="ListParagraph"/>
        <w:numPr>
          <w:ilvl w:val="0"/>
          <w:numId w:val="9"/>
        </w:numPr>
        <w:spacing w:before="180"/>
        <w:ind w:left="567" w:hanging="567"/>
        <w:contextualSpacing w:val="0"/>
        <w:jc w:val="both"/>
        <w:rPr>
          <w:lang w:val="en-NZ"/>
        </w:rPr>
      </w:pPr>
      <w:r>
        <w:rPr>
          <w:lang w:val="en-NZ"/>
        </w:rPr>
        <w:t xml:space="preserve">This would provide limited notice for trustees to prepare </w:t>
      </w:r>
      <w:r w:rsidR="00EA45A8">
        <w:rPr>
          <w:lang w:val="en-NZ"/>
        </w:rPr>
        <w:t xml:space="preserve">financial statements for the </w:t>
      </w:r>
      <w:r w:rsidR="00EA45A8" w:rsidRPr="009F0A0D">
        <w:rPr>
          <w:lang w:val="en-NZ"/>
        </w:rPr>
        <w:t>2021–22 income year</w:t>
      </w:r>
      <w:r w:rsidR="00EA45A8">
        <w:rPr>
          <w:lang w:val="en-NZ"/>
        </w:rPr>
        <w:t>.</w:t>
      </w:r>
    </w:p>
    <w:p w14:paraId="3FCFFB07" w14:textId="372ECFC2" w:rsidR="00C35B6F" w:rsidRDefault="006715CD" w:rsidP="005F312F">
      <w:pPr>
        <w:pStyle w:val="ListParagraph"/>
        <w:numPr>
          <w:ilvl w:val="0"/>
          <w:numId w:val="9"/>
        </w:numPr>
        <w:spacing w:before="180"/>
        <w:ind w:left="567" w:hanging="567"/>
        <w:contextualSpacing w:val="0"/>
        <w:jc w:val="both"/>
        <w:rPr>
          <w:lang w:val="en-NZ"/>
        </w:rPr>
      </w:pPr>
      <w:r w:rsidRPr="009F0A0D">
        <w:rPr>
          <w:lang w:val="en-NZ"/>
        </w:rPr>
        <w:t xml:space="preserve">According to Inland Revenue records, out of the approximately 180,000 trusts that </w:t>
      </w:r>
      <w:r w:rsidR="002F6E02">
        <w:rPr>
          <w:lang w:val="en-NZ"/>
        </w:rPr>
        <w:t>are expected to</w:t>
      </w:r>
      <w:r w:rsidR="002F6E02" w:rsidRPr="009F0A0D">
        <w:rPr>
          <w:lang w:val="en-NZ"/>
        </w:rPr>
        <w:t xml:space="preserve"> </w:t>
      </w:r>
      <w:r w:rsidRPr="009F0A0D">
        <w:rPr>
          <w:lang w:val="en-NZ"/>
        </w:rPr>
        <w:t xml:space="preserve">be affected by the disclosure rules, </w:t>
      </w:r>
      <w:r w:rsidR="004C50FC">
        <w:rPr>
          <w:lang w:val="en-NZ"/>
        </w:rPr>
        <w:t xml:space="preserve">only </w:t>
      </w:r>
      <w:r w:rsidRPr="009F0A0D">
        <w:rPr>
          <w:lang w:val="en-NZ"/>
        </w:rPr>
        <w:t>approximately 400</w:t>
      </w:r>
      <w:r w:rsidR="00451D87">
        <w:rPr>
          <w:lang w:val="en-NZ"/>
        </w:rPr>
        <w:t xml:space="preserve"> (or 0.2%) </w:t>
      </w:r>
      <w:r w:rsidRPr="009F0A0D">
        <w:rPr>
          <w:lang w:val="en-NZ"/>
        </w:rPr>
        <w:t>have early balance dates</w:t>
      </w:r>
      <w:r w:rsidR="004C50FC">
        <w:rPr>
          <w:lang w:val="en-NZ"/>
        </w:rPr>
        <w:t xml:space="preserve"> (October to February)</w:t>
      </w:r>
      <w:r w:rsidRPr="009F0A0D">
        <w:rPr>
          <w:lang w:val="en-NZ"/>
        </w:rPr>
        <w:t xml:space="preserve">. </w:t>
      </w:r>
      <w:r w:rsidR="00773C59" w:rsidRPr="009F0A0D">
        <w:rPr>
          <w:lang w:val="en-NZ"/>
        </w:rPr>
        <w:t xml:space="preserve">For trusts with an early balance date, the 2021–22 income year will be complete before the </w:t>
      </w:r>
      <w:r w:rsidR="004C50FC">
        <w:rPr>
          <w:lang w:val="en-NZ"/>
        </w:rPr>
        <w:t xml:space="preserve">proposed </w:t>
      </w:r>
      <w:r w:rsidR="00773C59" w:rsidRPr="009F0A0D">
        <w:rPr>
          <w:lang w:val="en-NZ"/>
        </w:rPr>
        <w:t>minimum standards come into force.</w:t>
      </w:r>
      <w:r w:rsidR="009F0A0D">
        <w:rPr>
          <w:lang w:val="en-NZ"/>
        </w:rPr>
        <w:t xml:space="preserve"> </w:t>
      </w:r>
      <w:r w:rsidR="00773C59" w:rsidRPr="009F0A0D">
        <w:rPr>
          <w:lang w:val="en-NZ"/>
        </w:rPr>
        <w:t xml:space="preserve">To ensure that </w:t>
      </w:r>
      <w:r w:rsidR="002F44F0" w:rsidRPr="009F0A0D">
        <w:rPr>
          <w:lang w:val="en-NZ"/>
        </w:rPr>
        <w:t xml:space="preserve">the minimum standards do not retrospectively impose reporting obligations on trustees that have already filed returns, this option would prospectively apply to </w:t>
      </w:r>
      <w:r w:rsidR="00C35B6F" w:rsidRPr="009F0A0D">
        <w:rPr>
          <w:lang w:val="en-NZ"/>
        </w:rPr>
        <w:t>trusts with a standard or late balance date</w:t>
      </w:r>
      <w:r w:rsidR="009F0A0D" w:rsidRPr="009F0A0D">
        <w:rPr>
          <w:lang w:val="en-NZ"/>
        </w:rPr>
        <w:t xml:space="preserve"> for </w:t>
      </w:r>
      <w:r w:rsidR="009F0A0D">
        <w:rPr>
          <w:lang w:val="en-NZ"/>
        </w:rPr>
        <w:t xml:space="preserve">the </w:t>
      </w:r>
      <w:r w:rsidR="009F0A0D" w:rsidRPr="00242BAA">
        <w:rPr>
          <w:lang w:val="en-NZ"/>
        </w:rPr>
        <w:t>2021–22</w:t>
      </w:r>
      <w:r w:rsidR="009F0A0D">
        <w:rPr>
          <w:lang w:val="en-NZ"/>
        </w:rPr>
        <w:t xml:space="preserve"> income year, and all domestic trusts subject to </w:t>
      </w:r>
      <w:r w:rsidR="00074EE2">
        <w:rPr>
          <w:lang w:val="en-NZ"/>
        </w:rPr>
        <w:t>section 59BA for later income years.</w:t>
      </w:r>
    </w:p>
    <w:p w14:paraId="52F5A5CF" w14:textId="02ACDECF" w:rsidR="004808DA" w:rsidRPr="00242BAA" w:rsidRDefault="004808DA" w:rsidP="005F312F">
      <w:pPr>
        <w:pStyle w:val="Heading4"/>
        <w:spacing w:before="180" w:after="180"/>
        <w:jc w:val="both"/>
        <w:rPr>
          <w:color w:val="auto"/>
          <w:lang w:val="en-NZ"/>
        </w:rPr>
      </w:pPr>
      <w:r w:rsidRPr="00242BAA">
        <w:rPr>
          <w:b w:val="0"/>
          <w:bCs w:val="0"/>
          <w:i/>
          <w:iCs/>
          <w:color w:val="auto"/>
          <w:u w:val="single"/>
          <w:lang w:val="en-NZ"/>
        </w:rPr>
        <w:t>Option Two</w:t>
      </w:r>
      <w:r w:rsidRPr="00242BAA">
        <w:rPr>
          <w:i/>
          <w:iCs/>
          <w:color w:val="auto"/>
          <w:lang w:val="en-NZ"/>
        </w:rPr>
        <w:t xml:space="preserve"> </w:t>
      </w:r>
      <w:r w:rsidRPr="00242BAA">
        <w:rPr>
          <w:color w:val="auto"/>
          <w:lang w:val="en-NZ"/>
        </w:rPr>
        <w:t xml:space="preserve">– </w:t>
      </w:r>
      <w:r w:rsidR="00412423" w:rsidRPr="00242BAA">
        <w:rPr>
          <w:b w:val="0"/>
          <w:bCs w:val="0"/>
          <w:color w:val="auto"/>
          <w:lang w:val="en-NZ"/>
        </w:rPr>
        <w:t xml:space="preserve">Defer </w:t>
      </w:r>
      <w:r w:rsidR="006715CD">
        <w:rPr>
          <w:b w:val="0"/>
          <w:bCs w:val="0"/>
          <w:color w:val="auto"/>
          <w:lang w:val="en-NZ"/>
        </w:rPr>
        <w:t xml:space="preserve">the </w:t>
      </w:r>
      <w:r w:rsidR="006B3BDD">
        <w:rPr>
          <w:b w:val="0"/>
          <w:bCs w:val="0"/>
          <w:color w:val="auto"/>
          <w:lang w:val="en-NZ"/>
        </w:rPr>
        <w:t>application</w:t>
      </w:r>
      <w:r w:rsidR="00B86732">
        <w:rPr>
          <w:b w:val="0"/>
          <w:bCs w:val="0"/>
          <w:color w:val="auto"/>
          <w:lang w:val="en-NZ"/>
        </w:rPr>
        <w:t xml:space="preserve"> of </w:t>
      </w:r>
      <w:r w:rsidR="00412423" w:rsidRPr="00242BAA">
        <w:rPr>
          <w:b w:val="0"/>
          <w:bCs w:val="0"/>
          <w:color w:val="auto"/>
          <w:lang w:val="en-NZ"/>
        </w:rPr>
        <w:t>minimum standards</w:t>
      </w:r>
      <w:r w:rsidR="00B86732">
        <w:rPr>
          <w:b w:val="0"/>
          <w:bCs w:val="0"/>
          <w:color w:val="auto"/>
          <w:lang w:val="en-NZ"/>
        </w:rPr>
        <w:t xml:space="preserve"> by OIC</w:t>
      </w:r>
      <w:r w:rsidR="00412423" w:rsidRPr="00242BAA">
        <w:rPr>
          <w:b w:val="0"/>
          <w:bCs w:val="0"/>
          <w:color w:val="auto"/>
          <w:lang w:val="en-NZ"/>
        </w:rPr>
        <w:t xml:space="preserve"> </w:t>
      </w:r>
      <w:r w:rsidR="00524337" w:rsidRPr="00242BAA">
        <w:rPr>
          <w:b w:val="0"/>
          <w:bCs w:val="0"/>
          <w:color w:val="auto"/>
          <w:lang w:val="en-NZ"/>
        </w:rPr>
        <w:t>until the 2022–23 and later income years</w:t>
      </w:r>
    </w:p>
    <w:p w14:paraId="17C09EA7" w14:textId="394837A1" w:rsidR="00165041" w:rsidRPr="00054DAC" w:rsidRDefault="00165041" w:rsidP="005F312F">
      <w:pPr>
        <w:pStyle w:val="ListParagraph"/>
        <w:numPr>
          <w:ilvl w:val="0"/>
          <w:numId w:val="9"/>
        </w:numPr>
        <w:spacing w:before="180"/>
        <w:ind w:left="567" w:hanging="567"/>
        <w:contextualSpacing w:val="0"/>
        <w:jc w:val="both"/>
        <w:rPr>
          <w:lang w:val="en-NZ"/>
        </w:rPr>
      </w:pPr>
      <w:r>
        <w:rPr>
          <w:lang w:val="en-NZ"/>
        </w:rPr>
        <w:t xml:space="preserve">Some submitters </w:t>
      </w:r>
      <w:r w:rsidR="00EC50CF">
        <w:rPr>
          <w:lang w:val="en-NZ"/>
        </w:rPr>
        <w:t>indicated</w:t>
      </w:r>
      <w:r>
        <w:rPr>
          <w:lang w:val="en-NZ"/>
        </w:rPr>
        <w:t xml:space="preserve"> that requiring trusts to prepare financial statements beginning in the </w:t>
      </w:r>
      <w:r w:rsidRPr="006715CD">
        <w:rPr>
          <w:lang w:val="en-NZ"/>
        </w:rPr>
        <w:t>2021–22</w:t>
      </w:r>
      <w:r>
        <w:rPr>
          <w:lang w:val="en-NZ"/>
        </w:rPr>
        <w:t xml:space="preserve"> income year will be challenging and provides little time to prepare.</w:t>
      </w:r>
      <w:r w:rsidR="009E0C61">
        <w:rPr>
          <w:lang w:val="en-NZ"/>
        </w:rPr>
        <w:t xml:space="preserve"> Some proposed that the minimum standards be deferred until the </w:t>
      </w:r>
      <w:r w:rsidR="009E0C61" w:rsidRPr="009E0C61">
        <w:rPr>
          <w:lang w:val="en-NZ"/>
        </w:rPr>
        <w:t>2022–23 and later income years.</w:t>
      </w:r>
    </w:p>
    <w:p w14:paraId="66F700FB" w14:textId="19E51175" w:rsidR="009E0C61" w:rsidRPr="00054DAC" w:rsidRDefault="009E0C61" w:rsidP="005F312F">
      <w:pPr>
        <w:pStyle w:val="ListParagraph"/>
        <w:numPr>
          <w:ilvl w:val="0"/>
          <w:numId w:val="9"/>
        </w:numPr>
        <w:spacing w:before="180"/>
        <w:ind w:left="567" w:hanging="567"/>
        <w:contextualSpacing w:val="0"/>
        <w:jc w:val="both"/>
        <w:rPr>
          <w:lang w:val="en-NZ"/>
        </w:rPr>
      </w:pPr>
      <w:r>
        <w:rPr>
          <w:lang w:val="en-NZ"/>
        </w:rPr>
        <w:t>The timing of the disclosure rules in section 59BA is crucial to the integrity of the new top 39% rate. 2</w:t>
      </w:r>
      <w:r w:rsidRPr="009E0C61">
        <w:rPr>
          <w:lang w:val="en-NZ"/>
        </w:rPr>
        <w:t>02</w:t>
      </w:r>
      <w:r>
        <w:rPr>
          <w:lang w:val="en-NZ"/>
        </w:rPr>
        <w:t>1</w:t>
      </w:r>
      <w:r w:rsidRPr="009E0C61">
        <w:rPr>
          <w:lang w:val="en-NZ"/>
        </w:rPr>
        <w:t>–2</w:t>
      </w:r>
      <w:r>
        <w:rPr>
          <w:lang w:val="en-NZ"/>
        </w:rPr>
        <w:t xml:space="preserve">2 is </w:t>
      </w:r>
      <w:r w:rsidR="00EA45A8">
        <w:rPr>
          <w:lang w:val="en-NZ"/>
        </w:rPr>
        <w:t>an essential</w:t>
      </w:r>
      <w:r>
        <w:rPr>
          <w:lang w:val="en-NZ"/>
        </w:rPr>
        <w:t xml:space="preserve"> year to understanding and identifying avoidance of the new rate, as it is the first year the new rate applies. The timing of the </w:t>
      </w:r>
      <w:r w:rsidR="00763C40">
        <w:rPr>
          <w:lang w:val="en-NZ"/>
        </w:rPr>
        <w:t xml:space="preserve">new rate and the </w:t>
      </w:r>
      <w:r>
        <w:rPr>
          <w:lang w:val="en-NZ"/>
        </w:rPr>
        <w:t xml:space="preserve">disclosure rules in section 59BA is outside the scope of this </w:t>
      </w:r>
      <w:r w:rsidR="002F6E02">
        <w:rPr>
          <w:lang w:val="en-NZ"/>
        </w:rPr>
        <w:t>RIS</w:t>
      </w:r>
      <w:r>
        <w:rPr>
          <w:lang w:val="en-NZ"/>
        </w:rPr>
        <w:t>.</w:t>
      </w:r>
      <w:r w:rsidR="00D81808">
        <w:rPr>
          <w:lang w:val="en-NZ"/>
        </w:rPr>
        <w:t xml:space="preserve"> Deferring the application of the minimum standards risks undermining the Government’s objectives for the disclosure rules.</w:t>
      </w:r>
    </w:p>
    <w:p w14:paraId="367A9C4D" w14:textId="783BCC62" w:rsidR="008B51B6" w:rsidRDefault="009E0C61" w:rsidP="005F312F">
      <w:pPr>
        <w:pStyle w:val="ListParagraph"/>
        <w:numPr>
          <w:ilvl w:val="0"/>
          <w:numId w:val="9"/>
        </w:numPr>
        <w:spacing w:before="180"/>
        <w:ind w:left="567" w:hanging="567"/>
        <w:contextualSpacing w:val="0"/>
        <w:jc w:val="both"/>
        <w:rPr>
          <w:lang w:val="en-NZ"/>
        </w:rPr>
      </w:pPr>
      <w:r>
        <w:rPr>
          <w:lang w:val="en-NZ"/>
        </w:rPr>
        <w:t xml:space="preserve">With this context, </w:t>
      </w:r>
      <w:r w:rsidR="001201ED">
        <w:rPr>
          <w:lang w:val="en-NZ"/>
        </w:rPr>
        <w:t xml:space="preserve">there was broad consensus from </w:t>
      </w:r>
      <w:r>
        <w:rPr>
          <w:lang w:val="en-NZ"/>
        </w:rPr>
        <w:t xml:space="preserve">submitters that deferring the application of the OIC for one year without delaying the disclosure rules in section 59BA would provide minimal benefit. This option would only result in a lack of guidance and clarity </w:t>
      </w:r>
      <w:r w:rsidR="001201ED">
        <w:rPr>
          <w:lang w:val="en-NZ"/>
        </w:rPr>
        <w:t>in</w:t>
      </w:r>
      <w:r>
        <w:rPr>
          <w:lang w:val="en-NZ"/>
        </w:rPr>
        <w:t xml:space="preserve"> the first year of the requirement for domestic trusts to prepare financial statements. This </w:t>
      </w:r>
      <w:r w:rsidR="004A4D98">
        <w:rPr>
          <w:lang w:val="en-NZ"/>
        </w:rPr>
        <w:t xml:space="preserve">would </w:t>
      </w:r>
      <w:r>
        <w:rPr>
          <w:lang w:val="en-NZ"/>
        </w:rPr>
        <w:t xml:space="preserve">risk undermining the quality of data </w:t>
      </w:r>
      <w:r w:rsidR="001201ED">
        <w:rPr>
          <w:lang w:val="en-NZ"/>
        </w:rPr>
        <w:t>disclosed</w:t>
      </w:r>
      <w:r w:rsidR="004A4D98">
        <w:rPr>
          <w:lang w:val="en-NZ"/>
        </w:rPr>
        <w:t xml:space="preserve"> to Inland Revenue</w:t>
      </w:r>
      <w:r>
        <w:rPr>
          <w:lang w:val="en-NZ"/>
        </w:rPr>
        <w:t xml:space="preserve"> and could possibly lead to non-compliance</w:t>
      </w:r>
      <w:r w:rsidR="001201ED">
        <w:rPr>
          <w:lang w:val="en-NZ"/>
        </w:rPr>
        <w:t xml:space="preserve"> with the </w:t>
      </w:r>
      <w:r w:rsidR="004A4D98">
        <w:rPr>
          <w:lang w:val="en-NZ"/>
        </w:rPr>
        <w:t xml:space="preserve">disclosure </w:t>
      </w:r>
      <w:r w:rsidR="001201ED">
        <w:rPr>
          <w:lang w:val="en-NZ"/>
        </w:rPr>
        <w:t>rules</w:t>
      </w:r>
      <w:r>
        <w:rPr>
          <w:lang w:val="en-NZ"/>
        </w:rPr>
        <w:t>.</w:t>
      </w:r>
    </w:p>
    <w:p w14:paraId="65DD5E1A" w14:textId="490C1C83" w:rsidR="008B51B6" w:rsidRPr="00242BAA" w:rsidRDefault="008B51B6" w:rsidP="005F312F">
      <w:pPr>
        <w:pStyle w:val="Heading4"/>
        <w:spacing w:before="180" w:after="180"/>
        <w:jc w:val="both"/>
        <w:rPr>
          <w:color w:val="auto"/>
          <w:lang w:val="en-NZ"/>
        </w:rPr>
      </w:pPr>
      <w:r w:rsidRPr="00242BAA">
        <w:rPr>
          <w:b w:val="0"/>
          <w:bCs w:val="0"/>
          <w:i/>
          <w:iCs/>
          <w:color w:val="auto"/>
          <w:u w:val="single"/>
          <w:lang w:val="en-NZ"/>
        </w:rPr>
        <w:t>Option T</w:t>
      </w:r>
      <w:r>
        <w:rPr>
          <w:b w:val="0"/>
          <w:bCs w:val="0"/>
          <w:i/>
          <w:iCs/>
          <w:color w:val="auto"/>
          <w:u w:val="single"/>
          <w:lang w:val="en-NZ"/>
        </w:rPr>
        <w:t>hree</w:t>
      </w:r>
      <w:r w:rsidRPr="00242BAA">
        <w:rPr>
          <w:i/>
          <w:iCs/>
          <w:color w:val="auto"/>
          <w:lang w:val="en-NZ"/>
        </w:rPr>
        <w:t xml:space="preserve"> </w:t>
      </w:r>
      <w:r w:rsidRPr="00242BAA">
        <w:rPr>
          <w:color w:val="auto"/>
          <w:lang w:val="en-NZ"/>
        </w:rPr>
        <w:t xml:space="preserve">– </w:t>
      </w:r>
      <w:r w:rsidRPr="00242BAA">
        <w:rPr>
          <w:b w:val="0"/>
          <w:bCs w:val="0"/>
          <w:color w:val="auto"/>
          <w:lang w:val="en-NZ"/>
        </w:rPr>
        <w:t>Set minimum standards</w:t>
      </w:r>
      <w:r>
        <w:rPr>
          <w:b w:val="0"/>
          <w:bCs w:val="0"/>
          <w:color w:val="auto"/>
          <w:lang w:val="en-NZ"/>
        </w:rPr>
        <w:t xml:space="preserve"> by OIC</w:t>
      </w:r>
      <w:r w:rsidRPr="00242BAA">
        <w:rPr>
          <w:b w:val="0"/>
          <w:bCs w:val="0"/>
          <w:color w:val="auto"/>
          <w:lang w:val="en-NZ"/>
        </w:rPr>
        <w:t xml:space="preserve"> for the 2021–22 and later income years</w:t>
      </w:r>
      <w:r>
        <w:rPr>
          <w:b w:val="0"/>
          <w:bCs w:val="0"/>
          <w:color w:val="auto"/>
          <w:lang w:val="en-NZ"/>
        </w:rPr>
        <w:t xml:space="preserve">. </w:t>
      </w:r>
      <w:r w:rsidR="004A5567">
        <w:rPr>
          <w:b w:val="0"/>
          <w:bCs w:val="0"/>
          <w:color w:val="auto"/>
          <w:lang w:val="en-NZ"/>
        </w:rPr>
        <w:t xml:space="preserve">Apply </w:t>
      </w:r>
      <w:r>
        <w:rPr>
          <w:b w:val="0"/>
          <w:bCs w:val="0"/>
          <w:color w:val="auto"/>
          <w:lang w:val="en-NZ"/>
        </w:rPr>
        <w:t xml:space="preserve">“best efforts” approach to </w:t>
      </w:r>
      <w:r w:rsidR="00043E94">
        <w:rPr>
          <w:b w:val="0"/>
          <w:bCs w:val="0"/>
          <w:color w:val="auto"/>
          <w:lang w:val="en-NZ"/>
        </w:rPr>
        <w:t xml:space="preserve">the </w:t>
      </w:r>
      <w:r>
        <w:rPr>
          <w:b w:val="0"/>
          <w:bCs w:val="0"/>
          <w:color w:val="auto"/>
          <w:lang w:val="en-NZ"/>
        </w:rPr>
        <w:t>first year</w:t>
      </w:r>
      <w:r w:rsidR="0040168C">
        <w:rPr>
          <w:b w:val="0"/>
          <w:bCs w:val="0"/>
          <w:color w:val="auto"/>
          <w:lang w:val="en-NZ"/>
        </w:rPr>
        <w:t xml:space="preserve"> in </w:t>
      </w:r>
      <w:r w:rsidR="00043E94">
        <w:rPr>
          <w:b w:val="0"/>
          <w:bCs w:val="0"/>
          <w:color w:val="auto"/>
          <w:lang w:val="en-NZ"/>
        </w:rPr>
        <w:t xml:space="preserve">the </w:t>
      </w:r>
      <w:r w:rsidR="0040168C">
        <w:rPr>
          <w:b w:val="0"/>
          <w:bCs w:val="0"/>
          <w:color w:val="auto"/>
          <w:lang w:val="en-NZ"/>
        </w:rPr>
        <w:t>OIC</w:t>
      </w:r>
      <w:r>
        <w:rPr>
          <w:b w:val="0"/>
          <w:bCs w:val="0"/>
          <w:color w:val="auto"/>
          <w:lang w:val="en-NZ"/>
        </w:rPr>
        <w:t>.</w:t>
      </w:r>
    </w:p>
    <w:p w14:paraId="7EBD8FC8" w14:textId="5B42E6BD" w:rsidR="002B6C66" w:rsidRPr="00054DAC" w:rsidRDefault="00081C20" w:rsidP="005F312F">
      <w:pPr>
        <w:pStyle w:val="ListParagraph"/>
        <w:numPr>
          <w:ilvl w:val="0"/>
          <w:numId w:val="9"/>
        </w:numPr>
        <w:spacing w:before="180"/>
        <w:ind w:left="567" w:hanging="567"/>
        <w:contextualSpacing w:val="0"/>
        <w:jc w:val="both"/>
        <w:rPr>
          <w:lang w:val="en-NZ"/>
        </w:rPr>
      </w:pPr>
      <w:r w:rsidRPr="007B38A9">
        <w:rPr>
          <w:lang w:val="en-NZ"/>
        </w:rPr>
        <w:t>Some submitters recommend</w:t>
      </w:r>
      <w:r w:rsidR="00EB6761" w:rsidRPr="007B38A9">
        <w:rPr>
          <w:lang w:val="en-NZ"/>
        </w:rPr>
        <w:t>ed</w:t>
      </w:r>
      <w:r w:rsidRPr="007B38A9">
        <w:rPr>
          <w:lang w:val="en-NZ"/>
        </w:rPr>
        <w:t xml:space="preserve"> that </w:t>
      </w:r>
      <w:r w:rsidR="00ED448D">
        <w:rPr>
          <w:lang w:val="en-NZ"/>
        </w:rPr>
        <w:t xml:space="preserve">an OIC should provide “best efforts” relief </w:t>
      </w:r>
      <w:r w:rsidR="00FC388A">
        <w:rPr>
          <w:lang w:val="en-NZ"/>
        </w:rPr>
        <w:t xml:space="preserve">from the minimum standards </w:t>
      </w:r>
      <w:r w:rsidR="00ED448D">
        <w:rPr>
          <w:lang w:val="en-NZ"/>
        </w:rPr>
        <w:t xml:space="preserve">for the </w:t>
      </w:r>
      <w:r w:rsidR="00ED448D" w:rsidRPr="0047160C">
        <w:rPr>
          <w:lang w:val="en-NZ"/>
        </w:rPr>
        <w:t>2021–22</w:t>
      </w:r>
      <w:r w:rsidR="00ED448D">
        <w:rPr>
          <w:lang w:val="en-NZ"/>
        </w:rPr>
        <w:t xml:space="preserve"> income year. </w:t>
      </w:r>
      <w:r w:rsidR="002B6C66">
        <w:rPr>
          <w:lang w:val="en-NZ"/>
        </w:rPr>
        <w:t>Some trusts may not have prepared financial statements before</w:t>
      </w:r>
      <w:r w:rsidR="00EF31D0">
        <w:rPr>
          <w:lang w:val="en-NZ"/>
        </w:rPr>
        <w:t xml:space="preserve"> or may not have sufficient information to be able to prepare the statements</w:t>
      </w:r>
      <w:r w:rsidR="003E78C6">
        <w:rPr>
          <w:lang w:val="en-NZ"/>
        </w:rPr>
        <w:t xml:space="preserve">. </w:t>
      </w:r>
      <w:r w:rsidR="005B70F4">
        <w:rPr>
          <w:lang w:val="en-NZ"/>
        </w:rPr>
        <w:t xml:space="preserve">Submitters considered that providing “best efforts” relief in the OIC would </w:t>
      </w:r>
      <w:r w:rsidR="003E78C6">
        <w:rPr>
          <w:lang w:val="en-NZ"/>
        </w:rPr>
        <w:t>ensure</w:t>
      </w:r>
      <w:r w:rsidR="003E78C6" w:rsidRPr="0047160C">
        <w:rPr>
          <w:lang w:val="en-NZ"/>
        </w:rPr>
        <w:t xml:space="preserve"> certainty for trust</w:t>
      </w:r>
      <w:r w:rsidR="003E78C6">
        <w:rPr>
          <w:lang w:val="en-NZ"/>
        </w:rPr>
        <w:t>ee</w:t>
      </w:r>
      <w:r w:rsidR="003E78C6" w:rsidRPr="0047160C">
        <w:rPr>
          <w:lang w:val="en-NZ"/>
        </w:rPr>
        <w:t>s regarding their reporting</w:t>
      </w:r>
      <w:r w:rsidR="003E78C6">
        <w:rPr>
          <w:lang w:val="en-NZ"/>
        </w:rPr>
        <w:t xml:space="preserve"> </w:t>
      </w:r>
      <w:r w:rsidR="003E78C6" w:rsidRPr="0047160C">
        <w:rPr>
          <w:lang w:val="en-NZ"/>
        </w:rPr>
        <w:t>obligations for the 2021–22 and later income years</w:t>
      </w:r>
      <w:r w:rsidR="003E78C6">
        <w:rPr>
          <w:lang w:val="en-NZ"/>
        </w:rPr>
        <w:t>, while providing relief for trustees that may find complying with the new requirements difficult.</w:t>
      </w:r>
    </w:p>
    <w:p w14:paraId="34B80826" w14:textId="14656AB4" w:rsidR="00D03BB2" w:rsidRPr="00054DAC" w:rsidRDefault="00B05AE0" w:rsidP="005F312F">
      <w:pPr>
        <w:pStyle w:val="ListParagraph"/>
        <w:numPr>
          <w:ilvl w:val="0"/>
          <w:numId w:val="9"/>
        </w:numPr>
        <w:spacing w:before="180"/>
        <w:ind w:left="567" w:hanging="567"/>
        <w:contextualSpacing w:val="0"/>
        <w:jc w:val="both"/>
        <w:rPr>
          <w:lang w:val="en-NZ"/>
        </w:rPr>
      </w:pPr>
      <w:r w:rsidRPr="0047160C">
        <w:rPr>
          <w:lang w:val="en-NZ"/>
        </w:rPr>
        <w:t xml:space="preserve">Officials consider that it is not appropriate for </w:t>
      </w:r>
      <w:r w:rsidR="001C3F37" w:rsidRPr="0047160C">
        <w:rPr>
          <w:lang w:val="en-NZ"/>
        </w:rPr>
        <w:t>details of what constitutes “best efforts” to be included in a</w:t>
      </w:r>
      <w:r w:rsidR="00A85017">
        <w:rPr>
          <w:lang w:val="en-NZ"/>
        </w:rPr>
        <w:t>n</w:t>
      </w:r>
      <w:r w:rsidR="001C3F37" w:rsidRPr="0047160C">
        <w:rPr>
          <w:lang w:val="en-NZ"/>
        </w:rPr>
        <w:t xml:space="preserve"> OIC.</w:t>
      </w:r>
      <w:r w:rsidR="003E7BB6">
        <w:rPr>
          <w:lang w:val="en-NZ"/>
        </w:rPr>
        <w:t xml:space="preserve"> </w:t>
      </w:r>
      <w:r w:rsidR="001C3F37" w:rsidRPr="0047160C">
        <w:rPr>
          <w:lang w:val="en-NZ"/>
        </w:rPr>
        <w:t>This is an interpretative matter for the Commissioner</w:t>
      </w:r>
      <w:r w:rsidR="00BF33D1" w:rsidRPr="0047160C">
        <w:rPr>
          <w:lang w:val="en-NZ"/>
        </w:rPr>
        <w:t>.</w:t>
      </w:r>
      <w:r w:rsidR="009E5B48" w:rsidRPr="0047160C">
        <w:rPr>
          <w:lang w:val="en-NZ"/>
        </w:rPr>
        <w:t xml:space="preserve"> </w:t>
      </w:r>
      <w:r w:rsidR="00BF33D1" w:rsidRPr="0047160C">
        <w:rPr>
          <w:lang w:val="en-NZ"/>
        </w:rPr>
        <w:t>Inland Revenue undertook public consultation on a</w:t>
      </w:r>
      <w:r w:rsidR="00D03BB2" w:rsidRPr="0047160C">
        <w:rPr>
          <w:lang w:val="en-NZ"/>
        </w:rPr>
        <w:t xml:space="preserve"> draft Operational Statement </w:t>
      </w:r>
      <w:r w:rsidR="00BF33D1" w:rsidRPr="0047160C">
        <w:rPr>
          <w:lang w:val="en-NZ"/>
        </w:rPr>
        <w:t xml:space="preserve">in 2021 regarding </w:t>
      </w:r>
      <w:r w:rsidR="00F86BF1" w:rsidRPr="0047160C">
        <w:rPr>
          <w:lang w:val="en-NZ"/>
        </w:rPr>
        <w:t xml:space="preserve">the Commissioner’s approach to applying the increased disclosure rules in section 59BA. </w:t>
      </w:r>
      <w:r w:rsidR="006E52F7" w:rsidRPr="0047160C">
        <w:rPr>
          <w:lang w:val="en-NZ"/>
        </w:rPr>
        <w:t xml:space="preserve">This included interpretative matters relating to complying with the disclosure rules in the first income year. </w:t>
      </w:r>
      <w:r w:rsidR="00D92D01" w:rsidRPr="0047160C">
        <w:rPr>
          <w:lang w:val="en-NZ"/>
        </w:rPr>
        <w:t>Officials consider it is appropriate for th</w:t>
      </w:r>
      <w:r w:rsidR="0047160C">
        <w:rPr>
          <w:lang w:val="en-NZ"/>
        </w:rPr>
        <w:t>e</w:t>
      </w:r>
      <w:r w:rsidR="00D92D01" w:rsidRPr="0047160C">
        <w:rPr>
          <w:lang w:val="en-NZ"/>
        </w:rPr>
        <w:t xml:space="preserve"> Operational Statement to cover </w:t>
      </w:r>
      <w:r w:rsidR="00827D47" w:rsidRPr="0047160C">
        <w:rPr>
          <w:lang w:val="en-NZ"/>
        </w:rPr>
        <w:t>the Commissioner’s approach to the first year of the</w:t>
      </w:r>
      <w:r w:rsidR="0047160C" w:rsidRPr="0047160C">
        <w:rPr>
          <w:lang w:val="en-NZ"/>
        </w:rPr>
        <w:t xml:space="preserve"> disclosure rules</w:t>
      </w:r>
      <w:r w:rsidR="00696753">
        <w:rPr>
          <w:lang w:val="en-NZ"/>
        </w:rPr>
        <w:t xml:space="preserve"> </w:t>
      </w:r>
      <w:r w:rsidR="00ED2C44">
        <w:rPr>
          <w:lang w:val="en-NZ"/>
        </w:rPr>
        <w:t xml:space="preserve">(including </w:t>
      </w:r>
      <w:r w:rsidR="006F391B">
        <w:rPr>
          <w:lang w:val="en-NZ"/>
        </w:rPr>
        <w:t xml:space="preserve">whether to take a “best efforts” approach operationally and </w:t>
      </w:r>
      <w:r w:rsidR="00696753">
        <w:rPr>
          <w:lang w:val="en-NZ"/>
        </w:rPr>
        <w:t xml:space="preserve">what </w:t>
      </w:r>
      <w:r w:rsidR="000D7103">
        <w:rPr>
          <w:lang w:val="en-NZ"/>
        </w:rPr>
        <w:t xml:space="preserve">would </w:t>
      </w:r>
      <w:r w:rsidR="00696753">
        <w:rPr>
          <w:lang w:val="en-NZ"/>
        </w:rPr>
        <w:t>constitute “best efforts”</w:t>
      </w:r>
      <w:r w:rsidR="00ED2C44">
        <w:rPr>
          <w:lang w:val="en-NZ"/>
        </w:rPr>
        <w:t>)</w:t>
      </w:r>
      <w:r w:rsidR="0047160C">
        <w:rPr>
          <w:lang w:val="en-NZ"/>
        </w:rPr>
        <w:t xml:space="preserve">. </w:t>
      </w:r>
      <w:r w:rsidR="00827D47" w:rsidRPr="0047160C">
        <w:rPr>
          <w:lang w:val="en-NZ"/>
        </w:rPr>
        <w:t>The finalised Operational Statement is expected to be published in March 2022.</w:t>
      </w:r>
    </w:p>
    <w:p w14:paraId="0BB185FE" w14:textId="6D65D806" w:rsidR="0019342D" w:rsidRPr="00FB4F09" w:rsidRDefault="007E61A6" w:rsidP="005F312F">
      <w:pPr>
        <w:spacing w:before="240"/>
        <w:rPr>
          <w:b/>
          <w:bCs/>
          <w:lang w:val="en-NZ"/>
        </w:rPr>
      </w:pPr>
      <w:r w:rsidRPr="000D7103">
        <w:rPr>
          <w:b/>
          <w:bCs/>
          <w:lang w:val="en-NZ"/>
        </w:rPr>
        <w:t xml:space="preserve">Simplified </w:t>
      </w:r>
      <w:r w:rsidR="00FB4F09" w:rsidRPr="000D7103">
        <w:rPr>
          <w:b/>
          <w:bCs/>
          <w:lang w:val="en-NZ"/>
        </w:rPr>
        <w:t>reporting requirements for certain trusts</w:t>
      </w:r>
    </w:p>
    <w:p w14:paraId="4C07C3E8" w14:textId="13869731" w:rsidR="00432C60" w:rsidRDefault="00FB22F8" w:rsidP="005F312F">
      <w:pPr>
        <w:pStyle w:val="ListParagraph"/>
        <w:numPr>
          <w:ilvl w:val="0"/>
          <w:numId w:val="9"/>
        </w:numPr>
        <w:spacing w:before="180"/>
        <w:ind w:left="567" w:hanging="567"/>
        <w:contextualSpacing w:val="0"/>
        <w:jc w:val="both"/>
        <w:rPr>
          <w:lang w:val="en-NZ"/>
        </w:rPr>
      </w:pPr>
      <w:r>
        <w:rPr>
          <w:lang w:val="en-NZ"/>
        </w:rPr>
        <w:t xml:space="preserve">This section covers the level of partial relief that should be provided to </w:t>
      </w:r>
      <w:r w:rsidR="003620B5">
        <w:rPr>
          <w:lang w:val="en-NZ"/>
        </w:rPr>
        <w:t>certain</w:t>
      </w:r>
      <w:r w:rsidR="006F132D">
        <w:rPr>
          <w:lang w:val="en-NZ"/>
        </w:rPr>
        <w:t xml:space="preserve"> trusts subject to section 59BA. Options for </w:t>
      </w:r>
      <w:r w:rsidR="003620B5">
        <w:rPr>
          <w:lang w:val="en-NZ"/>
        </w:rPr>
        <w:t>determinin</w:t>
      </w:r>
      <w:r w:rsidR="008E0190">
        <w:rPr>
          <w:lang w:val="en-NZ"/>
        </w:rPr>
        <w:t>g which trusts qualify for these simplified reporting requirements</w:t>
      </w:r>
      <w:r w:rsidR="006F132D">
        <w:rPr>
          <w:lang w:val="en-NZ"/>
        </w:rPr>
        <w:t xml:space="preserve"> is considered in </w:t>
      </w:r>
      <w:r w:rsidR="00562BFD">
        <w:rPr>
          <w:lang w:val="en-NZ"/>
        </w:rPr>
        <w:t>the</w:t>
      </w:r>
      <w:r w:rsidR="006F132D">
        <w:rPr>
          <w:lang w:val="en-NZ"/>
        </w:rPr>
        <w:t xml:space="preserve"> subsequent section</w:t>
      </w:r>
      <w:r w:rsidR="00432C60">
        <w:rPr>
          <w:lang w:val="en-NZ"/>
        </w:rPr>
        <w:t xml:space="preserve">. </w:t>
      </w:r>
    </w:p>
    <w:p w14:paraId="6461EA7C" w14:textId="1F5D9106" w:rsidR="00711554" w:rsidRPr="00242BAA" w:rsidRDefault="00711554" w:rsidP="005F312F">
      <w:pPr>
        <w:pStyle w:val="Heading4"/>
        <w:spacing w:before="180" w:after="180"/>
        <w:rPr>
          <w:color w:val="auto"/>
          <w:lang w:val="en-NZ"/>
        </w:rPr>
      </w:pPr>
      <w:r w:rsidRPr="00242BAA">
        <w:rPr>
          <w:b w:val="0"/>
          <w:bCs w:val="0"/>
          <w:i/>
          <w:iCs/>
          <w:color w:val="auto"/>
          <w:u w:val="single"/>
          <w:lang w:val="en-NZ"/>
        </w:rPr>
        <w:t>Option One</w:t>
      </w:r>
      <w:r w:rsidRPr="00242BAA">
        <w:rPr>
          <w:color w:val="auto"/>
          <w:lang w:val="en-NZ"/>
        </w:rPr>
        <w:t xml:space="preserve"> – </w:t>
      </w:r>
      <w:r>
        <w:rPr>
          <w:b w:val="0"/>
          <w:bCs w:val="0"/>
          <w:color w:val="auto"/>
          <w:lang w:val="en-NZ"/>
        </w:rPr>
        <w:t>Provide no relief</w:t>
      </w:r>
    </w:p>
    <w:p w14:paraId="491E206E" w14:textId="0A9B0386" w:rsidR="00CC5328" w:rsidRPr="007B07C9" w:rsidRDefault="00696753" w:rsidP="005F312F">
      <w:pPr>
        <w:pStyle w:val="ListParagraph"/>
        <w:numPr>
          <w:ilvl w:val="0"/>
          <w:numId w:val="9"/>
        </w:numPr>
        <w:spacing w:before="180"/>
        <w:ind w:left="567" w:hanging="567"/>
        <w:contextualSpacing w:val="0"/>
        <w:jc w:val="both"/>
        <w:rPr>
          <w:lang w:val="en-NZ"/>
        </w:rPr>
      </w:pPr>
      <w:r>
        <w:rPr>
          <w:lang w:val="en-NZ"/>
        </w:rPr>
        <w:t xml:space="preserve">This option would align the minimum standards for domestic trusts with the minimum standards for </w:t>
      </w:r>
      <w:r w:rsidR="00BA6EB9">
        <w:rPr>
          <w:lang w:val="en-NZ"/>
        </w:rPr>
        <w:t xml:space="preserve">all resident foreign trusts who must provide a return to the Commissioner under section 59D of the TAA. </w:t>
      </w:r>
      <w:r w:rsidR="005046EB">
        <w:rPr>
          <w:lang w:val="en-NZ"/>
        </w:rPr>
        <w:t>F</w:t>
      </w:r>
      <w:r w:rsidR="00F3541B">
        <w:rPr>
          <w:lang w:val="en-NZ"/>
        </w:rPr>
        <w:t xml:space="preserve">inancial statements prepared </w:t>
      </w:r>
      <w:r w:rsidR="00B142DC">
        <w:rPr>
          <w:lang w:val="en-NZ"/>
        </w:rPr>
        <w:t>by</w:t>
      </w:r>
      <w:r w:rsidR="00304D00">
        <w:rPr>
          <w:lang w:val="en-NZ"/>
        </w:rPr>
        <w:t xml:space="preserve"> these</w:t>
      </w:r>
      <w:r w:rsidR="00B142DC">
        <w:rPr>
          <w:lang w:val="en-NZ"/>
        </w:rPr>
        <w:t xml:space="preserve"> foreign trusts </w:t>
      </w:r>
      <w:r w:rsidR="005046EB">
        <w:rPr>
          <w:lang w:val="en-NZ"/>
        </w:rPr>
        <w:t>must be prepared to the same</w:t>
      </w:r>
      <w:r w:rsidR="00172271">
        <w:rPr>
          <w:lang w:val="en-NZ"/>
        </w:rPr>
        <w:t xml:space="preserve"> minimum level, regardless of the size of the</w:t>
      </w:r>
      <w:r w:rsidR="00B142DC">
        <w:rPr>
          <w:lang w:val="en-NZ"/>
        </w:rPr>
        <w:t xml:space="preserve"> trust. </w:t>
      </w:r>
    </w:p>
    <w:p w14:paraId="1FDFB650" w14:textId="7A8DD696" w:rsidR="00711554" w:rsidRPr="008A3AEB" w:rsidRDefault="00FF65F7" w:rsidP="005F312F">
      <w:pPr>
        <w:pStyle w:val="ListParagraph"/>
        <w:numPr>
          <w:ilvl w:val="0"/>
          <w:numId w:val="9"/>
        </w:numPr>
        <w:spacing w:before="180"/>
        <w:ind w:left="567" w:hanging="567"/>
        <w:contextualSpacing w:val="0"/>
        <w:jc w:val="both"/>
        <w:rPr>
          <w:lang w:val="en-NZ"/>
        </w:rPr>
      </w:pPr>
      <w:r w:rsidRPr="008A3AEB">
        <w:rPr>
          <w:lang w:val="en-NZ"/>
        </w:rPr>
        <w:t>This option</w:t>
      </w:r>
      <w:r w:rsidR="00FA496D" w:rsidRPr="008A3AEB">
        <w:rPr>
          <w:lang w:val="en-NZ"/>
        </w:rPr>
        <w:t xml:space="preserve"> </w:t>
      </w:r>
      <w:r w:rsidR="00D92439" w:rsidRPr="008A3AEB">
        <w:rPr>
          <w:lang w:val="en-NZ"/>
        </w:rPr>
        <w:t>would provide increased clarity regarding reporting obligations</w:t>
      </w:r>
      <w:r w:rsidR="00427E4B" w:rsidRPr="008A3AEB">
        <w:rPr>
          <w:lang w:val="en-NZ"/>
        </w:rPr>
        <w:t xml:space="preserve">. </w:t>
      </w:r>
      <w:r w:rsidR="000371E9" w:rsidRPr="008A3AEB">
        <w:rPr>
          <w:lang w:val="en-NZ"/>
        </w:rPr>
        <w:t xml:space="preserve">Setting one level of minimum standards </w:t>
      </w:r>
      <w:r w:rsidR="004C151A">
        <w:rPr>
          <w:lang w:val="en-NZ"/>
        </w:rPr>
        <w:t>involve</w:t>
      </w:r>
      <w:r w:rsidR="004C151A" w:rsidRPr="008A3AEB">
        <w:rPr>
          <w:lang w:val="en-NZ"/>
        </w:rPr>
        <w:t xml:space="preserve">s </w:t>
      </w:r>
      <w:r w:rsidR="00AB5500">
        <w:rPr>
          <w:lang w:val="en-NZ"/>
        </w:rPr>
        <w:t>a</w:t>
      </w:r>
      <w:r w:rsidR="00B14676" w:rsidRPr="008A3AEB">
        <w:rPr>
          <w:lang w:val="en-NZ"/>
        </w:rPr>
        <w:t xml:space="preserve"> trade-off between reducing compliance costs for </w:t>
      </w:r>
      <w:r w:rsidR="00AB5500">
        <w:rPr>
          <w:lang w:val="en-NZ"/>
        </w:rPr>
        <w:t>smaller</w:t>
      </w:r>
      <w:r w:rsidR="00FF28BD" w:rsidRPr="008A3AEB">
        <w:rPr>
          <w:lang w:val="en-NZ"/>
        </w:rPr>
        <w:t xml:space="preserve"> </w:t>
      </w:r>
      <w:r w:rsidR="00B14676" w:rsidRPr="008A3AEB">
        <w:rPr>
          <w:lang w:val="en-NZ"/>
        </w:rPr>
        <w:t xml:space="preserve">trusts and </w:t>
      </w:r>
      <w:r w:rsidR="00BF2398" w:rsidRPr="008A3AEB">
        <w:rPr>
          <w:lang w:val="en-NZ"/>
        </w:rPr>
        <w:t xml:space="preserve">prescribing sufficient minimum standards to support the quality of data collected by Inland Revenue. </w:t>
      </w:r>
      <w:r w:rsidR="00FD20ED">
        <w:rPr>
          <w:lang w:val="en-NZ"/>
        </w:rPr>
        <w:t xml:space="preserve">As the disclosure rules in section 59BA are a Government priority, </w:t>
      </w:r>
      <w:r w:rsidR="00F4588A">
        <w:rPr>
          <w:lang w:val="en-NZ"/>
        </w:rPr>
        <w:t>it is essential that the minimum standards do not undermine the quality of data collected by Inland Revenue</w:t>
      </w:r>
      <w:r w:rsidR="00D62128">
        <w:rPr>
          <w:lang w:val="en-NZ"/>
        </w:rPr>
        <w:t xml:space="preserve"> or the objectives of the disclosure rules</w:t>
      </w:r>
      <w:r w:rsidR="00F4588A">
        <w:rPr>
          <w:lang w:val="en-NZ"/>
        </w:rPr>
        <w:t xml:space="preserve">. </w:t>
      </w:r>
      <w:r w:rsidR="004C151A">
        <w:rPr>
          <w:lang w:val="en-NZ"/>
        </w:rPr>
        <w:t>Hence, t</w:t>
      </w:r>
      <w:r w:rsidR="00F4588A">
        <w:rPr>
          <w:lang w:val="en-NZ"/>
        </w:rPr>
        <w:t xml:space="preserve">his </w:t>
      </w:r>
      <w:r w:rsidR="008A3AEB" w:rsidRPr="008A3AEB">
        <w:rPr>
          <w:lang w:val="en-NZ"/>
        </w:rPr>
        <w:t xml:space="preserve">option would likely result in </w:t>
      </w:r>
      <w:r w:rsidR="000A1BEC">
        <w:rPr>
          <w:lang w:val="en-NZ"/>
        </w:rPr>
        <w:t>unnecessary</w:t>
      </w:r>
      <w:r w:rsidR="008A3AEB" w:rsidRPr="008A3AEB">
        <w:rPr>
          <w:lang w:val="en-NZ"/>
        </w:rPr>
        <w:t xml:space="preserve"> compliance costs for small</w:t>
      </w:r>
      <w:r w:rsidR="00AB5500">
        <w:rPr>
          <w:lang w:val="en-NZ"/>
        </w:rPr>
        <w:t>er</w:t>
      </w:r>
      <w:r w:rsidR="008A3AEB" w:rsidRPr="008A3AEB">
        <w:rPr>
          <w:lang w:val="en-NZ"/>
        </w:rPr>
        <w:t xml:space="preserve"> trusts.</w:t>
      </w:r>
    </w:p>
    <w:p w14:paraId="346E05C4" w14:textId="0C783125" w:rsidR="0019342D" w:rsidRPr="00242BAA" w:rsidRDefault="0019342D" w:rsidP="005F312F">
      <w:pPr>
        <w:pStyle w:val="Heading4"/>
        <w:spacing w:before="180" w:after="180"/>
        <w:rPr>
          <w:color w:val="auto"/>
          <w:lang w:val="en-NZ"/>
        </w:rPr>
      </w:pPr>
      <w:r w:rsidRPr="00242BAA">
        <w:rPr>
          <w:b w:val="0"/>
          <w:bCs w:val="0"/>
          <w:i/>
          <w:iCs/>
          <w:color w:val="auto"/>
          <w:u w:val="single"/>
          <w:lang w:val="en-NZ"/>
        </w:rPr>
        <w:t xml:space="preserve">Option </w:t>
      </w:r>
      <w:r w:rsidR="00973F92">
        <w:rPr>
          <w:b w:val="0"/>
          <w:bCs w:val="0"/>
          <w:i/>
          <w:iCs/>
          <w:color w:val="auto"/>
          <w:u w:val="single"/>
          <w:lang w:val="en-NZ"/>
        </w:rPr>
        <w:t>Two</w:t>
      </w:r>
      <w:r w:rsidRPr="00242BAA">
        <w:rPr>
          <w:color w:val="auto"/>
          <w:lang w:val="en-NZ"/>
        </w:rPr>
        <w:t xml:space="preserve"> – </w:t>
      </w:r>
      <w:r w:rsidR="00F04DE8">
        <w:rPr>
          <w:b w:val="0"/>
          <w:bCs w:val="0"/>
          <w:color w:val="auto"/>
          <w:lang w:val="en-NZ"/>
        </w:rPr>
        <w:t xml:space="preserve">Provide </w:t>
      </w:r>
      <w:r w:rsidR="00180D2D">
        <w:rPr>
          <w:b w:val="0"/>
          <w:bCs w:val="0"/>
          <w:color w:val="auto"/>
          <w:lang w:val="en-NZ"/>
        </w:rPr>
        <w:t xml:space="preserve">partial relief </w:t>
      </w:r>
    </w:p>
    <w:p w14:paraId="7CD5883E" w14:textId="522CB3B9" w:rsidR="00F04DE8" w:rsidRPr="003263E9" w:rsidRDefault="009166B2" w:rsidP="005F312F">
      <w:pPr>
        <w:pStyle w:val="ListParagraph"/>
        <w:numPr>
          <w:ilvl w:val="0"/>
          <w:numId w:val="9"/>
        </w:numPr>
        <w:spacing w:before="180"/>
        <w:ind w:left="567" w:hanging="567"/>
        <w:contextualSpacing w:val="0"/>
        <w:jc w:val="both"/>
        <w:rPr>
          <w:lang w:val="en-NZ"/>
        </w:rPr>
      </w:pPr>
      <w:r>
        <w:rPr>
          <w:lang w:val="en-NZ"/>
        </w:rPr>
        <w:t>The minimum sta</w:t>
      </w:r>
      <w:r w:rsidR="00B75E51">
        <w:rPr>
          <w:lang w:val="en-NZ"/>
        </w:rPr>
        <w:t xml:space="preserve">ndards for financial statements prepared by companies </w:t>
      </w:r>
      <w:r w:rsidR="00A844BB">
        <w:rPr>
          <w:lang w:val="en-NZ"/>
        </w:rPr>
        <w:t xml:space="preserve">fully exempts </w:t>
      </w:r>
      <w:r w:rsidR="00562BFD">
        <w:rPr>
          <w:lang w:val="en-NZ"/>
        </w:rPr>
        <w:t>“</w:t>
      </w:r>
      <w:r w:rsidR="00A844BB">
        <w:rPr>
          <w:lang w:val="en-NZ"/>
        </w:rPr>
        <w:t>small</w:t>
      </w:r>
      <w:r w:rsidR="00562BFD">
        <w:rPr>
          <w:lang w:val="en-NZ"/>
        </w:rPr>
        <w:t>”</w:t>
      </w:r>
      <w:r w:rsidR="00A844BB">
        <w:rPr>
          <w:lang w:val="en-NZ"/>
        </w:rPr>
        <w:t xml:space="preserve"> companies from the minimum requirements.</w:t>
      </w:r>
      <w:r w:rsidR="00C138CD">
        <w:rPr>
          <w:lang w:val="en-NZ"/>
        </w:rPr>
        <w:t xml:space="preserve"> </w:t>
      </w:r>
      <w:r w:rsidR="00F04DE8" w:rsidRPr="0071191C">
        <w:rPr>
          <w:lang w:val="en-NZ"/>
        </w:rPr>
        <w:t xml:space="preserve">Officials consider that </w:t>
      </w:r>
      <w:r w:rsidR="00417B2C" w:rsidRPr="0071191C">
        <w:rPr>
          <w:lang w:val="en-NZ"/>
        </w:rPr>
        <w:t xml:space="preserve">an OIC made under section 21C cannot fully exempt a class of trusts from the requirements of section 59BA. </w:t>
      </w:r>
      <w:r w:rsidR="00F540E0" w:rsidRPr="00156C9A">
        <w:rPr>
          <w:lang w:val="en-NZ"/>
        </w:rPr>
        <w:t>A full exemption would require amending section 59BA itself.</w:t>
      </w:r>
      <w:r w:rsidR="00562BFD">
        <w:rPr>
          <w:lang w:val="en-NZ"/>
        </w:rPr>
        <w:t xml:space="preserve"> Amendments to section 59BA are outside the scope of this RIS.</w:t>
      </w:r>
      <w:r w:rsidR="00F540E0" w:rsidRPr="00156C9A">
        <w:rPr>
          <w:lang w:val="en-NZ"/>
        </w:rPr>
        <w:t xml:space="preserve"> The proposed OIC </w:t>
      </w:r>
      <w:r w:rsidR="007B4FEA" w:rsidRPr="00D24BDD">
        <w:rPr>
          <w:lang w:val="en-NZ"/>
        </w:rPr>
        <w:t xml:space="preserve">must </w:t>
      </w:r>
      <w:r w:rsidR="00F540E0" w:rsidRPr="00D24BDD">
        <w:rPr>
          <w:lang w:val="en-NZ"/>
        </w:rPr>
        <w:t>supplement, rather than override, the disclosure obligations in se</w:t>
      </w:r>
      <w:r w:rsidR="00F540E0" w:rsidRPr="003263E9">
        <w:rPr>
          <w:lang w:val="en-NZ"/>
        </w:rPr>
        <w:t>ction 59BA.</w:t>
      </w:r>
    </w:p>
    <w:p w14:paraId="08076C5C" w14:textId="11BB2AAC" w:rsidR="00B314E0" w:rsidRDefault="00F511AB" w:rsidP="005F312F">
      <w:pPr>
        <w:pStyle w:val="ListParagraph"/>
        <w:numPr>
          <w:ilvl w:val="0"/>
          <w:numId w:val="9"/>
        </w:numPr>
        <w:spacing w:before="180"/>
        <w:ind w:left="567" w:hanging="567"/>
        <w:contextualSpacing w:val="0"/>
        <w:jc w:val="both"/>
        <w:rPr>
          <w:lang w:val="en-NZ"/>
        </w:rPr>
      </w:pPr>
      <w:r w:rsidRPr="00323ABD">
        <w:rPr>
          <w:iCs/>
          <w:color w:val="000000"/>
          <w:lang w:val="en-NZ"/>
        </w:rPr>
        <w:t>O</w:t>
      </w:r>
      <w:r w:rsidR="00F540E0" w:rsidRPr="00323ABD">
        <w:rPr>
          <w:iCs/>
          <w:color w:val="000000"/>
          <w:lang w:val="en-NZ"/>
        </w:rPr>
        <w:t xml:space="preserve">fficials undertook public consultation </w:t>
      </w:r>
      <w:r w:rsidR="008E7D93" w:rsidRPr="00323ABD">
        <w:rPr>
          <w:iCs/>
          <w:color w:val="000000"/>
          <w:lang w:val="en-NZ"/>
        </w:rPr>
        <w:t>in October and November 2021</w:t>
      </w:r>
      <w:r w:rsidR="008E7D93">
        <w:rPr>
          <w:iCs/>
          <w:color w:val="000000"/>
          <w:lang w:val="en-NZ"/>
        </w:rPr>
        <w:t xml:space="preserve"> </w:t>
      </w:r>
      <w:r w:rsidR="00F540E0" w:rsidRPr="00323ABD">
        <w:rPr>
          <w:iCs/>
          <w:color w:val="000000"/>
          <w:lang w:val="en-NZ"/>
        </w:rPr>
        <w:t>on proposed minimum standards for financial statements prepared by domestic trusts</w:t>
      </w:r>
      <w:r w:rsidR="009B04B0">
        <w:rPr>
          <w:iCs/>
          <w:color w:val="000000"/>
          <w:lang w:val="en-NZ"/>
        </w:rPr>
        <w:t>.</w:t>
      </w:r>
      <w:r w:rsidR="00EF2070">
        <w:rPr>
          <w:rStyle w:val="FootnoteReference"/>
          <w:iCs/>
          <w:lang w:val="en-NZ"/>
        </w:rPr>
        <w:footnoteReference w:id="13"/>
      </w:r>
      <w:r w:rsidR="00F540E0" w:rsidRPr="00323ABD">
        <w:rPr>
          <w:iCs/>
          <w:color w:val="000000"/>
          <w:lang w:val="en-NZ"/>
        </w:rPr>
        <w:t xml:space="preserve"> One of the proposals was </w:t>
      </w:r>
      <w:r w:rsidR="009425E1">
        <w:rPr>
          <w:iCs/>
          <w:color w:val="000000"/>
          <w:lang w:val="en-NZ"/>
        </w:rPr>
        <w:t xml:space="preserve">that </w:t>
      </w:r>
      <w:r w:rsidR="005A525D">
        <w:rPr>
          <w:iCs/>
          <w:color w:val="000000"/>
          <w:lang w:val="en-NZ"/>
        </w:rPr>
        <w:t>certain</w:t>
      </w:r>
      <w:r w:rsidR="009425E1">
        <w:rPr>
          <w:iCs/>
          <w:color w:val="000000"/>
          <w:lang w:val="en-NZ"/>
        </w:rPr>
        <w:t xml:space="preserve"> trust</w:t>
      </w:r>
      <w:r w:rsidR="005A525D">
        <w:rPr>
          <w:iCs/>
          <w:color w:val="000000"/>
          <w:lang w:val="en-NZ"/>
        </w:rPr>
        <w:t>s</w:t>
      </w:r>
      <w:r w:rsidR="009425E1">
        <w:rPr>
          <w:iCs/>
          <w:color w:val="000000"/>
          <w:lang w:val="en-NZ"/>
        </w:rPr>
        <w:t xml:space="preserve"> would be exempt from:</w:t>
      </w:r>
    </w:p>
    <w:p w14:paraId="1A9AAEF2" w14:textId="39F24906" w:rsidR="002742A0" w:rsidRDefault="002742A0" w:rsidP="005F312F">
      <w:pPr>
        <w:pStyle w:val="ListParagraph"/>
        <w:numPr>
          <w:ilvl w:val="1"/>
          <w:numId w:val="9"/>
        </w:numPr>
        <w:spacing w:before="180"/>
        <w:ind w:left="1134" w:hanging="425"/>
        <w:contextualSpacing w:val="0"/>
        <w:jc w:val="both"/>
        <w:rPr>
          <w:lang w:val="en-NZ"/>
        </w:rPr>
      </w:pPr>
      <w:r>
        <w:rPr>
          <w:lang w:val="en-NZ"/>
        </w:rPr>
        <w:t>applying the principles of accrual accounting;</w:t>
      </w:r>
    </w:p>
    <w:p w14:paraId="32EA50D3" w14:textId="08FFCDA1" w:rsidR="002742A0" w:rsidRDefault="00D311D6" w:rsidP="005F312F">
      <w:pPr>
        <w:pStyle w:val="ListParagraph"/>
        <w:numPr>
          <w:ilvl w:val="1"/>
          <w:numId w:val="9"/>
        </w:numPr>
        <w:spacing w:before="180"/>
        <w:ind w:left="1134" w:hanging="425"/>
        <w:contextualSpacing w:val="0"/>
        <w:jc w:val="both"/>
        <w:rPr>
          <w:lang w:val="en-NZ"/>
        </w:rPr>
      </w:pPr>
      <w:r>
        <w:rPr>
          <w:lang w:val="en-NZ"/>
        </w:rPr>
        <w:t>providing a statement of accounting policies; and</w:t>
      </w:r>
    </w:p>
    <w:p w14:paraId="58805E59" w14:textId="49562C0B" w:rsidR="00D311D6" w:rsidRPr="00B314E0" w:rsidRDefault="00D311D6" w:rsidP="005F312F">
      <w:pPr>
        <w:pStyle w:val="ListParagraph"/>
        <w:numPr>
          <w:ilvl w:val="1"/>
          <w:numId w:val="9"/>
        </w:numPr>
        <w:spacing w:before="180"/>
        <w:ind w:left="1134" w:hanging="425"/>
        <w:contextualSpacing w:val="0"/>
        <w:jc w:val="both"/>
        <w:rPr>
          <w:lang w:val="en-NZ"/>
        </w:rPr>
      </w:pPr>
      <w:r>
        <w:rPr>
          <w:lang w:val="en-NZ"/>
        </w:rPr>
        <w:t>disclosing comparable figures for the previous income year</w:t>
      </w:r>
      <w:r w:rsidR="00323ABD">
        <w:rPr>
          <w:lang w:val="en-NZ"/>
        </w:rPr>
        <w:t>.</w:t>
      </w:r>
    </w:p>
    <w:p w14:paraId="1508DF17" w14:textId="51DE8050" w:rsidR="009425E1" w:rsidRPr="005D5388" w:rsidRDefault="00562BFD" w:rsidP="005F312F">
      <w:pPr>
        <w:pStyle w:val="ListParagraph"/>
        <w:numPr>
          <w:ilvl w:val="0"/>
          <w:numId w:val="9"/>
        </w:numPr>
        <w:spacing w:before="180"/>
        <w:ind w:left="567" w:hanging="567"/>
        <w:contextualSpacing w:val="0"/>
        <w:jc w:val="both"/>
        <w:rPr>
          <w:lang w:val="en-NZ"/>
        </w:rPr>
      </w:pPr>
      <w:r w:rsidRPr="001806AB">
        <w:rPr>
          <w:iCs/>
          <w:color w:val="000000"/>
          <w:lang w:val="en-NZ"/>
        </w:rPr>
        <w:t>Submitters broadly considered that the scope of relief should be increased</w:t>
      </w:r>
      <w:r w:rsidR="00977568" w:rsidRPr="001806AB">
        <w:rPr>
          <w:iCs/>
          <w:color w:val="000000"/>
          <w:lang w:val="en-NZ"/>
        </w:rPr>
        <w:t xml:space="preserve"> due to the significant compliance costs for smaller trusts</w:t>
      </w:r>
      <w:r w:rsidRPr="001806AB">
        <w:rPr>
          <w:iCs/>
          <w:color w:val="000000"/>
          <w:lang w:val="en-NZ"/>
        </w:rPr>
        <w:t>.</w:t>
      </w:r>
      <w:r w:rsidR="00977568" w:rsidRPr="001806AB">
        <w:rPr>
          <w:iCs/>
          <w:color w:val="000000"/>
          <w:lang w:val="en-NZ"/>
        </w:rPr>
        <w:t xml:space="preserve"> Submitters were of the view that smaller trusts should not be required to provide a fixed asset schedule. It was also noted that the associated persons disclosures can be very complex, particularly for trusts. Officials agreed with submitters that the level of relief should be expanded to help minimise compliance costs.</w:t>
      </w:r>
    </w:p>
    <w:p w14:paraId="59D1DD7D" w14:textId="39B0B2E0" w:rsidR="0019342D" w:rsidRPr="00242BAA" w:rsidRDefault="0019342D" w:rsidP="005F312F">
      <w:pPr>
        <w:spacing w:before="180"/>
        <w:rPr>
          <w:lang w:val="en-NZ"/>
        </w:rPr>
      </w:pPr>
      <w:r w:rsidRPr="00242BAA">
        <w:rPr>
          <w:i/>
          <w:u w:val="single"/>
          <w:lang w:val="en-NZ"/>
        </w:rPr>
        <w:t xml:space="preserve">Option </w:t>
      </w:r>
      <w:r w:rsidR="00323ABD">
        <w:rPr>
          <w:i/>
          <w:u w:val="single"/>
          <w:lang w:val="en-NZ"/>
        </w:rPr>
        <w:t>Three</w:t>
      </w:r>
      <w:r w:rsidRPr="00242BAA">
        <w:rPr>
          <w:i/>
          <w:lang w:val="en-NZ"/>
        </w:rPr>
        <w:t xml:space="preserve"> </w:t>
      </w:r>
      <w:r w:rsidRPr="00242BAA">
        <w:rPr>
          <w:lang w:val="en-NZ"/>
        </w:rPr>
        <w:t xml:space="preserve">– </w:t>
      </w:r>
      <w:r w:rsidR="004110EF">
        <w:rPr>
          <w:lang w:val="en-NZ"/>
        </w:rPr>
        <w:t>Provide b</w:t>
      </w:r>
      <w:r w:rsidR="009425E1">
        <w:rPr>
          <w:lang w:val="en-NZ"/>
        </w:rPr>
        <w:t xml:space="preserve">road </w:t>
      </w:r>
      <w:r w:rsidR="004110EF">
        <w:rPr>
          <w:lang w:val="en-NZ"/>
        </w:rPr>
        <w:t>relief</w:t>
      </w:r>
    </w:p>
    <w:p w14:paraId="632AFADF" w14:textId="299B9474" w:rsidR="0019342D" w:rsidRDefault="00323ABD" w:rsidP="005F312F">
      <w:pPr>
        <w:pStyle w:val="ListParagraph"/>
        <w:numPr>
          <w:ilvl w:val="0"/>
          <w:numId w:val="9"/>
        </w:numPr>
        <w:spacing w:before="180"/>
        <w:ind w:left="567" w:hanging="567"/>
        <w:contextualSpacing w:val="0"/>
        <w:jc w:val="both"/>
        <w:rPr>
          <w:lang w:val="en-NZ"/>
        </w:rPr>
      </w:pPr>
      <w:r>
        <w:rPr>
          <w:lang w:val="en-NZ"/>
        </w:rPr>
        <w:t xml:space="preserve">Based on feedback received in public consultation regarding </w:t>
      </w:r>
      <w:r w:rsidR="002F0BF9">
        <w:rPr>
          <w:lang w:val="en-NZ"/>
        </w:rPr>
        <w:t>partial relief</w:t>
      </w:r>
      <w:r w:rsidR="000A4794">
        <w:rPr>
          <w:lang w:val="en-NZ"/>
        </w:rPr>
        <w:t xml:space="preserve"> for certain trusts</w:t>
      </w:r>
      <w:r w:rsidR="002F0BF9">
        <w:rPr>
          <w:lang w:val="en-NZ"/>
        </w:rPr>
        <w:t xml:space="preserve">, officials </w:t>
      </w:r>
      <w:r w:rsidR="00633C77">
        <w:rPr>
          <w:lang w:val="en-NZ"/>
        </w:rPr>
        <w:t>developed</w:t>
      </w:r>
      <w:r w:rsidR="002F0BF9">
        <w:rPr>
          <w:lang w:val="en-NZ"/>
        </w:rPr>
        <w:t xml:space="preserve"> </w:t>
      </w:r>
      <w:r w:rsidR="0036484A">
        <w:rPr>
          <w:lang w:val="en-NZ"/>
        </w:rPr>
        <w:t>a proposal for broader relief</w:t>
      </w:r>
      <w:r w:rsidR="001F3EC8">
        <w:rPr>
          <w:lang w:val="en-NZ"/>
        </w:rPr>
        <w:t xml:space="preserve">. </w:t>
      </w:r>
      <w:r w:rsidR="00823017">
        <w:rPr>
          <w:lang w:val="en-NZ"/>
        </w:rPr>
        <w:t xml:space="preserve">In addition to the </w:t>
      </w:r>
      <w:r w:rsidR="000D504F">
        <w:rPr>
          <w:lang w:val="en-NZ"/>
        </w:rPr>
        <w:t xml:space="preserve">partial </w:t>
      </w:r>
      <w:r w:rsidR="00823017">
        <w:rPr>
          <w:lang w:val="en-NZ"/>
        </w:rPr>
        <w:t>relief outlined in Option Two above</w:t>
      </w:r>
      <w:r w:rsidR="00D35F5E">
        <w:rPr>
          <w:lang w:val="en-NZ"/>
        </w:rPr>
        <w:t xml:space="preserve">, </w:t>
      </w:r>
      <w:r w:rsidR="000008F0">
        <w:rPr>
          <w:lang w:val="en-NZ"/>
        </w:rPr>
        <w:t>trusts</w:t>
      </w:r>
      <w:r w:rsidR="000D504F">
        <w:rPr>
          <w:lang w:val="en-NZ"/>
        </w:rPr>
        <w:t xml:space="preserve"> </w:t>
      </w:r>
      <w:r w:rsidR="000A4794">
        <w:rPr>
          <w:lang w:val="en-NZ"/>
        </w:rPr>
        <w:t xml:space="preserve">that qualify for relief </w:t>
      </w:r>
      <w:r w:rsidR="000D504F">
        <w:rPr>
          <w:lang w:val="en-NZ"/>
        </w:rPr>
        <w:t>would not</w:t>
      </w:r>
      <w:r w:rsidR="000008F0">
        <w:rPr>
          <w:lang w:val="en-NZ"/>
        </w:rPr>
        <w:t xml:space="preserve"> need to disclose</w:t>
      </w:r>
      <w:r w:rsidR="00D35F5E">
        <w:rPr>
          <w:lang w:val="en-NZ"/>
        </w:rPr>
        <w:t>:</w:t>
      </w:r>
    </w:p>
    <w:p w14:paraId="0039847E" w14:textId="331BF9F9" w:rsidR="00D35F5E" w:rsidRDefault="00954FCB" w:rsidP="005F312F">
      <w:pPr>
        <w:pStyle w:val="ListParagraph"/>
        <w:numPr>
          <w:ilvl w:val="1"/>
          <w:numId w:val="9"/>
        </w:numPr>
        <w:spacing w:before="180"/>
        <w:ind w:left="1134" w:hanging="425"/>
        <w:contextualSpacing w:val="0"/>
        <w:jc w:val="both"/>
        <w:rPr>
          <w:lang w:val="en-NZ"/>
        </w:rPr>
      </w:pPr>
      <w:r>
        <w:rPr>
          <w:lang w:val="en-NZ"/>
        </w:rPr>
        <w:t>associated person transactions</w:t>
      </w:r>
      <w:r w:rsidR="00C7687F">
        <w:rPr>
          <w:lang w:val="en-NZ"/>
        </w:rPr>
        <w:t>;</w:t>
      </w:r>
    </w:p>
    <w:p w14:paraId="6EF86578" w14:textId="4D49531C" w:rsidR="00954FCB" w:rsidRDefault="004B52AA" w:rsidP="005F312F">
      <w:pPr>
        <w:pStyle w:val="ListParagraph"/>
        <w:numPr>
          <w:ilvl w:val="1"/>
          <w:numId w:val="9"/>
        </w:numPr>
        <w:spacing w:before="180"/>
        <w:ind w:left="1134" w:hanging="425"/>
        <w:contextualSpacing w:val="0"/>
        <w:jc w:val="both"/>
        <w:rPr>
          <w:lang w:val="en-NZ"/>
        </w:rPr>
      </w:pPr>
      <w:r>
        <w:rPr>
          <w:lang w:val="en-NZ"/>
        </w:rPr>
        <w:t xml:space="preserve">reconciliations </w:t>
      </w:r>
      <w:r w:rsidR="001E7E84">
        <w:rPr>
          <w:lang w:val="en-NZ"/>
        </w:rPr>
        <w:t xml:space="preserve">between the </w:t>
      </w:r>
      <w:r w:rsidR="00BD146D">
        <w:rPr>
          <w:lang w:val="en-NZ"/>
        </w:rPr>
        <w:t>profit and loss in the statement of profit and loss to taxable income;</w:t>
      </w:r>
    </w:p>
    <w:p w14:paraId="2CCF9EC5" w14:textId="3ADA34AE" w:rsidR="00BD146D" w:rsidRDefault="00E83C8F" w:rsidP="005F312F">
      <w:pPr>
        <w:pStyle w:val="ListParagraph"/>
        <w:numPr>
          <w:ilvl w:val="1"/>
          <w:numId w:val="9"/>
        </w:numPr>
        <w:spacing w:before="180"/>
        <w:ind w:left="1134" w:hanging="425"/>
        <w:contextualSpacing w:val="0"/>
        <w:jc w:val="both"/>
        <w:rPr>
          <w:lang w:val="en-NZ"/>
        </w:rPr>
      </w:pPr>
      <w:r>
        <w:rPr>
          <w:lang w:val="en-NZ"/>
        </w:rPr>
        <w:t>a schedule of the trust’s fixed assets and depreciable property used for tax purposes</w:t>
      </w:r>
      <w:r w:rsidR="00C7687F">
        <w:rPr>
          <w:lang w:val="en-NZ"/>
        </w:rPr>
        <w:t>; and</w:t>
      </w:r>
    </w:p>
    <w:p w14:paraId="6023D086" w14:textId="68530C0E" w:rsidR="00C7687F" w:rsidRPr="00242BAA" w:rsidRDefault="00C7687F" w:rsidP="005F312F">
      <w:pPr>
        <w:pStyle w:val="ListParagraph"/>
        <w:numPr>
          <w:ilvl w:val="1"/>
          <w:numId w:val="9"/>
        </w:numPr>
        <w:spacing w:before="180"/>
        <w:ind w:left="1134" w:hanging="425"/>
        <w:contextualSpacing w:val="0"/>
        <w:jc w:val="both"/>
        <w:rPr>
          <w:lang w:val="en-NZ"/>
        </w:rPr>
      </w:pPr>
      <w:r>
        <w:rPr>
          <w:lang w:val="en-NZ"/>
        </w:rPr>
        <w:t>certain matters relating to trusts with forestry and livestock businesses.</w:t>
      </w:r>
    </w:p>
    <w:p w14:paraId="458F75F0" w14:textId="5460D390" w:rsidR="0036484A" w:rsidRPr="00C8390E" w:rsidRDefault="0031532C" w:rsidP="005F312F">
      <w:pPr>
        <w:pStyle w:val="ListParagraph"/>
        <w:numPr>
          <w:ilvl w:val="0"/>
          <w:numId w:val="9"/>
        </w:numPr>
        <w:spacing w:before="180"/>
        <w:ind w:left="567" w:hanging="567"/>
        <w:contextualSpacing w:val="0"/>
        <w:jc w:val="both"/>
        <w:rPr>
          <w:lang w:val="en-NZ"/>
        </w:rPr>
      </w:pPr>
      <w:r w:rsidRPr="00957410">
        <w:rPr>
          <w:lang w:val="en-NZ"/>
        </w:rPr>
        <w:t xml:space="preserve">This means </w:t>
      </w:r>
      <w:r w:rsidR="00DB5877">
        <w:rPr>
          <w:lang w:val="en-NZ"/>
        </w:rPr>
        <w:t xml:space="preserve">that </w:t>
      </w:r>
      <w:r w:rsidR="000D504F" w:rsidRPr="00957410">
        <w:rPr>
          <w:lang w:val="en-NZ"/>
        </w:rPr>
        <w:t xml:space="preserve">a </w:t>
      </w:r>
      <w:r w:rsidRPr="00957410">
        <w:rPr>
          <w:lang w:val="en-NZ"/>
        </w:rPr>
        <w:t xml:space="preserve">trust </w:t>
      </w:r>
      <w:r w:rsidR="004110EF">
        <w:rPr>
          <w:lang w:val="en-NZ"/>
        </w:rPr>
        <w:t xml:space="preserve">qualifying for relief </w:t>
      </w:r>
      <w:r w:rsidRPr="00957410">
        <w:rPr>
          <w:lang w:val="en-NZ"/>
        </w:rPr>
        <w:t xml:space="preserve">will have to meet fewer minimum requirements for their financial statements set out in the OIC, but the information they provide to the Commissioner in prescribed forms will </w:t>
      </w:r>
      <w:r w:rsidR="00B34B4F" w:rsidRPr="00957410">
        <w:rPr>
          <w:lang w:val="en-NZ"/>
        </w:rPr>
        <w:t>remain the same for all trusts.</w:t>
      </w:r>
      <w:r w:rsidR="0036484A" w:rsidRPr="00957410">
        <w:rPr>
          <w:lang w:val="en-NZ"/>
        </w:rPr>
        <w:t xml:space="preserve"> </w:t>
      </w:r>
      <w:r w:rsidR="00C8390E" w:rsidRPr="00957410">
        <w:rPr>
          <w:lang w:val="en-NZ"/>
        </w:rPr>
        <w:t xml:space="preserve">This </w:t>
      </w:r>
      <w:r w:rsidR="00991C6B">
        <w:rPr>
          <w:lang w:val="en-NZ"/>
        </w:rPr>
        <w:t>would</w:t>
      </w:r>
      <w:r w:rsidR="00991C6B" w:rsidRPr="00957410">
        <w:rPr>
          <w:lang w:val="en-NZ"/>
        </w:rPr>
        <w:t xml:space="preserve"> </w:t>
      </w:r>
      <w:r w:rsidR="00C8390E" w:rsidRPr="00957410">
        <w:rPr>
          <w:lang w:val="en-NZ"/>
        </w:rPr>
        <w:t>reduce compliance cos</w:t>
      </w:r>
      <w:r w:rsidR="00C8390E" w:rsidRPr="00C8390E">
        <w:rPr>
          <w:lang w:val="en-NZ"/>
        </w:rPr>
        <w:t xml:space="preserve">ts for a significant number of trusts while ensuring that the Commissioner has sufficient information to meet the Government’s </w:t>
      </w:r>
      <w:r w:rsidR="00991C6B">
        <w:rPr>
          <w:lang w:val="en-NZ"/>
        </w:rPr>
        <w:t>disclosure rules objectives</w:t>
      </w:r>
      <w:r w:rsidR="00C8390E" w:rsidRPr="00C8390E">
        <w:rPr>
          <w:lang w:val="en-NZ"/>
        </w:rPr>
        <w:t>.</w:t>
      </w:r>
      <w:r w:rsidR="00C8390E">
        <w:rPr>
          <w:lang w:val="en-NZ"/>
        </w:rPr>
        <w:t xml:space="preserve"> </w:t>
      </w:r>
      <w:r w:rsidR="0036484A" w:rsidRPr="00957410">
        <w:rPr>
          <w:lang w:val="en-NZ"/>
        </w:rPr>
        <w:t xml:space="preserve">The information </w:t>
      </w:r>
      <w:r w:rsidR="00AE1260" w:rsidRPr="00957410">
        <w:rPr>
          <w:lang w:val="en-NZ"/>
        </w:rPr>
        <w:t xml:space="preserve">that is required to be </w:t>
      </w:r>
      <w:r w:rsidR="00562BFD" w:rsidRPr="00957410">
        <w:rPr>
          <w:lang w:val="en-NZ"/>
        </w:rPr>
        <w:t xml:space="preserve">disclosed in the </w:t>
      </w:r>
      <w:r w:rsidR="00120C89" w:rsidRPr="00C8390E">
        <w:rPr>
          <w:lang w:val="en-NZ"/>
        </w:rPr>
        <w:t>IR6 form</w:t>
      </w:r>
      <w:r w:rsidR="00562BFD" w:rsidRPr="00C8390E">
        <w:rPr>
          <w:lang w:val="en-NZ"/>
        </w:rPr>
        <w:t xml:space="preserve"> (</w:t>
      </w:r>
      <w:r w:rsidR="00120967">
        <w:rPr>
          <w:lang w:val="en-NZ"/>
        </w:rPr>
        <w:t xml:space="preserve">income tax </w:t>
      </w:r>
      <w:r w:rsidR="00562BFD" w:rsidRPr="00C8390E">
        <w:rPr>
          <w:lang w:val="en-NZ"/>
        </w:rPr>
        <w:t xml:space="preserve">return for </w:t>
      </w:r>
      <w:r w:rsidR="00120967">
        <w:rPr>
          <w:lang w:val="en-NZ"/>
        </w:rPr>
        <w:t xml:space="preserve">estates and </w:t>
      </w:r>
      <w:r w:rsidR="00562BFD" w:rsidRPr="00C8390E">
        <w:rPr>
          <w:lang w:val="en-NZ"/>
        </w:rPr>
        <w:t>trusts</w:t>
      </w:r>
      <w:r w:rsidR="00120C89" w:rsidRPr="00C8390E">
        <w:rPr>
          <w:lang w:val="en-NZ"/>
        </w:rPr>
        <w:t>)</w:t>
      </w:r>
      <w:r w:rsidR="00AE1260" w:rsidRPr="00C8390E">
        <w:rPr>
          <w:lang w:val="en-NZ"/>
        </w:rPr>
        <w:t xml:space="preserve"> includes:</w:t>
      </w:r>
    </w:p>
    <w:p w14:paraId="2E0D4ECB" w14:textId="7F265CD6" w:rsidR="00120C89" w:rsidRPr="00D968FC" w:rsidRDefault="00120C89" w:rsidP="000A1ADA">
      <w:pPr>
        <w:pStyle w:val="ListParagraph"/>
        <w:numPr>
          <w:ilvl w:val="1"/>
          <w:numId w:val="9"/>
        </w:numPr>
        <w:ind w:left="1134" w:hanging="425"/>
        <w:jc w:val="both"/>
        <w:rPr>
          <w:b/>
          <w:bCs/>
          <w:lang w:val="en-NZ"/>
        </w:rPr>
      </w:pPr>
      <w:r w:rsidRPr="00D968FC">
        <w:rPr>
          <w:b/>
          <w:bCs/>
          <w:lang w:val="en-NZ"/>
        </w:rPr>
        <w:t>Total accounting before profit</w:t>
      </w:r>
      <w:r w:rsidR="00562BFD" w:rsidRPr="00D968FC">
        <w:rPr>
          <w:b/>
          <w:bCs/>
          <w:lang w:val="en-NZ"/>
        </w:rPr>
        <w:t xml:space="preserve"> before tax</w:t>
      </w:r>
    </w:p>
    <w:p w14:paraId="144C48C4" w14:textId="41090DBC" w:rsidR="00120C89" w:rsidRDefault="00120C89" w:rsidP="000A1ADA">
      <w:pPr>
        <w:pStyle w:val="ListParagraph"/>
        <w:numPr>
          <w:ilvl w:val="1"/>
          <w:numId w:val="9"/>
        </w:numPr>
        <w:ind w:left="1134" w:hanging="425"/>
        <w:jc w:val="both"/>
        <w:rPr>
          <w:lang w:val="en-NZ"/>
        </w:rPr>
      </w:pPr>
      <w:r>
        <w:rPr>
          <w:lang w:val="en-NZ"/>
        </w:rPr>
        <w:t xml:space="preserve">Tax adjustments to reconcile accounting income with assessable </w:t>
      </w:r>
    </w:p>
    <w:p w14:paraId="79BCFB47" w14:textId="33B5D74B" w:rsidR="00120C89" w:rsidRDefault="00120C89" w:rsidP="000A1ADA">
      <w:pPr>
        <w:pStyle w:val="ListParagraph"/>
        <w:numPr>
          <w:ilvl w:val="1"/>
          <w:numId w:val="9"/>
        </w:numPr>
        <w:ind w:left="1134" w:hanging="425"/>
        <w:jc w:val="both"/>
        <w:rPr>
          <w:lang w:val="en-NZ"/>
        </w:rPr>
      </w:pPr>
      <w:r>
        <w:rPr>
          <w:lang w:val="en-NZ"/>
        </w:rPr>
        <w:t>Untaxed realised gains</w:t>
      </w:r>
    </w:p>
    <w:p w14:paraId="47E9711B" w14:textId="574974E4" w:rsidR="00120C89" w:rsidRPr="00D968FC" w:rsidRDefault="00120C89" w:rsidP="000A1ADA">
      <w:pPr>
        <w:pStyle w:val="ListParagraph"/>
        <w:numPr>
          <w:ilvl w:val="1"/>
          <w:numId w:val="9"/>
        </w:numPr>
        <w:ind w:left="1134" w:hanging="425"/>
        <w:jc w:val="both"/>
        <w:rPr>
          <w:b/>
          <w:bCs/>
          <w:lang w:val="en-NZ"/>
        </w:rPr>
      </w:pPr>
      <w:r w:rsidRPr="00D968FC">
        <w:rPr>
          <w:b/>
          <w:bCs/>
          <w:lang w:val="en-NZ"/>
        </w:rPr>
        <w:t>Total assets</w:t>
      </w:r>
    </w:p>
    <w:p w14:paraId="44C41E10" w14:textId="37789AE5" w:rsidR="00120C89" w:rsidRDefault="00120C89" w:rsidP="000A1ADA">
      <w:pPr>
        <w:pStyle w:val="ListParagraph"/>
        <w:numPr>
          <w:ilvl w:val="1"/>
          <w:numId w:val="9"/>
        </w:numPr>
        <w:ind w:left="1134" w:hanging="425"/>
        <w:jc w:val="both"/>
        <w:rPr>
          <w:lang w:val="en-NZ"/>
        </w:rPr>
      </w:pPr>
      <w:r>
        <w:rPr>
          <w:lang w:val="en-NZ"/>
        </w:rPr>
        <w:t>Associated persons financial arrangements</w:t>
      </w:r>
    </w:p>
    <w:p w14:paraId="25AF3C4C" w14:textId="7AFABCAA" w:rsidR="00120C89" w:rsidRDefault="00120C89" w:rsidP="000A1ADA">
      <w:pPr>
        <w:pStyle w:val="ListParagraph"/>
        <w:numPr>
          <w:ilvl w:val="1"/>
          <w:numId w:val="9"/>
        </w:numPr>
        <w:ind w:left="1134" w:hanging="425"/>
        <w:jc w:val="both"/>
        <w:rPr>
          <w:lang w:val="en-NZ"/>
        </w:rPr>
      </w:pPr>
      <w:r>
        <w:rPr>
          <w:lang w:val="en-NZ"/>
        </w:rPr>
        <w:t>Shares/ownership interests</w:t>
      </w:r>
      <w:r w:rsidR="00C8390E">
        <w:rPr>
          <w:lang w:val="en-NZ"/>
        </w:rPr>
        <w:t>*</w:t>
      </w:r>
    </w:p>
    <w:p w14:paraId="4F115B62" w14:textId="0024CFDB" w:rsidR="00120C89" w:rsidRDefault="00120C89" w:rsidP="000A1ADA">
      <w:pPr>
        <w:pStyle w:val="ListParagraph"/>
        <w:numPr>
          <w:ilvl w:val="1"/>
          <w:numId w:val="9"/>
        </w:numPr>
        <w:ind w:left="1134" w:hanging="425"/>
        <w:jc w:val="both"/>
        <w:rPr>
          <w:lang w:val="en-NZ"/>
        </w:rPr>
      </w:pPr>
      <w:r>
        <w:rPr>
          <w:lang w:val="en-NZ"/>
        </w:rPr>
        <w:t>Land</w:t>
      </w:r>
      <w:r w:rsidR="00C8390E">
        <w:rPr>
          <w:lang w:val="en-NZ"/>
        </w:rPr>
        <w:t>*</w:t>
      </w:r>
    </w:p>
    <w:p w14:paraId="4904347F" w14:textId="1F46AF0C" w:rsidR="00120C89" w:rsidRDefault="00120C89" w:rsidP="000A1ADA">
      <w:pPr>
        <w:pStyle w:val="ListParagraph"/>
        <w:numPr>
          <w:ilvl w:val="1"/>
          <w:numId w:val="9"/>
        </w:numPr>
        <w:ind w:left="1134" w:hanging="425"/>
        <w:jc w:val="both"/>
        <w:rPr>
          <w:lang w:val="en-NZ"/>
        </w:rPr>
      </w:pPr>
      <w:r>
        <w:rPr>
          <w:lang w:val="en-NZ"/>
        </w:rPr>
        <w:t>Buildings</w:t>
      </w:r>
      <w:r w:rsidR="00C8390E">
        <w:rPr>
          <w:lang w:val="en-NZ"/>
        </w:rPr>
        <w:t>*</w:t>
      </w:r>
    </w:p>
    <w:p w14:paraId="56DB19A2" w14:textId="4AD3EFE7" w:rsidR="00120C89" w:rsidRPr="00D968FC" w:rsidRDefault="00120C89" w:rsidP="000A1ADA">
      <w:pPr>
        <w:pStyle w:val="ListParagraph"/>
        <w:numPr>
          <w:ilvl w:val="1"/>
          <w:numId w:val="9"/>
        </w:numPr>
        <w:ind w:left="1134" w:hanging="425"/>
        <w:jc w:val="both"/>
        <w:rPr>
          <w:b/>
          <w:bCs/>
          <w:lang w:val="en-NZ"/>
        </w:rPr>
      </w:pPr>
      <w:r w:rsidRPr="00D968FC">
        <w:rPr>
          <w:b/>
          <w:bCs/>
          <w:lang w:val="en-NZ"/>
        </w:rPr>
        <w:t xml:space="preserve">Total </w:t>
      </w:r>
      <w:r w:rsidR="00F920C3" w:rsidRPr="00D968FC">
        <w:rPr>
          <w:b/>
          <w:bCs/>
          <w:lang w:val="en-NZ"/>
        </w:rPr>
        <w:t>liabilities</w:t>
      </w:r>
    </w:p>
    <w:p w14:paraId="0EC69358" w14:textId="7094C2ED" w:rsidR="00F920C3" w:rsidRDefault="00F920C3" w:rsidP="000A1ADA">
      <w:pPr>
        <w:pStyle w:val="ListParagraph"/>
        <w:numPr>
          <w:ilvl w:val="1"/>
          <w:numId w:val="9"/>
        </w:numPr>
        <w:ind w:left="1134" w:hanging="425"/>
        <w:jc w:val="both"/>
        <w:rPr>
          <w:lang w:val="en-NZ"/>
        </w:rPr>
      </w:pPr>
      <w:r>
        <w:rPr>
          <w:lang w:val="en-NZ"/>
        </w:rPr>
        <w:t>Associated person financial arrangements</w:t>
      </w:r>
      <w:r w:rsidR="00562BFD">
        <w:rPr>
          <w:lang w:val="en-NZ"/>
        </w:rPr>
        <w:t xml:space="preserve"> </w:t>
      </w:r>
    </w:p>
    <w:p w14:paraId="5644EF9D" w14:textId="2A8B2B4D" w:rsidR="00F920C3" w:rsidRPr="00D968FC" w:rsidRDefault="00F920C3" w:rsidP="000A1ADA">
      <w:pPr>
        <w:pStyle w:val="ListParagraph"/>
        <w:numPr>
          <w:ilvl w:val="1"/>
          <w:numId w:val="9"/>
        </w:numPr>
        <w:ind w:left="1134" w:hanging="425"/>
        <w:jc w:val="both"/>
        <w:rPr>
          <w:b/>
          <w:bCs/>
          <w:lang w:val="en-NZ"/>
        </w:rPr>
      </w:pPr>
      <w:r w:rsidRPr="00D968FC">
        <w:rPr>
          <w:b/>
          <w:bCs/>
          <w:lang w:val="en-NZ"/>
        </w:rPr>
        <w:t>Total equity</w:t>
      </w:r>
    </w:p>
    <w:p w14:paraId="48374B5A" w14:textId="7C203084" w:rsidR="00F920C3" w:rsidRDefault="00F920C3" w:rsidP="000A1ADA">
      <w:pPr>
        <w:pStyle w:val="ListParagraph"/>
        <w:numPr>
          <w:ilvl w:val="1"/>
          <w:numId w:val="9"/>
        </w:numPr>
        <w:ind w:left="1134" w:hanging="425"/>
        <w:jc w:val="both"/>
        <w:rPr>
          <w:lang w:val="en-NZ"/>
        </w:rPr>
      </w:pPr>
      <w:r>
        <w:rPr>
          <w:lang w:val="en-NZ"/>
        </w:rPr>
        <w:t>Drawings</w:t>
      </w:r>
    </w:p>
    <w:p w14:paraId="36A96C14" w14:textId="75B61276" w:rsidR="00562BFD" w:rsidRDefault="00F920C3" w:rsidP="000A1ADA">
      <w:pPr>
        <w:pStyle w:val="ListParagraph"/>
        <w:numPr>
          <w:ilvl w:val="1"/>
          <w:numId w:val="9"/>
        </w:numPr>
        <w:ind w:left="1134" w:hanging="425"/>
        <w:jc w:val="both"/>
        <w:rPr>
          <w:lang w:val="en-NZ"/>
        </w:rPr>
      </w:pPr>
      <w:r>
        <w:rPr>
          <w:lang w:val="en-NZ"/>
        </w:rPr>
        <w:t>Closing current account balances.</w:t>
      </w:r>
    </w:p>
    <w:p w14:paraId="64EF1C72" w14:textId="2E2EFE03" w:rsidR="00C8390E" w:rsidRPr="007D6067" w:rsidRDefault="00C8390E" w:rsidP="000A1ADA">
      <w:pPr>
        <w:ind w:left="709"/>
        <w:jc w:val="both"/>
        <w:rPr>
          <w:i/>
          <w:iCs/>
          <w:lang w:val="en-NZ"/>
        </w:rPr>
      </w:pPr>
      <w:r w:rsidRPr="007D6067">
        <w:rPr>
          <w:i/>
          <w:iCs/>
          <w:lang w:val="en-NZ"/>
        </w:rPr>
        <w:t>* Trustees will disclose the valuation method adopted for these assets</w:t>
      </w:r>
    </w:p>
    <w:p w14:paraId="52323D46" w14:textId="3FFEBC2A" w:rsidR="00C8390E" w:rsidRPr="007B07C9" w:rsidRDefault="00977568" w:rsidP="005F312F">
      <w:pPr>
        <w:pStyle w:val="ListParagraph"/>
        <w:numPr>
          <w:ilvl w:val="0"/>
          <w:numId w:val="9"/>
        </w:numPr>
        <w:spacing w:before="180"/>
        <w:ind w:left="567" w:hanging="567"/>
        <w:contextualSpacing w:val="0"/>
        <w:jc w:val="both"/>
        <w:rPr>
          <w:lang w:val="en-NZ"/>
        </w:rPr>
      </w:pPr>
      <w:r>
        <w:rPr>
          <w:lang w:val="en-NZ"/>
        </w:rPr>
        <w:t>Officials tested the broader simplified reporting requirements with submitters in late 2021. Submitters broadly supported this level of relief and considered that this approach would ease a lot of their concerns regarding compliance costs.</w:t>
      </w:r>
    </w:p>
    <w:p w14:paraId="675095A5" w14:textId="541ED048" w:rsidR="00150D95" w:rsidRPr="0058417B" w:rsidRDefault="00712B27" w:rsidP="005F312F">
      <w:pPr>
        <w:pStyle w:val="Heading4"/>
        <w:spacing w:before="240" w:after="180"/>
        <w:rPr>
          <w:lang w:val="en-NZ"/>
        </w:rPr>
      </w:pPr>
      <w:r>
        <w:rPr>
          <w:color w:val="auto"/>
          <w:lang w:val="en-NZ"/>
        </w:rPr>
        <w:t>Trusts eligible for simplified reporting requirements</w:t>
      </w:r>
    </w:p>
    <w:p w14:paraId="10231594" w14:textId="4988CCB5" w:rsidR="00563A63" w:rsidRPr="00957410" w:rsidRDefault="00563A63" w:rsidP="005F312F">
      <w:pPr>
        <w:pStyle w:val="Heading4"/>
        <w:spacing w:before="180" w:after="180"/>
        <w:rPr>
          <w:color w:val="auto"/>
          <w:lang w:val="en-NZ"/>
        </w:rPr>
      </w:pPr>
      <w:r w:rsidRPr="00957410">
        <w:rPr>
          <w:b w:val="0"/>
          <w:bCs w:val="0"/>
          <w:i/>
          <w:iCs/>
          <w:color w:val="auto"/>
          <w:u w:val="single"/>
          <w:lang w:val="en-NZ"/>
        </w:rPr>
        <w:t xml:space="preserve">Option </w:t>
      </w:r>
      <w:r w:rsidR="00733C65" w:rsidRPr="00450A53">
        <w:rPr>
          <w:b w:val="0"/>
          <w:bCs w:val="0"/>
          <w:i/>
          <w:iCs/>
          <w:color w:val="auto"/>
          <w:u w:val="single"/>
          <w:lang w:val="en-NZ"/>
        </w:rPr>
        <w:t>One</w:t>
      </w:r>
      <w:r w:rsidRPr="00957410">
        <w:rPr>
          <w:color w:val="auto"/>
          <w:lang w:val="en-NZ"/>
        </w:rPr>
        <w:t xml:space="preserve"> – </w:t>
      </w:r>
      <w:r w:rsidR="00A870AF" w:rsidRPr="00450A53">
        <w:rPr>
          <w:b w:val="0"/>
          <w:bCs w:val="0"/>
          <w:color w:val="auto"/>
          <w:lang w:val="en-NZ"/>
        </w:rPr>
        <w:t>Adopt the “small” company thresholds</w:t>
      </w:r>
      <w:r w:rsidR="007F1C45">
        <w:rPr>
          <w:b w:val="0"/>
          <w:bCs w:val="0"/>
          <w:color w:val="auto"/>
          <w:lang w:val="en-NZ"/>
        </w:rPr>
        <w:t xml:space="preserve"> </w:t>
      </w:r>
      <w:r w:rsidR="00F262EB">
        <w:rPr>
          <w:b w:val="0"/>
          <w:bCs w:val="0"/>
          <w:color w:val="auto"/>
          <w:lang w:val="en-NZ"/>
        </w:rPr>
        <w:t>combined with an asset threshold</w:t>
      </w:r>
    </w:p>
    <w:p w14:paraId="5866610B" w14:textId="77777777" w:rsidR="007A2352" w:rsidRDefault="007A2352" w:rsidP="005F312F">
      <w:pPr>
        <w:pStyle w:val="ListParagraph"/>
        <w:numPr>
          <w:ilvl w:val="0"/>
          <w:numId w:val="9"/>
        </w:numPr>
        <w:spacing w:before="180"/>
        <w:ind w:left="567" w:hanging="567"/>
        <w:contextualSpacing w:val="0"/>
        <w:rPr>
          <w:lang w:val="en-NZ"/>
        </w:rPr>
      </w:pPr>
      <w:r>
        <w:rPr>
          <w:lang w:val="en-NZ"/>
        </w:rPr>
        <w:t>The minimum standards for financial statements prepared by companies fully exempts small companies from the minimum requirements. A company is considered “small” for an income year if:</w:t>
      </w:r>
    </w:p>
    <w:p w14:paraId="6AA5D4A9" w14:textId="77777777" w:rsidR="007A2352" w:rsidRDefault="007A2352" w:rsidP="005F312F">
      <w:pPr>
        <w:pStyle w:val="ListParagraph"/>
        <w:numPr>
          <w:ilvl w:val="1"/>
          <w:numId w:val="9"/>
        </w:numPr>
        <w:spacing w:before="180"/>
        <w:ind w:left="1134" w:hanging="425"/>
        <w:contextualSpacing w:val="0"/>
        <w:jc w:val="both"/>
        <w:rPr>
          <w:lang w:val="en-NZ"/>
        </w:rPr>
      </w:pPr>
      <w:r>
        <w:rPr>
          <w:lang w:val="en-NZ"/>
        </w:rPr>
        <w:t>the company is not part of a group of companies; and</w:t>
      </w:r>
    </w:p>
    <w:p w14:paraId="76DC4649" w14:textId="77777777" w:rsidR="007A2352" w:rsidRDefault="007A2352" w:rsidP="005F312F">
      <w:pPr>
        <w:pStyle w:val="ListParagraph"/>
        <w:numPr>
          <w:ilvl w:val="1"/>
          <w:numId w:val="9"/>
        </w:numPr>
        <w:spacing w:before="180"/>
        <w:ind w:left="1134" w:hanging="425"/>
        <w:contextualSpacing w:val="0"/>
        <w:jc w:val="both"/>
        <w:rPr>
          <w:lang w:val="en-NZ"/>
        </w:rPr>
      </w:pPr>
      <w:r>
        <w:rPr>
          <w:lang w:val="en-NZ"/>
        </w:rPr>
        <w:t>the company has not derived income in excess of $30,000, and has not incurred expenditure in excess of $30,000, during the income year.</w:t>
      </w:r>
    </w:p>
    <w:p w14:paraId="7B815820" w14:textId="77777777" w:rsidR="007A2352" w:rsidRDefault="007A2352" w:rsidP="005F312F">
      <w:pPr>
        <w:pStyle w:val="ListParagraph"/>
        <w:numPr>
          <w:ilvl w:val="0"/>
          <w:numId w:val="9"/>
        </w:numPr>
        <w:spacing w:before="180"/>
        <w:ind w:left="567" w:hanging="567"/>
        <w:contextualSpacing w:val="0"/>
        <w:jc w:val="both"/>
        <w:rPr>
          <w:lang w:val="en-NZ"/>
        </w:rPr>
      </w:pPr>
      <w:r>
        <w:rPr>
          <w:lang w:val="en-NZ"/>
        </w:rPr>
        <w:t>Based on IR6 data, approximately 44% of domestic trusts subject to 59BA would fall below a $30,000 assessable income and $30,000 deductible expenditure threshold.</w:t>
      </w:r>
    </w:p>
    <w:p w14:paraId="2C1EBC56" w14:textId="77777777" w:rsidR="007A2352" w:rsidRPr="00EF554C" w:rsidRDefault="007A2352" w:rsidP="005F312F">
      <w:pPr>
        <w:pStyle w:val="ListParagraph"/>
        <w:numPr>
          <w:ilvl w:val="0"/>
          <w:numId w:val="9"/>
        </w:numPr>
        <w:spacing w:before="180"/>
        <w:ind w:left="567" w:hanging="567"/>
        <w:contextualSpacing w:val="0"/>
        <w:jc w:val="both"/>
        <w:rPr>
          <w:lang w:val="en-NZ"/>
        </w:rPr>
      </w:pPr>
      <w:r>
        <w:rPr>
          <w:lang w:val="en-NZ"/>
        </w:rPr>
        <w:t>Officials consider that an asset threshold test should be introduced and apply to all assets (not just assets within the tax base) to support the Government’s objective of gaining a better understanding of the use of New Zealand domestic trusts. IR6 and IR10 data indicates that adding a $2 million asset threshold would result in approximately 38% of domestic trusts falling below both thresholds (</w:t>
      </w:r>
      <w:proofErr w:type="gramStart"/>
      <w:r>
        <w:rPr>
          <w:lang w:val="en-NZ"/>
        </w:rPr>
        <w:t>i.e.</w:t>
      </w:r>
      <w:proofErr w:type="gramEnd"/>
      <w:r>
        <w:rPr>
          <w:lang w:val="en-NZ"/>
        </w:rPr>
        <w:t xml:space="preserve"> both the $2 million asset and $30,000 income/expenditure threshold).</w:t>
      </w:r>
    </w:p>
    <w:p w14:paraId="322BFAB2" w14:textId="77777777" w:rsidR="007A2352" w:rsidRPr="00323ABD" w:rsidRDefault="007A2352" w:rsidP="005F312F">
      <w:pPr>
        <w:pStyle w:val="ListParagraph"/>
        <w:numPr>
          <w:ilvl w:val="0"/>
          <w:numId w:val="9"/>
        </w:numPr>
        <w:spacing w:before="180"/>
        <w:ind w:left="567" w:hanging="567"/>
        <w:contextualSpacing w:val="0"/>
        <w:jc w:val="both"/>
        <w:rPr>
          <w:lang w:val="en-NZ"/>
        </w:rPr>
      </w:pPr>
      <w:r w:rsidRPr="00323ABD">
        <w:rPr>
          <w:iCs/>
          <w:color w:val="000000"/>
          <w:lang w:val="en-NZ"/>
        </w:rPr>
        <w:t xml:space="preserve">One of the proposals </w:t>
      </w:r>
      <w:r>
        <w:rPr>
          <w:iCs/>
          <w:color w:val="000000"/>
          <w:lang w:val="en-NZ"/>
        </w:rPr>
        <w:t xml:space="preserve">that officials publicly consulted on in 2021 </w:t>
      </w:r>
      <w:r w:rsidRPr="00323ABD">
        <w:rPr>
          <w:iCs/>
          <w:color w:val="000000"/>
          <w:lang w:val="en-NZ"/>
        </w:rPr>
        <w:t xml:space="preserve">was for a trust </w:t>
      </w:r>
      <w:r>
        <w:rPr>
          <w:iCs/>
          <w:color w:val="000000"/>
          <w:lang w:val="en-NZ"/>
        </w:rPr>
        <w:t>to be considered</w:t>
      </w:r>
      <w:r w:rsidRPr="00323ABD">
        <w:rPr>
          <w:iCs/>
          <w:color w:val="000000"/>
          <w:lang w:val="en-NZ"/>
        </w:rPr>
        <w:t xml:space="preserve"> </w:t>
      </w:r>
      <w:r>
        <w:rPr>
          <w:iCs/>
          <w:color w:val="000000"/>
          <w:lang w:val="en-NZ"/>
        </w:rPr>
        <w:t>“</w:t>
      </w:r>
      <w:r w:rsidRPr="00323ABD">
        <w:rPr>
          <w:iCs/>
          <w:color w:val="000000"/>
          <w:lang w:val="en-NZ"/>
        </w:rPr>
        <w:t>small</w:t>
      </w:r>
      <w:r>
        <w:rPr>
          <w:iCs/>
          <w:color w:val="000000"/>
          <w:lang w:val="en-NZ"/>
        </w:rPr>
        <w:t>”</w:t>
      </w:r>
      <w:r w:rsidRPr="00323ABD">
        <w:rPr>
          <w:iCs/>
          <w:color w:val="000000"/>
          <w:lang w:val="en-NZ"/>
        </w:rPr>
        <w:t xml:space="preserve"> for an income year if:</w:t>
      </w:r>
    </w:p>
    <w:p w14:paraId="5C3D5521" w14:textId="77777777" w:rsidR="007A2352" w:rsidRDefault="007A2352" w:rsidP="005F312F">
      <w:pPr>
        <w:pStyle w:val="ListParagraph"/>
        <w:numPr>
          <w:ilvl w:val="1"/>
          <w:numId w:val="9"/>
        </w:numPr>
        <w:spacing w:before="180"/>
        <w:ind w:left="1134" w:hanging="425"/>
        <w:contextualSpacing w:val="0"/>
        <w:jc w:val="both"/>
        <w:rPr>
          <w:lang w:val="en-NZ"/>
        </w:rPr>
      </w:pPr>
      <w:r>
        <w:rPr>
          <w:lang w:val="en-NZ"/>
        </w:rPr>
        <w:t>the trustee had not derived more than $30,000 assessable income</w:t>
      </w:r>
      <w:r w:rsidRPr="00633C77">
        <w:rPr>
          <w:lang w:val="en-NZ"/>
        </w:rPr>
        <w:t xml:space="preserve"> </w:t>
      </w:r>
      <w:r>
        <w:rPr>
          <w:lang w:val="en-NZ"/>
        </w:rPr>
        <w:t>and had not incurred more than $30,000 deductible expenditure; and</w:t>
      </w:r>
    </w:p>
    <w:p w14:paraId="37F7C45B" w14:textId="77777777" w:rsidR="007A2352" w:rsidRDefault="007A2352" w:rsidP="005F312F">
      <w:pPr>
        <w:pStyle w:val="ListParagraph"/>
        <w:numPr>
          <w:ilvl w:val="1"/>
          <w:numId w:val="9"/>
        </w:numPr>
        <w:spacing w:before="180"/>
        <w:ind w:left="1134" w:hanging="425"/>
        <w:contextualSpacing w:val="0"/>
        <w:jc w:val="both"/>
        <w:rPr>
          <w:lang w:val="en-NZ"/>
        </w:rPr>
      </w:pPr>
      <w:r>
        <w:rPr>
          <w:lang w:val="en-NZ"/>
        </w:rPr>
        <w:t xml:space="preserve">the total value of trust assets did not exceed $2,000,000. </w:t>
      </w:r>
    </w:p>
    <w:p w14:paraId="3734AA14" w14:textId="61C33B3D" w:rsidR="007A2352" w:rsidRPr="005D5388" w:rsidRDefault="007A2352" w:rsidP="005F312F">
      <w:pPr>
        <w:pStyle w:val="ListParagraph"/>
        <w:numPr>
          <w:ilvl w:val="0"/>
          <w:numId w:val="9"/>
        </w:numPr>
        <w:spacing w:before="180"/>
        <w:ind w:left="567" w:hanging="567"/>
        <w:contextualSpacing w:val="0"/>
        <w:jc w:val="both"/>
        <w:rPr>
          <w:lang w:val="en-NZ"/>
        </w:rPr>
      </w:pPr>
      <w:r>
        <w:rPr>
          <w:iCs/>
          <w:color w:val="000000"/>
          <w:lang w:val="en-NZ"/>
        </w:rPr>
        <w:t xml:space="preserve">Submitters considered that the proposed thresholds for </w:t>
      </w:r>
      <w:r w:rsidR="00A91042">
        <w:rPr>
          <w:iCs/>
          <w:color w:val="000000"/>
          <w:lang w:val="en-NZ"/>
        </w:rPr>
        <w:t>qualifying for partial relief</w:t>
      </w:r>
      <w:r>
        <w:rPr>
          <w:iCs/>
          <w:color w:val="000000"/>
          <w:lang w:val="en-NZ"/>
        </w:rPr>
        <w:t xml:space="preserve"> should be increased to reflect income more likely to be shielded from the new personal income tax rate and to reflect that it is easy to incur $30,000 maintenance expenses in one financial year on a primary home.</w:t>
      </w:r>
      <w:r w:rsidRPr="00977568">
        <w:rPr>
          <w:lang w:val="en-NZ"/>
        </w:rPr>
        <w:t xml:space="preserve"> </w:t>
      </w:r>
      <w:r>
        <w:rPr>
          <w:lang w:val="en-NZ"/>
        </w:rPr>
        <w:t>Submitters suggested a range of possible income and expenditure thresholds, ranging from $50,000 to $150,000. Officials agree that there is merit in raising the income and expenditure thresholds to help reduce trustee compliance costs.</w:t>
      </w:r>
    </w:p>
    <w:p w14:paraId="7A6DA4FE" w14:textId="77777777" w:rsidR="007A2352" w:rsidRPr="00FC6AA9" w:rsidRDefault="007A2352" w:rsidP="005F312F">
      <w:pPr>
        <w:pStyle w:val="ListParagraph"/>
        <w:numPr>
          <w:ilvl w:val="0"/>
          <w:numId w:val="9"/>
        </w:numPr>
        <w:spacing w:before="180"/>
        <w:ind w:left="567" w:hanging="567"/>
        <w:contextualSpacing w:val="0"/>
        <w:jc w:val="both"/>
        <w:rPr>
          <w:lang w:val="en-NZ"/>
        </w:rPr>
      </w:pPr>
      <w:r>
        <w:rPr>
          <w:iCs/>
          <w:color w:val="000000"/>
          <w:lang w:val="en-NZ"/>
        </w:rPr>
        <w:t>Several submitters suggested that the asset threshold be increased to ensure it excludes trusts that own a family home or holiday home.</w:t>
      </w:r>
      <w:r w:rsidRPr="00977568">
        <w:rPr>
          <w:lang w:val="en-NZ"/>
        </w:rPr>
        <w:t xml:space="preserve"> </w:t>
      </w:r>
      <w:r>
        <w:rPr>
          <w:lang w:val="en-NZ"/>
        </w:rPr>
        <w:t>Suggestions for an asset threshold ranged from $3 million to $20 million. The $20 million proposal aligned with the wealth level above which taxpayers have been selected for Inland Revenue’s wealth research project. It would also align with the requirements for an overseas large company under the Financial Reporting Act 2013 and Companies Act 1993.</w:t>
      </w:r>
    </w:p>
    <w:p w14:paraId="5B5F9B68" w14:textId="6B395379" w:rsidR="007A2352" w:rsidRPr="00B14C29" w:rsidRDefault="007A2352" w:rsidP="005F312F">
      <w:pPr>
        <w:pStyle w:val="ListParagraph"/>
        <w:numPr>
          <w:ilvl w:val="0"/>
          <w:numId w:val="9"/>
        </w:numPr>
        <w:spacing w:before="180"/>
        <w:ind w:left="567" w:hanging="567"/>
        <w:contextualSpacing w:val="0"/>
        <w:jc w:val="both"/>
        <w:rPr>
          <w:lang w:val="en-NZ"/>
        </w:rPr>
      </w:pPr>
      <w:r>
        <w:rPr>
          <w:iCs/>
          <w:color w:val="000000"/>
          <w:lang w:val="en-NZ"/>
        </w:rPr>
        <w:t xml:space="preserve">Some submitters were comfortable with the proposed asset threshold if non-income earning assets are excluded. </w:t>
      </w:r>
      <w:r w:rsidRPr="00D007E7">
        <w:t>One submitter</w:t>
      </w:r>
      <w:r w:rsidR="000C3089">
        <w:t>’s</w:t>
      </w:r>
      <w:r w:rsidRPr="00D007E7">
        <w:t xml:space="preserve"> first preference </w:t>
      </w:r>
      <w:r w:rsidR="000C3089">
        <w:t xml:space="preserve">was </w:t>
      </w:r>
      <w:r w:rsidRPr="00D007E7">
        <w:t>to remove the asset test completely in order to be consistent with the equivalent approach</w:t>
      </w:r>
      <w:r>
        <w:t xml:space="preserve"> for companies. They noted </w:t>
      </w:r>
      <w:r w:rsidRPr="00D007E7">
        <w:t>that there is no wealth tax in New Zealand</w:t>
      </w:r>
      <w:r>
        <w:t>,</w:t>
      </w:r>
      <w:r w:rsidRPr="00D007E7">
        <w:t xml:space="preserve"> so it is not valid for the Commissioner to collect data about wealth accumulation</w:t>
      </w:r>
      <w:r w:rsidRPr="00145154">
        <w:rPr>
          <w:i/>
          <w:iCs/>
        </w:rPr>
        <w:t>.</w:t>
      </w:r>
      <w:r>
        <w:rPr>
          <w:i/>
          <w:iCs/>
        </w:rPr>
        <w:t xml:space="preserve"> </w:t>
      </w:r>
      <w:r>
        <w:t xml:space="preserve">One of the Government’s objectives for the disclosure rules is to gain an understanding of the use of structures and entities by trustees. Officials consider that understanding how assets are used by trustees is essential to achieving the Government’s </w:t>
      </w:r>
      <w:r w:rsidR="00763334">
        <w:t xml:space="preserve">disclosure rules </w:t>
      </w:r>
      <w:r>
        <w:t xml:space="preserve">objectives. </w:t>
      </w:r>
    </w:p>
    <w:p w14:paraId="2A1E75A3" w14:textId="59BC4185" w:rsidR="007A2352" w:rsidRPr="00CA514E" w:rsidRDefault="007A2352" w:rsidP="005F312F">
      <w:pPr>
        <w:pStyle w:val="ListParagraph"/>
        <w:numPr>
          <w:ilvl w:val="0"/>
          <w:numId w:val="9"/>
        </w:numPr>
        <w:spacing w:before="180"/>
        <w:ind w:left="567" w:hanging="567"/>
        <w:contextualSpacing w:val="0"/>
        <w:jc w:val="both"/>
        <w:rPr>
          <w:lang w:val="en-NZ"/>
        </w:rPr>
      </w:pPr>
      <w:r>
        <w:rPr>
          <w:lang w:val="en-NZ"/>
        </w:rPr>
        <w:t xml:space="preserve">As noted above, both options two and three for the level of simplified reporting include relief from providing comparable figures for the previous year. One submitter considered that this would mean that the issue of </w:t>
      </w:r>
      <w:r w:rsidR="00EA5156">
        <w:rPr>
          <w:lang w:val="en-NZ"/>
        </w:rPr>
        <w:t xml:space="preserve">trusts </w:t>
      </w:r>
      <w:r>
        <w:rPr>
          <w:lang w:val="en-NZ"/>
        </w:rPr>
        <w:t>flipping in and out of the disclosure rules is not significant.</w:t>
      </w:r>
    </w:p>
    <w:p w14:paraId="2C6324A8" w14:textId="77777777" w:rsidR="00054DAC" w:rsidRDefault="00054DAC" w:rsidP="00733C65">
      <w:pPr>
        <w:pStyle w:val="Heading4"/>
        <w:rPr>
          <w:b w:val="0"/>
          <w:bCs w:val="0"/>
          <w:i/>
          <w:iCs/>
          <w:color w:val="auto"/>
          <w:u w:val="single"/>
          <w:lang w:val="en-NZ"/>
        </w:rPr>
      </w:pPr>
      <w:r>
        <w:rPr>
          <w:b w:val="0"/>
          <w:bCs w:val="0"/>
          <w:i/>
          <w:iCs/>
          <w:color w:val="auto"/>
          <w:u w:val="single"/>
          <w:lang w:val="en-NZ"/>
        </w:rPr>
        <w:br w:type="page"/>
      </w:r>
    </w:p>
    <w:p w14:paraId="60ADE78B" w14:textId="655942C3" w:rsidR="00733C65" w:rsidRPr="00996C21" w:rsidRDefault="00733C65" w:rsidP="005F312F">
      <w:pPr>
        <w:pStyle w:val="Heading4"/>
        <w:spacing w:before="180" w:after="180"/>
        <w:rPr>
          <w:color w:val="auto"/>
          <w:lang w:val="en-NZ"/>
        </w:rPr>
      </w:pPr>
      <w:r w:rsidRPr="00996C21">
        <w:rPr>
          <w:b w:val="0"/>
          <w:bCs w:val="0"/>
          <w:i/>
          <w:iCs/>
          <w:color w:val="auto"/>
          <w:u w:val="single"/>
          <w:lang w:val="en-NZ"/>
        </w:rPr>
        <w:t>Option Two</w:t>
      </w:r>
      <w:r w:rsidRPr="00996C21">
        <w:rPr>
          <w:color w:val="auto"/>
          <w:lang w:val="en-NZ"/>
        </w:rPr>
        <w:t xml:space="preserve"> – </w:t>
      </w:r>
      <w:r w:rsidRPr="00996C21">
        <w:rPr>
          <w:b w:val="0"/>
          <w:bCs w:val="0"/>
          <w:color w:val="auto"/>
          <w:lang w:val="en-NZ"/>
        </w:rPr>
        <w:t>Broad definition of a “simplified reporting trust”</w:t>
      </w:r>
    </w:p>
    <w:p w14:paraId="10A54F3D" w14:textId="585F7AC5" w:rsidR="0054783E" w:rsidRDefault="0054783E" w:rsidP="005F312F">
      <w:pPr>
        <w:pStyle w:val="ListParagraph"/>
        <w:numPr>
          <w:ilvl w:val="0"/>
          <w:numId w:val="9"/>
        </w:numPr>
        <w:spacing w:before="180"/>
        <w:ind w:left="567" w:hanging="567"/>
        <w:contextualSpacing w:val="0"/>
        <w:jc w:val="both"/>
        <w:rPr>
          <w:lang w:val="en-NZ"/>
        </w:rPr>
      </w:pPr>
      <w:r>
        <w:rPr>
          <w:lang w:val="en-NZ"/>
        </w:rPr>
        <w:t xml:space="preserve">Based on feedback received in public consultation regarding the proposed </w:t>
      </w:r>
      <w:r w:rsidR="005F0EFF">
        <w:rPr>
          <w:lang w:val="en-NZ"/>
        </w:rPr>
        <w:t>thresholds for qualifying for p</w:t>
      </w:r>
      <w:r w:rsidR="00C76BD5">
        <w:rPr>
          <w:lang w:val="en-NZ"/>
        </w:rPr>
        <w:t>artial relief</w:t>
      </w:r>
      <w:r w:rsidR="00151D89">
        <w:rPr>
          <w:lang w:val="en-NZ"/>
        </w:rPr>
        <w:t>,</w:t>
      </w:r>
      <w:r>
        <w:rPr>
          <w:lang w:val="en-NZ"/>
        </w:rPr>
        <w:t xml:space="preserve"> officials undertook further analysis and developed an expanded definition. The broader definition of a “simplified reporting trust” </w:t>
      </w:r>
      <w:r w:rsidR="003C785A">
        <w:rPr>
          <w:lang w:val="en-NZ"/>
        </w:rPr>
        <w:t>is a trust that</w:t>
      </w:r>
      <w:r w:rsidR="00B7293D">
        <w:rPr>
          <w:lang w:val="en-NZ"/>
        </w:rPr>
        <w:t>,</w:t>
      </w:r>
      <w:r w:rsidR="003C785A">
        <w:rPr>
          <w:lang w:val="en-NZ"/>
        </w:rPr>
        <w:t xml:space="preserve"> for an income year</w:t>
      </w:r>
      <w:r>
        <w:rPr>
          <w:lang w:val="en-NZ"/>
        </w:rPr>
        <w:t>:</w:t>
      </w:r>
    </w:p>
    <w:p w14:paraId="30DD82C5" w14:textId="1D14860A" w:rsidR="0054783E" w:rsidRPr="00C539A4" w:rsidRDefault="0054783E" w:rsidP="005F312F">
      <w:pPr>
        <w:pStyle w:val="ListParagraph"/>
        <w:numPr>
          <w:ilvl w:val="1"/>
          <w:numId w:val="9"/>
        </w:numPr>
        <w:spacing w:before="180"/>
        <w:ind w:left="1134" w:hanging="425"/>
        <w:contextualSpacing w:val="0"/>
        <w:jc w:val="both"/>
        <w:rPr>
          <w:lang w:val="en-NZ"/>
        </w:rPr>
      </w:pPr>
      <w:r>
        <w:rPr>
          <w:lang w:val="en-NZ"/>
        </w:rPr>
        <w:t xml:space="preserve">the trustee derives </w:t>
      </w:r>
      <w:r w:rsidRPr="00C539A4">
        <w:rPr>
          <w:lang w:val="en-NZ"/>
        </w:rPr>
        <w:t>less than $100,000 assessable income (before allocation to beneficiaries) and</w:t>
      </w:r>
      <w:r>
        <w:rPr>
          <w:lang w:val="en-NZ"/>
        </w:rPr>
        <w:t xml:space="preserve"> incurs </w:t>
      </w:r>
      <w:r w:rsidRPr="00C539A4">
        <w:rPr>
          <w:lang w:val="en-NZ"/>
        </w:rPr>
        <w:t>less than $100,000 deductible expenditure; and</w:t>
      </w:r>
    </w:p>
    <w:p w14:paraId="3CEE8E77" w14:textId="77777777" w:rsidR="0054783E" w:rsidRDefault="0054783E" w:rsidP="005F312F">
      <w:pPr>
        <w:pStyle w:val="ListParagraph"/>
        <w:numPr>
          <w:ilvl w:val="1"/>
          <w:numId w:val="9"/>
        </w:numPr>
        <w:spacing w:before="180"/>
        <w:ind w:left="1134" w:hanging="425"/>
        <w:contextualSpacing w:val="0"/>
        <w:jc w:val="both"/>
        <w:rPr>
          <w:lang w:val="en-NZ"/>
        </w:rPr>
      </w:pPr>
      <w:r>
        <w:rPr>
          <w:lang w:val="en-NZ"/>
        </w:rPr>
        <w:t>the trust has total assets (whether or not held on revenue account) valued at less than $5,000,000.</w:t>
      </w:r>
    </w:p>
    <w:p w14:paraId="1BE03A8D" w14:textId="288D7A9B" w:rsidR="00DE5C61" w:rsidRPr="00EE6571" w:rsidRDefault="00DE5C61" w:rsidP="005F312F">
      <w:pPr>
        <w:pStyle w:val="ListParagraph"/>
        <w:numPr>
          <w:ilvl w:val="0"/>
          <w:numId w:val="9"/>
        </w:numPr>
        <w:spacing w:before="180"/>
        <w:ind w:left="567" w:hanging="567"/>
        <w:contextualSpacing w:val="0"/>
        <w:jc w:val="both"/>
        <w:rPr>
          <w:lang w:val="en-NZ"/>
        </w:rPr>
      </w:pPr>
      <w:r>
        <w:t xml:space="preserve">Submitters raised concerns that trusts may move in and out of the simplified reporting requirements each year. A large one-off transaction, such as the sale of property under the residential property </w:t>
      </w:r>
      <w:proofErr w:type="spellStart"/>
      <w:r>
        <w:t>brightline</w:t>
      </w:r>
      <w:proofErr w:type="spellEnd"/>
      <w:r>
        <w:t xml:space="preserve"> rules, could result in a trust having to comply with the full minimum standards for that year. Submitters considered that applying the thresholds to </w:t>
      </w:r>
      <w:r w:rsidRPr="00013927">
        <w:t xml:space="preserve">income, expenditure and assets held in </w:t>
      </w:r>
      <w:r>
        <w:t xml:space="preserve">the previous one or two years would help mitigate the risks of flipping in and out of the simplified reporting requirements. </w:t>
      </w:r>
    </w:p>
    <w:p w14:paraId="2509973A" w14:textId="0FBCA5DA" w:rsidR="000A6AC8" w:rsidRPr="008A6454" w:rsidRDefault="000A6AC8" w:rsidP="005F312F">
      <w:pPr>
        <w:pStyle w:val="ListParagraph"/>
        <w:numPr>
          <w:ilvl w:val="0"/>
          <w:numId w:val="9"/>
        </w:numPr>
        <w:spacing w:before="180"/>
        <w:ind w:left="567" w:hanging="567"/>
        <w:contextualSpacing w:val="0"/>
        <w:jc w:val="both"/>
        <w:rPr>
          <w:lang w:val="en-NZ"/>
        </w:rPr>
      </w:pPr>
      <w:r>
        <w:t>To alleviate the problem of trusts exceeding the thresholds due to large one-off transactions, officials propose</w:t>
      </w:r>
      <w:r w:rsidR="00D14CD8">
        <w:t>d</w:t>
      </w:r>
      <w:r>
        <w:t xml:space="preserve"> excluding </w:t>
      </w:r>
      <w:r w:rsidRPr="00D7492A">
        <w:rPr>
          <w:lang w:val="en-NZ"/>
        </w:rPr>
        <w:t xml:space="preserve">income assessed under the </w:t>
      </w:r>
      <w:proofErr w:type="spellStart"/>
      <w:r w:rsidRPr="00D7492A">
        <w:rPr>
          <w:lang w:val="en-NZ"/>
        </w:rPr>
        <w:t>brightline</w:t>
      </w:r>
      <w:proofErr w:type="spellEnd"/>
      <w:r w:rsidRPr="00D7492A">
        <w:rPr>
          <w:lang w:val="en-NZ"/>
        </w:rPr>
        <w:t xml:space="preserve"> rules </w:t>
      </w:r>
      <w:r>
        <w:rPr>
          <w:lang w:val="en-NZ"/>
        </w:rPr>
        <w:t xml:space="preserve">and </w:t>
      </w:r>
      <w:r w:rsidRPr="00D7492A">
        <w:rPr>
          <w:lang w:val="en-NZ"/>
        </w:rPr>
        <w:t>related deductible expenditure</w:t>
      </w:r>
      <w:r>
        <w:rPr>
          <w:lang w:val="en-NZ"/>
        </w:rPr>
        <w:t xml:space="preserve"> from the asset and expenditure thresholds.</w:t>
      </w:r>
      <w:r w:rsidRPr="006A086A">
        <w:rPr>
          <w:lang w:val="en-NZ"/>
        </w:rPr>
        <w:t xml:space="preserve"> </w:t>
      </w:r>
      <w:r>
        <w:rPr>
          <w:lang w:val="en-NZ"/>
        </w:rPr>
        <w:t>This specific exclusion will help reduce the likelihood of trusts falling out of the simplified reporting trust definition due to large one-off fluctuations in assessable income or deductible expenditure.</w:t>
      </w:r>
      <w:r w:rsidR="004110EF">
        <w:rPr>
          <w:lang w:val="en-NZ"/>
        </w:rPr>
        <w:t xml:space="preserve"> Officials consider that the threshold test should be based on metrics relating to the relevant income year.</w:t>
      </w:r>
    </w:p>
    <w:p w14:paraId="7BFB3FC4" w14:textId="77777777" w:rsidR="000A6AC8" w:rsidRDefault="000A6AC8" w:rsidP="005F312F">
      <w:pPr>
        <w:pStyle w:val="ListParagraph"/>
        <w:numPr>
          <w:ilvl w:val="0"/>
          <w:numId w:val="9"/>
        </w:numPr>
        <w:spacing w:before="180"/>
        <w:ind w:left="567" w:hanging="567"/>
        <w:contextualSpacing w:val="0"/>
        <w:jc w:val="both"/>
        <w:rPr>
          <w:lang w:val="en-NZ"/>
        </w:rPr>
      </w:pPr>
      <w:r>
        <w:rPr>
          <w:lang w:val="en-NZ"/>
        </w:rPr>
        <w:t>IR6 and IR10 data indicates that this option would result in approximately 75% (135,000 out of 180,000) trusts subject to the disclosure rules qualifying as a simplified reporting trust.</w:t>
      </w:r>
    </w:p>
    <w:p w14:paraId="70CA4F24" w14:textId="77777777" w:rsidR="000A6AC8" w:rsidRDefault="000A6AC8" w:rsidP="005F312F">
      <w:pPr>
        <w:pStyle w:val="ListParagraph"/>
        <w:numPr>
          <w:ilvl w:val="0"/>
          <w:numId w:val="9"/>
        </w:numPr>
        <w:spacing w:before="180"/>
        <w:ind w:left="567" w:hanging="567"/>
        <w:contextualSpacing w:val="0"/>
        <w:jc w:val="both"/>
        <w:rPr>
          <w:lang w:val="en-NZ"/>
        </w:rPr>
      </w:pPr>
      <w:r>
        <w:rPr>
          <w:lang w:val="en-NZ"/>
        </w:rPr>
        <w:t xml:space="preserve">Officials undertook further engagement with submitters to test whether the expanded simplified reporting trust definition is reasonable. Submitters considered that the expanded thresholds are sensible and help ensure that only “meaningful trusts” need to meet all of the OIC requirements. </w:t>
      </w:r>
    </w:p>
    <w:p w14:paraId="6F1E82A2" w14:textId="770A47D1" w:rsidR="003C169D" w:rsidRDefault="000A6AC8" w:rsidP="005F312F">
      <w:pPr>
        <w:pStyle w:val="ListParagraph"/>
        <w:numPr>
          <w:ilvl w:val="0"/>
          <w:numId w:val="9"/>
        </w:numPr>
        <w:spacing w:before="180"/>
        <w:ind w:left="567" w:hanging="567"/>
        <w:contextualSpacing w:val="0"/>
        <w:jc w:val="both"/>
        <w:rPr>
          <w:lang w:val="en-NZ"/>
        </w:rPr>
      </w:pPr>
      <w:r w:rsidRPr="00341DD4">
        <w:rPr>
          <w:lang w:val="en-NZ"/>
        </w:rPr>
        <w:t xml:space="preserve">There is some risk that trustees may sell assets to fall within the simplified reporting </w:t>
      </w:r>
      <w:r w:rsidRPr="00CA514E">
        <w:rPr>
          <w:lang w:val="en-NZ"/>
        </w:rPr>
        <w:t>requirements. Officials consider this risk to be low, as sell</w:t>
      </w:r>
      <w:r w:rsidR="00AF0B5E">
        <w:rPr>
          <w:lang w:val="en-NZ"/>
        </w:rPr>
        <w:t>ing</w:t>
      </w:r>
      <w:r w:rsidRPr="00CA514E">
        <w:rPr>
          <w:lang w:val="en-NZ"/>
        </w:rPr>
        <w:t xml:space="preserve"> a significant amount of assets </w:t>
      </w:r>
      <w:r w:rsidR="00AF0B5E">
        <w:rPr>
          <w:lang w:val="en-NZ"/>
        </w:rPr>
        <w:t>may</w:t>
      </w:r>
      <w:r w:rsidRPr="00CA514E">
        <w:rPr>
          <w:lang w:val="en-NZ"/>
        </w:rPr>
        <w:t xml:space="preserve"> trigger the assessable income threshold. Officials will be evaluating compliance with the trust disclosure rules in real-time and will undertake a post-implementation review in 2023. </w:t>
      </w:r>
      <w:r>
        <w:rPr>
          <w:lang w:val="en-NZ"/>
        </w:rPr>
        <w:t>O</w:t>
      </w:r>
      <w:r w:rsidRPr="00341DD4">
        <w:rPr>
          <w:lang w:val="en-NZ"/>
        </w:rPr>
        <w:t xml:space="preserve">fficials will consider </w:t>
      </w:r>
      <w:r>
        <w:rPr>
          <w:lang w:val="en-NZ"/>
        </w:rPr>
        <w:t xml:space="preserve">whether any remedial amendments are required to support the disclosure rules and whether changes can be made to reduce </w:t>
      </w:r>
      <w:r w:rsidRPr="00952909">
        <w:rPr>
          <w:lang w:val="en-NZ"/>
        </w:rPr>
        <w:t xml:space="preserve">compliance costs </w:t>
      </w:r>
      <w:r>
        <w:rPr>
          <w:lang w:val="en-NZ"/>
        </w:rPr>
        <w:t>for</w:t>
      </w:r>
      <w:r w:rsidRPr="00952909">
        <w:rPr>
          <w:lang w:val="en-NZ"/>
        </w:rPr>
        <w:t xml:space="preserve"> trustees.</w:t>
      </w:r>
    </w:p>
    <w:p w14:paraId="7EECB623" w14:textId="5655270B" w:rsidR="007B07C9" w:rsidRDefault="007B07C9">
      <w:pPr>
        <w:spacing w:after="0" w:line="240" w:lineRule="auto"/>
        <w:rPr>
          <w:rFonts w:ascii="Arial Bold" w:hAnsi="Arial Bold"/>
          <w:color w:val="0082AB"/>
          <w:spacing w:val="20"/>
          <w:w w:val="90"/>
          <w:sz w:val="24"/>
          <w:szCs w:val="22"/>
          <w:lang w:val="en-NZ"/>
        </w:rPr>
      </w:pPr>
      <w:r>
        <w:rPr>
          <w:b/>
        </w:rPr>
        <w:br w:type="page"/>
      </w:r>
    </w:p>
    <w:p w14:paraId="467C2248" w14:textId="668E3AAB" w:rsidR="00533788" w:rsidRDefault="00533788" w:rsidP="005F312F">
      <w:pPr>
        <w:pStyle w:val="Heading3"/>
        <w:spacing w:before="240"/>
      </w:pPr>
      <w:r>
        <w:t>How do the options compare to the status quo/counterfactual?</w:t>
      </w:r>
    </w:p>
    <w:p w14:paraId="7D4E2F20" w14:textId="365DC728" w:rsidR="006A086A" w:rsidRDefault="006A086A" w:rsidP="005F312F">
      <w:pPr>
        <w:pStyle w:val="ListParagraph"/>
        <w:numPr>
          <w:ilvl w:val="0"/>
          <w:numId w:val="9"/>
        </w:numPr>
        <w:spacing w:before="180"/>
        <w:ind w:left="567" w:hanging="567"/>
        <w:contextualSpacing w:val="0"/>
        <w:jc w:val="both"/>
        <w:rPr>
          <w:lang w:val="en-NZ"/>
        </w:rPr>
      </w:pPr>
      <w:r>
        <w:rPr>
          <w:lang w:val="en-NZ"/>
        </w:rPr>
        <w:t>The following pages analyse the above options against:</w:t>
      </w:r>
    </w:p>
    <w:p w14:paraId="564F4040" w14:textId="6C4D84B9" w:rsidR="006A086A" w:rsidRPr="006A086A" w:rsidRDefault="006A086A" w:rsidP="005F312F">
      <w:pPr>
        <w:pStyle w:val="ListParagraph"/>
        <w:numPr>
          <w:ilvl w:val="1"/>
          <w:numId w:val="9"/>
        </w:numPr>
        <w:spacing w:before="180"/>
        <w:ind w:left="1134" w:hanging="425"/>
        <w:contextualSpacing w:val="0"/>
        <w:jc w:val="both"/>
        <w:rPr>
          <w:lang w:val="en-NZ"/>
        </w:rPr>
      </w:pPr>
      <w:r w:rsidRPr="008628C2">
        <w:rPr>
          <w:lang w:val="en-NZ"/>
        </w:rPr>
        <w:t>Minimising compliance costs</w:t>
      </w:r>
    </w:p>
    <w:p w14:paraId="3960B942" w14:textId="2F65FC6D" w:rsidR="006A086A" w:rsidRPr="006A086A" w:rsidRDefault="006A086A" w:rsidP="005F312F">
      <w:pPr>
        <w:pStyle w:val="ListParagraph"/>
        <w:numPr>
          <w:ilvl w:val="1"/>
          <w:numId w:val="9"/>
        </w:numPr>
        <w:spacing w:before="180"/>
        <w:ind w:left="1134" w:hanging="425"/>
        <w:contextualSpacing w:val="0"/>
        <w:jc w:val="both"/>
        <w:rPr>
          <w:lang w:val="en-NZ"/>
        </w:rPr>
      </w:pPr>
      <w:r w:rsidRPr="008628C2">
        <w:rPr>
          <w:lang w:val="en-NZ"/>
        </w:rPr>
        <w:t>Achieving the Government’s objectives</w:t>
      </w:r>
    </w:p>
    <w:p w14:paraId="4EAFE2EE" w14:textId="4D57AED8" w:rsidR="006A086A" w:rsidRPr="006A086A" w:rsidRDefault="00591EF2" w:rsidP="005F312F">
      <w:pPr>
        <w:pStyle w:val="ListParagraph"/>
        <w:numPr>
          <w:ilvl w:val="1"/>
          <w:numId w:val="9"/>
        </w:numPr>
        <w:spacing w:before="180"/>
        <w:ind w:left="1134" w:hanging="425"/>
        <w:contextualSpacing w:val="0"/>
        <w:jc w:val="both"/>
        <w:rPr>
          <w:lang w:val="en-NZ"/>
        </w:rPr>
      </w:pPr>
      <w:r w:rsidRPr="008628C2">
        <w:rPr>
          <w:lang w:val="en-NZ"/>
        </w:rPr>
        <w:t>Ensur</w:t>
      </w:r>
      <w:r>
        <w:rPr>
          <w:lang w:val="en-NZ"/>
        </w:rPr>
        <w:t>ing</w:t>
      </w:r>
      <w:r w:rsidRPr="008628C2">
        <w:rPr>
          <w:lang w:val="en-NZ"/>
        </w:rPr>
        <w:t xml:space="preserve"> </w:t>
      </w:r>
      <w:r w:rsidR="006A086A" w:rsidRPr="008628C2">
        <w:rPr>
          <w:lang w:val="en-NZ"/>
        </w:rPr>
        <w:t>consistency with existing frameworks</w:t>
      </w:r>
    </w:p>
    <w:p w14:paraId="4CA1A904" w14:textId="67150C55" w:rsidR="006A086A" w:rsidRPr="006A086A" w:rsidRDefault="006A086A" w:rsidP="005F312F">
      <w:pPr>
        <w:pStyle w:val="ListParagraph"/>
        <w:numPr>
          <w:ilvl w:val="1"/>
          <w:numId w:val="9"/>
        </w:numPr>
        <w:spacing w:before="180"/>
        <w:ind w:left="1134" w:hanging="425"/>
        <w:contextualSpacing w:val="0"/>
        <w:jc w:val="both"/>
        <w:rPr>
          <w:lang w:val="en-NZ"/>
        </w:rPr>
      </w:pPr>
      <w:r w:rsidRPr="008628C2">
        <w:rPr>
          <w:lang w:val="en-NZ"/>
        </w:rPr>
        <w:t>Proportionality</w:t>
      </w:r>
    </w:p>
    <w:p w14:paraId="202A26D6" w14:textId="3BC96ACD" w:rsidR="00533788" w:rsidRDefault="00533788" w:rsidP="00533788">
      <w:pPr>
        <w:rPr>
          <w:lang w:val="en-NZ"/>
        </w:rPr>
      </w:pPr>
      <w:r>
        <w:rPr>
          <w:noProof/>
        </w:rPr>
        <mc:AlternateContent>
          <mc:Choice Requires="wps">
            <w:drawing>
              <wp:anchor distT="45720" distB="45720" distL="114300" distR="114300" simplePos="0" relativeHeight="251659264" behindDoc="0" locked="0" layoutInCell="1" allowOverlap="1" wp14:anchorId="32BBAECB" wp14:editId="42C98B34">
                <wp:simplePos x="0" y="0"/>
                <wp:positionH relativeFrom="column">
                  <wp:posOffset>0</wp:posOffset>
                </wp:positionH>
                <wp:positionV relativeFrom="paragraph">
                  <wp:posOffset>174575</wp:posOffset>
                </wp:positionV>
                <wp:extent cx="4264025" cy="1493520"/>
                <wp:effectExtent l="0" t="0" r="2222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1493520"/>
                        </a:xfrm>
                        <a:prstGeom prst="rect">
                          <a:avLst/>
                        </a:prstGeom>
                        <a:noFill/>
                        <a:ln w="9525">
                          <a:solidFill>
                            <a:srgbClr val="000000"/>
                          </a:solidFill>
                          <a:miter lim="800000"/>
                          <a:headEnd/>
                          <a:tailEnd/>
                        </a:ln>
                        <a:effectLst/>
                      </wps:spPr>
                      <wps:txbx>
                        <w:txbxContent>
                          <w:p w14:paraId="01C22B2E" w14:textId="77777777" w:rsidR="00533788" w:rsidRDefault="00533788" w:rsidP="00533788">
                            <w:pPr>
                              <w:spacing w:after="120" w:line="276" w:lineRule="auto"/>
                              <w:rPr>
                                <w:rFonts w:cs="Arial"/>
                                <w:b/>
                                <w:sz w:val="20"/>
                              </w:rPr>
                            </w:pPr>
                            <w:r>
                              <w:rPr>
                                <w:rFonts w:cs="Arial"/>
                                <w:b/>
                                <w:sz w:val="20"/>
                              </w:rPr>
                              <w:t>Key</w:t>
                            </w:r>
                          </w:p>
                          <w:p w14:paraId="10FF3BB0" w14:textId="77777777" w:rsidR="00533788" w:rsidRDefault="00533788" w:rsidP="00533788">
                            <w:pPr>
                              <w:spacing w:after="120" w:line="276" w:lineRule="auto"/>
                              <w:ind w:left="709" w:hanging="709"/>
                              <w:rPr>
                                <w:rFonts w:cs="Arial"/>
                                <w:sz w:val="20"/>
                              </w:rPr>
                            </w:pPr>
                            <w:r>
                              <w:rPr>
                                <w:rFonts w:cs="Arial"/>
                                <w:b/>
                                <w:color w:val="00B050"/>
                                <w:sz w:val="20"/>
                              </w:rPr>
                              <w:t>++</w:t>
                            </w:r>
                            <w:r>
                              <w:rPr>
                                <w:rFonts w:cs="Arial"/>
                                <w:sz w:val="20"/>
                              </w:rPr>
                              <w:tab/>
                              <w:t>much better than doing nothing/the status quo/counterfactual</w:t>
                            </w:r>
                          </w:p>
                          <w:p w14:paraId="2AA1765B" w14:textId="77777777" w:rsidR="00533788" w:rsidRDefault="00533788" w:rsidP="00533788">
                            <w:pPr>
                              <w:spacing w:after="120" w:line="276" w:lineRule="auto"/>
                              <w:ind w:left="709" w:hanging="709"/>
                              <w:rPr>
                                <w:rFonts w:cs="Arial"/>
                                <w:sz w:val="20"/>
                              </w:rPr>
                            </w:pPr>
                            <w:r>
                              <w:rPr>
                                <w:rFonts w:cs="Arial"/>
                                <w:b/>
                                <w:color w:val="00B050"/>
                                <w:sz w:val="20"/>
                              </w:rPr>
                              <w:t>+</w:t>
                            </w:r>
                            <w:r>
                              <w:rPr>
                                <w:rFonts w:cs="Arial"/>
                                <w:color w:val="00B050"/>
                                <w:sz w:val="20"/>
                              </w:rPr>
                              <w:tab/>
                            </w:r>
                            <w:r>
                              <w:rPr>
                                <w:rFonts w:cs="Arial"/>
                                <w:sz w:val="20"/>
                              </w:rPr>
                              <w:t>better than doing nothing/the status quo/counterfactual</w:t>
                            </w:r>
                          </w:p>
                          <w:p w14:paraId="0F463A02" w14:textId="77777777" w:rsidR="00533788" w:rsidRDefault="00533788" w:rsidP="00533788">
                            <w:pPr>
                              <w:spacing w:after="120" w:line="276" w:lineRule="auto"/>
                              <w:ind w:left="709" w:hanging="709"/>
                              <w:rPr>
                                <w:rFonts w:cs="Arial"/>
                                <w:sz w:val="20"/>
                              </w:rPr>
                            </w:pPr>
                            <w:r>
                              <w:rPr>
                                <w:rFonts w:cs="Arial"/>
                                <w:bCs/>
                                <w:sz w:val="20"/>
                              </w:rPr>
                              <w:t>0</w:t>
                            </w:r>
                            <w:r>
                              <w:rPr>
                                <w:rFonts w:cs="Arial"/>
                                <w:sz w:val="20"/>
                              </w:rPr>
                              <w:tab/>
                              <w:t>about the same as doing nothing/the status quo/counterfactual</w:t>
                            </w:r>
                          </w:p>
                          <w:p w14:paraId="142C1401" w14:textId="77777777" w:rsidR="00533788" w:rsidRDefault="00533788" w:rsidP="00533788">
                            <w:pPr>
                              <w:spacing w:after="120" w:line="276" w:lineRule="auto"/>
                              <w:ind w:left="709" w:hanging="709"/>
                              <w:rPr>
                                <w:rFonts w:cs="Arial"/>
                                <w:sz w:val="20"/>
                              </w:rPr>
                            </w:pPr>
                            <w:r>
                              <w:rPr>
                                <w:rFonts w:cs="Arial"/>
                                <w:b/>
                                <w:color w:val="FF0000"/>
                                <w:sz w:val="20"/>
                              </w:rPr>
                              <w:t>-</w:t>
                            </w:r>
                            <w:r>
                              <w:rPr>
                                <w:rFonts w:cs="Arial"/>
                                <w:sz w:val="20"/>
                              </w:rPr>
                              <w:tab/>
                              <w:t>worse than doing nothing/the status quo/counterfactual</w:t>
                            </w:r>
                          </w:p>
                          <w:p w14:paraId="7A082375" w14:textId="77777777" w:rsidR="00533788" w:rsidRDefault="00533788" w:rsidP="00533788">
                            <w:pPr>
                              <w:spacing w:after="120" w:line="276" w:lineRule="auto"/>
                              <w:ind w:left="709" w:hanging="709"/>
                              <w:rPr>
                                <w:rFonts w:cs="Arial"/>
                                <w:sz w:val="20"/>
                              </w:rPr>
                            </w:pPr>
                            <w:r>
                              <w:rPr>
                                <w:rFonts w:cs="Arial"/>
                                <w:b/>
                                <w:color w:val="FF0000"/>
                                <w:sz w:val="20"/>
                              </w:rPr>
                              <w:t>- -</w:t>
                            </w:r>
                            <w:r>
                              <w:rPr>
                                <w:rFonts w:cs="Arial"/>
                                <w:sz w:val="20"/>
                              </w:rPr>
                              <w:tab/>
                              <w:t>much worse than doing nothing/the status quo/counterfactual</w:t>
                            </w:r>
                          </w:p>
                          <w:p w14:paraId="25452914" w14:textId="77777777" w:rsidR="00533788" w:rsidRDefault="00533788" w:rsidP="00533788">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BAECB" id="_x0000_t202" coordsize="21600,21600" o:spt="202" path="m,l,21600r21600,l21600,xe">
                <v:stroke joinstyle="miter"/>
                <v:path gradientshapeok="t" o:connecttype="rect"/>
              </v:shapetype>
              <v:shape id="Text Box 2" o:spid="_x0000_s1026" type="#_x0000_t202" style="position:absolute;margin-left:0;margin-top:13.75pt;width:335.75pt;height:11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" filled="f">
                <v:textbox>
                  <w:txbxContent>
                    <w:p w14:paraId="01C22B2E" w14:textId="77777777" w:rsidR="00533788" w:rsidRDefault="00533788" w:rsidP="00533788">
                      <w:pPr>
                        <w:spacing w:after="120" w:line="276" w:lineRule="auto"/>
                        <w:rPr>
                          <w:rFonts w:cs="Arial"/>
                          <w:b/>
                          <w:sz w:val="20"/>
                        </w:rPr>
                      </w:pPr>
                      <w:r>
                        <w:rPr>
                          <w:rFonts w:cs="Arial"/>
                          <w:b/>
                          <w:sz w:val="20"/>
                        </w:rPr>
                        <w:t>Key</w:t>
                      </w:r>
                    </w:p>
                    <w:p w14:paraId="10FF3BB0" w14:textId="77777777" w:rsidR="00533788" w:rsidRDefault="00533788" w:rsidP="00533788">
                      <w:pPr>
                        <w:spacing w:after="120" w:line="276" w:lineRule="auto"/>
                        <w:ind w:left="709" w:hanging="709"/>
                        <w:rPr>
                          <w:rFonts w:cs="Arial"/>
                          <w:sz w:val="20"/>
                        </w:rPr>
                      </w:pPr>
                      <w:r>
                        <w:rPr>
                          <w:rFonts w:cs="Arial"/>
                          <w:b/>
                          <w:color w:val="00B050"/>
                          <w:sz w:val="20"/>
                        </w:rPr>
                        <w:t>++</w:t>
                      </w:r>
                      <w:r>
                        <w:rPr>
                          <w:rFonts w:cs="Arial"/>
                          <w:sz w:val="20"/>
                        </w:rPr>
                        <w:tab/>
                        <w:t>much better than doing nothing/the status quo/counterfactual</w:t>
                      </w:r>
                    </w:p>
                    <w:p w14:paraId="2AA1765B" w14:textId="77777777" w:rsidR="00533788" w:rsidRDefault="00533788" w:rsidP="00533788">
                      <w:pPr>
                        <w:spacing w:after="120" w:line="276" w:lineRule="auto"/>
                        <w:ind w:left="709" w:hanging="709"/>
                        <w:rPr>
                          <w:rFonts w:cs="Arial"/>
                          <w:sz w:val="20"/>
                        </w:rPr>
                      </w:pPr>
                      <w:r>
                        <w:rPr>
                          <w:rFonts w:cs="Arial"/>
                          <w:b/>
                          <w:color w:val="00B050"/>
                          <w:sz w:val="20"/>
                        </w:rPr>
                        <w:t>+</w:t>
                      </w:r>
                      <w:r>
                        <w:rPr>
                          <w:rFonts w:cs="Arial"/>
                          <w:color w:val="00B050"/>
                          <w:sz w:val="20"/>
                        </w:rPr>
                        <w:tab/>
                      </w:r>
                      <w:r>
                        <w:rPr>
                          <w:rFonts w:cs="Arial"/>
                          <w:sz w:val="20"/>
                        </w:rPr>
                        <w:t>better than doing nothing/the status quo/counterfactual</w:t>
                      </w:r>
                    </w:p>
                    <w:p w14:paraId="0F463A02" w14:textId="77777777" w:rsidR="00533788" w:rsidRDefault="00533788" w:rsidP="00533788">
                      <w:pPr>
                        <w:spacing w:after="120" w:line="276" w:lineRule="auto"/>
                        <w:ind w:left="709" w:hanging="709"/>
                        <w:rPr>
                          <w:rFonts w:cs="Arial"/>
                          <w:sz w:val="20"/>
                        </w:rPr>
                      </w:pPr>
                      <w:r>
                        <w:rPr>
                          <w:rFonts w:cs="Arial"/>
                          <w:bCs/>
                          <w:sz w:val="20"/>
                        </w:rPr>
                        <w:t>0</w:t>
                      </w:r>
                      <w:r>
                        <w:rPr>
                          <w:rFonts w:cs="Arial"/>
                          <w:sz w:val="20"/>
                        </w:rPr>
                        <w:tab/>
                        <w:t>about the same as doing nothing/the status quo/counterfactual</w:t>
                      </w:r>
                    </w:p>
                    <w:p w14:paraId="142C1401" w14:textId="77777777" w:rsidR="00533788" w:rsidRDefault="00533788" w:rsidP="00533788">
                      <w:pPr>
                        <w:spacing w:after="120" w:line="276" w:lineRule="auto"/>
                        <w:ind w:left="709" w:hanging="709"/>
                        <w:rPr>
                          <w:rFonts w:cs="Arial"/>
                          <w:sz w:val="20"/>
                        </w:rPr>
                      </w:pPr>
                      <w:r>
                        <w:rPr>
                          <w:rFonts w:cs="Arial"/>
                          <w:b/>
                          <w:color w:val="FF0000"/>
                          <w:sz w:val="20"/>
                        </w:rPr>
                        <w:t>-</w:t>
                      </w:r>
                      <w:r>
                        <w:rPr>
                          <w:rFonts w:cs="Arial"/>
                          <w:sz w:val="20"/>
                        </w:rPr>
                        <w:tab/>
                        <w:t>worse than doing nothing/the status quo/counterfactual</w:t>
                      </w:r>
                    </w:p>
                    <w:p w14:paraId="7A082375" w14:textId="77777777" w:rsidR="00533788" w:rsidRDefault="00533788" w:rsidP="00533788">
                      <w:pPr>
                        <w:spacing w:after="120" w:line="276" w:lineRule="auto"/>
                        <w:ind w:left="709" w:hanging="709"/>
                        <w:rPr>
                          <w:rFonts w:cs="Arial"/>
                          <w:sz w:val="20"/>
                        </w:rPr>
                      </w:pPr>
                      <w:r>
                        <w:rPr>
                          <w:rFonts w:cs="Arial"/>
                          <w:b/>
                          <w:color w:val="FF0000"/>
                          <w:sz w:val="20"/>
                        </w:rPr>
                        <w:t>- -</w:t>
                      </w:r>
                      <w:r>
                        <w:rPr>
                          <w:rFonts w:cs="Arial"/>
                          <w:sz w:val="20"/>
                        </w:rPr>
                        <w:tab/>
                        <w:t>much worse than doing nothing/the status quo/counterfactual</w:t>
                      </w:r>
                    </w:p>
                    <w:p w14:paraId="25452914" w14:textId="77777777" w:rsidR="00533788" w:rsidRDefault="00533788" w:rsidP="00533788">
                      <w:pPr>
                        <w:pStyle w:val="Bullet-list"/>
                        <w:numPr>
                          <w:ilvl w:val="0"/>
                          <w:numId w:val="0"/>
                        </w:numPr>
                        <w:spacing w:after="120"/>
                        <w:rPr>
                          <w:i/>
                          <w:iCs/>
                        </w:rPr>
                      </w:pPr>
                    </w:p>
                  </w:txbxContent>
                </v:textbox>
                <w10:wrap type="square"/>
              </v:shape>
            </w:pict>
          </mc:Fallback>
        </mc:AlternateContent>
      </w:r>
    </w:p>
    <w:p w14:paraId="69CBEDED" w14:textId="164B402B" w:rsidR="00533788" w:rsidRDefault="00533788" w:rsidP="00C34D8C">
      <w:pPr>
        <w:jc w:val="both"/>
        <w:rPr>
          <w:lang w:val="en-NZ"/>
        </w:rPr>
      </w:pPr>
    </w:p>
    <w:p w14:paraId="1C83FCE7" w14:textId="22E14D39" w:rsidR="00533788" w:rsidRDefault="00533788" w:rsidP="00C34D8C">
      <w:pPr>
        <w:jc w:val="both"/>
        <w:rPr>
          <w:lang w:val="en-NZ"/>
        </w:rPr>
      </w:pPr>
    </w:p>
    <w:p w14:paraId="5E1E2DE6" w14:textId="77777777" w:rsidR="00533788" w:rsidRDefault="00533788" w:rsidP="00C34D8C">
      <w:pPr>
        <w:jc w:val="both"/>
        <w:rPr>
          <w:lang w:val="en-NZ"/>
        </w:rPr>
      </w:pPr>
    </w:p>
    <w:p w14:paraId="447B70FD" w14:textId="77777777" w:rsidR="00533788" w:rsidRDefault="00533788" w:rsidP="00C34D8C">
      <w:pPr>
        <w:jc w:val="both"/>
        <w:rPr>
          <w:lang w:val="en-NZ"/>
        </w:rPr>
      </w:pPr>
    </w:p>
    <w:p w14:paraId="2A782453" w14:textId="5EFCF7CA" w:rsidR="00533788" w:rsidRDefault="00533788" w:rsidP="00533788">
      <w:pPr>
        <w:rPr>
          <w:lang w:val="en-NZ"/>
        </w:rPr>
      </w:pPr>
    </w:p>
    <w:p w14:paraId="3505FAD8" w14:textId="51EB7105" w:rsidR="00733C65" w:rsidRPr="008628C2" w:rsidRDefault="00733C65" w:rsidP="008628C2">
      <w:pPr>
        <w:jc w:val="both"/>
        <w:rPr>
          <w:highlight w:val="yellow"/>
          <w:lang w:val="en-NZ"/>
        </w:rPr>
      </w:pPr>
    </w:p>
    <w:p w14:paraId="38D656B5" w14:textId="51EB7105" w:rsidR="00733C65" w:rsidRPr="00396A61" w:rsidRDefault="00733C65" w:rsidP="00396A61">
      <w:pPr>
        <w:rPr>
          <w:lang w:val="en-NZ"/>
        </w:rPr>
        <w:sectPr w:rsidR="00733C65" w:rsidRPr="00396A61" w:rsidSect="00533788">
          <w:footerReference w:type="default" r:id="rId10"/>
          <w:type w:val="continuous"/>
          <w:pgSz w:w="11906" w:h="16838"/>
          <w:pgMar w:top="1134" w:right="1418" w:bottom="992" w:left="1418" w:header="454" w:footer="454" w:gutter="0"/>
          <w:cols w:space="720"/>
        </w:sectPr>
      </w:pPr>
    </w:p>
    <w:p w14:paraId="6ECE2E32" w14:textId="6E9B4630" w:rsidR="00D62E64" w:rsidRPr="00D62E64" w:rsidRDefault="00D62E64" w:rsidP="00D62E64">
      <w:pPr>
        <w:jc w:val="center"/>
        <w:rPr>
          <w:sz w:val="28"/>
          <w:szCs w:val="24"/>
          <w:lang w:val="en-NZ"/>
        </w:rPr>
      </w:pPr>
      <w:r>
        <w:rPr>
          <w:b/>
          <w:bCs/>
          <w:sz w:val="28"/>
          <w:szCs w:val="24"/>
          <w:lang w:val="en-NZ"/>
        </w:rPr>
        <w:t>Setting minimum standards</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222"/>
        <w:gridCol w:w="3113"/>
        <w:gridCol w:w="3057"/>
        <w:gridCol w:w="2977"/>
        <w:gridCol w:w="3225"/>
      </w:tblGrid>
      <w:tr w:rsidR="00F14B49" w14:paraId="78903953" w14:textId="53698F45" w:rsidTr="00D50E7D">
        <w:trPr>
          <w:trHeight w:val="395"/>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76CF2753" w14:textId="77777777" w:rsidR="00533788" w:rsidRDefault="00533788" w:rsidP="00BD5E51">
            <w:pPr>
              <w:spacing w:before="60" w:after="60" w:line="276" w:lineRule="auto"/>
              <w:jc w:val="center"/>
              <w:rPr>
                <w:rFonts w:cs="Arial"/>
                <w:bCs/>
                <w:i/>
                <w:iCs/>
                <w:color w:val="FFFFFF"/>
                <w:sz w:val="20"/>
                <w:szCs w:val="24"/>
                <w:lang w:val="en-NZ"/>
              </w:rPr>
            </w:pPr>
          </w:p>
        </w:tc>
        <w:tc>
          <w:tcPr>
            <w:tcW w:w="3113"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0424A267" w14:textId="012D2499" w:rsidR="00533788" w:rsidRDefault="00533788" w:rsidP="00957410">
            <w:pPr>
              <w:spacing w:before="60" w:after="60" w:line="240" w:lineRule="auto"/>
              <w:jc w:val="center"/>
              <w:rPr>
                <w:rFonts w:cs="Arial"/>
                <w:b/>
                <w:color w:val="000000"/>
                <w:szCs w:val="22"/>
                <w:lang w:val="en-NZ"/>
              </w:rPr>
            </w:pPr>
            <w:r>
              <w:rPr>
                <w:rFonts w:cs="Arial"/>
                <w:b/>
                <w:color w:val="000000"/>
                <w:szCs w:val="22"/>
                <w:lang w:val="en-NZ"/>
              </w:rPr>
              <w:t xml:space="preserve">Option One – </w:t>
            </w:r>
            <w:r>
              <w:rPr>
                <w:lang w:val="en-NZ"/>
              </w:rPr>
              <w:t>status quo</w:t>
            </w:r>
            <w:r w:rsidR="00D50E7D">
              <w:rPr>
                <w:lang w:val="en-NZ"/>
              </w:rPr>
              <w:t xml:space="preserve"> (no minimum standards)</w:t>
            </w:r>
          </w:p>
        </w:tc>
        <w:tc>
          <w:tcPr>
            <w:tcW w:w="3057"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0C76F7A7" w14:textId="55E09E24" w:rsidR="00533788" w:rsidRDefault="00533788">
            <w:pPr>
              <w:spacing w:before="60" w:after="60" w:line="276" w:lineRule="auto"/>
              <w:jc w:val="center"/>
              <w:rPr>
                <w:rFonts w:cs="Arial"/>
                <w:b/>
                <w:color w:val="000000"/>
                <w:szCs w:val="22"/>
                <w:lang w:val="en-NZ"/>
              </w:rPr>
            </w:pPr>
            <w:r>
              <w:rPr>
                <w:rFonts w:cs="Arial"/>
                <w:b/>
                <w:color w:val="000000"/>
                <w:szCs w:val="22"/>
                <w:lang w:val="en-NZ"/>
              </w:rPr>
              <w:t xml:space="preserve">Option Two – </w:t>
            </w:r>
            <w:r>
              <w:rPr>
                <w:lang w:val="en-NZ"/>
              </w:rPr>
              <w:t>adopting XRB standards</w:t>
            </w:r>
          </w:p>
        </w:tc>
        <w:tc>
          <w:tcPr>
            <w:tcW w:w="2977"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1E97E497" w14:textId="566F542F" w:rsidR="00533788" w:rsidRDefault="00533788" w:rsidP="00D50E7D">
            <w:pPr>
              <w:tabs>
                <w:tab w:val="left" w:pos="451"/>
              </w:tabs>
              <w:spacing w:before="60" w:after="60" w:line="276" w:lineRule="auto"/>
              <w:jc w:val="center"/>
              <w:rPr>
                <w:rFonts w:cs="Arial"/>
                <w:b/>
                <w:color w:val="000000"/>
                <w:szCs w:val="22"/>
                <w:lang w:val="en-NZ"/>
              </w:rPr>
            </w:pPr>
            <w:r>
              <w:rPr>
                <w:rFonts w:cs="Arial"/>
                <w:b/>
                <w:color w:val="000000"/>
                <w:szCs w:val="22"/>
                <w:lang w:val="en-NZ"/>
              </w:rPr>
              <w:t xml:space="preserve">Option Three – </w:t>
            </w:r>
            <w:r>
              <w:rPr>
                <w:lang w:val="en-NZ"/>
              </w:rPr>
              <w:t>setting standards by OIC</w:t>
            </w:r>
          </w:p>
        </w:tc>
        <w:tc>
          <w:tcPr>
            <w:tcW w:w="3225"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13AA2256" w14:textId="5149A333" w:rsidR="00533788" w:rsidRDefault="00533788" w:rsidP="00957410">
            <w:pPr>
              <w:spacing w:before="60" w:after="60" w:line="276" w:lineRule="auto"/>
              <w:jc w:val="center"/>
              <w:rPr>
                <w:rFonts w:cs="Arial"/>
                <w:b/>
                <w:color w:val="000000"/>
                <w:szCs w:val="22"/>
                <w:lang w:val="en-NZ"/>
              </w:rPr>
            </w:pPr>
            <w:r>
              <w:rPr>
                <w:rFonts w:cs="Arial"/>
                <w:b/>
                <w:color w:val="000000"/>
                <w:szCs w:val="22"/>
                <w:lang w:val="en-NZ"/>
              </w:rPr>
              <w:t xml:space="preserve">Option Four – </w:t>
            </w:r>
            <w:r>
              <w:rPr>
                <w:lang w:val="en-NZ"/>
              </w:rPr>
              <w:t>setting standards by primary legislation</w:t>
            </w:r>
          </w:p>
        </w:tc>
      </w:tr>
      <w:tr w:rsidR="007251AD" w14:paraId="34B8E156" w14:textId="452AAB12" w:rsidTr="00D50E7D">
        <w:trPr>
          <w:trHeight w:val="615"/>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4FF425E1" w14:textId="4ED3187F" w:rsidR="007251AD" w:rsidRDefault="00CC08DC" w:rsidP="007251AD">
            <w:pPr>
              <w:spacing w:before="60" w:after="60" w:line="240" w:lineRule="auto"/>
              <w:jc w:val="center"/>
              <w:rPr>
                <w:rFonts w:cs="Arial"/>
                <w:b/>
                <w:color w:val="000000"/>
                <w:szCs w:val="22"/>
                <w:lang w:val="en-NZ"/>
              </w:rPr>
            </w:pPr>
            <w:r>
              <w:rPr>
                <w:rFonts w:cs="Arial"/>
                <w:b/>
                <w:color w:val="000000"/>
                <w:szCs w:val="22"/>
                <w:lang w:val="en-NZ"/>
              </w:rPr>
              <w:t>C</w:t>
            </w:r>
            <w:r w:rsidR="007251AD">
              <w:rPr>
                <w:rFonts w:cs="Arial"/>
                <w:b/>
                <w:color w:val="000000"/>
                <w:szCs w:val="22"/>
                <w:lang w:val="en-NZ"/>
              </w:rPr>
              <w:t>ompliance costs</w:t>
            </w:r>
          </w:p>
        </w:tc>
        <w:tc>
          <w:tcPr>
            <w:tcW w:w="3113" w:type="dxa"/>
            <w:tcBorders>
              <w:top w:val="single" w:sz="4" w:space="0" w:color="DDDDDD"/>
              <w:left w:val="single" w:sz="4" w:space="0" w:color="DDDDDD"/>
              <w:bottom w:val="single" w:sz="4" w:space="0" w:color="DDDDDD"/>
              <w:right w:val="single" w:sz="4" w:space="0" w:color="DDDDDD"/>
            </w:tcBorders>
            <w:vAlign w:val="center"/>
            <w:hideMark/>
          </w:tcPr>
          <w:p w14:paraId="1D7C4EAD" w14:textId="10C2EB21" w:rsidR="00CC08DC" w:rsidRPr="00C0688B" w:rsidRDefault="00F14B49" w:rsidP="00957410">
            <w:pPr>
              <w:pStyle w:val="TableText"/>
              <w:spacing w:line="276" w:lineRule="auto"/>
              <w:jc w:val="center"/>
              <w:rPr>
                <w:bCs/>
                <w:lang w:val="en-NZ"/>
              </w:rPr>
            </w:pPr>
            <w:r w:rsidRPr="00C0688B">
              <w:rPr>
                <w:bCs/>
                <w:lang w:val="en-NZ"/>
              </w:rPr>
              <w:t>n/a</w:t>
            </w:r>
          </w:p>
          <w:p w14:paraId="645E04F9" w14:textId="504F9CC4" w:rsidR="007251AD" w:rsidRDefault="007F7999">
            <w:pPr>
              <w:pStyle w:val="TableText"/>
              <w:spacing w:line="276" w:lineRule="auto"/>
              <w:jc w:val="center"/>
              <w:rPr>
                <w:bCs/>
                <w:lang w:val="en-NZ"/>
              </w:rPr>
            </w:pPr>
            <w:r>
              <w:rPr>
                <w:bCs/>
                <w:lang w:val="en-NZ"/>
              </w:rPr>
              <w:t>Unknown.</w:t>
            </w:r>
          </w:p>
        </w:tc>
        <w:tc>
          <w:tcPr>
            <w:tcW w:w="3057" w:type="dxa"/>
            <w:tcBorders>
              <w:top w:val="single" w:sz="4" w:space="0" w:color="DDDDDD"/>
              <w:left w:val="single" w:sz="4" w:space="0" w:color="DDDDDD"/>
              <w:bottom w:val="single" w:sz="4" w:space="0" w:color="DDDDDD"/>
              <w:right w:val="single" w:sz="4" w:space="0" w:color="DDDDDD"/>
            </w:tcBorders>
            <w:vAlign w:val="center"/>
          </w:tcPr>
          <w:p w14:paraId="56B2D34C" w14:textId="77777777" w:rsidR="00F14B49" w:rsidRPr="00180514" w:rsidRDefault="00F14B49">
            <w:pPr>
              <w:pStyle w:val="TableText"/>
              <w:spacing w:line="276" w:lineRule="auto"/>
              <w:jc w:val="center"/>
              <w:rPr>
                <w:bCs/>
                <w:lang w:val="en-NZ"/>
              </w:rPr>
            </w:pPr>
            <w:r w:rsidRPr="00180514">
              <w:rPr>
                <w:bCs/>
                <w:lang w:val="en-NZ"/>
              </w:rPr>
              <w:t>n/a</w:t>
            </w:r>
          </w:p>
          <w:p w14:paraId="24C51395" w14:textId="193DF1DC" w:rsidR="007251AD" w:rsidRPr="00D44A84" w:rsidRDefault="00F14B49">
            <w:pPr>
              <w:pStyle w:val="TableText"/>
              <w:spacing w:line="276" w:lineRule="auto"/>
              <w:jc w:val="center"/>
              <w:rPr>
                <w:lang w:val="en-NZ"/>
              </w:rPr>
            </w:pPr>
            <w:r>
              <w:rPr>
                <w:bCs/>
                <w:lang w:val="en-NZ"/>
              </w:rPr>
              <w:t>Un</w:t>
            </w:r>
            <w:r w:rsidR="007F7999">
              <w:rPr>
                <w:bCs/>
                <w:lang w:val="en-NZ"/>
              </w:rPr>
              <w:t>known</w:t>
            </w:r>
            <w:r>
              <w:rPr>
                <w:bCs/>
                <w:lang w:val="en-NZ"/>
              </w:rPr>
              <w:t>.</w:t>
            </w:r>
          </w:p>
        </w:tc>
        <w:tc>
          <w:tcPr>
            <w:tcW w:w="2977" w:type="dxa"/>
            <w:tcBorders>
              <w:top w:val="single" w:sz="4" w:space="0" w:color="DDDDDD"/>
              <w:left w:val="single" w:sz="4" w:space="0" w:color="DDDDDD"/>
              <w:bottom w:val="single" w:sz="4" w:space="0" w:color="DDDDDD"/>
              <w:right w:val="single" w:sz="4" w:space="0" w:color="DDDDDD"/>
            </w:tcBorders>
            <w:vAlign w:val="center"/>
          </w:tcPr>
          <w:p w14:paraId="3A027AC4" w14:textId="77777777" w:rsidR="00F14B49" w:rsidRPr="00180514" w:rsidRDefault="00F14B49" w:rsidP="00F14B49">
            <w:pPr>
              <w:pStyle w:val="TableText"/>
              <w:spacing w:line="276" w:lineRule="auto"/>
              <w:jc w:val="center"/>
              <w:rPr>
                <w:bCs/>
                <w:lang w:val="en-NZ"/>
              </w:rPr>
            </w:pPr>
            <w:r w:rsidRPr="00180514">
              <w:rPr>
                <w:bCs/>
                <w:lang w:val="en-NZ"/>
              </w:rPr>
              <w:t>n/a</w:t>
            </w:r>
          </w:p>
          <w:p w14:paraId="729EEB08" w14:textId="1CC43CD1" w:rsidR="007251AD" w:rsidRPr="00C0688B" w:rsidRDefault="007F7999" w:rsidP="00957410">
            <w:pPr>
              <w:pStyle w:val="TableText"/>
              <w:spacing w:line="276" w:lineRule="auto"/>
              <w:jc w:val="center"/>
              <w:rPr>
                <w:bCs/>
                <w:lang w:val="en-NZ"/>
              </w:rPr>
            </w:pPr>
            <w:r>
              <w:rPr>
                <w:bCs/>
                <w:lang w:val="en-NZ"/>
              </w:rPr>
              <w:t>Unknown.</w:t>
            </w:r>
          </w:p>
        </w:tc>
        <w:tc>
          <w:tcPr>
            <w:tcW w:w="3225" w:type="dxa"/>
            <w:tcBorders>
              <w:top w:val="single" w:sz="4" w:space="0" w:color="DDDDDD"/>
              <w:left w:val="single" w:sz="4" w:space="0" w:color="DDDDDD"/>
              <w:bottom w:val="single" w:sz="4" w:space="0" w:color="DDDDDD"/>
              <w:right w:val="single" w:sz="4" w:space="0" w:color="DDDDDD"/>
            </w:tcBorders>
            <w:vAlign w:val="center"/>
          </w:tcPr>
          <w:p w14:paraId="345D718D" w14:textId="77777777" w:rsidR="00F14B49" w:rsidRPr="00180514" w:rsidRDefault="00F14B49" w:rsidP="00F14B49">
            <w:pPr>
              <w:pStyle w:val="TableText"/>
              <w:spacing w:line="276" w:lineRule="auto"/>
              <w:jc w:val="center"/>
              <w:rPr>
                <w:bCs/>
                <w:lang w:val="en-NZ"/>
              </w:rPr>
            </w:pPr>
            <w:r w:rsidRPr="00180514">
              <w:rPr>
                <w:bCs/>
                <w:lang w:val="en-NZ"/>
              </w:rPr>
              <w:t>n/a</w:t>
            </w:r>
          </w:p>
          <w:p w14:paraId="10F1B5A5" w14:textId="3F5395C7" w:rsidR="007251AD" w:rsidRPr="00C0688B" w:rsidRDefault="007F7999" w:rsidP="00957410">
            <w:pPr>
              <w:pStyle w:val="TableText"/>
              <w:spacing w:line="276" w:lineRule="auto"/>
              <w:jc w:val="center"/>
              <w:rPr>
                <w:bCs/>
                <w:lang w:val="en-NZ"/>
              </w:rPr>
            </w:pPr>
            <w:r>
              <w:rPr>
                <w:bCs/>
                <w:lang w:val="en-NZ"/>
              </w:rPr>
              <w:t>Unknown.</w:t>
            </w:r>
          </w:p>
        </w:tc>
      </w:tr>
      <w:tr w:rsidR="00F14B49" w14:paraId="67F982EF" w14:textId="09934847" w:rsidTr="00D50E7D">
        <w:trPr>
          <w:trHeight w:val="378"/>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3A96507" w14:textId="0F2695B4" w:rsidR="00F14B49" w:rsidRDefault="00F14B49" w:rsidP="00F14B49">
            <w:pPr>
              <w:spacing w:before="60" w:after="60" w:line="240" w:lineRule="auto"/>
              <w:jc w:val="center"/>
              <w:rPr>
                <w:rFonts w:cs="Arial"/>
                <w:b/>
                <w:color w:val="000000"/>
                <w:szCs w:val="22"/>
                <w:lang w:val="en-NZ"/>
              </w:rPr>
            </w:pPr>
            <w:r>
              <w:rPr>
                <w:rFonts w:cs="Arial"/>
                <w:b/>
                <w:color w:val="000000"/>
                <w:szCs w:val="22"/>
                <w:lang w:val="en-NZ"/>
              </w:rPr>
              <w:t>Achieving the Government’s objectives</w:t>
            </w:r>
          </w:p>
        </w:tc>
        <w:tc>
          <w:tcPr>
            <w:tcW w:w="3113" w:type="dxa"/>
            <w:tcBorders>
              <w:top w:val="single" w:sz="4" w:space="0" w:color="DDDDDD"/>
              <w:left w:val="single" w:sz="4" w:space="0" w:color="DDDDDD"/>
              <w:bottom w:val="single" w:sz="4" w:space="0" w:color="DDDDDD"/>
              <w:right w:val="single" w:sz="4" w:space="0" w:color="DDDDDD"/>
            </w:tcBorders>
            <w:vAlign w:val="center"/>
            <w:hideMark/>
          </w:tcPr>
          <w:p w14:paraId="44EE5056" w14:textId="77777777" w:rsidR="00F14B49" w:rsidRDefault="00F14B49" w:rsidP="00957410">
            <w:pPr>
              <w:pStyle w:val="TableText"/>
              <w:spacing w:line="276" w:lineRule="auto"/>
              <w:jc w:val="center"/>
              <w:rPr>
                <w:rFonts w:cs="Arial"/>
                <w:b/>
                <w:color w:val="FF0000"/>
              </w:rPr>
            </w:pPr>
            <w:r>
              <w:rPr>
                <w:rFonts w:cs="Arial"/>
                <w:b/>
                <w:color w:val="FF0000"/>
              </w:rPr>
              <w:t>- -</w:t>
            </w:r>
          </w:p>
          <w:p w14:paraId="7EB5F40B" w14:textId="3DA9D7DE" w:rsidR="00F14B49" w:rsidRDefault="00F14B49">
            <w:pPr>
              <w:pStyle w:val="TableText"/>
              <w:spacing w:line="276" w:lineRule="auto"/>
              <w:jc w:val="center"/>
              <w:rPr>
                <w:rFonts w:cs="Arial"/>
                <w:b/>
                <w:color w:val="FF0000"/>
              </w:rPr>
            </w:pPr>
            <w:r>
              <w:rPr>
                <w:bCs/>
                <w:lang w:val="en-NZ"/>
              </w:rPr>
              <w:t>Lack of certainty for taxpayers could lead to non-compliance with the trust disclosure rules. Would impact quality of data collected by Inland Revenue.</w:t>
            </w:r>
          </w:p>
          <w:p w14:paraId="7867AD15" w14:textId="6C6E5B01" w:rsidR="00F14B49" w:rsidRDefault="00F14B49">
            <w:pPr>
              <w:pStyle w:val="TableText"/>
              <w:spacing w:line="276" w:lineRule="auto"/>
              <w:jc w:val="center"/>
              <w:rPr>
                <w:bCs/>
                <w:lang w:val="en-NZ"/>
              </w:rPr>
            </w:pPr>
          </w:p>
        </w:tc>
        <w:tc>
          <w:tcPr>
            <w:tcW w:w="3057" w:type="dxa"/>
            <w:tcBorders>
              <w:top w:val="single" w:sz="4" w:space="0" w:color="DDDDDD"/>
              <w:left w:val="single" w:sz="4" w:space="0" w:color="DDDDDD"/>
              <w:bottom w:val="single" w:sz="4" w:space="0" w:color="DDDDDD"/>
              <w:right w:val="single" w:sz="4" w:space="0" w:color="DDDDDD"/>
            </w:tcBorders>
            <w:vAlign w:val="center"/>
          </w:tcPr>
          <w:p w14:paraId="78029FD0" w14:textId="4F63710E" w:rsidR="00F14B49" w:rsidRPr="00957410" w:rsidRDefault="00F14B49">
            <w:pPr>
              <w:pStyle w:val="TableText"/>
              <w:spacing w:line="276" w:lineRule="auto"/>
              <w:jc w:val="center"/>
              <w:rPr>
                <w:rFonts w:cs="Arial"/>
                <w:b/>
                <w:color w:val="00B050"/>
              </w:rPr>
            </w:pPr>
            <w:r w:rsidRPr="00957410">
              <w:rPr>
                <w:rFonts w:cs="Arial"/>
                <w:b/>
                <w:color w:val="00B050"/>
              </w:rPr>
              <w:t>+</w:t>
            </w:r>
          </w:p>
          <w:p w14:paraId="7C63063A" w14:textId="5DD45B88" w:rsidR="00F14B49" w:rsidRPr="00957410" w:rsidRDefault="00F14B49">
            <w:pPr>
              <w:pStyle w:val="TableText"/>
              <w:spacing w:line="276" w:lineRule="auto"/>
              <w:jc w:val="center"/>
              <w:rPr>
                <w:bCs/>
                <w:lang w:val="en-NZ"/>
              </w:rPr>
            </w:pPr>
            <w:r>
              <w:rPr>
                <w:bCs/>
                <w:lang w:val="en-NZ"/>
              </w:rPr>
              <w:t>Some certainty for taxpayers, XRB standards would be optional. Would likely positively impact on compliance with the trust disclosure rules</w:t>
            </w:r>
            <w:r w:rsidR="00A41157">
              <w:rPr>
                <w:bCs/>
                <w:lang w:val="en-NZ"/>
              </w:rPr>
              <w:t xml:space="preserve"> relative to there being no standards</w:t>
            </w:r>
            <w:r>
              <w:rPr>
                <w:bCs/>
                <w:lang w:val="en-NZ"/>
              </w:rPr>
              <w:t>.</w:t>
            </w:r>
          </w:p>
        </w:tc>
        <w:tc>
          <w:tcPr>
            <w:tcW w:w="2977" w:type="dxa"/>
            <w:tcBorders>
              <w:top w:val="single" w:sz="4" w:space="0" w:color="DDDDDD"/>
              <w:left w:val="single" w:sz="4" w:space="0" w:color="DDDDDD"/>
              <w:bottom w:val="single" w:sz="4" w:space="0" w:color="DDDDDD"/>
              <w:right w:val="single" w:sz="4" w:space="0" w:color="DDDDDD"/>
            </w:tcBorders>
            <w:vAlign w:val="center"/>
          </w:tcPr>
          <w:p w14:paraId="56DB910B" w14:textId="77777777" w:rsidR="00F14B49" w:rsidRDefault="00F14B49" w:rsidP="00F14B49">
            <w:pPr>
              <w:pStyle w:val="TableText"/>
              <w:spacing w:line="276" w:lineRule="auto"/>
              <w:jc w:val="center"/>
              <w:rPr>
                <w:rFonts w:cs="Arial"/>
                <w:b/>
                <w:color w:val="00B050"/>
              </w:rPr>
            </w:pPr>
            <w:r>
              <w:rPr>
                <w:rFonts w:cs="Arial"/>
                <w:b/>
                <w:color w:val="00B050"/>
              </w:rPr>
              <w:t>++</w:t>
            </w:r>
          </w:p>
          <w:p w14:paraId="4ED83598" w14:textId="313716EB" w:rsidR="00F14B49" w:rsidRDefault="00F14B49" w:rsidP="00957410">
            <w:pPr>
              <w:pStyle w:val="TableText"/>
              <w:spacing w:line="276" w:lineRule="auto"/>
              <w:jc w:val="center"/>
              <w:rPr>
                <w:rFonts w:cs="Arial"/>
                <w:b/>
                <w:color w:val="00B050"/>
              </w:rPr>
            </w:pPr>
            <w:r>
              <w:rPr>
                <w:bCs/>
                <w:lang w:val="en-NZ"/>
              </w:rPr>
              <w:t xml:space="preserve">Certainty for taxpayers regarding </w:t>
            </w:r>
            <w:r w:rsidR="0031766D">
              <w:rPr>
                <w:bCs/>
                <w:lang w:val="en-NZ"/>
              </w:rPr>
              <w:t xml:space="preserve">their </w:t>
            </w:r>
            <w:r>
              <w:rPr>
                <w:bCs/>
                <w:lang w:val="en-NZ"/>
              </w:rPr>
              <w:t xml:space="preserve">reporting obligations supports compliance with the trust disclosure rules and </w:t>
            </w:r>
            <w:r w:rsidR="0031766D">
              <w:rPr>
                <w:bCs/>
                <w:lang w:val="en-NZ"/>
              </w:rPr>
              <w:t xml:space="preserve">the </w:t>
            </w:r>
            <w:r>
              <w:rPr>
                <w:bCs/>
                <w:lang w:val="en-NZ"/>
              </w:rPr>
              <w:t>quality of data collected by Inland Revenue.</w:t>
            </w:r>
          </w:p>
        </w:tc>
        <w:tc>
          <w:tcPr>
            <w:tcW w:w="3225" w:type="dxa"/>
            <w:tcBorders>
              <w:top w:val="single" w:sz="4" w:space="0" w:color="DDDDDD"/>
              <w:left w:val="single" w:sz="4" w:space="0" w:color="DDDDDD"/>
              <w:bottom w:val="single" w:sz="4" w:space="0" w:color="DDDDDD"/>
              <w:right w:val="single" w:sz="4" w:space="0" w:color="DDDDDD"/>
            </w:tcBorders>
            <w:vAlign w:val="center"/>
          </w:tcPr>
          <w:p w14:paraId="5BBD49D0" w14:textId="77777777" w:rsidR="00F14B49" w:rsidRDefault="00F14B49" w:rsidP="00F14B49">
            <w:pPr>
              <w:pStyle w:val="TableText"/>
              <w:spacing w:line="276" w:lineRule="auto"/>
              <w:jc w:val="center"/>
              <w:rPr>
                <w:rFonts w:cs="Arial"/>
                <w:b/>
                <w:color w:val="00B050"/>
              </w:rPr>
            </w:pPr>
            <w:r>
              <w:rPr>
                <w:rFonts w:cs="Arial"/>
                <w:b/>
                <w:color w:val="00B050"/>
              </w:rPr>
              <w:t>++</w:t>
            </w:r>
          </w:p>
          <w:p w14:paraId="72488170" w14:textId="2FDD84E0" w:rsidR="00F14B49" w:rsidRDefault="00F14B49" w:rsidP="00957410">
            <w:pPr>
              <w:pStyle w:val="TableText"/>
              <w:spacing w:line="276" w:lineRule="auto"/>
              <w:jc w:val="center"/>
              <w:rPr>
                <w:rFonts w:cs="Arial"/>
                <w:b/>
                <w:color w:val="00B050"/>
              </w:rPr>
            </w:pPr>
            <w:r>
              <w:rPr>
                <w:bCs/>
                <w:lang w:val="en-NZ"/>
              </w:rPr>
              <w:t xml:space="preserve">Certainty for taxpayers regarding </w:t>
            </w:r>
            <w:r w:rsidR="0031766D">
              <w:rPr>
                <w:bCs/>
                <w:lang w:val="en-NZ"/>
              </w:rPr>
              <w:t xml:space="preserve">their </w:t>
            </w:r>
            <w:r>
              <w:rPr>
                <w:bCs/>
                <w:lang w:val="en-NZ"/>
              </w:rPr>
              <w:t xml:space="preserve">reporting obligations supports compliance with the trust disclosure rules and </w:t>
            </w:r>
            <w:r w:rsidR="0031766D">
              <w:rPr>
                <w:bCs/>
                <w:lang w:val="en-NZ"/>
              </w:rPr>
              <w:t xml:space="preserve">the </w:t>
            </w:r>
            <w:r>
              <w:rPr>
                <w:bCs/>
                <w:lang w:val="en-NZ"/>
              </w:rPr>
              <w:t>quality of data collected by Inland Revenue.</w:t>
            </w:r>
          </w:p>
        </w:tc>
      </w:tr>
      <w:tr w:rsidR="00F14B49" w14:paraId="274A3F57" w14:textId="368C95B3" w:rsidTr="00D50E7D">
        <w:trPr>
          <w:trHeight w:val="395"/>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A20ECC1" w14:textId="77777777" w:rsidR="00F14B49" w:rsidRDefault="00F14B49" w:rsidP="00F14B49">
            <w:pPr>
              <w:spacing w:before="60" w:after="60" w:line="240" w:lineRule="auto"/>
              <w:jc w:val="center"/>
              <w:rPr>
                <w:rFonts w:cs="Arial"/>
                <w:b/>
                <w:color w:val="000000"/>
                <w:szCs w:val="22"/>
                <w:lang w:val="en-NZ"/>
              </w:rPr>
            </w:pPr>
            <w:r>
              <w:rPr>
                <w:rFonts w:cs="Arial"/>
                <w:b/>
                <w:color w:val="000000"/>
                <w:szCs w:val="22"/>
                <w:lang w:val="en-NZ"/>
              </w:rPr>
              <w:t>Consistency with existing frameworks</w:t>
            </w:r>
          </w:p>
        </w:tc>
        <w:tc>
          <w:tcPr>
            <w:tcW w:w="3113" w:type="dxa"/>
            <w:tcBorders>
              <w:top w:val="single" w:sz="4" w:space="0" w:color="DDDDDD"/>
              <w:left w:val="single" w:sz="4" w:space="0" w:color="DDDDDD"/>
              <w:bottom w:val="single" w:sz="4" w:space="0" w:color="DDDDDD"/>
              <w:right w:val="single" w:sz="4" w:space="0" w:color="DDDDDD"/>
            </w:tcBorders>
            <w:vAlign w:val="center"/>
            <w:hideMark/>
          </w:tcPr>
          <w:p w14:paraId="2D22ACE4" w14:textId="77777777" w:rsidR="00F14B49" w:rsidRDefault="00F14B49" w:rsidP="00957410">
            <w:pPr>
              <w:pStyle w:val="TableText"/>
              <w:spacing w:line="276" w:lineRule="auto"/>
              <w:jc w:val="center"/>
              <w:rPr>
                <w:rFonts w:cs="Arial"/>
                <w:b/>
                <w:color w:val="FF0000"/>
              </w:rPr>
            </w:pPr>
            <w:r>
              <w:rPr>
                <w:rFonts w:cs="Arial"/>
                <w:b/>
                <w:color w:val="FF0000"/>
              </w:rPr>
              <w:t>-</w:t>
            </w:r>
          </w:p>
          <w:p w14:paraId="0C279177" w14:textId="12FD69D8" w:rsidR="00F14B49" w:rsidRDefault="00F14B49" w:rsidP="00957410">
            <w:pPr>
              <w:pStyle w:val="TableText"/>
              <w:spacing w:line="276" w:lineRule="auto"/>
              <w:jc w:val="center"/>
              <w:rPr>
                <w:bCs/>
                <w:lang w:val="en-NZ"/>
              </w:rPr>
            </w:pPr>
            <w:r>
              <w:rPr>
                <w:bCs/>
                <w:lang w:val="en-NZ"/>
              </w:rPr>
              <w:t xml:space="preserve">Inconsistent for legislation to require the preparation of financial statements without minimum </w:t>
            </w:r>
            <w:r w:rsidR="00281E65">
              <w:rPr>
                <w:bCs/>
                <w:lang w:val="en-NZ"/>
              </w:rPr>
              <w:t>standards</w:t>
            </w:r>
            <w:r>
              <w:rPr>
                <w:bCs/>
                <w:lang w:val="en-NZ"/>
              </w:rPr>
              <w:t>.</w:t>
            </w:r>
          </w:p>
        </w:tc>
        <w:tc>
          <w:tcPr>
            <w:tcW w:w="3057" w:type="dxa"/>
            <w:tcBorders>
              <w:top w:val="single" w:sz="4" w:space="0" w:color="DDDDDD"/>
              <w:left w:val="single" w:sz="4" w:space="0" w:color="DDDDDD"/>
              <w:bottom w:val="single" w:sz="4" w:space="0" w:color="DDDDDD"/>
              <w:right w:val="single" w:sz="4" w:space="0" w:color="DDDDDD"/>
            </w:tcBorders>
            <w:vAlign w:val="center"/>
          </w:tcPr>
          <w:p w14:paraId="3ECBFCD2" w14:textId="2286574E" w:rsidR="00F14B49" w:rsidRDefault="00F14B49">
            <w:pPr>
              <w:pStyle w:val="TableText"/>
              <w:spacing w:line="276" w:lineRule="auto"/>
              <w:jc w:val="center"/>
              <w:rPr>
                <w:bCs/>
                <w:lang w:val="en-NZ"/>
              </w:rPr>
            </w:pPr>
            <w:r>
              <w:rPr>
                <w:bCs/>
                <w:lang w:val="en-NZ"/>
              </w:rPr>
              <w:t>0</w:t>
            </w:r>
          </w:p>
          <w:p w14:paraId="6504448A" w14:textId="0D2D1A3B" w:rsidR="00F14B49" w:rsidRDefault="00F14B49">
            <w:pPr>
              <w:pStyle w:val="TableText"/>
              <w:spacing w:line="276" w:lineRule="auto"/>
              <w:jc w:val="center"/>
              <w:rPr>
                <w:lang w:val="en-NZ"/>
              </w:rPr>
            </w:pPr>
            <w:r>
              <w:rPr>
                <w:bCs/>
                <w:lang w:val="en-NZ"/>
              </w:rPr>
              <w:t>Some consistency with existing accounting standards. Inconsistent with approach for companies and foreign trusts.</w:t>
            </w:r>
          </w:p>
        </w:tc>
        <w:tc>
          <w:tcPr>
            <w:tcW w:w="2977" w:type="dxa"/>
            <w:tcBorders>
              <w:top w:val="single" w:sz="4" w:space="0" w:color="DDDDDD"/>
              <w:left w:val="single" w:sz="4" w:space="0" w:color="DDDDDD"/>
              <w:bottom w:val="single" w:sz="4" w:space="0" w:color="DDDDDD"/>
              <w:right w:val="single" w:sz="4" w:space="0" w:color="DDDDDD"/>
            </w:tcBorders>
            <w:vAlign w:val="center"/>
          </w:tcPr>
          <w:p w14:paraId="79316CBD" w14:textId="77777777" w:rsidR="00F14B49" w:rsidRDefault="00F14B49">
            <w:pPr>
              <w:pStyle w:val="TableText"/>
              <w:spacing w:line="276" w:lineRule="auto"/>
              <w:jc w:val="center"/>
              <w:rPr>
                <w:rFonts w:cs="Arial"/>
                <w:b/>
                <w:color w:val="00B050"/>
              </w:rPr>
            </w:pPr>
            <w:r>
              <w:rPr>
                <w:rFonts w:cs="Arial"/>
                <w:b/>
                <w:color w:val="00B050"/>
              </w:rPr>
              <w:t>++</w:t>
            </w:r>
          </w:p>
          <w:p w14:paraId="03A0AAEE" w14:textId="47FFBDCF" w:rsidR="00F14B49" w:rsidRDefault="000962E3">
            <w:pPr>
              <w:pStyle w:val="TableText"/>
              <w:spacing w:line="276" w:lineRule="auto"/>
              <w:jc w:val="center"/>
              <w:rPr>
                <w:rFonts w:cs="Arial"/>
                <w:b/>
                <w:color w:val="00B050"/>
              </w:rPr>
            </w:pPr>
            <w:r>
              <w:rPr>
                <w:lang w:val="en-NZ"/>
              </w:rPr>
              <w:t>Consistent with approach for companies and foreign trusts</w:t>
            </w:r>
            <w:r w:rsidR="00F14B49">
              <w:rPr>
                <w:lang w:val="en-NZ"/>
              </w:rPr>
              <w:t>.</w:t>
            </w:r>
          </w:p>
        </w:tc>
        <w:tc>
          <w:tcPr>
            <w:tcW w:w="3225" w:type="dxa"/>
            <w:tcBorders>
              <w:top w:val="single" w:sz="4" w:space="0" w:color="DDDDDD"/>
              <w:left w:val="single" w:sz="4" w:space="0" w:color="DDDDDD"/>
              <w:bottom w:val="single" w:sz="4" w:space="0" w:color="DDDDDD"/>
              <w:right w:val="single" w:sz="4" w:space="0" w:color="DDDDDD"/>
            </w:tcBorders>
            <w:vAlign w:val="center"/>
          </w:tcPr>
          <w:p w14:paraId="44E2A8D2" w14:textId="77777777" w:rsidR="00F14B49" w:rsidRDefault="00F14B49">
            <w:pPr>
              <w:pStyle w:val="TableText"/>
              <w:spacing w:line="276" w:lineRule="auto"/>
              <w:jc w:val="center"/>
              <w:rPr>
                <w:rFonts w:cs="Arial"/>
                <w:b/>
                <w:color w:val="FF0000"/>
              </w:rPr>
            </w:pPr>
            <w:r>
              <w:rPr>
                <w:rFonts w:cs="Arial"/>
                <w:b/>
                <w:color w:val="FF0000"/>
              </w:rPr>
              <w:t>-</w:t>
            </w:r>
          </w:p>
          <w:p w14:paraId="4A57C89F" w14:textId="79D0D0B8" w:rsidR="00F14B49" w:rsidRDefault="00F14B49">
            <w:pPr>
              <w:pStyle w:val="TableText"/>
              <w:spacing w:line="276" w:lineRule="auto"/>
              <w:jc w:val="center"/>
              <w:rPr>
                <w:rFonts w:cs="Arial"/>
                <w:b/>
                <w:color w:val="00B050"/>
              </w:rPr>
            </w:pPr>
            <w:r>
              <w:rPr>
                <w:lang w:val="en-NZ"/>
              </w:rPr>
              <w:t>Inconsistent with approach for companies and foreign trusts.</w:t>
            </w:r>
          </w:p>
        </w:tc>
      </w:tr>
      <w:tr w:rsidR="00F14B49" w14:paraId="5C1EE644" w14:textId="11D5C2BF" w:rsidTr="00D50E7D">
        <w:trPr>
          <w:trHeight w:val="378"/>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66CB85B" w14:textId="77777777" w:rsidR="00F14B49" w:rsidRDefault="00F14B49" w:rsidP="00F14B49">
            <w:pPr>
              <w:spacing w:before="60" w:after="60" w:line="240" w:lineRule="auto"/>
              <w:jc w:val="center"/>
              <w:rPr>
                <w:rFonts w:cs="Arial"/>
                <w:b/>
                <w:color w:val="000000"/>
                <w:szCs w:val="22"/>
                <w:lang w:val="en-NZ"/>
              </w:rPr>
            </w:pPr>
            <w:r>
              <w:rPr>
                <w:rFonts w:cs="Arial"/>
                <w:b/>
                <w:color w:val="000000"/>
                <w:szCs w:val="22"/>
                <w:lang w:val="en-NZ"/>
              </w:rPr>
              <w:t>Proportionality</w:t>
            </w:r>
          </w:p>
        </w:tc>
        <w:tc>
          <w:tcPr>
            <w:tcW w:w="3113" w:type="dxa"/>
            <w:tcBorders>
              <w:top w:val="single" w:sz="4" w:space="0" w:color="DDDDDD"/>
              <w:left w:val="single" w:sz="4" w:space="0" w:color="DDDDDD"/>
              <w:bottom w:val="single" w:sz="4" w:space="0" w:color="DDDDDD"/>
              <w:right w:val="single" w:sz="4" w:space="0" w:color="DDDDDD"/>
            </w:tcBorders>
            <w:vAlign w:val="center"/>
            <w:hideMark/>
          </w:tcPr>
          <w:p w14:paraId="73E96D65" w14:textId="431997C5" w:rsidR="00BD0675" w:rsidRDefault="00C44A00" w:rsidP="00957410">
            <w:pPr>
              <w:pStyle w:val="TableText"/>
              <w:spacing w:line="276" w:lineRule="auto"/>
              <w:jc w:val="center"/>
              <w:rPr>
                <w:bCs/>
                <w:lang w:val="en-NZ"/>
              </w:rPr>
            </w:pPr>
            <w:r>
              <w:rPr>
                <w:bCs/>
                <w:lang w:val="en-NZ"/>
              </w:rPr>
              <w:t>n/a</w:t>
            </w:r>
          </w:p>
        </w:tc>
        <w:tc>
          <w:tcPr>
            <w:tcW w:w="3057" w:type="dxa"/>
            <w:tcBorders>
              <w:top w:val="single" w:sz="4" w:space="0" w:color="DDDDDD"/>
              <w:left w:val="single" w:sz="4" w:space="0" w:color="DDDDDD"/>
              <w:bottom w:val="single" w:sz="4" w:space="0" w:color="DDDDDD"/>
              <w:right w:val="single" w:sz="4" w:space="0" w:color="DDDDDD"/>
            </w:tcBorders>
            <w:vAlign w:val="center"/>
          </w:tcPr>
          <w:p w14:paraId="5D16C2EF" w14:textId="250215FB" w:rsidR="00F14B49" w:rsidRDefault="00C44A00">
            <w:pPr>
              <w:pStyle w:val="TableText"/>
              <w:spacing w:line="276" w:lineRule="auto"/>
              <w:jc w:val="center"/>
              <w:rPr>
                <w:lang w:val="en-NZ"/>
              </w:rPr>
            </w:pPr>
            <w:r>
              <w:rPr>
                <w:bCs/>
                <w:lang w:val="en-NZ"/>
              </w:rPr>
              <w:t>n/a</w:t>
            </w:r>
          </w:p>
        </w:tc>
        <w:tc>
          <w:tcPr>
            <w:tcW w:w="2977" w:type="dxa"/>
            <w:tcBorders>
              <w:top w:val="single" w:sz="4" w:space="0" w:color="DDDDDD"/>
              <w:left w:val="single" w:sz="4" w:space="0" w:color="DDDDDD"/>
              <w:bottom w:val="single" w:sz="4" w:space="0" w:color="DDDDDD"/>
              <w:right w:val="single" w:sz="4" w:space="0" w:color="DDDDDD"/>
            </w:tcBorders>
            <w:vAlign w:val="center"/>
          </w:tcPr>
          <w:p w14:paraId="322FABA4" w14:textId="09CCFF1D" w:rsidR="00F14B49" w:rsidRDefault="00C44A00" w:rsidP="00957410">
            <w:pPr>
              <w:pStyle w:val="TableText"/>
              <w:spacing w:line="276" w:lineRule="auto"/>
              <w:jc w:val="center"/>
              <w:rPr>
                <w:rFonts w:cs="Arial"/>
                <w:b/>
                <w:color w:val="00B050"/>
              </w:rPr>
            </w:pPr>
            <w:r>
              <w:rPr>
                <w:bCs/>
                <w:lang w:val="en-NZ"/>
              </w:rPr>
              <w:t>n/a</w:t>
            </w:r>
          </w:p>
        </w:tc>
        <w:tc>
          <w:tcPr>
            <w:tcW w:w="3225" w:type="dxa"/>
            <w:tcBorders>
              <w:top w:val="single" w:sz="4" w:space="0" w:color="DDDDDD"/>
              <w:left w:val="single" w:sz="4" w:space="0" w:color="DDDDDD"/>
              <w:bottom w:val="single" w:sz="4" w:space="0" w:color="DDDDDD"/>
              <w:right w:val="single" w:sz="4" w:space="0" w:color="DDDDDD"/>
            </w:tcBorders>
            <w:vAlign w:val="center"/>
          </w:tcPr>
          <w:p w14:paraId="509CCF1C" w14:textId="55749F7E" w:rsidR="00F14B49" w:rsidRDefault="00C44A00" w:rsidP="00957410">
            <w:pPr>
              <w:pStyle w:val="TableText"/>
              <w:spacing w:line="276" w:lineRule="auto"/>
              <w:jc w:val="center"/>
              <w:rPr>
                <w:rFonts w:cs="Arial"/>
                <w:b/>
                <w:color w:val="00B050"/>
              </w:rPr>
            </w:pPr>
            <w:r>
              <w:rPr>
                <w:bCs/>
                <w:lang w:val="en-NZ"/>
              </w:rPr>
              <w:t>n/a</w:t>
            </w:r>
          </w:p>
        </w:tc>
      </w:tr>
      <w:tr w:rsidR="00F14B49" w14:paraId="2B1F811E" w14:textId="02624A01" w:rsidTr="00D50E7D">
        <w:trPr>
          <w:trHeight w:val="584"/>
        </w:trPr>
        <w:tc>
          <w:tcPr>
            <w:tcW w:w="222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2874AC06" w14:textId="77777777" w:rsidR="00F14B49" w:rsidRDefault="00F14B49" w:rsidP="00F14B49">
            <w:pPr>
              <w:spacing w:before="60" w:after="60" w:line="240" w:lineRule="auto"/>
              <w:jc w:val="center"/>
              <w:rPr>
                <w:rFonts w:cs="Arial"/>
                <w:b/>
                <w:color w:val="000000"/>
                <w:szCs w:val="22"/>
                <w:lang w:val="en-NZ"/>
              </w:rPr>
            </w:pPr>
            <w:r>
              <w:rPr>
                <w:rFonts w:cs="Arial"/>
                <w:b/>
                <w:color w:val="000000"/>
                <w:szCs w:val="22"/>
                <w:lang w:val="en-NZ"/>
              </w:rPr>
              <w:t>Overall assessment</w:t>
            </w:r>
          </w:p>
        </w:tc>
        <w:tc>
          <w:tcPr>
            <w:tcW w:w="3113" w:type="dxa"/>
            <w:tcBorders>
              <w:top w:val="single" w:sz="4" w:space="0" w:color="DDDDDD"/>
              <w:left w:val="single" w:sz="4" w:space="0" w:color="DDDDDD"/>
              <w:bottom w:val="single" w:sz="4" w:space="0" w:color="DDDDDD"/>
              <w:right w:val="single" w:sz="4" w:space="0" w:color="DDDDDD"/>
            </w:tcBorders>
            <w:vAlign w:val="center"/>
            <w:hideMark/>
          </w:tcPr>
          <w:p w14:paraId="7550206F" w14:textId="26985C68" w:rsidR="00F14B49" w:rsidRDefault="00F14B49" w:rsidP="00957410">
            <w:pPr>
              <w:pStyle w:val="TableText"/>
              <w:spacing w:line="276" w:lineRule="auto"/>
              <w:jc w:val="center"/>
              <w:rPr>
                <w:rFonts w:cs="Arial"/>
                <w:b/>
                <w:color w:val="FF0000"/>
              </w:rPr>
            </w:pPr>
            <w:r>
              <w:rPr>
                <w:rFonts w:cs="Arial"/>
                <w:b/>
                <w:color w:val="FF0000"/>
              </w:rPr>
              <w:t>- -</w:t>
            </w:r>
          </w:p>
          <w:p w14:paraId="1EF83C8C" w14:textId="57C2B331" w:rsidR="00F14B49" w:rsidRDefault="00BD0675">
            <w:pPr>
              <w:pStyle w:val="TableText"/>
              <w:spacing w:line="276" w:lineRule="auto"/>
              <w:jc w:val="center"/>
              <w:rPr>
                <w:lang w:val="en-NZ"/>
              </w:rPr>
            </w:pPr>
            <w:r>
              <w:rPr>
                <w:bCs/>
                <w:lang w:val="en-NZ"/>
              </w:rPr>
              <w:t xml:space="preserve">Risks undermining the Government’s </w:t>
            </w:r>
            <w:r w:rsidR="00011AB9">
              <w:rPr>
                <w:bCs/>
                <w:lang w:val="en-NZ"/>
              </w:rPr>
              <w:t xml:space="preserve">trust disclosure rules </w:t>
            </w:r>
            <w:r>
              <w:rPr>
                <w:bCs/>
                <w:lang w:val="en-NZ"/>
              </w:rPr>
              <w:t>objectives</w:t>
            </w:r>
            <w:r w:rsidR="00F14B49">
              <w:rPr>
                <w:bCs/>
                <w:lang w:val="en-NZ"/>
              </w:rPr>
              <w:t>.</w:t>
            </w:r>
          </w:p>
        </w:tc>
        <w:tc>
          <w:tcPr>
            <w:tcW w:w="3057" w:type="dxa"/>
            <w:tcBorders>
              <w:top w:val="single" w:sz="4" w:space="0" w:color="DDDDDD"/>
              <w:left w:val="single" w:sz="4" w:space="0" w:color="DDDDDD"/>
              <w:bottom w:val="single" w:sz="4" w:space="0" w:color="DDDDDD"/>
              <w:right w:val="single" w:sz="4" w:space="0" w:color="DDDDDD"/>
            </w:tcBorders>
            <w:vAlign w:val="center"/>
          </w:tcPr>
          <w:p w14:paraId="48C3AE5B" w14:textId="4E63E6D0" w:rsidR="00F14B49" w:rsidRDefault="00F14B49" w:rsidP="00F14B49">
            <w:pPr>
              <w:pStyle w:val="TableText"/>
              <w:spacing w:line="276" w:lineRule="auto"/>
              <w:jc w:val="center"/>
              <w:rPr>
                <w:rFonts w:cs="Arial"/>
                <w:b/>
                <w:color w:val="00B050"/>
              </w:rPr>
            </w:pPr>
            <w:r>
              <w:rPr>
                <w:rFonts w:cs="Arial"/>
                <w:b/>
                <w:color w:val="00B050"/>
              </w:rPr>
              <w:t>+</w:t>
            </w:r>
          </w:p>
          <w:p w14:paraId="34377C96" w14:textId="5A973289" w:rsidR="00F14B49" w:rsidRDefault="00BD0675">
            <w:pPr>
              <w:pStyle w:val="TableText"/>
              <w:spacing w:line="276" w:lineRule="auto"/>
              <w:jc w:val="center"/>
              <w:rPr>
                <w:lang w:val="en-NZ"/>
              </w:rPr>
            </w:pPr>
            <w:r>
              <w:rPr>
                <w:lang w:val="en-NZ"/>
              </w:rPr>
              <w:t xml:space="preserve">Supports the Government’s </w:t>
            </w:r>
            <w:r w:rsidR="00011AB9">
              <w:rPr>
                <w:bCs/>
                <w:lang w:val="en-NZ"/>
              </w:rPr>
              <w:t xml:space="preserve">trust disclosure rules </w:t>
            </w:r>
            <w:r>
              <w:rPr>
                <w:lang w:val="en-NZ"/>
              </w:rPr>
              <w:t>objectives. Inconsistent with other entity types.</w:t>
            </w:r>
          </w:p>
        </w:tc>
        <w:tc>
          <w:tcPr>
            <w:tcW w:w="2977" w:type="dxa"/>
            <w:tcBorders>
              <w:top w:val="single" w:sz="4" w:space="0" w:color="DDDDDD"/>
              <w:left w:val="single" w:sz="4" w:space="0" w:color="DDDDDD"/>
              <w:bottom w:val="single" w:sz="4" w:space="0" w:color="DDDDDD"/>
              <w:right w:val="single" w:sz="4" w:space="0" w:color="DDDDDD"/>
            </w:tcBorders>
            <w:vAlign w:val="center"/>
          </w:tcPr>
          <w:p w14:paraId="6D05282A" w14:textId="77777777" w:rsidR="00F14B49" w:rsidRDefault="00F14B49">
            <w:pPr>
              <w:pStyle w:val="TableText"/>
              <w:spacing w:line="276" w:lineRule="auto"/>
              <w:jc w:val="center"/>
              <w:rPr>
                <w:rFonts w:cs="Arial"/>
                <w:b/>
                <w:color w:val="00B050"/>
              </w:rPr>
            </w:pPr>
            <w:r>
              <w:rPr>
                <w:rFonts w:cs="Arial"/>
                <w:b/>
                <w:color w:val="00B050"/>
              </w:rPr>
              <w:t>++</w:t>
            </w:r>
          </w:p>
          <w:p w14:paraId="33B137C1" w14:textId="011E90B9" w:rsidR="00F14B49" w:rsidRDefault="00BD0675">
            <w:pPr>
              <w:pStyle w:val="TableText"/>
              <w:spacing w:line="276" w:lineRule="auto"/>
              <w:jc w:val="center"/>
              <w:rPr>
                <w:rFonts w:cs="Arial"/>
                <w:b/>
                <w:color w:val="00B050"/>
              </w:rPr>
            </w:pPr>
            <w:r>
              <w:rPr>
                <w:lang w:val="en-NZ"/>
              </w:rPr>
              <w:t xml:space="preserve">Supports the Government’s </w:t>
            </w:r>
            <w:r w:rsidR="00011AB9">
              <w:rPr>
                <w:bCs/>
                <w:lang w:val="en-NZ"/>
              </w:rPr>
              <w:t xml:space="preserve">trust disclosure rules </w:t>
            </w:r>
            <w:r>
              <w:rPr>
                <w:lang w:val="en-NZ"/>
              </w:rPr>
              <w:t xml:space="preserve">objectives </w:t>
            </w:r>
            <w:r w:rsidR="00F14B49">
              <w:rPr>
                <w:lang w:val="en-NZ"/>
              </w:rPr>
              <w:t>and creates consistency with other entity types.</w:t>
            </w:r>
          </w:p>
        </w:tc>
        <w:tc>
          <w:tcPr>
            <w:tcW w:w="3225" w:type="dxa"/>
            <w:tcBorders>
              <w:top w:val="single" w:sz="4" w:space="0" w:color="DDDDDD"/>
              <w:left w:val="single" w:sz="4" w:space="0" w:color="DDDDDD"/>
              <w:bottom w:val="single" w:sz="4" w:space="0" w:color="DDDDDD"/>
              <w:right w:val="single" w:sz="4" w:space="0" w:color="DDDDDD"/>
            </w:tcBorders>
            <w:vAlign w:val="center"/>
          </w:tcPr>
          <w:p w14:paraId="7D7B4165" w14:textId="370C6E7F" w:rsidR="00F14B49" w:rsidRDefault="00F14B49">
            <w:pPr>
              <w:pStyle w:val="TableText"/>
              <w:spacing w:line="276" w:lineRule="auto"/>
              <w:jc w:val="center"/>
              <w:rPr>
                <w:rFonts w:cs="Arial"/>
                <w:b/>
                <w:color w:val="00B050"/>
              </w:rPr>
            </w:pPr>
            <w:r>
              <w:rPr>
                <w:rFonts w:cs="Arial"/>
                <w:b/>
                <w:color w:val="00B050"/>
              </w:rPr>
              <w:t>+</w:t>
            </w:r>
          </w:p>
          <w:p w14:paraId="0FBDB759" w14:textId="5A58754E" w:rsidR="00F14B49" w:rsidRDefault="00BD0675">
            <w:pPr>
              <w:pStyle w:val="TableText"/>
              <w:spacing w:line="276" w:lineRule="auto"/>
              <w:jc w:val="center"/>
              <w:rPr>
                <w:rFonts w:cs="Arial"/>
                <w:b/>
                <w:color w:val="00B050"/>
              </w:rPr>
            </w:pPr>
            <w:r>
              <w:rPr>
                <w:lang w:val="en-NZ"/>
              </w:rPr>
              <w:t xml:space="preserve">Supports the Government’s </w:t>
            </w:r>
            <w:r w:rsidR="00011AB9">
              <w:rPr>
                <w:bCs/>
                <w:lang w:val="en-NZ"/>
              </w:rPr>
              <w:t xml:space="preserve">trust disclosure rules </w:t>
            </w:r>
            <w:r>
              <w:rPr>
                <w:lang w:val="en-NZ"/>
              </w:rPr>
              <w:t>objectives.</w:t>
            </w:r>
            <w:r w:rsidR="00F14B49">
              <w:rPr>
                <w:lang w:val="en-NZ"/>
              </w:rPr>
              <w:t xml:space="preserve"> </w:t>
            </w:r>
            <w:r>
              <w:rPr>
                <w:lang w:val="en-NZ"/>
              </w:rPr>
              <w:t>Inconsistent with other entity types. Limited flexibility to adapt standards</w:t>
            </w:r>
            <w:r w:rsidR="00F14B49">
              <w:rPr>
                <w:lang w:val="en-NZ"/>
              </w:rPr>
              <w:t>.</w:t>
            </w:r>
          </w:p>
        </w:tc>
      </w:tr>
    </w:tbl>
    <w:p w14:paraId="53C73E62" w14:textId="77777777" w:rsidR="00345D39" w:rsidRDefault="00345D39">
      <w:pPr>
        <w:spacing w:after="0" w:line="240" w:lineRule="auto"/>
        <w:rPr>
          <w:b/>
          <w:bCs/>
          <w:sz w:val="28"/>
          <w:szCs w:val="24"/>
          <w:lang w:val="en-NZ"/>
        </w:rPr>
      </w:pPr>
      <w:r>
        <w:rPr>
          <w:b/>
          <w:bCs/>
          <w:sz w:val="28"/>
          <w:szCs w:val="24"/>
          <w:lang w:val="en-NZ"/>
        </w:rPr>
        <w:br w:type="page"/>
      </w:r>
    </w:p>
    <w:p w14:paraId="037B9CF1" w14:textId="2D8EA11A" w:rsidR="00157D6E" w:rsidRPr="00D62E64" w:rsidRDefault="00157D6E" w:rsidP="00D62E64">
      <w:pPr>
        <w:jc w:val="center"/>
        <w:rPr>
          <w:sz w:val="28"/>
          <w:szCs w:val="24"/>
          <w:lang w:val="en-NZ"/>
        </w:rPr>
      </w:pPr>
      <w:r w:rsidRPr="00D62E64">
        <w:rPr>
          <w:b/>
          <w:bCs/>
          <w:sz w:val="28"/>
          <w:szCs w:val="24"/>
          <w:lang w:val="en-NZ"/>
        </w:rPr>
        <w:t>Timing of OIC</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148"/>
        <w:gridCol w:w="3976"/>
        <w:gridCol w:w="3969"/>
        <w:gridCol w:w="4245"/>
      </w:tblGrid>
      <w:tr w:rsidR="00121919" w14:paraId="4C357661" w14:textId="77777777" w:rsidTr="00276846">
        <w:trPr>
          <w:trHeight w:val="395"/>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70638882" w14:textId="77777777" w:rsidR="00121919" w:rsidRDefault="00121919">
            <w:pPr>
              <w:spacing w:before="60" w:after="60" w:line="276" w:lineRule="auto"/>
              <w:jc w:val="center"/>
              <w:rPr>
                <w:rFonts w:cs="Arial"/>
                <w:bCs/>
                <w:i/>
                <w:iCs/>
                <w:color w:val="FFFFFF"/>
                <w:sz w:val="20"/>
                <w:szCs w:val="24"/>
                <w:lang w:val="en-NZ"/>
              </w:rPr>
            </w:pPr>
          </w:p>
        </w:tc>
        <w:tc>
          <w:tcPr>
            <w:tcW w:w="3976"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578D199" w14:textId="4E99292B" w:rsidR="00121919" w:rsidRDefault="00121919">
            <w:pPr>
              <w:spacing w:before="60" w:after="60" w:line="240" w:lineRule="auto"/>
              <w:jc w:val="center"/>
              <w:rPr>
                <w:rFonts w:cs="Arial"/>
                <w:b/>
                <w:color w:val="000000"/>
                <w:szCs w:val="22"/>
                <w:lang w:val="en-NZ"/>
              </w:rPr>
            </w:pPr>
            <w:r>
              <w:rPr>
                <w:rFonts w:cs="Arial"/>
                <w:b/>
                <w:color w:val="000000"/>
                <w:szCs w:val="22"/>
                <w:lang w:val="en-NZ"/>
              </w:rPr>
              <w:t xml:space="preserve">Option One – </w:t>
            </w:r>
            <w:r w:rsidR="00241DC9" w:rsidRPr="00242BAA">
              <w:rPr>
                <w:lang w:val="en-NZ"/>
              </w:rPr>
              <w:t>2021–22 and later income years</w:t>
            </w:r>
          </w:p>
        </w:tc>
        <w:tc>
          <w:tcPr>
            <w:tcW w:w="3969"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770DA37C" w14:textId="5EA7B2EF" w:rsidR="00121919" w:rsidRDefault="00121919">
            <w:pPr>
              <w:spacing w:before="60" w:after="60" w:line="276" w:lineRule="auto"/>
              <w:jc w:val="center"/>
              <w:rPr>
                <w:rFonts w:cs="Arial"/>
                <w:b/>
                <w:color w:val="000000"/>
                <w:szCs w:val="22"/>
                <w:lang w:val="en-NZ"/>
              </w:rPr>
            </w:pPr>
            <w:r>
              <w:rPr>
                <w:rFonts w:cs="Arial"/>
                <w:b/>
                <w:color w:val="000000"/>
                <w:szCs w:val="22"/>
                <w:lang w:val="en-NZ"/>
              </w:rPr>
              <w:t xml:space="preserve">Option Two – </w:t>
            </w:r>
            <w:r w:rsidR="00241DC9" w:rsidRPr="00242BAA">
              <w:rPr>
                <w:lang w:val="en-NZ"/>
              </w:rPr>
              <w:t>2022–23 and later income years</w:t>
            </w:r>
          </w:p>
        </w:tc>
        <w:tc>
          <w:tcPr>
            <w:tcW w:w="4245"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145C222" w14:textId="58D8C3A9" w:rsidR="00121919" w:rsidRDefault="00121919">
            <w:pPr>
              <w:spacing w:before="60" w:after="60" w:line="276" w:lineRule="auto"/>
              <w:jc w:val="center"/>
              <w:rPr>
                <w:rFonts w:cs="Arial"/>
                <w:b/>
                <w:color w:val="000000"/>
                <w:szCs w:val="22"/>
                <w:lang w:val="en-NZ"/>
              </w:rPr>
            </w:pPr>
            <w:r>
              <w:rPr>
                <w:rFonts w:cs="Arial"/>
                <w:b/>
                <w:color w:val="000000"/>
                <w:szCs w:val="22"/>
                <w:lang w:val="en-NZ"/>
              </w:rPr>
              <w:t xml:space="preserve">Option </w:t>
            </w:r>
            <w:r w:rsidR="00241DC9">
              <w:rPr>
                <w:rFonts w:cs="Arial"/>
                <w:b/>
                <w:color w:val="000000"/>
                <w:szCs w:val="22"/>
                <w:lang w:val="en-NZ"/>
              </w:rPr>
              <w:t xml:space="preserve">Three – </w:t>
            </w:r>
            <w:r w:rsidR="00241DC9" w:rsidRPr="00242BAA">
              <w:rPr>
                <w:lang w:val="en-NZ"/>
              </w:rPr>
              <w:t>2021–22 and later income years</w:t>
            </w:r>
            <w:r w:rsidR="00241DC9">
              <w:rPr>
                <w:b/>
                <w:bCs/>
                <w:lang w:val="en-NZ"/>
              </w:rPr>
              <w:t xml:space="preserve">. </w:t>
            </w:r>
            <w:r w:rsidR="00241DC9" w:rsidRPr="00241DC9">
              <w:rPr>
                <w:lang w:val="en-NZ"/>
              </w:rPr>
              <w:t>“</w:t>
            </w:r>
            <w:r w:rsidR="00241DC9">
              <w:rPr>
                <w:lang w:val="en-NZ"/>
              </w:rPr>
              <w:t>B</w:t>
            </w:r>
            <w:r w:rsidR="00241DC9" w:rsidRPr="00241DC9">
              <w:rPr>
                <w:lang w:val="en-NZ"/>
              </w:rPr>
              <w:t>est efforts” approach to first year</w:t>
            </w:r>
            <w:r w:rsidR="00276846">
              <w:rPr>
                <w:lang w:val="en-NZ"/>
              </w:rPr>
              <w:t xml:space="preserve"> in OIC</w:t>
            </w:r>
            <w:r w:rsidR="00241DC9" w:rsidRPr="00241DC9">
              <w:rPr>
                <w:lang w:val="en-NZ"/>
              </w:rPr>
              <w:t>.</w:t>
            </w:r>
          </w:p>
        </w:tc>
      </w:tr>
      <w:tr w:rsidR="00121919" w14:paraId="16E6A5A6" w14:textId="77777777" w:rsidTr="00276846">
        <w:trPr>
          <w:trHeight w:val="615"/>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A0B53E3" w14:textId="6E3C9041" w:rsidR="00121919" w:rsidRDefault="00BD0675">
            <w:pPr>
              <w:spacing w:before="60" w:after="60" w:line="240" w:lineRule="auto"/>
              <w:jc w:val="center"/>
              <w:rPr>
                <w:rFonts w:cs="Arial"/>
                <w:b/>
                <w:color w:val="000000"/>
                <w:szCs w:val="22"/>
                <w:lang w:val="en-NZ"/>
              </w:rPr>
            </w:pPr>
            <w:r>
              <w:rPr>
                <w:rFonts w:cs="Arial"/>
                <w:b/>
                <w:color w:val="000000"/>
                <w:szCs w:val="22"/>
                <w:lang w:val="en-NZ"/>
              </w:rPr>
              <w:t>C</w:t>
            </w:r>
            <w:r w:rsidR="00157D6E">
              <w:rPr>
                <w:rFonts w:cs="Arial"/>
                <w:b/>
                <w:color w:val="000000"/>
                <w:szCs w:val="22"/>
                <w:lang w:val="en-NZ"/>
              </w:rPr>
              <w:t>ompliance costs</w:t>
            </w:r>
          </w:p>
        </w:tc>
        <w:tc>
          <w:tcPr>
            <w:tcW w:w="3976" w:type="dxa"/>
            <w:tcBorders>
              <w:top w:val="single" w:sz="4" w:space="0" w:color="DDDDDD"/>
              <w:left w:val="single" w:sz="4" w:space="0" w:color="DDDDDD"/>
              <w:bottom w:val="single" w:sz="4" w:space="0" w:color="DDDDDD"/>
              <w:right w:val="single" w:sz="4" w:space="0" w:color="DDDDDD"/>
            </w:tcBorders>
            <w:vAlign w:val="center"/>
            <w:hideMark/>
          </w:tcPr>
          <w:p w14:paraId="5C707D22" w14:textId="77777777" w:rsidR="00BD0675" w:rsidRPr="00180514" w:rsidRDefault="00BD0675" w:rsidP="00BD0675">
            <w:pPr>
              <w:pStyle w:val="TableText"/>
              <w:spacing w:line="276" w:lineRule="auto"/>
              <w:jc w:val="center"/>
              <w:rPr>
                <w:bCs/>
                <w:lang w:val="en-NZ"/>
              </w:rPr>
            </w:pPr>
            <w:r w:rsidRPr="00180514">
              <w:rPr>
                <w:bCs/>
                <w:lang w:val="en-NZ"/>
              </w:rPr>
              <w:t>n/a</w:t>
            </w:r>
          </w:p>
          <w:p w14:paraId="627D79AF" w14:textId="77777777" w:rsidR="00BD0675" w:rsidRPr="00180514" w:rsidRDefault="00BD0675" w:rsidP="00BD0675">
            <w:pPr>
              <w:pStyle w:val="TableText"/>
              <w:spacing w:line="276" w:lineRule="auto"/>
              <w:jc w:val="center"/>
              <w:rPr>
                <w:bCs/>
                <w:lang w:val="en-NZ"/>
              </w:rPr>
            </w:pPr>
            <w:r>
              <w:rPr>
                <w:bCs/>
                <w:lang w:val="en-NZ"/>
              </w:rPr>
              <w:t>Unlikely to impact on compliance costs.</w:t>
            </w:r>
          </w:p>
          <w:p w14:paraId="5F9DED7A" w14:textId="378C8301" w:rsidR="00D9610F" w:rsidRDefault="00D9610F">
            <w:pPr>
              <w:pStyle w:val="TableText"/>
              <w:spacing w:line="276" w:lineRule="auto"/>
              <w:jc w:val="center"/>
              <w:rPr>
                <w:bCs/>
                <w:lang w:val="en-NZ"/>
              </w:rPr>
            </w:pPr>
          </w:p>
        </w:tc>
        <w:tc>
          <w:tcPr>
            <w:tcW w:w="3969" w:type="dxa"/>
            <w:tcBorders>
              <w:top w:val="single" w:sz="4" w:space="0" w:color="DDDDDD"/>
              <w:left w:val="single" w:sz="4" w:space="0" w:color="DDDDDD"/>
              <w:bottom w:val="single" w:sz="4" w:space="0" w:color="DDDDDD"/>
              <w:right w:val="single" w:sz="4" w:space="0" w:color="DDDDDD"/>
            </w:tcBorders>
            <w:vAlign w:val="center"/>
            <w:hideMark/>
          </w:tcPr>
          <w:p w14:paraId="5F88EFA4" w14:textId="77777777" w:rsidR="00BD0675" w:rsidRPr="00180514" w:rsidRDefault="00BD0675" w:rsidP="00BD0675">
            <w:pPr>
              <w:pStyle w:val="TableText"/>
              <w:spacing w:line="276" w:lineRule="auto"/>
              <w:jc w:val="center"/>
              <w:rPr>
                <w:bCs/>
                <w:lang w:val="en-NZ"/>
              </w:rPr>
            </w:pPr>
            <w:r w:rsidRPr="00180514">
              <w:rPr>
                <w:bCs/>
                <w:lang w:val="en-NZ"/>
              </w:rPr>
              <w:t>n/a</w:t>
            </w:r>
          </w:p>
          <w:p w14:paraId="235E5B65" w14:textId="77777777" w:rsidR="00BD0675" w:rsidRPr="00180514" w:rsidRDefault="00BD0675" w:rsidP="00BD0675">
            <w:pPr>
              <w:pStyle w:val="TableText"/>
              <w:spacing w:line="276" w:lineRule="auto"/>
              <w:jc w:val="center"/>
              <w:rPr>
                <w:bCs/>
                <w:lang w:val="en-NZ"/>
              </w:rPr>
            </w:pPr>
            <w:r>
              <w:rPr>
                <w:bCs/>
                <w:lang w:val="en-NZ"/>
              </w:rPr>
              <w:t>Unlikely to impact on compliance costs.</w:t>
            </w:r>
          </w:p>
          <w:p w14:paraId="48AC3C22" w14:textId="40331A00" w:rsidR="00121919" w:rsidRDefault="00121919">
            <w:pPr>
              <w:pStyle w:val="TableText"/>
              <w:spacing w:line="276" w:lineRule="auto"/>
              <w:jc w:val="center"/>
              <w:rPr>
                <w:i/>
                <w:iCs/>
                <w:lang w:val="en-NZ"/>
              </w:rPr>
            </w:pPr>
          </w:p>
        </w:tc>
        <w:tc>
          <w:tcPr>
            <w:tcW w:w="4245" w:type="dxa"/>
            <w:tcBorders>
              <w:top w:val="single" w:sz="4" w:space="0" w:color="DDDDDD"/>
              <w:left w:val="single" w:sz="4" w:space="0" w:color="DDDDDD"/>
              <w:bottom w:val="single" w:sz="4" w:space="0" w:color="DDDDDD"/>
              <w:right w:val="single" w:sz="4" w:space="0" w:color="DDDDDD"/>
            </w:tcBorders>
            <w:vAlign w:val="center"/>
          </w:tcPr>
          <w:p w14:paraId="43B87EDF" w14:textId="77777777" w:rsidR="00BD0675" w:rsidRPr="00180514" w:rsidRDefault="00BD0675" w:rsidP="00957410">
            <w:pPr>
              <w:pStyle w:val="TableText"/>
              <w:spacing w:line="276" w:lineRule="auto"/>
              <w:jc w:val="center"/>
              <w:rPr>
                <w:bCs/>
                <w:lang w:val="en-NZ"/>
              </w:rPr>
            </w:pPr>
            <w:r w:rsidRPr="00180514">
              <w:rPr>
                <w:bCs/>
                <w:lang w:val="en-NZ"/>
              </w:rPr>
              <w:t>n/a</w:t>
            </w:r>
          </w:p>
          <w:p w14:paraId="128BC3E3" w14:textId="63E6AD73" w:rsidR="0019792F" w:rsidRDefault="00BD0675">
            <w:pPr>
              <w:pStyle w:val="TableText"/>
              <w:spacing w:line="276" w:lineRule="auto"/>
              <w:jc w:val="center"/>
              <w:rPr>
                <w:lang w:val="en-NZ"/>
              </w:rPr>
            </w:pPr>
            <w:r>
              <w:rPr>
                <w:bCs/>
                <w:lang w:val="en-NZ"/>
              </w:rPr>
              <w:t>Unlikely to impact on compliance costs.</w:t>
            </w:r>
          </w:p>
        </w:tc>
      </w:tr>
      <w:tr w:rsidR="00121919" w14:paraId="6B9E76EB" w14:textId="77777777" w:rsidTr="00276846">
        <w:trPr>
          <w:trHeight w:val="378"/>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296D7E0A" w14:textId="23990B51" w:rsidR="00121919" w:rsidRDefault="00CC08DC">
            <w:pPr>
              <w:spacing w:before="60" w:after="60" w:line="240" w:lineRule="auto"/>
              <w:jc w:val="center"/>
              <w:rPr>
                <w:rFonts w:cs="Arial"/>
                <w:b/>
                <w:color w:val="000000"/>
                <w:szCs w:val="22"/>
                <w:lang w:val="en-NZ"/>
              </w:rPr>
            </w:pPr>
            <w:r>
              <w:rPr>
                <w:rFonts w:cs="Arial"/>
                <w:b/>
                <w:color w:val="000000"/>
                <w:szCs w:val="22"/>
                <w:lang w:val="en-NZ"/>
              </w:rPr>
              <w:t>Achieving the Government’s objectives</w:t>
            </w:r>
          </w:p>
        </w:tc>
        <w:tc>
          <w:tcPr>
            <w:tcW w:w="3976" w:type="dxa"/>
            <w:tcBorders>
              <w:top w:val="single" w:sz="4" w:space="0" w:color="DDDDDD"/>
              <w:left w:val="single" w:sz="4" w:space="0" w:color="DDDDDD"/>
              <w:bottom w:val="single" w:sz="4" w:space="0" w:color="DDDDDD"/>
              <w:right w:val="single" w:sz="4" w:space="0" w:color="DDDDDD"/>
            </w:tcBorders>
            <w:vAlign w:val="center"/>
            <w:hideMark/>
          </w:tcPr>
          <w:p w14:paraId="788981E8" w14:textId="77777777" w:rsidR="00BD0675" w:rsidRDefault="00BD0675" w:rsidP="00BD0675">
            <w:pPr>
              <w:pStyle w:val="TableText"/>
              <w:spacing w:line="276" w:lineRule="auto"/>
              <w:jc w:val="center"/>
              <w:rPr>
                <w:rFonts w:cs="Arial"/>
                <w:b/>
                <w:color w:val="00B050"/>
              </w:rPr>
            </w:pPr>
            <w:r>
              <w:rPr>
                <w:rFonts w:cs="Arial"/>
                <w:b/>
                <w:color w:val="00B050"/>
              </w:rPr>
              <w:t>++</w:t>
            </w:r>
          </w:p>
          <w:p w14:paraId="688909F7" w14:textId="5CB91283" w:rsidR="00121919" w:rsidRDefault="00BD0675" w:rsidP="00F27D87">
            <w:pPr>
              <w:pStyle w:val="TableText"/>
              <w:spacing w:line="276" w:lineRule="auto"/>
              <w:jc w:val="center"/>
              <w:rPr>
                <w:bCs/>
                <w:lang w:val="en-NZ"/>
              </w:rPr>
            </w:pPr>
            <w:r>
              <w:rPr>
                <w:bCs/>
                <w:lang w:val="en-NZ"/>
              </w:rPr>
              <w:t>Certainty for taxpayers regarding</w:t>
            </w:r>
            <w:r w:rsidR="00F469AD">
              <w:rPr>
                <w:bCs/>
                <w:lang w:val="en-NZ"/>
              </w:rPr>
              <w:t xml:space="preserve"> their</w:t>
            </w:r>
            <w:r>
              <w:rPr>
                <w:bCs/>
                <w:lang w:val="en-NZ"/>
              </w:rPr>
              <w:t xml:space="preserve"> reporting obligations supports compliance with the trust disclosure rules and</w:t>
            </w:r>
            <w:r w:rsidR="00F469AD">
              <w:rPr>
                <w:bCs/>
                <w:lang w:val="en-NZ"/>
              </w:rPr>
              <w:t xml:space="preserve"> the</w:t>
            </w:r>
            <w:r>
              <w:rPr>
                <w:bCs/>
                <w:lang w:val="en-NZ"/>
              </w:rPr>
              <w:t xml:space="preserve"> quality of data collected by Inland Revenue.</w:t>
            </w:r>
          </w:p>
        </w:tc>
        <w:tc>
          <w:tcPr>
            <w:tcW w:w="3969" w:type="dxa"/>
            <w:tcBorders>
              <w:top w:val="single" w:sz="4" w:space="0" w:color="DDDDDD"/>
              <w:left w:val="single" w:sz="4" w:space="0" w:color="DDDDDD"/>
              <w:bottom w:val="single" w:sz="4" w:space="0" w:color="DDDDDD"/>
              <w:right w:val="single" w:sz="4" w:space="0" w:color="DDDDDD"/>
            </w:tcBorders>
            <w:vAlign w:val="center"/>
          </w:tcPr>
          <w:p w14:paraId="76B5CBFA" w14:textId="77777777" w:rsidR="00F14B49" w:rsidRDefault="00F14B49" w:rsidP="00F14B49">
            <w:pPr>
              <w:pStyle w:val="TableText"/>
              <w:spacing w:line="276" w:lineRule="auto"/>
              <w:jc w:val="center"/>
              <w:rPr>
                <w:rFonts w:cs="Arial"/>
                <w:b/>
                <w:color w:val="FF0000"/>
              </w:rPr>
            </w:pPr>
            <w:r>
              <w:rPr>
                <w:rFonts w:cs="Arial"/>
                <w:b/>
                <w:color w:val="FF0000"/>
              </w:rPr>
              <w:t>- -</w:t>
            </w:r>
          </w:p>
          <w:p w14:paraId="6C503BBE" w14:textId="68D67C3D" w:rsidR="00121919" w:rsidRDefault="00F27D87" w:rsidP="00F27D87">
            <w:pPr>
              <w:pStyle w:val="TableText"/>
              <w:spacing w:line="276" w:lineRule="auto"/>
              <w:jc w:val="center"/>
              <w:rPr>
                <w:lang w:val="en-NZ"/>
              </w:rPr>
            </w:pPr>
            <w:r>
              <w:rPr>
                <w:lang w:val="en-NZ"/>
              </w:rPr>
              <w:t xml:space="preserve">Risks </w:t>
            </w:r>
            <w:r w:rsidR="003F4BFC">
              <w:rPr>
                <w:lang w:val="en-NZ"/>
              </w:rPr>
              <w:t xml:space="preserve">negatively </w:t>
            </w:r>
            <w:r>
              <w:rPr>
                <w:lang w:val="en-NZ"/>
              </w:rPr>
              <w:t xml:space="preserve">impacting on voluntary compliance </w:t>
            </w:r>
            <w:r w:rsidR="007251AD">
              <w:rPr>
                <w:lang w:val="en-NZ"/>
              </w:rPr>
              <w:t xml:space="preserve">with s 59BA </w:t>
            </w:r>
            <w:r>
              <w:rPr>
                <w:lang w:val="en-NZ"/>
              </w:rPr>
              <w:t xml:space="preserve">and </w:t>
            </w:r>
            <w:r w:rsidR="00F469AD">
              <w:rPr>
                <w:lang w:val="en-NZ"/>
              </w:rPr>
              <w:t xml:space="preserve">the </w:t>
            </w:r>
            <w:r w:rsidR="00BD0675">
              <w:rPr>
                <w:lang w:val="en-NZ"/>
              </w:rPr>
              <w:t>quality of data by Inland Revenue</w:t>
            </w:r>
            <w:r>
              <w:rPr>
                <w:lang w:val="en-NZ"/>
              </w:rPr>
              <w:t>.</w:t>
            </w:r>
            <w:r w:rsidR="00BD0675">
              <w:rPr>
                <w:lang w:val="en-NZ"/>
              </w:rPr>
              <w:t xml:space="preserve"> Risks </w:t>
            </w:r>
            <w:r w:rsidR="003F4BFC">
              <w:rPr>
                <w:lang w:val="en-NZ"/>
              </w:rPr>
              <w:t xml:space="preserve">negatively </w:t>
            </w:r>
            <w:r w:rsidR="00BD0675">
              <w:rPr>
                <w:lang w:val="en-NZ"/>
              </w:rPr>
              <w:t>impacting Inland Revenue’s ability to evaluate compliance with the new 39% rate.</w:t>
            </w:r>
          </w:p>
        </w:tc>
        <w:tc>
          <w:tcPr>
            <w:tcW w:w="4245" w:type="dxa"/>
            <w:tcBorders>
              <w:top w:val="single" w:sz="4" w:space="0" w:color="DDDDDD"/>
              <w:left w:val="single" w:sz="4" w:space="0" w:color="DDDDDD"/>
              <w:bottom w:val="single" w:sz="4" w:space="0" w:color="DDDDDD"/>
              <w:right w:val="single" w:sz="4" w:space="0" w:color="DDDDDD"/>
            </w:tcBorders>
            <w:vAlign w:val="center"/>
          </w:tcPr>
          <w:p w14:paraId="1DDDB018" w14:textId="77777777" w:rsidR="00BD0675" w:rsidRDefault="00BD0675" w:rsidP="00BD0675">
            <w:pPr>
              <w:pStyle w:val="TableText"/>
              <w:spacing w:line="276" w:lineRule="auto"/>
              <w:jc w:val="center"/>
              <w:rPr>
                <w:rFonts w:cs="Arial"/>
                <w:b/>
                <w:color w:val="00B050"/>
              </w:rPr>
            </w:pPr>
            <w:r>
              <w:rPr>
                <w:rFonts w:cs="Arial"/>
                <w:b/>
                <w:color w:val="00B050"/>
              </w:rPr>
              <w:t>++</w:t>
            </w:r>
          </w:p>
          <w:p w14:paraId="5D10E142" w14:textId="4F033A51" w:rsidR="004F23C5" w:rsidRDefault="00BD0675">
            <w:pPr>
              <w:pStyle w:val="TableText"/>
              <w:spacing w:line="276" w:lineRule="auto"/>
              <w:jc w:val="center"/>
              <w:rPr>
                <w:lang w:val="en-NZ"/>
              </w:rPr>
            </w:pPr>
            <w:r>
              <w:rPr>
                <w:bCs/>
                <w:lang w:val="en-NZ"/>
              </w:rPr>
              <w:t xml:space="preserve">Certainty for taxpayers regarding </w:t>
            </w:r>
            <w:r w:rsidR="00F469AD">
              <w:rPr>
                <w:bCs/>
                <w:lang w:val="en-NZ"/>
              </w:rPr>
              <w:t xml:space="preserve">their </w:t>
            </w:r>
            <w:r>
              <w:rPr>
                <w:bCs/>
                <w:lang w:val="en-NZ"/>
              </w:rPr>
              <w:t xml:space="preserve">reporting obligations supports compliance with the trust disclosure rules and </w:t>
            </w:r>
            <w:r w:rsidR="00F469AD">
              <w:rPr>
                <w:bCs/>
                <w:lang w:val="en-NZ"/>
              </w:rPr>
              <w:t xml:space="preserve">the </w:t>
            </w:r>
            <w:r>
              <w:rPr>
                <w:bCs/>
                <w:lang w:val="en-NZ"/>
              </w:rPr>
              <w:t>quality of data collected by Inland Revenue.</w:t>
            </w:r>
          </w:p>
        </w:tc>
      </w:tr>
      <w:tr w:rsidR="00121919" w14:paraId="3E262DC4" w14:textId="77777777" w:rsidTr="00276846">
        <w:trPr>
          <w:trHeight w:val="395"/>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944FC53" w14:textId="04E75679" w:rsidR="005D78E3" w:rsidRPr="006B0D5E" w:rsidRDefault="00157D6E">
            <w:pPr>
              <w:spacing w:before="60" w:after="60" w:line="240" w:lineRule="auto"/>
              <w:jc w:val="center"/>
              <w:rPr>
                <w:rFonts w:cs="Arial"/>
                <w:bCs/>
                <w:i/>
                <w:iCs/>
                <w:color w:val="000000"/>
                <w:szCs w:val="22"/>
                <w:lang w:val="en-NZ"/>
              </w:rPr>
            </w:pPr>
            <w:r>
              <w:rPr>
                <w:rFonts w:cs="Arial"/>
                <w:b/>
                <w:color w:val="000000"/>
                <w:szCs w:val="22"/>
                <w:lang w:val="en-NZ"/>
              </w:rPr>
              <w:t>Consistency with existing frameworks</w:t>
            </w:r>
          </w:p>
        </w:tc>
        <w:tc>
          <w:tcPr>
            <w:tcW w:w="3976" w:type="dxa"/>
            <w:tcBorders>
              <w:top w:val="single" w:sz="4" w:space="0" w:color="DDDDDD"/>
              <w:left w:val="single" w:sz="4" w:space="0" w:color="DDDDDD"/>
              <w:bottom w:val="single" w:sz="4" w:space="0" w:color="DDDDDD"/>
              <w:right w:val="single" w:sz="4" w:space="0" w:color="DDDDDD"/>
            </w:tcBorders>
            <w:vAlign w:val="center"/>
            <w:hideMark/>
          </w:tcPr>
          <w:p w14:paraId="4E05F522" w14:textId="77777777" w:rsidR="00121919" w:rsidRDefault="00B93C00">
            <w:pPr>
              <w:pStyle w:val="TableText"/>
              <w:spacing w:line="276" w:lineRule="auto"/>
              <w:jc w:val="center"/>
              <w:rPr>
                <w:rFonts w:cs="Arial"/>
                <w:b/>
                <w:color w:val="00B050"/>
              </w:rPr>
            </w:pPr>
            <w:r>
              <w:rPr>
                <w:rFonts w:cs="Arial"/>
                <w:b/>
                <w:color w:val="00B050"/>
              </w:rPr>
              <w:t>+</w:t>
            </w:r>
          </w:p>
          <w:p w14:paraId="2690C5CF" w14:textId="41DC5A0C" w:rsidR="003F6085" w:rsidRDefault="003F6085">
            <w:pPr>
              <w:pStyle w:val="TableText"/>
              <w:spacing w:line="276" w:lineRule="auto"/>
              <w:jc w:val="center"/>
              <w:rPr>
                <w:bCs/>
                <w:lang w:val="en-NZ"/>
              </w:rPr>
            </w:pPr>
            <w:r>
              <w:rPr>
                <w:bCs/>
                <w:lang w:val="en-NZ"/>
              </w:rPr>
              <w:t xml:space="preserve">Aligns </w:t>
            </w:r>
            <w:r w:rsidR="00CC08DC">
              <w:rPr>
                <w:bCs/>
                <w:lang w:val="en-NZ"/>
              </w:rPr>
              <w:t xml:space="preserve">timing of minimum standards </w:t>
            </w:r>
            <w:r>
              <w:rPr>
                <w:bCs/>
                <w:lang w:val="en-NZ"/>
              </w:rPr>
              <w:t xml:space="preserve">with </w:t>
            </w:r>
            <w:r w:rsidR="00CC08DC">
              <w:rPr>
                <w:bCs/>
                <w:lang w:val="en-NZ"/>
              </w:rPr>
              <w:t xml:space="preserve">the </w:t>
            </w:r>
            <w:r>
              <w:rPr>
                <w:bCs/>
                <w:lang w:val="en-NZ"/>
              </w:rPr>
              <w:t>trust disclosure rules.</w:t>
            </w:r>
          </w:p>
        </w:tc>
        <w:tc>
          <w:tcPr>
            <w:tcW w:w="3969" w:type="dxa"/>
            <w:tcBorders>
              <w:top w:val="single" w:sz="4" w:space="0" w:color="DDDDDD"/>
              <w:left w:val="single" w:sz="4" w:space="0" w:color="DDDDDD"/>
              <w:bottom w:val="single" w:sz="4" w:space="0" w:color="DDDDDD"/>
              <w:right w:val="single" w:sz="4" w:space="0" w:color="DDDDDD"/>
            </w:tcBorders>
            <w:vAlign w:val="center"/>
          </w:tcPr>
          <w:p w14:paraId="5E947DC6" w14:textId="77777777" w:rsidR="00BD0675" w:rsidRDefault="00BD0675" w:rsidP="00BD0675">
            <w:pPr>
              <w:pStyle w:val="TableText"/>
              <w:spacing w:line="276" w:lineRule="auto"/>
              <w:jc w:val="center"/>
              <w:rPr>
                <w:rFonts w:cs="Arial"/>
                <w:b/>
                <w:color w:val="FF0000"/>
              </w:rPr>
            </w:pPr>
            <w:r>
              <w:rPr>
                <w:rFonts w:cs="Arial"/>
                <w:b/>
                <w:color w:val="FF0000"/>
              </w:rPr>
              <w:t>- -</w:t>
            </w:r>
          </w:p>
          <w:p w14:paraId="1B015EE2" w14:textId="568201F0" w:rsidR="00121919" w:rsidRDefault="00BD0675">
            <w:pPr>
              <w:pStyle w:val="TableText"/>
              <w:spacing w:line="276" w:lineRule="auto"/>
              <w:jc w:val="center"/>
              <w:rPr>
                <w:lang w:val="en-NZ"/>
              </w:rPr>
            </w:pPr>
            <w:r>
              <w:rPr>
                <w:lang w:val="en-NZ" w:eastAsia="en-NZ"/>
              </w:rPr>
              <w:t>Not aligned with the trust disclosure rules.</w:t>
            </w:r>
          </w:p>
        </w:tc>
        <w:tc>
          <w:tcPr>
            <w:tcW w:w="4245" w:type="dxa"/>
            <w:tcBorders>
              <w:top w:val="single" w:sz="4" w:space="0" w:color="DDDDDD"/>
              <w:left w:val="single" w:sz="4" w:space="0" w:color="DDDDDD"/>
              <w:bottom w:val="single" w:sz="4" w:space="0" w:color="DDDDDD"/>
              <w:right w:val="single" w:sz="4" w:space="0" w:color="DDDDDD"/>
            </w:tcBorders>
            <w:vAlign w:val="center"/>
          </w:tcPr>
          <w:p w14:paraId="7D002B96" w14:textId="155BE2AE" w:rsidR="00B37A91" w:rsidRDefault="00B37A91" w:rsidP="003F6085">
            <w:pPr>
              <w:pStyle w:val="TableText"/>
              <w:spacing w:line="276" w:lineRule="auto"/>
              <w:jc w:val="center"/>
              <w:rPr>
                <w:bCs/>
                <w:lang w:val="en-NZ"/>
              </w:rPr>
            </w:pPr>
            <w:r>
              <w:rPr>
                <w:rFonts w:cs="Arial"/>
                <w:b/>
                <w:color w:val="FF0000"/>
              </w:rPr>
              <w:t>-</w:t>
            </w:r>
          </w:p>
          <w:p w14:paraId="1EA1BEEC" w14:textId="0113E88F" w:rsidR="00121919" w:rsidRDefault="00CC08DC" w:rsidP="003F6085">
            <w:pPr>
              <w:pStyle w:val="TableText"/>
              <w:spacing w:line="276" w:lineRule="auto"/>
              <w:jc w:val="center"/>
              <w:rPr>
                <w:lang w:val="en-NZ"/>
              </w:rPr>
            </w:pPr>
            <w:r>
              <w:rPr>
                <w:bCs/>
                <w:lang w:val="en-NZ"/>
              </w:rPr>
              <w:t xml:space="preserve">Aligns timing </w:t>
            </w:r>
            <w:r w:rsidR="00F15325">
              <w:rPr>
                <w:bCs/>
                <w:lang w:val="en-NZ"/>
              </w:rPr>
              <w:t xml:space="preserve">of OIC </w:t>
            </w:r>
            <w:r>
              <w:rPr>
                <w:bCs/>
                <w:lang w:val="en-NZ"/>
              </w:rPr>
              <w:t>with the trust disclosure rules.</w:t>
            </w:r>
            <w:r w:rsidR="00B37A91">
              <w:rPr>
                <w:bCs/>
                <w:lang w:val="en-NZ"/>
              </w:rPr>
              <w:t xml:space="preserve"> </w:t>
            </w:r>
            <w:r w:rsidR="00E85D76">
              <w:rPr>
                <w:bCs/>
                <w:lang w:val="en-NZ"/>
              </w:rPr>
              <w:t>Setting out</w:t>
            </w:r>
            <w:r w:rsidR="00B37A91">
              <w:rPr>
                <w:bCs/>
                <w:lang w:val="en-NZ"/>
              </w:rPr>
              <w:t xml:space="preserve"> “best efforts” in an OIC is inconsistent with </w:t>
            </w:r>
            <w:r w:rsidR="00E85D76">
              <w:rPr>
                <w:bCs/>
                <w:lang w:val="en-NZ"/>
              </w:rPr>
              <w:t xml:space="preserve">previous </w:t>
            </w:r>
            <w:r w:rsidR="00706F55">
              <w:rPr>
                <w:bCs/>
                <w:lang w:val="en-NZ"/>
              </w:rPr>
              <w:t>approach</w:t>
            </w:r>
            <w:r w:rsidR="00E85D76">
              <w:rPr>
                <w:bCs/>
                <w:lang w:val="en-NZ"/>
              </w:rPr>
              <w:t>es</w:t>
            </w:r>
            <w:r w:rsidR="00706F55">
              <w:rPr>
                <w:bCs/>
                <w:lang w:val="en-NZ"/>
              </w:rPr>
              <w:t>.</w:t>
            </w:r>
          </w:p>
        </w:tc>
      </w:tr>
      <w:tr w:rsidR="00121919" w14:paraId="7C9BC4D5" w14:textId="77777777" w:rsidTr="00276846">
        <w:trPr>
          <w:trHeight w:val="378"/>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59B67D5C" w14:textId="7FF159A0" w:rsidR="00121919" w:rsidRDefault="00241DC9">
            <w:pPr>
              <w:spacing w:before="60" w:after="60" w:line="240" w:lineRule="auto"/>
              <w:jc w:val="center"/>
              <w:rPr>
                <w:rFonts w:cs="Arial"/>
                <w:b/>
                <w:color w:val="000000"/>
                <w:szCs w:val="22"/>
                <w:lang w:val="en-NZ"/>
              </w:rPr>
            </w:pPr>
            <w:r>
              <w:rPr>
                <w:rFonts w:cs="Arial"/>
                <w:b/>
                <w:color w:val="000000"/>
                <w:szCs w:val="22"/>
                <w:lang w:val="en-NZ"/>
              </w:rPr>
              <w:t>Proportionality</w:t>
            </w:r>
          </w:p>
        </w:tc>
        <w:tc>
          <w:tcPr>
            <w:tcW w:w="3976" w:type="dxa"/>
            <w:tcBorders>
              <w:top w:val="single" w:sz="4" w:space="0" w:color="DDDDDD"/>
              <w:left w:val="single" w:sz="4" w:space="0" w:color="DDDDDD"/>
              <w:bottom w:val="single" w:sz="4" w:space="0" w:color="DDDDDD"/>
              <w:right w:val="single" w:sz="4" w:space="0" w:color="DDDDDD"/>
            </w:tcBorders>
            <w:vAlign w:val="center"/>
            <w:hideMark/>
          </w:tcPr>
          <w:p w14:paraId="4C2411C2" w14:textId="77777777" w:rsidR="00BD0675" w:rsidRDefault="00BD0675" w:rsidP="00BD0675">
            <w:pPr>
              <w:pStyle w:val="TableText"/>
              <w:spacing w:line="276" w:lineRule="auto"/>
              <w:jc w:val="center"/>
              <w:rPr>
                <w:bCs/>
                <w:lang w:val="en-NZ"/>
              </w:rPr>
            </w:pPr>
            <w:r>
              <w:rPr>
                <w:bCs/>
                <w:lang w:val="en-NZ"/>
              </w:rPr>
              <w:t>0</w:t>
            </w:r>
          </w:p>
          <w:p w14:paraId="48F4255D" w14:textId="71F82623" w:rsidR="00121919" w:rsidRDefault="00BD0675" w:rsidP="00BD0675">
            <w:pPr>
              <w:pStyle w:val="TableText"/>
              <w:spacing w:line="276" w:lineRule="auto"/>
              <w:jc w:val="center"/>
              <w:rPr>
                <w:bCs/>
                <w:lang w:val="en-NZ"/>
              </w:rPr>
            </w:pPr>
            <w:r>
              <w:rPr>
                <w:bCs/>
                <w:lang w:val="en-NZ"/>
              </w:rPr>
              <w:t xml:space="preserve">All trusts subject to </w:t>
            </w:r>
            <w:r w:rsidR="00622947">
              <w:rPr>
                <w:bCs/>
                <w:lang w:val="en-NZ"/>
              </w:rPr>
              <w:t xml:space="preserve">the </w:t>
            </w:r>
            <w:r>
              <w:rPr>
                <w:bCs/>
                <w:lang w:val="en-NZ"/>
              </w:rPr>
              <w:t xml:space="preserve">disclosure rules </w:t>
            </w:r>
            <w:r w:rsidR="00622947">
              <w:rPr>
                <w:bCs/>
                <w:lang w:val="en-NZ"/>
              </w:rPr>
              <w:t xml:space="preserve">would be </w:t>
            </w:r>
            <w:r>
              <w:rPr>
                <w:bCs/>
                <w:lang w:val="en-NZ"/>
              </w:rPr>
              <w:t>treated the same.</w:t>
            </w:r>
          </w:p>
        </w:tc>
        <w:tc>
          <w:tcPr>
            <w:tcW w:w="3969" w:type="dxa"/>
            <w:tcBorders>
              <w:top w:val="single" w:sz="4" w:space="0" w:color="DDDDDD"/>
              <w:left w:val="single" w:sz="4" w:space="0" w:color="DDDDDD"/>
              <w:bottom w:val="single" w:sz="4" w:space="0" w:color="DDDDDD"/>
              <w:right w:val="single" w:sz="4" w:space="0" w:color="DDDDDD"/>
            </w:tcBorders>
            <w:vAlign w:val="center"/>
          </w:tcPr>
          <w:p w14:paraId="5C97DB02" w14:textId="77777777" w:rsidR="00BD0675" w:rsidRDefault="00BD0675" w:rsidP="00BD0675">
            <w:pPr>
              <w:pStyle w:val="TableText"/>
              <w:spacing w:line="276" w:lineRule="auto"/>
              <w:jc w:val="center"/>
              <w:rPr>
                <w:bCs/>
                <w:lang w:val="en-NZ"/>
              </w:rPr>
            </w:pPr>
            <w:r>
              <w:rPr>
                <w:bCs/>
                <w:lang w:val="en-NZ"/>
              </w:rPr>
              <w:t>0</w:t>
            </w:r>
          </w:p>
          <w:p w14:paraId="594A2CB0" w14:textId="48F7759F" w:rsidR="00121919" w:rsidRDefault="00BD0675" w:rsidP="00BD0675">
            <w:pPr>
              <w:pStyle w:val="TableText"/>
              <w:spacing w:line="276" w:lineRule="auto"/>
              <w:jc w:val="center"/>
              <w:rPr>
                <w:lang w:val="en-NZ"/>
              </w:rPr>
            </w:pPr>
            <w:r>
              <w:rPr>
                <w:bCs/>
                <w:lang w:val="en-NZ"/>
              </w:rPr>
              <w:t xml:space="preserve">All trusts subject to </w:t>
            </w:r>
            <w:r w:rsidR="00622947">
              <w:rPr>
                <w:bCs/>
                <w:lang w:val="en-NZ"/>
              </w:rPr>
              <w:t xml:space="preserve">the </w:t>
            </w:r>
            <w:r>
              <w:rPr>
                <w:bCs/>
                <w:lang w:val="en-NZ"/>
              </w:rPr>
              <w:t xml:space="preserve">disclosure rules </w:t>
            </w:r>
            <w:r w:rsidR="00622947">
              <w:rPr>
                <w:bCs/>
                <w:lang w:val="en-NZ"/>
              </w:rPr>
              <w:t xml:space="preserve">would be </w:t>
            </w:r>
            <w:r>
              <w:rPr>
                <w:bCs/>
                <w:lang w:val="en-NZ"/>
              </w:rPr>
              <w:t>treated the same.</w:t>
            </w:r>
          </w:p>
        </w:tc>
        <w:tc>
          <w:tcPr>
            <w:tcW w:w="4245" w:type="dxa"/>
            <w:tcBorders>
              <w:top w:val="single" w:sz="4" w:space="0" w:color="DDDDDD"/>
              <w:left w:val="single" w:sz="4" w:space="0" w:color="DDDDDD"/>
              <w:bottom w:val="single" w:sz="4" w:space="0" w:color="DDDDDD"/>
              <w:right w:val="single" w:sz="4" w:space="0" w:color="DDDDDD"/>
            </w:tcBorders>
            <w:vAlign w:val="center"/>
          </w:tcPr>
          <w:p w14:paraId="66356656" w14:textId="77777777" w:rsidR="00BD0675" w:rsidRDefault="00BD0675" w:rsidP="00BD0675">
            <w:pPr>
              <w:pStyle w:val="TableText"/>
              <w:spacing w:line="276" w:lineRule="auto"/>
              <w:jc w:val="center"/>
              <w:rPr>
                <w:bCs/>
                <w:lang w:val="en-NZ"/>
              </w:rPr>
            </w:pPr>
            <w:r>
              <w:rPr>
                <w:bCs/>
                <w:lang w:val="en-NZ"/>
              </w:rPr>
              <w:t>0</w:t>
            </w:r>
          </w:p>
          <w:p w14:paraId="0DA135DB" w14:textId="2E662BDA" w:rsidR="00121919" w:rsidRDefault="00BD0675" w:rsidP="00BD0675">
            <w:pPr>
              <w:pStyle w:val="TableText"/>
              <w:spacing w:line="276" w:lineRule="auto"/>
              <w:jc w:val="center"/>
              <w:rPr>
                <w:lang w:val="en-NZ"/>
              </w:rPr>
            </w:pPr>
            <w:r>
              <w:rPr>
                <w:bCs/>
                <w:lang w:val="en-NZ"/>
              </w:rPr>
              <w:t xml:space="preserve">All trusts subject to </w:t>
            </w:r>
            <w:r w:rsidR="00622947">
              <w:rPr>
                <w:bCs/>
                <w:lang w:val="en-NZ"/>
              </w:rPr>
              <w:t xml:space="preserve">the </w:t>
            </w:r>
            <w:r>
              <w:rPr>
                <w:bCs/>
                <w:lang w:val="en-NZ"/>
              </w:rPr>
              <w:t xml:space="preserve">disclosure rules </w:t>
            </w:r>
            <w:r w:rsidR="00622947">
              <w:rPr>
                <w:bCs/>
                <w:lang w:val="en-NZ"/>
              </w:rPr>
              <w:t xml:space="preserve">would be </w:t>
            </w:r>
            <w:r>
              <w:rPr>
                <w:bCs/>
                <w:lang w:val="en-NZ"/>
              </w:rPr>
              <w:t>treated the same.</w:t>
            </w:r>
          </w:p>
        </w:tc>
      </w:tr>
      <w:tr w:rsidR="00121919" w14:paraId="7099C321" w14:textId="77777777" w:rsidTr="00276846">
        <w:trPr>
          <w:trHeight w:val="584"/>
        </w:trPr>
        <w:tc>
          <w:tcPr>
            <w:tcW w:w="214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7EDB1B02" w14:textId="77777777" w:rsidR="00121919" w:rsidRDefault="00121919">
            <w:pPr>
              <w:spacing w:before="60" w:after="60" w:line="240" w:lineRule="auto"/>
              <w:jc w:val="center"/>
              <w:rPr>
                <w:rFonts w:cs="Arial"/>
                <w:b/>
                <w:color w:val="000000"/>
                <w:szCs w:val="22"/>
                <w:lang w:val="en-NZ"/>
              </w:rPr>
            </w:pPr>
            <w:r>
              <w:rPr>
                <w:rFonts w:cs="Arial"/>
                <w:b/>
                <w:color w:val="000000"/>
                <w:szCs w:val="22"/>
                <w:lang w:val="en-NZ"/>
              </w:rPr>
              <w:t>Overall assessment</w:t>
            </w:r>
          </w:p>
        </w:tc>
        <w:tc>
          <w:tcPr>
            <w:tcW w:w="3976" w:type="dxa"/>
            <w:tcBorders>
              <w:top w:val="single" w:sz="4" w:space="0" w:color="DDDDDD"/>
              <w:left w:val="single" w:sz="4" w:space="0" w:color="DDDDDD"/>
              <w:bottom w:val="single" w:sz="4" w:space="0" w:color="DDDDDD"/>
              <w:right w:val="single" w:sz="4" w:space="0" w:color="DDDDDD"/>
            </w:tcBorders>
            <w:vAlign w:val="center"/>
            <w:hideMark/>
          </w:tcPr>
          <w:p w14:paraId="40B59D95" w14:textId="77777777" w:rsidR="007F2DE5" w:rsidRDefault="007F2DE5" w:rsidP="007F2DE5">
            <w:pPr>
              <w:pStyle w:val="TableText"/>
              <w:spacing w:line="276" w:lineRule="auto"/>
              <w:jc w:val="center"/>
              <w:rPr>
                <w:rFonts w:cs="Arial"/>
                <w:b/>
                <w:color w:val="00B050"/>
              </w:rPr>
            </w:pPr>
            <w:r>
              <w:rPr>
                <w:rFonts w:cs="Arial"/>
                <w:b/>
                <w:color w:val="00B050"/>
              </w:rPr>
              <w:t>+</w:t>
            </w:r>
          </w:p>
          <w:p w14:paraId="36A810D7" w14:textId="3D21AEEF" w:rsidR="00121919" w:rsidRDefault="00BD0675" w:rsidP="007F2DE5">
            <w:pPr>
              <w:pStyle w:val="TableText"/>
              <w:spacing w:line="276" w:lineRule="auto"/>
              <w:jc w:val="center"/>
              <w:rPr>
                <w:lang w:val="en-NZ"/>
              </w:rPr>
            </w:pPr>
            <w:r>
              <w:rPr>
                <w:lang w:val="en-NZ"/>
              </w:rPr>
              <w:t xml:space="preserve">Supports </w:t>
            </w:r>
            <w:r w:rsidR="008F40FE">
              <w:rPr>
                <w:lang w:val="en-NZ"/>
              </w:rPr>
              <w:t xml:space="preserve">the </w:t>
            </w:r>
            <w:r>
              <w:rPr>
                <w:lang w:val="en-NZ"/>
              </w:rPr>
              <w:t>Government</w:t>
            </w:r>
            <w:r w:rsidR="008F40FE">
              <w:rPr>
                <w:lang w:val="en-NZ"/>
              </w:rPr>
              <w:t>’s</w:t>
            </w:r>
            <w:r>
              <w:rPr>
                <w:lang w:val="en-NZ"/>
              </w:rPr>
              <w:t xml:space="preserve"> </w:t>
            </w:r>
            <w:r w:rsidR="00011AB9">
              <w:rPr>
                <w:bCs/>
                <w:lang w:val="en-NZ"/>
              </w:rPr>
              <w:t xml:space="preserve">trust disclosure rules </w:t>
            </w:r>
            <w:r>
              <w:rPr>
                <w:lang w:val="en-NZ"/>
              </w:rPr>
              <w:t xml:space="preserve">objectives </w:t>
            </w:r>
            <w:r>
              <w:rPr>
                <w:bCs/>
                <w:lang w:val="en-NZ"/>
              </w:rPr>
              <w:t xml:space="preserve">and aligns </w:t>
            </w:r>
            <w:r w:rsidR="008F40FE">
              <w:rPr>
                <w:bCs/>
                <w:lang w:val="en-NZ"/>
              </w:rPr>
              <w:t>timing of OIC and</w:t>
            </w:r>
            <w:r>
              <w:rPr>
                <w:bCs/>
                <w:lang w:val="en-NZ"/>
              </w:rPr>
              <w:t xml:space="preserve"> disclosure rules.</w:t>
            </w:r>
          </w:p>
        </w:tc>
        <w:tc>
          <w:tcPr>
            <w:tcW w:w="3969" w:type="dxa"/>
            <w:tcBorders>
              <w:top w:val="single" w:sz="4" w:space="0" w:color="DDDDDD"/>
              <w:left w:val="single" w:sz="4" w:space="0" w:color="DDDDDD"/>
              <w:bottom w:val="single" w:sz="4" w:space="0" w:color="DDDDDD"/>
              <w:right w:val="single" w:sz="4" w:space="0" w:color="DDDDDD"/>
            </w:tcBorders>
            <w:vAlign w:val="center"/>
          </w:tcPr>
          <w:p w14:paraId="28EF8A5F" w14:textId="77777777" w:rsidR="00BD0675" w:rsidRDefault="00BD0675" w:rsidP="00BD0675">
            <w:pPr>
              <w:pStyle w:val="TableText"/>
              <w:spacing w:line="276" w:lineRule="auto"/>
              <w:jc w:val="center"/>
              <w:rPr>
                <w:rFonts w:cs="Arial"/>
                <w:b/>
                <w:color w:val="FF0000"/>
              </w:rPr>
            </w:pPr>
            <w:r>
              <w:rPr>
                <w:rFonts w:cs="Arial"/>
                <w:b/>
                <w:color w:val="FF0000"/>
              </w:rPr>
              <w:t>- -</w:t>
            </w:r>
          </w:p>
          <w:p w14:paraId="689ADE59" w14:textId="123668C1" w:rsidR="00121919" w:rsidRDefault="00BD0675" w:rsidP="007F2DE5">
            <w:pPr>
              <w:pStyle w:val="TableText"/>
              <w:spacing w:line="276" w:lineRule="auto"/>
              <w:jc w:val="center"/>
              <w:rPr>
                <w:lang w:val="en-NZ"/>
              </w:rPr>
            </w:pPr>
            <w:r w:rsidRPr="00CC44BA">
              <w:rPr>
                <w:lang w:val="en-NZ"/>
              </w:rPr>
              <w:t xml:space="preserve">Risks undermining the Government’s </w:t>
            </w:r>
            <w:r w:rsidR="00011AB9">
              <w:rPr>
                <w:bCs/>
                <w:lang w:val="en-NZ"/>
              </w:rPr>
              <w:t xml:space="preserve">trust disclosure rules </w:t>
            </w:r>
            <w:r w:rsidRPr="00CC44BA">
              <w:rPr>
                <w:lang w:val="en-NZ"/>
              </w:rPr>
              <w:t>objectives. Inconsistent with the timing of the disclosure rules.</w:t>
            </w:r>
            <w:r w:rsidR="007F2DE5">
              <w:rPr>
                <w:lang w:val="en-NZ"/>
              </w:rPr>
              <w:t xml:space="preserve"> </w:t>
            </w:r>
          </w:p>
        </w:tc>
        <w:tc>
          <w:tcPr>
            <w:tcW w:w="4245" w:type="dxa"/>
            <w:tcBorders>
              <w:top w:val="single" w:sz="4" w:space="0" w:color="DDDDDD"/>
              <w:left w:val="single" w:sz="4" w:space="0" w:color="DDDDDD"/>
              <w:bottom w:val="single" w:sz="4" w:space="0" w:color="DDDDDD"/>
              <w:right w:val="single" w:sz="4" w:space="0" w:color="DDDDDD"/>
            </w:tcBorders>
            <w:vAlign w:val="center"/>
          </w:tcPr>
          <w:p w14:paraId="328270D0" w14:textId="3F11388D" w:rsidR="007F2DE5" w:rsidRPr="00DC6BF9" w:rsidRDefault="00BD0675" w:rsidP="007F2DE5">
            <w:pPr>
              <w:pStyle w:val="TableText"/>
              <w:spacing w:line="276" w:lineRule="auto"/>
              <w:jc w:val="center"/>
              <w:rPr>
                <w:lang w:val="en-NZ"/>
              </w:rPr>
            </w:pPr>
            <w:r w:rsidRPr="00DC6BF9">
              <w:rPr>
                <w:lang w:val="en-NZ"/>
              </w:rPr>
              <w:t>0</w:t>
            </w:r>
          </w:p>
          <w:p w14:paraId="1850D8CC" w14:textId="37B1EE23" w:rsidR="00121919" w:rsidRDefault="00BD0675" w:rsidP="007F2DE5">
            <w:pPr>
              <w:pStyle w:val="TableText"/>
              <w:spacing w:line="276" w:lineRule="auto"/>
              <w:jc w:val="center"/>
              <w:rPr>
                <w:lang w:val="en-NZ"/>
              </w:rPr>
            </w:pPr>
            <w:r>
              <w:rPr>
                <w:lang w:val="en-NZ"/>
              </w:rPr>
              <w:t xml:space="preserve">Supports </w:t>
            </w:r>
            <w:r w:rsidR="00011AB9">
              <w:rPr>
                <w:lang w:val="en-NZ"/>
              </w:rPr>
              <w:t xml:space="preserve">the </w:t>
            </w:r>
            <w:r>
              <w:rPr>
                <w:lang w:val="en-NZ"/>
              </w:rPr>
              <w:t>Government</w:t>
            </w:r>
            <w:r w:rsidR="00011AB9">
              <w:rPr>
                <w:lang w:val="en-NZ"/>
              </w:rPr>
              <w:t>’s</w:t>
            </w:r>
            <w:r>
              <w:rPr>
                <w:lang w:val="en-NZ"/>
              </w:rPr>
              <w:t xml:space="preserve"> </w:t>
            </w:r>
            <w:r w:rsidR="00011AB9">
              <w:rPr>
                <w:bCs/>
                <w:lang w:val="en-NZ"/>
              </w:rPr>
              <w:t xml:space="preserve">trust disclosure rules </w:t>
            </w:r>
            <w:r>
              <w:rPr>
                <w:lang w:val="en-NZ"/>
              </w:rPr>
              <w:t>objectives for the disclosure rules</w:t>
            </w:r>
            <w:r>
              <w:rPr>
                <w:bCs/>
                <w:lang w:val="en-NZ"/>
              </w:rPr>
              <w:t>. Defining “best efforts” is an interpretative matter for the Commissioner</w:t>
            </w:r>
            <w:r w:rsidR="00281E65">
              <w:rPr>
                <w:bCs/>
                <w:lang w:val="en-NZ"/>
              </w:rPr>
              <w:t xml:space="preserve">, </w:t>
            </w:r>
            <w:r>
              <w:rPr>
                <w:bCs/>
                <w:lang w:val="en-NZ"/>
              </w:rPr>
              <w:t>not secondary legislation.</w:t>
            </w:r>
          </w:p>
        </w:tc>
      </w:tr>
    </w:tbl>
    <w:p w14:paraId="0FDF41C4" w14:textId="77777777" w:rsidR="00241DC9" w:rsidRDefault="00241DC9" w:rsidP="00241DC9">
      <w:pPr>
        <w:rPr>
          <w:b/>
          <w:bCs/>
          <w:lang w:val="en-NZ"/>
        </w:rPr>
      </w:pPr>
      <w:r>
        <w:rPr>
          <w:b/>
          <w:bCs/>
          <w:lang w:val="en-NZ"/>
        </w:rPr>
        <w:br w:type="page"/>
      </w:r>
    </w:p>
    <w:p w14:paraId="61CBF6A6" w14:textId="680557E8" w:rsidR="00241DC9" w:rsidRPr="00D62E64" w:rsidRDefault="00CC08DC" w:rsidP="00D62E64">
      <w:pPr>
        <w:jc w:val="center"/>
        <w:rPr>
          <w:sz w:val="28"/>
          <w:szCs w:val="24"/>
          <w:lang w:val="en-NZ"/>
        </w:rPr>
      </w:pPr>
      <w:r w:rsidRPr="004371C2">
        <w:rPr>
          <w:b/>
          <w:bCs/>
          <w:sz w:val="28"/>
          <w:szCs w:val="24"/>
          <w:lang w:val="en-NZ"/>
        </w:rPr>
        <w:t>Simplified reporting requirements for certain trusts</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781"/>
        <w:gridCol w:w="4266"/>
        <w:gridCol w:w="4025"/>
        <w:gridCol w:w="4025"/>
      </w:tblGrid>
      <w:tr w:rsidR="00241DC9" w14:paraId="40E66542" w14:textId="77777777" w:rsidTr="00CC08DC">
        <w:trPr>
          <w:trHeight w:val="39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7D1047FA" w14:textId="77777777" w:rsidR="00241DC9" w:rsidRDefault="00241DC9" w:rsidP="00BD5E51">
            <w:pPr>
              <w:spacing w:before="60" w:after="60" w:line="276" w:lineRule="auto"/>
              <w:jc w:val="center"/>
              <w:rPr>
                <w:rFonts w:cs="Arial"/>
                <w:bCs/>
                <w:i/>
                <w:iCs/>
                <w:color w:val="FFFFFF"/>
                <w:sz w:val="20"/>
                <w:szCs w:val="24"/>
                <w:lang w:val="en-NZ"/>
              </w:rPr>
            </w:pPr>
          </w:p>
        </w:tc>
        <w:tc>
          <w:tcPr>
            <w:tcW w:w="4266"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74A62EC3" w14:textId="40AB35E7" w:rsidR="00241DC9" w:rsidRDefault="00241DC9" w:rsidP="00BD5E51">
            <w:pPr>
              <w:spacing w:before="60" w:after="60" w:line="240" w:lineRule="auto"/>
              <w:jc w:val="center"/>
              <w:rPr>
                <w:rFonts w:cs="Arial"/>
                <w:b/>
                <w:color w:val="000000"/>
                <w:szCs w:val="22"/>
                <w:lang w:val="en-NZ"/>
              </w:rPr>
            </w:pPr>
            <w:r>
              <w:rPr>
                <w:rFonts w:cs="Arial"/>
                <w:b/>
                <w:color w:val="000000"/>
                <w:szCs w:val="22"/>
                <w:lang w:val="en-NZ"/>
              </w:rPr>
              <w:t xml:space="preserve">Option One – </w:t>
            </w:r>
            <w:r>
              <w:rPr>
                <w:lang w:val="en-NZ"/>
              </w:rPr>
              <w:t>No relief</w:t>
            </w:r>
          </w:p>
        </w:tc>
        <w:tc>
          <w:tcPr>
            <w:tcW w:w="4025"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265CF33D" w14:textId="47EDE67D" w:rsidR="00241DC9" w:rsidRDefault="00241DC9" w:rsidP="00BD5E51">
            <w:pPr>
              <w:spacing w:before="60" w:after="60" w:line="276" w:lineRule="auto"/>
              <w:jc w:val="center"/>
              <w:rPr>
                <w:rFonts w:cs="Arial"/>
                <w:b/>
                <w:color w:val="000000"/>
                <w:szCs w:val="22"/>
                <w:lang w:val="en-NZ"/>
              </w:rPr>
            </w:pPr>
            <w:r>
              <w:rPr>
                <w:rFonts w:cs="Arial"/>
                <w:b/>
                <w:color w:val="000000"/>
                <w:szCs w:val="22"/>
                <w:lang w:val="en-NZ"/>
              </w:rPr>
              <w:t xml:space="preserve">Option Two – </w:t>
            </w:r>
            <w:r w:rsidR="004102A4">
              <w:rPr>
                <w:lang w:val="en-NZ"/>
              </w:rPr>
              <w:t>Partial relief</w:t>
            </w:r>
          </w:p>
        </w:tc>
        <w:tc>
          <w:tcPr>
            <w:tcW w:w="4025"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56EC4380" w14:textId="0A276E79" w:rsidR="00241DC9" w:rsidRDefault="00241DC9" w:rsidP="00BD5E51">
            <w:pPr>
              <w:spacing w:before="60" w:after="60" w:line="276" w:lineRule="auto"/>
              <w:jc w:val="center"/>
              <w:rPr>
                <w:rFonts w:cs="Arial"/>
                <w:b/>
                <w:color w:val="000000"/>
                <w:szCs w:val="22"/>
                <w:lang w:val="en-NZ"/>
              </w:rPr>
            </w:pPr>
            <w:r>
              <w:rPr>
                <w:rFonts w:cs="Arial"/>
                <w:b/>
                <w:color w:val="000000"/>
                <w:szCs w:val="22"/>
                <w:lang w:val="en-NZ"/>
              </w:rPr>
              <w:t xml:space="preserve">Option Three – </w:t>
            </w:r>
            <w:r w:rsidR="004102A4">
              <w:rPr>
                <w:lang w:val="en-NZ"/>
              </w:rPr>
              <w:t>Broad</w:t>
            </w:r>
            <w:r>
              <w:rPr>
                <w:lang w:val="en-NZ"/>
              </w:rPr>
              <w:t xml:space="preserve"> relief</w:t>
            </w:r>
          </w:p>
        </w:tc>
      </w:tr>
      <w:tr w:rsidR="00241DC9" w14:paraId="5C56C228" w14:textId="77777777" w:rsidTr="00CC08DC">
        <w:trPr>
          <w:trHeight w:val="61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1C7740F" w14:textId="77777777" w:rsidR="00241DC9" w:rsidRDefault="00241DC9" w:rsidP="00BD5E51">
            <w:pPr>
              <w:spacing w:before="60" w:after="60" w:line="240" w:lineRule="auto"/>
              <w:jc w:val="center"/>
              <w:rPr>
                <w:rFonts w:cs="Arial"/>
                <w:b/>
                <w:color w:val="000000"/>
                <w:szCs w:val="22"/>
                <w:lang w:val="en-NZ"/>
              </w:rPr>
            </w:pPr>
            <w:r>
              <w:rPr>
                <w:rFonts w:cs="Arial"/>
                <w:b/>
                <w:color w:val="000000"/>
                <w:szCs w:val="22"/>
                <w:lang w:val="en-NZ"/>
              </w:rPr>
              <w:t>Minimise compliance costs</w:t>
            </w:r>
          </w:p>
        </w:tc>
        <w:tc>
          <w:tcPr>
            <w:tcW w:w="4266" w:type="dxa"/>
            <w:tcBorders>
              <w:top w:val="single" w:sz="4" w:space="0" w:color="DDDDDD"/>
              <w:left w:val="single" w:sz="4" w:space="0" w:color="DDDDDD"/>
              <w:bottom w:val="single" w:sz="4" w:space="0" w:color="DDDDDD"/>
              <w:right w:val="single" w:sz="4" w:space="0" w:color="DDDDDD"/>
            </w:tcBorders>
            <w:vAlign w:val="center"/>
            <w:hideMark/>
          </w:tcPr>
          <w:p w14:paraId="7F8AF6C5" w14:textId="77777777" w:rsidR="00241DC9" w:rsidRDefault="00356C34" w:rsidP="00BD5E51">
            <w:pPr>
              <w:pStyle w:val="TableText"/>
              <w:spacing w:line="276" w:lineRule="auto"/>
              <w:jc w:val="center"/>
              <w:rPr>
                <w:rFonts w:cs="Arial"/>
                <w:b/>
                <w:color w:val="FF0000"/>
              </w:rPr>
            </w:pPr>
            <w:r>
              <w:rPr>
                <w:rFonts w:cs="Arial"/>
                <w:b/>
                <w:color w:val="FF0000"/>
              </w:rPr>
              <w:t>- -</w:t>
            </w:r>
          </w:p>
          <w:p w14:paraId="3BBC508C" w14:textId="25C5DA0C" w:rsidR="00D24F96" w:rsidRDefault="00B45D4F" w:rsidP="00BD5E51">
            <w:pPr>
              <w:pStyle w:val="TableText"/>
              <w:spacing w:line="276" w:lineRule="auto"/>
              <w:jc w:val="center"/>
              <w:rPr>
                <w:bCs/>
                <w:lang w:val="en-NZ"/>
              </w:rPr>
            </w:pPr>
            <w:r>
              <w:rPr>
                <w:lang w:val="en-NZ" w:eastAsia="en-NZ"/>
              </w:rPr>
              <w:t>Would impose</w:t>
            </w:r>
            <w:r w:rsidR="00D40A8E">
              <w:rPr>
                <w:lang w:val="en-NZ" w:eastAsia="en-NZ"/>
              </w:rPr>
              <w:t xml:space="preserve"> significant compliance costs on smaller trusts.</w:t>
            </w:r>
          </w:p>
        </w:tc>
        <w:tc>
          <w:tcPr>
            <w:tcW w:w="4025" w:type="dxa"/>
            <w:tcBorders>
              <w:top w:val="single" w:sz="4" w:space="0" w:color="DDDDDD"/>
              <w:left w:val="single" w:sz="4" w:space="0" w:color="DDDDDD"/>
              <w:bottom w:val="single" w:sz="4" w:space="0" w:color="DDDDDD"/>
              <w:right w:val="single" w:sz="4" w:space="0" w:color="DDDDDD"/>
            </w:tcBorders>
            <w:vAlign w:val="center"/>
            <w:hideMark/>
          </w:tcPr>
          <w:p w14:paraId="6DB70B4D" w14:textId="77777777" w:rsidR="00241DC9" w:rsidRDefault="00356C34" w:rsidP="00BD5E51">
            <w:pPr>
              <w:pStyle w:val="TableText"/>
              <w:spacing w:line="276" w:lineRule="auto"/>
              <w:jc w:val="center"/>
              <w:rPr>
                <w:rFonts w:cs="Arial"/>
                <w:b/>
                <w:color w:val="00B050"/>
              </w:rPr>
            </w:pPr>
            <w:r>
              <w:rPr>
                <w:rFonts w:cs="Arial"/>
                <w:b/>
                <w:color w:val="00B050"/>
              </w:rPr>
              <w:t>+</w:t>
            </w:r>
          </w:p>
          <w:p w14:paraId="67041D61" w14:textId="60721E1A" w:rsidR="008D6617" w:rsidRDefault="008D6617" w:rsidP="00BD5E51">
            <w:pPr>
              <w:pStyle w:val="TableText"/>
              <w:spacing w:line="276" w:lineRule="auto"/>
              <w:jc w:val="center"/>
              <w:rPr>
                <w:rFonts w:cs="Arial"/>
                <w:b/>
                <w:color w:val="00B050"/>
              </w:rPr>
            </w:pPr>
            <w:r>
              <w:rPr>
                <w:lang w:val="en-NZ" w:eastAsia="en-NZ"/>
              </w:rPr>
              <w:t>Partial reduction in compliance costs for trusts</w:t>
            </w:r>
            <w:r w:rsidR="001F759D">
              <w:rPr>
                <w:lang w:val="en-NZ" w:eastAsia="en-NZ"/>
              </w:rPr>
              <w:t xml:space="preserve"> that qualify for relief</w:t>
            </w:r>
            <w:r>
              <w:rPr>
                <w:lang w:val="en-NZ" w:eastAsia="en-NZ"/>
              </w:rPr>
              <w:t>.</w:t>
            </w:r>
          </w:p>
          <w:p w14:paraId="426AD051" w14:textId="324AB9C7" w:rsidR="00D24F96" w:rsidRDefault="00D24F96" w:rsidP="00BD5E51">
            <w:pPr>
              <w:pStyle w:val="TableText"/>
              <w:spacing w:line="276" w:lineRule="auto"/>
              <w:jc w:val="center"/>
              <w:rPr>
                <w:i/>
                <w:iCs/>
                <w:lang w:val="en-NZ"/>
              </w:rPr>
            </w:pPr>
          </w:p>
        </w:tc>
        <w:tc>
          <w:tcPr>
            <w:tcW w:w="4025" w:type="dxa"/>
            <w:tcBorders>
              <w:top w:val="single" w:sz="4" w:space="0" w:color="DDDDDD"/>
              <w:left w:val="single" w:sz="4" w:space="0" w:color="DDDDDD"/>
              <w:bottom w:val="single" w:sz="4" w:space="0" w:color="DDDDDD"/>
              <w:right w:val="single" w:sz="4" w:space="0" w:color="DDDDDD"/>
            </w:tcBorders>
            <w:vAlign w:val="center"/>
          </w:tcPr>
          <w:p w14:paraId="0A32C20F" w14:textId="77777777" w:rsidR="00241DC9" w:rsidRDefault="00356C34" w:rsidP="00BD5E51">
            <w:pPr>
              <w:pStyle w:val="TableText"/>
              <w:spacing w:line="276" w:lineRule="auto"/>
              <w:jc w:val="center"/>
              <w:rPr>
                <w:rFonts w:cs="Arial"/>
                <w:b/>
                <w:color w:val="00B050"/>
              </w:rPr>
            </w:pPr>
            <w:r>
              <w:rPr>
                <w:rFonts w:cs="Arial"/>
                <w:b/>
                <w:color w:val="00B050"/>
              </w:rPr>
              <w:t>++</w:t>
            </w:r>
          </w:p>
          <w:p w14:paraId="16C69BE1" w14:textId="14F9AAFB" w:rsidR="00D24F96" w:rsidRDefault="008D6617" w:rsidP="00BD5E51">
            <w:pPr>
              <w:pStyle w:val="TableText"/>
              <w:spacing w:line="276" w:lineRule="auto"/>
              <w:jc w:val="center"/>
              <w:rPr>
                <w:lang w:val="en-NZ"/>
              </w:rPr>
            </w:pPr>
            <w:r>
              <w:rPr>
                <w:lang w:val="en-NZ" w:eastAsia="en-NZ"/>
              </w:rPr>
              <w:t>Greater reduction in compliance costs for trusts</w:t>
            </w:r>
            <w:r w:rsidR="001F759D">
              <w:rPr>
                <w:lang w:val="en-NZ" w:eastAsia="en-NZ"/>
              </w:rPr>
              <w:t xml:space="preserve"> that qualify for relief</w:t>
            </w:r>
            <w:r>
              <w:rPr>
                <w:lang w:val="en-NZ" w:eastAsia="en-NZ"/>
              </w:rPr>
              <w:t>.</w:t>
            </w:r>
          </w:p>
        </w:tc>
      </w:tr>
      <w:tr w:rsidR="00241DC9" w14:paraId="0D207202" w14:textId="77777777" w:rsidTr="00CC08DC">
        <w:trPr>
          <w:trHeight w:val="378"/>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076353F3" w14:textId="258D1A5A" w:rsidR="00241DC9" w:rsidRDefault="00CC08DC" w:rsidP="00BD5E51">
            <w:pPr>
              <w:spacing w:before="60" w:after="60" w:line="240" w:lineRule="auto"/>
              <w:jc w:val="center"/>
              <w:rPr>
                <w:rFonts w:cs="Arial"/>
                <w:b/>
                <w:color w:val="000000"/>
                <w:szCs w:val="22"/>
                <w:lang w:val="en-NZ"/>
              </w:rPr>
            </w:pPr>
            <w:r>
              <w:rPr>
                <w:rFonts w:cs="Arial"/>
                <w:b/>
                <w:color w:val="000000"/>
                <w:szCs w:val="22"/>
                <w:lang w:val="en-NZ"/>
              </w:rPr>
              <w:t>Achieving the Government’s objectives</w:t>
            </w:r>
          </w:p>
        </w:tc>
        <w:tc>
          <w:tcPr>
            <w:tcW w:w="4266" w:type="dxa"/>
            <w:tcBorders>
              <w:top w:val="single" w:sz="4" w:space="0" w:color="DDDDDD"/>
              <w:left w:val="single" w:sz="4" w:space="0" w:color="DDDDDD"/>
              <w:bottom w:val="single" w:sz="4" w:space="0" w:color="DDDDDD"/>
              <w:right w:val="single" w:sz="4" w:space="0" w:color="DDDDDD"/>
            </w:tcBorders>
            <w:vAlign w:val="center"/>
            <w:hideMark/>
          </w:tcPr>
          <w:p w14:paraId="2FB5644C" w14:textId="77777777" w:rsidR="00773D78" w:rsidRPr="00180514" w:rsidRDefault="00773D78" w:rsidP="00773D78">
            <w:pPr>
              <w:pStyle w:val="TableText"/>
              <w:spacing w:line="276" w:lineRule="auto"/>
              <w:jc w:val="center"/>
              <w:rPr>
                <w:rFonts w:cs="Arial"/>
                <w:b/>
                <w:color w:val="00B050"/>
              </w:rPr>
            </w:pPr>
            <w:r w:rsidRPr="00180514">
              <w:rPr>
                <w:rFonts w:cs="Arial"/>
                <w:b/>
                <w:color w:val="00B050"/>
              </w:rPr>
              <w:t>++</w:t>
            </w:r>
          </w:p>
          <w:p w14:paraId="08983579" w14:textId="7B68CC76" w:rsidR="0007066F" w:rsidRPr="00B05D0D" w:rsidRDefault="00773D78" w:rsidP="00BD5E51">
            <w:pPr>
              <w:pStyle w:val="TableText"/>
              <w:spacing w:line="276" w:lineRule="auto"/>
              <w:jc w:val="center"/>
              <w:rPr>
                <w:bCs/>
                <w:highlight w:val="yellow"/>
                <w:lang w:val="en-NZ"/>
              </w:rPr>
            </w:pPr>
            <w:r w:rsidRPr="00180514">
              <w:rPr>
                <w:lang w:val="en-NZ" w:eastAsia="en-NZ"/>
              </w:rPr>
              <w:t xml:space="preserve">All trusts will be required to provide certain information in prescribed forms to support the Government’s </w:t>
            </w:r>
            <w:r w:rsidR="00011AB9">
              <w:rPr>
                <w:bCs/>
                <w:lang w:val="en-NZ"/>
              </w:rPr>
              <w:t xml:space="preserve">trust disclosure rules </w:t>
            </w:r>
            <w:r w:rsidRPr="00180514">
              <w:rPr>
                <w:lang w:val="en-NZ" w:eastAsia="en-NZ"/>
              </w:rPr>
              <w:t>objectives</w:t>
            </w:r>
            <w:r>
              <w:rPr>
                <w:lang w:val="en-NZ" w:eastAsia="en-NZ"/>
              </w:rPr>
              <w:t xml:space="preserve"> and the</w:t>
            </w:r>
            <w:r w:rsidRPr="00180514">
              <w:rPr>
                <w:lang w:val="en-NZ" w:eastAsia="en-NZ"/>
              </w:rPr>
              <w:t xml:space="preserve"> quality of data</w:t>
            </w:r>
            <w:r>
              <w:rPr>
                <w:lang w:val="en-NZ" w:eastAsia="en-NZ"/>
              </w:rPr>
              <w:t xml:space="preserve"> collected</w:t>
            </w:r>
            <w:r w:rsidRPr="00180514">
              <w:rPr>
                <w:lang w:val="en-NZ" w:eastAsia="en-NZ"/>
              </w:rPr>
              <w:t>.</w:t>
            </w:r>
          </w:p>
        </w:tc>
        <w:tc>
          <w:tcPr>
            <w:tcW w:w="4025" w:type="dxa"/>
            <w:tcBorders>
              <w:top w:val="single" w:sz="4" w:space="0" w:color="DDDDDD"/>
              <w:left w:val="single" w:sz="4" w:space="0" w:color="DDDDDD"/>
              <w:bottom w:val="single" w:sz="4" w:space="0" w:color="DDDDDD"/>
              <w:right w:val="single" w:sz="4" w:space="0" w:color="DDDDDD"/>
            </w:tcBorders>
            <w:vAlign w:val="center"/>
          </w:tcPr>
          <w:p w14:paraId="7D8507F9" w14:textId="77777777" w:rsidR="001F110E" w:rsidRPr="00892289" w:rsidRDefault="001F110E" w:rsidP="001F110E">
            <w:pPr>
              <w:pStyle w:val="TableText"/>
              <w:spacing w:line="276" w:lineRule="auto"/>
              <w:jc w:val="center"/>
              <w:rPr>
                <w:rFonts w:cs="Arial"/>
                <w:b/>
                <w:color w:val="00B050"/>
              </w:rPr>
            </w:pPr>
            <w:r w:rsidRPr="00892289">
              <w:rPr>
                <w:rFonts w:cs="Arial"/>
                <w:b/>
                <w:color w:val="00B050"/>
              </w:rPr>
              <w:t>++</w:t>
            </w:r>
          </w:p>
          <w:p w14:paraId="52480C2B" w14:textId="7E78C898" w:rsidR="002D7480" w:rsidRPr="004371C2" w:rsidRDefault="00D51921" w:rsidP="00BD5E51">
            <w:pPr>
              <w:pStyle w:val="TableText"/>
              <w:spacing w:line="276" w:lineRule="auto"/>
              <w:jc w:val="center"/>
              <w:rPr>
                <w:lang w:val="en-NZ"/>
              </w:rPr>
            </w:pPr>
            <w:r w:rsidRPr="00F236CD">
              <w:rPr>
                <w:lang w:val="en-NZ" w:eastAsia="en-NZ"/>
              </w:rPr>
              <w:t>All trusts will be required to provide</w:t>
            </w:r>
            <w:r w:rsidR="004371C2" w:rsidRPr="00F236CD">
              <w:rPr>
                <w:lang w:val="en-NZ" w:eastAsia="en-NZ"/>
              </w:rPr>
              <w:t xml:space="preserve"> certain</w:t>
            </w:r>
            <w:r w:rsidRPr="00F236CD">
              <w:rPr>
                <w:lang w:val="en-NZ" w:eastAsia="en-NZ"/>
              </w:rPr>
              <w:t xml:space="preserve"> information in prescribed forms to </w:t>
            </w:r>
            <w:r w:rsidR="00FB2AD5" w:rsidRPr="00F236CD">
              <w:rPr>
                <w:lang w:val="en-NZ" w:eastAsia="en-NZ"/>
              </w:rPr>
              <w:t xml:space="preserve">support the Government’s </w:t>
            </w:r>
            <w:r w:rsidR="00011AB9">
              <w:rPr>
                <w:bCs/>
                <w:lang w:val="en-NZ"/>
              </w:rPr>
              <w:t xml:space="preserve">trust disclosure rules </w:t>
            </w:r>
            <w:r w:rsidR="00FB2AD5" w:rsidRPr="00F236CD">
              <w:rPr>
                <w:lang w:val="en-NZ" w:eastAsia="en-NZ"/>
              </w:rPr>
              <w:t>objectives</w:t>
            </w:r>
            <w:r w:rsidR="00A77732">
              <w:rPr>
                <w:lang w:val="en-NZ" w:eastAsia="en-NZ"/>
              </w:rPr>
              <w:t xml:space="preserve"> and</w:t>
            </w:r>
            <w:r w:rsidR="00251A68">
              <w:rPr>
                <w:lang w:val="en-NZ" w:eastAsia="en-NZ"/>
              </w:rPr>
              <w:t xml:space="preserve"> the</w:t>
            </w:r>
            <w:r w:rsidR="00FB2AD5" w:rsidRPr="00F236CD">
              <w:rPr>
                <w:lang w:val="en-NZ" w:eastAsia="en-NZ"/>
              </w:rPr>
              <w:t xml:space="preserve"> quality of data</w:t>
            </w:r>
            <w:r w:rsidR="00251A68">
              <w:rPr>
                <w:lang w:val="en-NZ" w:eastAsia="en-NZ"/>
              </w:rPr>
              <w:t xml:space="preserve"> collected</w:t>
            </w:r>
            <w:r w:rsidR="00FB2AD5" w:rsidRPr="00F236CD">
              <w:rPr>
                <w:lang w:val="en-NZ" w:eastAsia="en-NZ"/>
              </w:rPr>
              <w:t>.</w:t>
            </w:r>
          </w:p>
        </w:tc>
        <w:tc>
          <w:tcPr>
            <w:tcW w:w="4025" w:type="dxa"/>
            <w:tcBorders>
              <w:top w:val="single" w:sz="4" w:space="0" w:color="DDDDDD"/>
              <w:left w:val="single" w:sz="4" w:space="0" w:color="DDDDDD"/>
              <w:bottom w:val="single" w:sz="4" w:space="0" w:color="DDDDDD"/>
              <w:right w:val="single" w:sz="4" w:space="0" w:color="DDDDDD"/>
            </w:tcBorders>
            <w:vAlign w:val="center"/>
          </w:tcPr>
          <w:p w14:paraId="2B43B4B9" w14:textId="77777777" w:rsidR="004371C2" w:rsidRPr="00892289" w:rsidRDefault="004371C2" w:rsidP="004371C2">
            <w:pPr>
              <w:pStyle w:val="TableText"/>
              <w:spacing w:line="276" w:lineRule="auto"/>
              <w:jc w:val="center"/>
              <w:rPr>
                <w:rFonts w:cs="Arial"/>
                <w:b/>
                <w:color w:val="00B050"/>
              </w:rPr>
            </w:pPr>
            <w:r w:rsidRPr="00892289">
              <w:rPr>
                <w:rFonts w:cs="Arial"/>
                <w:b/>
                <w:color w:val="00B050"/>
              </w:rPr>
              <w:t>++</w:t>
            </w:r>
          </w:p>
          <w:p w14:paraId="3107A3B7" w14:textId="7AB467A0" w:rsidR="00856AB4" w:rsidRPr="004371C2" w:rsidRDefault="004371C2" w:rsidP="00BD5E51">
            <w:pPr>
              <w:pStyle w:val="TableText"/>
              <w:spacing w:line="276" w:lineRule="auto"/>
              <w:jc w:val="center"/>
              <w:rPr>
                <w:lang w:val="en-NZ"/>
              </w:rPr>
            </w:pPr>
            <w:r w:rsidRPr="00892289">
              <w:rPr>
                <w:lang w:val="en-NZ" w:eastAsia="en-NZ"/>
              </w:rPr>
              <w:t xml:space="preserve">All trusts will be required to provide certain information in prescribed forms to support the Government’s </w:t>
            </w:r>
            <w:r w:rsidR="00011AB9">
              <w:rPr>
                <w:bCs/>
                <w:lang w:val="en-NZ"/>
              </w:rPr>
              <w:t xml:space="preserve">trust disclosure rules </w:t>
            </w:r>
            <w:r w:rsidRPr="00892289">
              <w:rPr>
                <w:lang w:val="en-NZ" w:eastAsia="en-NZ"/>
              </w:rPr>
              <w:t xml:space="preserve">objectives and </w:t>
            </w:r>
            <w:r w:rsidR="00A77732">
              <w:rPr>
                <w:lang w:val="en-NZ" w:eastAsia="en-NZ"/>
              </w:rPr>
              <w:t>the</w:t>
            </w:r>
            <w:r w:rsidRPr="00F236CD">
              <w:rPr>
                <w:lang w:val="en-NZ" w:eastAsia="en-NZ"/>
              </w:rPr>
              <w:t xml:space="preserve"> quality of data</w:t>
            </w:r>
            <w:r w:rsidR="00A77732">
              <w:rPr>
                <w:lang w:val="en-NZ" w:eastAsia="en-NZ"/>
              </w:rPr>
              <w:t xml:space="preserve"> collected</w:t>
            </w:r>
            <w:r w:rsidRPr="00F236CD">
              <w:rPr>
                <w:lang w:val="en-NZ" w:eastAsia="en-NZ"/>
              </w:rPr>
              <w:t>.</w:t>
            </w:r>
          </w:p>
        </w:tc>
      </w:tr>
      <w:tr w:rsidR="00241DC9" w14:paraId="2BE2BB0C" w14:textId="77777777" w:rsidTr="00CC08DC">
        <w:trPr>
          <w:trHeight w:val="39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0C277FE" w14:textId="77777777" w:rsidR="00241DC9" w:rsidRDefault="00241DC9" w:rsidP="00BD5E51">
            <w:pPr>
              <w:spacing w:before="60" w:after="60" w:line="240" w:lineRule="auto"/>
              <w:jc w:val="center"/>
              <w:rPr>
                <w:rFonts w:cs="Arial"/>
                <w:b/>
                <w:color w:val="000000"/>
                <w:szCs w:val="22"/>
                <w:lang w:val="en-NZ"/>
              </w:rPr>
            </w:pPr>
            <w:r>
              <w:rPr>
                <w:rFonts w:cs="Arial"/>
                <w:b/>
                <w:color w:val="000000"/>
                <w:szCs w:val="22"/>
                <w:lang w:val="en-NZ"/>
              </w:rPr>
              <w:t>Consistency with existing frameworks</w:t>
            </w:r>
          </w:p>
        </w:tc>
        <w:tc>
          <w:tcPr>
            <w:tcW w:w="4266" w:type="dxa"/>
            <w:tcBorders>
              <w:top w:val="single" w:sz="4" w:space="0" w:color="DDDDDD"/>
              <w:left w:val="single" w:sz="4" w:space="0" w:color="DDDDDD"/>
              <w:bottom w:val="single" w:sz="4" w:space="0" w:color="DDDDDD"/>
              <w:right w:val="single" w:sz="4" w:space="0" w:color="DDDDDD"/>
            </w:tcBorders>
            <w:vAlign w:val="center"/>
            <w:hideMark/>
          </w:tcPr>
          <w:p w14:paraId="0799A81D" w14:textId="77777777" w:rsidR="00BB24EA" w:rsidRPr="003677DA" w:rsidRDefault="00BB24EA" w:rsidP="00BB24EA">
            <w:pPr>
              <w:pStyle w:val="TableText"/>
              <w:spacing w:line="276" w:lineRule="auto"/>
              <w:jc w:val="center"/>
              <w:rPr>
                <w:rFonts w:cs="Arial"/>
                <w:b/>
                <w:color w:val="FF0000"/>
              </w:rPr>
            </w:pPr>
            <w:r w:rsidRPr="003677DA">
              <w:rPr>
                <w:rFonts w:cs="Arial"/>
                <w:b/>
                <w:color w:val="FF0000"/>
              </w:rPr>
              <w:t>-</w:t>
            </w:r>
          </w:p>
          <w:p w14:paraId="2F8206C5" w14:textId="3341F300" w:rsidR="00F51818" w:rsidRPr="003677DA" w:rsidRDefault="00682BC1" w:rsidP="00BD5E51">
            <w:pPr>
              <w:pStyle w:val="TableText"/>
              <w:spacing w:line="276" w:lineRule="auto"/>
              <w:jc w:val="center"/>
              <w:rPr>
                <w:bCs/>
                <w:highlight w:val="yellow"/>
                <w:lang w:val="en-NZ"/>
              </w:rPr>
            </w:pPr>
            <w:r w:rsidRPr="003677DA">
              <w:rPr>
                <w:lang w:val="en-NZ" w:eastAsia="en-NZ"/>
              </w:rPr>
              <w:t>Consistent with reporting requirements for foreign trusts</w:t>
            </w:r>
            <w:r w:rsidR="00BB24EA" w:rsidRPr="003677DA">
              <w:rPr>
                <w:lang w:val="en-NZ" w:eastAsia="en-NZ"/>
              </w:rPr>
              <w:t xml:space="preserve"> in treating all trusts the same. </w:t>
            </w:r>
            <w:r w:rsidR="009B42A3" w:rsidRPr="003677DA">
              <w:rPr>
                <w:lang w:val="en-NZ" w:eastAsia="en-NZ"/>
              </w:rPr>
              <w:t>However, providing no relief for smaller trusts is inconsistent with reporting requirements for companies and accounting standards set by XRB.</w:t>
            </w:r>
          </w:p>
        </w:tc>
        <w:tc>
          <w:tcPr>
            <w:tcW w:w="4025" w:type="dxa"/>
            <w:tcBorders>
              <w:top w:val="single" w:sz="4" w:space="0" w:color="DDDDDD"/>
              <w:left w:val="single" w:sz="4" w:space="0" w:color="DDDDDD"/>
              <w:bottom w:val="single" w:sz="4" w:space="0" w:color="DDDDDD"/>
              <w:right w:val="single" w:sz="4" w:space="0" w:color="DDDDDD"/>
            </w:tcBorders>
            <w:vAlign w:val="center"/>
          </w:tcPr>
          <w:p w14:paraId="39628F7F" w14:textId="77777777" w:rsidR="00F70F51" w:rsidRPr="00180514" w:rsidRDefault="00F70F51" w:rsidP="00F70F51">
            <w:pPr>
              <w:pStyle w:val="TableText"/>
              <w:spacing w:line="276" w:lineRule="auto"/>
              <w:jc w:val="center"/>
              <w:rPr>
                <w:lang w:val="en-NZ" w:eastAsia="en-NZ"/>
              </w:rPr>
            </w:pPr>
            <w:r w:rsidRPr="00180514">
              <w:rPr>
                <w:lang w:val="en-NZ" w:eastAsia="en-NZ"/>
              </w:rPr>
              <w:t>0</w:t>
            </w:r>
          </w:p>
          <w:p w14:paraId="2A4A6F96" w14:textId="13BF3AE4" w:rsidR="00A917FB" w:rsidRPr="003677DA" w:rsidRDefault="00D960E2">
            <w:pPr>
              <w:pStyle w:val="TableText"/>
              <w:spacing w:line="276" w:lineRule="auto"/>
              <w:jc w:val="center"/>
              <w:rPr>
                <w:highlight w:val="yellow"/>
                <w:lang w:val="en-NZ"/>
              </w:rPr>
            </w:pPr>
            <w:r w:rsidRPr="003677DA">
              <w:rPr>
                <w:lang w:val="en-NZ" w:eastAsia="en-NZ"/>
              </w:rPr>
              <w:t xml:space="preserve">Mixed. </w:t>
            </w:r>
            <w:r w:rsidR="00D721FA" w:rsidRPr="003677DA">
              <w:rPr>
                <w:lang w:val="en-NZ" w:eastAsia="en-NZ"/>
              </w:rPr>
              <w:t>Inconsistent with foreign trusts (no relief) and companies (full relief for small companies).</w:t>
            </w:r>
            <w:r w:rsidR="00A21829" w:rsidRPr="003677DA">
              <w:rPr>
                <w:lang w:val="en-NZ" w:eastAsia="en-NZ"/>
              </w:rPr>
              <w:t xml:space="preserve"> Some elements are consistent with XRB accounting standards (allowing small</w:t>
            </w:r>
            <w:r w:rsidR="004A030E" w:rsidRPr="003677DA">
              <w:rPr>
                <w:lang w:val="en-NZ" w:eastAsia="en-NZ"/>
              </w:rPr>
              <w:t>er entities to apply cash accounting).</w:t>
            </w:r>
            <w:r w:rsidRPr="003677DA">
              <w:rPr>
                <w:lang w:val="en-NZ" w:eastAsia="en-NZ"/>
              </w:rPr>
              <w:t xml:space="preserve"> </w:t>
            </w:r>
          </w:p>
        </w:tc>
        <w:tc>
          <w:tcPr>
            <w:tcW w:w="4025" w:type="dxa"/>
            <w:tcBorders>
              <w:top w:val="single" w:sz="4" w:space="0" w:color="DDDDDD"/>
              <w:left w:val="single" w:sz="4" w:space="0" w:color="DDDDDD"/>
              <w:bottom w:val="single" w:sz="4" w:space="0" w:color="DDDDDD"/>
              <w:right w:val="single" w:sz="4" w:space="0" w:color="DDDDDD"/>
            </w:tcBorders>
            <w:vAlign w:val="center"/>
          </w:tcPr>
          <w:p w14:paraId="04E5E59A" w14:textId="77777777" w:rsidR="00DE225D" w:rsidRDefault="00DE225D" w:rsidP="00DE225D">
            <w:pPr>
              <w:pStyle w:val="TableText"/>
              <w:spacing w:line="276" w:lineRule="auto"/>
              <w:jc w:val="center"/>
              <w:rPr>
                <w:rFonts w:cs="Arial"/>
                <w:b/>
                <w:color w:val="FF0000"/>
              </w:rPr>
            </w:pPr>
            <w:r>
              <w:rPr>
                <w:rFonts w:cs="Arial"/>
                <w:b/>
                <w:color w:val="FF0000"/>
              </w:rPr>
              <w:t>- -</w:t>
            </w:r>
          </w:p>
          <w:p w14:paraId="04A793EE" w14:textId="1BDA295F" w:rsidR="00856AB4" w:rsidRPr="003677DA" w:rsidRDefault="00C47D54" w:rsidP="00C47D54">
            <w:pPr>
              <w:pStyle w:val="TableText"/>
              <w:spacing w:line="276" w:lineRule="auto"/>
              <w:jc w:val="center"/>
              <w:rPr>
                <w:highlight w:val="yellow"/>
                <w:lang w:val="en-NZ"/>
              </w:rPr>
            </w:pPr>
            <w:r w:rsidRPr="00DE225D">
              <w:rPr>
                <w:lang w:val="en-NZ" w:eastAsia="en-NZ"/>
              </w:rPr>
              <w:t xml:space="preserve">The </w:t>
            </w:r>
            <w:r w:rsidR="00E851A4" w:rsidRPr="003677DA">
              <w:rPr>
                <w:lang w:val="en-NZ" w:eastAsia="en-NZ"/>
              </w:rPr>
              <w:t xml:space="preserve">broad </w:t>
            </w:r>
            <w:r w:rsidRPr="00DE225D">
              <w:rPr>
                <w:lang w:val="en-NZ" w:eastAsia="en-NZ"/>
              </w:rPr>
              <w:t xml:space="preserve">scope of relief </w:t>
            </w:r>
            <w:r w:rsidR="00DE225D" w:rsidRPr="003677DA">
              <w:rPr>
                <w:lang w:val="en-NZ" w:eastAsia="en-NZ"/>
              </w:rPr>
              <w:t xml:space="preserve">is not based on existing frameworks but </w:t>
            </w:r>
            <w:r w:rsidRPr="00DE225D">
              <w:rPr>
                <w:lang w:val="en-NZ" w:eastAsia="en-NZ"/>
              </w:rPr>
              <w:t xml:space="preserve">is </w:t>
            </w:r>
            <w:r w:rsidR="00907052" w:rsidRPr="003677DA">
              <w:rPr>
                <w:lang w:val="en-NZ" w:eastAsia="en-NZ"/>
              </w:rPr>
              <w:t>tailored</w:t>
            </w:r>
            <w:r w:rsidR="0014207E" w:rsidRPr="003677DA">
              <w:rPr>
                <w:lang w:val="en-NZ" w:eastAsia="en-NZ"/>
              </w:rPr>
              <w:t xml:space="preserve"> to the </w:t>
            </w:r>
            <w:r w:rsidR="00DE225D" w:rsidRPr="003677DA">
              <w:rPr>
                <w:lang w:val="en-NZ" w:eastAsia="en-NZ"/>
              </w:rPr>
              <w:t xml:space="preserve">specific circumstances for domestic trusts, the </w:t>
            </w:r>
            <w:r w:rsidR="0014207E" w:rsidRPr="003677DA">
              <w:rPr>
                <w:lang w:val="en-NZ" w:eastAsia="en-NZ"/>
              </w:rPr>
              <w:t xml:space="preserve">disclosure rules and </w:t>
            </w:r>
            <w:r w:rsidR="00E851A4" w:rsidRPr="003677DA">
              <w:rPr>
                <w:lang w:val="en-NZ" w:eastAsia="en-NZ"/>
              </w:rPr>
              <w:t>feedback from submitters</w:t>
            </w:r>
            <w:r w:rsidR="00DE225D" w:rsidRPr="003677DA">
              <w:rPr>
                <w:lang w:val="en-NZ" w:eastAsia="en-NZ"/>
              </w:rPr>
              <w:t>.</w:t>
            </w:r>
          </w:p>
        </w:tc>
      </w:tr>
      <w:tr w:rsidR="00241DC9" w14:paraId="7D52078A" w14:textId="77777777" w:rsidTr="00CC08DC">
        <w:trPr>
          <w:trHeight w:val="378"/>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42E8DEE" w14:textId="77777777" w:rsidR="00241DC9" w:rsidRDefault="00241DC9" w:rsidP="00BD5E51">
            <w:pPr>
              <w:spacing w:before="60" w:after="60" w:line="240" w:lineRule="auto"/>
              <w:jc w:val="center"/>
              <w:rPr>
                <w:rFonts w:cs="Arial"/>
                <w:b/>
                <w:color w:val="000000"/>
                <w:szCs w:val="22"/>
                <w:lang w:val="en-NZ"/>
              </w:rPr>
            </w:pPr>
            <w:r>
              <w:rPr>
                <w:rFonts w:cs="Arial"/>
                <w:b/>
                <w:color w:val="000000"/>
                <w:szCs w:val="22"/>
                <w:lang w:val="en-NZ"/>
              </w:rPr>
              <w:t>Proportionality</w:t>
            </w:r>
          </w:p>
        </w:tc>
        <w:tc>
          <w:tcPr>
            <w:tcW w:w="4266" w:type="dxa"/>
            <w:tcBorders>
              <w:top w:val="single" w:sz="4" w:space="0" w:color="DDDDDD"/>
              <w:left w:val="single" w:sz="4" w:space="0" w:color="DDDDDD"/>
              <w:bottom w:val="single" w:sz="4" w:space="0" w:color="DDDDDD"/>
              <w:right w:val="single" w:sz="4" w:space="0" w:color="DDDDDD"/>
            </w:tcBorders>
            <w:vAlign w:val="center"/>
            <w:hideMark/>
          </w:tcPr>
          <w:p w14:paraId="52EBC0EA" w14:textId="1B71F343" w:rsidR="00241DC9" w:rsidRPr="003677DA" w:rsidRDefault="004102A4" w:rsidP="00BD5E51">
            <w:pPr>
              <w:pStyle w:val="TableText"/>
              <w:spacing w:line="276" w:lineRule="auto"/>
              <w:jc w:val="center"/>
              <w:rPr>
                <w:lang w:val="en-NZ" w:eastAsia="en-NZ"/>
              </w:rPr>
            </w:pPr>
            <w:r w:rsidRPr="003677DA">
              <w:rPr>
                <w:lang w:val="en-NZ" w:eastAsia="en-NZ"/>
              </w:rPr>
              <w:t>0</w:t>
            </w:r>
          </w:p>
          <w:p w14:paraId="7907C3BE" w14:textId="392184E4" w:rsidR="009C2617" w:rsidRPr="003677DA" w:rsidRDefault="009C2617" w:rsidP="00BD5E51">
            <w:pPr>
              <w:pStyle w:val="TableText"/>
              <w:spacing w:line="276" w:lineRule="auto"/>
              <w:jc w:val="center"/>
              <w:rPr>
                <w:bCs/>
                <w:highlight w:val="yellow"/>
                <w:lang w:val="en-NZ"/>
              </w:rPr>
            </w:pPr>
            <w:r w:rsidRPr="00C834D4">
              <w:rPr>
                <w:lang w:val="en-NZ" w:eastAsia="en-NZ"/>
              </w:rPr>
              <w:t xml:space="preserve">No proportionality. All trusts subject to the </w:t>
            </w:r>
            <w:r w:rsidR="00C834D4" w:rsidRPr="003677DA">
              <w:rPr>
                <w:lang w:val="en-NZ" w:eastAsia="en-NZ"/>
              </w:rPr>
              <w:t xml:space="preserve">disclosure </w:t>
            </w:r>
            <w:r w:rsidRPr="00C834D4">
              <w:rPr>
                <w:lang w:val="en-NZ" w:eastAsia="en-NZ"/>
              </w:rPr>
              <w:t xml:space="preserve">rules </w:t>
            </w:r>
            <w:r w:rsidR="00CE0B08">
              <w:rPr>
                <w:lang w:val="en-NZ" w:eastAsia="en-NZ"/>
              </w:rPr>
              <w:t>would be</w:t>
            </w:r>
            <w:r w:rsidR="00CE0B08" w:rsidRPr="00C834D4">
              <w:rPr>
                <w:lang w:val="en-NZ" w:eastAsia="en-NZ"/>
              </w:rPr>
              <w:t xml:space="preserve"> </w:t>
            </w:r>
            <w:r w:rsidRPr="00C834D4">
              <w:rPr>
                <w:lang w:val="en-NZ" w:eastAsia="en-NZ"/>
              </w:rPr>
              <w:t>treated the same.</w:t>
            </w:r>
          </w:p>
        </w:tc>
        <w:tc>
          <w:tcPr>
            <w:tcW w:w="4025" w:type="dxa"/>
            <w:tcBorders>
              <w:top w:val="single" w:sz="4" w:space="0" w:color="DDDDDD"/>
              <w:left w:val="single" w:sz="4" w:space="0" w:color="DDDDDD"/>
              <w:bottom w:val="single" w:sz="4" w:space="0" w:color="DDDDDD"/>
              <w:right w:val="single" w:sz="4" w:space="0" w:color="DDDDDD"/>
            </w:tcBorders>
            <w:vAlign w:val="center"/>
          </w:tcPr>
          <w:p w14:paraId="14DE9883" w14:textId="77777777" w:rsidR="00241DC9" w:rsidRPr="00907052" w:rsidRDefault="00356C34" w:rsidP="00BD5E51">
            <w:pPr>
              <w:pStyle w:val="TableText"/>
              <w:spacing w:line="276" w:lineRule="auto"/>
              <w:jc w:val="center"/>
              <w:rPr>
                <w:rFonts w:cs="Arial"/>
                <w:b/>
                <w:color w:val="00B050"/>
              </w:rPr>
            </w:pPr>
            <w:r w:rsidRPr="00907052">
              <w:rPr>
                <w:rFonts w:cs="Arial"/>
                <w:b/>
                <w:color w:val="00B050"/>
              </w:rPr>
              <w:t>+</w:t>
            </w:r>
          </w:p>
          <w:p w14:paraId="39ED3986" w14:textId="4921295D" w:rsidR="009C2617" w:rsidRPr="003677DA" w:rsidRDefault="00A40AF3" w:rsidP="00BD5E51">
            <w:pPr>
              <w:pStyle w:val="TableText"/>
              <w:spacing w:line="276" w:lineRule="auto"/>
              <w:jc w:val="center"/>
              <w:rPr>
                <w:highlight w:val="yellow"/>
                <w:lang w:val="en-NZ"/>
              </w:rPr>
            </w:pPr>
            <w:r w:rsidRPr="003677DA">
              <w:rPr>
                <w:lang w:val="en-NZ" w:eastAsia="en-NZ"/>
              </w:rPr>
              <w:t xml:space="preserve">Provides some relief for </w:t>
            </w:r>
            <w:r w:rsidR="00C920B3">
              <w:rPr>
                <w:lang w:val="en-NZ" w:eastAsia="en-NZ"/>
              </w:rPr>
              <w:t xml:space="preserve">certain </w:t>
            </w:r>
            <w:r w:rsidRPr="003677DA">
              <w:rPr>
                <w:lang w:val="en-NZ" w:eastAsia="en-NZ"/>
              </w:rPr>
              <w:t>trusts</w:t>
            </w:r>
            <w:r w:rsidR="00907052">
              <w:rPr>
                <w:lang w:val="en-NZ" w:eastAsia="en-NZ"/>
              </w:rPr>
              <w:t>.</w:t>
            </w:r>
          </w:p>
        </w:tc>
        <w:tc>
          <w:tcPr>
            <w:tcW w:w="4025" w:type="dxa"/>
            <w:tcBorders>
              <w:top w:val="single" w:sz="4" w:space="0" w:color="DDDDDD"/>
              <w:left w:val="single" w:sz="4" w:space="0" w:color="DDDDDD"/>
              <w:bottom w:val="single" w:sz="4" w:space="0" w:color="DDDDDD"/>
              <w:right w:val="single" w:sz="4" w:space="0" w:color="DDDDDD"/>
            </w:tcBorders>
            <w:vAlign w:val="center"/>
          </w:tcPr>
          <w:p w14:paraId="617ADF46" w14:textId="77777777" w:rsidR="00241DC9" w:rsidRPr="00686D49" w:rsidRDefault="00356C34" w:rsidP="00BD5E51">
            <w:pPr>
              <w:pStyle w:val="TableText"/>
              <w:spacing w:line="276" w:lineRule="auto"/>
              <w:jc w:val="center"/>
              <w:rPr>
                <w:rFonts w:cs="Arial"/>
                <w:b/>
                <w:color w:val="00B050"/>
              </w:rPr>
            </w:pPr>
            <w:r w:rsidRPr="00686D49">
              <w:rPr>
                <w:rFonts w:cs="Arial"/>
                <w:b/>
                <w:color w:val="00B050"/>
              </w:rPr>
              <w:t>++</w:t>
            </w:r>
          </w:p>
          <w:p w14:paraId="5CC499ED" w14:textId="183CA7E2" w:rsidR="009C2617" w:rsidRPr="003677DA" w:rsidRDefault="00907052" w:rsidP="00BD5E51">
            <w:pPr>
              <w:pStyle w:val="TableText"/>
              <w:spacing w:line="276" w:lineRule="auto"/>
              <w:jc w:val="center"/>
              <w:rPr>
                <w:highlight w:val="yellow"/>
                <w:lang w:val="en-NZ"/>
              </w:rPr>
            </w:pPr>
            <w:r w:rsidRPr="00180514">
              <w:rPr>
                <w:lang w:val="en-NZ" w:eastAsia="en-NZ"/>
              </w:rPr>
              <w:t xml:space="preserve">Provides </w:t>
            </w:r>
            <w:r>
              <w:rPr>
                <w:lang w:val="en-NZ" w:eastAsia="en-NZ"/>
              </w:rPr>
              <w:t>greater</w:t>
            </w:r>
            <w:r w:rsidRPr="00180514">
              <w:rPr>
                <w:lang w:val="en-NZ" w:eastAsia="en-NZ"/>
              </w:rPr>
              <w:t xml:space="preserve"> relief for </w:t>
            </w:r>
            <w:r w:rsidR="00C920B3">
              <w:rPr>
                <w:lang w:val="en-NZ" w:eastAsia="en-NZ"/>
              </w:rPr>
              <w:t>certain</w:t>
            </w:r>
            <w:r w:rsidR="00C920B3" w:rsidRPr="00180514">
              <w:rPr>
                <w:lang w:val="en-NZ" w:eastAsia="en-NZ"/>
              </w:rPr>
              <w:t xml:space="preserve"> </w:t>
            </w:r>
            <w:r w:rsidRPr="00180514">
              <w:rPr>
                <w:lang w:val="en-NZ" w:eastAsia="en-NZ"/>
              </w:rPr>
              <w:t>trusts</w:t>
            </w:r>
            <w:r>
              <w:rPr>
                <w:lang w:val="en-NZ" w:eastAsia="en-NZ"/>
              </w:rPr>
              <w:t>.</w:t>
            </w:r>
          </w:p>
        </w:tc>
      </w:tr>
      <w:tr w:rsidR="00241DC9" w14:paraId="68E84CAA" w14:textId="77777777" w:rsidTr="00CC08DC">
        <w:trPr>
          <w:trHeight w:val="584"/>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4EF82F4B" w14:textId="77777777" w:rsidR="00241DC9" w:rsidRDefault="00241DC9" w:rsidP="00BD5E51">
            <w:pPr>
              <w:spacing w:before="60" w:after="60" w:line="240" w:lineRule="auto"/>
              <w:jc w:val="center"/>
              <w:rPr>
                <w:rFonts w:cs="Arial"/>
                <w:b/>
                <w:color w:val="000000"/>
                <w:szCs w:val="22"/>
                <w:lang w:val="en-NZ"/>
              </w:rPr>
            </w:pPr>
            <w:r>
              <w:rPr>
                <w:rFonts w:cs="Arial"/>
                <w:b/>
                <w:color w:val="000000"/>
                <w:szCs w:val="22"/>
                <w:lang w:val="en-NZ"/>
              </w:rPr>
              <w:t>Overall assessment</w:t>
            </w:r>
          </w:p>
        </w:tc>
        <w:tc>
          <w:tcPr>
            <w:tcW w:w="4266" w:type="dxa"/>
            <w:tcBorders>
              <w:top w:val="single" w:sz="4" w:space="0" w:color="DDDDDD"/>
              <w:left w:val="single" w:sz="4" w:space="0" w:color="DDDDDD"/>
              <w:bottom w:val="single" w:sz="4" w:space="0" w:color="DDDDDD"/>
              <w:right w:val="single" w:sz="4" w:space="0" w:color="DDDDDD"/>
            </w:tcBorders>
            <w:vAlign w:val="center"/>
            <w:hideMark/>
          </w:tcPr>
          <w:p w14:paraId="1DAC68BE" w14:textId="77777777" w:rsidR="00241DC9" w:rsidRPr="002E087F" w:rsidRDefault="00356C34" w:rsidP="00BD5E51">
            <w:pPr>
              <w:pStyle w:val="TableText"/>
              <w:spacing w:line="276" w:lineRule="auto"/>
              <w:jc w:val="center"/>
              <w:rPr>
                <w:rFonts w:cs="Arial"/>
                <w:b/>
                <w:color w:val="FF0000"/>
              </w:rPr>
            </w:pPr>
            <w:r w:rsidRPr="002E087F">
              <w:rPr>
                <w:rFonts w:cs="Arial"/>
                <w:b/>
                <w:color w:val="FF0000"/>
              </w:rPr>
              <w:t>-</w:t>
            </w:r>
          </w:p>
          <w:p w14:paraId="223B3B52" w14:textId="300C7D76" w:rsidR="00A36E96" w:rsidRPr="00892289" w:rsidRDefault="007B487E" w:rsidP="00BD5E51">
            <w:pPr>
              <w:pStyle w:val="TableText"/>
              <w:spacing w:line="276" w:lineRule="auto"/>
              <w:jc w:val="center"/>
              <w:rPr>
                <w:highlight w:val="yellow"/>
                <w:lang w:val="en-NZ"/>
              </w:rPr>
            </w:pPr>
            <w:r w:rsidRPr="002E087F">
              <w:rPr>
                <w:lang w:val="en-NZ"/>
              </w:rPr>
              <w:t>Support</w:t>
            </w:r>
            <w:r w:rsidR="004102A4" w:rsidRPr="002E087F">
              <w:rPr>
                <w:lang w:val="en-NZ"/>
              </w:rPr>
              <w:t>s</w:t>
            </w:r>
            <w:r w:rsidRPr="002E087F">
              <w:rPr>
                <w:lang w:val="en-NZ"/>
              </w:rPr>
              <w:t xml:space="preserve"> the </w:t>
            </w:r>
            <w:r w:rsidR="002E087F" w:rsidRPr="00892289">
              <w:rPr>
                <w:lang w:val="en-NZ"/>
              </w:rPr>
              <w:t xml:space="preserve">Government’s </w:t>
            </w:r>
            <w:r w:rsidR="00011AB9">
              <w:rPr>
                <w:bCs/>
                <w:lang w:val="en-NZ"/>
              </w:rPr>
              <w:t xml:space="preserve">trust disclosure rules </w:t>
            </w:r>
            <w:r w:rsidR="002E087F" w:rsidRPr="00892289">
              <w:rPr>
                <w:lang w:val="en-NZ"/>
              </w:rPr>
              <w:t>objectives but imposes significant compliance costs for smaller trusts</w:t>
            </w:r>
            <w:r w:rsidR="00E768AF" w:rsidRPr="002E087F">
              <w:rPr>
                <w:lang w:val="en-NZ"/>
              </w:rPr>
              <w:t>.</w:t>
            </w:r>
          </w:p>
        </w:tc>
        <w:tc>
          <w:tcPr>
            <w:tcW w:w="4025" w:type="dxa"/>
            <w:tcBorders>
              <w:top w:val="single" w:sz="4" w:space="0" w:color="DDDDDD"/>
              <w:left w:val="single" w:sz="4" w:space="0" w:color="DDDDDD"/>
              <w:bottom w:val="single" w:sz="4" w:space="0" w:color="DDDDDD"/>
              <w:right w:val="single" w:sz="4" w:space="0" w:color="DDDDDD"/>
            </w:tcBorders>
            <w:vAlign w:val="center"/>
          </w:tcPr>
          <w:p w14:paraId="17B2ACAD" w14:textId="77777777" w:rsidR="00241DC9" w:rsidRPr="000E5F04" w:rsidRDefault="00356C34" w:rsidP="00BD5E51">
            <w:pPr>
              <w:pStyle w:val="TableText"/>
              <w:spacing w:line="276" w:lineRule="auto"/>
              <w:jc w:val="center"/>
              <w:rPr>
                <w:rFonts w:cs="Arial"/>
                <w:b/>
                <w:color w:val="00B050"/>
              </w:rPr>
            </w:pPr>
            <w:r w:rsidRPr="000E5F04">
              <w:rPr>
                <w:rFonts w:cs="Arial"/>
                <w:b/>
                <w:color w:val="00B050"/>
              </w:rPr>
              <w:t>+</w:t>
            </w:r>
          </w:p>
          <w:p w14:paraId="555F81EB" w14:textId="06FB0436" w:rsidR="00D82D5B" w:rsidRPr="00892289" w:rsidRDefault="000E5F04" w:rsidP="00BD5E51">
            <w:pPr>
              <w:pStyle w:val="TableText"/>
              <w:spacing w:line="276" w:lineRule="auto"/>
              <w:jc w:val="center"/>
              <w:rPr>
                <w:highlight w:val="yellow"/>
                <w:lang w:val="en-NZ"/>
              </w:rPr>
            </w:pPr>
            <w:r w:rsidRPr="00180514">
              <w:rPr>
                <w:lang w:val="en-NZ"/>
              </w:rPr>
              <w:t xml:space="preserve">Supports the Government’s </w:t>
            </w:r>
            <w:r w:rsidR="00011AB9">
              <w:rPr>
                <w:bCs/>
                <w:lang w:val="en-NZ"/>
              </w:rPr>
              <w:t xml:space="preserve">trust disclosure rules </w:t>
            </w:r>
            <w:r w:rsidRPr="00180514">
              <w:rPr>
                <w:lang w:val="en-NZ"/>
              </w:rPr>
              <w:t>objectives</w:t>
            </w:r>
            <w:r>
              <w:rPr>
                <w:lang w:val="en-NZ"/>
              </w:rPr>
              <w:t xml:space="preserve"> and provides a partial reduction in compliance costs for </w:t>
            </w:r>
            <w:r w:rsidR="00C920B3">
              <w:rPr>
                <w:lang w:val="en-NZ"/>
              </w:rPr>
              <w:t xml:space="preserve">certain </w:t>
            </w:r>
            <w:r>
              <w:rPr>
                <w:lang w:val="en-NZ"/>
              </w:rPr>
              <w:t>trusts.</w:t>
            </w:r>
            <w:r w:rsidRPr="00F05E99" w:rsidDel="000E5F04">
              <w:rPr>
                <w:highlight w:val="yellow"/>
                <w:lang w:val="en-NZ"/>
              </w:rPr>
              <w:t xml:space="preserve"> </w:t>
            </w:r>
          </w:p>
        </w:tc>
        <w:tc>
          <w:tcPr>
            <w:tcW w:w="4025" w:type="dxa"/>
            <w:tcBorders>
              <w:top w:val="single" w:sz="4" w:space="0" w:color="DDDDDD"/>
              <w:left w:val="single" w:sz="4" w:space="0" w:color="DDDDDD"/>
              <w:bottom w:val="single" w:sz="4" w:space="0" w:color="DDDDDD"/>
              <w:right w:val="single" w:sz="4" w:space="0" w:color="DDDDDD"/>
            </w:tcBorders>
            <w:vAlign w:val="center"/>
          </w:tcPr>
          <w:p w14:paraId="1BE71AAC" w14:textId="77777777" w:rsidR="00241DC9" w:rsidRPr="000E5F04" w:rsidRDefault="00356C34" w:rsidP="00BD5E51">
            <w:pPr>
              <w:pStyle w:val="TableText"/>
              <w:spacing w:line="276" w:lineRule="auto"/>
              <w:jc w:val="center"/>
              <w:rPr>
                <w:rFonts w:cs="Arial"/>
                <w:b/>
                <w:color w:val="00B050"/>
              </w:rPr>
            </w:pPr>
            <w:r w:rsidRPr="000E5F04">
              <w:rPr>
                <w:rFonts w:cs="Arial"/>
                <w:b/>
                <w:color w:val="00B050"/>
              </w:rPr>
              <w:t>++</w:t>
            </w:r>
          </w:p>
          <w:p w14:paraId="4C07F900" w14:textId="035E343F" w:rsidR="00D82D5B" w:rsidRPr="00F53B83" w:rsidRDefault="000E5F04" w:rsidP="00BD5E51">
            <w:pPr>
              <w:pStyle w:val="TableText"/>
              <w:spacing w:line="276" w:lineRule="auto"/>
              <w:jc w:val="center"/>
              <w:rPr>
                <w:highlight w:val="yellow"/>
                <w:lang w:val="en-NZ"/>
              </w:rPr>
            </w:pPr>
            <w:r w:rsidRPr="00180514">
              <w:rPr>
                <w:lang w:val="en-NZ"/>
              </w:rPr>
              <w:t xml:space="preserve">Supports the Government’s </w:t>
            </w:r>
            <w:r w:rsidR="00011AB9">
              <w:rPr>
                <w:bCs/>
                <w:lang w:val="en-NZ"/>
              </w:rPr>
              <w:t xml:space="preserve">trust disclosure rules </w:t>
            </w:r>
            <w:r w:rsidRPr="00180514">
              <w:rPr>
                <w:lang w:val="en-NZ"/>
              </w:rPr>
              <w:t>objectives</w:t>
            </w:r>
            <w:r>
              <w:rPr>
                <w:lang w:val="en-NZ"/>
              </w:rPr>
              <w:t xml:space="preserve"> and provides a significant reduction in compliance costs for </w:t>
            </w:r>
            <w:r w:rsidR="00C920B3">
              <w:rPr>
                <w:lang w:val="en-NZ"/>
              </w:rPr>
              <w:t xml:space="preserve">certain </w:t>
            </w:r>
            <w:r>
              <w:rPr>
                <w:lang w:val="en-NZ"/>
              </w:rPr>
              <w:t>trusts.</w:t>
            </w:r>
          </w:p>
        </w:tc>
      </w:tr>
    </w:tbl>
    <w:p w14:paraId="3C27EC3F" w14:textId="77777777" w:rsidR="004102A4" w:rsidRDefault="004102A4">
      <w:pPr>
        <w:spacing w:after="0" w:line="240" w:lineRule="auto"/>
        <w:rPr>
          <w:b/>
          <w:bCs/>
          <w:sz w:val="28"/>
          <w:szCs w:val="24"/>
          <w:lang w:val="en-NZ"/>
        </w:rPr>
      </w:pPr>
      <w:r>
        <w:rPr>
          <w:b/>
          <w:bCs/>
          <w:sz w:val="28"/>
          <w:szCs w:val="24"/>
          <w:lang w:val="en-NZ"/>
        </w:rPr>
        <w:br w:type="page"/>
      </w:r>
    </w:p>
    <w:p w14:paraId="1DC730A6" w14:textId="3A9399A0" w:rsidR="00CC08DC" w:rsidRPr="00D62E64" w:rsidRDefault="001B69EC" w:rsidP="00CC08DC">
      <w:pPr>
        <w:jc w:val="center"/>
        <w:rPr>
          <w:sz w:val="28"/>
          <w:szCs w:val="24"/>
          <w:lang w:val="en-NZ"/>
        </w:rPr>
      </w:pPr>
      <w:r>
        <w:rPr>
          <w:b/>
          <w:bCs/>
          <w:sz w:val="28"/>
          <w:szCs w:val="24"/>
          <w:lang w:val="en-NZ"/>
        </w:rPr>
        <w:t>Trusts eligible for simplified reporting requirements</w:t>
      </w:r>
    </w:p>
    <w:tbl>
      <w:tblPr>
        <w:tblW w:w="0" w:type="auto"/>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781"/>
        <w:gridCol w:w="6328"/>
        <w:gridCol w:w="6379"/>
      </w:tblGrid>
      <w:tr w:rsidR="00CC08DC" w14:paraId="0EDBDDEC" w14:textId="77777777" w:rsidTr="00F53B83">
        <w:trPr>
          <w:trHeight w:val="39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tcPr>
          <w:p w14:paraId="7DA21130" w14:textId="77777777" w:rsidR="00CC08DC" w:rsidRDefault="00CC08DC" w:rsidP="00180514">
            <w:pPr>
              <w:spacing w:before="60" w:after="60" w:line="276" w:lineRule="auto"/>
              <w:jc w:val="center"/>
              <w:rPr>
                <w:rFonts w:cs="Arial"/>
                <w:bCs/>
                <w:i/>
                <w:iCs/>
                <w:color w:val="FFFFFF"/>
                <w:sz w:val="20"/>
                <w:szCs w:val="24"/>
                <w:lang w:val="en-NZ"/>
              </w:rPr>
            </w:pPr>
          </w:p>
        </w:tc>
        <w:tc>
          <w:tcPr>
            <w:tcW w:w="632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4D7A6A2E" w14:textId="7097FEDD"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 xml:space="preserve">Option One – </w:t>
            </w:r>
            <w:r>
              <w:rPr>
                <w:lang w:val="en-NZ"/>
              </w:rPr>
              <w:t>Adopt similar definition to a “small” company</w:t>
            </w:r>
          </w:p>
        </w:tc>
        <w:tc>
          <w:tcPr>
            <w:tcW w:w="6379"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C483768" w14:textId="2C7C32F4" w:rsidR="00CC08DC" w:rsidRPr="00F53B83" w:rsidRDefault="00CC08DC" w:rsidP="00180514">
            <w:pPr>
              <w:spacing w:before="60" w:after="60" w:line="276" w:lineRule="auto"/>
              <w:jc w:val="center"/>
              <w:rPr>
                <w:rFonts w:cs="Arial"/>
                <w:bCs/>
                <w:color w:val="000000"/>
                <w:szCs w:val="22"/>
                <w:lang w:val="en-NZ"/>
              </w:rPr>
            </w:pPr>
            <w:r>
              <w:rPr>
                <w:rFonts w:cs="Arial"/>
                <w:b/>
                <w:color w:val="000000"/>
                <w:szCs w:val="22"/>
                <w:lang w:val="en-NZ"/>
              </w:rPr>
              <w:t xml:space="preserve">Option Two – </w:t>
            </w:r>
            <w:r w:rsidR="00F05E99">
              <w:rPr>
                <w:rFonts w:cs="Arial"/>
                <w:bCs/>
                <w:color w:val="000000"/>
                <w:szCs w:val="22"/>
                <w:lang w:val="en-NZ"/>
              </w:rPr>
              <w:t>Broader definition of a “simplified reporting trust”</w:t>
            </w:r>
          </w:p>
        </w:tc>
      </w:tr>
      <w:tr w:rsidR="00CC08DC" w14:paraId="44671FF1" w14:textId="77777777" w:rsidTr="00F53B83">
        <w:trPr>
          <w:trHeight w:val="61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23DD6D9E" w14:textId="77777777"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Minimise compliance costs</w:t>
            </w:r>
          </w:p>
        </w:tc>
        <w:tc>
          <w:tcPr>
            <w:tcW w:w="6328" w:type="dxa"/>
            <w:tcBorders>
              <w:top w:val="single" w:sz="4" w:space="0" w:color="DDDDDD"/>
              <w:left w:val="single" w:sz="4" w:space="0" w:color="DDDDDD"/>
              <w:bottom w:val="single" w:sz="4" w:space="0" w:color="DDDDDD"/>
              <w:right w:val="single" w:sz="4" w:space="0" w:color="DDDDDD"/>
            </w:tcBorders>
            <w:vAlign w:val="center"/>
            <w:hideMark/>
          </w:tcPr>
          <w:p w14:paraId="2DBC2198" w14:textId="77777777" w:rsidR="00686D49" w:rsidRPr="000D2947" w:rsidRDefault="00686D49" w:rsidP="00686D49">
            <w:pPr>
              <w:pStyle w:val="TableText"/>
              <w:spacing w:line="276" w:lineRule="auto"/>
              <w:jc w:val="center"/>
              <w:rPr>
                <w:rFonts w:cs="Arial"/>
                <w:b/>
                <w:color w:val="00B050"/>
              </w:rPr>
            </w:pPr>
            <w:r w:rsidRPr="000D2947">
              <w:rPr>
                <w:rFonts w:cs="Arial"/>
                <w:b/>
                <w:color w:val="00B050"/>
              </w:rPr>
              <w:t>+</w:t>
            </w:r>
          </w:p>
          <w:p w14:paraId="37298798" w14:textId="532864B6" w:rsidR="00306A50" w:rsidRPr="000D2947" w:rsidRDefault="00372181" w:rsidP="00686D49">
            <w:pPr>
              <w:pStyle w:val="TableText"/>
              <w:spacing w:line="276" w:lineRule="auto"/>
              <w:jc w:val="center"/>
              <w:rPr>
                <w:rFonts w:cs="Arial"/>
                <w:b/>
                <w:color w:val="00B050"/>
              </w:rPr>
            </w:pPr>
            <w:r w:rsidRPr="000D2947">
              <w:rPr>
                <w:lang w:val="en-NZ"/>
              </w:rPr>
              <w:t xml:space="preserve">Assuming option 2 or 3 is adopted for the simplified reporting requirements for certain trusts, this option </w:t>
            </w:r>
            <w:r w:rsidR="000D2947" w:rsidRPr="000D2947">
              <w:rPr>
                <w:lang w:val="en-NZ"/>
              </w:rPr>
              <w:t>results in reduced compliance costs for an estimated 38% of trusts.</w:t>
            </w:r>
          </w:p>
          <w:p w14:paraId="57C160F4" w14:textId="7C4FF607" w:rsidR="00CC08DC" w:rsidRPr="000D2947" w:rsidRDefault="00CC08DC" w:rsidP="00180514">
            <w:pPr>
              <w:pStyle w:val="TableText"/>
              <w:spacing w:line="276" w:lineRule="auto"/>
              <w:jc w:val="center"/>
              <w:rPr>
                <w:bCs/>
                <w:lang w:val="en-NZ"/>
              </w:rPr>
            </w:pPr>
          </w:p>
        </w:tc>
        <w:tc>
          <w:tcPr>
            <w:tcW w:w="6379" w:type="dxa"/>
            <w:tcBorders>
              <w:top w:val="single" w:sz="4" w:space="0" w:color="DDDDDD"/>
              <w:left w:val="single" w:sz="4" w:space="0" w:color="DDDDDD"/>
              <w:bottom w:val="single" w:sz="4" w:space="0" w:color="DDDDDD"/>
              <w:right w:val="single" w:sz="4" w:space="0" w:color="DDDDDD"/>
            </w:tcBorders>
            <w:vAlign w:val="center"/>
            <w:hideMark/>
          </w:tcPr>
          <w:p w14:paraId="2B082D7F" w14:textId="77777777" w:rsidR="00686D49" w:rsidRPr="000D2947" w:rsidRDefault="00CC08DC" w:rsidP="00686D49">
            <w:pPr>
              <w:pStyle w:val="TableText"/>
              <w:spacing w:line="276" w:lineRule="auto"/>
              <w:jc w:val="center"/>
              <w:rPr>
                <w:rFonts w:cs="Arial"/>
                <w:b/>
                <w:color w:val="00B050"/>
              </w:rPr>
            </w:pPr>
            <w:r w:rsidRPr="000D2947">
              <w:rPr>
                <w:rFonts w:cs="Arial"/>
                <w:b/>
                <w:color w:val="00B050"/>
              </w:rPr>
              <w:t>+</w:t>
            </w:r>
            <w:r w:rsidR="00686D49" w:rsidRPr="000D2947">
              <w:rPr>
                <w:rFonts w:cs="Arial"/>
                <w:b/>
                <w:color w:val="00B050"/>
              </w:rPr>
              <w:t>+</w:t>
            </w:r>
          </w:p>
          <w:p w14:paraId="1DD09ED2" w14:textId="63AA6505" w:rsidR="00CC08DC" w:rsidRPr="000D2947" w:rsidRDefault="00372181" w:rsidP="00180514">
            <w:pPr>
              <w:pStyle w:val="TableText"/>
              <w:spacing w:line="276" w:lineRule="auto"/>
              <w:jc w:val="center"/>
              <w:rPr>
                <w:i/>
                <w:iCs/>
                <w:lang w:val="en-NZ"/>
              </w:rPr>
            </w:pPr>
            <w:r w:rsidRPr="000D2947">
              <w:rPr>
                <w:lang w:val="en-NZ"/>
              </w:rPr>
              <w:t xml:space="preserve">Assuming option 2 or 3 is adopted for the simplified reporting requirements for certain trusts, this option </w:t>
            </w:r>
            <w:r w:rsidR="000D2947" w:rsidRPr="000D2947">
              <w:rPr>
                <w:lang w:val="en-NZ"/>
              </w:rPr>
              <w:t>results in reduced compliance costs for an estimated 75% of trusts.</w:t>
            </w:r>
          </w:p>
        </w:tc>
      </w:tr>
      <w:tr w:rsidR="00CC08DC" w14:paraId="1A648C0C" w14:textId="77777777" w:rsidTr="00F53B83">
        <w:trPr>
          <w:trHeight w:val="378"/>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4341457B" w14:textId="4E336650"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Achieving the Government’s objectives</w:t>
            </w:r>
          </w:p>
        </w:tc>
        <w:tc>
          <w:tcPr>
            <w:tcW w:w="6328" w:type="dxa"/>
            <w:tcBorders>
              <w:top w:val="single" w:sz="4" w:space="0" w:color="DDDDDD"/>
              <w:left w:val="single" w:sz="4" w:space="0" w:color="DDDDDD"/>
              <w:bottom w:val="single" w:sz="4" w:space="0" w:color="DDDDDD"/>
              <w:right w:val="single" w:sz="4" w:space="0" w:color="DDDDDD"/>
            </w:tcBorders>
            <w:vAlign w:val="center"/>
            <w:hideMark/>
          </w:tcPr>
          <w:p w14:paraId="3A134CDC" w14:textId="75D336E1" w:rsidR="00CC08DC" w:rsidRPr="00F53B83" w:rsidRDefault="00686D49" w:rsidP="00180514">
            <w:pPr>
              <w:pStyle w:val="TableText"/>
              <w:spacing w:line="276" w:lineRule="auto"/>
              <w:jc w:val="center"/>
              <w:rPr>
                <w:lang w:val="en-NZ" w:eastAsia="en-NZ"/>
              </w:rPr>
            </w:pPr>
            <w:r w:rsidRPr="00F53B83">
              <w:rPr>
                <w:lang w:val="en-NZ" w:eastAsia="en-NZ"/>
              </w:rPr>
              <w:t>0</w:t>
            </w:r>
          </w:p>
          <w:p w14:paraId="195DC965" w14:textId="4373F5F4" w:rsidR="00686D49" w:rsidRPr="00F53B83" w:rsidRDefault="003F669A" w:rsidP="00180514">
            <w:pPr>
              <w:pStyle w:val="TableText"/>
              <w:spacing w:line="276" w:lineRule="auto"/>
              <w:jc w:val="center"/>
              <w:rPr>
                <w:lang w:val="en-NZ" w:eastAsia="en-NZ"/>
              </w:rPr>
            </w:pPr>
            <w:r>
              <w:rPr>
                <w:lang w:val="en-NZ" w:eastAsia="en-NZ"/>
              </w:rPr>
              <w:t xml:space="preserve">No impact on the Government’s </w:t>
            </w:r>
            <w:r w:rsidR="00011AB9">
              <w:rPr>
                <w:lang w:val="en-NZ" w:eastAsia="en-NZ"/>
              </w:rPr>
              <w:t xml:space="preserve">trust disclosure rules </w:t>
            </w:r>
            <w:r>
              <w:rPr>
                <w:lang w:val="en-NZ" w:eastAsia="en-NZ"/>
              </w:rPr>
              <w:t>objectives. (All options for partial relief</w:t>
            </w:r>
            <w:r w:rsidR="00E27EDF">
              <w:rPr>
                <w:lang w:val="en-NZ" w:eastAsia="en-NZ"/>
              </w:rPr>
              <w:t xml:space="preserve"> support the Government’s objectives, regardless of the size of trust</w:t>
            </w:r>
            <w:r w:rsidR="001B69EC">
              <w:rPr>
                <w:lang w:val="en-NZ" w:eastAsia="en-NZ"/>
              </w:rPr>
              <w:t>s that qualify for such relief</w:t>
            </w:r>
            <w:r w:rsidR="00E27EDF">
              <w:rPr>
                <w:lang w:val="en-NZ" w:eastAsia="en-NZ"/>
              </w:rPr>
              <w:t>)</w:t>
            </w:r>
            <w:r w:rsidR="00E90F22">
              <w:rPr>
                <w:lang w:val="en-NZ" w:eastAsia="en-NZ"/>
              </w:rPr>
              <w:t>.</w:t>
            </w:r>
          </w:p>
          <w:p w14:paraId="11787136" w14:textId="5995DD57" w:rsidR="00CC08DC" w:rsidRPr="00F53B83" w:rsidRDefault="00CC08DC" w:rsidP="00180514">
            <w:pPr>
              <w:pStyle w:val="TableText"/>
              <w:spacing w:line="276" w:lineRule="auto"/>
              <w:jc w:val="center"/>
              <w:rPr>
                <w:lang w:val="en-NZ" w:eastAsia="en-NZ"/>
              </w:rPr>
            </w:pPr>
          </w:p>
        </w:tc>
        <w:tc>
          <w:tcPr>
            <w:tcW w:w="6379" w:type="dxa"/>
            <w:tcBorders>
              <w:top w:val="single" w:sz="4" w:space="0" w:color="DDDDDD"/>
              <w:left w:val="single" w:sz="4" w:space="0" w:color="DDDDDD"/>
              <w:bottom w:val="single" w:sz="4" w:space="0" w:color="DDDDDD"/>
              <w:right w:val="single" w:sz="4" w:space="0" w:color="DDDDDD"/>
            </w:tcBorders>
            <w:vAlign w:val="center"/>
          </w:tcPr>
          <w:p w14:paraId="231AE865" w14:textId="77777777" w:rsidR="00E27EDF" w:rsidRPr="00180514" w:rsidRDefault="00E27EDF" w:rsidP="00E27EDF">
            <w:pPr>
              <w:pStyle w:val="TableText"/>
              <w:spacing w:line="276" w:lineRule="auto"/>
              <w:jc w:val="center"/>
              <w:rPr>
                <w:lang w:val="en-NZ" w:eastAsia="en-NZ"/>
              </w:rPr>
            </w:pPr>
            <w:r w:rsidRPr="00180514">
              <w:rPr>
                <w:lang w:val="en-NZ" w:eastAsia="en-NZ"/>
              </w:rPr>
              <w:t>0</w:t>
            </w:r>
          </w:p>
          <w:p w14:paraId="7A8FB8F2" w14:textId="52AF7418" w:rsidR="00CC08DC" w:rsidRDefault="00E27EDF">
            <w:pPr>
              <w:pStyle w:val="TableText"/>
              <w:spacing w:line="276" w:lineRule="auto"/>
              <w:jc w:val="center"/>
              <w:rPr>
                <w:lang w:val="en-NZ" w:eastAsia="en-NZ"/>
              </w:rPr>
            </w:pPr>
            <w:r>
              <w:rPr>
                <w:lang w:val="en-NZ" w:eastAsia="en-NZ"/>
              </w:rPr>
              <w:t xml:space="preserve">No impact on the Government’s </w:t>
            </w:r>
            <w:r w:rsidR="00215E8C">
              <w:rPr>
                <w:bCs/>
                <w:lang w:val="en-NZ"/>
              </w:rPr>
              <w:t xml:space="preserve">trust disclosure rules </w:t>
            </w:r>
            <w:r>
              <w:rPr>
                <w:lang w:val="en-NZ" w:eastAsia="en-NZ"/>
              </w:rPr>
              <w:t>objectives. (All options for partial relief support the Government’s objectives, regardless of the size of trust</w:t>
            </w:r>
            <w:r w:rsidR="003A624C">
              <w:rPr>
                <w:lang w:val="en-NZ" w:eastAsia="en-NZ"/>
              </w:rPr>
              <w:t>s that qualify for such relief</w:t>
            </w:r>
            <w:r>
              <w:rPr>
                <w:lang w:val="en-NZ" w:eastAsia="en-NZ"/>
              </w:rPr>
              <w:t>)</w:t>
            </w:r>
            <w:r w:rsidR="00E90F22">
              <w:rPr>
                <w:lang w:val="en-NZ" w:eastAsia="en-NZ"/>
              </w:rPr>
              <w:t>.</w:t>
            </w:r>
          </w:p>
        </w:tc>
      </w:tr>
      <w:tr w:rsidR="00CC08DC" w14:paraId="55F9CE5F" w14:textId="77777777" w:rsidTr="00F53B83">
        <w:trPr>
          <w:trHeight w:val="395"/>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1E5D6B0C" w14:textId="77777777"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Consistency with existing frameworks</w:t>
            </w:r>
          </w:p>
        </w:tc>
        <w:tc>
          <w:tcPr>
            <w:tcW w:w="6328" w:type="dxa"/>
            <w:tcBorders>
              <w:top w:val="single" w:sz="4" w:space="0" w:color="DDDDDD"/>
              <w:left w:val="single" w:sz="4" w:space="0" w:color="DDDDDD"/>
              <w:bottom w:val="single" w:sz="4" w:space="0" w:color="DDDDDD"/>
              <w:right w:val="single" w:sz="4" w:space="0" w:color="DDDDDD"/>
            </w:tcBorders>
            <w:vAlign w:val="center"/>
            <w:hideMark/>
          </w:tcPr>
          <w:p w14:paraId="00E0782A" w14:textId="77777777" w:rsidR="00CC08DC" w:rsidRDefault="00CC08DC" w:rsidP="00180514">
            <w:pPr>
              <w:pStyle w:val="TableText"/>
              <w:spacing w:line="276" w:lineRule="auto"/>
              <w:jc w:val="center"/>
              <w:rPr>
                <w:rFonts w:cs="Arial"/>
                <w:b/>
                <w:color w:val="00B050"/>
              </w:rPr>
            </w:pPr>
            <w:r>
              <w:rPr>
                <w:rFonts w:cs="Arial"/>
                <w:b/>
                <w:color w:val="00B050"/>
              </w:rPr>
              <w:t>+</w:t>
            </w:r>
          </w:p>
          <w:p w14:paraId="465455EC" w14:textId="6A7FAF00" w:rsidR="00686D49" w:rsidRDefault="00686D49" w:rsidP="00180514">
            <w:pPr>
              <w:pStyle w:val="TableText"/>
              <w:spacing w:line="276" w:lineRule="auto"/>
              <w:jc w:val="center"/>
              <w:rPr>
                <w:rFonts w:cs="Arial"/>
                <w:b/>
                <w:color w:val="00B050"/>
              </w:rPr>
            </w:pPr>
            <w:r>
              <w:rPr>
                <w:lang w:val="en-NZ" w:eastAsia="en-NZ"/>
              </w:rPr>
              <w:t xml:space="preserve">Same income and expenditure thresholds as the “small” companies definition. </w:t>
            </w:r>
          </w:p>
          <w:p w14:paraId="3E6E9DB4" w14:textId="4A620290" w:rsidR="00CC08DC" w:rsidRDefault="00CC08DC" w:rsidP="00180514">
            <w:pPr>
              <w:pStyle w:val="TableText"/>
              <w:spacing w:line="276" w:lineRule="auto"/>
              <w:jc w:val="center"/>
              <w:rPr>
                <w:bCs/>
                <w:lang w:val="en-NZ"/>
              </w:rPr>
            </w:pPr>
          </w:p>
        </w:tc>
        <w:tc>
          <w:tcPr>
            <w:tcW w:w="6379" w:type="dxa"/>
            <w:tcBorders>
              <w:top w:val="single" w:sz="4" w:space="0" w:color="DDDDDD"/>
              <w:left w:val="single" w:sz="4" w:space="0" w:color="DDDDDD"/>
              <w:bottom w:val="single" w:sz="4" w:space="0" w:color="DDDDDD"/>
              <w:right w:val="single" w:sz="4" w:space="0" w:color="DDDDDD"/>
            </w:tcBorders>
            <w:vAlign w:val="center"/>
          </w:tcPr>
          <w:p w14:paraId="58AC1E9B" w14:textId="77777777" w:rsidR="00686D49" w:rsidRDefault="00686D49" w:rsidP="00686D49">
            <w:pPr>
              <w:pStyle w:val="TableText"/>
              <w:spacing w:line="276" w:lineRule="auto"/>
              <w:jc w:val="center"/>
              <w:rPr>
                <w:rFonts w:cs="Arial"/>
                <w:b/>
                <w:color w:val="FF0000"/>
              </w:rPr>
            </w:pPr>
            <w:r>
              <w:rPr>
                <w:rFonts w:cs="Arial"/>
                <w:b/>
                <w:color w:val="FF0000"/>
              </w:rPr>
              <w:t>-</w:t>
            </w:r>
          </w:p>
          <w:p w14:paraId="31CA35C8" w14:textId="55F3FEBC" w:rsidR="00CC08DC" w:rsidRDefault="00881E54" w:rsidP="00180514">
            <w:pPr>
              <w:pStyle w:val="TableText"/>
              <w:spacing w:line="276" w:lineRule="auto"/>
              <w:jc w:val="center"/>
              <w:rPr>
                <w:lang w:val="en-NZ"/>
              </w:rPr>
            </w:pPr>
            <w:r>
              <w:rPr>
                <w:lang w:val="en-NZ"/>
              </w:rPr>
              <w:t>Thresholds based on feedback from submitters rather than existing frameworks.</w:t>
            </w:r>
          </w:p>
        </w:tc>
      </w:tr>
      <w:tr w:rsidR="00CC08DC" w14:paraId="1614EDD8" w14:textId="77777777" w:rsidTr="00F53B83">
        <w:trPr>
          <w:trHeight w:val="378"/>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B6F066C" w14:textId="77777777"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Proportionality</w:t>
            </w:r>
          </w:p>
        </w:tc>
        <w:tc>
          <w:tcPr>
            <w:tcW w:w="6328" w:type="dxa"/>
            <w:tcBorders>
              <w:top w:val="single" w:sz="4" w:space="0" w:color="DDDDDD"/>
              <w:left w:val="single" w:sz="4" w:space="0" w:color="DDDDDD"/>
              <w:bottom w:val="single" w:sz="4" w:space="0" w:color="DDDDDD"/>
              <w:right w:val="single" w:sz="4" w:space="0" w:color="DDDDDD"/>
            </w:tcBorders>
            <w:vAlign w:val="center"/>
            <w:hideMark/>
          </w:tcPr>
          <w:p w14:paraId="13D3ED33" w14:textId="77777777" w:rsidR="00686D49" w:rsidRDefault="00686D49" w:rsidP="00686D49">
            <w:pPr>
              <w:pStyle w:val="TableText"/>
              <w:spacing w:line="276" w:lineRule="auto"/>
              <w:jc w:val="center"/>
              <w:rPr>
                <w:rFonts w:cs="Arial"/>
                <w:b/>
                <w:color w:val="00B050"/>
              </w:rPr>
            </w:pPr>
            <w:r>
              <w:rPr>
                <w:rFonts w:cs="Arial"/>
                <w:b/>
                <w:color w:val="00B050"/>
              </w:rPr>
              <w:t>+</w:t>
            </w:r>
          </w:p>
          <w:p w14:paraId="154883A4" w14:textId="7C475CF4" w:rsidR="00CC08DC" w:rsidRDefault="00306A50" w:rsidP="00180514">
            <w:pPr>
              <w:pStyle w:val="TableText"/>
              <w:spacing w:line="276" w:lineRule="auto"/>
              <w:jc w:val="center"/>
              <w:rPr>
                <w:bCs/>
                <w:lang w:val="en-NZ"/>
              </w:rPr>
            </w:pPr>
            <w:r>
              <w:rPr>
                <w:lang w:val="en-NZ" w:eastAsia="en-NZ"/>
              </w:rPr>
              <w:t xml:space="preserve">An estimated 38% of trusts subject to </w:t>
            </w:r>
            <w:r w:rsidR="000C7538">
              <w:rPr>
                <w:lang w:val="en-NZ" w:eastAsia="en-NZ"/>
              </w:rPr>
              <w:t>the disclosure rules will meet this definition.</w:t>
            </w:r>
          </w:p>
        </w:tc>
        <w:tc>
          <w:tcPr>
            <w:tcW w:w="6379" w:type="dxa"/>
            <w:tcBorders>
              <w:top w:val="single" w:sz="4" w:space="0" w:color="DDDDDD"/>
              <w:left w:val="single" w:sz="4" w:space="0" w:color="DDDDDD"/>
              <w:bottom w:val="single" w:sz="4" w:space="0" w:color="DDDDDD"/>
              <w:right w:val="single" w:sz="4" w:space="0" w:color="DDDDDD"/>
            </w:tcBorders>
            <w:vAlign w:val="center"/>
          </w:tcPr>
          <w:p w14:paraId="5FCF99F5" w14:textId="77777777" w:rsidR="00686D49" w:rsidRDefault="00686D49" w:rsidP="00686D49">
            <w:pPr>
              <w:pStyle w:val="TableText"/>
              <w:spacing w:line="276" w:lineRule="auto"/>
              <w:jc w:val="center"/>
              <w:rPr>
                <w:rFonts w:cs="Arial"/>
                <w:b/>
                <w:color w:val="00B050"/>
              </w:rPr>
            </w:pPr>
            <w:r>
              <w:rPr>
                <w:rFonts w:cs="Arial"/>
                <w:b/>
                <w:color w:val="00B050"/>
              </w:rPr>
              <w:t>++</w:t>
            </w:r>
          </w:p>
          <w:p w14:paraId="7E6D125D" w14:textId="04C5C33A" w:rsidR="00CC08DC" w:rsidRDefault="000C7538" w:rsidP="00180514">
            <w:pPr>
              <w:pStyle w:val="TableText"/>
              <w:spacing w:line="276" w:lineRule="auto"/>
              <w:jc w:val="center"/>
              <w:rPr>
                <w:lang w:val="en-NZ"/>
              </w:rPr>
            </w:pPr>
            <w:r>
              <w:rPr>
                <w:lang w:val="en-NZ" w:eastAsia="en-NZ"/>
              </w:rPr>
              <w:t>An estimated 75% of trusts subject to the disclosure rules will meet this definition.</w:t>
            </w:r>
          </w:p>
        </w:tc>
      </w:tr>
      <w:tr w:rsidR="00CC08DC" w14:paraId="6767EECD" w14:textId="77777777" w:rsidTr="00F53B83">
        <w:trPr>
          <w:trHeight w:val="584"/>
        </w:trPr>
        <w:tc>
          <w:tcPr>
            <w:tcW w:w="1781"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3BF53AFB" w14:textId="77777777" w:rsidR="00CC08DC" w:rsidRDefault="00CC08DC" w:rsidP="00180514">
            <w:pPr>
              <w:spacing w:before="60" w:after="60" w:line="240" w:lineRule="auto"/>
              <w:jc w:val="center"/>
              <w:rPr>
                <w:rFonts w:cs="Arial"/>
                <w:b/>
                <w:color w:val="000000"/>
                <w:szCs w:val="22"/>
                <w:lang w:val="en-NZ"/>
              </w:rPr>
            </w:pPr>
            <w:r>
              <w:rPr>
                <w:rFonts w:cs="Arial"/>
                <w:b/>
                <w:color w:val="000000"/>
                <w:szCs w:val="22"/>
                <w:lang w:val="en-NZ"/>
              </w:rPr>
              <w:t>Overall assessment</w:t>
            </w:r>
          </w:p>
        </w:tc>
        <w:tc>
          <w:tcPr>
            <w:tcW w:w="6328" w:type="dxa"/>
            <w:tcBorders>
              <w:top w:val="single" w:sz="4" w:space="0" w:color="DDDDDD"/>
              <w:left w:val="single" w:sz="4" w:space="0" w:color="DDDDDD"/>
              <w:bottom w:val="single" w:sz="4" w:space="0" w:color="DDDDDD"/>
              <w:right w:val="single" w:sz="4" w:space="0" w:color="DDDDDD"/>
            </w:tcBorders>
            <w:vAlign w:val="center"/>
            <w:hideMark/>
          </w:tcPr>
          <w:p w14:paraId="436276CE" w14:textId="77777777" w:rsidR="00686D49" w:rsidRDefault="00686D49" w:rsidP="00686D49">
            <w:pPr>
              <w:pStyle w:val="TableText"/>
              <w:spacing w:line="276" w:lineRule="auto"/>
              <w:jc w:val="center"/>
              <w:rPr>
                <w:rFonts w:cs="Arial"/>
                <w:b/>
                <w:color w:val="00B050"/>
              </w:rPr>
            </w:pPr>
            <w:r>
              <w:rPr>
                <w:rFonts w:cs="Arial"/>
                <w:b/>
                <w:color w:val="00B050"/>
              </w:rPr>
              <w:t>+</w:t>
            </w:r>
          </w:p>
          <w:p w14:paraId="54CB4C7A" w14:textId="47F6B8DF" w:rsidR="000D2947" w:rsidRDefault="00A91F3A" w:rsidP="00686D49">
            <w:pPr>
              <w:pStyle w:val="TableText"/>
              <w:spacing w:line="276" w:lineRule="auto"/>
              <w:jc w:val="center"/>
              <w:rPr>
                <w:rFonts w:cs="Arial"/>
                <w:b/>
                <w:color w:val="00B050"/>
              </w:rPr>
            </w:pPr>
            <w:r>
              <w:rPr>
                <w:lang w:val="en-NZ" w:eastAsia="en-NZ"/>
              </w:rPr>
              <w:t xml:space="preserve">Provides a reduction </w:t>
            </w:r>
            <w:r w:rsidR="00D6710F">
              <w:rPr>
                <w:lang w:val="en-NZ" w:eastAsia="en-NZ"/>
              </w:rPr>
              <w:t>in compliance costs for an estimated 38% of trusts</w:t>
            </w:r>
            <w:r w:rsidR="000D2947">
              <w:rPr>
                <w:lang w:val="en-NZ" w:eastAsia="en-NZ"/>
              </w:rPr>
              <w:t>.</w:t>
            </w:r>
          </w:p>
          <w:p w14:paraId="5D72737B" w14:textId="4F339CA4" w:rsidR="00CC08DC" w:rsidRDefault="00CC08DC" w:rsidP="00180514">
            <w:pPr>
              <w:pStyle w:val="TableText"/>
              <w:spacing w:line="276" w:lineRule="auto"/>
              <w:jc w:val="center"/>
              <w:rPr>
                <w:lang w:val="en-NZ"/>
              </w:rPr>
            </w:pPr>
          </w:p>
        </w:tc>
        <w:tc>
          <w:tcPr>
            <w:tcW w:w="6379" w:type="dxa"/>
            <w:tcBorders>
              <w:top w:val="single" w:sz="4" w:space="0" w:color="DDDDDD"/>
              <w:left w:val="single" w:sz="4" w:space="0" w:color="DDDDDD"/>
              <w:bottom w:val="single" w:sz="4" w:space="0" w:color="DDDDDD"/>
              <w:right w:val="single" w:sz="4" w:space="0" w:color="DDDDDD"/>
            </w:tcBorders>
            <w:vAlign w:val="center"/>
          </w:tcPr>
          <w:p w14:paraId="058F804B" w14:textId="37F8CE7D" w:rsidR="00686D49" w:rsidRDefault="00686D49" w:rsidP="00686D49">
            <w:pPr>
              <w:pStyle w:val="TableText"/>
              <w:spacing w:line="276" w:lineRule="auto"/>
              <w:jc w:val="center"/>
              <w:rPr>
                <w:rFonts w:cs="Arial"/>
                <w:b/>
                <w:color w:val="00B050"/>
              </w:rPr>
            </w:pPr>
            <w:r>
              <w:rPr>
                <w:rFonts w:cs="Arial"/>
                <w:b/>
                <w:color w:val="00B050"/>
              </w:rPr>
              <w:t>++</w:t>
            </w:r>
          </w:p>
          <w:p w14:paraId="4977C53C" w14:textId="22128808" w:rsidR="00CC08DC" w:rsidRDefault="00D6710F">
            <w:pPr>
              <w:pStyle w:val="TableText"/>
              <w:spacing w:line="276" w:lineRule="auto"/>
              <w:jc w:val="center"/>
              <w:rPr>
                <w:lang w:val="en-NZ"/>
              </w:rPr>
            </w:pPr>
            <w:r>
              <w:rPr>
                <w:lang w:val="en-NZ" w:eastAsia="en-NZ"/>
              </w:rPr>
              <w:t>Provides a reduction in compliance costs for an estimated 75% of trusts</w:t>
            </w:r>
            <w:r w:rsidR="000D2947">
              <w:rPr>
                <w:lang w:val="en-NZ" w:eastAsia="en-NZ"/>
              </w:rPr>
              <w:t>.</w:t>
            </w:r>
          </w:p>
        </w:tc>
      </w:tr>
    </w:tbl>
    <w:p w14:paraId="2C2B1EAC" w14:textId="77777777" w:rsidR="00726218" w:rsidRDefault="00726218" w:rsidP="00121919">
      <w:pPr>
        <w:pStyle w:val="Heading3"/>
        <w:rPr>
          <w:noProof/>
          <w:lang w:eastAsia="en-NZ"/>
        </w:rPr>
        <w:sectPr w:rsidR="00726218">
          <w:pgSz w:w="16838" w:h="11906" w:orient="landscape"/>
          <w:pgMar w:top="1418" w:right="1134" w:bottom="1418" w:left="992" w:header="454" w:footer="454" w:gutter="0"/>
          <w:cols w:space="720"/>
        </w:sectPr>
      </w:pPr>
    </w:p>
    <w:p w14:paraId="55DFAB98" w14:textId="74098473" w:rsidR="00121919" w:rsidRPr="00C96471" w:rsidRDefault="00121919" w:rsidP="005F312F">
      <w:pPr>
        <w:pStyle w:val="Heading3"/>
        <w:spacing w:before="240"/>
        <w:rPr>
          <w:noProof/>
          <w:lang w:eastAsia="en-NZ"/>
        </w:rPr>
      </w:pPr>
      <w:r>
        <w:rPr>
          <w:noProof/>
          <w:lang w:eastAsia="en-NZ"/>
        </w:rPr>
        <w:t>What option</w:t>
      </w:r>
      <w:r w:rsidR="00FF5D80">
        <w:rPr>
          <w:noProof/>
          <w:lang w:eastAsia="en-NZ"/>
        </w:rPr>
        <w:t>s</w:t>
      </w:r>
      <w:r>
        <w:rPr>
          <w:noProof/>
          <w:lang w:eastAsia="en-NZ"/>
        </w:rPr>
        <w:t xml:space="preserve"> </w:t>
      </w:r>
      <w:r w:rsidR="00FF5D80">
        <w:rPr>
          <w:noProof/>
          <w:lang w:eastAsia="en-NZ"/>
        </w:rPr>
        <w:t>are</w:t>
      </w:r>
      <w:r>
        <w:rPr>
          <w:noProof/>
          <w:lang w:eastAsia="en-NZ"/>
        </w:rPr>
        <w:t xml:space="preserve"> likely to best address the problem, meet the policy </w:t>
      </w:r>
      <w:r w:rsidRPr="00C96471">
        <w:rPr>
          <w:noProof/>
          <w:lang w:eastAsia="en-NZ"/>
        </w:rPr>
        <w:t>objectives, and deliver the highest net benefits?</w:t>
      </w:r>
    </w:p>
    <w:p w14:paraId="66D80B8E" w14:textId="1AE2F47C" w:rsidR="00326F6C" w:rsidRPr="00C96471" w:rsidRDefault="00326F6C" w:rsidP="005F312F">
      <w:pPr>
        <w:pStyle w:val="ListParagraph"/>
        <w:numPr>
          <w:ilvl w:val="0"/>
          <w:numId w:val="9"/>
        </w:numPr>
        <w:spacing w:before="180"/>
        <w:ind w:left="567" w:hanging="567"/>
        <w:contextualSpacing w:val="0"/>
        <w:jc w:val="both"/>
        <w:rPr>
          <w:lang w:val="en-NZ" w:eastAsia="en-NZ"/>
        </w:rPr>
      </w:pPr>
      <w:r w:rsidRPr="00C96471">
        <w:rPr>
          <w:lang w:val="en-NZ" w:eastAsia="en-NZ"/>
        </w:rPr>
        <w:t>Based on the above analysis, o</w:t>
      </w:r>
      <w:r w:rsidR="00FF5D80" w:rsidRPr="00C96471">
        <w:rPr>
          <w:lang w:val="en-NZ" w:eastAsia="en-NZ"/>
        </w:rPr>
        <w:t>fficials consider that the best options are</w:t>
      </w:r>
      <w:r w:rsidRPr="00C96471">
        <w:rPr>
          <w:lang w:val="en-NZ" w:eastAsia="en-NZ"/>
        </w:rPr>
        <w:t>:</w:t>
      </w:r>
    </w:p>
    <w:p w14:paraId="39153B64" w14:textId="54FBAEE1" w:rsidR="00326F6C" w:rsidRPr="00607A8B" w:rsidRDefault="00FF5D80" w:rsidP="005F312F">
      <w:pPr>
        <w:pStyle w:val="ListParagraph"/>
        <w:numPr>
          <w:ilvl w:val="1"/>
          <w:numId w:val="9"/>
        </w:numPr>
        <w:spacing w:before="180"/>
        <w:ind w:left="1134" w:hanging="425"/>
        <w:contextualSpacing w:val="0"/>
        <w:jc w:val="both"/>
        <w:rPr>
          <w:lang w:val="en-NZ" w:eastAsia="en-NZ"/>
        </w:rPr>
      </w:pPr>
      <w:r w:rsidRPr="00C96471">
        <w:rPr>
          <w:lang w:val="en-NZ" w:eastAsia="en-NZ"/>
        </w:rPr>
        <w:t>to set minimum standards by OIC (</w:t>
      </w:r>
      <w:r w:rsidR="00A578D7" w:rsidRPr="00C96471">
        <w:rPr>
          <w:lang w:val="en-NZ" w:eastAsia="en-NZ"/>
        </w:rPr>
        <w:t xml:space="preserve">Setting minimum standards, </w:t>
      </w:r>
      <w:r w:rsidRPr="00C96471">
        <w:rPr>
          <w:lang w:val="en-NZ" w:eastAsia="en-NZ"/>
        </w:rPr>
        <w:t xml:space="preserve">Option </w:t>
      </w:r>
      <w:r w:rsidR="003330E7" w:rsidRPr="00607A8B">
        <w:rPr>
          <w:lang w:val="en-NZ" w:eastAsia="en-NZ"/>
        </w:rPr>
        <w:t>Three</w:t>
      </w:r>
      <w:r w:rsidRPr="00C96471">
        <w:rPr>
          <w:lang w:val="en-NZ" w:eastAsia="en-NZ"/>
        </w:rPr>
        <w:t>)</w:t>
      </w:r>
      <w:r w:rsidR="00326F6C" w:rsidRPr="00607A8B">
        <w:rPr>
          <w:lang w:val="en-NZ" w:eastAsia="en-NZ"/>
        </w:rPr>
        <w:t>;</w:t>
      </w:r>
    </w:p>
    <w:p w14:paraId="459A2184" w14:textId="4A98BECE" w:rsidR="003330E7" w:rsidRPr="00607A8B" w:rsidRDefault="003330E7" w:rsidP="005F312F">
      <w:pPr>
        <w:pStyle w:val="ListParagraph"/>
        <w:numPr>
          <w:ilvl w:val="1"/>
          <w:numId w:val="9"/>
        </w:numPr>
        <w:spacing w:before="180"/>
        <w:ind w:left="1134" w:hanging="425"/>
        <w:contextualSpacing w:val="0"/>
        <w:jc w:val="both"/>
        <w:rPr>
          <w:lang w:val="en-NZ" w:eastAsia="en-NZ"/>
        </w:rPr>
      </w:pPr>
      <w:r w:rsidRPr="00607A8B">
        <w:rPr>
          <w:lang w:val="en-NZ" w:eastAsia="en-NZ"/>
        </w:rPr>
        <w:t xml:space="preserve">for the minimum standards to </w:t>
      </w:r>
      <w:r w:rsidR="00FF5D80" w:rsidRPr="00C96471">
        <w:rPr>
          <w:lang w:val="en-NZ" w:eastAsia="en-NZ"/>
        </w:rPr>
        <w:t>apply for the 2021–22 and later income years</w:t>
      </w:r>
      <w:r w:rsidRPr="00607A8B">
        <w:rPr>
          <w:lang w:val="en-NZ" w:eastAsia="en-NZ"/>
        </w:rPr>
        <w:t xml:space="preserve"> (</w:t>
      </w:r>
      <w:r w:rsidR="00A578D7" w:rsidRPr="00607A8B">
        <w:rPr>
          <w:lang w:val="en-NZ" w:eastAsia="en-NZ"/>
        </w:rPr>
        <w:t xml:space="preserve">Timing of OIC, </w:t>
      </w:r>
      <w:r w:rsidRPr="00607A8B">
        <w:rPr>
          <w:lang w:val="en-NZ" w:eastAsia="en-NZ"/>
        </w:rPr>
        <w:t>Option One);</w:t>
      </w:r>
    </w:p>
    <w:p w14:paraId="106ED077" w14:textId="73CD6407" w:rsidR="003330E7" w:rsidRPr="00607A8B" w:rsidRDefault="003330E7" w:rsidP="005F312F">
      <w:pPr>
        <w:pStyle w:val="ListParagraph"/>
        <w:numPr>
          <w:ilvl w:val="1"/>
          <w:numId w:val="9"/>
        </w:numPr>
        <w:spacing w:before="180"/>
        <w:ind w:left="1134" w:hanging="425"/>
        <w:contextualSpacing w:val="0"/>
        <w:jc w:val="both"/>
        <w:rPr>
          <w:lang w:val="en-NZ" w:eastAsia="en-NZ"/>
        </w:rPr>
      </w:pPr>
      <w:r w:rsidRPr="00607A8B">
        <w:rPr>
          <w:lang w:val="en-NZ" w:eastAsia="en-NZ"/>
        </w:rPr>
        <w:t>to provide</w:t>
      </w:r>
      <w:r w:rsidR="00FF5D80" w:rsidRPr="00C96471">
        <w:rPr>
          <w:lang w:val="en-NZ" w:eastAsia="en-NZ"/>
        </w:rPr>
        <w:t xml:space="preserve"> </w:t>
      </w:r>
      <w:r w:rsidRPr="00607A8B">
        <w:rPr>
          <w:lang w:val="en-NZ" w:eastAsia="en-NZ"/>
        </w:rPr>
        <w:t>broad</w:t>
      </w:r>
      <w:r w:rsidRPr="00C96471">
        <w:rPr>
          <w:lang w:val="en-NZ" w:eastAsia="en-NZ"/>
        </w:rPr>
        <w:t xml:space="preserve"> </w:t>
      </w:r>
      <w:r w:rsidR="00FF5D80" w:rsidRPr="00C96471">
        <w:rPr>
          <w:lang w:val="en-NZ" w:eastAsia="en-NZ"/>
        </w:rPr>
        <w:t xml:space="preserve">relief for </w:t>
      </w:r>
      <w:r w:rsidRPr="00607A8B">
        <w:rPr>
          <w:lang w:val="en-NZ" w:eastAsia="en-NZ"/>
        </w:rPr>
        <w:t>certain</w:t>
      </w:r>
      <w:r w:rsidR="00FF5D80" w:rsidRPr="00C96471">
        <w:rPr>
          <w:lang w:val="en-NZ" w:eastAsia="en-NZ"/>
        </w:rPr>
        <w:t xml:space="preserve"> trusts (</w:t>
      </w:r>
      <w:r w:rsidR="00A578D7" w:rsidRPr="00607A8B">
        <w:rPr>
          <w:lang w:val="en-NZ" w:eastAsia="en-NZ"/>
        </w:rPr>
        <w:t xml:space="preserve">Simplified reporting requirements for certain trusts, </w:t>
      </w:r>
      <w:r w:rsidR="00FF5D80" w:rsidRPr="00C96471">
        <w:rPr>
          <w:lang w:val="en-NZ" w:eastAsia="en-NZ"/>
        </w:rPr>
        <w:t>Option Three)</w:t>
      </w:r>
      <w:r w:rsidRPr="00607A8B">
        <w:rPr>
          <w:lang w:val="en-NZ" w:eastAsia="en-NZ"/>
        </w:rPr>
        <w:t>; and</w:t>
      </w:r>
    </w:p>
    <w:p w14:paraId="579F89B0" w14:textId="67CF1D72" w:rsidR="003330E7" w:rsidRPr="00607A8B" w:rsidRDefault="003330E7" w:rsidP="005F312F">
      <w:pPr>
        <w:pStyle w:val="ListParagraph"/>
        <w:numPr>
          <w:ilvl w:val="1"/>
          <w:numId w:val="9"/>
        </w:numPr>
        <w:spacing w:before="180"/>
        <w:ind w:left="1134" w:hanging="425"/>
        <w:contextualSpacing w:val="0"/>
        <w:jc w:val="both"/>
        <w:rPr>
          <w:lang w:val="en-NZ" w:eastAsia="en-NZ"/>
        </w:rPr>
      </w:pPr>
      <w:r w:rsidRPr="00607A8B">
        <w:rPr>
          <w:lang w:val="en-NZ" w:eastAsia="en-NZ"/>
        </w:rPr>
        <w:t>to adopt</w:t>
      </w:r>
      <w:r w:rsidR="00A578D7" w:rsidRPr="00607A8B">
        <w:rPr>
          <w:lang w:val="en-NZ" w:eastAsia="en-NZ"/>
        </w:rPr>
        <w:t xml:space="preserve"> the broader definition of a “simplified reporting trust” (</w:t>
      </w:r>
      <w:r w:rsidR="009B629B">
        <w:rPr>
          <w:lang w:val="en-NZ" w:eastAsia="en-NZ"/>
        </w:rPr>
        <w:t>Trusts eligible for simplified reporting requirements</w:t>
      </w:r>
      <w:r w:rsidR="00A578D7" w:rsidRPr="00607A8B">
        <w:rPr>
          <w:lang w:val="en-NZ" w:eastAsia="en-NZ"/>
        </w:rPr>
        <w:t>, Option Two)</w:t>
      </w:r>
      <w:r w:rsidR="00FF5D80" w:rsidRPr="00C96471">
        <w:rPr>
          <w:lang w:val="en-NZ" w:eastAsia="en-NZ"/>
        </w:rPr>
        <w:t>.</w:t>
      </w:r>
    </w:p>
    <w:p w14:paraId="6C359F11" w14:textId="1F23F57B" w:rsidR="00615A86" w:rsidRPr="007B07C9" w:rsidRDefault="00A578D7" w:rsidP="005F312F">
      <w:pPr>
        <w:pStyle w:val="ListParagraph"/>
        <w:numPr>
          <w:ilvl w:val="0"/>
          <w:numId w:val="9"/>
        </w:numPr>
        <w:spacing w:before="180"/>
        <w:ind w:left="567" w:hanging="567"/>
        <w:contextualSpacing w:val="0"/>
        <w:jc w:val="both"/>
        <w:rPr>
          <w:lang w:val="en-NZ" w:eastAsia="en-NZ"/>
        </w:rPr>
      </w:pPr>
      <w:r>
        <w:rPr>
          <w:lang w:val="en-NZ" w:eastAsia="en-NZ"/>
        </w:rPr>
        <w:t xml:space="preserve">These options will ensure that the minimum standards support the Government’s objectives for the disclosure rules, </w:t>
      </w:r>
      <w:r w:rsidR="00615A86">
        <w:rPr>
          <w:lang w:val="en-NZ" w:eastAsia="en-NZ"/>
        </w:rPr>
        <w:t>help reduce compliance costs for trusts and provide certainty regarding reporting obligations</w:t>
      </w:r>
      <w:r w:rsidR="00F049C6">
        <w:rPr>
          <w:lang w:val="en-NZ" w:eastAsia="en-NZ"/>
        </w:rPr>
        <w:t xml:space="preserve"> for trustees</w:t>
      </w:r>
      <w:r w:rsidR="00615A86">
        <w:rPr>
          <w:lang w:val="en-NZ" w:eastAsia="en-NZ"/>
        </w:rPr>
        <w:t>.</w:t>
      </w:r>
    </w:p>
    <w:p w14:paraId="3AEAE53D" w14:textId="3ABA2162" w:rsidR="00241DC9" w:rsidRDefault="00A54B16" w:rsidP="005F312F">
      <w:pPr>
        <w:pStyle w:val="ListParagraph"/>
        <w:numPr>
          <w:ilvl w:val="0"/>
          <w:numId w:val="9"/>
        </w:numPr>
        <w:spacing w:before="180"/>
        <w:ind w:left="567" w:hanging="567"/>
        <w:contextualSpacing w:val="0"/>
        <w:jc w:val="both"/>
        <w:rPr>
          <w:lang w:val="en-NZ" w:eastAsia="en-NZ"/>
        </w:rPr>
      </w:pPr>
      <w:r w:rsidRPr="00615A86">
        <w:rPr>
          <w:lang w:val="en-NZ" w:eastAsia="en-NZ"/>
        </w:rPr>
        <w:t xml:space="preserve">Further detail regarding technical differences between the proposed minimum standards for domestic trusts and the minimum </w:t>
      </w:r>
      <w:r w:rsidR="00212458">
        <w:rPr>
          <w:lang w:val="en-NZ" w:eastAsia="en-NZ"/>
        </w:rPr>
        <w:t>reporting requirements</w:t>
      </w:r>
      <w:r w:rsidR="00212458" w:rsidRPr="00615A86">
        <w:rPr>
          <w:lang w:val="en-NZ" w:eastAsia="en-NZ"/>
        </w:rPr>
        <w:t xml:space="preserve"> </w:t>
      </w:r>
      <w:r w:rsidRPr="00615A86">
        <w:rPr>
          <w:lang w:val="en-NZ" w:eastAsia="en-NZ"/>
        </w:rPr>
        <w:t xml:space="preserve">for companies is </w:t>
      </w:r>
      <w:r w:rsidR="003F4131" w:rsidRPr="00615A86">
        <w:rPr>
          <w:lang w:val="en-NZ" w:eastAsia="en-NZ"/>
        </w:rPr>
        <w:t>covered in Appendix A.</w:t>
      </w:r>
      <w:r w:rsidR="00615A86">
        <w:rPr>
          <w:lang w:val="en-NZ" w:eastAsia="en-NZ"/>
        </w:rPr>
        <w:t xml:space="preserve"> </w:t>
      </w:r>
      <w:r w:rsidR="00241DC9">
        <w:rPr>
          <w:lang w:val="en-NZ" w:eastAsia="en-NZ"/>
        </w:rPr>
        <w:t xml:space="preserve">Appendix </w:t>
      </w:r>
      <w:r w:rsidR="003F4131">
        <w:rPr>
          <w:lang w:val="en-NZ" w:eastAsia="en-NZ"/>
        </w:rPr>
        <w:t>B</w:t>
      </w:r>
      <w:r w:rsidR="00241DC9">
        <w:rPr>
          <w:lang w:val="en-NZ" w:eastAsia="en-NZ"/>
        </w:rPr>
        <w:t xml:space="preserve"> contains a detailed summary of the proposed minimum standards</w:t>
      </w:r>
      <w:r w:rsidR="00212458">
        <w:rPr>
          <w:lang w:val="en-NZ" w:eastAsia="en-NZ"/>
        </w:rPr>
        <w:t xml:space="preserve"> for financial statements prepared by domestic trusts.</w:t>
      </w:r>
    </w:p>
    <w:p w14:paraId="7C59BAFC" w14:textId="77777777" w:rsidR="004C755E" w:rsidRDefault="004C755E" w:rsidP="00121919">
      <w:pPr>
        <w:pStyle w:val="Heading3"/>
        <w:rPr>
          <w:noProof/>
          <w:lang w:eastAsia="en-NZ"/>
        </w:rPr>
      </w:pPr>
    </w:p>
    <w:p w14:paraId="30D8BB4F" w14:textId="05969188" w:rsidR="00687042" w:rsidRPr="000A1ADA" w:rsidRDefault="00687042" w:rsidP="000A1ADA">
      <w:pPr>
        <w:rPr>
          <w:lang w:eastAsia="en-NZ"/>
        </w:rPr>
        <w:sectPr w:rsidR="00687042" w:rsidRPr="000A1ADA" w:rsidSect="00D63A87">
          <w:headerReference w:type="default" r:id="rId11"/>
          <w:footerReference w:type="default" r:id="rId12"/>
          <w:headerReference w:type="first" r:id="rId13"/>
          <w:footerReference w:type="first" r:id="rId14"/>
          <w:pgSz w:w="11906" w:h="16838" w:code="9"/>
          <w:pgMar w:top="1134" w:right="1304" w:bottom="1134" w:left="1304" w:header="720" w:footer="567" w:gutter="0"/>
          <w:cols w:space="720"/>
          <w:docGrid w:linePitch="326"/>
        </w:sectPr>
      </w:pPr>
    </w:p>
    <w:p w14:paraId="615DB177" w14:textId="3973F708" w:rsidR="00121919" w:rsidRDefault="00121919" w:rsidP="00121919">
      <w:pPr>
        <w:pStyle w:val="Heading3"/>
      </w:pPr>
      <w:r>
        <w:rPr>
          <w:noProof/>
          <w:lang w:eastAsia="en-NZ"/>
        </w:rPr>
        <w:t>What are</w:t>
      </w:r>
      <w:r>
        <w:t xml:space="preserve"> the marginal costs and benefits of the option?</w:t>
      </w:r>
    </w:p>
    <w:tbl>
      <w:tblPr>
        <w:tblpPr w:leftFromText="180" w:rightFromText="180" w:vertAnchor="text" w:horzAnchor="margin" w:tblpY="124"/>
        <w:tblOverlap w:val="never"/>
        <w:tblW w:w="144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5812"/>
        <w:gridCol w:w="3544"/>
        <w:gridCol w:w="2268"/>
      </w:tblGrid>
      <w:tr w:rsidR="004E44B3" w14:paraId="015CC9B5" w14:textId="77777777" w:rsidTr="004E44B3">
        <w:trPr>
          <w:trHeight w:val="762"/>
        </w:trPr>
        <w:tc>
          <w:tcPr>
            <w:tcW w:w="2830"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hideMark/>
          </w:tcPr>
          <w:p w14:paraId="626E0369" w14:textId="126F1010" w:rsidR="00121919" w:rsidRDefault="00121919">
            <w:pPr>
              <w:pStyle w:val="TableText"/>
              <w:keepNext/>
              <w:rPr>
                <w:rFonts w:eastAsia="Calibri"/>
                <w:color w:val="000000"/>
                <w:sz w:val="22"/>
                <w:lang w:val="en-NZ"/>
              </w:rPr>
            </w:pPr>
            <w:r>
              <w:rPr>
                <w:rFonts w:eastAsia="Calibri"/>
                <w:b/>
                <w:color w:val="000000"/>
                <w:sz w:val="22"/>
                <w:lang w:val="en-NZ"/>
              </w:rPr>
              <w:t>Affected groups</w:t>
            </w:r>
          </w:p>
        </w:tc>
        <w:tc>
          <w:tcPr>
            <w:tcW w:w="581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hideMark/>
          </w:tcPr>
          <w:p w14:paraId="3185C38A" w14:textId="77777777" w:rsidR="00121919" w:rsidRDefault="00121919">
            <w:pPr>
              <w:pStyle w:val="TableText"/>
              <w:keepNext/>
              <w:rPr>
                <w:rFonts w:eastAsia="Calibri"/>
                <w:color w:val="000000"/>
                <w:sz w:val="22"/>
                <w:lang w:val="en-NZ"/>
              </w:rPr>
            </w:pPr>
            <w:r>
              <w:rPr>
                <w:rFonts w:eastAsia="Calibri"/>
                <w:b/>
                <w:color w:val="000000"/>
                <w:sz w:val="22"/>
                <w:lang w:val="en-NZ"/>
              </w:rPr>
              <w:t>Comment</w:t>
            </w:r>
            <w:r>
              <w:rPr>
                <w:rFonts w:eastAsia="Calibri"/>
                <w:color w:val="000000"/>
                <w:sz w:val="22"/>
                <w:lang w:val="en-NZ"/>
              </w:rPr>
              <w:br/>
            </w:r>
            <w:r>
              <w:rPr>
                <w:rFonts w:eastAsia="Calibri"/>
                <w:i/>
                <w:iCs/>
                <w:color w:val="000000"/>
                <w:szCs w:val="20"/>
                <w:lang w:val="en-NZ"/>
              </w:rPr>
              <w:t>nature of cost or benefit (</w:t>
            </w:r>
            <w:proofErr w:type="spellStart"/>
            <w:r>
              <w:rPr>
                <w:rFonts w:eastAsia="Calibri"/>
                <w:i/>
                <w:iCs/>
                <w:color w:val="000000"/>
                <w:szCs w:val="20"/>
                <w:lang w:val="en-NZ"/>
              </w:rPr>
              <w:t>eg</w:t>
            </w:r>
            <w:proofErr w:type="spellEnd"/>
            <w:r>
              <w:rPr>
                <w:rFonts w:eastAsia="Calibri"/>
                <w:i/>
                <w:iCs/>
                <w:color w:val="000000"/>
                <w:szCs w:val="20"/>
                <w:lang w:val="en-NZ"/>
              </w:rPr>
              <w:t>, ongoing, one-off), evidence and assumption (</w:t>
            </w:r>
            <w:proofErr w:type="spellStart"/>
            <w:r>
              <w:rPr>
                <w:rFonts w:eastAsia="Calibri"/>
                <w:i/>
                <w:iCs/>
                <w:color w:val="000000"/>
                <w:szCs w:val="20"/>
                <w:lang w:val="en-NZ"/>
              </w:rPr>
              <w:t>eg</w:t>
            </w:r>
            <w:proofErr w:type="spellEnd"/>
            <w:r>
              <w:rPr>
                <w:rFonts w:eastAsia="Calibri"/>
                <w:i/>
                <w:iCs/>
                <w:color w:val="000000"/>
                <w:szCs w:val="20"/>
                <w:lang w:val="en-NZ"/>
              </w:rPr>
              <w:t>, compliance rates), risks.</w:t>
            </w:r>
          </w:p>
        </w:tc>
        <w:tc>
          <w:tcPr>
            <w:tcW w:w="3544"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hideMark/>
          </w:tcPr>
          <w:p w14:paraId="73AB4A4A" w14:textId="77777777" w:rsidR="00121919" w:rsidRDefault="00121919">
            <w:pPr>
              <w:pStyle w:val="TableText"/>
              <w:keepNext/>
              <w:rPr>
                <w:rFonts w:eastAsia="Calibri"/>
                <w:b/>
                <w:color w:val="000000"/>
                <w:sz w:val="22"/>
                <w:lang w:val="en-NZ"/>
              </w:rPr>
            </w:pPr>
            <w:r>
              <w:rPr>
                <w:rFonts w:eastAsia="Calibri"/>
                <w:b/>
                <w:color w:val="000000"/>
                <w:sz w:val="22"/>
                <w:lang w:val="en-NZ"/>
              </w:rPr>
              <w:t>Impact</w:t>
            </w:r>
            <w:r>
              <w:rPr>
                <w:rFonts w:eastAsia="Calibri"/>
                <w:b/>
                <w:color w:val="000000"/>
                <w:sz w:val="22"/>
                <w:lang w:val="en-NZ"/>
              </w:rPr>
              <w:br/>
            </w:r>
            <w:r>
              <w:rPr>
                <w:rFonts w:eastAsia="Calibri"/>
                <w:i/>
                <w:color w:val="000000"/>
                <w:szCs w:val="20"/>
                <w:lang w:val="en-NZ"/>
              </w:rPr>
              <w:t>$m present value where appropriate, for monetised impacts; high, medium or low for non-monetised impacts.</w:t>
            </w:r>
          </w:p>
        </w:tc>
        <w:tc>
          <w:tcPr>
            <w:tcW w:w="226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hideMark/>
          </w:tcPr>
          <w:p w14:paraId="0D4DEBD4" w14:textId="77777777" w:rsidR="00121919" w:rsidRDefault="00121919">
            <w:pPr>
              <w:pStyle w:val="TableText"/>
              <w:keepNext/>
              <w:rPr>
                <w:rFonts w:eastAsia="Calibri"/>
                <w:bCs/>
                <w:i/>
                <w:iCs/>
                <w:color w:val="000000"/>
                <w:szCs w:val="20"/>
                <w:lang w:val="en-NZ"/>
              </w:rPr>
            </w:pPr>
            <w:r>
              <w:rPr>
                <w:rFonts w:eastAsia="Calibri"/>
                <w:b/>
                <w:color w:val="000000"/>
                <w:sz w:val="22"/>
                <w:lang w:val="en-NZ"/>
              </w:rPr>
              <w:t>Evidence Certainty</w:t>
            </w:r>
            <w:r>
              <w:rPr>
                <w:rFonts w:eastAsia="Calibri"/>
                <w:b/>
                <w:color w:val="000000"/>
                <w:sz w:val="22"/>
                <w:lang w:val="en-NZ"/>
              </w:rPr>
              <w:br/>
            </w:r>
            <w:r>
              <w:rPr>
                <w:rFonts w:eastAsia="Calibri"/>
                <w:bCs/>
                <w:i/>
                <w:iCs/>
                <w:color w:val="000000"/>
                <w:szCs w:val="20"/>
                <w:lang w:val="en-NZ"/>
              </w:rPr>
              <w:t>High, medium, or low, and explain reasoning in comment column.</w:t>
            </w:r>
          </w:p>
        </w:tc>
      </w:tr>
      <w:tr w:rsidR="00121919" w14:paraId="6D37A8EC" w14:textId="77777777" w:rsidTr="003A0B44">
        <w:trPr>
          <w:trHeight w:val="391"/>
        </w:trPr>
        <w:tc>
          <w:tcPr>
            <w:tcW w:w="14454" w:type="dxa"/>
            <w:gridSpan w:val="4"/>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5FB2E63D" w14:textId="7D2E6D45" w:rsidR="00121919" w:rsidRDefault="00121919">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costs of the preferred option</w:t>
            </w:r>
            <w:r w:rsidR="00992B9D">
              <w:rPr>
                <w:rFonts w:eastAsia="Calibri"/>
                <w:b/>
                <w:bCs/>
                <w:color w:val="000000"/>
                <w:szCs w:val="22"/>
                <w:lang w:val="en-NZ"/>
              </w:rPr>
              <w:t>s</w:t>
            </w:r>
            <w:r>
              <w:rPr>
                <w:rFonts w:eastAsia="Calibri"/>
                <w:b/>
                <w:bCs/>
                <w:color w:val="000000"/>
                <w:szCs w:val="22"/>
                <w:lang w:val="en-NZ"/>
              </w:rPr>
              <w:t xml:space="preserve"> compared to taking no action</w:t>
            </w:r>
          </w:p>
        </w:tc>
      </w:tr>
      <w:tr w:rsidR="00121919" w14:paraId="10367A8E" w14:textId="77777777" w:rsidTr="003A0B44">
        <w:trPr>
          <w:trHeight w:val="380"/>
        </w:trPr>
        <w:tc>
          <w:tcPr>
            <w:tcW w:w="2830" w:type="dxa"/>
            <w:tcBorders>
              <w:top w:val="single" w:sz="4" w:space="0" w:color="DDDDDD"/>
              <w:left w:val="single" w:sz="4" w:space="0" w:color="DDDDDD"/>
              <w:bottom w:val="single" w:sz="4" w:space="0" w:color="DDDDDD"/>
              <w:right w:val="single" w:sz="4" w:space="0" w:color="DDDDDD"/>
            </w:tcBorders>
            <w:hideMark/>
          </w:tcPr>
          <w:p w14:paraId="0B584738" w14:textId="62837186" w:rsidR="00000220" w:rsidRPr="00920E72" w:rsidRDefault="00307398">
            <w:pPr>
              <w:pStyle w:val="TableText"/>
              <w:keepNext/>
              <w:rPr>
                <w:rFonts w:eastAsia="Calibri"/>
                <w:szCs w:val="20"/>
                <w:lang w:val="en-NZ"/>
              </w:rPr>
            </w:pPr>
            <w:r w:rsidRPr="003A0B44">
              <w:rPr>
                <w:rFonts w:eastAsia="Calibri"/>
                <w:szCs w:val="20"/>
                <w:u w:val="single"/>
                <w:lang w:val="en-NZ"/>
              </w:rPr>
              <w:t>Regulated parties</w:t>
            </w:r>
            <w:r w:rsidRPr="00920E72">
              <w:rPr>
                <w:rFonts w:eastAsia="Calibri"/>
                <w:szCs w:val="20"/>
                <w:lang w:val="en-NZ"/>
              </w:rPr>
              <w:t xml:space="preserve">: </w:t>
            </w:r>
            <w:r w:rsidR="00087601" w:rsidRPr="00920E72">
              <w:rPr>
                <w:rFonts w:eastAsia="Calibri"/>
                <w:szCs w:val="20"/>
                <w:lang w:val="en-NZ"/>
              </w:rPr>
              <w:t>t</w:t>
            </w:r>
            <w:r w:rsidR="00992B9D" w:rsidRPr="00920E72">
              <w:rPr>
                <w:rFonts w:eastAsia="Calibri"/>
                <w:szCs w:val="20"/>
                <w:lang w:val="en-NZ"/>
              </w:rPr>
              <w:t>rusts subject to section 59BA</w:t>
            </w:r>
          </w:p>
        </w:tc>
        <w:tc>
          <w:tcPr>
            <w:tcW w:w="5812" w:type="dxa"/>
            <w:tcBorders>
              <w:top w:val="single" w:sz="4" w:space="0" w:color="DDDDDD"/>
              <w:left w:val="single" w:sz="4" w:space="0" w:color="DDDDDD"/>
              <w:bottom w:val="single" w:sz="4" w:space="0" w:color="DDDDDD"/>
              <w:right w:val="single" w:sz="4" w:space="0" w:color="DDDDDD"/>
            </w:tcBorders>
          </w:tcPr>
          <w:p w14:paraId="080B43BC" w14:textId="77777777" w:rsidR="00121919" w:rsidRDefault="00634175">
            <w:pPr>
              <w:pStyle w:val="TableText"/>
              <w:keepNext/>
              <w:rPr>
                <w:rFonts w:eastAsia="Calibri"/>
                <w:szCs w:val="20"/>
                <w:lang w:val="en-NZ"/>
              </w:rPr>
            </w:pPr>
            <w:r w:rsidRPr="00920E72">
              <w:rPr>
                <w:rFonts w:eastAsia="Calibri"/>
                <w:szCs w:val="20"/>
                <w:lang w:val="en-NZ"/>
              </w:rPr>
              <w:t>Inland Revenue has a limited understanding of the compliance costs imposed by the new disclosure rules</w:t>
            </w:r>
            <w:r w:rsidR="00A201A9" w:rsidRPr="00920E72">
              <w:rPr>
                <w:rFonts w:eastAsia="Calibri"/>
                <w:szCs w:val="20"/>
                <w:lang w:val="en-NZ"/>
              </w:rPr>
              <w:t xml:space="preserve"> or the proposed minimum standards.</w:t>
            </w:r>
          </w:p>
          <w:p w14:paraId="54B0EEF5" w14:textId="3EC3925C" w:rsidR="0051038F" w:rsidRPr="00920E72" w:rsidRDefault="0035508A">
            <w:pPr>
              <w:pStyle w:val="TableText"/>
              <w:keepNext/>
              <w:rPr>
                <w:rFonts w:eastAsia="Calibri"/>
                <w:szCs w:val="20"/>
                <w:lang w:val="en-NZ"/>
              </w:rPr>
            </w:pPr>
            <w:r>
              <w:rPr>
                <w:rFonts w:eastAsia="Calibri"/>
                <w:szCs w:val="20"/>
                <w:lang w:val="en-NZ"/>
              </w:rPr>
              <w:t>The minimum standards may result in a</w:t>
            </w:r>
            <w:r w:rsidR="0061294C">
              <w:rPr>
                <w:rFonts w:eastAsia="Calibri"/>
                <w:szCs w:val="20"/>
                <w:lang w:val="en-NZ"/>
              </w:rPr>
              <w:t xml:space="preserve">ccountants and software providers </w:t>
            </w:r>
            <w:r>
              <w:rPr>
                <w:rFonts w:eastAsia="Calibri"/>
                <w:szCs w:val="20"/>
                <w:lang w:val="en-NZ"/>
              </w:rPr>
              <w:t>passing</w:t>
            </w:r>
            <w:r w:rsidR="0061294C">
              <w:rPr>
                <w:rFonts w:eastAsia="Calibri"/>
                <w:szCs w:val="20"/>
                <w:lang w:val="en-NZ"/>
              </w:rPr>
              <w:t xml:space="preserve"> on </w:t>
            </w:r>
            <w:r>
              <w:rPr>
                <w:rFonts w:eastAsia="Calibri"/>
                <w:szCs w:val="20"/>
                <w:lang w:val="en-NZ"/>
              </w:rPr>
              <w:t xml:space="preserve">additional costs to trustees. </w:t>
            </w:r>
          </w:p>
        </w:tc>
        <w:tc>
          <w:tcPr>
            <w:tcW w:w="3544" w:type="dxa"/>
            <w:tcBorders>
              <w:top w:val="single" w:sz="4" w:space="0" w:color="DDDDDD"/>
              <w:left w:val="single" w:sz="4" w:space="0" w:color="DDDDDD"/>
              <w:bottom w:val="single" w:sz="4" w:space="0" w:color="DDDDDD"/>
              <w:right w:val="single" w:sz="4" w:space="0" w:color="DDDDDD"/>
            </w:tcBorders>
          </w:tcPr>
          <w:p w14:paraId="22CC0F03" w14:textId="3CD4EA61" w:rsidR="00121919" w:rsidRPr="00920E72" w:rsidRDefault="00634175">
            <w:pPr>
              <w:pStyle w:val="TableText"/>
              <w:keepNext/>
              <w:rPr>
                <w:rFonts w:eastAsia="Calibri"/>
                <w:szCs w:val="20"/>
                <w:lang w:val="en-NZ"/>
              </w:rPr>
            </w:pPr>
            <w:r w:rsidRPr="00920E72">
              <w:rPr>
                <w:rFonts w:eastAsia="Calibri"/>
                <w:szCs w:val="20"/>
                <w:lang w:val="en-NZ"/>
              </w:rPr>
              <w:t>Unknown</w:t>
            </w:r>
            <w:r w:rsidR="00B911C4">
              <w:rPr>
                <w:rFonts w:eastAsia="Calibri"/>
                <w:szCs w:val="20"/>
                <w:lang w:val="en-NZ"/>
              </w:rPr>
              <w:t xml:space="preserve"> monetised impact</w:t>
            </w:r>
          </w:p>
        </w:tc>
        <w:tc>
          <w:tcPr>
            <w:tcW w:w="2268" w:type="dxa"/>
            <w:tcBorders>
              <w:top w:val="single" w:sz="4" w:space="0" w:color="DDDDDD"/>
              <w:left w:val="single" w:sz="4" w:space="0" w:color="DDDDDD"/>
              <w:bottom w:val="single" w:sz="4" w:space="0" w:color="DDDDDD"/>
              <w:right w:val="single" w:sz="4" w:space="0" w:color="DDDDDD"/>
            </w:tcBorders>
          </w:tcPr>
          <w:p w14:paraId="0968B00C" w14:textId="3990C72F" w:rsidR="00121919" w:rsidRPr="00920E72" w:rsidRDefault="00634175">
            <w:pPr>
              <w:pStyle w:val="TableText"/>
              <w:keepNext/>
              <w:rPr>
                <w:rFonts w:eastAsia="Calibri"/>
                <w:szCs w:val="20"/>
                <w:lang w:val="en-NZ"/>
              </w:rPr>
            </w:pPr>
            <w:r w:rsidRPr="00920E72">
              <w:rPr>
                <w:rFonts w:eastAsia="Calibri"/>
                <w:szCs w:val="20"/>
                <w:lang w:val="en-NZ"/>
              </w:rPr>
              <w:t>Low</w:t>
            </w:r>
          </w:p>
        </w:tc>
      </w:tr>
      <w:tr w:rsidR="00121919" w14:paraId="2478E59E" w14:textId="77777777" w:rsidTr="003A0B44">
        <w:trPr>
          <w:trHeight w:val="380"/>
        </w:trPr>
        <w:tc>
          <w:tcPr>
            <w:tcW w:w="2830" w:type="dxa"/>
            <w:tcBorders>
              <w:top w:val="single" w:sz="4" w:space="0" w:color="DDDDDD"/>
              <w:left w:val="single" w:sz="4" w:space="0" w:color="DDDDDD"/>
              <w:bottom w:val="single" w:sz="4" w:space="0" w:color="DDDDDD"/>
              <w:right w:val="single" w:sz="4" w:space="0" w:color="DDDDDD"/>
            </w:tcBorders>
            <w:hideMark/>
          </w:tcPr>
          <w:p w14:paraId="150843EC" w14:textId="6D4FD51E" w:rsidR="00121919" w:rsidRPr="00920E72" w:rsidRDefault="00307398">
            <w:pPr>
              <w:pStyle w:val="TableText"/>
              <w:keepNext/>
              <w:rPr>
                <w:rFonts w:eastAsia="Calibri"/>
                <w:szCs w:val="20"/>
                <w:lang w:val="en-NZ"/>
              </w:rPr>
            </w:pPr>
            <w:r w:rsidRPr="00B64DA6">
              <w:rPr>
                <w:rFonts w:eastAsia="Calibri"/>
                <w:szCs w:val="20"/>
                <w:u w:val="single"/>
                <w:lang w:val="en-NZ"/>
              </w:rPr>
              <w:t>Regulator</w:t>
            </w:r>
            <w:r w:rsidRPr="00920E72">
              <w:rPr>
                <w:rFonts w:eastAsia="Calibri"/>
                <w:szCs w:val="20"/>
                <w:lang w:val="en-NZ"/>
              </w:rPr>
              <w:t xml:space="preserve">: </w:t>
            </w:r>
            <w:r w:rsidR="00992B9D" w:rsidRPr="00920E72">
              <w:rPr>
                <w:rFonts w:eastAsia="Calibri"/>
                <w:szCs w:val="20"/>
                <w:lang w:val="en-NZ"/>
              </w:rPr>
              <w:t>Inland Revenue</w:t>
            </w:r>
          </w:p>
        </w:tc>
        <w:tc>
          <w:tcPr>
            <w:tcW w:w="5812" w:type="dxa"/>
            <w:tcBorders>
              <w:top w:val="single" w:sz="4" w:space="0" w:color="DDDDDD"/>
              <w:left w:val="single" w:sz="4" w:space="0" w:color="DDDDDD"/>
              <w:bottom w:val="single" w:sz="4" w:space="0" w:color="DDDDDD"/>
              <w:right w:val="single" w:sz="4" w:space="0" w:color="DDDDDD"/>
            </w:tcBorders>
          </w:tcPr>
          <w:p w14:paraId="79228042" w14:textId="04654A34" w:rsidR="00121919" w:rsidRPr="00920E72" w:rsidRDefault="00E516AA">
            <w:pPr>
              <w:pStyle w:val="TableText"/>
              <w:keepNext/>
              <w:rPr>
                <w:rFonts w:eastAsia="Calibri"/>
                <w:szCs w:val="20"/>
                <w:lang w:val="en-NZ"/>
              </w:rPr>
            </w:pPr>
            <w:r w:rsidRPr="00920E72">
              <w:rPr>
                <w:rFonts w:eastAsia="Calibri"/>
                <w:szCs w:val="20"/>
                <w:lang w:val="en-NZ"/>
              </w:rPr>
              <w:t>Proposed minimum standards will have minim</w:t>
            </w:r>
            <w:r w:rsidR="00A201A9" w:rsidRPr="00920E72">
              <w:rPr>
                <w:rFonts w:eastAsia="Calibri"/>
                <w:szCs w:val="20"/>
                <w:lang w:val="en-NZ"/>
              </w:rPr>
              <w:t xml:space="preserve">al </w:t>
            </w:r>
            <w:r w:rsidRPr="00920E72">
              <w:rPr>
                <w:rFonts w:eastAsia="Calibri"/>
                <w:szCs w:val="20"/>
                <w:lang w:val="en-NZ"/>
              </w:rPr>
              <w:t>implementation costs for Inland Revenue</w:t>
            </w:r>
            <w:r w:rsidR="00A201A9" w:rsidRPr="00920E72">
              <w:rPr>
                <w:rFonts w:eastAsia="Calibri"/>
                <w:szCs w:val="20"/>
                <w:lang w:val="en-NZ"/>
              </w:rPr>
              <w:t>.</w:t>
            </w:r>
          </w:p>
        </w:tc>
        <w:tc>
          <w:tcPr>
            <w:tcW w:w="3544" w:type="dxa"/>
            <w:tcBorders>
              <w:top w:val="single" w:sz="4" w:space="0" w:color="DDDDDD"/>
              <w:left w:val="single" w:sz="4" w:space="0" w:color="DDDDDD"/>
              <w:bottom w:val="single" w:sz="4" w:space="0" w:color="DDDDDD"/>
              <w:right w:val="single" w:sz="4" w:space="0" w:color="DDDDDD"/>
            </w:tcBorders>
          </w:tcPr>
          <w:p w14:paraId="3B9F67C7" w14:textId="35BDD69D" w:rsidR="00121919" w:rsidRPr="00920E72" w:rsidRDefault="00B911C4">
            <w:pPr>
              <w:pStyle w:val="TableText"/>
              <w:keepNext/>
              <w:rPr>
                <w:rFonts w:eastAsia="Calibri"/>
                <w:szCs w:val="20"/>
                <w:lang w:val="en-NZ"/>
              </w:rPr>
            </w:pPr>
            <w:r>
              <w:rPr>
                <w:rFonts w:eastAsia="Calibri"/>
                <w:szCs w:val="20"/>
                <w:lang w:val="en-NZ"/>
              </w:rPr>
              <w:t>Negligible monetised impact</w:t>
            </w:r>
          </w:p>
        </w:tc>
        <w:tc>
          <w:tcPr>
            <w:tcW w:w="2268" w:type="dxa"/>
            <w:tcBorders>
              <w:top w:val="single" w:sz="4" w:space="0" w:color="DDDDDD"/>
              <w:left w:val="single" w:sz="4" w:space="0" w:color="DDDDDD"/>
              <w:bottom w:val="single" w:sz="4" w:space="0" w:color="DDDDDD"/>
              <w:right w:val="single" w:sz="4" w:space="0" w:color="DDDDDD"/>
            </w:tcBorders>
          </w:tcPr>
          <w:p w14:paraId="6D5D043F" w14:textId="4ED2F501" w:rsidR="00121919" w:rsidRPr="00920E72" w:rsidRDefault="00E516AA">
            <w:pPr>
              <w:pStyle w:val="TableText"/>
              <w:keepNext/>
              <w:rPr>
                <w:rFonts w:eastAsia="Calibri"/>
                <w:szCs w:val="20"/>
                <w:lang w:val="en-NZ"/>
              </w:rPr>
            </w:pPr>
            <w:r w:rsidRPr="00920E72">
              <w:rPr>
                <w:rFonts w:eastAsia="Calibri"/>
                <w:szCs w:val="20"/>
                <w:lang w:val="en-NZ"/>
              </w:rPr>
              <w:t>High</w:t>
            </w:r>
          </w:p>
        </w:tc>
      </w:tr>
      <w:tr w:rsidR="00307F3B" w14:paraId="53179A62" w14:textId="77777777" w:rsidTr="003A0B44">
        <w:trPr>
          <w:trHeight w:val="380"/>
        </w:trPr>
        <w:tc>
          <w:tcPr>
            <w:tcW w:w="2830" w:type="dxa"/>
            <w:tcBorders>
              <w:top w:val="single" w:sz="4" w:space="0" w:color="DDDDDD"/>
              <w:left w:val="single" w:sz="4" w:space="0" w:color="DDDDDD"/>
              <w:bottom w:val="single" w:sz="4" w:space="0" w:color="DDDDDD"/>
              <w:right w:val="single" w:sz="4" w:space="0" w:color="DDDDDD"/>
            </w:tcBorders>
          </w:tcPr>
          <w:p w14:paraId="0B49D672" w14:textId="27BDB239" w:rsidR="00307F3B" w:rsidRPr="00920E72" w:rsidRDefault="00307398">
            <w:pPr>
              <w:pStyle w:val="TableText"/>
              <w:keepNext/>
              <w:rPr>
                <w:rFonts w:eastAsia="Calibri"/>
                <w:szCs w:val="20"/>
                <w:lang w:val="en-NZ"/>
              </w:rPr>
            </w:pPr>
            <w:r w:rsidRPr="00920E72">
              <w:rPr>
                <w:rFonts w:eastAsia="Calibri"/>
                <w:szCs w:val="20"/>
                <w:lang w:val="en-NZ"/>
              </w:rPr>
              <w:t>Wider Government</w:t>
            </w:r>
          </w:p>
        </w:tc>
        <w:tc>
          <w:tcPr>
            <w:tcW w:w="5812" w:type="dxa"/>
            <w:tcBorders>
              <w:top w:val="single" w:sz="4" w:space="0" w:color="DDDDDD"/>
              <w:left w:val="single" w:sz="4" w:space="0" w:color="DDDDDD"/>
              <w:bottom w:val="single" w:sz="4" w:space="0" w:color="DDDDDD"/>
              <w:right w:val="single" w:sz="4" w:space="0" w:color="DDDDDD"/>
            </w:tcBorders>
          </w:tcPr>
          <w:p w14:paraId="2AB47FA0" w14:textId="636A4A1E" w:rsidR="00307F3B" w:rsidRPr="00920E72" w:rsidRDefault="002813F5">
            <w:pPr>
              <w:pStyle w:val="TableText"/>
              <w:keepNext/>
              <w:rPr>
                <w:rFonts w:eastAsia="Calibri"/>
                <w:szCs w:val="20"/>
                <w:lang w:val="en-NZ"/>
              </w:rPr>
            </w:pPr>
            <w:r w:rsidRPr="00920E72">
              <w:rPr>
                <w:rFonts w:eastAsia="Calibri"/>
                <w:szCs w:val="20"/>
                <w:lang w:val="en-NZ"/>
              </w:rPr>
              <w:t>n/a</w:t>
            </w:r>
          </w:p>
        </w:tc>
        <w:tc>
          <w:tcPr>
            <w:tcW w:w="3544" w:type="dxa"/>
            <w:tcBorders>
              <w:top w:val="single" w:sz="4" w:space="0" w:color="DDDDDD"/>
              <w:left w:val="single" w:sz="4" w:space="0" w:color="DDDDDD"/>
              <w:bottom w:val="single" w:sz="4" w:space="0" w:color="DDDDDD"/>
              <w:right w:val="single" w:sz="4" w:space="0" w:color="DDDDDD"/>
            </w:tcBorders>
          </w:tcPr>
          <w:p w14:paraId="6990D70B" w14:textId="199D55F9" w:rsidR="00307F3B" w:rsidRPr="00920E72" w:rsidRDefault="002813F5">
            <w:pPr>
              <w:pStyle w:val="TableText"/>
              <w:keepNext/>
              <w:rPr>
                <w:rFonts w:eastAsia="Calibri"/>
                <w:szCs w:val="20"/>
                <w:lang w:val="en-NZ"/>
              </w:rPr>
            </w:pPr>
            <w:r w:rsidRPr="00920E72">
              <w:rPr>
                <w:rFonts w:eastAsia="Calibri"/>
                <w:szCs w:val="20"/>
                <w:lang w:val="en-NZ"/>
              </w:rPr>
              <w:t>n/a</w:t>
            </w:r>
          </w:p>
        </w:tc>
        <w:tc>
          <w:tcPr>
            <w:tcW w:w="2268" w:type="dxa"/>
            <w:tcBorders>
              <w:top w:val="single" w:sz="4" w:space="0" w:color="DDDDDD"/>
              <w:left w:val="single" w:sz="4" w:space="0" w:color="DDDDDD"/>
              <w:bottom w:val="single" w:sz="4" w:space="0" w:color="DDDDDD"/>
              <w:right w:val="single" w:sz="4" w:space="0" w:color="DDDDDD"/>
            </w:tcBorders>
          </w:tcPr>
          <w:p w14:paraId="7496AA7E" w14:textId="7530A25D" w:rsidR="00307F3B" w:rsidRPr="00920E72" w:rsidRDefault="002813F5">
            <w:pPr>
              <w:pStyle w:val="TableText"/>
              <w:keepNext/>
              <w:rPr>
                <w:rFonts w:eastAsia="Calibri"/>
                <w:szCs w:val="20"/>
                <w:lang w:val="en-NZ"/>
              </w:rPr>
            </w:pPr>
            <w:r w:rsidRPr="00920E72">
              <w:rPr>
                <w:rFonts w:eastAsia="Calibri"/>
                <w:szCs w:val="20"/>
                <w:lang w:val="en-NZ"/>
              </w:rPr>
              <w:t>n/a</w:t>
            </w:r>
          </w:p>
        </w:tc>
      </w:tr>
      <w:tr w:rsidR="002813F5" w14:paraId="4FE62B3D" w14:textId="77777777" w:rsidTr="003A0B44">
        <w:trPr>
          <w:trHeight w:val="380"/>
        </w:trPr>
        <w:tc>
          <w:tcPr>
            <w:tcW w:w="2830" w:type="dxa"/>
            <w:tcBorders>
              <w:top w:val="single" w:sz="4" w:space="0" w:color="DDDDDD"/>
              <w:left w:val="single" w:sz="4" w:space="0" w:color="DDDDDD"/>
              <w:bottom w:val="single" w:sz="4" w:space="0" w:color="DDDDDD"/>
              <w:right w:val="single" w:sz="4" w:space="0" w:color="DDDDDD"/>
            </w:tcBorders>
          </w:tcPr>
          <w:p w14:paraId="3F2B894D" w14:textId="22449C52" w:rsidR="002813F5" w:rsidRPr="00920E72" w:rsidRDefault="002813F5">
            <w:pPr>
              <w:pStyle w:val="TableText"/>
              <w:keepNext/>
              <w:rPr>
                <w:rFonts w:eastAsia="Calibri"/>
                <w:szCs w:val="20"/>
                <w:lang w:val="en-NZ"/>
              </w:rPr>
            </w:pPr>
            <w:r w:rsidRPr="0039455C">
              <w:rPr>
                <w:rFonts w:eastAsia="Calibri"/>
                <w:szCs w:val="20"/>
                <w:u w:val="single"/>
                <w:lang w:val="en-NZ"/>
              </w:rPr>
              <w:t>Other parties</w:t>
            </w:r>
            <w:r w:rsidRPr="00920E72">
              <w:rPr>
                <w:rFonts w:eastAsia="Calibri"/>
                <w:szCs w:val="20"/>
                <w:lang w:val="en-NZ"/>
              </w:rPr>
              <w:t>: Tax agents, accountants</w:t>
            </w:r>
            <w:r w:rsidR="00B007DA">
              <w:rPr>
                <w:rFonts w:eastAsia="Calibri"/>
                <w:szCs w:val="20"/>
                <w:lang w:val="en-NZ"/>
              </w:rPr>
              <w:t xml:space="preserve">, </w:t>
            </w:r>
            <w:r w:rsidRPr="00920E72">
              <w:rPr>
                <w:rFonts w:eastAsia="Calibri"/>
                <w:szCs w:val="20"/>
                <w:lang w:val="en-NZ"/>
              </w:rPr>
              <w:t>software providers</w:t>
            </w:r>
            <w:r w:rsidR="00B007DA">
              <w:rPr>
                <w:rFonts w:eastAsia="Calibri"/>
                <w:szCs w:val="20"/>
                <w:lang w:val="en-NZ"/>
              </w:rPr>
              <w:t>, and preparers of financial statements</w:t>
            </w:r>
          </w:p>
        </w:tc>
        <w:tc>
          <w:tcPr>
            <w:tcW w:w="5812" w:type="dxa"/>
            <w:tcBorders>
              <w:top w:val="single" w:sz="4" w:space="0" w:color="DDDDDD"/>
              <w:left w:val="single" w:sz="4" w:space="0" w:color="DDDDDD"/>
              <w:bottom w:val="single" w:sz="4" w:space="0" w:color="DDDDDD"/>
              <w:right w:val="single" w:sz="4" w:space="0" w:color="DDDDDD"/>
            </w:tcBorders>
          </w:tcPr>
          <w:p w14:paraId="043F127D" w14:textId="28829FCF" w:rsidR="002813F5" w:rsidRPr="00920E72" w:rsidRDefault="002813F5">
            <w:pPr>
              <w:pStyle w:val="TableText"/>
              <w:keepNext/>
              <w:rPr>
                <w:rFonts w:eastAsia="Calibri"/>
                <w:szCs w:val="20"/>
                <w:lang w:val="en-NZ"/>
              </w:rPr>
            </w:pPr>
            <w:r w:rsidRPr="00920E72">
              <w:rPr>
                <w:rFonts w:eastAsia="Calibri"/>
                <w:szCs w:val="20"/>
                <w:lang w:val="en-NZ"/>
              </w:rPr>
              <w:t xml:space="preserve">Any person required to make technical/software changes to accommodate the introduction of minimum standards for the preparation of financial statements </w:t>
            </w:r>
            <w:r w:rsidR="00DC3991">
              <w:rPr>
                <w:rFonts w:eastAsia="Calibri"/>
                <w:szCs w:val="20"/>
                <w:lang w:val="en-NZ"/>
              </w:rPr>
              <w:t>could</w:t>
            </w:r>
            <w:r w:rsidR="00DC3991" w:rsidRPr="00920E72">
              <w:rPr>
                <w:rFonts w:eastAsia="Calibri"/>
                <w:szCs w:val="20"/>
                <w:lang w:val="en-NZ"/>
              </w:rPr>
              <w:t xml:space="preserve"> </w:t>
            </w:r>
            <w:r w:rsidRPr="00920E72">
              <w:rPr>
                <w:rFonts w:eastAsia="Calibri"/>
                <w:szCs w:val="20"/>
                <w:lang w:val="en-NZ"/>
              </w:rPr>
              <w:t xml:space="preserve">face some </w:t>
            </w:r>
            <w:r w:rsidR="008F4F02" w:rsidRPr="00920E72">
              <w:rPr>
                <w:rFonts w:eastAsia="Calibri"/>
                <w:szCs w:val="20"/>
                <w:lang w:val="en-NZ"/>
              </w:rPr>
              <w:t>costs</w:t>
            </w:r>
            <w:r w:rsidR="00712743">
              <w:rPr>
                <w:rFonts w:eastAsia="Calibri"/>
                <w:szCs w:val="20"/>
                <w:lang w:val="en-NZ"/>
              </w:rPr>
              <w:t xml:space="preserve">, to the extent </w:t>
            </w:r>
            <w:r w:rsidR="00CB5ADD">
              <w:rPr>
                <w:rFonts w:eastAsia="Calibri"/>
                <w:szCs w:val="20"/>
                <w:lang w:val="en-NZ"/>
              </w:rPr>
              <w:t xml:space="preserve">they cannot recover these </w:t>
            </w:r>
            <w:r w:rsidR="00712743">
              <w:rPr>
                <w:rFonts w:eastAsia="Calibri"/>
                <w:szCs w:val="20"/>
                <w:lang w:val="en-NZ"/>
              </w:rPr>
              <w:t>costs</w:t>
            </w:r>
            <w:r w:rsidR="008F4F02" w:rsidRPr="00920E72">
              <w:rPr>
                <w:rFonts w:eastAsia="Calibri"/>
                <w:szCs w:val="20"/>
                <w:lang w:val="en-NZ"/>
              </w:rPr>
              <w:t>.</w:t>
            </w:r>
          </w:p>
        </w:tc>
        <w:tc>
          <w:tcPr>
            <w:tcW w:w="3544" w:type="dxa"/>
            <w:tcBorders>
              <w:top w:val="single" w:sz="4" w:space="0" w:color="DDDDDD"/>
              <w:left w:val="single" w:sz="4" w:space="0" w:color="DDDDDD"/>
              <w:bottom w:val="single" w:sz="4" w:space="0" w:color="DDDDDD"/>
              <w:right w:val="single" w:sz="4" w:space="0" w:color="DDDDDD"/>
            </w:tcBorders>
          </w:tcPr>
          <w:p w14:paraId="02B4EBC7" w14:textId="17E242C2" w:rsidR="002813F5" w:rsidRPr="00920E72" w:rsidRDefault="00A20DFC">
            <w:pPr>
              <w:pStyle w:val="TableText"/>
              <w:keepNext/>
              <w:rPr>
                <w:rFonts w:eastAsia="Calibri"/>
                <w:szCs w:val="20"/>
                <w:lang w:val="en-NZ"/>
              </w:rPr>
            </w:pPr>
            <w:r w:rsidRPr="00920E72">
              <w:rPr>
                <w:rFonts w:eastAsia="Calibri"/>
                <w:szCs w:val="20"/>
                <w:lang w:val="en-NZ"/>
              </w:rPr>
              <w:t>Low</w:t>
            </w:r>
            <w:r w:rsidR="00B911C4">
              <w:rPr>
                <w:rFonts w:eastAsia="Calibri"/>
                <w:szCs w:val="20"/>
                <w:lang w:val="en-NZ"/>
              </w:rPr>
              <w:t xml:space="preserve"> non-monetised impact</w:t>
            </w:r>
          </w:p>
        </w:tc>
        <w:tc>
          <w:tcPr>
            <w:tcW w:w="2268" w:type="dxa"/>
            <w:tcBorders>
              <w:top w:val="single" w:sz="4" w:space="0" w:color="DDDDDD"/>
              <w:left w:val="single" w:sz="4" w:space="0" w:color="DDDDDD"/>
              <w:bottom w:val="single" w:sz="4" w:space="0" w:color="DDDDDD"/>
              <w:right w:val="single" w:sz="4" w:space="0" w:color="DDDDDD"/>
            </w:tcBorders>
          </w:tcPr>
          <w:p w14:paraId="71C5E4C4" w14:textId="77CBCD0C" w:rsidR="002813F5" w:rsidRPr="00920E72" w:rsidRDefault="00A20DFC">
            <w:pPr>
              <w:pStyle w:val="TableText"/>
              <w:keepNext/>
              <w:rPr>
                <w:rFonts w:eastAsia="Calibri"/>
                <w:szCs w:val="20"/>
                <w:lang w:val="en-NZ"/>
              </w:rPr>
            </w:pPr>
            <w:r w:rsidRPr="00920E72">
              <w:rPr>
                <w:rFonts w:eastAsia="Calibri"/>
                <w:szCs w:val="20"/>
                <w:lang w:val="en-NZ"/>
              </w:rPr>
              <w:t>Medium</w:t>
            </w:r>
          </w:p>
        </w:tc>
      </w:tr>
      <w:tr w:rsidR="00121919" w14:paraId="6B0DBEAB" w14:textId="77777777" w:rsidTr="003A0B44">
        <w:trPr>
          <w:trHeight w:val="263"/>
        </w:trPr>
        <w:tc>
          <w:tcPr>
            <w:tcW w:w="2830" w:type="dxa"/>
            <w:tcBorders>
              <w:top w:val="single" w:sz="4" w:space="0" w:color="DDDDDD"/>
              <w:left w:val="single" w:sz="4" w:space="0" w:color="DDDDDD"/>
              <w:bottom w:val="single" w:sz="4" w:space="0" w:color="DDDDDD"/>
              <w:right w:val="single" w:sz="4" w:space="0" w:color="DDDDDD"/>
            </w:tcBorders>
            <w:hideMark/>
          </w:tcPr>
          <w:p w14:paraId="3D14DE63" w14:textId="77777777" w:rsidR="00121919" w:rsidRPr="00920E72" w:rsidRDefault="00121919">
            <w:pPr>
              <w:pStyle w:val="TableText"/>
              <w:keepNext/>
              <w:rPr>
                <w:rFonts w:eastAsia="Calibri"/>
                <w:b/>
                <w:szCs w:val="20"/>
                <w:lang w:val="en-NZ"/>
              </w:rPr>
            </w:pPr>
            <w:r w:rsidRPr="00920E72">
              <w:rPr>
                <w:rFonts w:eastAsia="Calibri"/>
                <w:b/>
                <w:szCs w:val="20"/>
                <w:lang w:val="en-NZ"/>
              </w:rPr>
              <w:t>Total monetised costs</w:t>
            </w:r>
          </w:p>
        </w:tc>
        <w:tc>
          <w:tcPr>
            <w:tcW w:w="5812" w:type="dxa"/>
            <w:tcBorders>
              <w:top w:val="single" w:sz="4" w:space="0" w:color="DDDDDD"/>
              <w:left w:val="single" w:sz="4" w:space="0" w:color="DDDDDD"/>
              <w:bottom w:val="single" w:sz="4" w:space="0" w:color="DDDDDD"/>
              <w:right w:val="single" w:sz="4" w:space="0" w:color="DDDDDD"/>
            </w:tcBorders>
          </w:tcPr>
          <w:p w14:paraId="64A44C36" w14:textId="77777777" w:rsidR="00121919" w:rsidRPr="00920E72" w:rsidRDefault="00121919">
            <w:pPr>
              <w:pStyle w:val="TableText"/>
              <w:keepNext/>
              <w:rPr>
                <w:rFonts w:eastAsia="Calibri"/>
                <w:i/>
                <w:szCs w:val="20"/>
                <w:highlight w:val="yellow"/>
                <w:lang w:val="en-NZ"/>
              </w:rPr>
            </w:pPr>
          </w:p>
        </w:tc>
        <w:tc>
          <w:tcPr>
            <w:tcW w:w="3544" w:type="dxa"/>
            <w:tcBorders>
              <w:top w:val="single" w:sz="4" w:space="0" w:color="DDDDDD"/>
              <w:left w:val="single" w:sz="4" w:space="0" w:color="DDDDDD"/>
              <w:bottom w:val="single" w:sz="4" w:space="0" w:color="DDDDDD"/>
              <w:right w:val="single" w:sz="4" w:space="0" w:color="DDDDDD"/>
            </w:tcBorders>
          </w:tcPr>
          <w:p w14:paraId="0E0CA211" w14:textId="7084213C" w:rsidR="00121919" w:rsidRPr="00920E72" w:rsidRDefault="00C46DA4">
            <w:pPr>
              <w:pStyle w:val="TableText"/>
              <w:keepNext/>
              <w:rPr>
                <w:rFonts w:eastAsia="Calibri"/>
                <w:szCs w:val="20"/>
                <w:lang w:val="en-NZ"/>
              </w:rPr>
            </w:pPr>
            <w:r w:rsidRPr="00920E72">
              <w:rPr>
                <w:rFonts w:eastAsia="Calibri"/>
                <w:szCs w:val="20"/>
                <w:lang w:val="en-NZ"/>
              </w:rPr>
              <w:t>Unknown</w:t>
            </w:r>
            <w:r w:rsidR="00462307">
              <w:rPr>
                <w:rFonts w:eastAsia="Calibri"/>
                <w:szCs w:val="20"/>
                <w:lang w:val="en-NZ"/>
              </w:rPr>
              <w:t xml:space="preserve"> total monetised impact</w:t>
            </w:r>
          </w:p>
        </w:tc>
        <w:tc>
          <w:tcPr>
            <w:tcW w:w="2268" w:type="dxa"/>
            <w:tcBorders>
              <w:top w:val="single" w:sz="4" w:space="0" w:color="DDDDDD"/>
              <w:left w:val="single" w:sz="4" w:space="0" w:color="DDDDDD"/>
              <w:bottom w:val="single" w:sz="4" w:space="0" w:color="DDDDDD"/>
              <w:right w:val="single" w:sz="4" w:space="0" w:color="DDDDDD"/>
            </w:tcBorders>
          </w:tcPr>
          <w:p w14:paraId="15B20F9D" w14:textId="4653DEDE" w:rsidR="00121919" w:rsidRPr="00920E72" w:rsidRDefault="00C46DA4">
            <w:pPr>
              <w:pStyle w:val="TableText"/>
              <w:keepNext/>
              <w:rPr>
                <w:rFonts w:eastAsia="Calibri"/>
                <w:szCs w:val="20"/>
                <w:lang w:val="en-NZ"/>
              </w:rPr>
            </w:pPr>
            <w:r w:rsidRPr="00920E72">
              <w:rPr>
                <w:rFonts w:eastAsia="Calibri"/>
                <w:szCs w:val="20"/>
                <w:lang w:val="en-NZ"/>
              </w:rPr>
              <w:t>Low</w:t>
            </w:r>
          </w:p>
        </w:tc>
      </w:tr>
      <w:tr w:rsidR="00121919" w14:paraId="7D41F50E" w14:textId="77777777" w:rsidTr="003A0B44">
        <w:trPr>
          <w:trHeight w:val="263"/>
        </w:trPr>
        <w:tc>
          <w:tcPr>
            <w:tcW w:w="2830" w:type="dxa"/>
            <w:tcBorders>
              <w:top w:val="single" w:sz="4" w:space="0" w:color="DDDDDD"/>
              <w:left w:val="single" w:sz="4" w:space="0" w:color="DDDDDD"/>
              <w:bottom w:val="single" w:sz="4" w:space="0" w:color="DDDDDD"/>
              <w:right w:val="single" w:sz="4" w:space="0" w:color="DDDDDD"/>
            </w:tcBorders>
            <w:hideMark/>
          </w:tcPr>
          <w:p w14:paraId="09588EA6" w14:textId="5055D4E2" w:rsidR="00121919" w:rsidRPr="00920E72" w:rsidRDefault="00121919">
            <w:pPr>
              <w:pStyle w:val="TableText"/>
              <w:keepNext/>
              <w:rPr>
                <w:rFonts w:eastAsia="Calibri"/>
                <w:b/>
                <w:szCs w:val="20"/>
                <w:lang w:val="en-NZ"/>
              </w:rPr>
            </w:pPr>
            <w:r w:rsidRPr="00920E72">
              <w:rPr>
                <w:rFonts w:eastAsia="Calibri"/>
                <w:b/>
                <w:szCs w:val="20"/>
                <w:lang w:val="en-NZ"/>
              </w:rPr>
              <w:t xml:space="preserve">Non-monetised costs </w:t>
            </w:r>
          </w:p>
        </w:tc>
        <w:tc>
          <w:tcPr>
            <w:tcW w:w="5812" w:type="dxa"/>
            <w:tcBorders>
              <w:top w:val="single" w:sz="4" w:space="0" w:color="DDDDDD"/>
              <w:left w:val="single" w:sz="4" w:space="0" w:color="DDDDDD"/>
              <w:bottom w:val="single" w:sz="4" w:space="0" w:color="DDDDDD"/>
              <w:right w:val="single" w:sz="4" w:space="0" w:color="DDDDDD"/>
            </w:tcBorders>
          </w:tcPr>
          <w:p w14:paraId="256538C5" w14:textId="77777777" w:rsidR="00121919" w:rsidRPr="00920E72" w:rsidRDefault="00121919">
            <w:pPr>
              <w:pStyle w:val="TableText"/>
              <w:keepNext/>
              <w:rPr>
                <w:rFonts w:eastAsia="Calibri"/>
                <w:i/>
                <w:szCs w:val="20"/>
                <w:highlight w:val="yellow"/>
                <w:lang w:val="en-NZ"/>
              </w:rPr>
            </w:pPr>
          </w:p>
        </w:tc>
        <w:tc>
          <w:tcPr>
            <w:tcW w:w="3544" w:type="dxa"/>
            <w:tcBorders>
              <w:top w:val="single" w:sz="4" w:space="0" w:color="DDDDDD"/>
              <w:left w:val="single" w:sz="4" w:space="0" w:color="DDDDDD"/>
              <w:bottom w:val="single" w:sz="4" w:space="0" w:color="DDDDDD"/>
              <w:right w:val="single" w:sz="4" w:space="0" w:color="DDDDDD"/>
            </w:tcBorders>
            <w:hideMark/>
          </w:tcPr>
          <w:p w14:paraId="373F9577" w14:textId="5820ABCC" w:rsidR="00121919" w:rsidRPr="00920E72" w:rsidRDefault="00495047">
            <w:pPr>
              <w:pStyle w:val="TableText"/>
              <w:keepNext/>
              <w:rPr>
                <w:rFonts w:eastAsia="Calibri"/>
                <w:iCs/>
                <w:szCs w:val="20"/>
                <w:lang w:val="en-NZ"/>
              </w:rPr>
            </w:pPr>
            <w:r w:rsidRPr="00920E72">
              <w:rPr>
                <w:rFonts w:eastAsia="Calibri"/>
                <w:szCs w:val="20"/>
                <w:lang w:val="en-NZ"/>
              </w:rPr>
              <w:t>Low</w:t>
            </w:r>
            <w:r>
              <w:rPr>
                <w:rFonts w:eastAsia="Calibri"/>
                <w:szCs w:val="20"/>
                <w:lang w:val="en-NZ"/>
              </w:rPr>
              <w:t xml:space="preserve"> </w:t>
            </w:r>
            <w:r w:rsidR="00462307">
              <w:rPr>
                <w:rFonts w:eastAsia="Calibri"/>
                <w:szCs w:val="20"/>
                <w:lang w:val="en-NZ"/>
              </w:rPr>
              <w:t xml:space="preserve">total </w:t>
            </w:r>
            <w:r>
              <w:rPr>
                <w:rFonts w:eastAsia="Calibri"/>
                <w:szCs w:val="20"/>
                <w:lang w:val="en-NZ"/>
              </w:rPr>
              <w:t>non-monetised impact</w:t>
            </w:r>
          </w:p>
        </w:tc>
        <w:tc>
          <w:tcPr>
            <w:tcW w:w="2268" w:type="dxa"/>
            <w:tcBorders>
              <w:top w:val="single" w:sz="4" w:space="0" w:color="DDDDDD"/>
              <w:left w:val="single" w:sz="4" w:space="0" w:color="DDDDDD"/>
              <w:bottom w:val="single" w:sz="4" w:space="0" w:color="DDDDDD"/>
              <w:right w:val="single" w:sz="4" w:space="0" w:color="DDDDDD"/>
            </w:tcBorders>
          </w:tcPr>
          <w:p w14:paraId="1D55BD0A" w14:textId="28A89037" w:rsidR="00121919" w:rsidRPr="00920E72" w:rsidRDefault="00495047">
            <w:pPr>
              <w:pStyle w:val="TableText"/>
              <w:keepNext/>
              <w:rPr>
                <w:rFonts w:eastAsia="Calibri"/>
                <w:iCs/>
                <w:szCs w:val="20"/>
                <w:lang w:val="en-NZ"/>
              </w:rPr>
            </w:pPr>
            <w:r>
              <w:rPr>
                <w:rFonts w:eastAsia="Calibri"/>
                <w:iCs/>
                <w:szCs w:val="20"/>
                <w:lang w:val="en-NZ"/>
              </w:rPr>
              <w:t>Medium</w:t>
            </w:r>
          </w:p>
        </w:tc>
      </w:tr>
    </w:tbl>
    <w:p w14:paraId="1FD5191A" w14:textId="77777777" w:rsidR="006A086A" w:rsidRPr="0058417B" w:rsidRDefault="006A086A" w:rsidP="00B04ACC">
      <w:pPr>
        <w:spacing w:before="120" w:after="0" w:line="240" w:lineRule="auto"/>
        <w:jc w:val="both"/>
        <w:rPr>
          <w:lang w:val="en-NZ"/>
        </w:rPr>
      </w:pPr>
    </w:p>
    <w:p w14:paraId="62146114" w14:textId="33D58B48" w:rsidR="00732908" w:rsidRPr="0040050B" w:rsidRDefault="00732908" w:rsidP="005F312F">
      <w:pPr>
        <w:pStyle w:val="ListParagraph"/>
        <w:numPr>
          <w:ilvl w:val="0"/>
          <w:numId w:val="9"/>
        </w:numPr>
        <w:spacing w:before="120" w:line="240" w:lineRule="auto"/>
        <w:ind w:left="567" w:hanging="567"/>
        <w:contextualSpacing w:val="0"/>
        <w:jc w:val="both"/>
        <w:rPr>
          <w:lang w:val="en-NZ"/>
        </w:rPr>
      </w:pPr>
      <w:r w:rsidRPr="0040050B">
        <w:rPr>
          <w:rFonts w:cs="Arial"/>
          <w:szCs w:val="22"/>
          <w:lang w:val="en-NZ"/>
        </w:rPr>
        <w:t>As noted in the November 2020 regulatory impact assessment (</w:t>
      </w:r>
      <w:r w:rsidRPr="0040050B">
        <w:rPr>
          <w:lang w:val="en-NZ"/>
        </w:rPr>
        <w:t>RIA) prepared for the new 39% rate</w:t>
      </w:r>
      <w:r w:rsidR="001D675E">
        <w:rPr>
          <w:lang w:val="en-NZ"/>
        </w:rPr>
        <w:t>,</w:t>
      </w:r>
      <w:r w:rsidR="001D675E" w:rsidRPr="001D675E">
        <w:rPr>
          <w:lang w:val="en-NZ"/>
        </w:rPr>
        <w:t xml:space="preserve"> </w:t>
      </w:r>
      <w:r w:rsidR="001D675E" w:rsidRPr="0040050B">
        <w:rPr>
          <w:lang w:val="en-NZ"/>
        </w:rPr>
        <w:t>Inland Revenue has a limited understanding of the compliance costs that trusts will face with the increased disclosure requirements and how large the costs will be.</w:t>
      </w:r>
      <w:r>
        <w:rPr>
          <w:rStyle w:val="FootnoteReference"/>
          <w:lang w:val="en-NZ"/>
        </w:rPr>
        <w:footnoteReference w:id="14"/>
      </w:r>
      <w:r w:rsidRPr="0040050B">
        <w:rPr>
          <w:lang w:val="en-NZ"/>
        </w:rPr>
        <w:t xml:space="preserve"> </w:t>
      </w:r>
      <w:r w:rsidR="001D675E">
        <w:rPr>
          <w:lang w:val="en-NZ"/>
        </w:rPr>
        <w:t>T</w:t>
      </w:r>
      <w:r w:rsidRPr="0040050B">
        <w:rPr>
          <w:lang w:val="en-NZ"/>
        </w:rPr>
        <w:t>his has constrained the ability of officials to accurately determine the compliance costs of the proposed minimum standards.</w:t>
      </w:r>
    </w:p>
    <w:p w14:paraId="040D6982" w14:textId="77777777" w:rsidR="006C7502" w:rsidRDefault="006C7502">
      <w:pPr>
        <w:spacing w:after="0" w:line="240" w:lineRule="auto"/>
      </w:pPr>
      <w:r>
        <w:br w:type="page"/>
      </w:r>
    </w:p>
    <w:p w14:paraId="7A9B5B25" w14:textId="3FD29353" w:rsidR="00B007DA" w:rsidRDefault="00B007DA"/>
    <w:tbl>
      <w:tblPr>
        <w:tblpPr w:leftFromText="180" w:rightFromText="180" w:vertAnchor="text" w:horzAnchor="margin" w:tblpY="124"/>
        <w:tblOverlap w:val="never"/>
        <w:tblW w:w="1445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6237"/>
        <w:gridCol w:w="3119"/>
        <w:gridCol w:w="2268"/>
      </w:tblGrid>
      <w:tr w:rsidR="004C755E" w14:paraId="127D34A4" w14:textId="77777777" w:rsidTr="00B04ACC">
        <w:trPr>
          <w:trHeight w:val="426"/>
        </w:trPr>
        <w:tc>
          <w:tcPr>
            <w:tcW w:w="2830"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tcPr>
          <w:p w14:paraId="64B83F28" w14:textId="2D65DA0E" w:rsidR="004C755E" w:rsidRPr="00FC483F" w:rsidRDefault="004C755E" w:rsidP="004C755E">
            <w:pPr>
              <w:spacing w:before="40" w:after="20" w:line="240" w:lineRule="auto"/>
              <w:jc w:val="center"/>
              <w:rPr>
                <w:rFonts w:eastAsia="Calibri"/>
                <w:b/>
                <w:bCs/>
                <w:color w:val="000000"/>
                <w:szCs w:val="22"/>
                <w:lang w:val="en-NZ"/>
              </w:rPr>
            </w:pPr>
            <w:r>
              <w:rPr>
                <w:rFonts w:eastAsia="Calibri"/>
                <w:b/>
                <w:color w:val="000000"/>
                <w:lang w:val="en-NZ"/>
              </w:rPr>
              <w:t>Affected groups</w:t>
            </w:r>
          </w:p>
        </w:tc>
        <w:tc>
          <w:tcPr>
            <w:tcW w:w="6237"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tcPr>
          <w:p w14:paraId="0B5BC6D6" w14:textId="376B2274" w:rsidR="004C755E" w:rsidRPr="00FC483F" w:rsidRDefault="004C755E" w:rsidP="004C755E">
            <w:pPr>
              <w:spacing w:before="40" w:after="20" w:line="240" w:lineRule="auto"/>
              <w:jc w:val="center"/>
              <w:rPr>
                <w:rFonts w:eastAsia="Calibri"/>
                <w:b/>
                <w:bCs/>
                <w:color w:val="000000"/>
                <w:szCs w:val="22"/>
                <w:lang w:val="en-NZ"/>
              </w:rPr>
            </w:pPr>
            <w:r>
              <w:rPr>
                <w:rFonts w:eastAsia="Calibri"/>
                <w:b/>
                <w:color w:val="000000"/>
                <w:lang w:val="en-NZ"/>
              </w:rPr>
              <w:t>Comment</w:t>
            </w:r>
            <w:r>
              <w:rPr>
                <w:rFonts w:eastAsia="Calibri"/>
                <w:color w:val="000000"/>
                <w:lang w:val="en-NZ"/>
              </w:rPr>
              <w:br/>
            </w:r>
            <w:r>
              <w:rPr>
                <w:rFonts w:eastAsia="Calibri"/>
                <w:i/>
                <w:iCs/>
                <w:color w:val="000000"/>
                <w:lang w:val="en-NZ"/>
              </w:rPr>
              <w:t>nature of cost or benefit (</w:t>
            </w:r>
            <w:proofErr w:type="spellStart"/>
            <w:r>
              <w:rPr>
                <w:rFonts w:eastAsia="Calibri"/>
                <w:i/>
                <w:iCs/>
                <w:color w:val="000000"/>
                <w:lang w:val="en-NZ"/>
              </w:rPr>
              <w:t>eg</w:t>
            </w:r>
            <w:proofErr w:type="spellEnd"/>
            <w:r>
              <w:rPr>
                <w:rFonts w:eastAsia="Calibri"/>
                <w:i/>
                <w:iCs/>
                <w:color w:val="000000"/>
                <w:lang w:val="en-NZ"/>
              </w:rPr>
              <w:t>, ongoing, one-off), evidence and assumption (</w:t>
            </w:r>
            <w:proofErr w:type="spellStart"/>
            <w:r>
              <w:rPr>
                <w:rFonts w:eastAsia="Calibri"/>
                <w:i/>
                <w:iCs/>
                <w:color w:val="000000"/>
                <w:lang w:val="en-NZ"/>
              </w:rPr>
              <w:t>eg</w:t>
            </w:r>
            <w:proofErr w:type="spellEnd"/>
            <w:r>
              <w:rPr>
                <w:rFonts w:eastAsia="Calibri"/>
                <w:i/>
                <w:iCs/>
                <w:color w:val="000000"/>
                <w:lang w:val="en-NZ"/>
              </w:rPr>
              <w:t>, compliance rates), risks.</w:t>
            </w:r>
          </w:p>
        </w:tc>
        <w:tc>
          <w:tcPr>
            <w:tcW w:w="3119"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tcPr>
          <w:p w14:paraId="5AE7C965" w14:textId="24158E0A" w:rsidR="004C755E" w:rsidRPr="00FC483F" w:rsidRDefault="004C755E" w:rsidP="004C755E">
            <w:pPr>
              <w:spacing w:before="40" w:after="20" w:line="240" w:lineRule="auto"/>
              <w:jc w:val="center"/>
              <w:rPr>
                <w:rFonts w:eastAsia="Calibri"/>
                <w:b/>
                <w:bCs/>
                <w:color w:val="000000"/>
                <w:szCs w:val="22"/>
                <w:lang w:val="en-NZ"/>
              </w:rPr>
            </w:pPr>
            <w:r>
              <w:rPr>
                <w:rFonts w:eastAsia="Calibri"/>
                <w:b/>
                <w:color w:val="000000"/>
                <w:lang w:val="en-NZ"/>
              </w:rPr>
              <w:t>Impact</w:t>
            </w:r>
            <w:r>
              <w:rPr>
                <w:rFonts w:eastAsia="Calibri"/>
                <w:b/>
                <w:color w:val="000000"/>
                <w:lang w:val="en-NZ"/>
              </w:rPr>
              <w:br/>
            </w:r>
            <w:r>
              <w:rPr>
                <w:rFonts w:eastAsia="Calibri"/>
                <w:i/>
                <w:color w:val="000000"/>
                <w:lang w:val="en-NZ"/>
              </w:rPr>
              <w:t>$m present value where appropriate, for monetised impacts; high, medium or low for non-monetised impacts.</w:t>
            </w:r>
          </w:p>
        </w:tc>
        <w:tc>
          <w:tcPr>
            <w:tcW w:w="2268"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tcPr>
          <w:p w14:paraId="58F6E35C" w14:textId="69F6DD90" w:rsidR="004C755E" w:rsidRPr="00FC483F" w:rsidRDefault="004C755E" w:rsidP="004C755E">
            <w:pPr>
              <w:spacing w:before="40" w:after="20" w:line="240" w:lineRule="auto"/>
              <w:jc w:val="center"/>
              <w:rPr>
                <w:rFonts w:eastAsia="Calibri"/>
                <w:b/>
                <w:bCs/>
                <w:color w:val="000000"/>
                <w:szCs w:val="22"/>
                <w:lang w:val="en-NZ"/>
              </w:rPr>
            </w:pPr>
            <w:r>
              <w:rPr>
                <w:rFonts w:eastAsia="Calibri"/>
                <w:b/>
                <w:color w:val="000000"/>
                <w:lang w:val="en-NZ"/>
              </w:rPr>
              <w:t>Evidence Certainty</w:t>
            </w:r>
            <w:r>
              <w:rPr>
                <w:rFonts w:eastAsia="Calibri"/>
                <w:b/>
                <w:color w:val="000000"/>
                <w:lang w:val="en-NZ"/>
              </w:rPr>
              <w:br/>
            </w:r>
            <w:r>
              <w:rPr>
                <w:rFonts w:eastAsia="Calibri"/>
                <w:bCs/>
                <w:i/>
                <w:iCs/>
                <w:color w:val="000000"/>
                <w:lang w:val="en-NZ"/>
              </w:rPr>
              <w:t>High, medium, or low, and explain reasoning in comment column.</w:t>
            </w:r>
          </w:p>
        </w:tc>
      </w:tr>
      <w:tr w:rsidR="00121919" w14:paraId="0486C887" w14:textId="77777777" w:rsidTr="00B04ACC">
        <w:trPr>
          <w:trHeight w:val="426"/>
        </w:trPr>
        <w:tc>
          <w:tcPr>
            <w:tcW w:w="14454" w:type="dxa"/>
            <w:gridSpan w:val="4"/>
            <w:tcBorders>
              <w:top w:val="single" w:sz="4" w:space="0" w:color="DDDDDD"/>
              <w:left w:val="single" w:sz="4" w:space="0" w:color="DDDDDD"/>
              <w:bottom w:val="single" w:sz="4" w:space="0" w:color="DDDDDD"/>
              <w:right w:val="single" w:sz="4" w:space="0" w:color="DDDDDD"/>
            </w:tcBorders>
            <w:shd w:val="clear" w:color="auto" w:fill="F2F2F2" w:themeFill="background1" w:themeFillShade="F2"/>
            <w:vAlign w:val="center"/>
            <w:hideMark/>
          </w:tcPr>
          <w:p w14:paraId="666324C7" w14:textId="1AD1B863" w:rsidR="00121919" w:rsidRPr="009B6D2E" w:rsidRDefault="00121919">
            <w:pPr>
              <w:spacing w:before="40" w:after="20" w:line="240" w:lineRule="auto"/>
              <w:jc w:val="center"/>
              <w:rPr>
                <w:rFonts w:eastAsia="Calibri"/>
                <w:b/>
                <w:bCs/>
                <w:color w:val="000000"/>
                <w:szCs w:val="22"/>
                <w:highlight w:val="yellow"/>
                <w:lang w:val="en-NZ"/>
              </w:rPr>
            </w:pPr>
            <w:r w:rsidRPr="00FC483F">
              <w:rPr>
                <w:rFonts w:eastAsia="Calibri"/>
                <w:b/>
                <w:bCs/>
                <w:color w:val="000000"/>
                <w:szCs w:val="22"/>
                <w:lang w:val="en-NZ"/>
              </w:rPr>
              <w:t>Additional benefits of the preferred option</w:t>
            </w:r>
            <w:r w:rsidR="00992B9D" w:rsidRPr="00FC483F">
              <w:rPr>
                <w:rFonts w:eastAsia="Calibri"/>
                <w:b/>
                <w:bCs/>
                <w:color w:val="000000"/>
                <w:szCs w:val="22"/>
                <w:lang w:val="en-NZ"/>
              </w:rPr>
              <w:t>s</w:t>
            </w:r>
            <w:r w:rsidRPr="00FC483F">
              <w:rPr>
                <w:rFonts w:eastAsia="Calibri"/>
                <w:b/>
                <w:bCs/>
                <w:color w:val="000000"/>
                <w:szCs w:val="22"/>
                <w:lang w:val="en-NZ"/>
              </w:rPr>
              <w:t xml:space="preserve"> compared to taking no action</w:t>
            </w:r>
          </w:p>
        </w:tc>
      </w:tr>
      <w:tr w:rsidR="00992B9D" w14:paraId="690E1200" w14:textId="77777777" w:rsidTr="00B04ACC">
        <w:trPr>
          <w:trHeight w:val="381"/>
        </w:trPr>
        <w:tc>
          <w:tcPr>
            <w:tcW w:w="2830" w:type="dxa"/>
            <w:tcBorders>
              <w:top w:val="single" w:sz="4" w:space="0" w:color="DDDDDD"/>
              <w:left w:val="single" w:sz="4" w:space="0" w:color="DDDDDD"/>
              <w:bottom w:val="single" w:sz="4" w:space="0" w:color="DDDDDD"/>
              <w:right w:val="single" w:sz="4" w:space="0" w:color="DDDDDD"/>
            </w:tcBorders>
            <w:hideMark/>
          </w:tcPr>
          <w:p w14:paraId="41C79B8A" w14:textId="285CCE4A" w:rsidR="00992B9D" w:rsidRPr="00B007DA" w:rsidRDefault="00087601" w:rsidP="00992B9D">
            <w:pPr>
              <w:pStyle w:val="TableText"/>
              <w:rPr>
                <w:rFonts w:eastAsia="Calibri"/>
                <w:szCs w:val="20"/>
                <w:lang w:val="en-NZ"/>
              </w:rPr>
            </w:pPr>
            <w:r w:rsidRPr="00221723">
              <w:rPr>
                <w:rFonts w:eastAsia="Calibri"/>
                <w:szCs w:val="20"/>
                <w:u w:val="single"/>
                <w:lang w:val="en-NZ"/>
              </w:rPr>
              <w:t>Regulated parties</w:t>
            </w:r>
            <w:r w:rsidRPr="00B007DA">
              <w:rPr>
                <w:rFonts w:eastAsia="Calibri"/>
                <w:szCs w:val="20"/>
                <w:lang w:val="en-NZ"/>
              </w:rPr>
              <w:t>: t</w:t>
            </w:r>
            <w:r w:rsidR="00162700" w:rsidRPr="00B007DA">
              <w:rPr>
                <w:rFonts w:eastAsia="Calibri"/>
                <w:szCs w:val="20"/>
                <w:lang w:val="en-NZ"/>
              </w:rPr>
              <w:t>rusts</w:t>
            </w:r>
            <w:r w:rsidR="00992B9D" w:rsidRPr="00B007DA">
              <w:rPr>
                <w:rFonts w:eastAsia="Calibri"/>
                <w:szCs w:val="20"/>
                <w:lang w:val="en-NZ"/>
              </w:rPr>
              <w:t xml:space="preserve"> subject to section 59BA</w:t>
            </w:r>
          </w:p>
        </w:tc>
        <w:tc>
          <w:tcPr>
            <w:tcW w:w="6237" w:type="dxa"/>
            <w:tcBorders>
              <w:top w:val="single" w:sz="4" w:space="0" w:color="DDDDDD"/>
              <w:left w:val="single" w:sz="4" w:space="0" w:color="DDDDDD"/>
              <w:bottom w:val="single" w:sz="4" w:space="0" w:color="DDDDDD"/>
              <w:right w:val="single" w:sz="4" w:space="0" w:color="DDDDDD"/>
            </w:tcBorders>
          </w:tcPr>
          <w:p w14:paraId="688955A1" w14:textId="77777777" w:rsidR="00992B9D" w:rsidRPr="00B007DA" w:rsidRDefault="00634175" w:rsidP="00992B9D">
            <w:pPr>
              <w:pStyle w:val="TableText"/>
              <w:rPr>
                <w:rFonts w:eastAsia="Calibri"/>
                <w:szCs w:val="20"/>
                <w:lang w:val="en-NZ"/>
              </w:rPr>
            </w:pPr>
            <w:r w:rsidRPr="00B007DA">
              <w:rPr>
                <w:rFonts w:eastAsia="Calibri"/>
                <w:szCs w:val="20"/>
                <w:lang w:val="en-NZ"/>
              </w:rPr>
              <w:t>Increased certainty regarding reporting obligations.</w:t>
            </w:r>
          </w:p>
          <w:p w14:paraId="21A6D553" w14:textId="725745FD" w:rsidR="00162700" w:rsidRPr="00B007DA" w:rsidRDefault="00BA6934" w:rsidP="00992B9D">
            <w:pPr>
              <w:pStyle w:val="TableText"/>
              <w:rPr>
                <w:rFonts w:eastAsia="Calibri"/>
                <w:szCs w:val="20"/>
                <w:lang w:val="en-NZ"/>
              </w:rPr>
            </w:pPr>
            <w:r>
              <w:rPr>
                <w:rFonts w:eastAsia="Calibri"/>
                <w:szCs w:val="20"/>
                <w:lang w:val="en-NZ"/>
              </w:rPr>
              <w:t>Significantly reduced compliance costs for an estimated 75% of affected trusts.</w:t>
            </w:r>
          </w:p>
        </w:tc>
        <w:tc>
          <w:tcPr>
            <w:tcW w:w="3119" w:type="dxa"/>
            <w:tcBorders>
              <w:top w:val="single" w:sz="4" w:space="0" w:color="DDDDDD"/>
              <w:left w:val="single" w:sz="4" w:space="0" w:color="DDDDDD"/>
              <w:bottom w:val="single" w:sz="4" w:space="0" w:color="DDDDDD"/>
              <w:right w:val="single" w:sz="4" w:space="0" w:color="DDDDDD"/>
            </w:tcBorders>
          </w:tcPr>
          <w:p w14:paraId="1852A2FA" w14:textId="5AFA3DE3" w:rsidR="00992B9D" w:rsidRPr="00B007DA" w:rsidRDefault="00634175" w:rsidP="00992B9D">
            <w:pPr>
              <w:pStyle w:val="TableText"/>
              <w:rPr>
                <w:rFonts w:eastAsia="Calibri"/>
                <w:szCs w:val="20"/>
                <w:lang w:val="en-NZ"/>
              </w:rPr>
            </w:pPr>
            <w:r w:rsidRPr="00B007DA">
              <w:rPr>
                <w:rFonts w:eastAsia="Calibri"/>
                <w:szCs w:val="20"/>
                <w:lang w:val="en-NZ"/>
              </w:rPr>
              <w:t>Low</w:t>
            </w:r>
            <w:r w:rsidR="00B911C4" w:rsidRPr="00B007DA">
              <w:rPr>
                <w:rFonts w:eastAsia="Calibri"/>
                <w:szCs w:val="20"/>
                <w:lang w:val="en-NZ"/>
              </w:rPr>
              <w:t xml:space="preserve"> non-monetised impact</w:t>
            </w:r>
          </w:p>
        </w:tc>
        <w:tc>
          <w:tcPr>
            <w:tcW w:w="2268" w:type="dxa"/>
            <w:tcBorders>
              <w:top w:val="single" w:sz="4" w:space="0" w:color="DDDDDD"/>
              <w:left w:val="single" w:sz="4" w:space="0" w:color="DDDDDD"/>
              <w:bottom w:val="single" w:sz="4" w:space="0" w:color="DDDDDD"/>
              <w:right w:val="single" w:sz="4" w:space="0" w:color="DDDDDD"/>
            </w:tcBorders>
          </w:tcPr>
          <w:p w14:paraId="354311C9" w14:textId="6E965443" w:rsidR="00992B9D" w:rsidRPr="00B007DA" w:rsidRDefault="00A201A9" w:rsidP="00992B9D">
            <w:pPr>
              <w:pStyle w:val="TableText"/>
              <w:rPr>
                <w:rFonts w:eastAsia="Calibri"/>
                <w:szCs w:val="20"/>
                <w:lang w:val="en-NZ"/>
              </w:rPr>
            </w:pPr>
            <w:r w:rsidRPr="00B007DA">
              <w:rPr>
                <w:rFonts w:eastAsia="Calibri"/>
                <w:szCs w:val="20"/>
                <w:lang w:val="en-NZ"/>
              </w:rPr>
              <w:t>Medium</w:t>
            </w:r>
          </w:p>
        </w:tc>
      </w:tr>
      <w:tr w:rsidR="00992B9D" w14:paraId="28EF4F79" w14:textId="77777777" w:rsidTr="00B04ACC">
        <w:trPr>
          <w:trHeight w:val="381"/>
        </w:trPr>
        <w:tc>
          <w:tcPr>
            <w:tcW w:w="2830" w:type="dxa"/>
            <w:tcBorders>
              <w:top w:val="single" w:sz="4" w:space="0" w:color="DDDDDD"/>
              <w:left w:val="single" w:sz="4" w:space="0" w:color="DDDDDD"/>
              <w:bottom w:val="single" w:sz="4" w:space="0" w:color="DDDDDD"/>
              <w:right w:val="single" w:sz="4" w:space="0" w:color="DDDDDD"/>
            </w:tcBorders>
            <w:hideMark/>
          </w:tcPr>
          <w:p w14:paraId="5BD57CDD" w14:textId="5ADAA7A9" w:rsidR="00992B9D" w:rsidRPr="00B007DA" w:rsidRDefault="00087601" w:rsidP="00992B9D">
            <w:pPr>
              <w:pStyle w:val="TableText"/>
              <w:rPr>
                <w:rFonts w:eastAsia="Calibri"/>
                <w:szCs w:val="20"/>
                <w:lang w:val="en-NZ"/>
              </w:rPr>
            </w:pPr>
            <w:r w:rsidRPr="00221723">
              <w:rPr>
                <w:rFonts w:eastAsia="Calibri"/>
                <w:szCs w:val="20"/>
                <w:u w:val="single"/>
                <w:lang w:val="en-NZ"/>
              </w:rPr>
              <w:t>Regulator</w:t>
            </w:r>
            <w:r w:rsidRPr="00B007DA">
              <w:rPr>
                <w:rFonts w:eastAsia="Calibri"/>
                <w:szCs w:val="20"/>
                <w:lang w:val="en-NZ"/>
              </w:rPr>
              <w:t xml:space="preserve">: </w:t>
            </w:r>
            <w:r w:rsidR="00992B9D" w:rsidRPr="00B007DA">
              <w:rPr>
                <w:rFonts w:eastAsia="Calibri"/>
                <w:szCs w:val="20"/>
                <w:lang w:val="en-NZ"/>
              </w:rPr>
              <w:t>Inland Revenue</w:t>
            </w:r>
          </w:p>
        </w:tc>
        <w:tc>
          <w:tcPr>
            <w:tcW w:w="6237" w:type="dxa"/>
            <w:tcBorders>
              <w:top w:val="single" w:sz="4" w:space="0" w:color="DDDDDD"/>
              <w:left w:val="single" w:sz="4" w:space="0" w:color="DDDDDD"/>
              <w:bottom w:val="single" w:sz="4" w:space="0" w:color="DDDDDD"/>
              <w:right w:val="single" w:sz="4" w:space="0" w:color="DDDDDD"/>
            </w:tcBorders>
          </w:tcPr>
          <w:p w14:paraId="28241596" w14:textId="4009966C" w:rsidR="00992B9D" w:rsidRPr="00B007DA" w:rsidRDefault="007349DC" w:rsidP="00992B9D">
            <w:pPr>
              <w:pStyle w:val="TableText"/>
              <w:rPr>
                <w:rFonts w:eastAsia="Calibri"/>
                <w:szCs w:val="20"/>
                <w:lang w:val="en-NZ"/>
              </w:rPr>
            </w:pPr>
            <w:r w:rsidRPr="00B007DA">
              <w:rPr>
                <w:rFonts w:eastAsia="Calibri"/>
                <w:szCs w:val="20"/>
                <w:lang w:val="en-NZ"/>
              </w:rPr>
              <w:t xml:space="preserve">Setting minimum standards </w:t>
            </w:r>
            <w:r w:rsidR="00A201A9" w:rsidRPr="00B007DA">
              <w:rPr>
                <w:rFonts w:eastAsia="Calibri"/>
                <w:szCs w:val="20"/>
                <w:lang w:val="en-NZ"/>
              </w:rPr>
              <w:t xml:space="preserve">will </w:t>
            </w:r>
            <w:r w:rsidR="00B2114C">
              <w:rPr>
                <w:rFonts w:eastAsia="Calibri"/>
                <w:szCs w:val="20"/>
                <w:lang w:val="en-NZ"/>
              </w:rPr>
              <w:t xml:space="preserve">improve </w:t>
            </w:r>
            <w:r w:rsidR="00A201A9" w:rsidRPr="00B007DA">
              <w:rPr>
                <w:rFonts w:eastAsia="Calibri"/>
                <w:szCs w:val="20"/>
                <w:lang w:val="en-NZ"/>
              </w:rPr>
              <w:t xml:space="preserve">the quality of data collected by the Commissioner and </w:t>
            </w:r>
            <w:r w:rsidR="00BC3996" w:rsidRPr="00B007DA">
              <w:rPr>
                <w:rFonts w:eastAsia="Calibri"/>
                <w:szCs w:val="20"/>
                <w:lang w:val="en-NZ"/>
              </w:rPr>
              <w:t xml:space="preserve">help support the </w:t>
            </w:r>
            <w:r w:rsidR="00C60E5A">
              <w:rPr>
                <w:rFonts w:eastAsia="Calibri"/>
                <w:szCs w:val="20"/>
                <w:lang w:val="en-NZ"/>
              </w:rPr>
              <w:t xml:space="preserve">Government’s </w:t>
            </w:r>
            <w:r w:rsidR="00C60E5A">
              <w:rPr>
                <w:bCs/>
                <w:lang w:val="en-NZ"/>
              </w:rPr>
              <w:t xml:space="preserve">trust disclosure rules </w:t>
            </w:r>
            <w:r w:rsidR="00BC3996" w:rsidRPr="00B007DA">
              <w:rPr>
                <w:rFonts w:eastAsia="Calibri"/>
                <w:szCs w:val="20"/>
                <w:lang w:val="en-NZ"/>
              </w:rPr>
              <w:t>objectives.</w:t>
            </w:r>
          </w:p>
        </w:tc>
        <w:tc>
          <w:tcPr>
            <w:tcW w:w="3119" w:type="dxa"/>
            <w:tcBorders>
              <w:top w:val="single" w:sz="4" w:space="0" w:color="DDDDDD"/>
              <w:left w:val="single" w:sz="4" w:space="0" w:color="DDDDDD"/>
              <w:bottom w:val="single" w:sz="4" w:space="0" w:color="DDDDDD"/>
              <w:right w:val="single" w:sz="4" w:space="0" w:color="DDDDDD"/>
            </w:tcBorders>
          </w:tcPr>
          <w:p w14:paraId="0B5CD32B" w14:textId="7AA0F8C4" w:rsidR="00992B9D" w:rsidRPr="00B007DA" w:rsidRDefault="00B911C4" w:rsidP="00992B9D">
            <w:pPr>
              <w:pStyle w:val="TableText"/>
              <w:rPr>
                <w:rFonts w:eastAsia="Calibri"/>
                <w:szCs w:val="20"/>
                <w:lang w:val="en-NZ"/>
              </w:rPr>
            </w:pPr>
            <w:r w:rsidRPr="00B007DA">
              <w:rPr>
                <w:rFonts w:eastAsia="Calibri"/>
                <w:szCs w:val="20"/>
                <w:lang w:val="en-NZ"/>
              </w:rPr>
              <w:t>Medium non-monetised impact</w:t>
            </w:r>
          </w:p>
        </w:tc>
        <w:tc>
          <w:tcPr>
            <w:tcW w:w="2268" w:type="dxa"/>
            <w:tcBorders>
              <w:top w:val="single" w:sz="4" w:space="0" w:color="DDDDDD"/>
              <w:left w:val="single" w:sz="4" w:space="0" w:color="DDDDDD"/>
              <w:bottom w:val="single" w:sz="4" w:space="0" w:color="DDDDDD"/>
              <w:right w:val="single" w:sz="4" w:space="0" w:color="DDDDDD"/>
            </w:tcBorders>
          </w:tcPr>
          <w:p w14:paraId="031DCA87" w14:textId="6A403386" w:rsidR="00992B9D" w:rsidRPr="00B007DA" w:rsidRDefault="00732908" w:rsidP="00992B9D">
            <w:pPr>
              <w:pStyle w:val="TableText"/>
              <w:rPr>
                <w:rFonts w:eastAsia="Calibri"/>
                <w:szCs w:val="20"/>
                <w:lang w:val="en-NZ"/>
              </w:rPr>
            </w:pPr>
            <w:r>
              <w:rPr>
                <w:rFonts w:eastAsia="Calibri"/>
                <w:szCs w:val="20"/>
                <w:lang w:val="en-NZ"/>
              </w:rPr>
              <w:t>High</w:t>
            </w:r>
          </w:p>
        </w:tc>
      </w:tr>
      <w:tr w:rsidR="00087601" w14:paraId="59015FC6" w14:textId="77777777" w:rsidTr="00B04ACC">
        <w:trPr>
          <w:trHeight w:val="263"/>
        </w:trPr>
        <w:tc>
          <w:tcPr>
            <w:tcW w:w="2830" w:type="dxa"/>
            <w:tcBorders>
              <w:top w:val="single" w:sz="4" w:space="0" w:color="DDDDDD"/>
              <w:left w:val="single" w:sz="4" w:space="0" w:color="DDDDDD"/>
              <w:bottom w:val="single" w:sz="4" w:space="0" w:color="DDDDDD"/>
              <w:right w:val="single" w:sz="4" w:space="0" w:color="DDDDDD"/>
            </w:tcBorders>
          </w:tcPr>
          <w:p w14:paraId="32115102" w14:textId="5621679B" w:rsidR="00087601" w:rsidRPr="00B007DA" w:rsidRDefault="00087601">
            <w:pPr>
              <w:pStyle w:val="TableText"/>
              <w:rPr>
                <w:rFonts w:eastAsia="Calibri"/>
                <w:color w:val="000000"/>
                <w:szCs w:val="20"/>
                <w:lang w:val="en-NZ"/>
              </w:rPr>
            </w:pPr>
            <w:r w:rsidRPr="00B007DA">
              <w:rPr>
                <w:rFonts w:eastAsia="Calibri"/>
                <w:color w:val="000000"/>
                <w:szCs w:val="20"/>
                <w:lang w:val="en-NZ"/>
              </w:rPr>
              <w:t>Wider Government</w:t>
            </w:r>
          </w:p>
        </w:tc>
        <w:tc>
          <w:tcPr>
            <w:tcW w:w="6237" w:type="dxa"/>
            <w:tcBorders>
              <w:top w:val="single" w:sz="4" w:space="0" w:color="DDDDDD"/>
              <w:left w:val="single" w:sz="4" w:space="0" w:color="DDDDDD"/>
              <w:bottom w:val="single" w:sz="4" w:space="0" w:color="DDDDDD"/>
              <w:right w:val="single" w:sz="4" w:space="0" w:color="DDDDDD"/>
            </w:tcBorders>
          </w:tcPr>
          <w:p w14:paraId="5D5D9763" w14:textId="6135285F" w:rsidR="00087601" w:rsidRPr="00B007DA" w:rsidRDefault="007349DC">
            <w:pPr>
              <w:pStyle w:val="TableText"/>
              <w:rPr>
                <w:rFonts w:eastAsia="Calibri"/>
                <w:szCs w:val="20"/>
                <w:lang w:val="en-NZ"/>
              </w:rPr>
            </w:pPr>
            <w:r w:rsidRPr="00B007DA">
              <w:rPr>
                <w:rFonts w:eastAsia="Calibri"/>
                <w:szCs w:val="20"/>
                <w:lang w:val="en-NZ"/>
              </w:rPr>
              <w:t xml:space="preserve">Setting minimum standards will help support the Government’s </w:t>
            </w:r>
            <w:r w:rsidR="00C60E5A">
              <w:rPr>
                <w:bCs/>
                <w:lang w:val="en-NZ"/>
              </w:rPr>
              <w:t xml:space="preserve">trust disclosure rules </w:t>
            </w:r>
            <w:r w:rsidRPr="00B007DA">
              <w:rPr>
                <w:rFonts w:eastAsia="Calibri"/>
                <w:szCs w:val="20"/>
                <w:lang w:val="en-NZ"/>
              </w:rPr>
              <w:t xml:space="preserve">objectives – to evaluate </w:t>
            </w:r>
            <w:r w:rsidR="00C60E5A">
              <w:rPr>
                <w:rFonts w:eastAsia="Calibri"/>
                <w:szCs w:val="20"/>
                <w:lang w:val="en-NZ"/>
              </w:rPr>
              <w:t>the effectiveness of</w:t>
            </w:r>
            <w:r w:rsidR="00920E72" w:rsidRPr="00B007DA">
              <w:rPr>
                <w:rFonts w:eastAsia="Calibri"/>
                <w:szCs w:val="20"/>
                <w:lang w:val="en-NZ"/>
              </w:rPr>
              <w:t xml:space="preserve"> the new 39% rate and gain </w:t>
            </w:r>
            <w:r w:rsidR="00920E72" w:rsidRPr="00B007DA">
              <w:rPr>
                <w:szCs w:val="20"/>
              </w:rPr>
              <w:t>insight into the use of structures and entities by trustees in New Zealand</w:t>
            </w:r>
          </w:p>
        </w:tc>
        <w:tc>
          <w:tcPr>
            <w:tcW w:w="3119" w:type="dxa"/>
            <w:tcBorders>
              <w:top w:val="single" w:sz="4" w:space="0" w:color="DDDDDD"/>
              <w:left w:val="single" w:sz="4" w:space="0" w:color="DDDDDD"/>
              <w:bottom w:val="single" w:sz="4" w:space="0" w:color="DDDDDD"/>
              <w:right w:val="single" w:sz="4" w:space="0" w:color="DDDDDD"/>
            </w:tcBorders>
          </w:tcPr>
          <w:p w14:paraId="6A858CC0" w14:textId="273F38DD" w:rsidR="00087601" w:rsidRPr="00B007DA" w:rsidRDefault="00B911C4">
            <w:pPr>
              <w:pStyle w:val="TableText"/>
              <w:rPr>
                <w:rFonts w:eastAsia="Calibri"/>
                <w:szCs w:val="20"/>
                <w:lang w:val="en-NZ"/>
              </w:rPr>
            </w:pPr>
            <w:r w:rsidRPr="00B007DA">
              <w:rPr>
                <w:rFonts w:eastAsia="Calibri"/>
                <w:szCs w:val="20"/>
                <w:lang w:val="en-NZ"/>
              </w:rPr>
              <w:t>Medium non-monetised impact</w:t>
            </w:r>
          </w:p>
        </w:tc>
        <w:tc>
          <w:tcPr>
            <w:tcW w:w="2268" w:type="dxa"/>
            <w:tcBorders>
              <w:top w:val="single" w:sz="4" w:space="0" w:color="DDDDDD"/>
              <w:left w:val="single" w:sz="4" w:space="0" w:color="DDDDDD"/>
              <w:bottom w:val="single" w:sz="4" w:space="0" w:color="DDDDDD"/>
              <w:right w:val="single" w:sz="4" w:space="0" w:color="DDDDDD"/>
            </w:tcBorders>
          </w:tcPr>
          <w:p w14:paraId="20758F26" w14:textId="3C059A62" w:rsidR="00087601" w:rsidRPr="00B007DA" w:rsidRDefault="00732908">
            <w:pPr>
              <w:pStyle w:val="TableText"/>
              <w:rPr>
                <w:rFonts w:eastAsia="Calibri"/>
                <w:szCs w:val="20"/>
                <w:lang w:val="en-NZ"/>
              </w:rPr>
            </w:pPr>
            <w:r>
              <w:rPr>
                <w:rFonts w:eastAsia="Calibri"/>
                <w:szCs w:val="20"/>
                <w:lang w:val="en-NZ"/>
              </w:rPr>
              <w:t>High</w:t>
            </w:r>
          </w:p>
        </w:tc>
      </w:tr>
      <w:tr w:rsidR="00121919" w14:paraId="5CEA8579" w14:textId="77777777" w:rsidTr="00B04ACC">
        <w:trPr>
          <w:trHeight w:val="263"/>
        </w:trPr>
        <w:tc>
          <w:tcPr>
            <w:tcW w:w="2830" w:type="dxa"/>
            <w:tcBorders>
              <w:top w:val="single" w:sz="4" w:space="0" w:color="DDDDDD"/>
              <w:left w:val="single" w:sz="4" w:space="0" w:color="DDDDDD"/>
              <w:bottom w:val="single" w:sz="4" w:space="0" w:color="DDDDDD"/>
              <w:right w:val="single" w:sz="4" w:space="0" w:color="DDDDDD"/>
            </w:tcBorders>
            <w:hideMark/>
          </w:tcPr>
          <w:p w14:paraId="7FC891CC" w14:textId="20CC3FC5" w:rsidR="00121919" w:rsidRPr="00B007DA" w:rsidRDefault="00B911C4">
            <w:pPr>
              <w:pStyle w:val="TableText"/>
              <w:rPr>
                <w:rFonts w:eastAsia="Calibri"/>
                <w:szCs w:val="20"/>
                <w:lang w:val="en-NZ"/>
              </w:rPr>
            </w:pPr>
            <w:r w:rsidRPr="00221723">
              <w:rPr>
                <w:rFonts w:eastAsia="Calibri"/>
                <w:szCs w:val="20"/>
                <w:u w:val="single"/>
                <w:lang w:val="en-NZ"/>
              </w:rPr>
              <w:t>Other parties</w:t>
            </w:r>
            <w:r w:rsidRPr="00B007DA">
              <w:rPr>
                <w:rFonts w:eastAsia="Calibri"/>
                <w:szCs w:val="20"/>
                <w:lang w:val="en-NZ"/>
              </w:rPr>
              <w:t>: Tax agents, accountants and preparers of financial</w:t>
            </w:r>
            <w:r w:rsidR="00B007DA" w:rsidRPr="00B007DA">
              <w:rPr>
                <w:rFonts w:eastAsia="Calibri"/>
                <w:szCs w:val="20"/>
                <w:lang w:val="en-NZ"/>
              </w:rPr>
              <w:t xml:space="preserve"> statements</w:t>
            </w:r>
          </w:p>
        </w:tc>
        <w:tc>
          <w:tcPr>
            <w:tcW w:w="6237" w:type="dxa"/>
            <w:tcBorders>
              <w:top w:val="single" w:sz="4" w:space="0" w:color="DDDDDD"/>
              <w:left w:val="single" w:sz="4" w:space="0" w:color="DDDDDD"/>
              <w:bottom w:val="single" w:sz="4" w:space="0" w:color="DDDDDD"/>
              <w:right w:val="single" w:sz="4" w:space="0" w:color="DDDDDD"/>
            </w:tcBorders>
          </w:tcPr>
          <w:p w14:paraId="4C8E42D5" w14:textId="70B5E1FA" w:rsidR="0086022A" w:rsidRPr="00B007DA" w:rsidRDefault="00B007DA">
            <w:pPr>
              <w:pStyle w:val="TableText"/>
              <w:rPr>
                <w:rFonts w:eastAsia="Calibri"/>
                <w:szCs w:val="20"/>
                <w:lang w:val="en-NZ"/>
              </w:rPr>
            </w:pPr>
            <w:r w:rsidRPr="00B007DA">
              <w:rPr>
                <w:rFonts w:eastAsia="Calibri"/>
                <w:szCs w:val="20"/>
                <w:lang w:val="en-NZ"/>
              </w:rPr>
              <w:t>Increased certainty regarding reporting obligations for domestic trusts</w:t>
            </w:r>
            <w:r w:rsidR="0086022A">
              <w:rPr>
                <w:rFonts w:eastAsia="Calibri"/>
                <w:szCs w:val="20"/>
                <w:lang w:val="en-NZ"/>
              </w:rPr>
              <w:t>.</w:t>
            </w:r>
          </w:p>
        </w:tc>
        <w:tc>
          <w:tcPr>
            <w:tcW w:w="3119" w:type="dxa"/>
            <w:tcBorders>
              <w:top w:val="single" w:sz="4" w:space="0" w:color="DDDDDD"/>
              <w:left w:val="single" w:sz="4" w:space="0" w:color="DDDDDD"/>
              <w:bottom w:val="single" w:sz="4" w:space="0" w:color="DDDDDD"/>
              <w:right w:val="single" w:sz="4" w:space="0" w:color="DDDDDD"/>
            </w:tcBorders>
          </w:tcPr>
          <w:p w14:paraId="08A6CBCF" w14:textId="233D8833" w:rsidR="00121919" w:rsidRPr="00B007DA" w:rsidRDefault="00B007DA">
            <w:pPr>
              <w:pStyle w:val="TableText"/>
              <w:rPr>
                <w:rFonts w:eastAsia="Calibri"/>
                <w:szCs w:val="20"/>
                <w:lang w:val="en-NZ"/>
              </w:rPr>
            </w:pPr>
            <w:r w:rsidRPr="00B007DA">
              <w:rPr>
                <w:rFonts w:eastAsia="Calibri"/>
                <w:szCs w:val="20"/>
                <w:lang w:val="en-NZ"/>
              </w:rPr>
              <w:t>Low non-monetised impact</w:t>
            </w:r>
          </w:p>
        </w:tc>
        <w:tc>
          <w:tcPr>
            <w:tcW w:w="2268" w:type="dxa"/>
            <w:tcBorders>
              <w:top w:val="single" w:sz="4" w:space="0" w:color="DDDDDD"/>
              <w:left w:val="single" w:sz="4" w:space="0" w:color="DDDDDD"/>
              <w:bottom w:val="single" w:sz="4" w:space="0" w:color="DDDDDD"/>
              <w:right w:val="single" w:sz="4" w:space="0" w:color="DDDDDD"/>
            </w:tcBorders>
          </w:tcPr>
          <w:p w14:paraId="01E5834B" w14:textId="3A52FE0C" w:rsidR="00121919" w:rsidRPr="00B007DA" w:rsidRDefault="00B007DA">
            <w:pPr>
              <w:pStyle w:val="TableText"/>
              <w:rPr>
                <w:rFonts w:eastAsia="Calibri"/>
                <w:szCs w:val="20"/>
                <w:lang w:val="en-NZ"/>
              </w:rPr>
            </w:pPr>
            <w:r>
              <w:rPr>
                <w:rFonts w:eastAsia="Calibri"/>
                <w:szCs w:val="20"/>
                <w:lang w:val="en-NZ"/>
              </w:rPr>
              <w:t>Medium</w:t>
            </w:r>
          </w:p>
        </w:tc>
      </w:tr>
      <w:tr w:rsidR="00121919" w14:paraId="4F6DCE54" w14:textId="77777777" w:rsidTr="00B04ACC">
        <w:trPr>
          <w:trHeight w:val="263"/>
        </w:trPr>
        <w:tc>
          <w:tcPr>
            <w:tcW w:w="2830" w:type="dxa"/>
            <w:tcBorders>
              <w:top w:val="single" w:sz="4" w:space="0" w:color="DDDDDD"/>
              <w:left w:val="single" w:sz="4" w:space="0" w:color="DDDDDD"/>
              <w:bottom w:val="single" w:sz="4" w:space="0" w:color="DDDDDD"/>
              <w:right w:val="single" w:sz="4" w:space="0" w:color="DDDDDD"/>
            </w:tcBorders>
            <w:hideMark/>
          </w:tcPr>
          <w:p w14:paraId="2C0F59C3" w14:textId="77777777" w:rsidR="00121919" w:rsidRPr="00B007DA" w:rsidRDefault="00121919">
            <w:pPr>
              <w:pStyle w:val="TableText"/>
              <w:rPr>
                <w:rFonts w:eastAsia="Calibri"/>
                <w:b/>
                <w:szCs w:val="20"/>
                <w:lang w:val="en-NZ"/>
              </w:rPr>
            </w:pPr>
            <w:r w:rsidRPr="00B007DA">
              <w:rPr>
                <w:rFonts w:eastAsia="Calibri"/>
                <w:b/>
                <w:szCs w:val="20"/>
                <w:lang w:val="en-NZ"/>
              </w:rPr>
              <w:t>Total monetised benefits</w:t>
            </w:r>
          </w:p>
        </w:tc>
        <w:tc>
          <w:tcPr>
            <w:tcW w:w="6237" w:type="dxa"/>
            <w:tcBorders>
              <w:top w:val="single" w:sz="4" w:space="0" w:color="DDDDDD"/>
              <w:left w:val="single" w:sz="4" w:space="0" w:color="DDDDDD"/>
              <w:bottom w:val="single" w:sz="4" w:space="0" w:color="DDDDDD"/>
              <w:right w:val="single" w:sz="4" w:space="0" w:color="DDDDDD"/>
            </w:tcBorders>
          </w:tcPr>
          <w:p w14:paraId="63F36069" w14:textId="77777777" w:rsidR="00121919" w:rsidRPr="00B007DA" w:rsidRDefault="00121919">
            <w:pPr>
              <w:pStyle w:val="TableText"/>
              <w:rPr>
                <w:rFonts w:eastAsia="Calibri"/>
                <w:szCs w:val="20"/>
                <w:lang w:val="en-NZ"/>
              </w:rPr>
            </w:pPr>
          </w:p>
        </w:tc>
        <w:tc>
          <w:tcPr>
            <w:tcW w:w="3119" w:type="dxa"/>
            <w:tcBorders>
              <w:top w:val="single" w:sz="4" w:space="0" w:color="DDDDDD"/>
              <w:left w:val="single" w:sz="4" w:space="0" w:color="DDDDDD"/>
              <w:bottom w:val="single" w:sz="4" w:space="0" w:color="DDDDDD"/>
              <w:right w:val="single" w:sz="4" w:space="0" w:color="DDDDDD"/>
            </w:tcBorders>
          </w:tcPr>
          <w:p w14:paraId="0AC67C6E" w14:textId="4F9E3A00" w:rsidR="00121919" w:rsidRPr="00B007DA" w:rsidRDefault="00BC3996">
            <w:pPr>
              <w:pStyle w:val="TableText"/>
              <w:rPr>
                <w:rFonts w:eastAsia="Calibri"/>
                <w:szCs w:val="20"/>
                <w:lang w:val="en-NZ"/>
              </w:rPr>
            </w:pPr>
            <w:r w:rsidRPr="00B007DA">
              <w:rPr>
                <w:rFonts w:eastAsia="Calibri"/>
                <w:szCs w:val="20"/>
                <w:lang w:val="en-NZ"/>
              </w:rPr>
              <w:t>Nil</w:t>
            </w:r>
            <w:r w:rsidR="00B77B21">
              <w:rPr>
                <w:rFonts w:eastAsia="Calibri"/>
                <w:szCs w:val="20"/>
                <w:lang w:val="en-NZ"/>
              </w:rPr>
              <w:t xml:space="preserve"> total monetised impact</w:t>
            </w:r>
          </w:p>
        </w:tc>
        <w:tc>
          <w:tcPr>
            <w:tcW w:w="2268" w:type="dxa"/>
            <w:tcBorders>
              <w:top w:val="single" w:sz="4" w:space="0" w:color="DDDDDD"/>
              <w:left w:val="single" w:sz="4" w:space="0" w:color="DDDDDD"/>
              <w:bottom w:val="single" w:sz="4" w:space="0" w:color="DDDDDD"/>
              <w:right w:val="single" w:sz="4" w:space="0" w:color="DDDDDD"/>
            </w:tcBorders>
          </w:tcPr>
          <w:p w14:paraId="7BA04B18" w14:textId="35D16644" w:rsidR="00121919" w:rsidRPr="00B007DA" w:rsidRDefault="00BC3996">
            <w:pPr>
              <w:pStyle w:val="TableText"/>
              <w:rPr>
                <w:rFonts w:eastAsia="Calibri"/>
                <w:szCs w:val="20"/>
                <w:lang w:val="en-NZ"/>
              </w:rPr>
            </w:pPr>
            <w:r w:rsidRPr="00B007DA">
              <w:rPr>
                <w:rFonts w:eastAsia="Calibri"/>
                <w:szCs w:val="20"/>
                <w:lang w:val="en-NZ"/>
              </w:rPr>
              <w:t>Medium</w:t>
            </w:r>
          </w:p>
        </w:tc>
      </w:tr>
      <w:tr w:rsidR="00121919" w14:paraId="12858DD6" w14:textId="77777777" w:rsidTr="00B04ACC">
        <w:trPr>
          <w:trHeight w:val="187"/>
        </w:trPr>
        <w:tc>
          <w:tcPr>
            <w:tcW w:w="2830" w:type="dxa"/>
            <w:tcBorders>
              <w:top w:val="single" w:sz="4" w:space="0" w:color="DDDDDD"/>
              <w:left w:val="single" w:sz="4" w:space="0" w:color="DDDDDD"/>
              <w:bottom w:val="single" w:sz="4" w:space="0" w:color="DDDDDD"/>
              <w:right w:val="single" w:sz="4" w:space="0" w:color="DDDDDD"/>
            </w:tcBorders>
            <w:hideMark/>
          </w:tcPr>
          <w:p w14:paraId="42915B09" w14:textId="7036B362" w:rsidR="00121919" w:rsidRPr="00B007DA" w:rsidRDefault="00121919">
            <w:pPr>
              <w:pStyle w:val="TableText"/>
              <w:rPr>
                <w:rFonts w:eastAsia="Calibri"/>
                <w:b/>
                <w:szCs w:val="20"/>
                <w:lang w:val="en-NZ"/>
              </w:rPr>
            </w:pPr>
            <w:r w:rsidRPr="00B007DA">
              <w:rPr>
                <w:rFonts w:eastAsia="Calibri"/>
                <w:b/>
                <w:szCs w:val="20"/>
                <w:lang w:val="en-NZ"/>
              </w:rPr>
              <w:t>Non-monetised benefits</w:t>
            </w:r>
          </w:p>
        </w:tc>
        <w:tc>
          <w:tcPr>
            <w:tcW w:w="6237" w:type="dxa"/>
            <w:tcBorders>
              <w:top w:val="single" w:sz="4" w:space="0" w:color="DDDDDD"/>
              <w:left w:val="single" w:sz="4" w:space="0" w:color="DDDDDD"/>
              <w:bottom w:val="single" w:sz="4" w:space="0" w:color="DDDDDD"/>
              <w:right w:val="single" w:sz="4" w:space="0" w:color="DDDDDD"/>
            </w:tcBorders>
          </w:tcPr>
          <w:p w14:paraId="5D5E3F09" w14:textId="77777777" w:rsidR="00121919" w:rsidRPr="00B007DA" w:rsidRDefault="00121919">
            <w:pPr>
              <w:pStyle w:val="TableText"/>
              <w:rPr>
                <w:rFonts w:eastAsia="Calibri"/>
                <w:szCs w:val="20"/>
                <w:lang w:val="en-NZ"/>
              </w:rPr>
            </w:pPr>
          </w:p>
        </w:tc>
        <w:tc>
          <w:tcPr>
            <w:tcW w:w="3119" w:type="dxa"/>
            <w:tcBorders>
              <w:top w:val="single" w:sz="4" w:space="0" w:color="DDDDDD"/>
              <w:left w:val="single" w:sz="4" w:space="0" w:color="DDDDDD"/>
              <w:bottom w:val="single" w:sz="4" w:space="0" w:color="DDDDDD"/>
              <w:right w:val="single" w:sz="4" w:space="0" w:color="DDDDDD"/>
            </w:tcBorders>
            <w:hideMark/>
          </w:tcPr>
          <w:p w14:paraId="03A52326" w14:textId="0F1BE8BC" w:rsidR="00121919" w:rsidRPr="00B007DA" w:rsidRDefault="00FC483F">
            <w:pPr>
              <w:pStyle w:val="TableText"/>
              <w:rPr>
                <w:rFonts w:eastAsia="Calibri"/>
                <w:iCs/>
                <w:szCs w:val="20"/>
                <w:lang w:val="en-NZ"/>
              </w:rPr>
            </w:pPr>
            <w:r w:rsidRPr="00B007DA">
              <w:rPr>
                <w:rFonts w:eastAsia="Calibri"/>
                <w:iCs/>
                <w:szCs w:val="20"/>
                <w:lang w:val="en-NZ"/>
              </w:rPr>
              <w:t>Medium</w:t>
            </w:r>
            <w:r w:rsidR="000719B5">
              <w:rPr>
                <w:rFonts w:eastAsia="Calibri"/>
                <w:iCs/>
                <w:szCs w:val="20"/>
                <w:lang w:val="en-NZ"/>
              </w:rPr>
              <w:t xml:space="preserve"> </w:t>
            </w:r>
            <w:r w:rsidR="00B77B21">
              <w:rPr>
                <w:rFonts w:eastAsia="Calibri"/>
                <w:iCs/>
                <w:szCs w:val="20"/>
                <w:lang w:val="en-NZ"/>
              </w:rPr>
              <w:t xml:space="preserve">total </w:t>
            </w:r>
            <w:r w:rsidR="000719B5">
              <w:rPr>
                <w:rFonts w:eastAsia="Calibri"/>
                <w:iCs/>
                <w:szCs w:val="20"/>
                <w:lang w:val="en-NZ"/>
              </w:rPr>
              <w:t>non-monetised impact</w:t>
            </w:r>
          </w:p>
        </w:tc>
        <w:tc>
          <w:tcPr>
            <w:tcW w:w="2268" w:type="dxa"/>
            <w:tcBorders>
              <w:top w:val="single" w:sz="4" w:space="0" w:color="DDDDDD"/>
              <w:left w:val="single" w:sz="4" w:space="0" w:color="DDDDDD"/>
              <w:bottom w:val="single" w:sz="4" w:space="0" w:color="DDDDDD"/>
              <w:right w:val="single" w:sz="4" w:space="0" w:color="DDDDDD"/>
            </w:tcBorders>
          </w:tcPr>
          <w:p w14:paraId="71422B57" w14:textId="2A6F1F9E" w:rsidR="00121919" w:rsidRPr="00B007DA" w:rsidRDefault="00B007DA">
            <w:pPr>
              <w:pStyle w:val="TableText"/>
              <w:rPr>
                <w:rFonts w:eastAsia="Calibri"/>
                <w:iCs/>
                <w:szCs w:val="20"/>
                <w:lang w:val="en-NZ"/>
              </w:rPr>
            </w:pPr>
            <w:r w:rsidRPr="00B007DA">
              <w:rPr>
                <w:rFonts w:eastAsia="Calibri"/>
                <w:iCs/>
                <w:szCs w:val="20"/>
                <w:lang w:val="en-NZ"/>
              </w:rPr>
              <w:t>Medium</w:t>
            </w:r>
          </w:p>
        </w:tc>
      </w:tr>
    </w:tbl>
    <w:p w14:paraId="08966AD3" w14:textId="77777777" w:rsidR="008B7720" w:rsidRDefault="008B7720">
      <w:pPr>
        <w:pStyle w:val="ListParagraph"/>
        <w:spacing w:before="120" w:after="0" w:line="240" w:lineRule="auto"/>
        <w:contextualSpacing w:val="0"/>
        <w:jc w:val="both"/>
        <w:rPr>
          <w:lang w:val="en-NZ"/>
        </w:rPr>
      </w:pPr>
    </w:p>
    <w:p w14:paraId="1A9CF40B" w14:textId="77777777" w:rsidR="004C755E" w:rsidRDefault="004C755E">
      <w:pPr>
        <w:spacing w:after="0" w:line="240" w:lineRule="auto"/>
        <w:rPr>
          <w:lang w:val="en-NZ"/>
        </w:rPr>
        <w:sectPr w:rsidR="004C755E" w:rsidSect="00150B2E">
          <w:pgSz w:w="16838" w:h="11906" w:orient="landscape" w:code="9"/>
          <w:pgMar w:top="1304" w:right="1134" w:bottom="1304" w:left="1134" w:header="720" w:footer="567" w:gutter="0"/>
          <w:cols w:space="720"/>
          <w:docGrid w:linePitch="326"/>
        </w:sectPr>
      </w:pPr>
    </w:p>
    <w:p w14:paraId="052D5CD5" w14:textId="77777777" w:rsidR="004C755E" w:rsidRPr="00A864A5" w:rsidRDefault="004C755E" w:rsidP="004C755E">
      <w:pPr>
        <w:pStyle w:val="Heading2"/>
      </w:pPr>
      <w:r w:rsidRPr="00A864A5">
        <w:t xml:space="preserve">Section </w:t>
      </w:r>
      <w:r>
        <w:t>3</w:t>
      </w:r>
      <w:r w:rsidRPr="00A864A5">
        <w:t xml:space="preserve">: </w:t>
      </w:r>
      <w:r>
        <w:t>Delivering an option</w:t>
      </w:r>
    </w:p>
    <w:p w14:paraId="77D8CE5A" w14:textId="58847A41" w:rsidR="006B5794" w:rsidRPr="00A864A5" w:rsidRDefault="00A16B89" w:rsidP="005F312F">
      <w:pPr>
        <w:pStyle w:val="Heading3"/>
        <w:spacing w:before="240"/>
      </w:pPr>
      <w:bookmarkStart w:id="42" w:name="_Toc93607265"/>
      <w:bookmarkStart w:id="43" w:name="_Toc93608036"/>
      <w:bookmarkStart w:id="44" w:name="_Toc93609728"/>
      <w:bookmarkEnd w:id="39"/>
      <w:bookmarkEnd w:id="40"/>
      <w:bookmarkEnd w:id="41"/>
      <w:r w:rsidRPr="00A864A5">
        <w:t xml:space="preserve">How will </w:t>
      </w:r>
      <w:r w:rsidR="003A6757">
        <w:t xml:space="preserve">the </w:t>
      </w:r>
      <w:r w:rsidR="005F41A2">
        <w:t>new arrangements be implemented</w:t>
      </w:r>
      <w:r w:rsidRPr="00A864A5">
        <w:t>?</w:t>
      </w:r>
      <w:bookmarkEnd w:id="42"/>
      <w:bookmarkEnd w:id="43"/>
      <w:bookmarkEnd w:id="44"/>
    </w:p>
    <w:p w14:paraId="0C569A38" w14:textId="0B8FCFEE" w:rsidR="00200BDC" w:rsidRPr="007B07C9" w:rsidRDefault="001F515C" w:rsidP="007D6067">
      <w:pPr>
        <w:pStyle w:val="ListParagraph"/>
        <w:numPr>
          <w:ilvl w:val="0"/>
          <w:numId w:val="9"/>
        </w:numPr>
        <w:spacing w:before="180"/>
        <w:ind w:left="567" w:hanging="567"/>
        <w:contextualSpacing w:val="0"/>
        <w:jc w:val="both"/>
        <w:rPr>
          <w:lang w:val="en-NZ"/>
        </w:rPr>
      </w:pPr>
      <w:r>
        <w:rPr>
          <w:lang w:val="en-NZ"/>
        </w:rPr>
        <w:t>The proposed minimum standards will be set by</w:t>
      </w:r>
      <w:r w:rsidR="009811BF">
        <w:rPr>
          <w:lang w:val="en-NZ"/>
        </w:rPr>
        <w:t xml:space="preserve"> an</w:t>
      </w:r>
      <w:r>
        <w:rPr>
          <w:lang w:val="en-NZ"/>
        </w:rPr>
        <w:t xml:space="preserve"> </w:t>
      </w:r>
      <w:r w:rsidR="0066345F">
        <w:rPr>
          <w:lang w:val="en-NZ"/>
        </w:rPr>
        <w:t>OIC</w:t>
      </w:r>
      <w:r>
        <w:rPr>
          <w:lang w:val="en-NZ"/>
        </w:rPr>
        <w:t xml:space="preserve"> made under section 21C of the TAA. </w:t>
      </w:r>
      <w:r w:rsidR="0066345F">
        <w:rPr>
          <w:lang w:val="en-NZ"/>
        </w:rPr>
        <w:t xml:space="preserve">After the </w:t>
      </w:r>
      <w:r w:rsidR="008B3437">
        <w:rPr>
          <w:lang w:val="en-NZ"/>
        </w:rPr>
        <w:t xml:space="preserve">OIC </w:t>
      </w:r>
      <w:r w:rsidR="0066345F">
        <w:rPr>
          <w:lang w:val="en-NZ"/>
        </w:rPr>
        <w:t xml:space="preserve">is made, </w:t>
      </w:r>
      <w:r w:rsidR="00DA49B5">
        <w:rPr>
          <w:lang w:val="en-NZ"/>
        </w:rPr>
        <w:t xml:space="preserve">it will be published in the </w:t>
      </w:r>
      <w:r w:rsidR="00DA49B5">
        <w:rPr>
          <w:i/>
          <w:iCs/>
          <w:lang w:val="en-NZ"/>
        </w:rPr>
        <w:t>Gazette</w:t>
      </w:r>
      <w:r w:rsidR="00DA49B5">
        <w:rPr>
          <w:lang w:val="en-NZ"/>
        </w:rPr>
        <w:t xml:space="preserve"> and officials will include details of the new minimum standards in a </w:t>
      </w:r>
      <w:r w:rsidR="00DA49B5">
        <w:rPr>
          <w:i/>
          <w:iCs/>
          <w:lang w:val="en-NZ"/>
        </w:rPr>
        <w:t>Tax Information Bulletin</w:t>
      </w:r>
      <w:r w:rsidR="00DA49B5">
        <w:rPr>
          <w:lang w:val="en-NZ"/>
        </w:rPr>
        <w:t>.</w:t>
      </w:r>
      <w:r w:rsidR="009D3231">
        <w:rPr>
          <w:lang w:val="en-NZ"/>
        </w:rPr>
        <w:t xml:space="preserve"> </w:t>
      </w:r>
    </w:p>
    <w:p w14:paraId="2768F2A1" w14:textId="698425D2" w:rsidR="001F515C" w:rsidRPr="007B07C9" w:rsidRDefault="00200BDC" w:rsidP="007D6067">
      <w:pPr>
        <w:pStyle w:val="ListParagraph"/>
        <w:numPr>
          <w:ilvl w:val="0"/>
          <w:numId w:val="9"/>
        </w:numPr>
        <w:spacing w:before="180"/>
        <w:ind w:left="567" w:hanging="567"/>
        <w:contextualSpacing w:val="0"/>
        <w:jc w:val="both"/>
        <w:rPr>
          <w:lang w:val="en-NZ"/>
        </w:rPr>
      </w:pPr>
      <w:r>
        <w:rPr>
          <w:lang w:val="en-NZ"/>
        </w:rPr>
        <w:t xml:space="preserve">It is proposed that the OIC will come into force on 31 March 2022, applying for all income years that end on or after 31 March 2022. For trusts with an early balance date, the 2021–22 income year will be complete before the proposed minimum standards come into force. </w:t>
      </w:r>
      <w:r w:rsidR="00FB44BE">
        <w:rPr>
          <w:lang w:val="en-NZ"/>
        </w:rPr>
        <w:t>The proposed application date will</w:t>
      </w:r>
      <w:r>
        <w:rPr>
          <w:lang w:val="en-NZ"/>
        </w:rPr>
        <w:t xml:space="preserve"> ensure that the minimum standards do not retrospectively impose reporting obligations on trustees that have already filed returns</w:t>
      </w:r>
      <w:r w:rsidR="00FB44BE">
        <w:rPr>
          <w:lang w:val="en-NZ"/>
        </w:rPr>
        <w:t>. That is</w:t>
      </w:r>
      <w:r>
        <w:rPr>
          <w:lang w:val="en-NZ"/>
        </w:rPr>
        <w:t>, the OIC will</w:t>
      </w:r>
      <w:r w:rsidR="00FB44BE">
        <w:rPr>
          <w:lang w:val="en-NZ"/>
        </w:rPr>
        <w:t xml:space="preserve"> apply to trusts with a standard or late balance date for the 2021–22 income year and </w:t>
      </w:r>
      <w:r w:rsidR="000362D6">
        <w:rPr>
          <w:lang w:val="en-NZ"/>
        </w:rPr>
        <w:t xml:space="preserve">will apply to </w:t>
      </w:r>
      <w:r w:rsidR="00FB44BE" w:rsidRPr="009E137D">
        <w:rPr>
          <w:i/>
          <w:iCs/>
          <w:lang w:val="en-NZ"/>
        </w:rPr>
        <w:t>all</w:t>
      </w:r>
      <w:r w:rsidR="00FB44BE">
        <w:rPr>
          <w:lang w:val="en-NZ"/>
        </w:rPr>
        <w:t xml:space="preserve"> domestic trusts subject to section 59BA for </w:t>
      </w:r>
      <w:r w:rsidR="00841150">
        <w:rPr>
          <w:lang w:val="en-NZ"/>
        </w:rPr>
        <w:t xml:space="preserve">the 2022–23 and </w:t>
      </w:r>
      <w:r w:rsidR="00FB44BE">
        <w:rPr>
          <w:lang w:val="en-NZ"/>
        </w:rPr>
        <w:t>later income years.</w:t>
      </w:r>
    </w:p>
    <w:p w14:paraId="3ED15D7E" w14:textId="4C25AA86" w:rsidR="001E5A9E" w:rsidRPr="007B07C9" w:rsidRDefault="001E5A9E" w:rsidP="007D6067">
      <w:pPr>
        <w:pStyle w:val="ListParagraph"/>
        <w:numPr>
          <w:ilvl w:val="0"/>
          <w:numId w:val="9"/>
        </w:numPr>
        <w:spacing w:before="180"/>
        <w:ind w:left="567" w:hanging="567"/>
        <w:contextualSpacing w:val="0"/>
        <w:jc w:val="both"/>
        <w:rPr>
          <w:lang w:val="en-NZ"/>
        </w:rPr>
      </w:pPr>
      <w:r w:rsidRPr="00C32AE8">
        <w:rPr>
          <w:lang w:val="en-NZ"/>
        </w:rPr>
        <w:t xml:space="preserve">Inland Revenue undertook public consultation on a draft Operational Statement in 2021 covering how the Commissioner will apply the new disclosure requirements in section 59BA of the TAA. The Operational Statement will </w:t>
      </w:r>
      <w:r>
        <w:rPr>
          <w:lang w:val="en-NZ"/>
        </w:rPr>
        <w:t>provide</w:t>
      </w:r>
      <w:r w:rsidRPr="00C32AE8">
        <w:rPr>
          <w:lang w:val="en-NZ"/>
        </w:rPr>
        <w:t xml:space="preserve"> guidance </w:t>
      </w:r>
      <w:r>
        <w:rPr>
          <w:lang w:val="en-NZ"/>
        </w:rPr>
        <w:t>to assist trustees</w:t>
      </w:r>
      <w:r w:rsidRPr="00C32AE8">
        <w:rPr>
          <w:lang w:val="en-NZ"/>
        </w:rPr>
        <w:t xml:space="preserve"> with their reporting obligations under section 59BA, including the minimum standards set by OIC. The finalised Operational Statement is expected to be published in March 202</w:t>
      </w:r>
      <w:r w:rsidR="00613190">
        <w:rPr>
          <w:lang w:val="en-NZ"/>
        </w:rPr>
        <w:t>2</w:t>
      </w:r>
      <w:r w:rsidRPr="00C32AE8">
        <w:rPr>
          <w:lang w:val="en-NZ"/>
        </w:rPr>
        <w:t>.</w:t>
      </w:r>
    </w:p>
    <w:p w14:paraId="00C81F75" w14:textId="69282C6C" w:rsidR="00C32AE8" w:rsidRPr="007B07C9" w:rsidRDefault="00B72CF3" w:rsidP="007D6067">
      <w:pPr>
        <w:pStyle w:val="ListParagraph"/>
        <w:numPr>
          <w:ilvl w:val="0"/>
          <w:numId w:val="9"/>
        </w:numPr>
        <w:spacing w:before="180"/>
        <w:ind w:left="567" w:hanging="567"/>
        <w:contextualSpacing w:val="0"/>
        <w:jc w:val="both"/>
        <w:rPr>
          <w:lang w:val="en-NZ"/>
        </w:rPr>
      </w:pPr>
      <w:r>
        <w:rPr>
          <w:lang w:val="en-NZ"/>
        </w:rPr>
        <w:t xml:space="preserve">Inland Revenue is undertaking a comprehensive communications </w:t>
      </w:r>
      <w:r w:rsidR="00530F4B">
        <w:rPr>
          <w:lang w:val="en-NZ"/>
        </w:rPr>
        <w:t>approach to the new disclosure requirements.</w:t>
      </w:r>
      <w:r w:rsidR="001375CA">
        <w:rPr>
          <w:lang w:val="en-NZ"/>
        </w:rPr>
        <w:t xml:space="preserve"> This includes </w:t>
      </w:r>
      <w:r w:rsidR="00821FAF">
        <w:rPr>
          <w:lang w:val="en-NZ"/>
        </w:rPr>
        <w:t xml:space="preserve">presentations </w:t>
      </w:r>
      <w:r w:rsidR="001375CA">
        <w:rPr>
          <w:lang w:val="en-NZ"/>
        </w:rPr>
        <w:t>for relevant stakeholders</w:t>
      </w:r>
      <w:r w:rsidR="00887A39">
        <w:rPr>
          <w:lang w:val="en-NZ"/>
        </w:rPr>
        <w:t xml:space="preserve"> and</w:t>
      </w:r>
      <w:r w:rsidR="00821FAF">
        <w:rPr>
          <w:lang w:val="en-NZ"/>
        </w:rPr>
        <w:t xml:space="preserve"> sharing key information and promoting resources via newsletters and email communications</w:t>
      </w:r>
      <w:r w:rsidR="00887A39">
        <w:rPr>
          <w:lang w:val="en-NZ"/>
        </w:rPr>
        <w:t>.</w:t>
      </w:r>
    </w:p>
    <w:p w14:paraId="36988579" w14:textId="59FBF08E" w:rsidR="00AC3317" w:rsidRDefault="001E5A9E" w:rsidP="007D6067">
      <w:pPr>
        <w:pStyle w:val="ListParagraph"/>
        <w:numPr>
          <w:ilvl w:val="0"/>
          <w:numId w:val="9"/>
        </w:numPr>
        <w:spacing w:before="180"/>
        <w:ind w:left="567" w:hanging="567"/>
        <w:contextualSpacing w:val="0"/>
        <w:jc w:val="both"/>
        <w:rPr>
          <w:lang w:val="en-NZ"/>
        </w:rPr>
      </w:pPr>
      <w:r>
        <w:rPr>
          <w:lang w:val="en-NZ"/>
        </w:rPr>
        <w:t xml:space="preserve">Inland Revenue has been working with stakeholders and software providers on the implementation of the new disclosure rules. </w:t>
      </w:r>
      <w:r w:rsidR="00AC3317">
        <w:rPr>
          <w:lang w:val="en-NZ"/>
        </w:rPr>
        <w:t>The propos</w:t>
      </w:r>
      <w:r w:rsidR="00C5025C">
        <w:rPr>
          <w:lang w:val="en-NZ"/>
        </w:rPr>
        <w:t>ed</w:t>
      </w:r>
      <w:r w:rsidR="0067029C">
        <w:rPr>
          <w:lang w:val="en-NZ"/>
        </w:rPr>
        <w:t xml:space="preserve"> minimum standards </w:t>
      </w:r>
      <w:r>
        <w:rPr>
          <w:lang w:val="en-NZ"/>
        </w:rPr>
        <w:t>to be set by O</w:t>
      </w:r>
      <w:r w:rsidR="0027511F">
        <w:rPr>
          <w:lang w:val="en-NZ"/>
        </w:rPr>
        <w:t>IC</w:t>
      </w:r>
      <w:r>
        <w:rPr>
          <w:lang w:val="en-NZ"/>
        </w:rPr>
        <w:t xml:space="preserve"> </w:t>
      </w:r>
      <w:r w:rsidR="0067029C">
        <w:rPr>
          <w:lang w:val="en-NZ"/>
        </w:rPr>
        <w:t>will have minimal implementation or systems implications for Inland Revenue.</w:t>
      </w:r>
    </w:p>
    <w:p w14:paraId="5AA39C72" w14:textId="19F3185C" w:rsidR="006B5794" w:rsidRPr="00A864A5" w:rsidRDefault="0099086E" w:rsidP="005F312F">
      <w:pPr>
        <w:pStyle w:val="Heading3"/>
        <w:spacing w:before="240"/>
      </w:pPr>
      <w:bookmarkStart w:id="45" w:name="_Toc93607266"/>
      <w:bookmarkStart w:id="46" w:name="_Toc93608037"/>
      <w:bookmarkStart w:id="47" w:name="_Toc93609729"/>
      <w:r>
        <w:t xml:space="preserve">How will </w:t>
      </w:r>
      <w:r w:rsidR="003A6757">
        <w:t xml:space="preserve">the </w:t>
      </w:r>
      <w:r w:rsidR="005F41A2">
        <w:t>new arrangements be m</w:t>
      </w:r>
      <w:r w:rsidR="005F41A2" w:rsidRPr="00A864A5">
        <w:t>onitor</w:t>
      </w:r>
      <w:r w:rsidR="005F41A2">
        <w:t>ed</w:t>
      </w:r>
      <w:r w:rsidR="005F41A2" w:rsidRPr="00A864A5">
        <w:t xml:space="preserve">, </w:t>
      </w:r>
      <w:r w:rsidR="005F41A2">
        <w:t>e</w:t>
      </w:r>
      <w:r w:rsidR="005F41A2" w:rsidRPr="00A864A5">
        <w:t>valuat</w:t>
      </w:r>
      <w:r w:rsidR="005F41A2">
        <w:t>ed</w:t>
      </w:r>
      <w:r w:rsidR="005F41A2" w:rsidRPr="00A864A5">
        <w:t xml:space="preserve">, and </w:t>
      </w:r>
      <w:r w:rsidR="005F41A2">
        <w:t>r</w:t>
      </w:r>
      <w:r w:rsidR="005F41A2" w:rsidRPr="00A864A5">
        <w:t>eview</w:t>
      </w:r>
      <w:r w:rsidR="005F41A2">
        <w:t>ed</w:t>
      </w:r>
      <w:r>
        <w:t>?</w:t>
      </w:r>
      <w:bookmarkEnd w:id="45"/>
      <w:bookmarkEnd w:id="46"/>
      <w:bookmarkEnd w:id="47"/>
    </w:p>
    <w:p w14:paraId="2AD0434E" w14:textId="0EDECC89" w:rsidR="00A14D2B" w:rsidRDefault="007564F9" w:rsidP="005F312F">
      <w:pPr>
        <w:pStyle w:val="ListParagraph"/>
        <w:numPr>
          <w:ilvl w:val="0"/>
          <w:numId w:val="9"/>
        </w:numPr>
        <w:spacing w:before="180"/>
        <w:ind w:left="567" w:hanging="567"/>
        <w:jc w:val="both"/>
        <w:rPr>
          <w:lang w:val="en-NZ"/>
        </w:rPr>
      </w:pPr>
      <w:r>
        <w:rPr>
          <w:lang w:val="en-NZ"/>
        </w:rPr>
        <w:t>T</w:t>
      </w:r>
      <w:r w:rsidR="00A14D2B" w:rsidRPr="00A14D2B">
        <w:rPr>
          <w:lang w:val="en-NZ"/>
        </w:rPr>
        <w:t xml:space="preserve">he November 2020 RIA for the new </w:t>
      </w:r>
      <w:r w:rsidR="00191E06">
        <w:rPr>
          <w:lang w:val="en-NZ"/>
        </w:rPr>
        <w:t>39%</w:t>
      </w:r>
      <w:r w:rsidR="00A14D2B" w:rsidRPr="00A14D2B">
        <w:rPr>
          <w:lang w:val="en-NZ"/>
        </w:rPr>
        <w:t xml:space="preserve"> </w:t>
      </w:r>
      <w:r w:rsidR="00CD23B9" w:rsidRPr="00A14D2B">
        <w:rPr>
          <w:lang w:val="en-NZ"/>
        </w:rPr>
        <w:t xml:space="preserve">rate referred to a post-implementation review of the increased </w:t>
      </w:r>
      <w:r w:rsidR="00191E06">
        <w:rPr>
          <w:lang w:val="en-NZ"/>
        </w:rPr>
        <w:t xml:space="preserve">trust </w:t>
      </w:r>
      <w:r w:rsidR="00CD23B9" w:rsidRPr="00A14D2B">
        <w:rPr>
          <w:lang w:val="en-NZ"/>
        </w:rPr>
        <w:t>disclosure rules in</w:t>
      </w:r>
      <w:r w:rsidR="00A14D2B" w:rsidRPr="00A14D2B">
        <w:rPr>
          <w:lang w:val="en-NZ"/>
        </w:rPr>
        <w:t xml:space="preserve"> 2021</w:t>
      </w:r>
      <w:r w:rsidR="00191E06">
        <w:rPr>
          <w:lang w:val="en-NZ"/>
        </w:rPr>
        <w:t>.</w:t>
      </w:r>
      <w:r>
        <w:rPr>
          <w:rStyle w:val="FootnoteReference"/>
          <w:lang w:val="en-NZ"/>
        </w:rPr>
        <w:footnoteReference w:id="15"/>
      </w:r>
      <w:r w:rsidR="00A14D2B" w:rsidRPr="00A14D2B">
        <w:rPr>
          <w:lang w:val="en-NZ"/>
        </w:rPr>
        <w:t xml:space="preserve"> </w:t>
      </w:r>
      <w:r w:rsidR="009667CB">
        <w:rPr>
          <w:lang w:val="en-NZ"/>
        </w:rPr>
        <w:t>Officials</w:t>
      </w:r>
      <w:r w:rsidR="009667CB" w:rsidRPr="485B7FBE">
        <w:rPr>
          <w:lang w:val="en-NZ"/>
        </w:rPr>
        <w:t xml:space="preserve"> consider</w:t>
      </w:r>
      <w:r w:rsidR="009667CB">
        <w:rPr>
          <w:lang w:val="en-NZ"/>
        </w:rPr>
        <w:t xml:space="preserve"> that a</w:t>
      </w:r>
      <w:r w:rsidR="009667CB" w:rsidRPr="00A14D2B">
        <w:rPr>
          <w:lang w:val="en-NZ"/>
        </w:rPr>
        <w:t xml:space="preserve"> comprehensive post-implementation review would not be feasible</w:t>
      </w:r>
      <w:r w:rsidR="00A14D2B" w:rsidRPr="00A14D2B">
        <w:rPr>
          <w:lang w:val="en-NZ"/>
        </w:rPr>
        <w:t xml:space="preserve"> until after the first full year of income tax returns are filed under the new legislation.</w:t>
      </w:r>
      <w:r w:rsidR="00A14D2B">
        <w:rPr>
          <w:lang w:val="en-NZ"/>
        </w:rPr>
        <w:t xml:space="preserve"> Trustees with tax agents have until 31 March 2023 to file their returns for the </w:t>
      </w:r>
      <w:r w:rsidR="00191E06">
        <w:rPr>
          <w:lang w:val="en-NZ"/>
        </w:rPr>
        <w:t>2021</w:t>
      </w:r>
      <w:r w:rsidR="00A14D2B">
        <w:rPr>
          <w:lang w:val="en-NZ"/>
        </w:rPr>
        <w:t>–</w:t>
      </w:r>
      <w:r w:rsidR="00191E06">
        <w:rPr>
          <w:lang w:val="en-NZ"/>
        </w:rPr>
        <w:t xml:space="preserve">22 </w:t>
      </w:r>
      <w:r w:rsidR="00A14D2B">
        <w:rPr>
          <w:lang w:val="en-NZ"/>
        </w:rPr>
        <w:t>income year.</w:t>
      </w:r>
    </w:p>
    <w:p w14:paraId="72DA1400" w14:textId="77777777" w:rsidR="00A14D2B" w:rsidRDefault="00A14D2B" w:rsidP="005F312F">
      <w:pPr>
        <w:pStyle w:val="ListParagraph"/>
        <w:spacing w:before="180"/>
        <w:jc w:val="both"/>
        <w:rPr>
          <w:lang w:val="en-NZ"/>
        </w:rPr>
      </w:pPr>
    </w:p>
    <w:p w14:paraId="59C38634" w14:textId="153C2099" w:rsidR="008321F8" w:rsidRPr="00952909" w:rsidRDefault="00500FAB" w:rsidP="005F312F">
      <w:pPr>
        <w:pStyle w:val="ListParagraph"/>
        <w:numPr>
          <w:ilvl w:val="0"/>
          <w:numId w:val="9"/>
        </w:numPr>
        <w:spacing w:before="180"/>
        <w:ind w:left="567" w:hanging="567"/>
        <w:jc w:val="both"/>
        <w:rPr>
          <w:lang w:val="en-NZ"/>
        </w:rPr>
      </w:pPr>
      <w:r w:rsidRPr="00952909">
        <w:rPr>
          <w:lang w:val="en-NZ"/>
        </w:rPr>
        <w:t xml:space="preserve">Officials will undertake a post-implementation review of the </w:t>
      </w:r>
      <w:r w:rsidR="00A14D2B" w:rsidRPr="00952909">
        <w:rPr>
          <w:lang w:val="en-NZ"/>
        </w:rPr>
        <w:t xml:space="preserve">disclosure rules in section 59BA of the TAA, and the </w:t>
      </w:r>
      <w:r w:rsidRPr="00952909">
        <w:rPr>
          <w:lang w:val="en-NZ"/>
        </w:rPr>
        <w:t xml:space="preserve">minimum standards </w:t>
      </w:r>
      <w:r w:rsidR="00A14D2B" w:rsidRPr="00952909">
        <w:rPr>
          <w:lang w:val="en-NZ"/>
        </w:rPr>
        <w:t xml:space="preserve">set by </w:t>
      </w:r>
      <w:r w:rsidR="00340187" w:rsidRPr="00952909">
        <w:rPr>
          <w:lang w:val="en-NZ"/>
        </w:rPr>
        <w:t>OIC</w:t>
      </w:r>
      <w:r w:rsidR="00A14D2B" w:rsidRPr="00952909">
        <w:rPr>
          <w:lang w:val="en-NZ"/>
        </w:rPr>
        <w:t xml:space="preserve">, </w:t>
      </w:r>
      <w:r w:rsidR="008E4FB2">
        <w:rPr>
          <w:lang w:val="en-NZ"/>
        </w:rPr>
        <w:t>in</w:t>
      </w:r>
      <w:r w:rsidR="00A14D2B" w:rsidRPr="00952909">
        <w:rPr>
          <w:lang w:val="en-NZ"/>
        </w:rPr>
        <w:t xml:space="preserve"> 2023. This will allow officials to consider the impact of the increased disclosure rules and minimum standards </w:t>
      </w:r>
      <w:r w:rsidR="001F515C" w:rsidRPr="00952909">
        <w:rPr>
          <w:lang w:val="en-NZ"/>
        </w:rPr>
        <w:t xml:space="preserve">based on a full year of returns. This review will consider how compliance costs can be reduced and </w:t>
      </w:r>
      <w:r w:rsidR="00A14D2B" w:rsidRPr="00952909">
        <w:rPr>
          <w:lang w:val="en-NZ"/>
        </w:rPr>
        <w:t>whether the benefits of the increased information disclosure rules justify the compliance costs imposed on trustees</w:t>
      </w:r>
      <w:r w:rsidR="001F515C" w:rsidRPr="00952909">
        <w:rPr>
          <w:lang w:val="en-NZ"/>
        </w:rPr>
        <w:t>.</w:t>
      </w:r>
    </w:p>
    <w:p w14:paraId="2539283C" w14:textId="77777777" w:rsidR="00D63A87" w:rsidRDefault="00D63A87">
      <w:pPr>
        <w:spacing w:after="0" w:line="240" w:lineRule="auto"/>
        <w:rPr>
          <w:lang w:val="en-NZ"/>
        </w:rPr>
        <w:sectPr w:rsidR="00D63A87" w:rsidSect="00D63A87">
          <w:pgSz w:w="11906" w:h="16838" w:code="9"/>
          <w:pgMar w:top="1134" w:right="1304" w:bottom="1134" w:left="1304" w:header="720" w:footer="567" w:gutter="0"/>
          <w:cols w:space="720"/>
          <w:docGrid w:linePitch="326"/>
        </w:sectPr>
      </w:pPr>
    </w:p>
    <w:p w14:paraId="5396CA85" w14:textId="3173046B" w:rsidR="00CE46B4" w:rsidRPr="0024561D" w:rsidRDefault="00CE46B4" w:rsidP="00CE46B4">
      <w:pPr>
        <w:pStyle w:val="Heading2"/>
      </w:pPr>
      <w:r w:rsidRPr="0024561D">
        <w:t>Appendix</w:t>
      </w:r>
      <w:r>
        <w:t xml:space="preserve"> </w:t>
      </w:r>
      <w:r w:rsidR="00730874">
        <w:t>A</w:t>
      </w:r>
      <w:r w:rsidRPr="0024561D">
        <w:t xml:space="preserve">: </w:t>
      </w:r>
      <w:r w:rsidR="00EE7FA6">
        <w:t>S</w:t>
      </w:r>
      <w:r>
        <w:t xml:space="preserve">ummary of </w:t>
      </w:r>
      <w:r w:rsidR="00EE7FA6">
        <w:t>further technical issues</w:t>
      </w:r>
    </w:p>
    <w:p w14:paraId="65CB48CE" w14:textId="422D00CB" w:rsidR="008D1733" w:rsidRDefault="00604754" w:rsidP="005F312F">
      <w:pPr>
        <w:pStyle w:val="ListParagraph"/>
        <w:numPr>
          <w:ilvl w:val="0"/>
          <w:numId w:val="9"/>
        </w:numPr>
        <w:spacing w:before="180" w:line="240" w:lineRule="auto"/>
        <w:ind w:left="567" w:hanging="567"/>
        <w:contextualSpacing w:val="0"/>
        <w:jc w:val="both"/>
      </w:pPr>
      <w:r w:rsidRPr="00A31035">
        <w:t xml:space="preserve">This appendix contains </w:t>
      </w:r>
      <w:r w:rsidR="004D43C1" w:rsidRPr="00A31035">
        <w:t xml:space="preserve">analysis of further technical issues </w:t>
      </w:r>
      <w:r w:rsidR="00A31035" w:rsidRPr="00A31035">
        <w:t xml:space="preserve">with the proposed minimum standards </w:t>
      </w:r>
      <w:r w:rsidR="004D43C1" w:rsidRPr="00A31035">
        <w:t xml:space="preserve">not covered in the </w:t>
      </w:r>
      <w:r w:rsidR="0051287D">
        <w:t>RIS</w:t>
      </w:r>
      <w:r w:rsidR="004D43C1" w:rsidRPr="00A31035">
        <w:t xml:space="preserve">. </w:t>
      </w:r>
      <w:r w:rsidR="00B103BE" w:rsidRPr="00A31035">
        <w:t xml:space="preserve">The summaries below outline </w:t>
      </w:r>
      <w:r w:rsidR="00A31035" w:rsidRPr="00A31035">
        <w:t xml:space="preserve">the </w:t>
      </w:r>
      <w:r w:rsidR="00345F0F" w:rsidRPr="00A31035">
        <w:t>original proposals, feedback from submissions and officials’ analysis.</w:t>
      </w:r>
      <w:r w:rsidR="00A31035" w:rsidRPr="00A31035">
        <w:t xml:space="preserve"> This analysis has been included for transparency and completeness.</w:t>
      </w:r>
    </w:p>
    <w:p w14:paraId="2AC879D9" w14:textId="6756AACA" w:rsidR="00DA7E9F" w:rsidRPr="00FC42E8" w:rsidRDefault="00FC42E8" w:rsidP="005F312F">
      <w:pPr>
        <w:spacing w:before="180" w:line="240" w:lineRule="auto"/>
        <w:jc w:val="both"/>
        <w:rPr>
          <w:b/>
          <w:bCs/>
        </w:rPr>
      </w:pPr>
      <w:r w:rsidRPr="00FC42E8">
        <w:rPr>
          <w:b/>
          <w:bCs/>
        </w:rPr>
        <w:t>Valuations</w:t>
      </w:r>
    </w:p>
    <w:p w14:paraId="1C182F8E" w14:textId="23A0846A" w:rsidR="00A61309" w:rsidRDefault="00D52497" w:rsidP="005F312F">
      <w:pPr>
        <w:pStyle w:val="ListParagraph"/>
        <w:numPr>
          <w:ilvl w:val="0"/>
          <w:numId w:val="9"/>
        </w:numPr>
        <w:spacing w:before="180" w:line="240" w:lineRule="auto"/>
        <w:ind w:left="567" w:hanging="567"/>
        <w:contextualSpacing w:val="0"/>
        <w:jc w:val="both"/>
      </w:pPr>
      <w:r>
        <w:t xml:space="preserve">Officials originally considered </w:t>
      </w:r>
      <w:r w:rsidR="00E53AD2">
        <w:t>adopting the valuation approach for financial statements prepared by companies, where a</w:t>
      </w:r>
      <w:r w:rsidR="007037BB">
        <w:t xml:space="preserve"> hierarchy of valuation methods is prescribed (the first being tax v</w:t>
      </w:r>
      <w:r w:rsidR="00C5751F">
        <w:t>a</w:t>
      </w:r>
      <w:r w:rsidR="007037BB">
        <w:t>lues, the second being historical cost and the third being market values if it gives a better basis of valuation</w:t>
      </w:r>
      <w:r w:rsidR="00C5751F">
        <w:t>)</w:t>
      </w:r>
      <w:r w:rsidR="007037BB">
        <w:t>.</w:t>
      </w:r>
    </w:p>
    <w:p w14:paraId="0C23AB7A" w14:textId="10EF72E6" w:rsidR="00C950DB" w:rsidRDefault="00C5751F" w:rsidP="005F312F">
      <w:pPr>
        <w:pStyle w:val="ListParagraph"/>
        <w:numPr>
          <w:ilvl w:val="0"/>
          <w:numId w:val="9"/>
        </w:numPr>
        <w:spacing w:before="180" w:line="240" w:lineRule="auto"/>
        <w:ind w:left="567" w:hanging="567"/>
        <w:contextualSpacing w:val="0"/>
        <w:jc w:val="both"/>
      </w:pPr>
      <w:r>
        <w:t>Some submitters recommended removing the hierarchy and aligning with the approach for foreign trust</w:t>
      </w:r>
      <w:r w:rsidR="00B27724">
        <w:t xml:space="preserve">s – which allows foreign trusts to choose, without restriction, whether to </w:t>
      </w:r>
      <w:r w:rsidR="00C950DB">
        <w:t>use tax values, historical cost or market values.</w:t>
      </w:r>
      <w:r w:rsidR="00DF7B38">
        <w:t xml:space="preserve"> </w:t>
      </w:r>
      <w:r w:rsidR="007037BB">
        <w:t xml:space="preserve">Officials agree with </w:t>
      </w:r>
      <w:r w:rsidR="00C950DB">
        <w:t xml:space="preserve">submitters that it is </w:t>
      </w:r>
      <w:r w:rsidR="00494AA9">
        <w:t>appropriate to align the valuation approach for domestic trusts and foreign trusts</w:t>
      </w:r>
      <w:r w:rsidR="00802F6A">
        <w:t xml:space="preserve"> and not prescribe a hierarchy.</w:t>
      </w:r>
    </w:p>
    <w:p w14:paraId="57AF3534" w14:textId="28128262" w:rsidR="00BB5D56" w:rsidRPr="00802F6A" w:rsidRDefault="00BB5D56" w:rsidP="005F312F">
      <w:pPr>
        <w:spacing w:before="180" w:line="240" w:lineRule="auto"/>
        <w:jc w:val="both"/>
        <w:rPr>
          <w:b/>
          <w:bCs/>
        </w:rPr>
      </w:pPr>
      <w:r w:rsidRPr="00802F6A">
        <w:rPr>
          <w:b/>
          <w:bCs/>
        </w:rPr>
        <w:t>Associated person disclosures</w:t>
      </w:r>
    </w:p>
    <w:p w14:paraId="0EBFD01B" w14:textId="213C9CEC" w:rsidR="00A61309" w:rsidRPr="006C21F4" w:rsidRDefault="00E14D47" w:rsidP="005F312F">
      <w:pPr>
        <w:pStyle w:val="ListParagraph"/>
        <w:numPr>
          <w:ilvl w:val="0"/>
          <w:numId w:val="9"/>
        </w:numPr>
        <w:spacing w:before="180" w:line="240" w:lineRule="auto"/>
        <w:ind w:left="567" w:hanging="567"/>
        <w:contextualSpacing w:val="0"/>
        <w:jc w:val="both"/>
      </w:pPr>
      <w:r w:rsidRPr="006C21F4">
        <w:t xml:space="preserve">During public consultation in 2021 officials proposed </w:t>
      </w:r>
      <w:r w:rsidR="0000745A" w:rsidRPr="006C21F4">
        <w:t xml:space="preserve">that </w:t>
      </w:r>
      <w:r w:rsidRPr="006C21F4">
        <w:t xml:space="preserve">all </w:t>
      </w:r>
      <w:r w:rsidR="0000745A" w:rsidRPr="006C21F4">
        <w:t xml:space="preserve">trusts </w:t>
      </w:r>
      <w:r w:rsidRPr="006C21F4">
        <w:t>subject to the disclos</w:t>
      </w:r>
      <w:r w:rsidR="0096676B">
        <w:t>ur</w:t>
      </w:r>
      <w:r w:rsidRPr="006C21F4">
        <w:t>e rules</w:t>
      </w:r>
      <w:r w:rsidR="0000745A" w:rsidRPr="006C21F4">
        <w:t xml:space="preserve"> must show associated persons transactions</w:t>
      </w:r>
      <w:r w:rsidR="00BC3A15" w:rsidRPr="006C21F4">
        <w:t xml:space="preserve"> in their financial statements unless the transaction is minor and incidental.</w:t>
      </w:r>
      <w:r w:rsidR="00195CB2" w:rsidRPr="006C21F4">
        <w:t xml:space="preserve"> </w:t>
      </w:r>
      <w:r w:rsidR="0040050B" w:rsidRPr="006C21F4">
        <w:t>It was proposed that f</w:t>
      </w:r>
      <w:r w:rsidR="00195CB2" w:rsidRPr="006C21F4">
        <w:t>or each disclosed transaction</w:t>
      </w:r>
      <w:r w:rsidR="0040050B" w:rsidRPr="006C21F4">
        <w:t>,</w:t>
      </w:r>
      <w:r w:rsidR="00195CB2" w:rsidRPr="006C21F4">
        <w:t xml:space="preserve"> certain matters must be disclosed</w:t>
      </w:r>
      <w:r w:rsidR="0040050B" w:rsidRPr="006C21F4">
        <w:t>,</w:t>
      </w:r>
      <w:r w:rsidR="00195CB2" w:rsidRPr="006C21F4">
        <w:t xml:space="preserve"> including</w:t>
      </w:r>
      <w:r w:rsidR="0040050B" w:rsidRPr="006C21F4">
        <w:t>:</w:t>
      </w:r>
    </w:p>
    <w:p w14:paraId="31D9436B" w14:textId="77777777" w:rsidR="0040050B" w:rsidRPr="006C21F4" w:rsidRDefault="00195CB2" w:rsidP="005F312F">
      <w:pPr>
        <w:pStyle w:val="ListParagraph"/>
        <w:numPr>
          <w:ilvl w:val="0"/>
          <w:numId w:val="43"/>
        </w:numPr>
        <w:spacing w:before="180" w:line="240" w:lineRule="auto"/>
        <w:ind w:left="1134" w:hanging="425"/>
        <w:contextualSpacing w:val="0"/>
        <w:jc w:val="both"/>
      </w:pPr>
      <w:r w:rsidRPr="006C21F4">
        <w:t>the name of the associated person and a description of the association,</w:t>
      </w:r>
    </w:p>
    <w:p w14:paraId="34AA64CD" w14:textId="77777777" w:rsidR="0040050B" w:rsidRPr="006C21F4" w:rsidRDefault="00195CB2" w:rsidP="005F312F">
      <w:pPr>
        <w:pStyle w:val="ListParagraph"/>
        <w:numPr>
          <w:ilvl w:val="0"/>
          <w:numId w:val="43"/>
        </w:numPr>
        <w:spacing w:before="180" w:line="240" w:lineRule="auto"/>
        <w:ind w:left="1134" w:hanging="425"/>
        <w:contextualSpacing w:val="0"/>
        <w:jc w:val="both"/>
      </w:pPr>
      <w:r w:rsidRPr="006C21F4">
        <w:t>information about interest expenses, loans, the cost of services, expenses incurred for rentals and intangible property, and</w:t>
      </w:r>
    </w:p>
    <w:p w14:paraId="503DF7D5" w14:textId="0A61CDFF" w:rsidR="00A61309" w:rsidRPr="006C21F4" w:rsidRDefault="00195CB2" w:rsidP="005F312F">
      <w:pPr>
        <w:pStyle w:val="ListParagraph"/>
        <w:numPr>
          <w:ilvl w:val="0"/>
          <w:numId w:val="43"/>
        </w:numPr>
        <w:spacing w:before="180" w:line="240" w:lineRule="auto"/>
        <w:ind w:left="1134" w:hanging="425"/>
        <w:contextualSpacing w:val="0"/>
        <w:jc w:val="both"/>
      </w:pPr>
      <w:r w:rsidRPr="006C21F4">
        <w:t xml:space="preserve">a reconciliation of movements in trust corpus, capital and loans or current accounts to and from beneficiaries, associated </w:t>
      </w:r>
      <w:proofErr w:type="gramStart"/>
      <w:r w:rsidRPr="006C21F4">
        <w:t>persons</w:t>
      </w:r>
      <w:proofErr w:type="gramEnd"/>
      <w:r w:rsidRPr="006C21F4">
        <w:t xml:space="preserve"> and appointers.</w:t>
      </w:r>
    </w:p>
    <w:p w14:paraId="1915DB28" w14:textId="09F975AC" w:rsidR="00A61309" w:rsidRDefault="007F0166" w:rsidP="005F312F">
      <w:pPr>
        <w:pStyle w:val="ListParagraph"/>
        <w:numPr>
          <w:ilvl w:val="0"/>
          <w:numId w:val="9"/>
        </w:numPr>
        <w:spacing w:before="180" w:line="240" w:lineRule="auto"/>
        <w:ind w:left="567" w:hanging="567"/>
        <w:contextualSpacing w:val="0"/>
        <w:jc w:val="both"/>
      </w:pPr>
      <w:r w:rsidRPr="006C21F4">
        <w:t xml:space="preserve">Submitters </w:t>
      </w:r>
      <w:r w:rsidR="00C9657A" w:rsidRPr="006C21F4">
        <w:t xml:space="preserve">in public consultation </w:t>
      </w:r>
      <w:r w:rsidR="009550BB">
        <w:t>noted</w:t>
      </w:r>
      <w:r w:rsidR="009550BB" w:rsidRPr="006C21F4">
        <w:t xml:space="preserve"> </w:t>
      </w:r>
      <w:r w:rsidR="00C9657A" w:rsidRPr="006C21F4">
        <w:t xml:space="preserve">that the proposed breakdown </w:t>
      </w:r>
      <w:r w:rsidR="009550BB">
        <w:t>was</w:t>
      </w:r>
      <w:r w:rsidR="009550BB" w:rsidRPr="006C21F4">
        <w:t xml:space="preserve"> </w:t>
      </w:r>
      <w:r w:rsidR="00C9657A" w:rsidRPr="006C21F4">
        <w:t>extensive</w:t>
      </w:r>
      <w:r w:rsidR="009550BB">
        <w:t xml:space="preserve"> and</w:t>
      </w:r>
      <w:r w:rsidR="00C9657A" w:rsidRPr="006C21F4">
        <w:t xml:space="preserve"> wide ranging </w:t>
      </w:r>
      <w:r w:rsidR="009550BB">
        <w:t xml:space="preserve">and providing it would be </w:t>
      </w:r>
      <w:r w:rsidR="00C9657A" w:rsidRPr="006C21F4">
        <w:t>time consuming and costly</w:t>
      </w:r>
      <w:r w:rsidR="00E14D47" w:rsidRPr="006C21F4">
        <w:t>.</w:t>
      </w:r>
      <w:r w:rsidR="00E720BE" w:rsidRPr="006C21F4">
        <w:t xml:space="preserve"> </w:t>
      </w:r>
      <w:r w:rsidR="00463A64" w:rsidRPr="006C21F4">
        <w:t xml:space="preserve">Officials </w:t>
      </w:r>
      <w:r w:rsidR="0058356A">
        <w:t xml:space="preserve">thus </w:t>
      </w:r>
      <w:r w:rsidR="00463A64" w:rsidRPr="006C21F4">
        <w:t xml:space="preserve">considered whether the definition of associated persons </w:t>
      </w:r>
      <w:r w:rsidR="00456F51" w:rsidRPr="006C21F4">
        <w:t xml:space="preserve">for the proposed minimum standards </w:t>
      </w:r>
      <w:r w:rsidR="00463A64" w:rsidRPr="006C21F4">
        <w:t>should be narrower than the general definition</w:t>
      </w:r>
      <w:r w:rsidR="00F154C3">
        <w:t xml:space="preserve"> in the Income Tax Act 2007 (ITA)</w:t>
      </w:r>
      <w:r w:rsidR="00463A64" w:rsidRPr="006C21F4">
        <w:t>.</w:t>
      </w:r>
    </w:p>
    <w:p w14:paraId="39E09243" w14:textId="1EF2C3FE" w:rsidR="00A61309" w:rsidRDefault="00463A64" w:rsidP="005F312F">
      <w:pPr>
        <w:pStyle w:val="ListParagraph"/>
        <w:numPr>
          <w:ilvl w:val="0"/>
          <w:numId w:val="9"/>
        </w:numPr>
        <w:spacing w:before="180" w:line="240" w:lineRule="auto"/>
        <w:ind w:left="567" w:hanging="567"/>
        <w:contextualSpacing w:val="0"/>
        <w:jc w:val="both"/>
      </w:pPr>
      <w:r w:rsidRPr="006C21F4">
        <w:t xml:space="preserve">For example, </w:t>
      </w:r>
      <w:r w:rsidR="0058356A">
        <w:t xml:space="preserve">the definition </w:t>
      </w:r>
      <w:r w:rsidRPr="006C21F4">
        <w:t>could be limited to sections YB 3 (company and 25% voting interest holder / 25% market value interest holder), YB 6 (trustee and beneficiary), YB 8 (trustee and settlor) and YB 9 (settlor and beneficiary)</w:t>
      </w:r>
      <w:r w:rsidR="00E720BE" w:rsidRPr="006C21F4">
        <w:t xml:space="preserve"> of the </w:t>
      </w:r>
      <w:r w:rsidR="0091700B" w:rsidRPr="006C21F4">
        <w:t>ITA</w:t>
      </w:r>
      <w:r w:rsidR="00E720BE" w:rsidRPr="006C21F4">
        <w:t>.</w:t>
      </w:r>
      <w:r w:rsidRPr="006C21F4">
        <w:t xml:space="preserve"> </w:t>
      </w:r>
      <w:r w:rsidR="00E720BE" w:rsidRPr="006C21F4">
        <w:t>A</w:t>
      </w:r>
      <w:r w:rsidRPr="006C21F4">
        <w:t>lternatively</w:t>
      </w:r>
      <w:r w:rsidR="00E720BE" w:rsidRPr="006C21F4">
        <w:t>,</w:t>
      </w:r>
      <w:r w:rsidRPr="006C21F4">
        <w:t xml:space="preserve"> it could be aligned with the narrower definition in the land provisions. Officials note that for the purposes of the prescribed forms, the “associated person” amounts rely on the general definition</w:t>
      </w:r>
      <w:r w:rsidR="0091700B" w:rsidRPr="006C21F4">
        <w:t xml:space="preserve"> in the </w:t>
      </w:r>
      <w:proofErr w:type="gramStart"/>
      <w:r w:rsidR="0091700B" w:rsidRPr="006C21F4">
        <w:t>ITA</w:t>
      </w:r>
      <w:proofErr w:type="gramEnd"/>
      <w:r w:rsidRPr="006C21F4">
        <w:t xml:space="preserve"> and this is explained in existing </w:t>
      </w:r>
      <w:r w:rsidR="0091700B" w:rsidRPr="006C21F4">
        <w:t>Inland Revenue</w:t>
      </w:r>
      <w:r w:rsidRPr="006C21F4">
        <w:t xml:space="preserve"> guidance.</w:t>
      </w:r>
      <w:r w:rsidRPr="006C21F4">
        <w:rPr>
          <w:rStyle w:val="FootnoteReference"/>
        </w:rPr>
        <w:footnoteReference w:id="16"/>
      </w:r>
      <w:r w:rsidRPr="006C21F4">
        <w:t xml:space="preserve"> </w:t>
      </w:r>
    </w:p>
    <w:p w14:paraId="60AF58BD" w14:textId="2E6FA364" w:rsidR="00802F6A" w:rsidRDefault="00463A64" w:rsidP="005F312F">
      <w:pPr>
        <w:pStyle w:val="ListParagraph"/>
        <w:numPr>
          <w:ilvl w:val="0"/>
          <w:numId w:val="9"/>
        </w:numPr>
        <w:spacing w:before="180" w:line="240" w:lineRule="auto"/>
        <w:ind w:left="567" w:hanging="567"/>
        <w:contextualSpacing w:val="0"/>
        <w:jc w:val="both"/>
      </w:pPr>
      <w:r w:rsidRPr="006C21F4">
        <w:t>Officials co</w:t>
      </w:r>
      <w:r w:rsidR="0091700B" w:rsidRPr="006C21F4">
        <w:t>nsider</w:t>
      </w:r>
      <w:r w:rsidRPr="006C21F4">
        <w:t xml:space="preserve"> that applying inconsistent definitions in the prescribed forms and the OIC would potentially result in confusion for trustees and would reduce the Commissioner’s ability to identify tax issues involving associated persons.</w:t>
      </w:r>
      <w:r w:rsidR="0091700B" w:rsidRPr="006C21F4">
        <w:t xml:space="preserve"> </w:t>
      </w:r>
      <w:r w:rsidRPr="006C21F4">
        <w:t xml:space="preserve">Officials </w:t>
      </w:r>
      <w:r w:rsidR="0091700B" w:rsidRPr="006C21F4">
        <w:t xml:space="preserve">recommend </w:t>
      </w:r>
      <w:r w:rsidRPr="006C21F4">
        <w:t>that the general definition</w:t>
      </w:r>
      <w:r w:rsidR="0043099E">
        <w:t xml:space="preserve"> of associated persons</w:t>
      </w:r>
      <w:r w:rsidRPr="006C21F4">
        <w:t xml:space="preserve"> should be applied in the OIC</w:t>
      </w:r>
      <w:r w:rsidR="006C21F4" w:rsidRPr="006C21F4">
        <w:t xml:space="preserve"> for trusts that are not </w:t>
      </w:r>
      <w:r w:rsidR="00515351">
        <w:t>“simplified reporting trusts”</w:t>
      </w:r>
      <w:r w:rsidR="002410FE">
        <w:t>.</w:t>
      </w:r>
      <w:r w:rsidRPr="006C21F4">
        <w:t xml:space="preserve"> </w:t>
      </w:r>
      <w:r w:rsidR="009029BC">
        <w:t xml:space="preserve">Inland Revenue is finalising an </w:t>
      </w:r>
      <w:r w:rsidR="002442C0" w:rsidRPr="0047160C">
        <w:rPr>
          <w:lang w:val="en-NZ"/>
        </w:rPr>
        <w:t>Operational Statement cover</w:t>
      </w:r>
      <w:r w:rsidR="009029BC">
        <w:rPr>
          <w:lang w:val="en-NZ"/>
        </w:rPr>
        <w:t>ing</w:t>
      </w:r>
      <w:r w:rsidR="002442C0" w:rsidRPr="0047160C">
        <w:rPr>
          <w:lang w:val="en-NZ"/>
        </w:rPr>
        <w:t xml:space="preserve"> the Commissioner’s approach to the disclosure rules</w:t>
      </w:r>
      <w:r w:rsidR="00ED67E4">
        <w:rPr>
          <w:lang w:val="en-NZ"/>
        </w:rPr>
        <w:t xml:space="preserve">. This is expected to cover a </w:t>
      </w:r>
      <w:r w:rsidR="002442C0">
        <w:rPr>
          <w:lang w:val="en-NZ"/>
        </w:rPr>
        <w:t>“best efforts”</w:t>
      </w:r>
      <w:r w:rsidR="00ED67E4">
        <w:rPr>
          <w:lang w:val="en-NZ"/>
        </w:rPr>
        <w:t xml:space="preserve"> approach to the first year, </w:t>
      </w:r>
      <w:r w:rsidR="009029BC">
        <w:rPr>
          <w:lang w:val="en-NZ"/>
        </w:rPr>
        <w:t xml:space="preserve">including issues relating to </w:t>
      </w:r>
      <w:r w:rsidR="00D80CA8">
        <w:rPr>
          <w:lang w:val="en-NZ"/>
        </w:rPr>
        <w:t xml:space="preserve">trustees </w:t>
      </w:r>
      <w:r w:rsidR="008047D2">
        <w:rPr>
          <w:lang w:val="en-NZ"/>
        </w:rPr>
        <w:t xml:space="preserve">not </w:t>
      </w:r>
      <w:r w:rsidR="00D80CA8">
        <w:rPr>
          <w:lang w:val="en-NZ"/>
        </w:rPr>
        <w:t xml:space="preserve">having the necessary information to </w:t>
      </w:r>
      <w:r w:rsidR="008047D2">
        <w:rPr>
          <w:lang w:val="en-NZ"/>
        </w:rPr>
        <w:t>be able to</w:t>
      </w:r>
      <w:r w:rsidR="00D80CA8">
        <w:rPr>
          <w:lang w:val="en-NZ"/>
        </w:rPr>
        <w:t xml:space="preserve"> </w:t>
      </w:r>
      <w:r w:rsidR="00ED67E4">
        <w:rPr>
          <w:lang w:val="en-NZ"/>
        </w:rPr>
        <w:t xml:space="preserve">comply with the </w:t>
      </w:r>
      <w:r w:rsidR="008047D2">
        <w:rPr>
          <w:lang w:val="en-NZ"/>
        </w:rPr>
        <w:t xml:space="preserve">associated persons transaction </w:t>
      </w:r>
      <w:r w:rsidR="00ED67E4">
        <w:rPr>
          <w:lang w:val="en-NZ"/>
        </w:rPr>
        <w:t>disclosure requirements</w:t>
      </w:r>
      <w:r w:rsidR="002442C0">
        <w:rPr>
          <w:lang w:val="en-NZ"/>
        </w:rPr>
        <w:t>.</w:t>
      </w:r>
      <w:r w:rsidR="009029BC">
        <w:rPr>
          <w:lang w:val="en-NZ"/>
        </w:rPr>
        <w:t xml:space="preserve"> </w:t>
      </w:r>
      <w:r w:rsidR="002442C0" w:rsidRPr="0047160C">
        <w:rPr>
          <w:lang w:val="en-NZ"/>
        </w:rPr>
        <w:t>The finalised Operational Statement is expected to be published in March 2022.</w:t>
      </w:r>
    </w:p>
    <w:p w14:paraId="741DD563" w14:textId="77777777" w:rsidR="00C75CE4" w:rsidRPr="00C75CE4" w:rsidRDefault="00C75CE4" w:rsidP="005F312F">
      <w:pPr>
        <w:spacing w:before="180" w:line="240" w:lineRule="auto"/>
        <w:jc w:val="both"/>
        <w:rPr>
          <w:b/>
          <w:bCs/>
        </w:rPr>
      </w:pPr>
      <w:r w:rsidRPr="00C75CE4">
        <w:rPr>
          <w:b/>
          <w:bCs/>
        </w:rPr>
        <w:t>Beneficiary account movements</w:t>
      </w:r>
    </w:p>
    <w:p w14:paraId="02C32AFC" w14:textId="0C20E6C4" w:rsidR="00A61309" w:rsidRDefault="00D64CB5" w:rsidP="005F312F">
      <w:pPr>
        <w:pStyle w:val="ListParagraph"/>
        <w:numPr>
          <w:ilvl w:val="0"/>
          <w:numId w:val="9"/>
        </w:numPr>
        <w:spacing w:before="180" w:line="240" w:lineRule="auto"/>
        <w:ind w:left="567" w:hanging="567"/>
        <w:contextualSpacing w:val="0"/>
        <w:jc w:val="both"/>
      </w:pPr>
      <w:r w:rsidRPr="0039233A">
        <w:t xml:space="preserve">Officials proposed in public consultation in 2021 </w:t>
      </w:r>
      <w:r w:rsidR="002F5491">
        <w:t>for</w:t>
      </w:r>
      <w:r w:rsidRPr="0039233A">
        <w:t xml:space="preserve"> the minimum standards </w:t>
      </w:r>
      <w:r w:rsidR="002F5491">
        <w:t xml:space="preserve">to </w:t>
      </w:r>
      <w:r w:rsidR="0088653F" w:rsidRPr="0039233A">
        <w:t xml:space="preserve">require </w:t>
      </w:r>
      <w:r w:rsidR="00004F79" w:rsidRPr="0039233A">
        <w:t>“a reconciliation of movements from opening to closing balances, on a line-by-line basis, of all beneficiary accounts, including loans</w:t>
      </w:r>
      <w:r w:rsidR="00CC4780">
        <w:t>.</w:t>
      </w:r>
      <w:r w:rsidR="00004F79" w:rsidRPr="0039233A">
        <w:t>”</w:t>
      </w:r>
      <w:r w:rsidR="00004F79" w:rsidRPr="0039233A">
        <w:rPr>
          <w:vertAlign w:val="superscript"/>
        </w:rPr>
        <w:footnoteReference w:id="17"/>
      </w:r>
      <w:r w:rsidR="00D93E37" w:rsidRPr="0039233A">
        <w:t xml:space="preserve"> This is similar to the </w:t>
      </w:r>
      <w:r w:rsidR="00BD35F2">
        <w:t>minimum standards for</w:t>
      </w:r>
      <w:r w:rsidR="00D93E37" w:rsidRPr="0039233A">
        <w:t xml:space="preserve"> foreign trusts.</w:t>
      </w:r>
      <w:r w:rsidR="00BD35F2">
        <w:t xml:space="preserve"> </w:t>
      </w:r>
      <w:r w:rsidR="00D93E37" w:rsidRPr="002F5491">
        <w:t xml:space="preserve">The </w:t>
      </w:r>
      <w:r w:rsidR="00CC4780">
        <w:t xml:space="preserve">officials’ </w:t>
      </w:r>
      <w:r w:rsidR="00D93E37" w:rsidRPr="002F5491">
        <w:t>issues paper also proposed “a reconciliation of movements in trust corpus, trust capital and loans or current accounts to, and from, the beneficiaries or other persons with powers of appointment of the trust and associated persons of the trust</w:t>
      </w:r>
      <w:r w:rsidR="00CC4780">
        <w:t>.</w:t>
      </w:r>
      <w:r w:rsidR="00D93E37" w:rsidRPr="002F5491">
        <w:t>”</w:t>
      </w:r>
    </w:p>
    <w:p w14:paraId="79BBA746" w14:textId="41D3C559" w:rsidR="00A61309" w:rsidRDefault="00D15BD8" w:rsidP="005F312F">
      <w:pPr>
        <w:pStyle w:val="ListParagraph"/>
        <w:numPr>
          <w:ilvl w:val="0"/>
          <w:numId w:val="9"/>
        </w:numPr>
        <w:spacing w:before="180" w:line="240" w:lineRule="auto"/>
        <w:ind w:left="567" w:hanging="567"/>
        <w:contextualSpacing w:val="0"/>
        <w:jc w:val="both"/>
      </w:pPr>
      <w:r>
        <w:t>Some submitters</w:t>
      </w:r>
      <w:r w:rsidR="0039233A">
        <w:t xml:space="preserve"> said this detail should not be required to be disclosed</w:t>
      </w:r>
      <w:r w:rsidR="001813A9">
        <w:t xml:space="preserve"> </w:t>
      </w:r>
      <w:r w:rsidR="00801BDA">
        <w:t xml:space="preserve">as </w:t>
      </w:r>
      <w:r w:rsidR="001813A9">
        <w:t>it would create compliance costs.</w:t>
      </w:r>
      <w:r w:rsidR="00ED3711">
        <w:t xml:space="preserve"> </w:t>
      </w:r>
      <w:r w:rsidR="003B4507">
        <w:t>One submitter noted that the requirement to reconcile movements in trust corpus add</w:t>
      </w:r>
      <w:r w:rsidR="00CB1FE5">
        <w:t>ed</w:t>
      </w:r>
      <w:r w:rsidR="003B4507">
        <w:t xml:space="preserve"> unnecessary complexity and compliance costs given that the definition of trust corpus for income tax purposes could be different to the concept of corpus for accounting purposes.</w:t>
      </w:r>
    </w:p>
    <w:p w14:paraId="16930760" w14:textId="24691D2E" w:rsidR="003B4507" w:rsidRDefault="00642C94" w:rsidP="005F312F">
      <w:pPr>
        <w:pStyle w:val="ListParagraph"/>
        <w:numPr>
          <w:ilvl w:val="0"/>
          <w:numId w:val="9"/>
        </w:numPr>
        <w:spacing w:before="180" w:line="240" w:lineRule="auto"/>
        <w:ind w:left="567" w:hanging="567"/>
        <w:contextualSpacing w:val="0"/>
        <w:jc w:val="both"/>
      </w:pPr>
      <w:r>
        <w:t xml:space="preserve">Based on submissions, officials </w:t>
      </w:r>
      <w:r w:rsidR="00A4472B">
        <w:t xml:space="preserve">do not propose including this requirement in the minimum standards. Alternatively, officials </w:t>
      </w:r>
      <w:r w:rsidR="00BD35F2">
        <w:t>propose</w:t>
      </w:r>
      <w:r w:rsidRPr="006D58C4">
        <w:t xml:space="preserve"> that </w:t>
      </w:r>
      <w:r w:rsidR="00A4472B">
        <w:t xml:space="preserve">the minimum standards </w:t>
      </w:r>
      <w:r w:rsidR="00BD35F2">
        <w:t xml:space="preserve">include a requirement that </w:t>
      </w:r>
      <w:r w:rsidRPr="006D58C4">
        <w:t xml:space="preserve">financial statements must contain all relevant amounts </w:t>
      </w:r>
      <w:r>
        <w:t>in</w:t>
      </w:r>
      <w:r w:rsidRPr="006D58C4">
        <w:t xml:space="preserve"> any forms prescribed by the Commissioner</w:t>
      </w:r>
      <w:r>
        <w:t xml:space="preserve">. This includes </w:t>
      </w:r>
      <w:r w:rsidRPr="006D58C4">
        <w:t>the IR6B</w:t>
      </w:r>
      <w:r>
        <w:t xml:space="preserve"> </w:t>
      </w:r>
      <w:r w:rsidR="00FE604E">
        <w:t xml:space="preserve">form </w:t>
      </w:r>
      <w:r>
        <w:t>which will collect information about the</w:t>
      </w:r>
      <w:r w:rsidRPr="006D58C4">
        <w:t xml:space="preserve"> movement in beneficiary accounts.</w:t>
      </w:r>
    </w:p>
    <w:p w14:paraId="1FA2E0E4" w14:textId="2E2C1828" w:rsidR="00BB5D56" w:rsidRPr="00C75CE4" w:rsidRDefault="00BB5D56" w:rsidP="005F312F">
      <w:pPr>
        <w:spacing w:before="180" w:line="240" w:lineRule="auto"/>
        <w:jc w:val="both"/>
        <w:rPr>
          <w:b/>
          <w:bCs/>
        </w:rPr>
      </w:pPr>
      <w:r w:rsidRPr="00C75CE4">
        <w:rPr>
          <w:b/>
          <w:bCs/>
        </w:rPr>
        <w:t>Gross-up options</w:t>
      </w:r>
    </w:p>
    <w:p w14:paraId="70FE1484" w14:textId="6541A852" w:rsidR="00F70270" w:rsidRDefault="00F33F21" w:rsidP="005F312F">
      <w:pPr>
        <w:pStyle w:val="ListParagraph"/>
        <w:numPr>
          <w:ilvl w:val="0"/>
          <w:numId w:val="9"/>
        </w:numPr>
        <w:spacing w:before="180" w:line="240" w:lineRule="auto"/>
        <w:ind w:left="567" w:hanging="567"/>
        <w:contextualSpacing w:val="0"/>
        <w:jc w:val="both"/>
      </w:pPr>
      <w:r>
        <w:t xml:space="preserve">During public consultation in 2021, officials proposed adopting the same approach </w:t>
      </w:r>
      <w:r w:rsidR="00013E60">
        <w:t xml:space="preserve">for taxable dividends </w:t>
      </w:r>
      <w:r>
        <w:t xml:space="preserve">as </w:t>
      </w:r>
      <w:r w:rsidR="00013E60">
        <w:t xml:space="preserve">contained in </w:t>
      </w:r>
      <w:r w:rsidR="000D62C6">
        <w:t>the minimum standards for companies</w:t>
      </w:r>
      <w:r w:rsidR="00013E60">
        <w:t>.</w:t>
      </w:r>
      <w:r w:rsidR="008733A9">
        <w:t xml:space="preserve"> </w:t>
      </w:r>
      <w:r w:rsidR="00013E60">
        <w:t xml:space="preserve">Under that approach, </w:t>
      </w:r>
      <w:r w:rsidR="00455493">
        <w:t xml:space="preserve">taxable </w:t>
      </w:r>
      <w:r w:rsidR="000D62C6">
        <w:t xml:space="preserve">dividends </w:t>
      </w:r>
      <w:r w:rsidR="00455493">
        <w:t xml:space="preserve">are </w:t>
      </w:r>
      <w:r w:rsidR="000D62C6">
        <w:t xml:space="preserve">shown in the financial statements grossed up for imputation credits </w:t>
      </w:r>
      <w:r w:rsidR="00955AF2">
        <w:t xml:space="preserve">if </w:t>
      </w:r>
      <w:r w:rsidR="000D62C6">
        <w:t>the credits are available to satisfy the trust’s income tax liability for the income year.</w:t>
      </w:r>
      <w:r w:rsidR="00BD35F2">
        <w:t xml:space="preserve"> </w:t>
      </w:r>
    </w:p>
    <w:p w14:paraId="4B227B37" w14:textId="209AEFD4" w:rsidR="00A61309" w:rsidRPr="007B07C9" w:rsidRDefault="00DF1D4E" w:rsidP="005F312F">
      <w:pPr>
        <w:pStyle w:val="ListParagraph"/>
        <w:numPr>
          <w:ilvl w:val="0"/>
          <w:numId w:val="9"/>
        </w:numPr>
        <w:spacing w:before="180" w:line="240" w:lineRule="auto"/>
        <w:ind w:left="567" w:hanging="567"/>
        <w:contextualSpacing w:val="0"/>
        <w:jc w:val="both"/>
        <w:rPr>
          <w:lang w:val="en-NZ"/>
        </w:rPr>
      </w:pPr>
      <w:r>
        <w:t>Similar to the minimum standards for companies, t</w:t>
      </w:r>
      <w:r w:rsidR="00C8139E">
        <w:t xml:space="preserve">he issues </w:t>
      </w:r>
      <w:r w:rsidR="00FB52D5">
        <w:t xml:space="preserve">paper </w:t>
      </w:r>
      <w:r w:rsidR="0022622F">
        <w:t xml:space="preserve">also </w:t>
      </w:r>
      <w:r w:rsidR="00FB52D5">
        <w:t>proposed</w:t>
      </w:r>
      <w:r>
        <w:t xml:space="preserve"> </w:t>
      </w:r>
      <w:r w:rsidR="009C3F61">
        <w:t xml:space="preserve">a requirement </w:t>
      </w:r>
      <w:r w:rsidR="00F70270">
        <w:t xml:space="preserve">that </w:t>
      </w:r>
      <w:proofErr w:type="gramStart"/>
      <w:r w:rsidR="00FB52D5">
        <w:t>i</w:t>
      </w:r>
      <w:r w:rsidR="00FB52D5" w:rsidRPr="00584DF7">
        <w:t>nterest</w:t>
      </w:r>
      <w:proofErr w:type="gramEnd"/>
      <w:r w:rsidR="00FB52D5" w:rsidRPr="00584DF7">
        <w:t xml:space="preserve"> and dividends received </w:t>
      </w:r>
      <w:r w:rsidR="009C58AF">
        <w:t xml:space="preserve">by trusts </w:t>
      </w:r>
      <w:r w:rsidR="00FB52D5" w:rsidRPr="00584DF7">
        <w:t>be shown in the financial statements grossed up for resident withholding tax</w:t>
      </w:r>
      <w:r w:rsidR="00FB52D5">
        <w:t xml:space="preserve"> (RWT)</w:t>
      </w:r>
      <w:r w:rsidR="00FB52D5" w:rsidRPr="00584DF7">
        <w:t>.</w:t>
      </w:r>
    </w:p>
    <w:p w14:paraId="6C962A32" w14:textId="01DC5C58" w:rsidR="00A61309" w:rsidRDefault="000D62C6" w:rsidP="005F312F">
      <w:pPr>
        <w:pStyle w:val="ListParagraph"/>
        <w:numPr>
          <w:ilvl w:val="0"/>
          <w:numId w:val="9"/>
        </w:numPr>
        <w:spacing w:before="180" w:line="240" w:lineRule="auto"/>
        <w:ind w:left="567" w:hanging="567"/>
        <w:contextualSpacing w:val="0"/>
        <w:jc w:val="both"/>
      </w:pPr>
      <w:r>
        <w:t xml:space="preserve">Submitters noted that it is acceptable from an accounting point of view to show dividends either gross or net of imputation credits. </w:t>
      </w:r>
      <w:r w:rsidR="006951A4">
        <w:t xml:space="preserve">Another pointed out that the treatment of a </w:t>
      </w:r>
      <w:proofErr w:type="gramStart"/>
      <w:r w:rsidR="006951A4">
        <w:t>fully-imputed</w:t>
      </w:r>
      <w:proofErr w:type="gramEnd"/>
      <w:r w:rsidR="006951A4">
        <w:t xml:space="preserve"> distribution from a listed Portfolio Investment Entity is optional</w:t>
      </w:r>
      <w:r w:rsidR="004401F9">
        <w:t>,</w:t>
      </w:r>
      <w:r w:rsidR="006951A4">
        <w:rPr>
          <w:rStyle w:val="FootnoteReference"/>
        </w:rPr>
        <w:footnoteReference w:id="18"/>
      </w:r>
      <w:r w:rsidR="005458AD">
        <w:t xml:space="preserve"> so such a distribution would be grossed up only if the trustees choose to treat the distribution as being taxable income.</w:t>
      </w:r>
    </w:p>
    <w:p w14:paraId="1C6926DB" w14:textId="04B078C8" w:rsidR="00730874" w:rsidRDefault="005A26BC" w:rsidP="005F312F">
      <w:pPr>
        <w:pStyle w:val="ListParagraph"/>
        <w:numPr>
          <w:ilvl w:val="0"/>
          <w:numId w:val="9"/>
        </w:numPr>
        <w:spacing w:before="180" w:line="240" w:lineRule="auto"/>
        <w:ind w:left="567" w:hanging="567"/>
        <w:contextualSpacing w:val="0"/>
        <w:jc w:val="both"/>
      </w:pPr>
      <w:r>
        <w:t>Officials agreed with submission</w:t>
      </w:r>
      <w:r w:rsidR="000D62C6">
        <w:t>s</w:t>
      </w:r>
      <w:r>
        <w:t xml:space="preserve"> that trustees should be able to show dividends either gross or net of imputation credits</w:t>
      </w:r>
      <w:r w:rsidR="00A941F7">
        <w:t xml:space="preserve">, and interest and dividends </w:t>
      </w:r>
      <w:r w:rsidR="00B45763">
        <w:t>can be either gross or net of RWT,</w:t>
      </w:r>
      <w:r>
        <w:t xml:space="preserve"> provided the financial statements disclose which approach is being take</w:t>
      </w:r>
      <w:r w:rsidR="00F32734">
        <w:t>n</w:t>
      </w:r>
      <w:r>
        <w:t xml:space="preserve">. </w:t>
      </w:r>
    </w:p>
    <w:p w14:paraId="707CE88A" w14:textId="77777777" w:rsidR="00730874" w:rsidRDefault="00730874">
      <w:pPr>
        <w:spacing w:after="0" w:line="240" w:lineRule="auto"/>
      </w:pPr>
      <w:r>
        <w:br w:type="page"/>
      </w:r>
    </w:p>
    <w:p w14:paraId="02F1EC26" w14:textId="77777777" w:rsidR="00730874" w:rsidRPr="0024561D" w:rsidRDefault="00730874" w:rsidP="00730874">
      <w:pPr>
        <w:pStyle w:val="Heading2"/>
      </w:pPr>
      <w:r w:rsidRPr="0024561D">
        <w:t>Appendix</w:t>
      </w:r>
      <w:r>
        <w:t xml:space="preserve"> B</w:t>
      </w:r>
      <w:r w:rsidRPr="0024561D">
        <w:t>: Proposed minimum standards for financial</w:t>
      </w:r>
      <w:r w:rsidRPr="0024561D">
        <w:rPr>
          <w:rFonts w:cs="Arial"/>
          <w:bCs/>
        </w:rPr>
        <w:t xml:space="preserve"> statements prepared by domestic trusts</w:t>
      </w:r>
    </w:p>
    <w:p w14:paraId="2B711324" w14:textId="66D64EDD" w:rsidR="00730874" w:rsidRDefault="00730874" w:rsidP="005F312F">
      <w:pPr>
        <w:spacing w:before="180"/>
        <w:jc w:val="both"/>
      </w:pPr>
      <w:r>
        <w:t xml:space="preserve">For the purposes of the Order in Council, </w:t>
      </w:r>
      <w:r w:rsidR="00153B80">
        <w:t xml:space="preserve">the term </w:t>
      </w:r>
      <w:r>
        <w:t>“financial statements” includes any notes and other supporting materials forming part of the financial statements.</w:t>
      </w:r>
    </w:p>
    <w:p w14:paraId="2BF82099" w14:textId="77777777" w:rsidR="00730874" w:rsidRDefault="00730874" w:rsidP="005F312F">
      <w:pPr>
        <w:spacing w:before="180"/>
        <w:jc w:val="both"/>
      </w:pPr>
      <w:r>
        <w:t>The standards set out below are “minimum” standards. Financial statements may be prepared to any level above these minimum requirements.</w:t>
      </w:r>
    </w:p>
    <w:p w14:paraId="69076339" w14:textId="7DCF43AD" w:rsidR="00730874" w:rsidRDefault="00730874" w:rsidP="005F312F">
      <w:pPr>
        <w:spacing w:before="180"/>
        <w:jc w:val="both"/>
      </w:pPr>
      <w:r>
        <w:t>Financial statements may be prepared to a non-standard balance date (</w:t>
      </w:r>
      <w:r w:rsidR="00153B80">
        <w:t>i.e.,</w:t>
      </w:r>
      <w:r>
        <w:t xml:space="preserve"> a balance date that is not 31 March) used for accounting purposes, provided the trust does not derive business income (which would require approval from the Commissioner for non-standard balance date reporting – section 38 of the Tax Administration Act 1994</w:t>
      </w:r>
      <w:r w:rsidR="009C25A4">
        <w:t xml:space="preserve"> (TAA)</w:t>
      </w:r>
      <w:r>
        <w:t>).</w:t>
      </w:r>
    </w:p>
    <w:p w14:paraId="5B767326" w14:textId="77777777" w:rsidR="00730874" w:rsidRPr="005844E1" w:rsidRDefault="00730874" w:rsidP="005F312F">
      <w:pPr>
        <w:spacing w:before="180"/>
        <w:jc w:val="both"/>
        <w:rPr>
          <w:b/>
          <w:bCs/>
          <w:i/>
          <w:iCs/>
        </w:rPr>
      </w:pPr>
      <w:r w:rsidRPr="005844E1">
        <w:rPr>
          <w:b/>
          <w:bCs/>
          <w:i/>
          <w:iCs/>
        </w:rPr>
        <w:t>Valuation</w:t>
      </w:r>
    </w:p>
    <w:p w14:paraId="6A2C52CB" w14:textId="24B87F9C" w:rsidR="00730874" w:rsidRDefault="00730874" w:rsidP="005F312F">
      <w:pPr>
        <w:spacing w:before="180"/>
        <w:jc w:val="both"/>
      </w:pPr>
      <w:r>
        <w:t>Valuation of assets and liabilities can be either at market value, cost or tax adjusted value, at the discretion of the trustee. The use of ‘tax value’ will be limited to assets and liabilities that are in the tax base</w:t>
      </w:r>
      <w:r w:rsidR="008D1807">
        <w:t xml:space="preserve"> </w:t>
      </w:r>
      <w:r w:rsidR="008D1807" w:rsidRPr="008D1807">
        <w:t>(i.e., assets and liabilities that are used in the production of assessable income)</w:t>
      </w:r>
      <w:r>
        <w:t>.</w:t>
      </w:r>
    </w:p>
    <w:p w14:paraId="4171155B" w14:textId="4AF87573" w:rsidR="00730874" w:rsidRPr="005844E1" w:rsidRDefault="00515351" w:rsidP="005F312F">
      <w:pPr>
        <w:spacing w:before="180"/>
        <w:jc w:val="both"/>
        <w:rPr>
          <w:b/>
          <w:bCs/>
        </w:rPr>
      </w:pPr>
      <w:r>
        <w:rPr>
          <w:b/>
          <w:bCs/>
          <w:i/>
          <w:iCs/>
        </w:rPr>
        <w:t>Simplified reporting</w:t>
      </w:r>
      <w:r w:rsidRPr="005844E1">
        <w:rPr>
          <w:b/>
          <w:bCs/>
          <w:i/>
          <w:iCs/>
        </w:rPr>
        <w:t xml:space="preserve"> </w:t>
      </w:r>
      <w:r w:rsidR="00730874" w:rsidRPr="005844E1">
        <w:rPr>
          <w:b/>
          <w:bCs/>
          <w:i/>
          <w:iCs/>
        </w:rPr>
        <w:t>trusts</w:t>
      </w:r>
    </w:p>
    <w:p w14:paraId="2A4D1535" w14:textId="38BEA0CF" w:rsidR="00730874" w:rsidRDefault="00730874" w:rsidP="005F312F">
      <w:pPr>
        <w:spacing w:before="180"/>
        <w:jc w:val="both"/>
      </w:pPr>
      <w:r>
        <w:t>A trust is a “</w:t>
      </w:r>
      <w:r w:rsidR="00515351">
        <w:t xml:space="preserve">simplified reporting </w:t>
      </w:r>
      <w:r>
        <w:t>trust” for a relevant income year if the trustee reports:</w:t>
      </w:r>
    </w:p>
    <w:p w14:paraId="6A33613A" w14:textId="77777777" w:rsidR="00730874" w:rsidRDefault="00730874" w:rsidP="005F312F">
      <w:pPr>
        <w:pStyle w:val="ListParagraph"/>
        <w:numPr>
          <w:ilvl w:val="0"/>
          <w:numId w:val="10"/>
        </w:numPr>
        <w:spacing w:before="180" w:line="240" w:lineRule="auto"/>
        <w:ind w:left="709" w:hanging="431"/>
        <w:contextualSpacing w:val="0"/>
        <w:jc w:val="both"/>
      </w:pPr>
      <w:r>
        <w:t>less than $100,000 assessable income, AND</w:t>
      </w:r>
    </w:p>
    <w:p w14:paraId="5025D924" w14:textId="77777777" w:rsidR="00730874" w:rsidRDefault="00730874" w:rsidP="005F312F">
      <w:pPr>
        <w:pStyle w:val="ListParagraph"/>
        <w:numPr>
          <w:ilvl w:val="0"/>
          <w:numId w:val="10"/>
        </w:numPr>
        <w:spacing w:before="180" w:line="240" w:lineRule="auto"/>
        <w:ind w:left="709" w:hanging="431"/>
        <w:contextualSpacing w:val="0"/>
        <w:jc w:val="both"/>
      </w:pPr>
      <w:r>
        <w:t>less than $100,000 deductible expenditure, AND</w:t>
      </w:r>
    </w:p>
    <w:p w14:paraId="57082992" w14:textId="590EE5BA" w:rsidR="00730874" w:rsidRDefault="00730874" w:rsidP="005F312F">
      <w:pPr>
        <w:pStyle w:val="ListParagraph"/>
        <w:numPr>
          <w:ilvl w:val="0"/>
          <w:numId w:val="10"/>
        </w:numPr>
        <w:spacing w:before="180" w:line="240" w:lineRule="auto"/>
        <w:ind w:left="709" w:hanging="431"/>
        <w:contextualSpacing w:val="0"/>
        <w:jc w:val="both"/>
      </w:pPr>
      <w:r>
        <w:t>total assets in the statement of financial position (including both private and income producing assets) valued at less than $5 million as at balance date.</w:t>
      </w:r>
    </w:p>
    <w:p w14:paraId="6F2FAAAA" w14:textId="77777777" w:rsidR="00730874" w:rsidRDefault="00730874" w:rsidP="005F312F">
      <w:pPr>
        <w:spacing w:before="180"/>
        <w:jc w:val="both"/>
      </w:pPr>
      <w:r>
        <w:t xml:space="preserve">The $100,000 assessable income and deductible expenditure thresholds used in this test do not include income assessed under the </w:t>
      </w:r>
      <w:proofErr w:type="spellStart"/>
      <w:r>
        <w:t>brightline</w:t>
      </w:r>
      <w:proofErr w:type="spellEnd"/>
      <w:r>
        <w:t xml:space="preserve"> rules or related deductible expenditure. Assets will be valued using the valuation principles set out above and must be consistent with the prepared financial statements.</w:t>
      </w:r>
    </w:p>
    <w:p w14:paraId="12B339CA" w14:textId="77777777" w:rsidR="00730874" w:rsidRPr="001C4525" w:rsidRDefault="00730874" w:rsidP="005F312F">
      <w:pPr>
        <w:spacing w:before="180"/>
        <w:jc w:val="both"/>
        <w:rPr>
          <w:b/>
          <w:bCs/>
          <w:i/>
          <w:iCs/>
        </w:rPr>
      </w:pPr>
      <w:r w:rsidRPr="001C4525">
        <w:rPr>
          <w:b/>
          <w:bCs/>
          <w:i/>
          <w:iCs/>
        </w:rPr>
        <w:t>Core requirements for all trusts</w:t>
      </w:r>
    </w:p>
    <w:p w14:paraId="00BCC1F2" w14:textId="77777777" w:rsidR="00730874" w:rsidRDefault="00730874" w:rsidP="005F312F">
      <w:pPr>
        <w:spacing w:before="180"/>
        <w:jc w:val="both"/>
      </w:pPr>
      <w:r>
        <w:t>The following minimum standards apply to all trusts subject to the disclosure rules.</w:t>
      </w:r>
    </w:p>
    <w:p w14:paraId="6468FFEF" w14:textId="77777777" w:rsidR="00730874" w:rsidRDefault="00730874" w:rsidP="005F312F">
      <w:pPr>
        <w:spacing w:before="180"/>
        <w:ind w:left="709" w:hanging="709"/>
        <w:jc w:val="both"/>
      </w:pPr>
      <w:r>
        <w:t>The financial statements must consist of:</w:t>
      </w:r>
    </w:p>
    <w:p w14:paraId="2B2F554F" w14:textId="63EA7304" w:rsidR="00730874" w:rsidRDefault="00D02EAD" w:rsidP="005F312F">
      <w:pPr>
        <w:pStyle w:val="ListParagraph"/>
        <w:numPr>
          <w:ilvl w:val="1"/>
          <w:numId w:val="11"/>
        </w:numPr>
        <w:spacing w:before="180" w:line="240" w:lineRule="auto"/>
        <w:ind w:left="709" w:hanging="425"/>
        <w:contextualSpacing w:val="0"/>
        <w:jc w:val="both"/>
      </w:pPr>
      <w:r>
        <w:t xml:space="preserve">a </w:t>
      </w:r>
      <w:r w:rsidR="00730874">
        <w:t>statement of financial position setting out the assets, liabilities, and net assets of the trust as at the end of the return year; and</w:t>
      </w:r>
    </w:p>
    <w:p w14:paraId="51E882B4" w14:textId="344B5C50" w:rsidR="00730874" w:rsidRDefault="00D02EAD" w:rsidP="005F312F">
      <w:pPr>
        <w:pStyle w:val="ListParagraph"/>
        <w:numPr>
          <w:ilvl w:val="1"/>
          <w:numId w:val="11"/>
        </w:numPr>
        <w:spacing w:before="180" w:line="240" w:lineRule="auto"/>
        <w:ind w:left="709" w:hanging="425"/>
        <w:contextualSpacing w:val="0"/>
        <w:jc w:val="both"/>
      </w:pPr>
      <w:r>
        <w:t xml:space="preserve">a </w:t>
      </w:r>
      <w:r w:rsidR="00730874">
        <w:t>statement of profit or loss statement showing income derived, and expenditure incurred, by the trust during the return year.</w:t>
      </w:r>
    </w:p>
    <w:p w14:paraId="5FEB0669" w14:textId="77777777" w:rsidR="00730874" w:rsidRDefault="00730874" w:rsidP="005F312F">
      <w:pPr>
        <w:spacing w:before="180"/>
        <w:jc w:val="both"/>
      </w:pPr>
      <w:r>
        <w:t>Financial statements must be prepared using the double-entry method of recording financial transactions.</w:t>
      </w:r>
    </w:p>
    <w:p w14:paraId="75AEF49A" w14:textId="4A212634" w:rsidR="00C57C13" w:rsidRDefault="00C57C13" w:rsidP="005F312F">
      <w:pPr>
        <w:spacing w:before="180"/>
        <w:jc w:val="both"/>
      </w:pPr>
      <w:r>
        <w:t>Financial statements must use the prescribed valuation principles (set out above) and disclose the valuation method adopted for land, buildings</w:t>
      </w:r>
      <w:r w:rsidR="00A324BF">
        <w:t>, and</w:t>
      </w:r>
      <w:r w:rsidR="00A324BF" w:rsidRPr="00A324BF">
        <w:t xml:space="preserve"> </w:t>
      </w:r>
      <w:r w:rsidR="00A324BF">
        <w:t>shares/ownership interests</w:t>
      </w:r>
      <w:r>
        <w:t xml:space="preserve">. </w:t>
      </w:r>
      <w:r w:rsidR="00287A9B">
        <w:t xml:space="preserve">A trustee can choose to adopt a different valuation method for each of these categories. </w:t>
      </w:r>
      <w:r w:rsidR="00FD12BE">
        <w:t xml:space="preserve">If there are multiple assets </w:t>
      </w:r>
      <w:r w:rsidR="00722579">
        <w:t>with</w:t>
      </w:r>
      <w:r w:rsidR="004837B1">
        <w:t xml:space="preserve">in </w:t>
      </w:r>
      <w:r w:rsidR="001A5ADC">
        <w:t>o</w:t>
      </w:r>
      <w:r w:rsidR="00722579">
        <w:t>n</w:t>
      </w:r>
      <w:r w:rsidR="001A5ADC">
        <w:t>e</w:t>
      </w:r>
      <w:r w:rsidR="00722579">
        <w:t xml:space="preserve"> category</w:t>
      </w:r>
      <w:r w:rsidR="00C939F1">
        <w:t xml:space="preserve"> (e.g., multiple buildings), each </w:t>
      </w:r>
      <w:r>
        <w:t>asset may be valued using a different method.</w:t>
      </w:r>
      <w:r>
        <w:rPr>
          <w:rStyle w:val="FootnoteReference"/>
        </w:rPr>
        <w:footnoteReference w:id="19"/>
      </w:r>
      <w:r>
        <w:t xml:space="preserve">  </w:t>
      </w:r>
    </w:p>
    <w:p w14:paraId="0123DB27" w14:textId="0A203D8E" w:rsidR="00730874" w:rsidRDefault="00730874" w:rsidP="005F312F">
      <w:pPr>
        <w:spacing w:before="180"/>
        <w:jc w:val="both"/>
      </w:pPr>
      <w:r w:rsidRPr="005B012A">
        <w:t xml:space="preserve">Financial statements must contain all relevant amounts </w:t>
      </w:r>
      <w:r w:rsidR="009C25A4">
        <w:t xml:space="preserve">required to be copied from the trust’s financial statements by </w:t>
      </w:r>
      <w:r w:rsidRPr="005B012A">
        <w:t xml:space="preserve">any forms prescribed by the Commissioner under section 35 of the </w:t>
      </w:r>
      <w:r w:rsidR="009C25A4">
        <w:t>TAA</w:t>
      </w:r>
      <w:r>
        <w:t>.</w:t>
      </w:r>
    </w:p>
    <w:p w14:paraId="579B134D" w14:textId="5D6BA4E3" w:rsidR="00730874" w:rsidRPr="00850E2B" w:rsidRDefault="00730874" w:rsidP="005F312F">
      <w:pPr>
        <w:spacing w:before="180"/>
        <w:jc w:val="both"/>
        <w:rPr>
          <w:b/>
          <w:bCs/>
          <w:i/>
          <w:iCs/>
        </w:rPr>
      </w:pPr>
      <w:r w:rsidRPr="00850E2B">
        <w:rPr>
          <w:b/>
          <w:bCs/>
          <w:i/>
          <w:iCs/>
        </w:rPr>
        <w:t>Additional requirements for trusts that are not “</w:t>
      </w:r>
      <w:r w:rsidR="00A5783B">
        <w:rPr>
          <w:b/>
          <w:bCs/>
          <w:i/>
          <w:iCs/>
        </w:rPr>
        <w:t>simplified reporting</w:t>
      </w:r>
      <w:r w:rsidR="00A5783B" w:rsidRPr="00850E2B">
        <w:rPr>
          <w:b/>
          <w:bCs/>
          <w:i/>
          <w:iCs/>
        </w:rPr>
        <w:t xml:space="preserve"> </w:t>
      </w:r>
      <w:r w:rsidRPr="00850E2B">
        <w:rPr>
          <w:b/>
          <w:bCs/>
          <w:i/>
          <w:iCs/>
        </w:rPr>
        <w:t>trusts”</w:t>
      </w:r>
    </w:p>
    <w:p w14:paraId="73404A49" w14:textId="19919ADC" w:rsidR="00730874" w:rsidRDefault="00730874" w:rsidP="005F312F">
      <w:pPr>
        <w:spacing w:before="180"/>
        <w:jc w:val="both"/>
      </w:pPr>
      <w:r>
        <w:t xml:space="preserve">For trusts that do not </w:t>
      </w:r>
      <w:r w:rsidR="009B629B">
        <w:t>qualify for simplified reporting</w:t>
      </w:r>
      <w:r>
        <w:t xml:space="preserve"> for an income year, the financial statements must:</w:t>
      </w:r>
    </w:p>
    <w:p w14:paraId="046ECB9C" w14:textId="77777777" w:rsidR="00730874" w:rsidRDefault="00730874" w:rsidP="005F312F">
      <w:pPr>
        <w:pStyle w:val="ListParagraph"/>
        <w:numPr>
          <w:ilvl w:val="1"/>
          <w:numId w:val="11"/>
        </w:numPr>
        <w:spacing w:before="180" w:line="240" w:lineRule="auto"/>
        <w:ind w:left="709" w:hanging="431"/>
        <w:contextualSpacing w:val="0"/>
        <w:jc w:val="both"/>
      </w:pPr>
      <w:r>
        <w:t>Be prepared applying the principles of accrual accounting.</w:t>
      </w:r>
    </w:p>
    <w:p w14:paraId="2985C12B" w14:textId="30BEFD49" w:rsidR="00730874" w:rsidRDefault="00730874" w:rsidP="005F312F">
      <w:pPr>
        <w:pStyle w:val="ListParagraph"/>
        <w:numPr>
          <w:ilvl w:val="1"/>
          <w:numId w:val="11"/>
        </w:numPr>
        <w:spacing w:before="180" w:line="240" w:lineRule="auto"/>
        <w:ind w:left="709" w:hanging="431"/>
        <w:contextualSpacing w:val="0"/>
        <w:jc w:val="both"/>
      </w:pPr>
      <w:r>
        <w:t>Include a statement of accounting policies</w:t>
      </w:r>
      <w:r w:rsidR="00F86BDB">
        <w:t>.</w:t>
      </w:r>
    </w:p>
    <w:p w14:paraId="0B504985" w14:textId="77777777" w:rsidR="00730874" w:rsidRDefault="00730874" w:rsidP="005F312F">
      <w:pPr>
        <w:pStyle w:val="ListParagraph"/>
        <w:numPr>
          <w:ilvl w:val="1"/>
          <w:numId w:val="11"/>
        </w:numPr>
        <w:spacing w:before="180" w:line="240" w:lineRule="auto"/>
        <w:ind w:left="709" w:hanging="431"/>
        <w:contextualSpacing w:val="0"/>
        <w:jc w:val="both"/>
      </w:pPr>
      <w:r>
        <w:t>Disclose comparable figures for the previous income year to the extent that the trustee has that information.</w:t>
      </w:r>
    </w:p>
    <w:p w14:paraId="22211DF4" w14:textId="77777777" w:rsidR="00730874" w:rsidRDefault="00730874" w:rsidP="005F312F">
      <w:pPr>
        <w:pStyle w:val="ListParagraph"/>
        <w:numPr>
          <w:ilvl w:val="1"/>
          <w:numId w:val="11"/>
        </w:numPr>
        <w:spacing w:before="180" w:line="240" w:lineRule="auto"/>
        <w:ind w:left="709" w:hanging="431"/>
        <w:contextualSpacing w:val="0"/>
        <w:jc w:val="both"/>
      </w:pPr>
      <w:r>
        <w:t>Disclose several specific items:</w:t>
      </w:r>
    </w:p>
    <w:p w14:paraId="6B86DAAD" w14:textId="659DEC8B" w:rsidR="00730874" w:rsidRDefault="0015155F" w:rsidP="005F312F">
      <w:pPr>
        <w:pStyle w:val="ListParagraph"/>
        <w:numPr>
          <w:ilvl w:val="2"/>
          <w:numId w:val="11"/>
        </w:numPr>
        <w:spacing w:before="180" w:line="240" w:lineRule="auto"/>
        <w:contextualSpacing w:val="0"/>
        <w:jc w:val="both"/>
      </w:pPr>
      <w:r>
        <w:t xml:space="preserve">a </w:t>
      </w:r>
      <w:r w:rsidR="00730874">
        <w:t xml:space="preserve">reconciliation between the profit or loss in the statement of profit or loss to taxable </w:t>
      </w:r>
      <w:proofErr w:type="gramStart"/>
      <w:r w:rsidR="00730874">
        <w:t>income;</w:t>
      </w:r>
      <w:proofErr w:type="gramEnd"/>
      <w:r w:rsidR="00730874">
        <w:t xml:space="preserve"> </w:t>
      </w:r>
    </w:p>
    <w:p w14:paraId="2F80122A" w14:textId="768878F1" w:rsidR="00730874" w:rsidRDefault="0015155F" w:rsidP="005F312F">
      <w:pPr>
        <w:pStyle w:val="ListParagraph"/>
        <w:numPr>
          <w:ilvl w:val="2"/>
          <w:numId w:val="11"/>
        </w:numPr>
        <w:spacing w:before="180" w:line="240" w:lineRule="auto"/>
        <w:contextualSpacing w:val="0"/>
        <w:jc w:val="both"/>
      </w:pPr>
      <w:r>
        <w:t xml:space="preserve">an </w:t>
      </w:r>
      <w:r w:rsidR="00730874">
        <w:t xml:space="preserve">appropriately detailed schedule of the trust’s fixed assets and depreciable property used for tax </w:t>
      </w:r>
      <w:proofErr w:type="gramStart"/>
      <w:r w:rsidR="00730874">
        <w:t>purposes;</w:t>
      </w:r>
      <w:proofErr w:type="gramEnd"/>
    </w:p>
    <w:p w14:paraId="79E9D806" w14:textId="6C94BDB1" w:rsidR="00D74D81" w:rsidRDefault="0015155F" w:rsidP="005F312F">
      <w:pPr>
        <w:pStyle w:val="ListParagraph"/>
        <w:numPr>
          <w:ilvl w:val="2"/>
          <w:numId w:val="11"/>
        </w:numPr>
        <w:spacing w:before="180" w:line="240" w:lineRule="auto"/>
        <w:contextualSpacing w:val="0"/>
        <w:jc w:val="both"/>
      </w:pPr>
      <w:r>
        <w:t xml:space="preserve">matters </w:t>
      </w:r>
      <w:r w:rsidR="00730874">
        <w:t xml:space="preserve">relating to trusts with forestry and livestock businesses: </w:t>
      </w:r>
    </w:p>
    <w:p w14:paraId="02030283" w14:textId="77777777" w:rsidR="00D74D81" w:rsidRDefault="00730874" w:rsidP="005F312F">
      <w:pPr>
        <w:pStyle w:val="ListParagraph"/>
        <w:numPr>
          <w:ilvl w:val="3"/>
          <w:numId w:val="11"/>
        </w:numPr>
        <w:spacing w:before="180" w:line="240" w:lineRule="auto"/>
        <w:ind w:left="1701" w:hanging="425"/>
        <w:contextualSpacing w:val="0"/>
        <w:jc w:val="both"/>
      </w:pPr>
      <w:r>
        <w:t xml:space="preserve">information about the cost of timber as at the end of the income year and a reconciliation of movements in the cost of timber during the income year; </w:t>
      </w:r>
    </w:p>
    <w:p w14:paraId="5F459DB6" w14:textId="213E3127" w:rsidR="00730874" w:rsidRDefault="00730874" w:rsidP="005F312F">
      <w:pPr>
        <w:pStyle w:val="ListParagraph"/>
        <w:numPr>
          <w:ilvl w:val="3"/>
          <w:numId w:val="11"/>
        </w:numPr>
        <w:spacing w:before="180" w:line="240" w:lineRule="auto"/>
        <w:ind w:left="1701" w:hanging="425"/>
        <w:contextualSpacing w:val="0"/>
        <w:jc w:val="both"/>
      </w:pPr>
      <w:r>
        <w:t xml:space="preserve">if the trust is a specified livestock owner, details of livestock valuation methods, valuations, and calculations for tax </w:t>
      </w:r>
      <w:proofErr w:type="gramStart"/>
      <w:r>
        <w:t>purposes</w:t>
      </w:r>
      <w:r w:rsidR="00C17851">
        <w:t>;</w:t>
      </w:r>
      <w:proofErr w:type="gramEnd"/>
    </w:p>
    <w:p w14:paraId="0CC041C3" w14:textId="49090FA0" w:rsidR="00730874" w:rsidRPr="00542B4A" w:rsidRDefault="0015155F" w:rsidP="005F312F">
      <w:pPr>
        <w:pStyle w:val="ListParagraph"/>
        <w:numPr>
          <w:ilvl w:val="2"/>
          <w:numId w:val="11"/>
        </w:numPr>
        <w:spacing w:before="180" w:line="240" w:lineRule="auto"/>
        <w:contextualSpacing w:val="0"/>
        <w:jc w:val="both"/>
      </w:pPr>
      <w:r>
        <w:t>d</w:t>
      </w:r>
      <w:r w:rsidRPr="00542B4A">
        <w:t xml:space="preserve">etails </w:t>
      </w:r>
      <w:r w:rsidR="00730874" w:rsidRPr="00542B4A">
        <w:t xml:space="preserve">of transactions between the trust and any associated person of the </w:t>
      </w:r>
      <w:proofErr w:type="gramStart"/>
      <w:r w:rsidR="00730874" w:rsidRPr="00542B4A">
        <w:t>trustee, unless</w:t>
      </w:r>
      <w:proofErr w:type="gramEnd"/>
      <w:r w:rsidR="00730874" w:rsidRPr="00542B4A">
        <w:t xml:space="preserve"> the transaction is minor and incidental to the activities of the trust.</w:t>
      </w:r>
    </w:p>
    <w:p w14:paraId="46A785DE" w14:textId="77777777" w:rsidR="00730874" w:rsidRDefault="00730874" w:rsidP="005F312F">
      <w:pPr>
        <w:pStyle w:val="ListParagraph"/>
        <w:numPr>
          <w:ilvl w:val="3"/>
          <w:numId w:val="11"/>
        </w:numPr>
        <w:spacing w:before="180" w:line="240" w:lineRule="auto"/>
        <w:ind w:left="1701" w:hanging="425"/>
        <w:contextualSpacing w:val="0"/>
        <w:jc w:val="both"/>
      </w:pPr>
      <w:r>
        <w:t>Transaction details include the names of the associated persons, the nature of the association, the nature of the transactions and the amounts involved.</w:t>
      </w:r>
    </w:p>
    <w:p w14:paraId="44EE1FAD" w14:textId="64582659" w:rsidR="006E639E" w:rsidRDefault="00730874" w:rsidP="005F312F">
      <w:pPr>
        <w:pStyle w:val="ListParagraph"/>
        <w:numPr>
          <w:ilvl w:val="3"/>
          <w:numId w:val="11"/>
        </w:numPr>
        <w:spacing w:before="180" w:line="240" w:lineRule="auto"/>
        <w:ind w:left="1701" w:hanging="425"/>
        <w:contextualSpacing w:val="0"/>
        <w:jc w:val="both"/>
      </w:pPr>
      <w:r>
        <w:t>Disclosure is not required if the transaction is at a market rate.</w:t>
      </w:r>
    </w:p>
    <w:p w14:paraId="702D82A2" w14:textId="7BA93F78" w:rsidR="00A83A90" w:rsidRPr="00E45EA4" w:rsidRDefault="00730874" w:rsidP="00133D6E">
      <w:pPr>
        <w:pStyle w:val="ListParagraph"/>
        <w:numPr>
          <w:ilvl w:val="3"/>
          <w:numId w:val="11"/>
        </w:numPr>
        <w:spacing w:before="180" w:line="240" w:lineRule="auto"/>
        <w:ind w:left="1701" w:hanging="425"/>
        <w:contextualSpacing w:val="0"/>
        <w:jc w:val="both"/>
      </w:pPr>
      <w:r>
        <w:t>If associated person disclosures have been made separately in any forms prescribed by the Commissioner, this information does not need to be duplicated in the financial statements.</w:t>
      </w:r>
    </w:p>
    <w:sectPr w:rsidR="00A83A90" w:rsidRPr="00E45EA4" w:rsidSect="00B5612C">
      <w:footerReference w:type="default" r:id="rId15"/>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392D" w14:textId="77777777" w:rsidR="00FB3A03" w:rsidRDefault="00FB3A03">
      <w:pPr>
        <w:spacing w:after="0" w:line="240" w:lineRule="auto"/>
      </w:pPr>
      <w:r>
        <w:separator/>
      </w:r>
    </w:p>
    <w:p w14:paraId="62182386" w14:textId="77777777" w:rsidR="00FB3A03" w:rsidRDefault="00FB3A03"/>
  </w:endnote>
  <w:endnote w:type="continuationSeparator" w:id="0">
    <w:p w14:paraId="51C79C5A" w14:textId="77777777" w:rsidR="00FB3A03" w:rsidRDefault="00FB3A03">
      <w:pPr>
        <w:spacing w:after="0" w:line="240" w:lineRule="auto"/>
      </w:pPr>
      <w:r>
        <w:continuationSeparator/>
      </w:r>
    </w:p>
    <w:p w14:paraId="71C60CCC" w14:textId="77777777" w:rsidR="00FB3A03" w:rsidRDefault="00FB3A03"/>
  </w:endnote>
  <w:endnote w:type="continuationNotice" w:id="1">
    <w:p w14:paraId="6F115A89" w14:textId="77777777" w:rsidR="00FB3A03" w:rsidRDefault="00FB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2F53" w14:textId="026BD3BE" w:rsidR="00396A61" w:rsidRDefault="00396A61">
    <w:pPr>
      <w:pStyle w:val="Footer"/>
      <w:jc w:val="right"/>
    </w:pPr>
    <w:r>
      <w:t xml:space="preserve">Regulatory Impact Statement  </w:t>
    </w:r>
    <w:r w:rsidRPr="009435C4">
      <w:t>|</w:t>
    </w:r>
    <w:r>
      <w:t xml:space="preserve"> </w:t>
    </w:r>
    <w:r w:rsidRPr="009435C4">
      <w:t xml:space="preserve"> </w:t>
    </w:r>
    <w:sdt>
      <w:sdtPr>
        <w:rPr>
          <w:noProof w:val="0"/>
        </w:rPr>
        <w:id w:val="-1540046962"/>
        <w:docPartObj>
          <w:docPartGallery w:val="Page Numbers (Bottom of Page)"/>
          <w:docPartUnique/>
        </w:docPartObj>
      </w:sdtPr>
      <w:sdtEndPr>
        <w:rPr>
          <w:noProof/>
        </w:rPr>
      </w:sdtEndPr>
      <w:sdtContent>
        <w:r>
          <w:rPr>
            <w:noProof w:val="0"/>
          </w:rPr>
          <w:fldChar w:fldCharType="begin"/>
        </w:r>
        <w:r>
          <w:instrText xml:space="preserve"> PAGE   \* MERGEFORMAT </w:instrText>
        </w:r>
        <w:r>
          <w:rPr>
            <w:noProof w:val="0"/>
          </w:rPr>
          <w:fldChar w:fldCharType="separate"/>
        </w:r>
        <w:r>
          <w:t>2</w:t>
        </w:r>
        <w:r>
          <w:fldChar w:fldCharType="end"/>
        </w:r>
      </w:sdtContent>
    </w:sdt>
  </w:p>
  <w:p w14:paraId="14B87E61" w14:textId="0ABC12FD" w:rsidR="00510274" w:rsidRDefault="00510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2058" w14:textId="77777777" w:rsidR="00D63A87" w:rsidRPr="00743278" w:rsidRDefault="00D63A87" w:rsidP="006448CF">
    <w:pPr>
      <w:pStyle w:val="Footer"/>
    </w:pPr>
    <w:r>
      <w:rPr>
        <w:sz w:val="14"/>
      </w:rPr>
      <w:tab/>
    </w:r>
    <w:r>
      <w:t xml:space="preserve">Regulatory Impact Statement  </w:t>
    </w:r>
    <w:r w:rsidRPr="009435C4">
      <w:t>|</w:t>
    </w:r>
    <w:r>
      <w:t xml:space="preserve"> </w:t>
    </w:r>
    <w:r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C7D1" w14:textId="77777777" w:rsidR="00925550" w:rsidRDefault="00925550" w:rsidP="0092555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10F1" w14:textId="4916D968" w:rsidR="00D63A87" w:rsidRPr="00743278" w:rsidRDefault="00D63A87" w:rsidP="006448CF">
    <w:pPr>
      <w:pStyle w:val="Footer"/>
    </w:pPr>
    <w:r>
      <w:rPr>
        <w:sz w:val="14"/>
      </w:rPr>
      <w:tab/>
    </w:r>
    <w:r w:rsidR="00396A61">
      <w:t xml:space="preserve">Regulatory Impact Statement  </w:t>
    </w:r>
    <w:r w:rsidR="00396A61" w:rsidRPr="009435C4">
      <w:t>|</w:t>
    </w:r>
    <w:r w:rsidR="00396A61">
      <w:t xml:space="preserve"> </w:t>
    </w:r>
    <w:r w:rsidR="00396A61" w:rsidRPr="009435C4">
      <w:t xml:space="preserve"> </w:t>
    </w:r>
    <w:r w:rsidRPr="009435C4">
      <w:fldChar w:fldCharType="begin"/>
    </w:r>
    <w:r w:rsidRPr="009435C4">
      <w:instrText xml:space="preserve"> PAGE </w:instrText>
    </w:r>
    <w:r w:rsidRPr="009435C4">
      <w:fldChar w:fldCharType="separate"/>
    </w:r>
    <w:r>
      <w:t>11</w:t>
    </w:r>
    <w:r w:rsidRPr="009435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F2FC5" w14:textId="77777777" w:rsidR="00FB3A03" w:rsidRDefault="00FB3A03">
      <w:pPr>
        <w:spacing w:after="0" w:line="240" w:lineRule="auto"/>
      </w:pPr>
      <w:r>
        <w:separator/>
      </w:r>
    </w:p>
    <w:p w14:paraId="55487CE5" w14:textId="77777777" w:rsidR="00FB3A03" w:rsidRDefault="00FB3A03"/>
  </w:footnote>
  <w:footnote w:type="continuationSeparator" w:id="0">
    <w:p w14:paraId="7A471138" w14:textId="77777777" w:rsidR="00FB3A03" w:rsidRDefault="00FB3A03">
      <w:pPr>
        <w:spacing w:after="0" w:line="240" w:lineRule="auto"/>
      </w:pPr>
      <w:r>
        <w:continuationSeparator/>
      </w:r>
    </w:p>
    <w:p w14:paraId="136C9406" w14:textId="77777777" w:rsidR="00FB3A03" w:rsidRDefault="00FB3A03"/>
  </w:footnote>
  <w:footnote w:type="continuationNotice" w:id="1">
    <w:p w14:paraId="480ED630" w14:textId="77777777" w:rsidR="00FB3A03" w:rsidRDefault="00FB3A03">
      <w:pPr>
        <w:spacing w:after="0" w:line="240" w:lineRule="auto"/>
      </w:pPr>
    </w:p>
  </w:footnote>
  <w:footnote w:id="2">
    <w:p w14:paraId="702F3743" w14:textId="1D11A238" w:rsidR="00754685" w:rsidRPr="0058417B" w:rsidRDefault="00754685" w:rsidP="0058417B">
      <w:pPr>
        <w:pStyle w:val="FootnoteText"/>
        <w:tabs>
          <w:tab w:val="clear" w:pos="425"/>
        </w:tabs>
        <w:ind w:left="142" w:hanging="142"/>
        <w:jc w:val="both"/>
        <w:rPr>
          <w:lang w:val="en-NZ"/>
        </w:rPr>
      </w:pPr>
      <w:r>
        <w:rPr>
          <w:rStyle w:val="FootnoteReference"/>
        </w:rPr>
        <w:footnoteRef/>
      </w:r>
      <w:r>
        <w:t xml:space="preserve"> </w:t>
      </w:r>
      <w:r w:rsidR="00403C3B">
        <w:tab/>
      </w:r>
      <w:r w:rsidR="006331A5">
        <w:rPr>
          <w:lang w:val="en-NZ"/>
        </w:rPr>
        <w:t xml:space="preserve">Cabinet paper </w:t>
      </w:r>
      <w:r w:rsidR="00FA2343">
        <w:rPr>
          <w:lang w:val="en-NZ"/>
        </w:rPr>
        <w:t xml:space="preserve">CAB-20-SUB-0490, </w:t>
      </w:r>
      <w:r w:rsidR="00FA2343">
        <w:rPr>
          <w:i/>
          <w:iCs/>
          <w:lang w:val="en-NZ"/>
        </w:rPr>
        <w:t>Legislative approval for the introduction of a new top personal tax rate</w:t>
      </w:r>
      <w:r w:rsidR="00FA2343">
        <w:rPr>
          <w:lang w:val="en-NZ"/>
        </w:rPr>
        <w:t xml:space="preserve">, November 2020: </w:t>
      </w:r>
      <w:r w:rsidR="00403C3B" w:rsidRPr="00403C3B">
        <w:rPr>
          <w:lang w:val="en-NZ"/>
        </w:rPr>
        <w:t>https://taxpolicy.ird.govt.nz/publications/2020/2020-ir-cab-20-sub-0490</w:t>
      </w:r>
      <w:r w:rsidR="00FA2343">
        <w:rPr>
          <w:lang w:val="en-NZ"/>
        </w:rPr>
        <w:t xml:space="preserve"> </w:t>
      </w:r>
    </w:p>
  </w:footnote>
  <w:footnote w:id="3">
    <w:p w14:paraId="1CB2AD59" w14:textId="77777777" w:rsidR="004E19B5" w:rsidRPr="00C924D5" w:rsidRDefault="004E19B5" w:rsidP="004E19B5">
      <w:pPr>
        <w:pStyle w:val="FootnoteText"/>
        <w:tabs>
          <w:tab w:val="clear" w:pos="425"/>
        </w:tabs>
        <w:ind w:left="142" w:hanging="142"/>
        <w:jc w:val="both"/>
        <w:rPr>
          <w:lang w:val="en-NZ"/>
        </w:rPr>
      </w:pPr>
      <w:r>
        <w:rPr>
          <w:rStyle w:val="FootnoteReference"/>
        </w:rPr>
        <w:footnoteRef/>
      </w:r>
      <w:r>
        <w:t xml:space="preserve"> </w:t>
      </w:r>
      <w:r>
        <w:rPr>
          <w:lang w:val="en-NZ"/>
        </w:rPr>
        <w:t xml:space="preserve">Page 9, </w:t>
      </w:r>
      <w:r w:rsidRPr="005F4F75">
        <w:rPr>
          <w:i/>
          <w:iCs/>
          <w:lang w:val="en-NZ"/>
        </w:rPr>
        <w:t>Regulatory Impact Statement – Introducing a new top personal tax rate</w:t>
      </w:r>
      <w:r>
        <w:rPr>
          <w:lang w:val="en-NZ"/>
        </w:rPr>
        <w:t xml:space="preserve">, Inland Revenue, November 2020. </w:t>
      </w:r>
      <w:hyperlink r:id="rId1" w:history="1">
        <w:r w:rsidRPr="00412851">
          <w:rPr>
            <w:rStyle w:val="Hyperlink"/>
            <w:lang w:val="en-NZ"/>
          </w:rPr>
          <w:t>https://taxpolicy.ird.govt.nz/publications/2020/2020-ria-top-personal-income-tax-rate</w:t>
        </w:r>
      </w:hyperlink>
    </w:p>
  </w:footnote>
  <w:footnote w:id="4">
    <w:p w14:paraId="3AD08783" w14:textId="64BB8612" w:rsidR="00412851" w:rsidRPr="00F64167" w:rsidRDefault="00412851" w:rsidP="0058417B">
      <w:pPr>
        <w:pStyle w:val="FootnoteText"/>
        <w:tabs>
          <w:tab w:val="clear" w:pos="425"/>
        </w:tabs>
        <w:ind w:left="142" w:hanging="142"/>
        <w:jc w:val="both"/>
        <w:rPr>
          <w:lang w:val="en-NZ"/>
        </w:rPr>
      </w:pPr>
      <w:r>
        <w:rPr>
          <w:rStyle w:val="FootnoteReference"/>
        </w:rPr>
        <w:footnoteRef/>
      </w:r>
      <w:r>
        <w:t xml:space="preserve"> </w:t>
      </w:r>
      <w:r>
        <w:rPr>
          <w:lang w:val="en-NZ"/>
        </w:rPr>
        <w:t xml:space="preserve">For more information refer to IR2020/454: </w:t>
      </w:r>
      <w:r w:rsidRPr="007E6D6B">
        <w:rPr>
          <w:i/>
          <w:iCs/>
          <w:lang w:val="en-NZ"/>
        </w:rPr>
        <w:t>Tax policy report: Introducing a new top personal income tax rate</w:t>
      </w:r>
      <w:r>
        <w:rPr>
          <w:lang w:val="en-NZ"/>
        </w:rPr>
        <w:t xml:space="preserve"> (13 November 2020) and the</w:t>
      </w:r>
      <w:r w:rsidRPr="008A6371">
        <w:rPr>
          <w:i/>
          <w:iCs/>
          <w:lang w:val="en-NZ"/>
        </w:rPr>
        <w:t xml:space="preserve"> </w:t>
      </w:r>
      <w:r w:rsidRPr="007E6D6B">
        <w:rPr>
          <w:lang w:val="en-NZ"/>
        </w:rPr>
        <w:t>Regulatory Impact Statement –</w:t>
      </w:r>
      <w:r w:rsidRPr="005F4F75">
        <w:rPr>
          <w:i/>
          <w:iCs/>
          <w:lang w:val="en-NZ"/>
        </w:rPr>
        <w:t xml:space="preserve"> Introducing a new top personal tax rate</w:t>
      </w:r>
      <w:r>
        <w:rPr>
          <w:lang w:val="en-NZ"/>
        </w:rPr>
        <w:t xml:space="preserve"> (23 November 2020), </w:t>
      </w:r>
      <w:hyperlink r:id="rId2" w:history="1">
        <w:r w:rsidRPr="00D317ED">
          <w:rPr>
            <w:rStyle w:val="Hyperlink"/>
          </w:rPr>
          <w:t>https://taxpolicy.ird.govt.nz/publications/2020/2020-ir-cab-20-sub-0484</w:t>
        </w:r>
      </w:hyperlink>
    </w:p>
  </w:footnote>
  <w:footnote w:id="5">
    <w:p w14:paraId="6FC6D580" w14:textId="5838BC96" w:rsidR="008D1733" w:rsidRPr="000A38F4" w:rsidRDefault="008D1733" w:rsidP="0058417B">
      <w:pPr>
        <w:pStyle w:val="FootnoteText"/>
        <w:tabs>
          <w:tab w:val="clear" w:pos="425"/>
        </w:tabs>
        <w:ind w:left="142" w:hanging="142"/>
        <w:jc w:val="both"/>
        <w:rPr>
          <w:lang w:val="en-NZ"/>
        </w:rPr>
      </w:pPr>
      <w:r>
        <w:rPr>
          <w:rStyle w:val="FootnoteReference"/>
        </w:rPr>
        <w:footnoteRef/>
      </w:r>
      <w:r>
        <w:t xml:space="preserve"> </w:t>
      </w:r>
      <w:r w:rsidR="00ED2ED8">
        <w:t>S</w:t>
      </w:r>
      <w:r>
        <w:t>ection 59BA(3)</w:t>
      </w:r>
      <w:r w:rsidR="00F53412">
        <w:t xml:space="preserve"> of the TAA</w:t>
      </w:r>
      <w:r w:rsidR="00ED2ED8">
        <w:t xml:space="preserve"> excludes certain trusts from the disclosure rules</w:t>
      </w:r>
      <w:r>
        <w:t>. The</w:t>
      </w:r>
      <w:r w:rsidR="00ED2ED8">
        <w:t xml:space="preserve"> exclusions </w:t>
      </w:r>
      <w:r>
        <w:t>largely relate to trusts that already have reporting requirements under other regimes. Examples include</w:t>
      </w:r>
      <w:r>
        <w:rPr>
          <w:lang w:val="en-NZ"/>
        </w:rPr>
        <w:t xml:space="preserve"> non-active trusts, trusts eligible to be Māori authorities, </w:t>
      </w:r>
      <w:r w:rsidR="009869A4">
        <w:rPr>
          <w:lang w:val="en-NZ"/>
        </w:rPr>
        <w:t>foreign</w:t>
      </w:r>
      <w:r w:rsidR="00025427">
        <w:rPr>
          <w:lang w:val="en-NZ"/>
        </w:rPr>
        <w:t xml:space="preserve"> </w:t>
      </w:r>
      <w:proofErr w:type="gramStart"/>
      <w:r>
        <w:rPr>
          <w:lang w:val="en-NZ"/>
        </w:rPr>
        <w:t>trusts</w:t>
      </w:r>
      <w:proofErr w:type="gramEnd"/>
      <w:r>
        <w:rPr>
          <w:lang w:val="en-NZ"/>
        </w:rPr>
        <w:t xml:space="preserve"> and charitable trusts.</w:t>
      </w:r>
      <w:r w:rsidR="006D50C3">
        <w:rPr>
          <w:lang w:val="en-NZ"/>
        </w:rPr>
        <w:t xml:space="preserve"> </w:t>
      </w:r>
    </w:p>
  </w:footnote>
  <w:footnote w:id="6">
    <w:p w14:paraId="3987B74A" w14:textId="5DBCABEC" w:rsidR="008F54FD" w:rsidRPr="003902A9" w:rsidRDefault="008F54FD" w:rsidP="003902A9">
      <w:pPr>
        <w:pStyle w:val="FootnoteText"/>
        <w:tabs>
          <w:tab w:val="clear" w:pos="425"/>
        </w:tabs>
        <w:ind w:left="142" w:hanging="142"/>
        <w:jc w:val="both"/>
        <w:rPr>
          <w:lang w:val="en-NZ"/>
        </w:rPr>
      </w:pPr>
      <w:r>
        <w:rPr>
          <w:rStyle w:val="FootnoteReference"/>
        </w:rPr>
        <w:footnoteRef/>
      </w:r>
      <w:r>
        <w:t xml:space="preserve"> </w:t>
      </w:r>
      <w:r w:rsidR="000C2864">
        <w:tab/>
      </w:r>
      <w:r>
        <w:rPr>
          <w:lang w:val="en-NZ"/>
        </w:rPr>
        <w:t>S</w:t>
      </w:r>
      <w:r w:rsidR="00253A83">
        <w:rPr>
          <w:lang w:val="en-NZ"/>
        </w:rPr>
        <w:t xml:space="preserve">ettlements </w:t>
      </w:r>
      <w:r w:rsidR="00450FB6">
        <w:rPr>
          <w:lang w:val="en-NZ"/>
        </w:rPr>
        <w:t>do not need to be disclosed if they</w:t>
      </w:r>
      <w:r w:rsidR="00253A83">
        <w:rPr>
          <w:lang w:val="en-NZ"/>
        </w:rPr>
        <w:t xml:space="preserve"> are minor services incidental to the activities of the trust</w:t>
      </w:r>
      <w:r w:rsidR="009034A1">
        <w:rPr>
          <w:lang w:val="en-NZ"/>
        </w:rPr>
        <w:t xml:space="preserve"> and are provided to the trustee at less than market value</w:t>
      </w:r>
      <w:r w:rsidR="00A104E9">
        <w:rPr>
          <w:lang w:val="en-NZ"/>
        </w:rPr>
        <w:t xml:space="preserve">. There is no corresponding exclusion for </w:t>
      </w:r>
      <w:r w:rsidR="000C22CC">
        <w:rPr>
          <w:lang w:val="en-NZ"/>
        </w:rPr>
        <w:t>distributions. A</w:t>
      </w:r>
      <w:r w:rsidR="00F02D2C">
        <w:rPr>
          <w:lang w:val="en-NZ"/>
        </w:rPr>
        <w:t xml:space="preserve"> retrospective</w:t>
      </w:r>
      <w:r w:rsidR="000C22CC">
        <w:rPr>
          <w:lang w:val="en-NZ"/>
        </w:rPr>
        <w:t xml:space="preserve"> amendment to </w:t>
      </w:r>
      <w:r w:rsidR="00EB6134">
        <w:rPr>
          <w:lang w:val="en-NZ"/>
        </w:rPr>
        <w:t>section 59BA(2)(d) of the TAA</w:t>
      </w:r>
      <w:r w:rsidR="000C22CC">
        <w:rPr>
          <w:lang w:val="en-NZ"/>
        </w:rPr>
        <w:t xml:space="preserve"> has been included in the</w:t>
      </w:r>
      <w:r w:rsidR="000C22CC" w:rsidRPr="000C22CC">
        <w:rPr>
          <w:lang w:val="en-NZ"/>
        </w:rPr>
        <w:t xml:space="preserve"> </w:t>
      </w:r>
      <w:r w:rsidR="000C22CC" w:rsidRPr="009E3A50">
        <w:rPr>
          <w:lang w:val="en-NZ"/>
        </w:rPr>
        <w:t>Taxation (Annual Rates for 2021–22, GST, and Remedial Matters) Bill</w:t>
      </w:r>
      <w:r w:rsidR="000C22CC">
        <w:rPr>
          <w:lang w:val="en-NZ"/>
        </w:rPr>
        <w:t xml:space="preserve"> to ensure that </w:t>
      </w:r>
      <w:r w:rsidR="00D90DD8">
        <w:rPr>
          <w:lang w:val="en-NZ"/>
        </w:rPr>
        <w:t xml:space="preserve">non-cash, </w:t>
      </w:r>
      <w:r w:rsidR="000C22CC">
        <w:rPr>
          <w:lang w:val="en-NZ"/>
        </w:rPr>
        <w:t xml:space="preserve">minor distributions </w:t>
      </w:r>
      <w:r w:rsidR="004653DB">
        <w:rPr>
          <w:lang w:val="en-NZ"/>
        </w:rPr>
        <w:t>that are incidental to the activities of the trust</w:t>
      </w:r>
      <w:r w:rsidR="004714AB">
        <w:rPr>
          <w:lang w:val="en-NZ"/>
        </w:rPr>
        <w:t xml:space="preserve"> </w:t>
      </w:r>
      <w:r w:rsidR="005D53CC">
        <w:rPr>
          <w:lang w:val="en-NZ"/>
        </w:rPr>
        <w:t>do not need to be disclosed</w:t>
      </w:r>
      <w:r w:rsidR="004714AB">
        <w:rPr>
          <w:lang w:val="en-NZ"/>
        </w:rPr>
        <w:t>.</w:t>
      </w:r>
      <w:r w:rsidR="00F02D2C">
        <w:rPr>
          <w:lang w:val="en-NZ"/>
        </w:rPr>
        <w:t xml:space="preserve"> This Bill is expected to be enacted by the end of March 2022.</w:t>
      </w:r>
    </w:p>
  </w:footnote>
  <w:footnote w:id="7">
    <w:p w14:paraId="12E558BD" w14:textId="12B16C99" w:rsidR="00206902" w:rsidRPr="000A1ADA" w:rsidRDefault="00206902" w:rsidP="000A1ADA">
      <w:pPr>
        <w:pStyle w:val="FootnoteText"/>
        <w:tabs>
          <w:tab w:val="clear" w:pos="425"/>
        </w:tabs>
        <w:ind w:left="142" w:hanging="142"/>
        <w:jc w:val="both"/>
        <w:rPr>
          <w:lang w:val="en-NZ"/>
        </w:rPr>
      </w:pPr>
      <w:r>
        <w:rPr>
          <w:rStyle w:val="FootnoteReference"/>
        </w:rPr>
        <w:footnoteRef/>
      </w:r>
      <w:r>
        <w:t xml:space="preserve"> </w:t>
      </w:r>
      <w:r w:rsidR="008B4FF0">
        <w:t xml:space="preserve">The name, date of birth, tax jurisdiction, tax file number and tax identification number must </w:t>
      </w:r>
      <w:r w:rsidR="005033CD">
        <w:rPr>
          <w:lang w:val="en-NZ"/>
        </w:rPr>
        <w:t xml:space="preserve">be disclosed </w:t>
      </w:r>
      <w:r w:rsidR="008B4FF0">
        <w:rPr>
          <w:lang w:val="en-NZ"/>
        </w:rPr>
        <w:t>for</w:t>
      </w:r>
      <w:r w:rsidR="005033CD">
        <w:rPr>
          <w:lang w:val="en-NZ"/>
        </w:rPr>
        <w:t xml:space="preserve"> each person having a power under the trust to appoint or dismiss a trustee, to add or remove a beneficiary, or to amend the trust deed.</w:t>
      </w:r>
    </w:p>
  </w:footnote>
  <w:footnote w:id="8">
    <w:p w14:paraId="3B76DBA8" w14:textId="2468B1BA" w:rsidR="00801980" w:rsidRDefault="00801980" w:rsidP="0058417B">
      <w:pPr>
        <w:pStyle w:val="FootnoteText"/>
        <w:tabs>
          <w:tab w:val="clear" w:pos="425"/>
        </w:tabs>
        <w:ind w:left="142" w:hanging="142"/>
        <w:jc w:val="both"/>
        <w:rPr>
          <w:lang w:val="en-NZ"/>
        </w:rPr>
      </w:pPr>
      <w:r>
        <w:rPr>
          <w:rStyle w:val="FootnoteReference"/>
        </w:rPr>
        <w:footnoteRef/>
      </w:r>
      <w:r>
        <w:t xml:space="preserve"> </w:t>
      </w:r>
      <w:r>
        <w:rPr>
          <w:lang w:val="en-NZ"/>
        </w:rPr>
        <w:t>In 2013, the Law Commission</w:t>
      </w:r>
      <w:r w:rsidR="0034578C">
        <w:rPr>
          <w:lang w:val="en-NZ"/>
        </w:rPr>
        <w:t xml:space="preserve"> estimated </w:t>
      </w:r>
      <w:r w:rsidR="00FA33E3">
        <w:rPr>
          <w:lang w:val="en-NZ"/>
        </w:rPr>
        <w:t>that</w:t>
      </w:r>
      <w:r w:rsidR="00E62B68">
        <w:rPr>
          <w:lang w:val="en-NZ"/>
        </w:rPr>
        <w:t xml:space="preserve">: “While the exact number is unknown, and probably unknowable, estimates of the number of trusts currently </w:t>
      </w:r>
      <w:r w:rsidR="004163C4">
        <w:rPr>
          <w:lang w:val="en-NZ"/>
        </w:rPr>
        <w:t xml:space="preserve">in New Zealand range between 300,000 to 500,000. (Page 6, </w:t>
      </w:r>
      <w:r w:rsidR="00841EB4">
        <w:rPr>
          <w:i/>
          <w:iCs/>
          <w:lang w:val="en-NZ"/>
        </w:rPr>
        <w:t xml:space="preserve">Review of the Law of Trusts: A Trusts Act for </w:t>
      </w:r>
      <w:r w:rsidR="00E33DF6">
        <w:rPr>
          <w:i/>
          <w:iCs/>
          <w:lang w:val="en-NZ"/>
        </w:rPr>
        <w:t>New Zealand</w:t>
      </w:r>
      <w:r w:rsidR="009523CC">
        <w:rPr>
          <w:lang w:val="en-NZ"/>
        </w:rPr>
        <w:t xml:space="preserve">, the Law Commission, </w:t>
      </w:r>
      <w:r w:rsidR="005648BF">
        <w:rPr>
          <w:lang w:val="en-NZ"/>
        </w:rPr>
        <w:t>September</w:t>
      </w:r>
      <w:r w:rsidR="009523CC">
        <w:rPr>
          <w:lang w:val="en-NZ"/>
        </w:rPr>
        <w:t xml:space="preserve"> 2013</w:t>
      </w:r>
      <w:r w:rsidR="005648BF">
        <w:rPr>
          <w:lang w:val="en-NZ"/>
        </w:rPr>
        <w:t xml:space="preserve">. </w:t>
      </w:r>
      <w:hyperlink r:id="rId3" w:history="1">
        <w:r w:rsidR="00267D07" w:rsidRPr="00E32933">
          <w:rPr>
            <w:rStyle w:val="Hyperlink"/>
            <w:lang w:val="en-NZ"/>
          </w:rPr>
          <w:t>https://www.lawcom.govt.nz/sites/default/files/projectAvailableFormats/NZLC%20R130.pdf</w:t>
        </w:r>
      </w:hyperlink>
      <w:r w:rsidR="009523CC">
        <w:rPr>
          <w:lang w:val="en-NZ"/>
        </w:rPr>
        <w:t>).</w:t>
      </w:r>
    </w:p>
    <w:p w14:paraId="1AF0FEEF" w14:textId="045A87E7" w:rsidR="009523CC" w:rsidRPr="00F64167" w:rsidRDefault="004A2339" w:rsidP="0058417B">
      <w:pPr>
        <w:pStyle w:val="FootnoteText"/>
        <w:tabs>
          <w:tab w:val="clear" w:pos="425"/>
        </w:tabs>
        <w:spacing w:before="60"/>
        <w:ind w:left="142" w:firstLine="0"/>
        <w:jc w:val="both"/>
        <w:rPr>
          <w:lang w:val="en-NZ"/>
        </w:rPr>
      </w:pPr>
      <w:r>
        <w:rPr>
          <w:lang w:val="en-NZ"/>
        </w:rPr>
        <w:t>T</w:t>
      </w:r>
      <w:r w:rsidR="001A1B8B">
        <w:rPr>
          <w:lang w:val="en-NZ"/>
        </w:rPr>
        <w:t xml:space="preserve">here are </w:t>
      </w:r>
      <w:r>
        <w:rPr>
          <w:lang w:val="en-NZ"/>
        </w:rPr>
        <w:t xml:space="preserve">approximately </w:t>
      </w:r>
      <w:r w:rsidR="001A1B8B">
        <w:rPr>
          <w:lang w:val="en-NZ"/>
        </w:rPr>
        <w:t xml:space="preserve">400,000 </w:t>
      </w:r>
      <w:r w:rsidR="00386E6C">
        <w:rPr>
          <w:lang w:val="en-NZ"/>
        </w:rPr>
        <w:t>trusts</w:t>
      </w:r>
      <w:r w:rsidR="00EF1076">
        <w:rPr>
          <w:lang w:val="en-NZ"/>
        </w:rPr>
        <w:t xml:space="preserve"> </w:t>
      </w:r>
      <w:r w:rsidR="00B7719A">
        <w:rPr>
          <w:lang w:val="en-NZ"/>
        </w:rPr>
        <w:t>on</w:t>
      </w:r>
      <w:r w:rsidR="00034C60">
        <w:rPr>
          <w:lang w:val="en-NZ"/>
        </w:rPr>
        <w:t xml:space="preserve"> Inland Revenue</w:t>
      </w:r>
      <w:r w:rsidR="00B7719A">
        <w:rPr>
          <w:lang w:val="en-NZ"/>
        </w:rPr>
        <w:t xml:space="preserve"> records</w:t>
      </w:r>
      <w:r>
        <w:rPr>
          <w:lang w:val="en-NZ"/>
        </w:rPr>
        <w:t xml:space="preserve"> as of February 2022. This provides a lower bound for an estimate for the number of trusts in New Zealand.</w:t>
      </w:r>
    </w:p>
  </w:footnote>
  <w:footnote w:id="9">
    <w:p w14:paraId="5E02F517" w14:textId="77777777" w:rsidR="00C5425C" w:rsidRPr="00106AD8" w:rsidRDefault="00C5425C" w:rsidP="00C5425C">
      <w:pPr>
        <w:pStyle w:val="FootnoteText"/>
        <w:tabs>
          <w:tab w:val="clear" w:pos="425"/>
        </w:tabs>
        <w:ind w:left="142" w:hanging="142"/>
        <w:jc w:val="both"/>
        <w:rPr>
          <w:lang w:val="en-NZ"/>
        </w:rPr>
      </w:pPr>
      <w:r>
        <w:rPr>
          <w:rStyle w:val="FootnoteReference"/>
        </w:rPr>
        <w:footnoteRef/>
      </w:r>
      <w:r>
        <w:t xml:space="preserve"> </w:t>
      </w:r>
      <w:r>
        <w:rPr>
          <w:lang w:val="en-NZ"/>
        </w:rPr>
        <w:t xml:space="preserve">Page 5, </w:t>
      </w:r>
      <w:r w:rsidRPr="005F4F75">
        <w:rPr>
          <w:i/>
          <w:iCs/>
          <w:lang w:val="en-NZ"/>
        </w:rPr>
        <w:t>Regulatory Impact Statement – Introducing a new top personal tax rate</w:t>
      </w:r>
      <w:r>
        <w:rPr>
          <w:lang w:val="en-NZ"/>
        </w:rPr>
        <w:t xml:space="preserve">, Inland Revenue, November 2020. </w:t>
      </w:r>
      <w:hyperlink r:id="rId4" w:history="1">
        <w:r w:rsidRPr="00C71AC3">
          <w:rPr>
            <w:rStyle w:val="Hyperlink"/>
            <w:lang w:val="en-NZ"/>
          </w:rPr>
          <w:t>https://taxpolicy.ird.govt.nz/publications/2020/2020-ria-top-personal-income-tax-rate</w:t>
        </w:r>
      </w:hyperlink>
      <w:r>
        <w:rPr>
          <w:lang w:val="en-NZ"/>
        </w:rPr>
        <w:t xml:space="preserve"> </w:t>
      </w:r>
    </w:p>
  </w:footnote>
  <w:footnote w:id="10">
    <w:p w14:paraId="707235E1" w14:textId="6539B2A0" w:rsidR="00DE658D" w:rsidRPr="00DE658D" w:rsidRDefault="00DE658D" w:rsidP="00CA585E">
      <w:pPr>
        <w:pStyle w:val="FootnoteText"/>
        <w:tabs>
          <w:tab w:val="clear" w:pos="425"/>
        </w:tabs>
        <w:ind w:left="142" w:hanging="142"/>
        <w:jc w:val="both"/>
        <w:rPr>
          <w:lang w:val="en-NZ"/>
        </w:rPr>
      </w:pPr>
      <w:r>
        <w:rPr>
          <w:rStyle w:val="FootnoteReference"/>
        </w:rPr>
        <w:footnoteRef/>
      </w:r>
      <w:r>
        <w:t xml:space="preserve"> </w:t>
      </w:r>
      <w:r w:rsidRPr="007325DE">
        <w:rPr>
          <w:lang w:val="en-NZ"/>
        </w:rPr>
        <w:t xml:space="preserve">In January 2021, officials undertook targeted consultation to establish whether the list of exemptions in section 59BA(3) of the TAA should be expanded to reduce compliance costs. Based on this consultation, officials </w:t>
      </w:r>
      <w:r>
        <w:rPr>
          <w:lang w:val="en-NZ"/>
        </w:rPr>
        <w:t xml:space="preserve">made recommendations to Ministers and </w:t>
      </w:r>
      <w:r w:rsidRPr="007325DE">
        <w:rPr>
          <w:lang w:val="en-NZ"/>
        </w:rPr>
        <w:t>changes were included in the</w:t>
      </w:r>
      <w:r>
        <w:rPr>
          <w:lang w:val="en-NZ"/>
        </w:rPr>
        <w:t xml:space="preserve"> </w:t>
      </w:r>
      <w:r w:rsidRPr="002B52B2">
        <w:t>Taxation (Annual Rates for 2020–21, Feasibility Expenditure, and Remedial Matters) Bill</w:t>
      </w:r>
      <w:r>
        <w:t>, by Supplementary Order Paper, enacted in March 2021.</w:t>
      </w:r>
      <w:r w:rsidRPr="002B52B2">
        <w:t xml:space="preserve"> The changes extended the list of exempt trusts and introduced provisions that permit the Commissioner to vary the disclosure requirements for a trustee or class of trustees in order to minimise compliance costs</w:t>
      </w:r>
      <w:r w:rsidR="003D6BA2">
        <w:t>.</w:t>
      </w:r>
    </w:p>
  </w:footnote>
  <w:footnote w:id="11">
    <w:p w14:paraId="625E5E68" w14:textId="13A7B264" w:rsidR="0015595F" w:rsidRPr="00CC6191" w:rsidRDefault="0015595F" w:rsidP="000A1ADA">
      <w:pPr>
        <w:pStyle w:val="FootnoteText"/>
        <w:tabs>
          <w:tab w:val="clear" w:pos="425"/>
        </w:tabs>
        <w:ind w:left="284" w:hanging="284"/>
        <w:jc w:val="both"/>
        <w:rPr>
          <w:lang w:val="en-NZ"/>
        </w:rPr>
      </w:pPr>
      <w:r>
        <w:rPr>
          <w:rStyle w:val="FootnoteReference"/>
        </w:rPr>
        <w:footnoteRef/>
      </w:r>
      <w:r w:rsidR="006F25D9">
        <w:t xml:space="preserve"> </w:t>
      </w:r>
      <w:r w:rsidR="006F25D9">
        <w:tab/>
      </w:r>
      <w:r>
        <w:t xml:space="preserve">The stakeholders were </w:t>
      </w:r>
      <w:r>
        <w:rPr>
          <w:lang w:val="en-NZ"/>
        </w:rPr>
        <w:t>Chartered Accountants Australia and New Zealand, the Corporate Taxpayers Group, the New Zealand Law Society, the Trustees Companies Association, the External Reporting Board, CPA Australia, Accountants and Tax Agents Institute of New Zealand, Stats NZ, the Department of Internal Affairs—Charities Services, the Ministry of Business, Innovation and Employment, and the Ministry of Justice.</w:t>
      </w:r>
    </w:p>
  </w:footnote>
  <w:footnote w:id="12">
    <w:p w14:paraId="2CE7D729" w14:textId="2951760B" w:rsidR="0015595F" w:rsidRPr="00CC6191" w:rsidRDefault="0015595F" w:rsidP="000A1ADA">
      <w:pPr>
        <w:pStyle w:val="FootnoteText"/>
        <w:tabs>
          <w:tab w:val="clear" w:pos="425"/>
        </w:tabs>
        <w:ind w:left="284" w:hanging="284"/>
        <w:jc w:val="both"/>
        <w:rPr>
          <w:lang w:val="en-NZ"/>
        </w:rPr>
      </w:pPr>
      <w:r>
        <w:rPr>
          <w:rStyle w:val="FootnoteReference"/>
        </w:rPr>
        <w:footnoteRef/>
      </w:r>
      <w:r w:rsidR="006B2DF4">
        <w:rPr>
          <w:lang w:val="en-NZ"/>
        </w:rPr>
        <w:t xml:space="preserve"> </w:t>
      </w:r>
      <w:r w:rsidR="006B2DF4">
        <w:rPr>
          <w:lang w:val="en-NZ"/>
        </w:rPr>
        <w:tab/>
        <w:t xml:space="preserve">Officials’ issues paper: </w:t>
      </w:r>
      <w:r w:rsidR="006B2DF4" w:rsidRPr="00EF2070">
        <w:rPr>
          <w:i/>
          <w:iCs/>
          <w:lang w:val="en-NZ"/>
        </w:rPr>
        <w:t>Reporting requirements for domestic trusts</w:t>
      </w:r>
      <w:r w:rsidR="006B2DF4">
        <w:rPr>
          <w:lang w:val="en-NZ"/>
        </w:rPr>
        <w:t xml:space="preserve">, Inland Revenue, October 2021. </w:t>
      </w:r>
      <w:hyperlink r:id="rId5" w:history="1">
        <w:r w:rsidR="006B2DF4" w:rsidRPr="00483935">
          <w:rPr>
            <w:rStyle w:val="Hyperlink"/>
            <w:lang w:val="en-NZ"/>
          </w:rPr>
          <w:t>https://taxpolicy.ird.govt.nz/publications/2021/2021-ip-reporting-requirements-domestic-trusts</w:t>
        </w:r>
      </w:hyperlink>
      <w:r w:rsidR="006B2DF4">
        <w:rPr>
          <w:lang w:val="en-NZ"/>
        </w:rPr>
        <w:t xml:space="preserve">. </w:t>
      </w:r>
      <w:r>
        <w:rPr>
          <w:lang w:val="en-NZ"/>
        </w:rPr>
        <w:t>Simultaneously to this consultation, Inland Revenue published a draft Operational Statement setting out the Commissioner’s approach to applying the trust information reporting obligations in sections 59BA and 59BAB. Consultation on this document ran from 15 October to 30 November. The finalised Operational Statement is expected to be publish in March 2022.</w:t>
      </w:r>
    </w:p>
  </w:footnote>
  <w:footnote w:id="13">
    <w:p w14:paraId="4718573F" w14:textId="6685F49F" w:rsidR="00D239E9" w:rsidRPr="00EF2070" w:rsidRDefault="00EF2070" w:rsidP="001806AB">
      <w:pPr>
        <w:pStyle w:val="FootnoteText"/>
        <w:tabs>
          <w:tab w:val="clear" w:pos="425"/>
        </w:tabs>
        <w:ind w:left="284" w:hanging="284"/>
        <w:jc w:val="both"/>
        <w:rPr>
          <w:lang w:val="en-NZ"/>
        </w:rPr>
      </w:pPr>
      <w:r>
        <w:rPr>
          <w:rStyle w:val="FootnoteReference"/>
        </w:rPr>
        <w:footnoteRef/>
      </w:r>
      <w:r>
        <w:t xml:space="preserve"> </w:t>
      </w:r>
      <w:r w:rsidR="008B7720">
        <w:tab/>
      </w:r>
      <w:r>
        <w:rPr>
          <w:lang w:val="en-NZ"/>
        </w:rPr>
        <w:t xml:space="preserve">Officials’ issues paper: </w:t>
      </w:r>
      <w:r w:rsidRPr="00EF2070">
        <w:rPr>
          <w:i/>
          <w:iCs/>
          <w:lang w:val="en-NZ"/>
        </w:rPr>
        <w:t>Reporting requirements for domestic trusts</w:t>
      </w:r>
      <w:r>
        <w:rPr>
          <w:lang w:val="en-NZ"/>
        </w:rPr>
        <w:t xml:space="preserve">, </w:t>
      </w:r>
      <w:r w:rsidR="0015595F">
        <w:rPr>
          <w:lang w:val="en-NZ"/>
        </w:rPr>
        <w:t xml:space="preserve">Inland Revenue, </w:t>
      </w:r>
      <w:r>
        <w:rPr>
          <w:lang w:val="en-NZ"/>
        </w:rPr>
        <w:t xml:space="preserve">October 2021. </w:t>
      </w:r>
      <w:hyperlink r:id="rId6" w:history="1">
        <w:r w:rsidRPr="00483935">
          <w:rPr>
            <w:rStyle w:val="Hyperlink"/>
            <w:lang w:val="en-NZ"/>
          </w:rPr>
          <w:t>https://taxpolicy.ird.govt.nz/publications/2021/2021-ip-reporting-requirements-domestic-trusts</w:t>
        </w:r>
      </w:hyperlink>
    </w:p>
  </w:footnote>
  <w:footnote w:id="14">
    <w:p w14:paraId="36669E54" w14:textId="77777777" w:rsidR="00732908" w:rsidRPr="00C924D5" w:rsidRDefault="00732908" w:rsidP="00732908">
      <w:pPr>
        <w:pStyle w:val="FootnoteText"/>
        <w:rPr>
          <w:lang w:val="en-NZ"/>
        </w:rPr>
      </w:pPr>
      <w:r>
        <w:rPr>
          <w:rStyle w:val="FootnoteReference"/>
        </w:rPr>
        <w:footnoteRef/>
      </w:r>
      <w:r>
        <w:t xml:space="preserve"> </w:t>
      </w:r>
      <w:r>
        <w:rPr>
          <w:lang w:val="en-NZ"/>
        </w:rPr>
        <w:t xml:space="preserve">Page 9, </w:t>
      </w:r>
      <w:r w:rsidRPr="005F4F75">
        <w:rPr>
          <w:i/>
          <w:iCs/>
          <w:lang w:val="en-NZ"/>
        </w:rPr>
        <w:t>Regulatory Impact Statement – Introducing a new top personal tax rate</w:t>
      </w:r>
      <w:r>
        <w:rPr>
          <w:lang w:val="en-NZ"/>
        </w:rPr>
        <w:t xml:space="preserve">, </w:t>
      </w:r>
      <w:hyperlink r:id="rId7" w:history="1">
        <w:r w:rsidRPr="00C71AC3">
          <w:rPr>
            <w:rStyle w:val="Hyperlink"/>
            <w:lang w:val="en-NZ"/>
          </w:rPr>
          <w:t>https://taxpolicy.ird.govt.nz/publications/2020/2020-ria-top-personal-income-tax-rate</w:t>
        </w:r>
      </w:hyperlink>
    </w:p>
  </w:footnote>
  <w:footnote w:id="15">
    <w:p w14:paraId="55EA4D3D" w14:textId="4547676D" w:rsidR="007564F9" w:rsidRPr="007564F9" w:rsidRDefault="007564F9" w:rsidP="00120490">
      <w:pPr>
        <w:pStyle w:val="FootnoteText"/>
        <w:tabs>
          <w:tab w:val="clear" w:pos="425"/>
        </w:tabs>
        <w:ind w:left="284" w:hanging="284"/>
        <w:jc w:val="both"/>
        <w:rPr>
          <w:lang w:val="en-NZ"/>
        </w:rPr>
      </w:pPr>
      <w:r>
        <w:rPr>
          <w:rStyle w:val="FootnoteReference"/>
        </w:rPr>
        <w:footnoteRef/>
      </w:r>
      <w:r w:rsidR="0015595F">
        <w:t xml:space="preserve"> </w:t>
      </w:r>
      <w:r w:rsidR="0015595F">
        <w:tab/>
      </w:r>
      <w:r>
        <w:rPr>
          <w:lang w:val="en-NZ"/>
        </w:rPr>
        <w:t>Page 9,</w:t>
      </w:r>
      <w:r w:rsidR="00C0343D">
        <w:rPr>
          <w:lang w:val="en-NZ"/>
        </w:rPr>
        <w:t xml:space="preserve"> </w:t>
      </w:r>
      <w:r w:rsidR="00C0343D" w:rsidRPr="005F4F75">
        <w:rPr>
          <w:i/>
          <w:iCs/>
          <w:lang w:val="en-NZ"/>
        </w:rPr>
        <w:t>Regulatory Impact Statement – Introducing a new top personal tax rate</w:t>
      </w:r>
      <w:r w:rsidR="00C0343D">
        <w:rPr>
          <w:lang w:val="en-NZ"/>
        </w:rPr>
        <w:t>,</w:t>
      </w:r>
      <w:r w:rsidR="0015595F">
        <w:rPr>
          <w:lang w:val="en-NZ"/>
        </w:rPr>
        <w:t xml:space="preserve"> Inland Revenue, </w:t>
      </w:r>
      <w:r w:rsidR="002D5D6E">
        <w:rPr>
          <w:lang w:val="en-NZ"/>
        </w:rPr>
        <w:t>November 2020.</w:t>
      </w:r>
      <w:r w:rsidR="00C0343D">
        <w:rPr>
          <w:lang w:val="en-NZ"/>
        </w:rPr>
        <w:t xml:space="preserve"> </w:t>
      </w:r>
      <w:hyperlink r:id="rId8" w:history="1">
        <w:r w:rsidR="00C0343D" w:rsidRPr="00C71AC3">
          <w:rPr>
            <w:rStyle w:val="Hyperlink"/>
            <w:lang w:val="en-NZ"/>
          </w:rPr>
          <w:t>https://taxpolicy.ird.govt.nz/publications/2020/2020-ria-top-personal-income-tax-rate</w:t>
        </w:r>
      </w:hyperlink>
    </w:p>
  </w:footnote>
  <w:footnote w:id="16">
    <w:p w14:paraId="38959575" w14:textId="0D8CD9FA" w:rsidR="00463A64" w:rsidRDefault="00463A64" w:rsidP="00120490">
      <w:pPr>
        <w:pStyle w:val="FootnoteText"/>
        <w:tabs>
          <w:tab w:val="clear" w:pos="425"/>
        </w:tabs>
        <w:ind w:left="284" w:hanging="284"/>
        <w:jc w:val="both"/>
      </w:pPr>
      <w:r>
        <w:rPr>
          <w:rStyle w:val="FootnoteReference"/>
        </w:rPr>
        <w:footnoteRef/>
      </w:r>
      <w:r>
        <w:t xml:space="preserve"> </w:t>
      </w:r>
      <w:r w:rsidR="008B7720">
        <w:tab/>
      </w:r>
      <w:r>
        <w:t>See the IR6G reference to associated persons and the attribution rule (question 16 Business or rental income); the IR10G reference to associated persons’ remuneration (question 21) and the IR620 Associated persons definitions for income tax purposes.</w:t>
      </w:r>
    </w:p>
  </w:footnote>
  <w:footnote w:id="17">
    <w:p w14:paraId="545A96FF" w14:textId="31CF8D7E" w:rsidR="00004F79" w:rsidRPr="00004F79" w:rsidRDefault="00004F79" w:rsidP="00120490">
      <w:pPr>
        <w:pStyle w:val="FootnoteText"/>
        <w:tabs>
          <w:tab w:val="clear" w:pos="425"/>
        </w:tabs>
        <w:ind w:left="284" w:hanging="284"/>
        <w:jc w:val="both"/>
        <w:rPr>
          <w:lang w:val="en-NZ"/>
        </w:rPr>
      </w:pPr>
      <w:r>
        <w:rPr>
          <w:rStyle w:val="FootnoteReference"/>
        </w:rPr>
        <w:footnoteRef/>
      </w:r>
      <w:r>
        <w:t xml:space="preserve"> </w:t>
      </w:r>
      <w:r w:rsidR="00E95A12">
        <w:tab/>
      </w:r>
      <w:r>
        <w:rPr>
          <w:lang w:val="en-NZ"/>
        </w:rPr>
        <w:t xml:space="preserve">Pages 3-4, </w:t>
      </w:r>
      <w:r w:rsidR="00CD7B46">
        <w:rPr>
          <w:lang w:val="en-NZ"/>
        </w:rPr>
        <w:t xml:space="preserve">Officials’ issues paper: </w:t>
      </w:r>
      <w:r w:rsidR="00CD7B46" w:rsidRPr="00EF2070">
        <w:rPr>
          <w:i/>
          <w:iCs/>
          <w:lang w:val="en-NZ"/>
        </w:rPr>
        <w:t>Reporting requirements for domestic trusts</w:t>
      </w:r>
      <w:r w:rsidR="00CD7B46">
        <w:rPr>
          <w:lang w:val="en-NZ"/>
        </w:rPr>
        <w:t xml:space="preserve">, October 2021. </w:t>
      </w:r>
      <w:hyperlink r:id="rId9" w:history="1">
        <w:r w:rsidR="00CD7B46" w:rsidRPr="00483935">
          <w:rPr>
            <w:rStyle w:val="Hyperlink"/>
            <w:lang w:val="en-NZ"/>
          </w:rPr>
          <w:t>https://taxpolicy.ird.govt.nz/publications/2021/2021-ip-reporting-requirements-domestic-trusts</w:t>
        </w:r>
      </w:hyperlink>
    </w:p>
  </w:footnote>
  <w:footnote w:id="18">
    <w:p w14:paraId="0626A8E0" w14:textId="27C0FDA6" w:rsidR="006951A4" w:rsidRPr="006951A4" w:rsidRDefault="006951A4" w:rsidP="00120490">
      <w:pPr>
        <w:pStyle w:val="FootnoteText"/>
        <w:tabs>
          <w:tab w:val="clear" w:pos="425"/>
        </w:tabs>
        <w:ind w:left="284" w:hanging="284"/>
        <w:jc w:val="both"/>
        <w:rPr>
          <w:lang w:val="en-NZ"/>
        </w:rPr>
      </w:pPr>
      <w:r>
        <w:rPr>
          <w:rStyle w:val="FootnoteReference"/>
        </w:rPr>
        <w:footnoteRef/>
      </w:r>
      <w:r>
        <w:t xml:space="preserve"> </w:t>
      </w:r>
      <w:r w:rsidR="00E95A12">
        <w:tab/>
      </w:r>
      <w:r>
        <w:rPr>
          <w:lang w:val="en-NZ"/>
        </w:rPr>
        <w:t>Section CX 56C of the Income Tax Act 2007.</w:t>
      </w:r>
    </w:p>
  </w:footnote>
  <w:footnote w:id="19">
    <w:p w14:paraId="53EAA3C4" w14:textId="77777777" w:rsidR="00C57C13" w:rsidRPr="00CA514E" w:rsidRDefault="00C57C13" w:rsidP="00C57C13">
      <w:pPr>
        <w:pStyle w:val="FootnoteText"/>
        <w:tabs>
          <w:tab w:val="clear" w:pos="425"/>
        </w:tabs>
        <w:ind w:left="284" w:hanging="284"/>
        <w:jc w:val="both"/>
        <w:rPr>
          <w:lang w:val="en-NZ"/>
        </w:rPr>
      </w:pPr>
      <w:r>
        <w:rPr>
          <w:rStyle w:val="FootnoteReference"/>
        </w:rPr>
        <w:footnoteRef/>
      </w:r>
      <w:r>
        <w:t xml:space="preserve"> </w:t>
      </w:r>
      <w:r>
        <w:tab/>
        <w:t xml:space="preserve">This is consistent with the updated IR6 </w:t>
      </w:r>
      <w:r w:rsidRPr="00CA514E">
        <w:rPr>
          <w:i/>
          <w:iCs/>
        </w:rPr>
        <w:t>income tax return for estates and trusts</w:t>
      </w:r>
      <w:r>
        <w:t>. Trustees of trusts subject to the disclosure rules will be required to disclose each valuation method used for the asset classes: land, buildings, and shares/ownership interests. If there are multiple assets within an asset class, and more than one valuation method has been used, the method that reflects the largest proportion of assets in that class must be disclosed. Trustees will not be required to adopt the same valuation method as the previous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A48" w14:textId="7DAAB237" w:rsidR="00925550" w:rsidRDefault="00925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7085" w14:textId="1AF09B0A" w:rsidR="00925550" w:rsidRDefault="0092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008936D0"/>
    <w:multiLevelType w:val="hybridMultilevel"/>
    <w:tmpl w:val="D3F85AB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36973EC"/>
    <w:multiLevelType w:val="hybridMultilevel"/>
    <w:tmpl w:val="99C0C1BE"/>
    <w:lvl w:ilvl="0" w:tplc="515EF5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7D4D89"/>
    <w:multiLevelType w:val="hybridMultilevel"/>
    <w:tmpl w:val="6B02A1C8"/>
    <w:lvl w:ilvl="0" w:tplc="39A854A8">
      <w:start w:val="1"/>
      <w:numFmt w:val="bullet"/>
      <w:pStyle w:val="Bulleted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2D24515"/>
    <w:multiLevelType w:val="hybridMultilevel"/>
    <w:tmpl w:val="D0865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3C4099D"/>
    <w:multiLevelType w:val="hybridMultilevel"/>
    <w:tmpl w:val="1A4C1882"/>
    <w:lvl w:ilvl="0" w:tplc="12BADE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56A318A"/>
    <w:multiLevelType w:val="hybridMultilevel"/>
    <w:tmpl w:val="9EBE72CA"/>
    <w:lvl w:ilvl="0" w:tplc="081C89E4">
      <w:start w:val="1"/>
      <w:numFmt w:val="lowerRoman"/>
      <w:lvlText w:val="%1."/>
      <w:lvlJc w:val="left"/>
      <w:pPr>
        <w:ind w:left="720" w:hanging="360"/>
      </w:pPr>
      <w:rPr>
        <w:rFonts w:hint="default"/>
        <w:b w:val="0"/>
        <w:i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8BC1BCF"/>
    <w:multiLevelType w:val="hybridMultilevel"/>
    <w:tmpl w:val="F830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1005CA"/>
    <w:multiLevelType w:val="hybridMultilevel"/>
    <w:tmpl w:val="AB845A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5E62F65"/>
    <w:multiLevelType w:val="hybridMultilevel"/>
    <w:tmpl w:val="740EAD70"/>
    <w:lvl w:ilvl="0" w:tplc="1409000F">
      <w:start w:val="1"/>
      <w:numFmt w:val="decimal"/>
      <w:lvlText w:val="%1."/>
      <w:lvlJc w:val="left"/>
      <w:pPr>
        <w:ind w:left="720" w:hanging="360"/>
      </w:pPr>
    </w:lvl>
    <w:lvl w:ilvl="1" w:tplc="14090019">
      <w:start w:val="1"/>
      <w:numFmt w:val="lowerLetter"/>
      <w:lvlText w:val="%2."/>
      <w:lvlJc w:val="left"/>
      <w:pPr>
        <w:ind w:left="1495"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21C120F"/>
    <w:multiLevelType w:val="hybridMultilevel"/>
    <w:tmpl w:val="F0241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2E257D"/>
    <w:multiLevelType w:val="hybridMultilevel"/>
    <w:tmpl w:val="D7081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2504C26"/>
    <w:multiLevelType w:val="hybridMultilevel"/>
    <w:tmpl w:val="2C82D0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374283"/>
    <w:multiLevelType w:val="hybridMultilevel"/>
    <w:tmpl w:val="A3D22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F81733"/>
    <w:multiLevelType w:val="hybridMultilevel"/>
    <w:tmpl w:val="77B0343A"/>
    <w:lvl w:ilvl="0" w:tplc="7DCC7C1A">
      <w:numFmt w:val="bullet"/>
      <w:lvlText w:val="•"/>
      <w:lvlJc w:val="left"/>
      <w:pPr>
        <w:ind w:left="1440" w:hanging="72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513774C8"/>
    <w:multiLevelType w:val="hybridMultilevel"/>
    <w:tmpl w:val="DA9C1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44D4514"/>
    <w:multiLevelType w:val="multilevel"/>
    <w:tmpl w:val="DAA4806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D5267"/>
    <w:multiLevelType w:val="hybridMultilevel"/>
    <w:tmpl w:val="1416EDF2"/>
    <w:lvl w:ilvl="0" w:tplc="A0321336">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DF71A17"/>
    <w:multiLevelType w:val="hybridMultilevel"/>
    <w:tmpl w:val="1902D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46C5829"/>
    <w:multiLevelType w:val="hybridMultilevel"/>
    <w:tmpl w:val="EEA012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63F5936"/>
    <w:multiLevelType w:val="hybridMultilevel"/>
    <w:tmpl w:val="AE3CA1F0"/>
    <w:lvl w:ilvl="0" w:tplc="138C302E">
      <w:start w:val="1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77B32CB"/>
    <w:multiLevelType w:val="hybridMultilevel"/>
    <w:tmpl w:val="C5DAE30E"/>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34" w15:restartNumberingAfterBreak="0">
    <w:nsid w:val="68500B9C"/>
    <w:multiLevelType w:val="hybridMultilevel"/>
    <w:tmpl w:val="DD606C3C"/>
    <w:lvl w:ilvl="0" w:tplc="12BADE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A062730"/>
    <w:multiLevelType w:val="hybridMultilevel"/>
    <w:tmpl w:val="18827D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E568D5"/>
    <w:multiLevelType w:val="hybridMultilevel"/>
    <w:tmpl w:val="F35A6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DF64100"/>
    <w:multiLevelType w:val="hybridMultilevel"/>
    <w:tmpl w:val="CDA4C2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3316A42"/>
    <w:multiLevelType w:val="hybridMultilevel"/>
    <w:tmpl w:val="82E2BBFC"/>
    <w:lvl w:ilvl="0" w:tplc="A0F6AB6A">
      <w:start w:val="1"/>
      <w:numFmt w:val="lowerRoman"/>
      <w:lvlText w:val="%1."/>
      <w:lvlJc w:val="left"/>
      <w:pPr>
        <w:ind w:left="720" w:hanging="360"/>
      </w:pPr>
      <w:rPr>
        <w:rFonts w:ascii="Verdana" w:hAnsi="Verdana" w:hint="default"/>
        <w:b w:val="0"/>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40" w15:restartNumberingAfterBreak="0">
    <w:nsid w:val="7EBF48ED"/>
    <w:multiLevelType w:val="hybridMultilevel"/>
    <w:tmpl w:val="DF2E6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7C052E"/>
    <w:multiLevelType w:val="hybridMultilevel"/>
    <w:tmpl w:val="C06EC6CC"/>
    <w:lvl w:ilvl="0" w:tplc="03DED2A0">
      <w:start w:val="1"/>
      <w:numFmt w:val="lowerRoman"/>
      <w:lvlText w:val="(%1)"/>
      <w:lvlJc w:val="left"/>
      <w:pPr>
        <w:ind w:left="720" w:hanging="360"/>
      </w:pPr>
      <w:rPr>
        <w:rFonts w:cstheme="minorBidi" w:hint="default"/>
        <w:b w:val="0"/>
        <w:i w:val="0"/>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19"/>
  </w:num>
  <w:num w:numId="5">
    <w:abstractNumId w:val="9"/>
  </w:num>
  <w:num w:numId="6">
    <w:abstractNumId w:val="35"/>
  </w:num>
  <w:num w:numId="7">
    <w:abstractNumId w:val="25"/>
  </w:num>
  <w:num w:numId="8">
    <w:abstractNumId w:val="30"/>
  </w:num>
  <w:num w:numId="9">
    <w:abstractNumId w:val="17"/>
  </w:num>
  <w:num w:numId="10">
    <w:abstractNumId w:val="15"/>
  </w:num>
  <w:num w:numId="11">
    <w:abstractNumId w:val="26"/>
  </w:num>
  <w:num w:numId="12">
    <w:abstractNumId w:val="3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21"/>
  </w:num>
  <w:num w:numId="24">
    <w:abstractNumId w:val="41"/>
  </w:num>
  <w:num w:numId="25">
    <w:abstractNumId w:val="10"/>
  </w:num>
  <w:num w:numId="26">
    <w:abstractNumId w:val="10"/>
    <w:lvlOverride w:ilvl="0">
      <w:startOverride w:val="1"/>
    </w:lvlOverride>
  </w:num>
  <w:num w:numId="27">
    <w:abstractNumId w:val="10"/>
    <w:lvlOverride w:ilvl="0">
      <w:startOverride w:val="1"/>
    </w:lvlOverride>
  </w:num>
  <w:num w:numId="28">
    <w:abstractNumId w:val="29"/>
  </w:num>
  <w:num w:numId="29">
    <w:abstractNumId w:val="23"/>
  </w:num>
  <w:num w:numId="30">
    <w:abstractNumId w:val="24"/>
  </w:num>
  <w:num w:numId="31">
    <w:abstractNumId w:val="34"/>
  </w:num>
  <w:num w:numId="32">
    <w:abstractNumId w:val="13"/>
  </w:num>
  <w:num w:numId="33">
    <w:abstractNumId w:val="14"/>
  </w:num>
  <w:num w:numId="34">
    <w:abstractNumId w:val="38"/>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0"/>
  </w:num>
  <w:num w:numId="39">
    <w:abstractNumId w:val="36"/>
  </w:num>
  <w:num w:numId="40">
    <w:abstractNumId w:val="18"/>
  </w:num>
  <w:num w:numId="41">
    <w:abstractNumId w:val="32"/>
  </w:num>
  <w:num w:numId="42">
    <w:abstractNumId w:val="40"/>
  </w:num>
  <w:num w:numId="43">
    <w:abstractNumId w:val="12"/>
  </w:num>
  <w:num w:numId="44">
    <w:abstractNumId w:val="31"/>
  </w:num>
  <w:num w:numId="45">
    <w:abstractNumId w:val="37"/>
  </w:num>
  <w:num w:numId="46">
    <w:abstractNumId w:val="22"/>
  </w:num>
  <w:num w:numId="47">
    <w:abstractNumId w:val="16"/>
  </w:num>
  <w:num w:numId="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220"/>
    <w:rsid w:val="00000329"/>
    <w:rsid w:val="000008F0"/>
    <w:rsid w:val="00000ADD"/>
    <w:rsid w:val="0000201A"/>
    <w:rsid w:val="0000238D"/>
    <w:rsid w:val="0000328A"/>
    <w:rsid w:val="00003488"/>
    <w:rsid w:val="0000464A"/>
    <w:rsid w:val="00004F79"/>
    <w:rsid w:val="0000724E"/>
    <w:rsid w:val="0000745A"/>
    <w:rsid w:val="00007FD3"/>
    <w:rsid w:val="00011016"/>
    <w:rsid w:val="00011AB9"/>
    <w:rsid w:val="00012998"/>
    <w:rsid w:val="000132F6"/>
    <w:rsid w:val="0001333C"/>
    <w:rsid w:val="00013995"/>
    <w:rsid w:val="00013E60"/>
    <w:rsid w:val="00014FB7"/>
    <w:rsid w:val="00015662"/>
    <w:rsid w:val="0001659F"/>
    <w:rsid w:val="00016C20"/>
    <w:rsid w:val="00017820"/>
    <w:rsid w:val="00017B56"/>
    <w:rsid w:val="00020F75"/>
    <w:rsid w:val="000210ED"/>
    <w:rsid w:val="000213C7"/>
    <w:rsid w:val="00022A83"/>
    <w:rsid w:val="00023AF3"/>
    <w:rsid w:val="00023B2C"/>
    <w:rsid w:val="00023E05"/>
    <w:rsid w:val="00023F05"/>
    <w:rsid w:val="00024303"/>
    <w:rsid w:val="0002472F"/>
    <w:rsid w:val="00024979"/>
    <w:rsid w:val="00025427"/>
    <w:rsid w:val="00025E67"/>
    <w:rsid w:val="00030190"/>
    <w:rsid w:val="000307FB"/>
    <w:rsid w:val="00032E9A"/>
    <w:rsid w:val="00033C96"/>
    <w:rsid w:val="00034615"/>
    <w:rsid w:val="00034C60"/>
    <w:rsid w:val="0003527F"/>
    <w:rsid w:val="00035E8D"/>
    <w:rsid w:val="000362D6"/>
    <w:rsid w:val="00036409"/>
    <w:rsid w:val="000371E9"/>
    <w:rsid w:val="00037F29"/>
    <w:rsid w:val="00041FC0"/>
    <w:rsid w:val="000424B7"/>
    <w:rsid w:val="00042907"/>
    <w:rsid w:val="0004298A"/>
    <w:rsid w:val="0004354D"/>
    <w:rsid w:val="00043A78"/>
    <w:rsid w:val="00043CE2"/>
    <w:rsid w:val="00043E94"/>
    <w:rsid w:val="000443E0"/>
    <w:rsid w:val="0004633A"/>
    <w:rsid w:val="00046A04"/>
    <w:rsid w:val="00046D73"/>
    <w:rsid w:val="00047C3E"/>
    <w:rsid w:val="00050DD8"/>
    <w:rsid w:val="00051193"/>
    <w:rsid w:val="0005203A"/>
    <w:rsid w:val="00052421"/>
    <w:rsid w:val="0005244B"/>
    <w:rsid w:val="000524A6"/>
    <w:rsid w:val="00053455"/>
    <w:rsid w:val="000543AB"/>
    <w:rsid w:val="000548CE"/>
    <w:rsid w:val="00054DAC"/>
    <w:rsid w:val="00055112"/>
    <w:rsid w:val="0005522A"/>
    <w:rsid w:val="0005691A"/>
    <w:rsid w:val="00060598"/>
    <w:rsid w:val="000608D5"/>
    <w:rsid w:val="000626D7"/>
    <w:rsid w:val="00063943"/>
    <w:rsid w:val="00063B49"/>
    <w:rsid w:val="00064320"/>
    <w:rsid w:val="0006498C"/>
    <w:rsid w:val="00064AC2"/>
    <w:rsid w:val="00065489"/>
    <w:rsid w:val="00065D81"/>
    <w:rsid w:val="00065F1C"/>
    <w:rsid w:val="00066BF5"/>
    <w:rsid w:val="00067AA4"/>
    <w:rsid w:val="0007066F"/>
    <w:rsid w:val="00070EEA"/>
    <w:rsid w:val="0007132C"/>
    <w:rsid w:val="0007168A"/>
    <w:rsid w:val="000719B5"/>
    <w:rsid w:val="00072C3E"/>
    <w:rsid w:val="00073B88"/>
    <w:rsid w:val="0007474B"/>
    <w:rsid w:val="00074EE2"/>
    <w:rsid w:val="00076368"/>
    <w:rsid w:val="000763CA"/>
    <w:rsid w:val="000801FB"/>
    <w:rsid w:val="00080B8E"/>
    <w:rsid w:val="00080F6E"/>
    <w:rsid w:val="00080FED"/>
    <w:rsid w:val="00081BA3"/>
    <w:rsid w:val="00081C20"/>
    <w:rsid w:val="000832F8"/>
    <w:rsid w:val="0008397A"/>
    <w:rsid w:val="00083B24"/>
    <w:rsid w:val="00083E4F"/>
    <w:rsid w:val="00085B8F"/>
    <w:rsid w:val="00085FA8"/>
    <w:rsid w:val="00087601"/>
    <w:rsid w:val="00090DDB"/>
    <w:rsid w:val="00092020"/>
    <w:rsid w:val="0009207D"/>
    <w:rsid w:val="00092B21"/>
    <w:rsid w:val="00093E9C"/>
    <w:rsid w:val="000940D1"/>
    <w:rsid w:val="00095633"/>
    <w:rsid w:val="0009587F"/>
    <w:rsid w:val="00095C46"/>
    <w:rsid w:val="00095F9C"/>
    <w:rsid w:val="000962E3"/>
    <w:rsid w:val="0009658E"/>
    <w:rsid w:val="00097119"/>
    <w:rsid w:val="000A0FEF"/>
    <w:rsid w:val="000A1123"/>
    <w:rsid w:val="000A1ADA"/>
    <w:rsid w:val="000A1AE7"/>
    <w:rsid w:val="000A1BEC"/>
    <w:rsid w:val="000A289D"/>
    <w:rsid w:val="000A2B04"/>
    <w:rsid w:val="000A327B"/>
    <w:rsid w:val="000A38F4"/>
    <w:rsid w:val="000A3E0C"/>
    <w:rsid w:val="000A4794"/>
    <w:rsid w:val="000A6AC8"/>
    <w:rsid w:val="000A6C33"/>
    <w:rsid w:val="000B0AAE"/>
    <w:rsid w:val="000B0D4D"/>
    <w:rsid w:val="000B0F4A"/>
    <w:rsid w:val="000B1475"/>
    <w:rsid w:val="000B2320"/>
    <w:rsid w:val="000B41E7"/>
    <w:rsid w:val="000B4C66"/>
    <w:rsid w:val="000B5AB4"/>
    <w:rsid w:val="000B646C"/>
    <w:rsid w:val="000B7AB6"/>
    <w:rsid w:val="000C024D"/>
    <w:rsid w:val="000C0531"/>
    <w:rsid w:val="000C08A7"/>
    <w:rsid w:val="000C0A05"/>
    <w:rsid w:val="000C203A"/>
    <w:rsid w:val="000C22CC"/>
    <w:rsid w:val="000C268D"/>
    <w:rsid w:val="000C2864"/>
    <w:rsid w:val="000C299F"/>
    <w:rsid w:val="000C29FA"/>
    <w:rsid w:val="000C2D40"/>
    <w:rsid w:val="000C3089"/>
    <w:rsid w:val="000C356C"/>
    <w:rsid w:val="000C4659"/>
    <w:rsid w:val="000C471F"/>
    <w:rsid w:val="000C5F69"/>
    <w:rsid w:val="000C7053"/>
    <w:rsid w:val="000C7538"/>
    <w:rsid w:val="000C76ED"/>
    <w:rsid w:val="000D06AE"/>
    <w:rsid w:val="000D2947"/>
    <w:rsid w:val="000D34D3"/>
    <w:rsid w:val="000D4416"/>
    <w:rsid w:val="000D504F"/>
    <w:rsid w:val="000D5AA2"/>
    <w:rsid w:val="000D62C6"/>
    <w:rsid w:val="000D7103"/>
    <w:rsid w:val="000D7979"/>
    <w:rsid w:val="000D7981"/>
    <w:rsid w:val="000E00AF"/>
    <w:rsid w:val="000E074E"/>
    <w:rsid w:val="000E0A89"/>
    <w:rsid w:val="000E271E"/>
    <w:rsid w:val="000E3028"/>
    <w:rsid w:val="000E35FF"/>
    <w:rsid w:val="000E54F5"/>
    <w:rsid w:val="000E5F04"/>
    <w:rsid w:val="000E69FF"/>
    <w:rsid w:val="000E70DA"/>
    <w:rsid w:val="000E75CD"/>
    <w:rsid w:val="000F055E"/>
    <w:rsid w:val="000F0A24"/>
    <w:rsid w:val="000F3911"/>
    <w:rsid w:val="000F3B5C"/>
    <w:rsid w:val="000F474C"/>
    <w:rsid w:val="000F5139"/>
    <w:rsid w:val="000F574E"/>
    <w:rsid w:val="000F5D1D"/>
    <w:rsid w:val="000F5FE4"/>
    <w:rsid w:val="000F62E0"/>
    <w:rsid w:val="000F6B2E"/>
    <w:rsid w:val="000F6F7A"/>
    <w:rsid w:val="000F7016"/>
    <w:rsid w:val="000F720E"/>
    <w:rsid w:val="000F740F"/>
    <w:rsid w:val="000F7C6A"/>
    <w:rsid w:val="000F7E55"/>
    <w:rsid w:val="00100A08"/>
    <w:rsid w:val="00100E7A"/>
    <w:rsid w:val="00101641"/>
    <w:rsid w:val="00101FE6"/>
    <w:rsid w:val="001022DE"/>
    <w:rsid w:val="00102CB9"/>
    <w:rsid w:val="001038D7"/>
    <w:rsid w:val="0010467F"/>
    <w:rsid w:val="001049D4"/>
    <w:rsid w:val="001052C2"/>
    <w:rsid w:val="00105D66"/>
    <w:rsid w:val="00105E67"/>
    <w:rsid w:val="001064B8"/>
    <w:rsid w:val="00106831"/>
    <w:rsid w:val="00106AD8"/>
    <w:rsid w:val="001076B7"/>
    <w:rsid w:val="00110FBD"/>
    <w:rsid w:val="001125DC"/>
    <w:rsid w:val="0011345D"/>
    <w:rsid w:val="001136F5"/>
    <w:rsid w:val="00113FED"/>
    <w:rsid w:val="0011461E"/>
    <w:rsid w:val="001155E1"/>
    <w:rsid w:val="001163EB"/>
    <w:rsid w:val="00116934"/>
    <w:rsid w:val="001170C9"/>
    <w:rsid w:val="001179FE"/>
    <w:rsid w:val="001201ED"/>
    <w:rsid w:val="00120490"/>
    <w:rsid w:val="00120967"/>
    <w:rsid w:val="00120BC0"/>
    <w:rsid w:val="00120C89"/>
    <w:rsid w:val="00120FA8"/>
    <w:rsid w:val="0012118D"/>
    <w:rsid w:val="00121919"/>
    <w:rsid w:val="0012201E"/>
    <w:rsid w:val="001220BD"/>
    <w:rsid w:val="00122906"/>
    <w:rsid w:val="00123C69"/>
    <w:rsid w:val="001246B9"/>
    <w:rsid w:val="001246ED"/>
    <w:rsid w:val="00124FA4"/>
    <w:rsid w:val="00125650"/>
    <w:rsid w:val="00125B7A"/>
    <w:rsid w:val="00127874"/>
    <w:rsid w:val="0013023D"/>
    <w:rsid w:val="001314E4"/>
    <w:rsid w:val="00132393"/>
    <w:rsid w:val="0013264B"/>
    <w:rsid w:val="00132999"/>
    <w:rsid w:val="00133D6E"/>
    <w:rsid w:val="00134131"/>
    <w:rsid w:val="00135B24"/>
    <w:rsid w:val="00136004"/>
    <w:rsid w:val="00136700"/>
    <w:rsid w:val="00136946"/>
    <w:rsid w:val="00137414"/>
    <w:rsid w:val="001375CA"/>
    <w:rsid w:val="001402E8"/>
    <w:rsid w:val="00140697"/>
    <w:rsid w:val="00140985"/>
    <w:rsid w:val="00141356"/>
    <w:rsid w:val="0014207E"/>
    <w:rsid w:val="001435C6"/>
    <w:rsid w:val="00143F2D"/>
    <w:rsid w:val="00143F69"/>
    <w:rsid w:val="00144359"/>
    <w:rsid w:val="0014439B"/>
    <w:rsid w:val="00144B04"/>
    <w:rsid w:val="0014549C"/>
    <w:rsid w:val="00150B2E"/>
    <w:rsid w:val="00150D58"/>
    <w:rsid w:val="00150D95"/>
    <w:rsid w:val="0015155F"/>
    <w:rsid w:val="00151D89"/>
    <w:rsid w:val="00151F20"/>
    <w:rsid w:val="00153B80"/>
    <w:rsid w:val="00154523"/>
    <w:rsid w:val="00154919"/>
    <w:rsid w:val="0015595F"/>
    <w:rsid w:val="00155E74"/>
    <w:rsid w:val="0015659F"/>
    <w:rsid w:val="001568CA"/>
    <w:rsid w:val="00156C9A"/>
    <w:rsid w:val="0015748B"/>
    <w:rsid w:val="00157709"/>
    <w:rsid w:val="00157D6E"/>
    <w:rsid w:val="001619FC"/>
    <w:rsid w:val="00162700"/>
    <w:rsid w:val="00162CB4"/>
    <w:rsid w:val="00164445"/>
    <w:rsid w:val="00164D97"/>
    <w:rsid w:val="00164F11"/>
    <w:rsid w:val="00165041"/>
    <w:rsid w:val="001651C3"/>
    <w:rsid w:val="00166DEC"/>
    <w:rsid w:val="00167308"/>
    <w:rsid w:val="00167871"/>
    <w:rsid w:val="00167C73"/>
    <w:rsid w:val="001702DD"/>
    <w:rsid w:val="00170676"/>
    <w:rsid w:val="0017116F"/>
    <w:rsid w:val="00171E64"/>
    <w:rsid w:val="00172271"/>
    <w:rsid w:val="00175B52"/>
    <w:rsid w:val="00175FE1"/>
    <w:rsid w:val="0017788F"/>
    <w:rsid w:val="001802E8"/>
    <w:rsid w:val="00180478"/>
    <w:rsid w:val="001806AB"/>
    <w:rsid w:val="00180D2D"/>
    <w:rsid w:val="00181364"/>
    <w:rsid w:val="001813A9"/>
    <w:rsid w:val="001817F4"/>
    <w:rsid w:val="00181F47"/>
    <w:rsid w:val="001824C8"/>
    <w:rsid w:val="00182FAD"/>
    <w:rsid w:val="001837C1"/>
    <w:rsid w:val="00183A92"/>
    <w:rsid w:val="00185A12"/>
    <w:rsid w:val="00186592"/>
    <w:rsid w:val="001865E3"/>
    <w:rsid w:val="001866C6"/>
    <w:rsid w:val="00187327"/>
    <w:rsid w:val="0018734C"/>
    <w:rsid w:val="00190844"/>
    <w:rsid w:val="00190D57"/>
    <w:rsid w:val="00190F33"/>
    <w:rsid w:val="0019135F"/>
    <w:rsid w:val="00191500"/>
    <w:rsid w:val="00191E06"/>
    <w:rsid w:val="0019342D"/>
    <w:rsid w:val="00193917"/>
    <w:rsid w:val="001940E5"/>
    <w:rsid w:val="00195CB2"/>
    <w:rsid w:val="0019635D"/>
    <w:rsid w:val="001967D5"/>
    <w:rsid w:val="0019680C"/>
    <w:rsid w:val="00196870"/>
    <w:rsid w:val="00196AC7"/>
    <w:rsid w:val="00196FA9"/>
    <w:rsid w:val="0019792F"/>
    <w:rsid w:val="001A07B8"/>
    <w:rsid w:val="001A1B8B"/>
    <w:rsid w:val="001A26F5"/>
    <w:rsid w:val="001A4B31"/>
    <w:rsid w:val="001A50C2"/>
    <w:rsid w:val="001A5ADC"/>
    <w:rsid w:val="001A5FFD"/>
    <w:rsid w:val="001A6552"/>
    <w:rsid w:val="001A69E8"/>
    <w:rsid w:val="001A767E"/>
    <w:rsid w:val="001B01AC"/>
    <w:rsid w:val="001B20A2"/>
    <w:rsid w:val="001B2217"/>
    <w:rsid w:val="001B34FB"/>
    <w:rsid w:val="001B428D"/>
    <w:rsid w:val="001B55C8"/>
    <w:rsid w:val="001B59C5"/>
    <w:rsid w:val="001B69EC"/>
    <w:rsid w:val="001B6E9E"/>
    <w:rsid w:val="001C03B6"/>
    <w:rsid w:val="001C0CA5"/>
    <w:rsid w:val="001C1B93"/>
    <w:rsid w:val="001C1F8A"/>
    <w:rsid w:val="001C21DE"/>
    <w:rsid w:val="001C224B"/>
    <w:rsid w:val="001C2AD0"/>
    <w:rsid w:val="001C2B5F"/>
    <w:rsid w:val="001C3849"/>
    <w:rsid w:val="001C3F37"/>
    <w:rsid w:val="001C4A82"/>
    <w:rsid w:val="001C544D"/>
    <w:rsid w:val="001C5F72"/>
    <w:rsid w:val="001C6453"/>
    <w:rsid w:val="001C66CD"/>
    <w:rsid w:val="001C7565"/>
    <w:rsid w:val="001C7647"/>
    <w:rsid w:val="001C79B3"/>
    <w:rsid w:val="001D0AA6"/>
    <w:rsid w:val="001D1874"/>
    <w:rsid w:val="001D3CF6"/>
    <w:rsid w:val="001D4DEC"/>
    <w:rsid w:val="001D599D"/>
    <w:rsid w:val="001D5DAC"/>
    <w:rsid w:val="001D6072"/>
    <w:rsid w:val="001D675E"/>
    <w:rsid w:val="001D7B9B"/>
    <w:rsid w:val="001E046F"/>
    <w:rsid w:val="001E166B"/>
    <w:rsid w:val="001E2235"/>
    <w:rsid w:val="001E34C4"/>
    <w:rsid w:val="001E4BC1"/>
    <w:rsid w:val="001E5443"/>
    <w:rsid w:val="001E5A9E"/>
    <w:rsid w:val="001E5E05"/>
    <w:rsid w:val="001E5F53"/>
    <w:rsid w:val="001E7D01"/>
    <w:rsid w:val="001E7E84"/>
    <w:rsid w:val="001F110E"/>
    <w:rsid w:val="001F11C6"/>
    <w:rsid w:val="001F1A16"/>
    <w:rsid w:val="001F1B5C"/>
    <w:rsid w:val="001F29E6"/>
    <w:rsid w:val="001F3EC8"/>
    <w:rsid w:val="001F42A1"/>
    <w:rsid w:val="001F515C"/>
    <w:rsid w:val="001F67E2"/>
    <w:rsid w:val="001F6FBD"/>
    <w:rsid w:val="001F71A1"/>
    <w:rsid w:val="001F7264"/>
    <w:rsid w:val="001F7422"/>
    <w:rsid w:val="001F759D"/>
    <w:rsid w:val="00200076"/>
    <w:rsid w:val="002003AE"/>
    <w:rsid w:val="00200BDC"/>
    <w:rsid w:val="00200BE7"/>
    <w:rsid w:val="00200DA1"/>
    <w:rsid w:val="002025A8"/>
    <w:rsid w:val="00203196"/>
    <w:rsid w:val="002033C2"/>
    <w:rsid w:val="00205633"/>
    <w:rsid w:val="00205DB2"/>
    <w:rsid w:val="00205ECA"/>
    <w:rsid w:val="002060EC"/>
    <w:rsid w:val="00206902"/>
    <w:rsid w:val="00207DEE"/>
    <w:rsid w:val="0021021C"/>
    <w:rsid w:val="00210795"/>
    <w:rsid w:val="00210A77"/>
    <w:rsid w:val="00210C3D"/>
    <w:rsid w:val="00210F72"/>
    <w:rsid w:val="002112EA"/>
    <w:rsid w:val="00212395"/>
    <w:rsid w:val="00212458"/>
    <w:rsid w:val="002129B9"/>
    <w:rsid w:val="00212A84"/>
    <w:rsid w:val="00212EB8"/>
    <w:rsid w:val="00213182"/>
    <w:rsid w:val="00213280"/>
    <w:rsid w:val="00213CA6"/>
    <w:rsid w:val="00215E8C"/>
    <w:rsid w:val="002167FC"/>
    <w:rsid w:val="00216981"/>
    <w:rsid w:val="00217C2F"/>
    <w:rsid w:val="00220835"/>
    <w:rsid w:val="00221723"/>
    <w:rsid w:val="00221C0F"/>
    <w:rsid w:val="0022201B"/>
    <w:rsid w:val="00222441"/>
    <w:rsid w:val="0022253F"/>
    <w:rsid w:val="00222CA2"/>
    <w:rsid w:val="002254E4"/>
    <w:rsid w:val="0022557C"/>
    <w:rsid w:val="0022622F"/>
    <w:rsid w:val="002278E7"/>
    <w:rsid w:val="00230A4B"/>
    <w:rsid w:val="00230B38"/>
    <w:rsid w:val="00231673"/>
    <w:rsid w:val="002316E5"/>
    <w:rsid w:val="00231B40"/>
    <w:rsid w:val="00231C0E"/>
    <w:rsid w:val="0023241A"/>
    <w:rsid w:val="00234929"/>
    <w:rsid w:val="002352C4"/>
    <w:rsid w:val="002353D8"/>
    <w:rsid w:val="0023695D"/>
    <w:rsid w:val="00240036"/>
    <w:rsid w:val="002410FE"/>
    <w:rsid w:val="00241DC9"/>
    <w:rsid w:val="002428A4"/>
    <w:rsid w:val="00242BAA"/>
    <w:rsid w:val="00242E91"/>
    <w:rsid w:val="002442C0"/>
    <w:rsid w:val="0024561D"/>
    <w:rsid w:val="002457CC"/>
    <w:rsid w:val="00245AF6"/>
    <w:rsid w:val="00246EEE"/>
    <w:rsid w:val="002474D7"/>
    <w:rsid w:val="00250F16"/>
    <w:rsid w:val="00251106"/>
    <w:rsid w:val="00251A68"/>
    <w:rsid w:val="00253A83"/>
    <w:rsid w:val="00253FF1"/>
    <w:rsid w:val="002546A9"/>
    <w:rsid w:val="00255E0E"/>
    <w:rsid w:val="0026116D"/>
    <w:rsid w:val="0026139D"/>
    <w:rsid w:val="002619CC"/>
    <w:rsid w:val="00262218"/>
    <w:rsid w:val="002622FE"/>
    <w:rsid w:val="00262C2A"/>
    <w:rsid w:val="002632E4"/>
    <w:rsid w:val="0026379C"/>
    <w:rsid w:val="0026379E"/>
    <w:rsid w:val="00263D08"/>
    <w:rsid w:val="0026410B"/>
    <w:rsid w:val="002648CE"/>
    <w:rsid w:val="002649CB"/>
    <w:rsid w:val="00264E62"/>
    <w:rsid w:val="0026514C"/>
    <w:rsid w:val="002663F5"/>
    <w:rsid w:val="00267346"/>
    <w:rsid w:val="002674B1"/>
    <w:rsid w:val="00267D07"/>
    <w:rsid w:val="0027037A"/>
    <w:rsid w:val="00271DC4"/>
    <w:rsid w:val="00273014"/>
    <w:rsid w:val="002742A0"/>
    <w:rsid w:val="00275103"/>
    <w:rsid w:val="0027511F"/>
    <w:rsid w:val="0027622D"/>
    <w:rsid w:val="00276846"/>
    <w:rsid w:val="00277C39"/>
    <w:rsid w:val="002802FE"/>
    <w:rsid w:val="00281248"/>
    <w:rsid w:val="002813F5"/>
    <w:rsid w:val="002815BA"/>
    <w:rsid w:val="00281606"/>
    <w:rsid w:val="00281E65"/>
    <w:rsid w:val="00282154"/>
    <w:rsid w:val="0028310C"/>
    <w:rsid w:val="00284A9D"/>
    <w:rsid w:val="0028538B"/>
    <w:rsid w:val="00287092"/>
    <w:rsid w:val="00287A9B"/>
    <w:rsid w:val="00287F3E"/>
    <w:rsid w:val="00287F8C"/>
    <w:rsid w:val="00290587"/>
    <w:rsid w:val="00291243"/>
    <w:rsid w:val="00293183"/>
    <w:rsid w:val="00293D8D"/>
    <w:rsid w:val="002941FE"/>
    <w:rsid w:val="0029421E"/>
    <w:rsid w:val="00294646"/>
    <w:rsid w:val="00295393"/>
    <w:rsid w:val="0029557E"/>
    <w:rsid w:val="002958E5"/>
    <w:rsid w:val="0029653F"/>
    <w:rsid w:val="00296B3F"/>
    <w:rsid w:val="00296E3B"/>
    <w:rsid w:val="00297EA5"/>
    <w:rsid w:val="00297EEF"/>
    <w:rsid w:val="002A150F"/>
    <w:rsid w:val="002A225B"/>
    <w:rsid w:val="002A2C43"/>
    <w:rsid w:val="002A3364"/>
    <w:rsid w:val="002A3ACE"/>
    <w:rsid w:val="002A3E9F"/>
    <w:rsid w:val="002A3F1C"/>
    <w:rsid w:val="002A484C"/>
    <w:rsid w:val="002A54A7"/>
    <w:rsid w:val="002A6334"/>
    <w:rsid w:val="002A7820"/>
    <w:rsid w:val="002A7A66"/>
    <w:rsid w:val="002A7E2A"/>
    <w:rsid w:val="002A7EF1"/>
    <w:rsid w:val="002B01D8"/>
    <w:rsid w:val="002B1665"/>
    <w:rsid w:val="002B26D8"/>
    <w:rsid w:val="002B27D8"/>
    <w:rsid w:val="002B426E"/>
    <w:rsid w:val="002B51B7"/>
    <w:rsid w:val="002B5640"/>
    <w:rsid w:val="002B6C66"/>
    <w:rsid w:val="002B76D9"/>
    <w:rsid w:val="002C0E77"/>
    <w:rsid w:val="002C1F5F"/>
    <w:rsid w:val="002C2096"/>
    <w:rsid w:val="002C2785"/>
    <w:rsid w:val="002C346F"/>
    <w:rsid w:val="002C3926"/>
    <w:rsid w:val="002C5278"/>
    <w:rsid w:val="002C6F1D"/>
    <w:rsid w:val="002C7C74"/>
    <w:rsid w:val="002D053B"/>
    <w:rsid w:val="002D0BC6"/>
    <w:rsid w:val="002D0D91"/>
    <w:rsid w:val="002D1F12"/>
    <w:rsid w:val="002D2932"/>
    <w:rsid w:val="002D2CCD"/>
    <w:rsid w:val="002D476D"/>
    <w:rsid w:val="002D5018"/>
    <w:rsid w:val="002D52C3"/>
    <w:rsid w:val="002D5D6E"/>
    <w:rsid w:val="002D698C"/>
    <w:rsid w:val="002D7480"/>
    <w:rsid w:val="002D787D"/>
    <w:rsid w:val="002D7ADD"/>
    <w:rsid w:val="002D7B95"/>
    <w:rsid w:val="002E06CC"/>
    <w:rsid w:val="002E087F"/>
    <w:rsid w:val="002E140F"/>
    <w:rsid w:val="002E1635"/>
    <w:rsid w:val="002E17B5"/>
    <w:rsid w:val="002E3392"/>
    <w:rsid w:val="002E3773"/>
    <w:rsid w:val="002E3904"/>
    <w:rsid w:val="002E3BAA"/>
    <w:rsid w:val="002E487F"/>
    <w:rsid w:val="002E491B"/>
    <w:rsid w:val="002E6AD9"/>
    <w:rsid w:val="002E799D"/>
    <w:rsid w:val="002F0BF9"/>
    <w:rsid w:val="002F2AEB"/>
    <w:rsid w:val="002F2CA3"/>
    <w:rsid w:val="002F41B7"/>
    <w:rsid w:val="002F43F5"/>
    <w:rsid w:val="002F44F0"/>
    <w:rsid w:val="002F456E"/>
    <w:rsid w:val="002F4FDB"/>
    <w:rsid w:val="002F52C2"/>
    <w:rsid w:val="002F5491"/>
    <w:rsid w:val="002F59DB"/>
    <w:rsid w:val="002F61EA"/>
    <w:rsid w:val="002F6E02"/>
    <w:rsid w:val="002F7124"/>
    <w:rsid w:val="002F7996"/>
    <w:rsid w:val="002F7B32"/>
    <w:rsid w:val="00301980"/>
    <w:rsid w:val="00303351"/>
    <w:rsid w:val="00303B42"/>
    <w:rsid w:val="0030464E"/>
    <w:rsid w:val="00304AAB"/>
    <w:rsid w:val="00304D00"/>
    <w:rsid w:val="00306A50"/>
    <w:rsid w:val="00307398"/>
    <w:rsid w:val="00307959"/>
    <w:rsid w:val="00307C9F"/>
    <w:rsid w:val="00307F3B"/>
    <w:rsid w:val="00310035"/>
    <w:rsid w:val="003100D3"/>
    <w:rsid w:val="00310839"/>
    <w:rsid w:val="003119C0"/>
    <w:rsid w:val="00312661"/>
    <w:rsid w:val="00314476"/>
    <w:rsid w:val="0031532C"/>
    <w:rsid w:val="0031538D"/>
    <w:rsid w:val="00315958"/>
    <w:rsid w:val="00315A06"/>
    <w:rsid w:val="0031674A"/>
    <w:rsid w:val="0031766D"/>
    <w:rsid w:val="003177DE"/>
    <w:rsid w:val="00317DD1"/>
    <w:rsid w:val="00317E1C"/>
    <w:rsid w:val="00317F29"/>
    <w:rsid w:val="003200B9"/>
    <w:rsid w:val="00320D3B"/>
    <w:rsid w:val="003223AC"/>
    <w:rsid w:val="00322536"/>
    <w:rsid w:val="003235DF"/>
    <w:rsid w:val="00323ABD"/>
    <w:rsid w:val="00324531"/>
    <w:rsid w:val="0032495B"/>
    <w:rsid w:val="00324DD0"/>
    <w:rsid w:val="00324E1E"/>
    <w:rsid w:val="003263E9"/>
    <w:rsid w:val="00326F6C"/>
    <w:rsid w:val="003306BE"/>
    <w:rsid w:val="0033118F"/>
    <w:rsid w:val="0033157E"/>
    <w:rsid w:val="00331840"/>
    <w:rsid w:val="00331A7A"/>
    <w:rsid w:val="0033231A"/>
    <w:rsid w:val="0033306F"/>
    <w:rsid w:val="003330E7"/>
    <w:rsid w:val="003335DC"/>
    <w:rsid w:val="00333CB2"/>
    <w:rsid w:val="00333CED"/>
    <w:rsid w:val="0033562E"/>
    <w:rsid w:val="00335844"/>
    <w:rsid w:val="00335D97"/>
    <w:rsid w:val="0033743C"/>
    <w:rsid w:val="00337A50"/>
    <w:rsid w:val="00340187"/>
    <w:rsid w:val="00341829"/>
    <w:rsid w:val="00341836"/>
    <w:rsid w:val="00345357"/>
    <w:rsid w:val="003454E5"/>
    <w:rsid w:val="0034578C"/>
    <w:rsid w:val="00345C3F"/>
    <w:rsid w:val="00345D39"/>
    <w:rsid w:val="00345F0F"/>
    <w:rsid w:val="00346116"/>
    <w:rsid w:val="00346B30"/>
    <w:rsid w:val="00347572"/>
    <w:rsid w:val="00347BA1"/>
    <w:rsid w:val="003526ED"/>
    <w:rsid w:val="00354522"/>
    <w:rsid w:val="00354F55"/>
    <w:rsid w:val="00354F7C"/>
    <w:rsid w:val="0035508A"/>
    <w:rsid w:val="00356133"/>
    <w:rsid w:val="00356C34"/>
    <w:rsid w:val="0036030A"/>
    <w:rsid w:val="003620B5"/>
    <w:rsid w:val="003621C3"/>
    <w:rsid w:val="00363B61"/>
    <w:rsid w:val="00364360"/>
    <w:rsid w:val="0036484A"/>
    <w:rsid w:val="00364C4C"/>
    <w:rsid w:val="003662DB"/>
    <w:rsid w:val="003662E3"/>
    <w:rsid w:val="0036646F"/>
    <w:rsid w:val="00366652"/>
    <w:rsid w:val="003677DA"/>
    <w:rsid w:val="00367CF2"/>
    <w:rsid w:val="00370923"/>
    <w:rsid w:val="00370C96"/>
    <w:rsid w:val="00371D0E"/>
    <w:rsid w:val="00372181"/>
    <w:rsid w:val="00372700"/>
    <w:rsid w:val="0037370B"/>
    <w:rsid w:val="00373851"/>
    <w:rsid w:val="00373CD5"/>
    <w:rsid w:val="003742A2"/>
    <w:rsid w:val="003745E5"/>
    <w:rsid w:val="00374D3F"/>
    <w:rsid w:val="00376452"/>
    <w:rsid w:val="003767A2"/>
    <w:rsid w:val="00376D26"/>
    <w:rsid w:val="0038108B"/>
    <w:rsid w:val="0038189A"/>
    <w:rsid w:val="003832C6"/>
    <w:rsid w:val="00383C2B"/>
    <w:rsid w:val="00383C4D"/>
    <w:rsid w:val="003842C1"/>
    <w:rsid w:val="0038469C"/>
    <w:rsid w:val="00384E9B"/>
    <w:rsid w:val="00385463"/>
    <w:rsid w:val="00386860"/>
    <w:rsid w:val="00386E6C"/>
    <w:rsid w:val="003902A9"/>
    <w:rsid w:val="0039086D"/>
    <w:rsid w:val="00390DC2"/>
    <w:rsid w:val="0039233A"/>
    <w:rsid w:val="00392FB3"/>
    <w:rsid w:val="00394054"/>
    <w:rsid w:val="0039455C"/>
    <w:rsid w:val="0039577B"/>
    <w:rsid w:val="00396A61"/>
    <w:rsid w:val="0039733D"/>
    <w:rsid w:val="00397C8D"/>
    <w:rsid w:val="00397E26"/>
    <w:rsid w:val="003A0B44"/>
    <w:rsid w:val="003A0BDD"/>
    <w:rsid w:val="003A10A6"/>
    <w:rsid w:val="003A1599"/>
    <w:rsid w:val="003A1F21"/>
    <w:rsid w:val="003A2BB1"/>
    <w:rsid w:val="003A33E3"/>
    <w:rsid w:val="003A4254"/>
    <w:rsid w:val="003A55EA"/>
    <w:rsid w:val="003A6164"/>
    <w:rsid w:val="003A624C"/>
    <w:rsid w:val="003A6757"/>
    <w:rsid w:val="003A6BEA"/>
    <w:rsid w:val="003A74E9"/>
    <w:rsid w:val="003B02BC"/>
    <w:rsid w:val="003B0FD8"/>
    <w:rsid w:val="003B4507"/>
    <w:rsid w:val="003B4D8C"/>
    <w:rsid w:val="003B5D52"/>
    <w:rsid w:val="003B77EA"/>
    <w:rsid w:val="003B7835"/>
    <w:rsid w:val="003B7FE8"/>
    <w:rsid w:val="003C169D"/>
    <w:rsid w:val="003C2D39"/>
    <w:rsid w:val="003C3183"/>
    <w:rsid w:val="003C4236"/>
    <w:rsid w:val="003C48E9"/>
    <w:rsid w:val="003C5267"/>
    <w:rsid w:val="003C61B5"/>
    <w:rsid w:val="003C785A"/>
    <w:rsid w:val="003D1B79"/>
    <w:rsid w:val="003D3A07"/>
    <w:rsid w:val="003D4DA7"/>
    <w:rsid w:val="003D500E"/>
    <w:rsid w:val="003D54BF"/>
    <w:rsid w:val="003D61D4"/>
    <w:rsid w:val="003D6BA2"/>
    <w:rsid w:val="003D6D1C"/>
    <w:rsid w:val="003D7980"/>
    <w:rsid w:val="003E01B2"/>
    <w:rsid w:val="003E0308"/>
    <w:rsid w:val="003E08A0"/>
    <w:rsid w:val="003E0E69"/>
    <w:rsid w:val="003E0F2D"/>
    <w:rsid w:val="003E180E"/>
    <w:rsid w:val="003E20E0"/>
    <w:rsid w:val="003E442A"/>
    <w:rsid w:val="003E53BD"/>
    <w:rsid w:val="003E5E7F"/>
    <w:rsid w:val="003E62DC"/>
    <w:rsid w:val="003E667E"/>
    <w:rsid w:val="003E67C0"/>
    <w:rsid w:val="003E7730"/>
    <w:rsid w:val="003E78C6"/>
    <w:rsid w:val="003E7BB6"/>
    <w:rsid w:val="003E7C49"/>
    <w:rsid w:val="003F1BC3"/>
    <w:rsid w:val="003F1C16"/>
    <w:rsid w:val="003F2438"/>
    <w:rsid w:val="003F249F"/>
    <w:rsid w:val="003F2D3B"/>
    <w:rsid w:val="003F2F6F"/>
    <w:rsid w:val="003F31E8"/>
    <w:rsid w:val="003F3813"/>
    <w:rsid w:val="003F4131"/>
    <w:rsid w:val="003F4376"/>
    <w:rsid w:val="003F4BFC"/>
    <w:rsid w:val="003F4EE0"/>
    <w:rsid w:val="003F596B"/>
    <w:rsid w:val="003F6085"/>
    <w:rsid w:val="003F669A"/>
    <w:rsid w:val="003F775E"/>
    <w:rsid w:val="003F7F54"/>
    <w:rsid w:val="0040050B"/>
    <w:rsid w:val="00400D58"/>
    <w:rsid w:val="00400E95"/>
    <w:rsid w:val="0040168C"/>
    <w:rsid w:val="00401E3C"/>
    <w:rsid w:val="00402418"/>
    <w:rsid w:val="004024C2"/>
    <w:rsid w:val="0040297B"/>
    <w:rsid w:val="00403261"/>
    <w:rsid w:val="00403C3B"/>
    <w:rsid w:val="0040497A"/>
    <w:rsid w:val="00405E5B"/>
    <w:rsid w:val="00406EC7"/>
    <w:rsid w:val="004073D6"/>
    <w:rsid w:val="004102A4"/>
    <w:rsid w:val="0041056D"/>
    <w:rsid w:val="004110EF"/>
    <w:rsid w:val="004111B8"/>
    <w:rsid w:val="00412423"/>
    <w:rsid w:val="0041278D"/>
    <w:rsid w:val="00412851"/>
    <w:rsid w:val="00413696"/>
    <w:rsid w:val="00413FD8"/>
    <w:rsid w:val="0041442E"/>
    <w:rsid w:val="00414611"/>
    <w:rsid w:val="00415EB6"/>
    <w:rsid w:val="004163C4"/>
    <w:rsid w:val="0041785C"/>
    <w:rsid w:val="004179F5"/>
    <w:rsid w:val="00417B2C"/>
    <w:rsid w:val="00417B4A"/>
    <w:rsid w:val="00420D87"/>
    <w:rsid w:val="00422717"/>
    <w:rsid w:val="00422C20"/>
    <w:rsid w:val="0042454E"/>
    <w:rsid w:val="004251A2"/>
    <w:rsid w:val="00425869"/>
    <w:rsid w:val="0042609C"/>
    <w:rsid w:val="00426F6C"/>
    <w:rsid w:val="004276D7"/>
    <w:rsid w:val="00427E4B"/>
    <w:rsid w:val="00430835"/>
    <w:rsid w:val="0043099E"/>
    <w:rsid w:val="00431CA7"/>
    <w:rsid w:val="0043236F"/>
    <w:rsid w:val="00432A0D"/>
    <w:rsid w:val="00432C60"/>
    <w:rsid w:val="0043361C"/>
    <w:rsid w:val="00433E07"/>
    <w:rsid w:val="00434211"/>
    <w:rsid w:val="00435A06"/>
    <w:rsid w:val="00435DA1"/>
    <w:rsid w:val="00436267"/>
    <w:rsid w:val="004371C2"/>
    <w:rsid w:val="004401F9"/>
    <w:rsid w:val="004402CE"/>
    <w:rsid w:val="00440511"/>
    <w:rsid w:val="00440BDD"/>
    <w:rsid w:val="00441D41"/>
    <w:rsid w:val="00442959"/>
    <w:rsid w:val="00443925"/>
    <w:rsid w:val="00444567"/>
    <w:rsid w:val="00447453"/>
    <w:rsid w:val="004508B2"/>
    <w:rsid w:val="00450A53"/>
    <w:rsid w:val="00450FB6"/>
    <w:rsid w:val="004511AE"/>
    <w:rsid w:val="00451D87"/>
    <w:rsid w:val="00451E63"/>
    <w:rsid w:val="00452A99"/>
    <w:rsid w:val="00453AAE"/>
    <w:rsid w:val="00454E20"/>
    <w:rsid w:val="00455493"/>
    <w:rsid w:val="00456B12"/>
    <w:rsid w:val="00456F51"/>
    <w:rsid w:val="00457C56"/>
    <w:rsid w:val="00460CD2"/>
    <w:rsid w:val="00460DFB"/>
    <w:rsid w:val="00462307"/>
    <w:rsid w:val="004624D8"/>
    <w:rsid w:val="004625C9"/>
    <w:rsid w:val="004628FF"/>
    <w:rsid w:val="00462922"/>
    <w:rsid w:val="00463A64"/>
    <w:rsid w:val="0046479B"/>
    <w:rsid w:val="00464A2E"/>
    <w:rsid w:val="004653DB"/>
    <w:rsid w:val="00466254"/>
    <w:rsid w:val="004668FF"/>
    <w:rsid w:val="00467AB7"/>
    <w:rsid w:val="004714AB"/>
    <w:rsid w:val="0047160C"/>
    <w:rsid w:val="004718C7"/>
    <w:rsid w:val="0047192D"/>
    <w:rsid w:val="004724EC"/>
    <w:rsid w:val="00472961"/>
    <w:rsid w:val="004731AA"/>
    <w:rsid w:val="00474272"/>
    <w:rsid w:val="00475D59"/>
    <w:rsid w:val="00477A7C"/>
    <w:rsid w:val="00477E82"/>
    <w:rsid w:val="004808DA"/>
    <w:rsid w:val="0048248B"/>
    <w:rsid w:val="00482B5C"/>
    <w:rsid w:val="004837B1"/>
    <w:rsid w:val="00484A6C"/>
    <w:rsid w:val="004851B1"/>
    <w:rsid w:val="00487FAD"/>
    <w:rsid w:val="00490010"/>
    <w:rsid w:val="004901F7"/>
    <w:rsid w:val="00491AE5"/>
    <w:rsid w:val="00491FAD"/>
    <w:rsid w:val="0049234F"/>
    <w:rsid w:val="004924AF"/>
    <w:rsid w:val="00492AB0"/>
    <w:rsid w:val="00493A15"/>
    <w:rsid w:val="00493DFB"/>
    <w:rsid w:val="00493E38"/>
    <w:rsid w:val="0049467D"/>
    <w:rsid w:val="00494AA9"/>
    <w:rsid w:val="00495047"/>
    <w:rsid w:val="00496A92"/>
    <w:rsid w:val="00496B0A"/>
    <w:rsid w:val="00497810"/>
    <w:rsid w:val="00497CA2"/>
    <w:rsid w:val="004A030E"/>
    <w:rsid w:val="004A11FC"/>
    <w:rsid w:val="004A1AE3"/>
    <w:rsid w:val="004A20A1"/>
    <w:rsid w:val="004A2339"/>
    <w:rsid w:val="004A2714"/>
    <w:rsid w:val="004A4084"/>
    <w:rsid w:val="004A4D98"/>
    <w:rsid w:val="004A545C"/>
    <w:rsid w:val="004A5567"/>
    <w:rsid w:val="004A63F6"/>
    <w:rsid w:val="004A6567"/>
    <w:rsid w:val="004A6A88"/>
    <w:rsid w:val="004A6E33"/>
    <w:rsid w:val="004B0076"/>
    <w:rsid w:val="004B07CF"/>
    <w:rsid w:val="004B0926"/>
    <w:rsid w:val="004B0A19"/>
    <w:rsid w:val="004B1584"/>
    <w:rsid w:val="004B2030"/>
    <w:rsid w:val="004B2E9A"/>
    <w:rsid w:val="004B3F36"/>
    <w:rsid w:val="004B4747"/>
    <w:rsid w:val="004B4C9E"/>
    <w:rsid w:val="004B52AA"/>
    <w:rsid w:val="004B57D3"/>
    <w:rsid w:val="004B5BE4"/>
    <w:rsid w:val="004B5D60"/>
    <w:rsid w:val="004B5F16"/>
    <w:rsid w:val="004B5FC0"/>
    <w:rsid w:val="004B6932"/>
    <w:rsid w:val="004B6B77"/>
    <w:rsid w:val="004B6F7D"/>
    <w:rsid w:val="004B7BD3"/>
    <w:rsid w:val="004C056B"/>
    <w:rsid w:val="004C12D0"/>
    <w:rsid w:val="004C151A"/>
    <w:rsid w:val="004C321A"/>
    <w:rsid w:val="004C3562"/>
    <w:rsid w:val="004C3F35"/>
    <w:rsid w:val="004C4445"/>
    <w:rsid w:val="004C4603"/>
    <w:rsid w:val="004C50FC"/>
    <w:rsid w:val="004C57AD"/>
    <w:rsid w:val="004C5E11"/>
    <w:rsid w:val="004C6060"/>
    <w:rsid w:val="004C755E"/>
    <w:rsid w:val="004D000C"/>
    <w:rsid w:val="004D0024"/>
    <w:rsid w:val="004D00F4"/>
    <w:rsid w:val="004D06FA"/>
    <w:rsid w:val="004D0A7B"/>
    <w:rsid w:val="004D1722"/>
    <w:rsid w:val="004D2C88"/>
    <w:rsid w:val="004D2F7E"/>
    <w:rsid w:val="004D3476"/>
    <w:rsid w:val="004D43C1"/>
    <w:rsid w:val="004D5AF6"/>
    <w:rsid w:val="004D65A2"/>
    <w:rsid w:val="004D6657"/>
    <w:rsid w:val="004D7162"/>
    <w:rsid w:val="004D76FC"/>
    <w:rsid w:val="004E0BF0"/>
    <w:rsid w:val="004E19B5"/>
    <w:rsid w:val="004E1A06"/>
    <w:rsid w:val="004E24A6"/>
    <w:rsid w:val="004E2A52"/>
    <w:rsid w:val="004E3039"/>
    <w:rsid w:val="004E3071"/>
    <w:rsid w:val="004E3D8D"/>
    <w:rsid w:val="004E44B3"/>
    <w:rsid w:val="004E56A5"/>
    <w:rsid w:val="004E5B20"/>
    <w:rsid w:val="004E604D"/>
    <w:rsid w:val="004E7876"/>
    <w:rsid w:val="004F06E1"/>
    <w:rsid w:val="004F175A"/>
    <w:rsid w:val="004F23C5"/>
    <w:rsid w:val="004F3D01"/>
    <w:rsid w:val="004F3DA8"/>
    <w:rsid w:val="004F423E"/>
    <w:rsid w:val="004F526B"/>
    <w:rsid w:val="004F5307"/>
    <w:rsid w:val="004F5B65"/>
    <w:rsid w:val="004F65D8"/>
    <w:rsid w:val="004F68AF"/>
    <w:rsid w:val="004F68BB"/>
    <w:rsid w:val="004F6EFC"/>
    <w:rsid w:val="004F7906"/>
    <w:rsid w:val="00500FAB"/>
    <w:rsid w:val="00501053"/>
    <w:rsid w:val="005014EA"/>
    <w:rsid w:val="005033CD"/>
    <w:rsid w:val="00503EC0"/>
    <w:rsid w:val="0050418B"/>
    <w:rsid w:val="005046EB"/>
    <w:rsid w:val="00505B2B"/>
    <w:rsid w:val="00506B29"/>
    <w:rsid w:val="00510274"/>
    <w:rsid w:val="0051038F"/>
    <w:rsid w:val="0051120A"/>
    <w:rsid w:val="00511490"/>
    <w:rsid w:val="005122C5"/>
    <w:rsid w:val="00512682"/>
    <w:rsid w:val="0051287D"/>
    <w:rsid w:val="00514770"/>
    <w:rsid w:val="00515351"/>
    <w:rsid w:val="00515BB4"/>
    <w:rsid w:val="0051619B"/>
    <w:rsid w:val="005167FA"/>
    <w:rsid w:val="00517B0C"/>
    <w:rsid w:val="00517BA2"/>
    <w:rsid w:val="00517E29"/>
    <w:rsid w:val="00520686"/>
    <w:rsid w:val="00520EA2"/>
    <w:rsid w:val="00521403"/>
    <w:rsid w:val="005214CF"/>
    <w:rsid w:val="005224F9"/>
    <w:rsid w:val="00523D6A"/>
    <w:rsid w:val="00524337"/>
    <w:rsid w:val="00525518"/>
    <w:rsid w:val="005258E4"/>
    <w:rsid w:val="0052670F"/>
    <w:rsid w:val="005272D3"/>
    <w:rsid w:val="005275ED"/>
    <w:rsid w:val="00527C27"/>
    <w:rsid w:val="00530722"/>
    <w:rsid w:val="00530F4B"/>
    <w:rsid w:val="00532EEB"/>
    <w:rsid w:val="00532FA5"/>
    <w:rsid w:val="00533788"/>
    <w:rsid w:val="00533890"/>
    <w:rsid w:val="005358B7"/>
    <w:rsid w:val="0053748D"/>
    <w:rsid w:val="00537B28"/>
    <w:rsid w:val="00537EFE"/>
    <w:rsid w:val="00541194"/>
    <w:rsid w:val="00541C3D"/>
    <w:rsid w:val="00542F59"/>
    <w:rsid w:val="00543012"/>
    <w:rsid w:val="00543026"/>
    <w:rsid w:val="00543648"/>
    <w:rsid w:val="00543B8E"/>
    <w:rsid w:val="005443DD"/>
    <w:rsid w:val="00544EB8"/>
    <w:rsid w:val="005458AD"/>
    <w:rsid w:val="00546076"/>
    <w:rsid w:val="00546211"/>
    <w:rsid w:val="0054729E"/>
    <w:rsid w:val="0054783E"/>
    <w:rsid w:val="00550CEB"/>
    <w:rsid w:val="00551206"/>
    <w:rsid w:val="00552062"/>
    <w:rsid w:val="00552E42"/>
    <w:rsid w:val="00553C18"/>
    <w:rsid w:val="00554046"/>
    <w:rsid w:val="005553DD"/>
    <w:rsid w:val="0055569B"/>
    <w:rsid w:val="00556893"/>
    <w:rsid w:val="00556C94"/>
    <w:rsid w:val="00560B8C"/>
    <w:rsid w:val="00560C58"/>
    <w:rsid w:val="00560FED"/>
    <w:rsid w:val="00561C6E"/>
    <w:rsid w:val="00562A89"/>
    <w:rsid w:val="00562B82"/>
    <w:rsid w:val="00562BFD"/>
    <w:rsid w:val="0056317B"/>
    <w:rsid w:val="00563A63"/>
    <w:rsid w:val="00564321"/>
    <w:rsid w:val="00564358"/>
    <w:rsid w:val="005648BF"/>
    <w:rsid w:val="00564FF8"/>
    <w:rsid w:val="0056545E"/>
    <w:rsid w:val="00565FA5"/>
    <w:rsid w:val="00566FEF"/>
    <w:rsid w:val="0056712C"/>
    <w:rsid w:val="00567576"/>
    <w:rsid w:val="00567740"/>
    <w:rsid w:val="00570089"/>
    <w:rsid w:val="00570E3F"/>
    <w:rsid w:val="00571F71"/>
    <w:rsid w:val="00573414"/>
    <w:rsid w:val="00573EF1"/>
    <w:rsid w:val="005741F8"/>
    <w:rsid w:val="00574972"/>
    <w:rsid w:val="0057538A"/>
    <w:rsid w:val="0057564E"/>
    <w:rsid w:val="00575FF9"/>
    <w:rsid w:val="00580436"/>
    <w:rsid w:val="005806FA"/>
    <w:rsid w:val="00582560"/>
    <w:rsid w:val="00582DF6"/>
    <w:rsid w:val="00583144"/>
    <w:rsid w:val="005831AE"/>
    <w:rsid w:val="0058356A"/>
    <w:rsid w:val="0058417B"/>
    <w:rsid w:val="005843AC"/>
    <w:rsid w:val="005855FE"/>
    <w:rsid w:val="00587FFB"/>
    <w:rsid w:val="005910F7"/>
    <w:rsid w:val="005919BA"/>
    <w:rsid w:val="005919DD"/>
    <w:rsid w:val="00591EF2"/>
    <w:rsid w:val="00591EF6"/>
    <w:rsid w:val="00592CDE"/>
    <w:rsid w:val="00593B12"/>
    <w:rsid w:val="00593B97"/>
    <w:rsid w:val="0059480D"/>
    <w:rsid w:val="005957AB"/>
    <w:rsid w:val="005971CE"/>
    <w:rsid w:val="00597C92"/>
    <w:rsid w:val="005A0621"/>
    <w:rsid w:val="005A0B65"/>
    <w:rsid w:val="005A26BC"/>
    <w:rsid w:val="005A27D5"/>
    <w:rsid w:val="005A2E71"/>
    <w:rsid w:val="005A4249"/>
    <w:rsid w:val="005A445D"/>
    <w:rsid w:val="005A498C"/>
    <w:rsid w:val="005A525D"/>
    <w:rsid w:val="005A5398"/>
    <w:rsid w:val="005A54B2"/>
    <w:rsid w:val="005A579A"/>
    <w:rsid w:val="005A67CF"/>
    <w:rsid w:val="005A7388"/>
    <w:rsid w:val="005B02C7"/>
    <w:rsid w:val="005B0A2E"/>
    <w:rsid w:val="005B2006"/>
    <w:rsid w:val="005B27FB"/>
    <w:rsid w:val="005B563E"/>
    <w:rsid w:val="005B5FC4"/>
    <w:rsid w:val="005B70F4"/>
    <w:rsid w:val="005C028F"/>
    <w:rsid w:val="005C0455"/>
    <w:rsid w:val="005C1D93"/>
    <w:rsid w:val="005C38A2"/>
    <w:rsid w:val="005C5C34"/>
    <w:rsid w:val="005C67B4"/>
    <w:rsid w:val="005C76D8"/>
    <w:rsid w:val="005C7DEA"/>
    <w:rsid w:val="005D1133"/>
    <w:rsid w:val="005D1493"/>
    <w:rsid w:val="005D14FF"/>
    <w:rsid w:val="005D16A1"/>
    <w:rsid w:val="005D1A6B"/>
    <w:rsid w:val="005D5388"/>
    <w:rsid w:val="005D53CC"/>
    <w:rsid w:val="005D547B"/>
    <w:rsid w:val="005D78E3"/>
    <w:rsid w:val="005E1DDA"/>
    <w:rsid w:val="005E24C2"/>
    <w:rsid w:val="005E2A1F"/>
    <w:rsid w:val="005E3F59"/>
    <w:rsid w:val="005E4F24"/>
    <w:rsid w:val="005E4F5B"/>
    <w:rsid w:val="005E6917"/>
    <w:rsid w:val="005E7283"/>
    <w:rsid w:val="005E7493"/>
    <w:rsid w:val="005E79AE"/>
    <w:rsid w:val="005F0EFF"/>
    <w:rsid w:val="005F2B51"/>
    <w:rsid w:val="005F312F"/>
    <w:rsid w:val="005F36A3"/>
    <w:rsid w:val="005F41A2"/>
    <w:rsid w:val="005F4E4B"/>
    <w:rsid w:val="005F4F75"/>
    <w:rsid w:val="005F5138"/>
    <w:rsid w:val="005F51DE"/>
    <w:rsid w:val="005F668A"/>
    <w:rsid w:val="005F6A6C"/>
    <w:rsid w:val="0060071B"/>
    <w:rsid w:val="00600E7F"/>
    <w:rsid w:val="006033AE"/>
    <w:rsid w:val="00604754"/>
    <w:rsid w:val="00605092"/>
    <w:rsid w:val="006052EE"/>
    <w:rsid w:val="00605FF7"/>
    <w:rsid w:val="0060615C"/>
    <w:rsid w:val="00607A8B"/>
    <w:rsid w:val="006103A9"/>
    <w:rsid w:val="00611A4F"/>
    <w:rsid w:val="00611BE0"/>
    <w:rsid w:val="0061294C"/>
    <w:rsid w:val="00613190"/>
    <w:rsid w:val="00613BAD"/>
    <w:rsid w:val="00615438"/>
    <w:rsid w:val="0061578D"/>
    <w:rsid w:val="00615A86"/>
    <w:rsid w:val="00616317"/>
    <w:rsid w:val="0061652A"/>
    <w:rsid w:val="00616C10"/>
    <w:rsid w:val="006172DC"/>
    <w:rsid w:val="006172F1"/>
    <w:rsid w:val="00617D16"/>
    <w:rsid w:val="0062075B"/>
    <w:rsid w:val="00621C8D"/>
    <w:rsid w:val="00622063"/>
    <w:rsid w:val="0062255F"/>
    <w:rsid w:val="00622947"/>
    <w:rsid w:val="00624CAF"/>
    <w:rsid w:val="00624E74"/>
    <w:rsid w:val="00625144"/>
    <w:rsid w:val="0062603D"/>
    <w:rsid w:val="0062628F"/>
    <w:rsid w:val="0062657E"/>
    <w:rsid w:val="00626BF1"/>
    <w:rsid w:val="0062736F"/>
    <w:rsid w:val="00627720"/>
    <w:rsid w:val="006278DF"/>
    <w:rsid w:val="0063208E"/>
    <w:rsid w:val="006331A5"/>
    <w:rsid w:val="00633C77"/>
    <w:rsid w:val="00633E14"/>
    <w:rsid w:val="00634175"/>
    <w:rsid w:val="0063466D"/>
    <w:rsid w:val="00634C18"/>
    <w:rsid w:val="006354F8"/>
    <w:rsid w:val="006356D0"/>
    <w:rsid w:val="00636019"/>
    <w:rsid w:val="00637874"/>
    <w:rsid w:val="00637AAD"/>
    <w:rsid w:val="00637B36"/>
    <w:rsid w:val="006401E4"/>
    <w:rsid w:val="006402C2"/>
    <w:rsid w:val="006404AE"/>
    <w:rsid w:val="00640E68"/>
    <w:rsid w:val="00641B59"/>
    <w:rsid w:val="00641FAB"/>
    <w:rsid w:val="0064210B"/>
    <w:rsid w:val="00642209"/>
    <w:rsid w:val="0064267D"/>
    <w:rsid w:val="00642C94"/>
    <w:rsid w:val="00644019"/>
    <w:rsid w:val="0064405E"/>
    <w:rsid w:val="006440D0"/>
    <w:rsid w:val="006448CF"/>
    <w:rsid w:val="00644EE5"/>
    <w:rsid w:val="00644FA4"/>
    <w:rsid w:val="00646132"/>
    <w:rsid w:val="00647407"/>
    <w:rsid w:val="00647987"/>
    <w:rsid w:val="00651416"/>
    <w:rsid w:val="0065146D"/>
    <w:rsid w:val="00651C43"/>
    <w:rsid w:val="006520B1"/>
    <w:rsid w:val="00653929"/>
    <w:rsid w:val="00654CEA"/>
    <w:rsid w:val="00654E63"/>
    <w:rsid w:val="0065612D"/>
    <w:rsid w:val="00656925"/>
    <w:rsid w:val="00657CB5"/>
    <w:rsid w:val="00660795"/>
    <w:rsid w:val="00660F1B"/>
    <w:rsid w:val="00662BF5"/>
    <w:rsid w:val="006630CB"/>
    <w:rsid w:val="0066345F"/>
    <w:rsid w:val="00663BAA"/>
    <w:rsid w:val="00663CFF"/>
    <w:rsid w:val="00664F50"/>
    <w:rsid w:val="0066548A"/>
    <w:rsid w:val="006678A4"/>
    <w:rsid w:val="00667DE1"/>
    <w:rsid w:val="0067029C"/>
    <w:rsid w:val="00670417"/>
    <w:rsid w:val="00670630"/>
    <w:rsid w:val="00670D1E"/>
    <w:rsid w:val="00671451"/>
    <w:rsid w:val="006715CD"/>
    <w:rsid w:val="00671877"/>
    <w:rsid w:val="006721AD"/>
    <w:rsid w:val="00674127"/>
    <w:rsid w:val="00674840"/>
    <w:rsid w:val="00675711"/>
    <w:rsid w:val="00676458"/>
    <w:rsid w:val="00676730"/>
    <w:rsid w:val="006767B7"/>
    <w:rsid w:val="006777C4"/>
    <w:rsid w:val="00677A84"/>
    <w:rsid w:val="00677BF6"/>
    <w:rsid w:val="00677E41"/>
    <w:rsid w:val="00680681"/>
    <w:rsid w:val="0068191C"/>
    <w:rsid w:val="00681FFB"/>
    <w:rsid w:val="00682A05"/>
    <w:rsid w:val="00682BC1"/>
    <w:rsid w:val="00682C09"/>
    <w:rsid w:val="00683024"/>
    <w:rsid w:val="006836D8"/>
    <w:rsid w:val="006842AF"/>
    <w:rsid w:val="00684868"/>
    <w:rsid w:val="00684AC1"/>
    <w:rsid w:val="00685005"/>
    <w:rsid w:val="00685366"/>
    <w:rsid w:val="00686045"/>
    <w:rsid w:val="00686D49"/>
    <w:rsid w:val="00687042"/>
    <w:rsid w:val="00687118"/>
    <w:rsid w:val="006909BB"/>
    <w:rsid w:val="00691AA1"/>
    <w:rsid w:val="00693232"/>
    <w:rsid w:val="0069328F"/>
    <w:rsid w:val="006932F4"/>
    <w:rsid w:val="00693747"/>
    <w:rsid w:val="006947B6"/>
    <w:rsid w:val="006951A4"/>
    <w:rsid w:val="00695245"/>
    <w:rsid w:val="00696753"/>
    <w:rsid w:val="00696BBD"/>
    <w:rsid w:val="006971B6"/>
    <w:rsid w:val="006971E8"/>
    <w:rsid w:val="006977EC"/>
    <w:rsid w:val="006A086A"/>
    <w:rsid w:val="006A17B1"/>
    <w:rsid w:val="006A206E"/>
    <w:rsid w:val="006A24DC"/>
    <w:rsid w:val="006A2D7F"/>
    <w:rsid w:val="006A4020"/>
    <w:rsid w:val="006A5320"/>
    <w:rsid w:val="006A5483"/>
    <w:rsid w:val="006A55EB"/>
    <w:rsid w:val="006A59B7"/>
    <w:rsid w:val="006A5CC7"/>
    <w:rsid w:val="006A6210"/>
    <w:rsid w:val="006A6B3A"/>
    <w:rsid w:val="006A70AF"/>
    <w:rsid w:val="006A73D4"/>
    <w:rsid w:val="006B0D5E"/>
    <w:rsid w:val="006B112A"/>
    <w:rsid w:val="006B156B"/>
    <w:rsid w:val="006B2DF4"/>
    <w:rsid w:val="006B3BDD"/>
    <w:rsid w:val="006B44BB"/>
    <w:rsid w:val="006B50E0"/>
    <w:rsid w:val="006B5794"/>
    <w:rsid w:val="006B67CE"/>
    <w:rsid w:val="006B76FC"/>
    <w:rsid w:val="006C10DB"/>
    <w:rsid w:val="006C11FF"/>
    <w:rsid w:val="006C1313"/>
    <w:rsid w:val="006C18BB"/>
    <w:rsid w:val="006C21F4"/>
    <w:rsid w:val="006C2A29"/>
    <w:rsid w:val="006C2DA9"/>
    <w:rsid w:val="006C2FB1"/>
    <w:rsid w:val="006C33A1"/>
    <w:rsid w:val="006C3DAE"/>
    <w:rsid w:val="006C4DE5"/>
    <w:rsid w:val="006C54F1"/>
    <w:rsid w:val="006C6336"/>
    <w:rsid w:val="006C6673"/>
    <w:rsid w:val="006C66E9"/>
    <w:rsid w:val="006C684F"/>
    <w:rsid w:val="006C7502"/>
    <w:rsid w:val="006D05B2"/>
    <w:rsid w:val="006D0A1B"/>
    <w:rsid w:val="006D12A5"/>
    <w:rsid w:val="006D17FA"/>
    <w:rsid w:val="006D325C"/>
    <w:rsid w:val="006D50C3"/>
    <w:rsid w:val="006D55AD"/>
    <w:rsid w:val="006D6395"/>
    <w:rsid w:val="006D7419"/>
    <w:rsid w:val="006E13BE"/>
    <w:rsid w:val="006E1D60"/>
    <w:rsid w:val="006E1F3D"/>
    <w:rsid w:val="006E2583"/>
    <w:rsid w:val="006E2D0C"/>
    <w:rsid w:val="006E4342"/>
    <w:rsid w:val="006E464A"/>
    <w:rsid w:val="006E52F7"/>
    <w:rsid w:val="006E639E"/>
    <w:rsid w:val="006E649E"/>
    <w:rsid w:val="006E7AC7"/>
    <w:rsid w:val="006F077E"/>
    <w:rsid w:val="006F132D"/>
    <w:rsid w:val="006F1A67"/>
    <w:rsid w:val="006F25D9"/>
    <w:rsid w:val="006F391B"/>
    <w:rsid w:val="006F3E62"/>
    <w:rsid w:val="006F3E93"/>
    <w:rsid w:val="006F5EF4"/>
    <w:rsid w:val="006F6133"/>
    <w:rsid w:val="006F77CA"/>
    <w:rsid w:val="00700E3F"/>
    <w:rsid w:val="00702AD7"/>
    <w:rsid w:val="0070354A"/>
    <w:rsid w:val="007037BB"/>
    <w:rsid w:val="007037C4"/>
    <w:rsid w:val="00704D34"/>
    <w:rsid w:val="00705500"/>
    <w:rsid w:val="00706481"/>
    <w:rsid w:val="00706573"/>
    <w:rsid w:val="00706F55"/>
    <w:rsid w:val="00710459"/>
    <w:rsid w:val="00711554"/>
    <w:rsid w:val="0071191C"/>
    <w:rsid w:val="00711F2D"/>
    <w:rsid w:val="00712677"/>
    <w:rsid w:val="00712743"/>
    <w:rsid w:val="00712B27"/>
    <w:rsid w:val="00713834"/>
    <w:rsid w:val="00714DAB"/>
    <w:rsid w:val="00714F1B"/>
    <w:rsid w:val="00715855"/>
    <w:rsid w:val="00721ADD"/>
    <w:rsid w:val="00721CE1"/>
    <w:rsid w:val="00722579"/>
    <w:rsid w:val="00723C46"/>
    <w:rsid w:val="00723DF3"/>
    <w:rsid w:val="007245C5"/>
    <w:rsid w:val="007251AD"/>
    <w:rsid w:val="007256F1"/>
    <w:rsid w:val="00726218"/>
    <w:rsid w:val="00726243"/>
    <w:rsid w:val="00726429"/>
    <w:rsid w:val="007269ED"/>
    <w:rsid w:val="007271F7"/>
    <w:rsid w:val="00727942"/>
    <w:rsid w:val="0072799F"/>
    <w:rsid w:val="00727DB2"/>
    <w:rsid w:val="00730034"/>
    <w:rsid w:val="00730501"/>
    <w:rsid w:val="00730874"/>
    <w:rsid w:val="00731FAE"/>
    <w:rsid w:val="007323FC"/>
    <w:rsid w:val="007325A8"/>
    <w:rsid w:val="007325DE"/>
    <w:rsid w:val="00732908"/>
    <w:rsid w:val="007336C9"/>
    <w:rsid w:val="00733C65"/>
    <w:rsid w:val="007349DC"/>
    <w:rsid w:val="007359FD"/>
    <w:rsid w:val="00735D3A"/>
    <w:rsid w:val="007371DB"/>
    <w:rsid w:val="0073765C"/>
    <w:rsid w:val="0074017A"/>
    <w:rsid w:val="007405E1"/>
    <w:rsid w:val="00741BEC"/>
    <w:rsid w:val="00742257"/>
    <w:rsid w:val="00742936"/>
    <w:rsid w:val="00743278"/>
    <w:rsid w:val="007435B7"/>
    <w:rsid w:val="0074396A"/>
    <w:rsid w:val="007441E0"/>
    <w:rsid w:val="00744951"/>
    <w:rsid w:val="00745A10"/>
    <w:rsid w:val="00745CC2"/>
    <w:rsid w:val="00746238"/>
    <w:rsid w:val="0074712E"/>
    <w:rsid w:val="007472EE"/>
    <w:rsid w:val="007505C2"/>
    <w:rsid w:val="0075083E"/>
    <w:rsid w:val="007524E0"/>
    <w:rsid w:val="007534AA"/>
    <w:rsid w:val="0075448E"/>
    <w:rsid w:val="00754685"/>
    <w:rsid w:val="00755099"/>
    <w:rsid w:val="007564F9"/>
    <w:rsid w:val="00757B3A"/>
    <w:rsid w:val="00760A40"/>
    <w:rsid w:val="00760DFD"/>
    <w:rsid w:val="00761786"/>
    <w:rsid w:val="00761CF4"/>
    <w:rsid w:val="00763334"/>
    <w:rsid w:val="00763C40"/>
    <w:rsid w:val="007640E5"/>
    <w:rsid w:val="00770B14"/>
    <w:rsid w:val="00771EE4"/>
    <w:rsid w:val="00772056"/>
    <w:rsid w:val="0077229D"/>
    <w:rsid w:val="0077317D"/>
    <w:rsid w:val="007733A2"/>
    <w:rsid w:val="00773638"/>
    <w:rsid w:val="00773A84"/>
    <w:rsid w:val="00773C59"/>
    <w:rsid w:val="00773D78"/>
    <w:rsid w:val="0077434A"/>
    <w:rsid w:val="00776E61"/>
    <w:rsid w:val="0078143F"/>
    <w:rsid w:val="007814EA"/>
    <w:rsid w:val="00782B12"/>
    <w:rsid w:val="00783115"/>
    <w:rsid w:val="00783639"/>
    <w:rsid w:val="00784D2C"/>
    <w:rsid w:val="00787D0C"/>
    <w:rsid w:val="007914EA"/>
    <w:rsid w:val="007916A6"/>
    <w:rsid w:val="00792525"/>
    <w:rsid w:val="00793D05"/>
    <w:rsid w:val="0079435C"/>
    <w:rsid w:val="00794CFC"/>
    <w:rsid w:val="00794DC6"/>
    <w:rsid w:val="00795B6A"/>
    <w:rsid w:val="00797621"/>
    <w:rsid w:val="00797AD2"/>
    <w:rsid w:val="007A05EF"/>
    <w:rsid w:val="007A08AA"/>
    <w:rsid w:val="007A0D64"/>
    <w:rsid w:val="007A0DB7"/>
    <w:rsid w:val="007A1C95"/>
    <w:rsid w:val="007A20DD"/>
    <w:rsid w:val="007A2192"/>
    <w:rsid w:val="007A2352"/>
    <w:rsid w:val="007A284A"/>
    <w:rsid w:val="007A28CD"/>
    <w:rsid w:val="007A390D"/>
    <w:rsid w:val="007A3BF5"/>
    <w:rsid w:val="007A4FC6"/>
    <w:rsid w:val="007A51A8"/>
    <w:rsid w:val="007A6265"/>
    <w:rsid w:val="007A62F8"/>
    <w:rsid w:val="007A65C1"/>
    <w:rsid w:val="007A75E5"/>
    <w:rsid w:val="007A7736"/>
    <w:rsid w:val="007A79B5"/>
    <w:rsid w:val="007B024A"/>
    <w:rsid w:val="007B0612"/>
    <w:rsid w:val="007B07C9"/>
    <w:rsid w:val="007B090A"/>
    <w:rsid w:val="007B0F2F"/>
    <w:rsid w:val="007B1245"/>
    <w:rsid w:val="007B1998"/>
    <w:rsid w:val="007B1E67"/>
    <w:rsid w:val="007B338F"/>
    <w:rsid w:val="007B38A9"/>
    <w:rsid w:val="007B3ADC"/>
    <w:rsid w:val="007B487E"/>
    <w:rsid w:val="007B4CEA"/>
    <w:rsid w:val="007B4FEA"/>
    <w:rsid w:val="007B7A0E"/>
    <w:rsid w:val="007C0A30"/>
    <w:rsid w:val="007C2817"/>
    <w:rsid w:val="007C3DBD"/>
    <w:rsid w:val="007C53C2"/>
    <w:rsid w:val="007C6348"/>
    <w:rsid w:val="007C676A"/>
    <w:rsid w:val="007D1A80"/>
    <w:rsid w:val="007D1F79"/>
    <w:rsid w:val="007D22B7"/>
    <w:rsid w:val="007D2910"/>
    <w:rsid w:val="007D2B34"/>
    <w:rsid w:val="007D2C6F"/>
    <w:rsid w:val="007D2CE6"/>
    <w:rsid w:val="007D389E"/>
    <w:rsid w:val="007D4C34"/>
    <w:rsid w:val="007D4E39"/>
    <w:rsid w:val="007D6067"/>
    <w:rsid w:val="007D674D"/>
    <w:rsid w:val="007D6E61"/>
    <w:rsid w:val="007D7839"/>
    <w:rsid w:val="007D78A1"/>
    <w:rsid w:val="007D7A5C"/>
    <w:rsid w:val="007D7EDC"/>
    <w:rsid w:val="007E0A27"/>
    <w:rsid w:val="007E1705"/>
    <w:rsid w:val="007E2FFB"/>
    <w:rsid w:val="007E3780"/>
    <w:rsid w:val="007E4754"/>
    <w:rsid w:val="007E4A5E"/>
    <w:rsid w:val="007E4F5A"/>
    <w:rsid w:val="007E5DDA"/>
    <w:rsid w:val="007E6048"/>
    <w:rsid w:val="007E61A6"/>
    <w:rsid w:val="007E6BD5"/>
    <w:rsid w:val="007E6D6B"/>
    <w:rsid w:val="007E6E0A"/>
    <w:rsid w:val="007E70EB"/>
    <w:rsid w:val="007F0120"/>
    <w:rsid w:val="007F0166"/>
    <w:rsid w:val="007F04FB"/>
    <w:rsid w:val="007F0EC5"/>
    <w:rsid w:val="007F0EE2"/>
    <w:rsid w:val="007F1C45"/>
    <w:rsid w:val="007F1F46"/>
    <w:rsid w:val="007F2441"/>
    <w:rsid w:val="007F2DE5"/>
    <w:rsid w:val="007F3382"/>
    <w:rsid w:val="007F3B1C"/>
    <w:rsid w:val="007F4756"/>
    <w:rsid w:val="007F6004"/>
    <w:rsid w:val="007F63A6"/>
    <w:rsid w:val="007F6633"/>
    <w:rsid w:val="007F7999"/>
    <w:rsid w:val="0080083C"/>
    <w:rsid w:val="00800893"/>
    <w:rsid w:val="008011B1"/>
    <w:rsid w:val="00801650"/>
    <w:rsid w:val="00801980"/>
    <w:rsid w:val="00801BDA"/>
    <w:rsid w:val="008020D2"/>
    <w:rsid w:val="0080272E"/>
    <w:rsid w:val="00802F6A"/>
    <w:rsid w:val="00803206"/>
    <w:rsid w:val="00803AA7"/>
    <w:rsid w:val="008047D2"/>
    <w:rsid w:val="00804E26"/>
    <w:rsid w:val="00805B6C"/>
    <w:rsid w:val="00805BFF"/>
    <w:rsid w:val="00805DB4"/>
    <w:rsid w:val="008064C0"/>
    <w:rsid w:val="00806600"/>
    <w:rsid w:val="008076EA"/>
    <w:rsid w:val="008102EC"/>
    <w:rsid w:val="00810DDE"/>
    <w:rsid w:val="00811E4B"/>
    <w:rsid w:val="008122E7"/>
    <w:rsid w:val="00812980"/>
    <w:rsid w:val="00812CAB"/>
    <w:rsid w:val="00813D4E"/>
    <w:rsid w:val="008149EE"/>
    <w:rsid w:val="00814F36"/>
    <w:rsid w:val="00815084"/>
    <w:rsid w:val="008154FD"/>
    <w:rsid w:val="008155BF"/>
    <w:rsid w:val="00815667"/>
    <w:rsid w:val="00816332"/>
    <w:rsid w:val="00817D48"/>
    <w:rsid w:val="00817EF6"/>
    <w:rsid w:val="0082039A"/>
    <w:rsid w:val="0082074A"/>
    <w:rsid w:val="00821636"/>
    <w:rsid w:val="008216D1"/>
    <w:rsid w:val="00821749"/>
    <w:rsid w:val="00821FAF"/>
    <w:rsid w:val="008226A8"/>
    <w:rsid w:val="00823017"/>
    <w:rsid w:val="008231E8"/>
    <w:rsid w:val="0082374A"/>
    <w:rsid w:val="0082413D"/>
    <w:rsid w:val="00824649"/>
    <w:rsid w:val="008246BA"/>
    <w:rsid w:val="00824787"/>
    <w:rsid w:val="00825AF5"/>
    <w:rsid w:val="00826621"/>
    <w:rsid w:val="00826F81"/>
    <w:rsid w:val="008270D9"/>
    <w:rsid w:val="0082725E"/>
    <w:rsid w:val="00827D47"/>
    <w:rsid w:val="008300A1"/>
    <w:rsid w:val="00830382"/>
    <w:rsid w:val="0083060A"/>
    <w:rsid w:val="008321F8"/>
    <w:rsid w:val="00832767"/>
    <w:rsid w:val="0083407E"/>
    <w:rsid w:val="0083515F"/>
    <w:rsid w:val="00835487"/>
    <w:rsid w:val="00835F31"/>
    <w:rsid w:val="00836306"/>
    <w:rsid w:val="0083788F"/>
    <w:rsid w:val="00840B12"/>
    <w:rsid w:val="00840B57"/>
    <w:rsid w:val="00840ECA"/>
    <w:rsid w:val="00840F20"/>
    <w:rsid w:val="00841150"/>
    <w:rsid w:val="00841EB4"/>
    <w:rsid w:val="0084264B"/>
    <w:rsid w:val="0084273E"/>
    <w:rsid w:val="00843897"/>
    <w:rsid w:val="00844A3E"/>
    <w:rsid w:val="00844BE8"/>
    <w:rsid w:val="00845872"/>
    <w:rsid w:val="00846C56"/>
    <w:rsid w:val="008474D2"/>
    <w:rsid w:val="00847531"/>
    <w:rsid w:val="00847E6E"/>
    <w:rsid w:val="0085095B"/>
    <w:rsid w:val="00850EFB"/>
    <w:rsid w:val="00851196"/>
    <w:rsid w:val="00851639"/>
    <w:rsid w:val="0085212E"/>
    <w:rsid w:val="00852BE3"/>
    <w:rsid w:val="00853169"/>
    <w:rsid w:val="00853AF2"/>
    <w:rsid w:val="00853E6C"/>
    <w:rsid w:val="0085441F"/>
    <w:rsid w:val="008544F4"/>
    <w:rsid w:val="008558CF"/>
    <w:rsid w:val="00855B33"/>
    <w:rsid w:val="00855BBA"/>
    <w:rsid w:val="00855F1B"/>
    <w:rsid w:val="00856AB4"/>
    <w:rsid w:val="0086022A"/>
    <w:rsid w:val="008603C7"/>
    <w:rsid w:val="00860415"/>
    <w:rsid w:val="00860829"/>
    <w:rsid w:val="0086088A"/>
    <w:rsid w:val="00860A2C"/>
    <w:rsid w:val="0086227E"/>
    <w:rsid w:val="0086246D"/>
    <w:rsid w:val="0086254E"/>
    <w:rsid w:val="0086260D"/>
    <w:rsid w:val="008628C2"/>
    <w:rsid w:val="00863009"/>
    <w:rsid w:val="0086362D"/>
    <w:rsid w:val="00863ADC"/>
    <w:rsid w:val="00864D58"/>
    <w:rsid w:val="00865685"/>
    <w:rsid w:val="0086709C"/>
    <w:rsid w:val="008676B0"/>
    <w:rsid w:val="0087024B"/>
    <w:rsid w:val="00870370"/>
    <w:rsid w:val="008704DC"/>
    <w:rsid w:val="00871147"/>
    <w:rsid w:val="00873389"/>
    <w:rsid w:val="008733A9"/>
    <w:rsid w:val="008761D2"/>
    <w:rsid w:val="00876588"/>
    <w:rsid w:val="00880730"/>
    <w:rsid w:val="008810DD"/>
    <w:rsid w:val="00881A01"/>
    <w:rsid w:val="00881CA9"/>
    <w:rsid w:val="00881CF7"/>
    <w:rsid w:val="00881DF1"/>
    <w:rsid w:val="00881E54"/>
    <w:rsid w:val="00882849"/>
    <w:rsid w:val="00882A34"/>
    <w:rsid w:val="00883A80"/>
    <w:rsid w:val="0088653F"/>
    <w:rsid w:val="00886A94"/>
    <w:rsid w:val="00886C94"/>
    <w:rsid w:val="00887A39"/>
    <w:rsid w:val="00890436"/>
    <w:rsid w:val="00890445"/>
    <w:rsid w:val="00892289"/>
    <w:rsid w:val="00893307"/>
    <w:rsid w:val="008935F8"/>
    <w:rsid w:val="00893DE8"/>
    <w:rsid w:val="00896526"/>
    <w:rsid w:val="008969A3"/>
    <w:rsid w:val="00896F60"/>
    <w:rsid w:val="008970CA"/>
    <w:rsid w:val="00897119"/>
    <w:rsid w:val="0089735D"/>
    <w:rsid w:val="008A07BE"/>
    <w:rsid w:val="008A1FFA"/>
    <w:rsid w:val="008A22FF"/>
    <w:rsid w:val="008A23DE"/>
    <w:rsid w:val="008A2555"/>
    <w:rsid w:val="008A3AEB"/>
    <w:rsid w:val="008A4A8F"/>
    <w:rsid w:val="008A4D7B"/>
    <w:rsid w:val="008A504D"/>
    <w:rsid w:val="008A6371"/>
    <w:rsid w:val="008A6454"/>
    <w:rsid w:val="008A650F"/>
    <w:rsid w:val="008A6546"/>
    <w:rsid w:val="008A72D3"/>
    <w:rsid w:val="008A7BA4"/>
    <w:rsid w:val="008B0754"/>
    <w:rsid w:val="008B0FF5"/>
    <w:rsid w:val="008B112A"/>
    <w:rsid w:val="008B19F8"/>
    <w:rsid w:val="008B1B3A"/>
    <w:rsid w:val="008B3437"/>
    <w:rsid w:val="008B3F3D"/>
    <w:rsid w:val="008B4BEC"/>
    <w:rsid w:val="008B4FF0"/>
    <w:rsid w:val="008B5131"/>
    <w:rsid w:val="008B51B6"/>
    <w:rsid w:val="008B665E"/>
    <w:rsid w:val="008B68F6"/>
    <w:rsid w:val="008B708B"/>
    <w:rsid w:val="008B7720"/>
    <w:rsid w:val="008C0EA2"/>
    <w:rsid w:val="008C153A"/>
    <w:rsid w:val="008C1879"/>
    <w:rsid w:val="008C1A1B"/>
    <w:rsid w:val="008C1CA9"/>
    <w:rsid w:val="008C2163"/>
    <w:rsid w:val="008C2266"/>
    <w:rsid w:val="008C506B"/>
    <w:rsid w:val="008C53FE"/>
    <w:rsid w:val="008C545E"/>
    <w:rsid w:val="008C55AA"/>
    <w:rsid w:val="008C5ACF"/>
    <w:rsid w:val="008C5FD9"/>
    <w:rsid w:val="008C65E6"/>
    <w:rsid w:val="008C69EC"/>
    <w:rsid w:val="008C6AC0"/>
    <w:rsid w:val="008C6B0A"/>
    <w:rsid w:val="008C78D0"/>
    <w:rsid w:val="008D051A"/>
    <w:rsid w:val="008D0E76"/>
    <w:rsid w:val="008D0ECC"/>
    <w:rsid w:val="008D10AA"/>
    <w:rsid w:val="008D1733"/>
    <w:rsid w:val="008D1807"/>
    <w:rsid w:val="008D1BAE"/>
    <w:rsid w:val="008D2105"/>
    <w:rsid w:val="008D22EF"/>
    <w:rsid w:val="008D265C"/>
    <w:rsid w:val="008D277D"/>
    <w:rsid w:val="008D2DDB"/>
    <w:rsid w:val="008D3B5E"/>
    <w:rsid w:val="008D430A"/>
    <w:rsid w:val="008D4BEA"/>
    <w:rsid w:val="008D518D"/>
    <w:rsid w:val="008D6617"/>
    <w:rsid w:val="008D72B8"/>
    <w:rsid w:val="008D7916"/>
    <w:rsid w:val="008E0190"/>
    <w:rsid w:val="008E05E0"/>
    <w:rsid w:val="008E16CA"/>
    <w:rsid w:val="008E1F86"/>
    <w:rsid w:val="008E259C"/>
    <w:rsid w:val="008E2DAE"/>
    <w:rsid w:val="008E340B"/>
    <w:rsid w:val="008E3BA9"/>
    <w:rsid w:val="008E4014"/>
    <w:rsid w:val="008E4EDB"/>
    <w:rsid w:val="008E4FB2"/>
    <w:rsid w:val="008E56C2"/>
    <w:rsid w:val="008E771F"/>
    <w:rsid w:val="008E7D93"/>
    <w:rsid w:val="008F02B0"/>
    <w:rsid w:val="008F0A8B"/>
    <w:rsid w:val="008F1816"/>
    <w:rsid w:val="008F3D7F"/>
    <w:rsid w:val="008F3EA3"/>
    <w:rsid w:val="008F40FE"/>
    <w:rsid w:val="008F4B3F"/>
    <w:rsid w:val="008F4F02"/>
    <w:rsid w:val="008F4F2D"/>
    <w:rsid w:val="008F54FD"/>
    <w:rsid w:val="008F592F"/>
    <w:rsid w:val="008F6E88"/>
    <w:rsid w:val="008F7646"/>
    <w:rsid w:val="008F776A"/>
    <w:rsid w:val="00900C30"/>
    <w:rsid w:val="00901F65"/>
    <w:rsid w:val="009026F2"/>
    <w:rsid w:val="009028C2"/>
    <w:rsid w:val="0090291B"/>
    <w:rsid w:val="0090295A"/>
    <w:rsid w:val="009029BC"/>
    <w:rsid w:val="009034A1"/>
    <w:rsid w:val="00903656"/>
    <w:rsid w:val="00903752"/>
    <w:rsid w:val="009037EA"/>
    <w:rsid w:val="00904336"/>
    <w:rsid w:val="00905755"/>
    <w:rsid w:val="0090696D"/>
    <w:rsid w:val="00907052"/>
    <w:rsid w:val="00907444"/>
    <w:rsid w:val="00907E5A"/>
    <w:rsid w:val="009107C3"/>
    <w:rsid w:val="00911873"/>
    <w:rsid w:val="009125FB"/>
    <w:rsid w:val="00912877"/>
    <w:rsid w:val="00913334"/>
    <w:rsid w:val="009140EC"/>
    <w:rsid w:val="0091488B"/>
    <w:rsid w:val="00914E7A"/>
    <w:rsid w:val="009157F3"/>
    <w:rsid w:val="009166B2"/>
    <w:rsid w:val="00916814"/>
    <w:rsid w:val="0091700B"/>
    <w:rsid w:val="00917293"/>
    <w:rsid w:val="00920842"/>
    <w:rsid w:val="00920E72"/>
    <w:rsid w:val="009215BF"/>
    <w:rsid w:val="0092176D"/>
    <w:rsid w:val="00921DDE"/>
    <w:rsid w:val="00922643"/>
    <w:rsid w:val="0092291E"/>
    <w:rsid w:val="00922E39"/>
    <w:rsid w:val="00924A44"/>
    <w:rsid w:val="00925550"/>
    <w:rsid w:val="00925C72"/>
    <w:rsid w:val="00925E98"/>
    <w:rsid w:val="00926EF0"/>
    <w:rsid w:val="00927109"/>
    <w:rsid w:val="00930594"/>
    <w:rsid w:val="00930DEE"/>
    <w:rsid w:val="00931103"/>
    <w:rsid w:val="00932544"/>
    <w:rsid w:val="00935049"/>
    <w:rsid w:val="009350AE"/>
    <w:rsid w:val="009357F0"/>
    <w:rsid w:val="009361F2"/>
    <w:rsid w:val="009409BE"/>
    <w:rsid w:val="009410E3"/>
    <w:rsid w:val="00941175"/>
    <w:rsid w:val="00941C94"/>
    <w:rsid w:val="009425E1"/>
    <w:rsid w:val="009429C3"/>
    <w:rsid w:val="009435C4"/>
    <w:rsid w:val="00943851"/>
    <w:rsid w:val="009438E4"/>
    <w:rsid w:val="00943919"/>
    <w:rsid w:val="0094476E"/>
    <w:rsid w:val="0094584C"/>
    <w:rsid w:val="0094622E"/>
    <w:rsid w:val="0094719B"/>
    <w:rsid w:val="009476AF"/>
    <w:rsid w:val="00950442"/>
    <w:rsid w:val="00950C45"/>
    <w:rsid w:val="00950CE4"/>
    <w:rsid w:val="00951B01"/>
    <w:rsid w:val="009523CC"/>
    <w:rsid w:val="00952909"/>
    <w:rsid w:val="009539DF"/>
    <w:rsid w:val="00954259"/>
    <w:rsid w:val="0095484C"/>
    <w:rsid w:val="00954EF4"/>
    <w:rsid w:val="00954FCB"/>
    <w:rsid w:val="009550BB"/>
    <w:rsid w:val="00955AF2"/>
    <w:rsid w:val="00956684"/>
    <w:rsid w:val="0095674B"/>
    <w:rsid w:val="00957410"/>
    <w:rsid w:val="00957A1D"/>
    <w:rsid w:val="009609B3"/>
    <w:rsid w:val="009609C7"/>
    <w:rsid w:val="00961CD7"/>
    <w:rsid w:val="00961F54"/>
    <w:rsid w:val="00962168"/>
    <w:rsid w:val="00962593"/>
    <w:rsid w:val="00962946"/>
    <w:rsid w:val="00962D18"/>
    <w:rsid w:val="0096304B"/>
    <w:rsid w:val="00964E59"/>
    <w:rsid w:val="00964F62"/>
    <w:rsid w:val="00965264"/>
    <w:rsid w:val="0096676B"/>
    <w:rsid w:val="009667CB"/>
    <w:rsid w:val="00966E87"/>
    <w:rsid w:val="00967006"/>
    <w:rsid w:val="009673C2"/>
    <w:rsid w:val="00967986"/>
    <w:rsid w:val="00967A2B"/>
    <w:rsid w:val="00970321"/>
    <w:rsid w:val="00970405"/>
    <w:rsid w:val="009704E6"/>
    <w:rsid w:val="00970661"/>
    <w:rsid w:val="00970B59"/>
    <w:rsid w:val="00971284"/>
    <w:rsid w:val="00971411"/>
    <w:rsid w:val="00971A0B"/>
    <w:rsid w:val="00971A61"/>
    <w:rsid w:val="0097236D"/>
    <w:rsid w:val="00972F54"/>
    <w:rsid w:val="00973514"/>
    <w:rsid w:val="009736E9"/>
    <w:rsid w:val="00973F92"/>
    <w:rsid w:val="00975BC4"/>
    <w:rsid w:val="00975D61"/>
    <w:rsid w:val="0097698E"/>
    <w:rsid w:val="00977568"/>
    <w:rsid w:val="00977FD6"/>
    <w:rsid w:val="00980F1B"/>
    <w:rsid w:val="009811BF"/>
    <w:rsid w:val="0098211F"/>
    <w:rsid w:val="009821A0"/>
    <w:rsid w:val="0098254D"/>
    <w:rsid w:val="00982635"/>
    <w:rsid w:val="00982D40"/>
    <w:rsid w:val="0098349C"/>
    <w:rsid w:val="00984692"/>
    <w:rsid w:val="00984970"/>
    <w:rsid w:val="00984A4A"/>
    <w:rsid w:val="00985756"/>
    <w:rsid w:val="009862D1"/>
    <w:rsid w:val="009869A4"/>
    <w:rsid w:val="00990708"/>
    <w:rsid w:val="0099086E"/>
    <w:rsid w:val="00991083"/>
    <w:rsid w:val="009912DB"/>
    <w:rsid w:val="00991C6B"/>
    <w:rsid w:val="00991E5D"/>
    <w:rsid w:val="009927C0"/>
    <w:rsid w:val="00992B9D"/>
    <w:rsid w:val="00993DD9"/>
    <w:rsid w:val="00994425"/>
    <w:rsid w:val="009955E5"/>
    <w:rsid w:val="00996453"/>
    <w:rsid w:val="00996C21"/>
    <w:rsid w:val="00997542"/>
    <w:rsid w:val="009A06E7"/>
    <w:rsid w:val="009A0B97"/>
    <w:rsid w:val="009A1323"/>
    <w:rsid w:val="009A2C03"/>
    <w:rsid w:val="009A331F"/>
    <w:rsid w:val="009A472F"/>
    <w:rsid w:val="009A4B2C"/>
    <w:rsid w:val="009A6F45"/>
    <w:rsid w:val="009A75D3"/>
    <w:rsid w:val="009B04B0"/>
    <w:rsid w:val="009B0689"/>
    <w:rsid w:val="009B0796"/>
    <w:rsid w:val="009B10BA"/>
    <w:rsid w:val="009B119E"/>
    <w:rsid w:val="009B29ED"/>
    <w:rsid w:val="009B42A3"/>
    <w:rsid w:val="009B5015"/>
    <w:rsid w:val="009B55E4"/>
    <w:rsid w:val="009B629B"/>
    <w:rsid w:val="009B6636"/>
    <w:rsid w:val="009B6D2E"/>
    <w:rsid w:val="009B7C71"/>
    <w:rsid w:val="009C0C0A"/>
    <w:rsid w:val="009C10DB"/>
    <w:rsid w:val="009C161A"/>
    <w:rsid w:val="009C2092"/>
    <w:rsid w:val="009C2397"/>
    <w:rsid w:val="009C25A4"/>
    <w:rsid w:val="009C2617"/>
    <w:rsid w:val="009C3F61"/>
    <w:rsid w:val="009C4129"/>
    <w:rsid w:val="009C4293"/>
    <w:rsid w:val="009C454D"/>
    <w:rsid w:val="009C5165"/>
    <w:rsid w:val="009C58AF"/>
    <w:rsid w:val="009C6559"/>
    <w:rsid w:val="009C6984"/>
    <w:rsid w:val="009C7D38"/>
    <w:rsid w:val="009D01E4"/>
    <w:rsid w:val="009D0B82"/>
    <w:rsid w:val="009D15FD"/>
    <w:rsid w:val="009D1C90"/>
    <w:rsid w:val="009D30B8"/>
    <w:rsid w:val="009D3231"/>
    <w:rsid w:val="009D42F8"/>
    <w:rsid w:val="009D4B38"/>
    <w:rsid w:val="009D620C"/>
    <w:rsid w:val="009D69C3"/>
    <w:rsid w:val="009D7471"/>
    <w:rsid w:val="009D7DDE"/>
    <w:rsid w:val="009E0515"/>
    <w:rsid w:val="009E0634"/>
    <w:rsid w:val="009E0C61"/>
    <w:rsid w:val="009E0F93"/>
    <w:rsid w:val="009E137D"/>
    <w:rsid w:val="009E1481"/>
    <w:rsid w:val="009E1EAC"/>
    <w:rsid w:val="009E2DEE"/>
    <w:rsid w:val="009E3A50"/>
    <w:rsid w:val="009E5B48"/>
    <w:rsid w:val="009E6303"/>
    <w:rsid w:val="009E67B2"/>
    <w:rsid w:val="009F080F"/>
    <w:rsid w:val="009F0A0D"/>
    <w:rsid w:val="009F126A"/>
    <w:rsid w:val="009F1BA7"/>
    <w:rsid w:val="009F36BA"/>
    <w:rsid w:val="009F3DFA"/>
    <w:rsid w:val="009F3E63"/>
    <w:rsid w:val="009F4A71"/>
    <w:rsid w:val="009F558A"/>
    <w:rsid w:val="009F6501"/>
    <w:rsid w:val="009F667D"/>
    <w:rsid w:val="00A0014F"/>
    <w:rsid w:val="00A00BD2"/>
    <w:rsid w:val="00A01583"/>
    <w:rsid w:val="00A01B6A"/>
    <w:rsid w:val="00A01C65"/>
    <w:rsid w:val="00A01D69"/>
    <w:rsid w:val="00A02270"/>
    <w:rsid w:val="00A02CC7"/>
    <w:rsid w:val="00A03CE3"/>
    <w:rsid w:val="00A03E72"/>
    <w:rsid w:val="00A04F5B"/>
    <w:rsid w:val="00A0728D"/>
    <w:rsid w:val="00A104E9"/>
    <w:rsid w:val="00A121BD"/>
    <w:rsid w:val="00A137FB"/>
    <w:rsid w:val="00A14D2B"/>
    <w:rsid w:val="00A15587"/>
    <w:rsid w:val="00A16654"/>
    <w:rsid w:val="00A16B89"/>
    <w:rsid w:val="00A17923"/>
    <w:rsid w:val="00A17D00"/>
    <w:rsid w:val="00A201A9"/>
    <w:rsid w:val="00A20211"/>
    <w:rsid w:val="00A20BA4"/>
    <w:rsid w:val="00A20DFC"/>
    <w:rsid w:val="00A20EF2"/>
    <w:rsid w:val="00A211D4"/>
    <w:rsid w:val="00A21330"/>
    <w:rsid w:val="00A21829"/>
    <w:rsid w:val="00A226EA"/>
    <w:rsid w:val="00A22CC1"/>
    <w:rsid w:val="00A25708"/>
    <w:rsid w:val="00A26DD9"/>
    <w:rsid w:val="00A27611"/>
    <w:rsid w:val="00A30477"/>
    <w:rsid w:val="00A3047E"/>
    <w:rsid w:val="00A30815"/>
    <w:rsid w:val="00A30AC1"/>
    <w:rsid w:val="00A31035"/>
    <w:rsid w:val="00A324BF"/>
    <w:rsid w:val="00A33781"/>
    <w:rsid w:val="00A33EEC"/>
    <w:rsid w:val="00A355C6"/>
    <w:rsid w:val="00A36232"/>
    <w:rsid w:val="00A36767"/>
    <w:rsid w:val="00A36E96"/>
    <w:rsid w:val="00A37FFE"/>
    <w:rsid w:val="00A40AF3"/>
    <w:rsid w:val="00A41157"/>
    <w:rsid w:val="00A41D3C"/>
    <w:rsid w:val="00A42680"/>
    <w:rsid w:val="00A428E6"/>
    <w:rsid w:val="00A42C65"/>
    <w:rsid w:val="00A4472B"/>
    <w:rsid w:val="00A44B01"/>
    <w:rsid w:val="00A45350"/>
    <w:rsid w:val="00A4538D"/>
    <w:rsid w:val="00A45937"/>
    <w:rsid w:val="00A4593C"/>
    <w:rsid w:val="00A509FF"/>
    <w:rsid w:val="00A50D05"/>
    <w:rsid w:val="00A52379"/>
    <w:rsid w:val="00A53B67"/>
    <w:rsid w:val="00A53E1A"/>
    <w:rsid w:val="00A53E47"/>
    <w:rsid w:val="00A54B16"/>
    <w:rsid w:val="00A5783B"/>
    <w:rsid w:val="00A578D7"/>
    <w:rsid w:val="00A57967"/>
    <w:rsid w:val="00A60FE7"/>
    <w:rsid w:val="00A61309"/>
    <w:rsid w:val="00A61552"/>
    <w:rsid w:val="00A61B9E"/>
    <w:rsid w:val="00A61CCD"/>
    <w:rsid w:val="00A62648"/>
    <w:rsid w:val="00A62AE6"/>
    <w:rsid w:val="00A63B6D"/>
    <w:rsid w:val="00A65C85"/>
    <w:rsid w:val="00A713A0"/>
    <w:rsid w:val="00A733BC"/>
    <w:rsid w:val="00A73654"/>
    <w:rsid w:val="00A745AF"/>
    <w:rsid w:val="00A745B9"/>
    <w:rsid w:val="00A74849"/>
    <w:rsid w:val="00A76F22"/>
    <w:rsid w:val="00A776D1"/>
    <w:rsid w:val="00A77732"/>
    <w:rsid w:val="00A77B0A"/>
    <w:rsid w:val="00A80600"/>
    <w:rsid w:val="00A8116A"/>
    <w:rsid w:val="00A814AF"/>
    <w:rsid w:val="00A82732"/>
    <w:rsid w:val="00A82886"/>
    <w:rsid w:val="00A83219"/>
    <w:rsid w:val="00A832BA"/>
    <w:rsid w:val="00A83314"/>
    <w:rsid w:val="00A8334C"/>
    <w:rsid w:val="00A83A90"/>
    <w:rsid w:val="00A844BB"/>
    <w:rsid w:val="00A85017"/>
    <w:rsid w:val="00A854F8"/>
    <w:rsid w:val="00A855D8"/>
    <w:rsid w:val="00A8574E"/>
    <w:rsid w:val="00A85D6F"/>
    <w:rsid w:val="00A864A5"/>
    <w:rsid w:val="00A870AF"/>
    <w:rsid w:val="00A87D5C"/>
    <w:rsid w:val="00A90227"/>
    <w:rsid w:val="00A91042"/>
    <w:rsid w:val="00A91104"/>
    <w:rsid w:val="00A917FB"/>
    <w:rsid w:val="00A9187F"/>
    <w:rsid w:val="00A91F3A"/>
    <w:rsid w:val="00A92295"/>
    <w:rsid w:val="00A927BF"/>
    <w:rsid w:val="00A92C19"/>
    <w:rsid w:val="00A92D94"/>
    <w:rsid w:val="00A931AA"/>
    <w:rsid w:val="00A9380C"/>
    <w:rsid w:val="00A941F7"/>
    <w:rsid w:val="00A94372"/>
    <w:rsid w:val="00A960AE"/>
    <w:rsid w:val="00A972F6"/>
    <w:rsid w:val="00AA0F7D"/>
    <w:rsid w:val="00AA1A8F"/>
    <w:rsid w:val="00AA3F7B"/>
    <w:rsid w:val="00AA489D"/>
    <w:rsid w:val="00AA5A3C"/>
    <w:rsid w:val="00AA6A54"/>
    <w:rsid w:val="00AB0FA3"/>
    <w:rsid w:val="00AB108D"/>
    <w:rsid w:val="00AB2C02"/>
    <w:rsid w:val="00AB3CFA"/>
    <w:rsid w:val="00AB5500"/>
    <w:rsid w:val="00AB5AD9"/>
    <w:rsid w:val="00AB680D"/>
    <w:rsid w:val="00AB76FD"/>
    <w:rsid w:val="00AC10B0"/>
    <w:rsid w:val="00AC25A7"/>
    <w:rsid w:val="00AC3317"/>
    <w:rsid w:val="00AC3B84"/>
    <w:rsid w:val="00AC3BCC"/>
    <w:rsid w:val="00AC3C74"/>
    <w:rsid w:val="00AC3CAF"/>
    <w:rsid w:val="00AC509C"/>
    <w:rsid w:val="00AC5C6E"/>
    <w:rsid w:val="00AC645F"/>
    <w:rsid w:val="00AC6A97"/>
    <w:rsid w:val="00AC6BD8"/>
    <w:rsid w:val="00AC6E2D"/>
    <w:rsid w:val="00AD0338"/>
    <w:rsid w:val="00AD19D2"/>
    <w:rsid w:val="00AD326D"/>
    <w:rsid w:val="00AD3FA6"/>
    <w:rsid w:val="00AD4078"/>
    <w:rsid w:val="00AD4328"/>
    <w:rsid w:val="00AD5B8C"/>
    <w:rsid w:val="00AE1260"/>
    <w:rsid w:val="00AE1BDA"/>
    <w:rsid w:val="00AE20A0"/>
    <w:rsid w:val="00AE29FE"/>
    <w:rsid w:val="00AE2B66"/>
    <w:rsid w:val="00AE2B6A"/>
    <w:rsid w:val="00AE2B74"/>
    <w:rsid w:val="00AE31ED"/>
    <w:rsid w:val="00AE4AE0"/>
    <w:rsid w:val="00AE4FDC"/>
    <w:rsid w:val="00AE6881"/>
    <w:rsid w:val="00AE7316"/>
    <w:rsid w:val="00AF0B5E"/>
    <w:rsid w:val="00AF0D2A"/>
    <w:rsid w:val="00AF1A4C"/>
    <w:rsid w:val="00AF2098"/>
    <w:rsid w:val="00AF4526"/>
    <w:rsid w:val="00AF499B"/>
    <w:rsid w:val="00AF550E"/>
    <w:rsid w:val="00AF5A52"/>
    <w:rsid w:val="00AF5BE6"/>
    <w:rsid w:val="00AF6E79"/>
    <w:rsid w:val="00AF79BD"/>
    <w:rsid w:val="00AF79E9"/>
    <w:rsid w:val="00B007DA"/>
    <w:rsid w:val="00B01C63"/>
    <w:rsid w:val="00B0251F"/>
    <w:rsid w:val="00B02E28"/>
    <w:rsid w:val="00B0421F"/>
    <w:rsid w:val="00B04ACC"/>
    <w:rsid w:val="00B05141"/>
    <w:rsid w:val="00B052C1"/>
    <w:rsid w:val="00B05ADA"/>
    <w:rsid w:val="00B05AE0"/>
    <w:rsid w:val="00B05D0D"/>
    <w:rsid w:val="00B05FC9"/>
    <w:rsid w:val="00B05FDA"/>
    <w:rsid w:val="00B061CF"/>
    <w:rsid w:val="00B07462"/>
    <w:rsid w:val="00B07BED"/>
    <w:rsid w:val="00B103BE"/>
    <w:rsid w:val="00B10E1C"/>
    <w:rsid w:val="00B11556"/>
    <w:rsid w:val="00B11ED8"/>
    <w:rsid w:val="00B121E3"/>
    <w:rsid w:val="00B12D0B"/>
    <w:rsid w:val="00B1304E"/>
    <w:rsid w:val="00B142DC"/>
    <w:rsid w:val="00B14676"/>
    <w:rsid w:val="00B14760"/>
    <w:rsid w:val="00B14C29"/>
    <w:rsid w:val="00B14FCD"/>
    <w:rsid w:val="00B20643"/>
    <w:rsid w:val="00B21055"/>
    <w:rsid w:val="00B2114C"/>
    <w:rsid w:val="00B2239E"/>
    <w:rsid w:val="00B226E0"/>
    <w:rsid w:val="00B22B4F"/>
    <w:rsid w:val="00B25CA4"/>
    <w:rsid w:val="00B25EC1"/>
    <w:rsid w:val="00B261EE"/>
    <w:rsid w:val="00B2649D"/>
    <w:rsid w:val="00B26F1D"/>
    <w:rsid w:val="00B27096"/>
    <w:rsid w:val="00B27724"/>
    <w:rsid w:val="00B279C3"/>
    <w:rsid w:val="00B3077E"/>
    <w:rsid w:val="00B30A80"/>
    <w:rsid w:val="00B30AD4"/>
    <w:rsid w:val="00B314E0"/>
    <w:rsid w:val="00B34277"/>
    <w:rsid w:val="00B3491A"/>
    <w:rsid w:val="00B34B20"/>
    <w:rsid w:val="00B34B4F"/>
    <w:rsid w:val="00B35625"/>
    <w:rsid w:val="00B362DA"/>
    <w:rsid w:val="00B36406"/>
    <w:rsid w:val="00B37A91"/>
    <w:rsid w:val="00B37E97"/>
    <w:rsid w:val="00B4047F"/>
    <w:rsid w:val="00B405C9"/>
    <w:rsid w:val="00B40BB7"/>
    <w:rsid w:val="00B4163B"/>
    <w:rsid w:val="00B426E7"/>
    <w:rsid w:val="00B43712"/>
    <w:rsid w:val="00B45763"/>
    <w:rsid w:val="00B45D4F"/>
    <w:rsid w:val="00B50425"/>
    <w:rsid w:val="00B514A6"/>
    <w:rsid w:val="00B51988"/>
    <w:rsid w:val="00B53653"/>
    <w:rsid w:val="00B53C5E"/>
    <w:rsid w:val="00B53D0C"/>
    <w:rsid w:val="00B546C6"/>
    <w:rsid w:val="00B550FA"/>
    <w:rsid w:val="00B5612C"/>
    <w:rsid w:val="00B56177"/>
    <w:rsid w:val="00B56273"/>
    <w:rsid w:val="00B566F4"/>
    <w:rsid w:val="00B573D9"/>
    <w:rsid w:val="00B57745"/>
    <w:rsid w:val="00B57EDD"/>
    <w:rsid w:val="00B6067B"/>
    <w:rsid w:val="00B614BE"/>
    <w:rsid w:val="00B61504"/>
    <w:rsid w:val="00B62399"/>
    <w:rsid w:val="00B62E8F"/>
    <w:rsid w:val="00B63573"/>
    <w:rsid w:val="00B63DE7"/>
    <w:rsid w:val="00B64126"/>
    <w:rsid w:val="00B6418D"/>
    <w:rsid w:val="00B64DA6"/>
    <w:rsid w:val="00B66107"/>
    <w:rsid w:val="00B6693F"/>
    <w:rsid w:val="00B669B0"/>
    <w:rsid w:val="00B66AD0"/>
    <w:rsid w:val="00B6752E"/>
    <w:rsid w:val="00B678EA"/>
    <w:rsid w:val="00B70DF0"/>
    <w:rsid w:val="00B71C49"/>
    <w:rsid w:val="00B72858"/>
    <w:rsid w:val="00B7293D"/>
    <w:rsid w:val="00B72CF3"/>
    <w:rsid w:val="00B73053"/>
    <w:rsid w:val="00B748BF"/>
    <w:rsid w:val="00B74BD4"/>
    <w:rsid w:val="00B757CD"/>
    <w:rsid w:val="00B75E51"/>
    <w:rsid w:val="00B7700C"/>
    <w:rsid w:val="00B7719A"/>
    <w:rsid w:val="00B77B21"/>
    <w:rsid w:val="00B80582"/>
    <w:rsid w:val="00B8068D"/>
    <w:rsid w:val="00B810A8"/>
    <w:rsid w:val="00B81C76"/>
    <w:rsid w:val="00B82713"/>
    <w:rsid w:val="00B82732"/>
    <w:rsid w:val="00B84109"/>
    <w:rsid w:val="00B8492F"/>
    <w:rsid w:val="00B84E15"/>
    <w:rsid w:val="00B853A7"/>
    <w:rsid w:val="00B85B3C"/>
    <w:rsid w:val="00B86732"/>
    <w:rsid w:val="00B86935"/>
    <w:rsid w:val="00B87AED"/>
    <w:rsid w:val="00B90A24"/>
    <w:rsid w:val="00B90D67"/>
    <w:rsid w:val="00B911C4"/>
    <w:rsid w:val="00B92D3C"/>
    <w:rsid w:val="00B93C00"/>
    <w:rsid w:val="00B93D3D"/>
    <w:rsid w:val="00B94415"/>
    <w:rsid w:val="00B9466B"/>
    <w:rsid w:val="00B957D7"/>
    <w:rsid w:val="00B9645F"/>
    <w:rsid w:val="00B96523"/>
    <w:rsid w:val="00B97218"/>
    <w:rsid w:val="00BA01BA"/>
    <w:rsid w:val="00BA18CC"/>
    <w:rsid w:val="00BA1A9F"/>
    <w:rsid w:val="00BA2072"/>
    <w:rsid w:val="00BA282F"/>
    <w:rsid w:val="00BA4290"/>
    <w:rsid w:val="00BA43F6"/>
    <w:rsid w:val="00BA483D"/>
    <w:rsid w:val="00BA68E5"/>
    <w:rsid w:val="00BA6934"/>
    <w:rsid w:val="00BA6A16"/>
    <w:rsid w:val="00BA6EB9"/>
    <w:rsid w:val="00BA6F1A"/>
    <w:rsid w:val="00BA6F23"/>
    <w:rsid w:val="00BA7788"/>
    <w:rsid w:val="00BA781D"/>
    <w:rsid w:val="00BA7837"/>
    <w:rsid w:val="00BB04B4"/>
    <w:rsid w:val="00BB07F3"/>
    <w:rsid w:val="00BB2492"/>
    <w:rsid w:val="00BB24EA"/>
    <w:rsid w:val="00BB4EF0"/>
    <w:rsid w:val="00BB5393"/>
    <w:rsid w:val="00BB5C2D"/>
    <w:rsid w:val="00BB5D56"/>
    <w:rsid w:val="00BB7924"/>
    <w:rsid w:val="00BC0FF8"/>
    <w:rsid w:val="00BC20CA"/>
    <w:rsid w:val="00BC22CD"/>
    <w:rsid w:val="00BC3689"/>
    <w:rsid w:val="00BC3996"/>
    <w:rsid w:val="00BC3A15"/>
    <w:rsid w:val="00BC3E03"/>
    <w:rsid w:val="00BC3EA0"/>
    <w:rsid w:val="00BC4911"/>
    <w:rsid w:val="00BC49D7"/>
    <w:rsid w:val="00BC73E4"/>
    <w:rsid w:val="00BD0198"/>
    <w:rsid w:val="00BD0675"/>
    <w:rsid w:val="00BD0D6F"/>
    <w:rsid w:val="00BD0EBD"/>
    <w:rsid w:val="00BD146D"/>
    <w:rsid w:val="00BD1BC4"/>
    <w:rsid w:val="00BD2637"/>
    <w:rsid w:val="00BD3248"/>
    <w:rsid w:val="00BD35F2"/>
    <w:rsid w:val="00BD4260"/>
    <w:rsid w:val="00BD57D5"/>
    <w:rsid w:val="00BD5AD4"/>
    <w:rsid w:val="00BD5D03"/>
    <w:rsid w:val="00BD5E51"/>
    <w:rsid w:val="00BD624C"/>
    <w:rsid w:val="00BD67AC"/>
    <w:rsid w:val="00BE1B14"/>
    <w:rsid w:val="00BE2948"/>
    <w:rsid w:val="00BE29B3"/>
    <w:rsid w:val="00BE3133"/>
    <w:rsid w:val="00BE36E3"/>
    <w:rsid w:val="00BE4B5F"/>
    <w:rsid w:val="00BE5E32"/>
    <w:rsid w:val="00BF1286"/>
    <w:rsid w:val="00BF1AC7"/>
    <w:rsid w:val="00BF2398"/>
    <w:rsid w:val="00BF2C2E"/>
    <w:rsid w:val="00BF33D1"/>
    <w:rsid w:val="00BF40FF"/>
    <w:rsid w:val="00BF4DAE"/>
    <w:rsid w:val="00BF4E92"/>
    <w:rsid w:val="00BF58BE"/>
    <w:rsid w:val="00BF5F05"/>
    <w:rsid w:val="00BF626C"/>
    <w:rsid w:val="00BF7672"/>
    <w:rsid w:val="00C00D5D"/>
    <w:rsid w:val="00C00E06"/>
    <w:rsid w:val="00C019C2"/>
    <w:rsid w:val="00C0256E"/>
    <w:rsid w:val="00C02CB8"/>
    <w:rsid w:val="00C0343D"/>
    <w:rsid w:val="00C03A86"/>
    <w:rsid w:val="00C04A9A"/>
    <w:rsid w:val="00C05245"/>
    <w:rsid w:val="00C05650"/>
    <w:rsid w:val="00C0688B"/>
    <w:rsid w:val="00C06F32"/>
    <w:rsid w:val="00C07357"/>
    <w:rsid w:val="00C0753D"/>
    <w:rsid w:val="00C0791B"/>
    <w:rsid w:val="00C07C5D"/>
    <w:rsid w:val="00C07FA5"/>
    <w:rsid w:val="00C1010B"/>
    <w:rsid w:val="00C1056D"/>
    <w:rsid w:val="00C11B3B"/>
    <w:rsid w:val="00C12F0B"/>
    <w:rsid w:val="00C12FA7"/>
    <w:rsid w:val="00C135A7"/>
    <w:rsid w:val="00C138CD"/>
    <w:rsid w:val="00C14C7A"/>
    <w:rsid w:val="00C14F4E"/>
    <w:rsid w:val="00C15CCD"/>
    <w:rsid w:val="00C15D6A"/>
    <w:rsid w:val="00C16385"/>
    <w:rsid w:val="00C16E1F"/>
    <w:rsid w:val="00C17661"/>
    <w:rsid w:val="00C17851"/>
    <w:rsid w:val="00C22193"/>
    <w:rsid w:val="00C23DB6"/>
    <w:rsid w:val="00C24094"/>
    <w:rsid w:val="00C250B8"/>
    <w:rsid w:val="00C25683"/>
    <w:rsid w:val="00C2645C"/>
    <w:rsid w:val="00C267C2"/>
    <w:rsid w:val="00C27170"/>
    <w:rsid w:val="00C27473"/>
    <w:rsid w:val="00C279F5"/>
    <w:rsid w:val="00C27AB5"/>
    <w:rsid w:val="00C3073D"/>
    <w:rsid w:val="00C30B4E"/>
    <w:rsid w:val="00C31924"/>
    <w:rsid w:val="00C31EF6"/>
    <w:rsid w:val="00C3263C"/>
    <w:rsid w:val="00C32AE8"/>
    <w:rsid w:val="00C341DB"/>
    <w:rsid w:val="00C344EC"/>
    <w:rsid w:val="00C34D8C"/>
    <w:rsid w:val="00C35B6F"/>
    <w:rsid w:val="00C35DC2"/>
    <w:rsid w:val="00C366D6"/>
    <w:rsid w:val="00C36B2A"/>
    <w:rsid w:val="00C37B7E"/>
    <w:rsid w:val="00C415AC"/>
    <w:rsid w:val="00C419F2"/>
    <w:rsid w:val="00C41A27"/>
    <w:rsid w:val="00C41AC5"/>
    <w:rsid w:val="00C42A55"/>
    <w:rsid w:val="00C42B81"/>
    <w:rsid w:val="00C42CAD"/>
    <w:rsid w:val="00C44A00"/>
    <w:rsid w:val="00C45B6E"/>
    <w:rsid w:val="00C45EDF"/>
    <w:rsid w:val="00C46A9E"/>
    <w:rsid w:val="00C46DA4"/>
    <w:rsid w:val="00C47D54"/>
    <w:rsid w:val="00C5025C"/>
    <w:rsid w:val="00C513F2"/>
    <w:rsid w:val="00C52225"/>
    <w:rsid w:val="00C52D29"/>
    <w:rsid w:val="00C5320F"/>
    <w:rsid w:val="00C53582"/>
    <w:rsid w:val="00C539A4"/>
    <w:rsid w:val="00C53DAC"/>
    <w:rsid w:val="00C5425C"/>
    <w:rsid w:val="00C54718"/>
    <w:rsid w:val="00C54E07"/>
    <w:rsid w:val="00C55AD1"/>
    <w:rsid w:val="00C55C47"/>
    <w:rsid w:val="00C5751F"/>
    <w:rsid w:val="00C57C13"/>
    <w:rsid w:val="00C60E5A"/>
    <w:rsid w:val="00C62569"/>
    <w:rsid w:val="00C63290"/>
    <w:rsid w:val="00C64A8D"/>
    <w:rsid w:val="00C64EFF"/>
    <w:rsid w:val="00C6506D"/>
    <w:rsid w:val="00C65149"/>
    <w:rsid w:val="00C65554"/>
    <w:rsid w:val="00C66C9F"/>
    <w:rsid w:val="00C66DAA"/>
    <w:rsid w:val="00C66ECA"/>
    <w:rsid w:val="00C71268"/>
    <w:rsid w:val="00C727D3"/>
    <w:rsid w:val="00C72E44"/>
    <w:rsid w:val="00C72EE3"/>
    <w:rsid w:val="00C731CB"/>
    <w:rsid w:val="00C73FDD"/>
    <w:rsid w:val="00C74254"/>
    <w:rsid w:val="00C74EAD"/>
    <w:rsid w:val="00C75CE4"/>
    <w:rsid w:val="00C763BC"/>
    <w:rsid w:val="00C7687F"/>
    <w:rsid w:val="00C76BD5"/>
    <w:rsid w:val="00C76CD2"/>
    <w:rsid w:val="00C77D3D"/>
    <w:rsid w:val="00C77E7E"/>
    <w:rsid w:val="00C80C73"/>
    <w:rsid w:val="00C81209"/>
    <w:rsid w:val="00C8139E"/>
    <w:rsid w:val="00C821E3"/>
    <w:rsid w:val="00C826BA"/>
    <w:rsid w:val="00C82C0A"/>
    <w:rsid w:val="00C834D4"/>
    <w:rsid w:val="00C834F7"/>
    <w:rsid w:val="00C83515"/>
    <w:rsid w:val="00C8390E"/>
    <w:rsid w:val="00C84271"/>
    <w:rsid w:val="00C84F84"/>
    <w:rsid w:val="00C85CAC"/>
    <w:rsid w:val="00C8790F"/>
    <w:rsid w:val="00C9030A"/>
    <w:rsid w:val="00C90612"/>
    <w:rsid w:val="00C916F4"/>
    <w:rsid w:val="00C920B3"/>
    <w:rsid w:val="00C924D5"/>
    <w:rsid w:val="00C931B2"/>
    <w:rsid w:val="00C93549"/>
    <w:rsid w:val="00C93555"/>
    <w:rsid w:val="00C939F1"/>
    <w:rsid w:val="00C93D01"/>
    <w:rsid w:val="00C941DE"/>
    <w:rsid w:val="00C94B75"/>
    <w:rsid w:val="00C95057"/>
    <w:rsid w:val="00C950DB"/>
    <w:rsid w:val="00C95EBB"/>
    <w:rsid w:val="00C96471"/>
    <w:rsid w:val="00C9657A"/>
    <w:rsid w:val="00C96A02"/>
    <w:rsid w:val="00C96F6B"/>
    <w:rsid w:val="00C976DF"/>
    <w:rsid w:val="00C978FF"/>
    <w:rsid w:val="00CA0992"/>
    <w:rsid w:val="00CA1386"/>
    <w:rsid w:val="00CA222C"/>
    <w:rsid w:val="00CA36A6"/>
    <w:rsid w:val="00CA4E90"/>
    <w:rsid w:val="00CA585E"/>
    <w:rsid w:val="00CB07BC"/>
    <w:rsid w:val="00CB08AA"/>
    <w:rsid w:val="00CB1FE5"/>
    <w:rsid w:val="00CB2825"/>
    <w:rsid w:val="00CB2F3B"/>
    <w:rsid w:val="00CB3176"/>
    <w:rsid w:val="00CB3AC3"/>
    <w:rsid w:val="00CB5756"/>
    <w:rsid w:val="00CB5ADD"/>
    <w:rsid w:val="00CB730E"/>
    <w:rsid w:val="00CB73AD"/>
    <w:rsid w:val="00CB76CB"/>
    <w:rsid w:val="00CC05AC"/>
    <w:rsid w:val="00CC08DC"/>
    <w:rsid w:val="00CC0F26"/>
    <w:rsid w:val="00CC12A7"/>
    <w:rsid w:val="00CC285C"/>
    <w:rsid w:val="00CC2F41"/>
    <w:rsid w:val="00CC4416"/>
    <w:rsid w:val="00CC44BA"/>
    <w:rsid w:val="00CC4780"/>
    <w:rsid w:val="00CC4D50"/>
    <w:rsid w:val="00CC5328"/>
    <w:rsid w:val="00CC5EA3"/>
    <w:rsid w:val="00CC6191"/>
    <w:rsid w:val="00CC7CF4"/>
    <w:rsid w:val="00CD003C"/>
    <w:rsid w:val="00CD03A0"/>
    <w:rsid w:val="00CD1020"/>
    <w:rsid w:val="00CD15AD"/>
    <w:rsid w:val="00CD23B9"/>
    <w:rsid w:val="00CD2BF2"/>
    <w:rsid w:val="00CD3472"/>
    <w:rsid w:val="00CD3984"/>
    <w:rsid w:val="00CD4B62"/>
    <w:rsid w:val="00CD5424"/>
    <w:rsid w:val="00CD58CC"/>
    <w:rsid w:val="00CD682F"/>
    <w:rsid w:val="00CD6967"/>
    <w:rsid w:val="00CD6977"/>
    <w:rsid w:val="00CD7B46"/>
    <w:rsid w:val="00CE0B08"/>
    <w:rsid w:val="00CE205C"/>
    <w:rsid w:val="00CE3900"/>
    <w:rsid w:val="00CE46B4"/>
    <w:rsid w:val="00CE53AE"/>
    <w:rsid w:val="00CE5474"/>
    <w:rsid w:val="00CE6C04"/>
    <w:rsid w:val="00CE79D8"/>
    <w:rsid w:val="00CF170C"/>
    <w:rsid w:val="00CF22E7"/>
    <w:rsid w:val="00CF312C"/>
    <w:rsid w:val="00CF49AE"/>
    <w:rsid w:val="00CF4AEA"/>
    <w:rsid w:val="00CF4E8A"/>
    <w:rsid w:val="00CF5624"/>
    <w:rsid w:val="00CF5E01"/>
    <w:rsid w:val="00CF5E26"/>
    <w:rsid w:val="00CF6EA8"/>
    <w:rsid w:val="00CF6F31"/>
    <w:rsid w:val="00D01A62"/>
    <w:rsid w:val="00D02EAD"/>
    <w:rsid w:val="00D02F1E"/>
    <w:rsid w:val="00D0350E"/>
    <w:rsid w:val="00D03BB2"/>
    <w:rsid w:val="00D044C6"/>
    <w:rsid w:val="00D052EF"/>
    <w:rsid w:val="00D0544B"/>
    <w:rsid w:val="00D0750C"/>
    <w:rsid w:val="00D106D6"/>
    <w:rsid w:val="00D108FE"/>
    <w:rsid w:val="00D11382"/>
    <w:rsid w:val="00D13143"/>
    <w:rsid w:val="00D13972"/>
    <w:rsid w:val="00D14CD8"/>
    <w:rsid w:val="00D15052"/>
    <w:rsid w:val="00D15447"/>
    <w:rsid w:val="00D15BD8"/>
    <w:rsid w:val="00D15E65"/>
    <w:rsid w:val="00D1643C"/>
    <w:rsid w:val="00D167B6"/>
    <w:rsid w:val="00D16B3B"/>
    <w:rsid w:val="00D17695"/>
    <w:rsid w:val="00D178F9"/>
    <w:rsid w:val="00D20C62"/>
    <w:rsid w:val="00D215B7"/>
    <w:rsid w:val="00D2184E"/>
    <w:rsid w:val="00D2241F"/>
    <w:rsid w:val="00D22712"/>
    <w:rsid w:val="00D231A8"/>
    <w:rsid w:val="00D238E6"/>
    <w:rsid w:val="00D239E9"/>
    <w:rsid w:val="00D24BDD"/>
    <w:rsid w:val="00D24F96"/>
    <w:rsid w:val="00D255C1"/>
    <w:rsid w:val="00D25B06"/>
    <w:rsid w:val="00D26716"/>
    <w:rsid w:val="00D2757F"/>
    <w:rsid w:val="00D278AA"/>
    <w:rsid w:val="00D27B36"/>
    <w:rsid w:val="00D27EDA"/>
    <w:rsid w:val="00D300E4"/>
    <w:rsid w:val="00D311D6"/>
    <w:rsid w:val="00D32240"/>
    <w:rsid w:val="00D3317E"/>
    <w:rsid w:val="00D33AAA"/>
    <w:rsid w:val="00D33EC0"/>
    <w:rsid w:val="00D340BD"/>
    <w:rsid w:val="00D354C1"/>
    <w:rsid w:val="00D35A75"/>
    <w:rsid w:val="00D35F5E"/>
    <w:rsid w:val="00D36B57"/>
    <w:rsid w:val="00D370B6"/>
    <w:rsid w:val="00D3715E"/>
    <w:rsid w:val="00D37D16"/>
    <w:rsid w:val="00D40A8E"/>
    <w:rsid w:val="00D40AF2"/>
    <w:rsid w:val="00D41491"/>
    <w:rsid w:val="00D42CCE"/>
    <w:rsid w:val="00D43E94"/>
    <w:rsid w:val="00D44977"/>
    <w:rsid w:val="00D44A84"/>
    <w:rsid w:val="00D469FE"/>
    <w:rsid w:val="00D46D04"/>
    <w:rsid w:val="00D46E97"/>
    <w:rsid w:val="00D47075"/>
    <w:rsid w:val="00D479EF"/>
    <w:rsid w:val="00D47CF9"/>
    <w:rsid w:val="00D47E19"/>
    <w:rsid w:val="00D503C7"/>
    <w:rsid w:val="00D509C0"/>
    <w:rsid w:val="00D50E7D"/>
    <w:rsid w:val="00D51921"/>
    <w:rsid w:val="00D52497"/>
    <w:rsid w:val="00D528C1"/>
    <w:rsid w:val="00D53F85"/>
    <w:rsid w:val="00D54D18"/>
    <w:rsid w:val="00D552E8"/>
    <w:rsid w:val="00D55369"/>
    <w:rsid w:val="00D5555C"/>
    <w:rsid w:val="00D558D2"/>
    <w:rsid w:val="00D5723B"/>
    <w:rsid w:val="00D60CB0"/>
    <w:rsid w:val="00D619CC"/>
    <w:rsid w:val="00D62128"/>
    <w:rsid w:val="00D62B30"/>
    <w:rsid w:val="00D62E64"/>
    <w:rsid w:val="00D63A87"/>
    <w:rsid w:val="00D6448A"/>
    <w:rsid w:val="00D64694"/>
    <w:rsid w:val="00D6495C"/>
    <w:rsid w:val="00D64CB5"/>
    <w:rsid w:val="00D6529E"/>
    <w:rsid w:val="00D6670E"/>
    <w:rsid w:val="00D6710D"/>
    <w:rsid w:val="00D6710F"/>
    <w:rsid w:val="00D67A33"/>
    <w:rsid w:val="00D70CD3"/>
    <w:rsid w:val="00D71CE0"/>
    <w:rsid w:val="00D71E0E"/>
    <w:rsid w:val="00D721FA"/>
    <w:rsid w:val="00D727BC"/>
    <w:rsid w:val="00D72A78"/>
    <w:rsid w:val="00D734B2"/>
    <w:rsid w:val="00D7492A"/>
    <w:rsid w:val="00D74D4A"/>
    <w:rsid w:val="00D74D81"/>
    <w:rsid w:val="00D7513D"/>
    <w:rsid w:val="00D76889"/>
    <w:rsid w:val="00D76D2A"/>
    <w:rsid w:val="00D774E4"/>
    <w:rsid w:val="00D77692"/>
    <w:rsid w:val="00D80CA8"/>
    <w:rsid w:val="00D81808"/>
    <w:rsid w:val="00D820C0"/>
    <w:rsid w:val="00D821E3"/>
    <w:rsid w:val="00D82A80"/>
    <w:rsid w:val="00D82D5B"/>
    <w:rsid w:val="00D837A0"/>
    <w:rsid w:val="00D83AE7"/>
    <w:rsid w:val="00D86E88"/>
    <w:rsid w:val="00D872AA"/>
    <w:rsid w:val="00D87B20"/>
    <w:rsid w:val="00D90DD8"/>
    <w:rsid w:val="00D90DE0"/>
    <w:rsid w:val="00D91EB7"/>
    <w:rsid w:val="00D92028"/>
    <w:rsid w:val="00D923B2"/>
    <w:rsid w:val="00D92439"/>
    <w:rsid w:val="00D92D01"/>
    <w:rsid w:val="00D93E37"/>
    <w:rsid w:val="00D94347"/>
    <w:rsid w:val="00D949AB"/>
    <w:rsid w:val="00D95059"/>
    <w:rsid w:val="00D9536D"/>
    <w:rsid w:val="00D9563F"/>
    <w:rsid w:val="00D960E2"/>
    <w:rsid w:val="00D9610F"/>
    <w:rsid w:val="00D9639D"/>
    <w:rsid w:val="00D9660A"/>
    <w:rsid w:val="00D968FC"/>
    <w:rsid w:val="00D96EB2"/>
    <w:rsid w:val="00D96FED"/>
    <w:rsid w:val="00DA1108"/>
    <w:rsid w:val="00DA12E3"/>
    <w:rsid w:val="00DA1D9E"/>
    <w:rsid w:val="00DA250D"/>
    <w:rsid w:val="00DA2762"/>
    <w:rsid w:val="00DA3696"/>
    <w:rsid w:val="00DA36D6"/>
    <w:rsid w:val="00DA3E82"/>
    <w:rsid w:val="00DA49B5"/>
    <w:rsid w:val="00DA4FC6"/>
    <w:rsid w:val="00DA7E9F"/>
    <w:rsid w:val="00DB01F9"/>
    <w:rsid w:val="00DB1D81"/>
    <w:rsid w:val="00DB3463"/>
    <w:rsid w:val="00DB3711"/>
    <w:rsid w:val="00DB3ADC"/>
    <w:rsid w:val="00DB3DD6"/>
    <w:rsid w:val="00DB4A3C"/>
    <w:rsid w:val="00DB51CD"/>
    <w:rsid w:val="00DB5324"/>
    <w:rsid w:val="00DB5877"/>
    <w:rsid w:val="00DC018D"/>
    <w:rsid w:val="00DC0E7B"/>
    <w:rsid w:val="00DC1BBD"/>
    <w:rsid w:val="00DC341E"/>
    <w:rsid w:val="00DC34A9"/>
    <w:rsid w:val="00DC3991"/>
    <w:rsid w:val="00DC40C5"/>
    <w:rsid w:val="00DC5467"/>
    <w:rsid w:val="00DC6BF9"/>
    <w:rsid w:val="00DD0099"/>
    <w:rsid w:val="00DD0658"/>
    <w:rsid w:val="00DD2AB6"/>
    <w:rsid w:val="00DD2C30"/>
    <w:rsid w:val="00DD60F7"/>
    <w:rsid w:val="00DD66ED"/>
    <w:rsid w:val="00DD73DC"/>
    <w:rsid w:val="00DD766F"/>
    <w:rsid w:val="00DD7964"/>
    <w:rsid w:val="00DE0913"/>
    <w:rsid w:val="00DE0A47"/>
    <w:rsid w:val="00DE1260"/>
    <w:rsid w:val="00DE1B7B"/>
    <w:rsid w:val="00DE1DD0"/>
    <w:rsid w:val="00DE225D"/>
    <w:rsid w:val="00DE3324"/>
    <w:rsid w:val="00DE337F"/>
    <w:rsid w:val="00DE4878"/>
    <w:rsid w:val="00DE5C61"/>
    <w:rsid w:val="00DE63FC"/>
    <w:rsid w:val="00DE658D"/>
    <w:rsid w:val="00DE6E4D"/>
    <w:rsid w:val="00DE75C1"/>
    <w:rsid w:val="00DE78EB"/>
    <w:rsid w:val="00DE7A5D"/>
    <w:rsid w:val="00DF0840"/>
    <w:rsid w:val="00DF1D4E"/>
    <w:rsid w:val="00DF216D"/>
    <w:rsid w:val="00DF2CDB"/>
    <w:rsid w:val="00DF2E7B"/>
    <w:rsid w:val="00DF31F1"/>
    <w:rsid w:val="00DF398C"/>
    <w:rsid w:val="00DF537C"/>
    <w:rsid w:val="00DF5B45"/>
    <w:rsid w:val="00DF6A6C"/>
    <w:rsid w:val="00DF6CB9"/>
    <w:rsid w:val="00DF74D7"/>
    <w:rsid w:val="00DF7B38"/>
    <w:rsid w:val="00E00522"/>
    <w:rsid w:val="00E00A01"/>
    <w:rsid w:val="00E0257A"/>
    <w:rsid w:val="00E02F38"/>
    <w:rsid w:val="00E03A8D"/>
    <w:rsid w:val="00E03E87"/>
    <w:rsid w:val="00E0403D"/>
    <w:rsid w:val="00E040E3"/>
    <w:rsid w:val="00E044A8"/>
    <w:rsid w:val="00E04503"/>
    <w:rsid w:val="00E05603"/>
    <w:rsid w:val="00E05685"/>
    <w:rsid w:val="00E05CE2"/>
    <w:rsid w:val="00E06B54"/>
    <w:rsid w:val="00E07BBB"/>
    <w:rsid w:val="00E10562"/>
    <w:rsid w:val="00E11AA8"/>
    <w:rsid w:val="00E11CD5"/>
    <w:rsid w:val="00E12EC4"/>
    <w:rsid w:val="00E146EA"/>
    <w:rsid w:val="00E14D47"/>
    <w:rsid w:val="00E14DD0"/>
    <w:rsid w:val="00E14E48"/>
    <w:rsid w:val="00E14F95"/>
    <w:rsid w:val="00E157C8"/>
    <w:rsid w:val="00E15D78"/>
    <w:rsid w:val="00E1624A"/>
    <w:rsid w:val="00E164A7"/>
    <w:rsid w:val="00E16BDB"/>
    <w:rsid w:val="00E17042"/>
    <w:rsid w:val="00E2033F"/>
    <w:rsid w:val="00E20D86"/>
    <w:rsid w:val="00E20DC7"/>
    <w:rsid w:val="00E236BB"/>
    <w:rsid w:val="00E23D42"/>
    <w:rsid w:val="00E24113"/>
    <w:rsid w:val="00E24CD6"/>
    <w:rsid w:val="00E25546"/>
    <w:rsid w:val="00E27031"/>
    <w:rsid w:val="00E27068"/>
    <w:rsid w:val="00E27EDF"/>
    <w:rsid w:val="00E30957"/>
    <w:rsid w:val="00E30F9C"/>
    <w:rsid w:val="00E311F1"/>
    <w:rsid w:val="00E33DF6"/>
    <w:rsid w:val="00E33E87"/>
    <w:rsid w:val="00E34A19"/>
    <w:rsid w:val="00E35E23"/>
    <w:rsid w:val="00E36A09"/>
    <w:rsid w:val="00E401A2"/>
    <w:rsid w:val="00E41548"/>
    <w:rsid w:val="00E427A8"/>
    <w:rsid w:val="00E43F3E"/>
    <w:rsid w:val="00E4461F"/>
    <w:rsid w:val="00E44ECE"/>
    <w:rsid w:val="00E457F6"/>
    <w:rsid w:val="00E45B4B"/>
    <w:rsid w:val="00E45EA4"/>
    <w:rsid w:val="00E45F44"/>
    <w:rsid w:val="00E50DD0"/>
    <w:rsid w:val="00E5114F"/>
    <w:rsid w:val="00E516AA"/>
    <w:rsid w:val="00E51E13"/>
    <w:rsid w:val="00E526F2"/>
    <w:rsid w:val="00E52B84"/>
    <w:rsid w:val="00E52EAD"/>
    <w:rsid w:val="00E53A84"/>
    <w:rsid w:val="00E53AD2"/>
    <w:rsid w:val="00E53DE3"/>
    <w:rsid w:val="00E5441F"/>
    <w:rsid w:val="00E57764"/>
    <w:rsid w:val="00E57F57"/>
    <w:rsid w:val="00E609CB"/>
    <w:rsid w:val="00E60CCB"/>
    <w:rsid w:val="00E62119"/>
    <w:rsid w:val="00E623C2"/>
    <w:rsid w:val="00E6255A"/>
    <w:rsid w:val="00E62659"/>
    <w:rsid w:val="00E62B68"/>
    <w:rsid w:val="00E63924"/>
    <w:rsid w:val="00E6442E"/>
    <w:rsid w:val="00E64F0E"/>
    <w:rsid w:val="00E652BF"/>
    <w:rsid w:val="00E655B8"/>
    <w:rsid w:val="00E658E9"/>
    <w:rsid w:val="00E65C69"/>
    <w:rsid w:val="00E6617F"/>
    <w:rsid w:val="00E66725"/>
    <w:rsid w:val="00E67C4B"/>
    <w:rsid w:val="00E701AE"/>
    <w:rsid w:val="00E71205"/>
    <w:rsid w:val="00E71B32"/>
    <w:rsid w:val="00E720BE"/>
    <w:rsid w:val="00E72351"/>
    <w:rsid w:val="00E725A3"/>
    <w:rsid w:val="00E768AF"/>
    <w:rsid w:val="00E76E63"/>
    <w:rsid w:val="00E807F6"/>
    <w:rsid w:val="00E8143E"/>
    <w:rsid w:val="00E81CF8"/>
    <w:rsid w:val="00E81E00"/>
    <w:rsid w:val="00E8239F"/>
    <w:rsid w:val="00E83B90"/>
    <w:rsid w:val="00E83C8F"/>
    <w:rsid w:val="00E841AD"/>
    <w:rsid w:val="00E84CED"/>
    <w:rsid w:val="00E84E17"/>
    <w:rsid w:val="00E850D9"/>
    <w:rsid w:val="00E851A4"/>
    <w:rsid w:val="00E85D76"/>
    <w:rsid w:val="00E85E83"/>
    <w:rsid w:val="00E87211"/>
    <w:rsid w:val="00E901E5"/>
    <w:rsid w:val="00E90230"/>
    <w:rsid w:val="00E90F22"/>
    <w:rsid w:val="00E91872"/>
    <w:rsid w:val="00E926BC"/>
    <w:rsid w:val="00E933FF"/>
    <w:rsid w:val="00E95A12"/>
    <w:rsid w:val="00E96868"/>
    <w:rsid w:val="00EA25FD"/>
    <w:rsid w:val="00EA2716"/>
    <w:rsid w:val="00EA2E0C"/>
    <w:rsid w:val="00EA36FB"/>
    <w:rsid w:val="00EA3F46"/>
    <w:rsid w:val="00EA404B"/>
    <w:rsid w:val="00EA45A8"/>
    <w:rsid w:val="00EA4611"/>
    <w:rsid w:val="00EA5156"/>
    <w:rsid w:val="00EA6DAA"/>
    <w:rsid w:val="00EA7ED8"/>
    <w:rsid w:val="00EB00E9"/>
    <w:rsid w:val="00EB2157"/>
    <w:rsid w:val="00EB2434"/>
    <w:rsid w:val="00EB2473"/>
    <w:rsid w:val="00EB2EE4"/>
    <w:rsid w:val="00EB3953"/>
    <w:rsid w:val="00EB43C0"/>
    <w:rsid w:val="00EB49DE"/>
    <w:rsid w:val="00EB4D1D"/>
    <w:rsid w:val="00EB6134"/>
    <w:rsid w:val="00EB6761"/>
    <w:rsid w:val="00EB6F2C"/>
    <w:rsid w:val="00EB7216"/>
    <w:rsid w:val="00EB7B6D"/>
    <w:rsid w:val="00EC0B98"/>
    <w:rsid w:val="00EC0C7E"/>
    <w:rsid w:val="00EC1737"/>
    <w:rsid w:val="00EC214F"/>
    <w:rsid w:val="00EC50CF"/>
    <w:rsid w:val="00EC54B7"/>
    <w:rsid w:val="00EC6E38"/>
    <w:rsid w:val="00ED023C"/>
    <w:rsid w:val="00ED18C4"/>
    <w:rsid w:val="00ED296C"/>
    <w:rsid w:val="00ED2C44"/>
    <w:rsid w:val="00ED2E63"/>
    <w:rsid w:val="00ED2ED8"/>
    <w:rsid w:val="00ED328C"/>
    <w:rsid w:val="00ED3711"/>
    <w:rsid w:val="00ED3737"/>
    <w:rsid w:val="00ED3951"/>
    <w:rsid w:val="00ED448D"/>
    <w:rsid w:val="00ED50B1"/>
    <w:rsid w:val="00ED5295"/>
    <w:rsid w:val="00ED67AD"/>
    <w:rsid w:val="00ED67E4"/>
    <w:rsid w:val="00ED69FB"/>
    <w:rsid w:val="00ED77E5"/>
    <w:rsid w:val="00EE03E6"/>
    <w:rsid w:val="00EE056B"/>
    <w:rsid w:val="00EE0852"/>
    <w:rsid w:val="00EE1153"/>
    <w:rsid w:val="00EE2015"/>
    <w:rsid w:val="00EE220C"/>
    <w:rsid w:val="00EE2387"/>
    <w:rsid w:val="00EE3214"/>
    <w:rsid w:val="00EE3C57"/>
    <w:rsid w:val="00EE5434"/>
    <w:rsid w:val="00EE6768"/>
    <w:rsid w:val="00EE6F23"/>
    <w:rsid w:val="00EE7FA6"/>
    <w:rsid w:val="00EF06A6"/>
    <w:rsid w:val="00EF08A0"/>
    <w:rsid w:val="00EF1035"/>
    <w:rsid w:val="00EF1076"/>
    <w:rsid w:val="00EF1480"/>
    <w:rsid w:val="00EF1A94"/>
    <w:rsid w:val="00EF2070"/>
    <w:rsid w:val="00EF2C56"/>
    <w:rsid w:val="00EF31D0"/>
    <w:rsid w:val="00EF38F6"/>
    <w:rsid w:val="00EF50FD"/>
    <w:rsid w:val="00EF523C"/>
    <w:rsid w:val="00EF554C"/>
    <w:rsid w:val="00EF587F"/>
    <w:rsid w:val="00EF58AA"/>
    <w:rsid w:val="00EF5AC0"/>
    <w:rsid w:val="00EF5BD3"/>
    <w:rsid w:val="00EF72F3"/>
    <w:rsid w:val="00F00A9D"/>
    <w:rsid w:val="00F01ED1"/>
    <w:rsid w:val="00F027D4"/>
    <w:rsid w:val="00F02C3C"/>
    <w:rsid w:val="00F02D2C"/>
    <w:rsid w:val="00F02E39"/>
    <w:rsid w:val="00F034D0"/>
    <w:rsid w:val="00F0358D"/>
    <w:rsid w:val="00F049C6"/>
    <w:rsid w:val="00F04DE8"/>
    <w:rsid w:val="00F04FD7"/>
    <w:rsid w:val="00F05A65"/>
    <w:rsid w:val="00F05AD9"/>
    <w:rsid w:val="00F05E99"/>
    <w:rsid w:val="00F075A4"/>
    <w:rsid w:val="00F10768"/>
    <w:rsid w:val="00F10BF6"/>
    <w:rsid w:val="00F1116B"/>
    <w:rsid w:val="00F11173"/>
    <w:rsid w:val="00F11E38"/>
    <w:rsid w:val="00F12823"/>
    <w:rsid w:val="00F14B49"/>
    <w:rsid w:val="00F15325"/>
    <w:rsid w:val="00F15365"/>
    <w:rsid w:val="00F154C3"/>
    <w:rsid w:val="00F15801"/>
    <w:rsid w:val="00F15D88"/>
    <w:rsid w:val="00F16C50"/>
    <w:rsid w:val="00F17801"/>
    <w:rsid w:val="00F20023"/>
    <w:rsid w:val="00F21478"/>
    <w:rsid w:val="00F21AD6"/>
    <w:rsid w:val="00F21B66"/>
    <w:rsid w:val="00F220B3"/>
    <w:rsid w:val="00F2296D"/>
    <w:rsid w:val="00F236CD"/>
    <w:rsid w:val="00F23703"/>
    <w:rsid w:val="00F23E97"/>
    <w:rsid w:val="00F25335"/>
    <w:rsid w:val="00F2579C"/>
    <w:rsid w:val="00F257D3"/>
    <w:rsid w:val="00F25C3F"/>
    <w:rsid w:val="00F25F55"/>
    <w:rsid w:val="00F25F97"/>
    <w:rsid w:val="00F262EB"/>
    <w:rsid w:val="00F27D87"/>
    <w:rsid w:val="00F306AB"/>
    <w:rsid w:val="00F3099E"/>
    <w:rsid w:val="00F30BC1"/>
    <w:rsid w:val="00F31111"/>
    <w:rsid w:val="00F31430"/>
    <w:rsid w:val="00F315FD"/>
    <w:rsid w:val="00F321A6"/>
    <w:rsid w:val="00F32734"/>
    <w:rsid w:val="00F32FC1"/>
    <w:rsid w:val="00F33F21"/>
    <w:rsid w:val="00F34FC6"/>
    <w:rsid w:val="00F3541B"/>
    <w:rsid w:val="00F36947"/>
    <w:rsid w:val="00F36C2D"/>
    <w:rsid w:val="00F37083"/>
    <w:rsid w:val="00F37EBF"/>
    <w:rsid w:val="00F402DF"/>
    <w:rsid w:val="00F40E6D"/>
    <w:rsid w:val="00F4282B"/>
    <w:rsid w:val="00F42D05"/>
    <w:rsid w:val="00F42D87"/>
    <w:rsid w:val="00F42FA3"/>
    <w:rsid w:val="00F4444B"/>
    <w:rsid w:val="00F4588A"/>
    <w:rsid w:val="00F4608C"/>
    <w:rsid w:val="00F469AD"/>
    <w:rsid w:val="00F46B8B"/>
    <w:rsid w:val="00F473E0"/>
    <w:rsid w:val="00F47558"/>
    <w:rsid w:val="00F47727"/>
    <w:rsid w:val="00F4773F"/>
    <w:rsid w:val="00F47B05"/>
    <w:rsid w:val="00F47EA8"/>
    <w:rsid w:val="00F511AB"/>
    <w:rsid w:val="00F51818"/>
    <w:rsid w:val="00F51E0F"/>
    <w:rsid w:val="00F52341"/>
    <w:rsid w:val="00F53412"/>
    <w:rsid w:val="00F53B83"/>
    <w:rsid w:val="00F53D8C"/>
    <w:rsid w:val="00F540E0"/>
    <w:rsid w:val="00F55B72"/>
    <w:rsid w:val="00F5664D"/>
    <w:rsid w:val="00F566CA"/>
    <w:rsid w:val="00F5746E"/>
    <w:rsid w:val="00F57F25"/>
    <w:rsid w:val="00F57F6F"/>
    <w:rsid w:val="00F57FBA"/>
    <w:rsid w:val="00F609A1"/>
    <w:rsid w:val="00F609AC"/>
    <w:rsid w:val="00F60E29"/>
    <w:rsid w:val="00F6185A"/>
    <w:rsid w:val="00F61DBA"/>
    <w:rsid w:val="00F631A3"/>
    <w:rsid w:val="00F634E8"/>
    <w:rsid w:val="00F637B2"/>
    <w:rsid w:val="00F63B6E"/>
    <w:rsid w:val="00F64167"/>
    <w:rsid w:val="00F64DC6"/>
    <w:rsid w:val="00F65B0B"/>
    <w:rsid w:val="00F66164"/>
    <w:rsid w:val="00F70270"/>
    <w:rsid w:val="00F706D2"/>
    <w:rsid w:val="00F7074B"/>
    <w:rsid w:val="00F70D2C"/>
    <w:rsid w:val="00F70F22"/>
    <w:rsid w:val="00F70F51"/>
    <w:rsid w:val="00F713C5"/>
    <w:rsid w:val="00F71802"/>
    <w:rsid w:val="00F71C7E"/>
    <w:rsid w:val="00F72E1C"/>
    <w:rsid w:val="00F7376B"/>
    <w:rsid w:val="00F760B8"/>
    <w:rsid w:val="00F771E4"/>
    <w:rsid w:val="00F778FC"/>
    <w:rsid w:val="00F77BEE"/>
    <w:rsid w:val="00F77D8B"/>
    <w:rsid w:val="00F807FB"/>
    <w:rsid w:val="00F811EF"/>
    <w:rsid w:val="00F83293"/>
    <w:rsid w:val="00F83452"/>
    <w:rsid w:val="00F83C17"/>
    <w:rsid w:val="00F8491F"/>
    <w:rsid w:val="00F84928"/>
    <w:rsid w:val="00F8530C"/>
    <w:rsid w:val="00F86BDB"/>
    <w:rsid w:val="00F86BF1"/>
    <w:rsid w:val="00F87659"/>
    <w:rsid w:val="00F87AEB"/>
    <w:rsid w:val="00F9008D"/>
    <w:rsid w:val="00F911C4"/>
    <w:rsid w:val="00F91496"/>
    <w:rsid w:val="00F91B9E"/>
    <w:rsid w:val="00F91C2B"/>
    <w:rsid w:val="00F920C3"/>
    <w:rsid w:val="00F92FEC"/>
    <w:rsid w:val="00F93317"/>
    <w:rsid w:val="00F945D8"/>
    <w:rsid w:val="00F95030"/>
    <w:rsid w:val="00F95532"/>
    <w:rsid w:val="00F96D2B"/>
    <w:rsid w:val="00F97ECE"/>
    <w:rsid w:val="00FA1A5E"/>
    <w:rsid w:val="00FA1BB8"/>
    <w:rsid w:val="00FA2343"/>
    <w:rsid w:val="00FA2433"/>
    <w:rsid w:val="00FA24CD"/>
    <w:rsid w:val="00FA26DB"/>
    <w:rsid w:val="00FA2E97"/>
    <w:rsid w:val="00FA3235"/>
    <w:rsid w:val="00FA33E3"/>
    <w:rsid w:val="00FA4603"/>
    <w:rsid w:val="00FA496D"/>
    <w:rsid w:val="00FA4BD9"/>
    <w:rsid w:val="00FA598B"/>
    <w:rsid w:val="00FA60B6"/>
    <w:rsid w:val="00FA6114"/>
    <w:rsid w:val="00FA74F2"/>
    <w:rsid w:val="00FA7EFC"/>
    <w:rsid w:val="00FB03D2"/>
    <w:rsid w:val="00FB0464"/>
    <w:rsid w:val="00FB0BF4"/>
    <w:rsid w:val="00FB1388"/>
    <w:rsid w:val="00FB1871"/>
    <w:rsid w:val="00FB21EF"/>
    <w:rsid w:val="00FB22F8"/>
    <w:rsid w:val="00FB25F2"/>
    <w:rsid w:val="00FB2A74"/>
    <w:rsid w:val="00FB2AD5"/>
    <w:rsid w:val="00FB367A"/>
    <w:rsid w:val="00FB3A03"/>
    <w:rsid w:val="00FB3EE6"/>
    <w:rsid w:val="00FB4362"/>
    <w:rsid w:val="00FB44BE"/>
    <w:rsid w:val="00FB45ED"/>
    <w:rsid w:val="00FB4F09"/>
    <w:rsid w:val="00FB5036"/>
    <w:rsid w:val="00FB52D5"/>
    <w:rsid w:val="00FB5750"/>
    <w:rsid w:val="00FC0C14"/>
    <w:rsid w:val="00FC1A2D"/>
    <w:rsid w:val="00FC1F5B"/>
    <w:rsid w:val="00FC27A3"/>
    <w:rsid w:val="00FC388A"/>
    <w:rsid w:val="00FC42E8"/>
    <w:rsid w:val="00FC483F"/>
    <w:rsid w:val="00FC6027"/>
    <w:rsid w:val="00FC62A4"/>
    <w:rsid w:val="00FC69D0"/>
    <w:rsid w:val="00FC6AA9"/>
    <w:rsid w:val="00FC7C12"/>
    <w:rsid w:val="00FC7C26"/>
    <w:rsid w:val="00FC7F37"/>
    <w:rsid w:val="00FD020E"/>
    <w:rsid w:val="00FD0571"/>
    <w:rsid w:val="00FD0746"/>
    <w:rsid w:val="00FD1235"/>
    <w:rsid w:val="00FD12BE"/>
    <w:rsid w:val="00FD12DF"/>
    <w:rsid w:val="00FD1402"/>
    <w:rsid w:val="00FD20ED"/>
    <w:rsid w:val="00FD27AC"/>
    <w:rsid w:val="00FD5497"/>
    <w:rsid w:val="00FD5A64"/>
    <w:rsid w:val="00FD73D1"/>
    <w:rsid w:val="00FD7F67"/>
    <w:rsid w:val="00FE0352"/>
    <w:rsid w:val="00FE1068"/>
    <w:rsid w:val="00FE1832"/>
    <w:rsid w:val="00FE192F"/>
    <w:rsid w:val="00FE1DA3"/>
    <w:rsid w:val="00FE292F"/>
    <w:rsid w:val="00FE2D93"/>
    <w:rsid w:val="00FE3199"/>
    <w:rsid w:val="00FE4304"/>
    <w:rsid w:val="00FE54ED"/>
    <w:rsid w:val="00FE6043"/>
    <w:rsid w:val="00FE604E"/>
    <w:rsid w:val="00FE65B4"/>
    <w:rsid w:val="00FE768A"/>
    <w:rsid w:val="00FE7CEA"/>
    <w:rsid w:val="00FE7F99"/>
    <w:rsid w:val="00FF039B"/>
    <w:rsid w:val="00FF1BC3"/>
    <w:rsid w:val="00FF1C4D"/>
    <w:rsid w:val="00FF1F1E"/>
    <w:rsid w:val="00FF2088"/>
    <w:rsid w:val="00FF28BD"/>
    <w:rsid w:val="00FF3C1F"/>
    <w:rsid w:val="00FF481F"/>
    <w:rsid w:val="00FF52DC"/>
    <w:rsid w:val="00FF54C9"/>
    <w:rsid w:val="00FF5D80"/>
    <w:rsid w:val="00FF5EA7"/>
    <w:rsid w:val="00FF65F7"/>
    <w:rsid w:val="00FF6D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5D58A295-C222-431F-A01A-08ECB712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24561D"/>
    <w:pPr>
      <w:keepNext/>
      <w:spacing w:before="120" w:after="120" w:line="240" w:lineRule="auto"/>
      <w:outlineLvl w:val="1"/>
    </w:pPr>
    <w:rPr>
      <w:rFonts w:ascii="Arial Bold" w:hAnsi="Arial Bold"/>
      <w:b/>
      <w:color w:val="0082AB"/>
      <w:spacing w:val="20"/>
      <w:w w:val="90"/>
      <w:sz w:val="32"/>
      <w:szCs w:val="32"/>
      <w:lang w:val="en-NZ"/>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qFormat/>
    <w:rsid w:val="00BC3EA0"/>
    <w:pPr>
      <w:keepNext/>
      <w:widowControl w:val="0"/>
      <w:spacing w:before="80" w:after="120"/>
      <w:outlineLvl w:val="4"/>
    </w:pPr>
    <w:rPr>
      <w:color w:val="000000"/>
      <w:szCs w:val="22"/>
    </w:rPr>
  </w:style>
  <w:style w:type="paragraph" w:styleId="Heading6">
    <w:name w:val="heading 6"/>
    <w:basedOn w:val="Normal"/>
    <w:next w:val="Normal"/>
    <w:link w:val="Heading6Char"/>
    <w:qFormat/>
    <w:rsid w:val="00BC3EA0"/>
    <w:pPr>
      <w:spacing w:before="240"/>
      <w:outlineLvl w:val="5"/>
    </w:pPr>
    <w:rPr>
      <w:i/>
      <w:sz w:val="20"/>
    </w:rPr>
  </w:style>
  <w:style w:type="paragraph" w:styleId="Heading7">
    <w:name w:val="heading 7"/>
    <w:basedOn w:val="Normal"/>
    <w:next w:val="Normal"/>
    <w:link w:val="Heading7Char"/>
    <w:qFormat/>
    <w:rsid w:val="00BC3EA0"/>
    <w:pPr>
      <w:spacing w:before="240"/>
      <w:outlineLvl w:val="6"/>
    </w:pPr>
    <w:rPr>
      <w:sz w:val="20"/>
    </w:rPr>
  </w:style>
  <w:style w:type="paragraph" w:styleId="Heading8">
    <w:name w:val="heading 8"/>
    <w:aliases w:val="Table heading"/>
    <w:basedOn w:val="Normal"/>
    <w:next w:val="Normal"/>
    <w:link w:val="Heading8Char"/>
    <w:qFormat/>
    <w:rsid w:val="00BC3EA0"/>
    <w:pPr>
      <w:spacing w:before="80" w:after="80"/>
      <w:outlineLvl w:val="7"/>
    </w:pPr>
    <w:rPr>
      <w:sz w:val="20"/>
    </w:rPr>
  </w:style>
  <w:style w:type="paragraph" w:styleId="Heading9">
    <w:name w:val="heading 9"/>
    <w:next w:val="Normal"/>
    <w:link w:val="Heading9Char"/>
    <w:qFormat/>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uiPriority w:val="99"/>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uiPriority w:val="99"/>
    <w:semiHidden/>
    <w:rsid w:val="00BC3EA0"/>
    <w:rPr>
      <w:b/>
      <w:bCs/>
    </w:rPr>
  </w:style>
  <w:style w:type="character" w:customStyle="1" w:styleId="CommentSubjectChar">
    <w:name w:val="Comment Subject Char"/>
    <w:link w:val="CommentSubject"/>
    <w:uiPriority w:val="99"/>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uiPriority w:val="99"/>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uiPriority w:val="35"/>
    <w:qFormat/>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rsid w:val="00BC3EA0"/>
    <w:rPr>
      <w:rFonts w:ascii="Arial" w:hAnsi="Arial"/>
      <w:color w:val="auto"/>
      <w:position w:val="8"/>
      <w:sz w:val="16"/>
    </w:rPr>
  </w:style>
  <w:style w:type="paragraph" w:styleId="FootnoteText">
    <w:name w:val="footnote text"/>
    <w:basedOn w:val="Normal"/>
    <w:link w:val="FootnoteTextChar"/>
    <w:rsid w:val="00BC3EA0"/>
    <w:pPr>
      <w:tabs>
        <w:tab w:val="left" w:pos="425"/>
      </w:tabs>
      <w:spacing w:after="60" w:line="240" w:lineRule="auto"/>
      <w:ind w:left="425" w:hanging="425"/>
    </w:pPr>
    <w:rPr>
      <w:sz w:val="18"/>
    </w:rPr>
  </w:style>
  <w:style w:type="character" w:customStyle="1" w:styleId="FootnoteTextChar">
    <w:name w:val="Footnote Text Char"/>
    <w:link w:val="FootnoteText"/>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24561D"/>
    <w:rPr>
      <w:rFonts w:ascii="Arial Bold" w:eastAsia="Times New Roman" w:hAnsi="Arial Bold"/>
      <w:b/>
      <w:color w:val="0082AB"/>
      <w:spacing w:val="20"/>
      <w:w w:val="90"/>
      <w:sz w:val="32"/>
      <w:szCs w:val="32"/>
      <w:lang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aliases w:val="Table heading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uiPriority w:val="99"/>
    <w:rsid w:val="00BC3EA0"/>
    <w:pPr>
      <w:ind w:left="283" w:hanging="283"/>
    </w:pPr>
  </w:style>
  <w:style w:type="paragraph" w:styleId="Title">
    <w:name w:val="Title"/>
    <w:basedOn w:val="Normal"/>
    <w:link w:val="TitleChar"/>
    <w:uiPriority w:val="10"/>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uiPriority w:val="10"/>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uiPriority w:val="11"/>
    <w:rsid w:val="00BC3EA0"/>
    <w:pPr>
      <w:spacing w:before="360" w:line="600" w:lineRule="atLeast"/>
    </w:pPr>
    <w:rPr>
      <w:sz w:val="36"/>
      <w:szCs w:val="36"/>
    </w:rPr>
  </w:style>
  <w:style w:type="character" w:customStyle="1" w:styleId="SubtitleChar">
    <w:name w:val="Subtitle Char"/>
    <w:link w:val="Subtitle"/>
    <w:uiPriority w:val="11"/>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uiPriority w:val="39"/>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BulletedParagraph">
    <w:name w:val="Bulleted Paragraph"/>
    <w:basedOn w:val="Normal"/>
    <w:qFormat/>
    <w:rsid w:val="00A83A90"/>
    <w:pPr>
      <w:numPr>
        <w:numId w:val="22"/>
      </w:numPr>
      <w:tabs>
        <w:tab w:val="left" w:pos="567"/>
      </w:tabs>
      <w:spacing w:after="120" w:line="240" w:lineRule="auto"/>
      <w:ind w:left="567" w:hanging="567"/>
      <w:jc w:val="both"/>
    </w:pPr>
    <w:rPr>
      <w:rFonts w:ascii="Times New Roman" w:hAnsi="Times New Roman"/>
      <w:sz w:val="24"/>
      <w:szCs w:val="24"/>
      <w:lang w:val="en-NZ" w:eastAsia="en-NZ"/>
    </w:rPr>
  </w:style>
  <w:style w:type="character" w:styleId="PageNumber">
    <w:name w:val="page number"/>
    <w:basedOn w:val="DefaultParagraphFont"/>
    <w:rsid w:val="00A83A90"/>
    <w:rPr>
      <w:sz w:val="22"/>
    </w:rPr>
  </w:style>
  <w:style w:type="paragraph" w:styleId="TOC4">
    <w:name w:val="toc 4"/>
    <w:basedOn w:val="Normal"/>
    <w:next w:val="Normal"/>
    <w:autoRedefine/>
    <w:uiPriority w:val="39"/>
    <w:rsid w:val="00A83A90"/>
    <w:pPr>
      <w:tabs>
        <w:tab w:val="right" w:pos="8302"/>
      </w:tabs>
      <w:spacing w:after="60" w:line="240" w:lineRule="auto"/>
      <w:ind w:left="1134"/>
      <w:jc w:val="both"/>
    </w:pPr>
    <w:rPr>
      <w:rFonts w:ascii="Times New Roman" w:hAnsi="Times New Roman"/>
      <w:smallCaps/>
      <w:noProof/>
      <w:spacing w:val="8"/>
      <w:sz w:val="18"/>
      <w:szCs w:val="24"/>
      <w:lang w:val="en-NZ" w:eastAsia="en-NZ"/>
    </w:rPr>
  </w:style>
  <w:style w:type="paragraph" w:styleId="TOC5">
    <w:name w:val="toc 5"/>
    <w:basedOn w:val="Normal"/>
    <w:next w:val="Normal"/>
    <w:autoRedefine/>
    <w:uiPriority w:val="39"/>
    <w:rsid w:val="00A83A90"/>
    <w:pPr>
      <w:spacing w:after="240" w:line="240" w:lineRule="auto"/>
      <w:ind w:left="960"/>
      <w:jc w:val="both"/>
    </w:pPr>
    <w:rPr>
      <w:rFonts w:ascii="Times New Roman" w:hAnsi="Times New Roman"/>
      <w:sz w:val="18"/>
      <w:szCs w:val="24"/>
      <w:lang w:val="en-NZ" w:eastAsia="en-NZ"/>
    </w:rPr>
  </w:style>
  <w:style w:type="paragraph" w:styleId="TOC6">
    <w:name w:val="toc 6"/>
    <w:basedOn w:val="Normal"/>
    <w:next w:val="Normal"/>
    <w:autoRedefine/>
    <w:uiPriority w:val="39"/>
    <w:rsid w:val="00A83A90"/>
    <w:pPr>
      <w:spacing w:after="240" w:line="240" w:lineRule="auto"/>
      <w:ind w:left="1200"/>
      <w:jc w:val="both"/>
    </w:pPr>
    <w:rPr>
      <w:rFonts w:ascii="Times New Roman" w:hAnsi="Times New Roman"/>
      <w:sz w:val="18"/>
      <w:szCs w:val="24"/>
      <w:lang w:val="en-NZ" w:eastAsia="en-NZ"/>
    </w:rPr>
  </w:style>
  <w:style w:type="paragraph" w:styleId="TOC7">
    <w:name w:val="toc 7"/>
    <w:basedOn w:val="Normal"/>
    <w:next w:val="Normal"/>
    <w:autoRedefine/>
    <w:uiPriority w:val="39"/>
    <w:rsid w:val="00A83A90"/>
    <w:pPr>
      <w:spacing w:after="240" w:line="240" w:lineRule="auto"/>
      <w:ind w:left="1440"/>
      <w:jc w:val="both"/>
    </w:pPr>
    <w:rPr>
      <w:rFonts w:ascii="Times New Roman" w:hAnsi="Times New Roman"/>
      <w:sz w:val="18"/>
      <w:szCs w:val="24"/>
      <w:lang w:val="en-NZ" w:eastAsia="en-NZ"/>
    </w:rPr>
  </w:style>
  <w:style w:type="paragraph" w:styleId="TOC8">
    <w:name w:val="toc 8"/>
    <w:basedOn w:val="Normal"/>
    <w:next w:val="Normal"/>
    <w:autoRedefine/>
    <w:uiPriority w:val="39"/>
    <w:rsid w:val="00A83A90"/>
    <w:pPr>
      <w:spacing w:after="240" w:line="240" w:lineRule="auto"/>
      <w:ind w:left="1680"/>
      <w:jc w:val="both"/>
    </w:pPr>
    <w:rPr>
      <w:rFonts w:ascii="Times New Roman" w:hAnsi="Times New Roman"/>
      <w:sz w:val="18"/>
      <w:szCs w:val="24"/>
      <w:lang w:val="en-NZ" w:eastAsia="en-NZ"/>
    </w:rPr>
  </w:style>
  <w:style w:type="paragraph" w:styleId="TOC9">
    <w:name w:val="toc 9"/>
    <w:basedOn w:val="Normal"/>
    <w:next w:val="Normal"/>
    <w:autoRedefine/>
    <w:uiPriority w:val="39"/>
    <w:rsid w:val="00A83A90"/>
    <w:pPr>
      <w:spacing w:after="240" w:line="240" w:lineRule="auto"/>
      <w:ind w:left="1920"/>
      <w:jc w:val="both"/>
    </w:pPr>
    <w:rPr>
      <w:rFonts w:ascii="Times New Roman" w:hAnsi="Times New Roman"/>
      <w:sz w:val="18"/>
      <w:szCs w:val="24"/>
      <w:lang w:val="en-NZ" w:eastAsia="en-NZ"/>
    </w:rPr>
  </w:style>
  <w:style w:type="paragraph" w:customStyle="1" w:styleId="Clause">
    <w:name w:val="Clause"/>
    <w:basedOn w:val="Normal"/>
    <w:next w:val="Normal"/>
    <w:qFormat/>
    <w:rsid w:val="00A83A90"/>
    <w:pPr>
      <w:spacing w:after="240" w:line="240" w:lineRule="auto"/>
      <w:jc w:val="both"/>
    </w:pPr>
    <w:rPr>
      <w:rFonts w:ascii="Times New Roman" w:hAnsi="Times New Roman"/>
      <w:b/>
      <w:i/>
      <w:sz w:val="24"/>
      <w:szCs w:val="24"/>
      <w:lang w:val="en-NZ" w:eastAsia="en-NZ"/>
    </w:rPr>
  </w:style>
  <w:style w:type="paragraph" w:customStyle="1" w:styleId="Submitter">
    <w:name w:val="Submitter"/>
    <w:basedOn w:val="Normal"/>
    <w:next w:val="Normal"/>
    <w:qFormat/>
    <w:rsid w:val="00A83A90"/>
    <w:pPr>
      <w:spacing w:after="240" w:line="240" w:lineRule="auto"/>
      <w:jc w:val="both"/>
    </w:pPr>
    <w:rPr>
      <w:rFonts w:ascii="Times New Roman" w:hAnsi="Times New Roman"/>
      <w:i/>
      <w:sz w:val="24"/>
      <w:szCs w:val="24"/>
      <w:lang w:val="en-NZ" w:eastAsia="en-NZ"/>
    </w:rPr>
  </w:style>
  <w:style w:type="paragraph" w:customStyle="1" w:styleId="Issueseperator">
    <w:name w:val="Issue seperator"/>
    <w:basedOn w:val="Normal"/>
    <w:rsid w:val="00A83A90"/>
    <w:pPr>
      <w:pBdr>
        <w:bottom w:val="single" w:sz="4" w:space="1" w:color="auto"/>
      </w:pBdr>
      <w:spacing w:after="480" w:line="240" w:lineRule="auto"/>
      <w:jc w:val="both"/>
    </w:pPr>
    <w:rPr>
      <w:rFonts w:ascii="Times New Roman" w:hAnsi="Times New Roman"/>
      <w:sz w:val="24"/>
      <w:szCs w:val="24"/>
      <w:lang w:val="en-NZ" w:eastAsia="en-NZ"/>
    </w:rPr>
  </w:style>
  <w:style w:type="paragraph" w:customStyle="1" w:styleId="Publicationdate">
    <w:name w:val="Publication date"/>
    <w:basedOn w:val="Normal"/>
    <w:rsid w:val="00A83A90"/>
    <w:pPr>
      <w:spacing w:after="240" w:line="240" w:lineRule="auto"/>
      <w:jc w:val="both"/>
    </w:pPr>
    <w:rPr>
      <w:rFonts w:ascii="Times New Roman" w:hAnsi="Times New Roman"/>
      <w:sz w:val="32"/>
      <w:szCs w:val="32"/>
      <w:lang w:val="en-NZ" w:eastAsia="en-NZ"/>
    </w:rPr>
  </w:style>
  <w:style w:type="paragraph" w:customStyle="1" w:styleId="Title-Volumetitle">
    <w:name w:val="Title - Volume title"/>
    <w:basedOn w:val="Normal"/>
    <w:rsid w:val="00A83A90"/>
    <w:pPr>
      <w:spacing w:after="100" w:line="240" w:lineRule="auto"/>
      <w:jc w:val="both"/>
    </w:pPr>
    <w:rPr>
      <w:rFonts w:ascii="Times New Roman" w:hAnsi="Times New Roman"/>
      <w:sz w:val="28"/>
      <w:szCs w:val="24"/>
      <w:lang w:val="en-NZ" w:eastAsia="en-NZ"/>
    </w:rPr>
  </w:style>
  <w:style w:type="paragraph" w:customStyle="1" w:styleId="Contents">
    <w:name w:val="Contents"/>
    <w:basedOn w:val="Normal"/>
    <w:next w:val="Normal"/>
    <w:rsid w:val="00A83A90"/>
    <w:pPr>
      <w:spacing w:after="240" w:line="240" w:lineRule="auto"/>
      <w:jc w:val="center"/>
    </w:pPr>
    <w:rPr>
      <w:rFonts w:ascii="Times New Roman" w:hAnsi="Times New Roman"/>
      <w:b/>
      <w:bCs/>
      <w:sz w:val="28"/>
      <w:szCs w:val="24"/>
      <w:lang w:val="en-NZ" w:eastAsia="en-NZ"/>
    </w:rPr>
  </w:style>
  <w:style w:type="paragraph" w:customStyle="1" w:styleId="Table-Bullet">
    <w:name w:val="Table - Bullet"/>
    <w:basedOn w:val="Normal"/>
    <w:rsid w:val="00A83A90"/>
    <w:pPr>
      <w:numPr>
        <w:numId w:val="12"/>
      </w:numPr>
      <w:spacing w:after="60" w:line="240" w:lineRule="auto"/>
      <w:jc w:val="both"/>
    </w:pPr>
    <w:rPr>
      <w:rFonts w:ascii="Times New Roman" w:hAnsi="Times New Roman"/>
      <w:szCs w:val="24"/>
      <w:lang w:val="en-NZ" w:eastAsia="en-NZ"/>
    </w:rPr>
  </w:style>
  <w:style w:type="paragraph" w:styleId="Bibliography">
    <w:name w:val="Bibliography"/>
    <w:basedOn w:val="Normal"/>
    <w:next w:val="Normal"/>
    <w:uiPriority w:val="37"/>
    <w:semiHidden/>
    <w:unhideWhenUsed/>
    <w:rsid w:val="00A83A90"/>
    <w:pPr>
      <w:spacing w:after="240" w:line="240" w:lineRule="auto"/>
      <w:jc w:val="both"/>
    </w:pPr>
    <w:rPr>
      <w:rFonts w:ascii="Times New Roman" w:hAnsi="Times New Roman"/>
      <w:sz w:val="24"/>
      <w:szCs w:val="24"/>
      <w:lang w:val="en-NZ" w:eastAsia="en-NZ"/>
    </w:rPr>
  </w:style>
  <w:style w:type="paragraph" w:styleId="BodyTextFirstIndent">
    <w:name w:val="Body Text First Indent"/>
    <w:basedOn w:val="Normal"/>
    <w:link w:val="BodyTextFirstIndentChar"/>
    <w:uiPriority w:val="99"/>
    <w:semiHidden/>
    <w:unhideWhenUsed/>
    <w:rsid w:val="00A83A90"/>
    <w:pPr>
      <w:spacing w:after="0" w:line="240" w:lineRule="auto"/>
      <w:ind w:firstLine="360"/>
      <w:jc w:val="both"/>
    </w:pPr>
    <w:rPr>
      <w:rFonts w:ascii="Times New Roman" w:hAnsi="Times New Roman"/>
      <w:sz w:val="24"/>
      <w:szCs w:val="24"/>
      <w:lang w:val="en-NZ" w:eastAsia="en-NZ"/>
    </w:rPr>
  </w:style>
  <w:style w:type="character" w:customStyle="1" w:styleId="BodyTextFirstIndentChar">
    <w:name w:val="Body Text First Indent Char"/>
    <w:basedOn w:val="BodyTextChar"/>
    <w:link w:val="BodyTextFirstIndent"/>
    <w:uiPriority w:val="99"/>
    <w:semiHidden/>
    <w:rsid w:val="00A83A90"/>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A83A90"/>
    <w:pPr>
      <w:spacing w:after="120"/>
      <w:ind w:left="283"/>
    </w:pPr>
  </w:style>
  <w:style w:type="character" w:customStyle="1" w:styleId="BodyTextIndentChar">
    <w:name w:val="Body Text Indent Char"/>
    <w:basedOn w:val="DefaultParagraphFont"/>
    <w:link w:val="BodyTextIndent"/>
    <w:uiPriority w:val="99"/>
    <w:semiHidden/>
    <w:rsid w:val="00A83A90"/>
    <w:rPr>
      <w:rFonts w:ascii="Arial" w:eastAsia="Times New Roman" w:hAnsi="Arial"/>
      <w:sz w:val="22"/>
      <w:lang w:val="en-GB" w:eastAsia="en-GB"/>
    </w:rPr>
  </w:style>
  <w:style w:type="paragraph" w:styleId="BodyTextFirstIndent2">
    <w:name w:val="Body Text First Indent 2"/>
    <w:basedOn w:val="Normal"/>
    <w:link w:val="BodyTextFirstIndent2Char"/>
    <w:uiPriority w:val="99"/>
    <w:semiHidden/>
    <w:unhideWhenUsed/>
    <w:rsid w:val="00A83A90"/>
    <w:pPr>
      <w:spacing w:after="0" w:line="240" w:lineRule="auto"/>
      <w:ind w:left="360" w:firstLine="360"/>
      <w:jc w:val="both"/>
    </w:pPr>
    <w:rPr>
      <w:rFonts w:ascii="Times New Roman" w:hAnsi="Times New Roman"/>
      <w:sz w:val="24"/>
      <w:szCs w:val="24"/>
      <w:lang w:val="en-NZ" w:eastAsia="en-NZ"/>
    </w:rPr>
  </w:style>
  <w:style w:type="character" w:customStyle="1" w:styleId="BodyTextFirstIndent2Char">
    <w:name w:val="Body Text First Indent 2 Char"/>
    <w:basedOn w:val="BodyTextIndentChar"/>
    <w:link w:val="BodyTextFirstIndent2"/>
    <w:uiPriority w:val="99"/>
    <w:semiHidden/>
    <w:rsid w:val="00A83A90"/>
    <w:rPr>
      <w:rFonts w:ascii="Times New Roman" w:eastAsia="Times New Roman" w:hAnsi="Times New Roman"/>
      <w:sz w:val="24"/>
      <w:szCs w:val="24"/>
      <w:lang w:val="en-GB" w:eastAsia="en-GB"/>
    </w:rPr>
  </w:style>
  <w:style w:type="paragraph" w:styleId="Closing">
    <w:name w:val="Closing"/>
    <w:basedOn w:val="Normal"/>
    <w:link w:val="ClosingChar"/>
    <w:uiPriority w:val="99"/>
    <w:semiHidden/>
    <w:unhideWhenUsed/>
    <w:rsid w:val="00A83A90"/>
    <w:pPr>
      <w:spacing w:after="240" w:line="240" w:lineRule="auto"/>
      <w:ind w:left="4252"/>
      <w:jc w:val="both"/>
    </w:pPr>
    <w:rPr>
      <w:rFonts w:ascii="Times New Roman" w:hAnsi="Times New Roman"/>
      <w:sz w:val="24"/>
      <w:szCs w:val="24"/>
      <w:lang w:val="en-NZ" w:eastAsia="en-NZ"/>
    </w:rPr>
  </w:style>
  <w:style w:type="character" w:customStyle="1" w:styleId="ClosingChar">
    <w:name w:val="Closing Char"/>
    <w:basedOn w:val="DefaultParagraphFont"/>
    <w:link w:val="Closing"/>
    <w:uiPriority w:val="99"/>
    <w:semiHidden/>
    <w:rsid w:val="00A83A90"/>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A83A90"/>
    <w:pPr>
      <w:spacing w:after="240" w:line="240" w:lineRule="auto"/>
      <w:jc w:val="both"/>
    </w:pPr>
    <w:rPr>
      <w:rFonts w:ascii="Times New Roman" w:hAnsi="Times New Roman"/>
      <w:sz w:val="24"/>
      <w:szCs w:val="24"/>
      <w:lang w:val="en-NZ" w:eastAsia="en-NZ"/>
    </w:rPr>
  </w:style>
  <w:style w:type="character" w:customStyle="1" w:styleId="DateChar">
    <w:name w:val="Date Char"/>
    <w:basedOn w:val="DefaultParagraphFont"/>
    <w:link w:val="Date"/>
    <w:uiPriority w:val="99"/>
    <w:semiHidden/>
    <w:rsid w:val="00A83A90"/>
    <w:rPr>
      <w:rFonts w:ascii="Times New Roman" w:eastAsia="Times New Roman" w:hAnsi="Times New Roman"/>
      <w:sz w:val="24"/>
      <w:szCs w:val="24"/>
    </w:rPr>
  </w:style>
  <w:style w:type="paragraph" w:styleId="E-mailSignature">
    <w:name w:val="E-mail Signature"/>
    <w:basedOn w:val="Normal"/>
    <w:link w:val="E-mailSignatureChar"/>
    <w:uiPriority w:val="99"/>
    <w:semiHidden/>
    <w:unhideWhenUsed/>
    <w:rsid w:val="00A83A90"/>
    <w:pPr>
      <w:spacing w:after="240" w:line="240" w:lineRule="auto"/>
      <w:jc w:val="both"/>
    </w:pPr>
    <w:rPr>
      <w:rFonts w:ascii="Times New Roman" w:hAnsi="Times New Roman"/>
      <w:sz w:val="24"/>
      <w:szCs w:val="24"/>
      <w:lang w:val="en-NZ" w:eastAsia="en-NZ"/>
    </w:rPr>
  </w:style>
  <w:style w:type="character" w:customStyle="1" w:styleId="E-mailSignatureChar">
    <w:name w:val="E-mail Signature Char"/>
    <w:basedOn w:val="DefaultParagraphFont"/>
    <w:link w:val="E-mailSignature"/>
    <w:uiPriority w:val="99"/>
    <w:semiHidden/>
    <w:rsid w:val="00A83A90"/>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A83A90"/>
    <w:pPr>
      <w:spacing w:after="240" w:line="240" w:lineRule="auto"/>
      <w:jc w:val="both"/>
    </w:pPr>
    <w:rPr>
      <w:rFonts w:ascii="Times New Roman" w:hAnsi="Times New Roman"/>
      <w:sz w:val="20"/>
      <w:lang w:val="en-NZ" w:eastAsia="en-NZ"/>
    </w:rPr>
  </w:style>
  <w:style w:type="character" w:customStyle="1" w:styleId="EndnoteTextChar">
    <w:name w:val="Endnote Text Char"/>
    <w:basedOn w:val="DefaultParagraphFont"/>
    <w:link w:val="EndnoteText"/>
    <w:uiPriority w:val="99"/>
    <w:semiHidden/>
    <w:rsid w:val="00A83A90"/>
    <w:rPr>
      <w:rFonts w:ascii="Times New Roman" w:eastAsia="Times New Roman" w:hAnsi="Times New Roman"/>
    </w:rPr>
  </w:style>
  <w:style w:type="paragraph" w:styleId="EnvelopeAddress">
    <w:name w:val="envelope address"/>
    <w:basedOn w:val="Normal"/>
    <w:uiPriority w:val="99"/>
    <w:semiHidden/>
    <w:unhideWhenUsed/>
    <w:rsid w:val="00A83A90"/>
    <w:pPr>
      <w:framePr w:w="7920" w:h="1980" w:hRule="exact" w:hSpace="180" w:wrap="auto" w:hAnchor="page" w:xAlign="center" w:yAlign="bottom"/>
      <w:spacing w:after="240" w:line="240" w:lineRule="auto"/>
      <w:ind w:left="2880"/>
      <w:jc w:val="both"/>
    </w:pPr>
    <w:rPr>
      <w:rFonts w:asciiTheme="majorHAnsi" w:eastAsiaTheme="majorEastAsia" w:hAnsiTheme="majorHAnsi" w:cstheme="majorBidi"/>
      <w:sz w:val="24"/>
      <w:szCs w:val="24"/>
      <w:lang w:val="en-NZ" w:eastAsia="en-NZ"/>
    </w:rPr>
  </w:style>
  <w:style w:type="paragraph" w:styleId="EnvelopeReturn">
    <w:name w:val="envelope return"/>
    <w:basedOn w:val="Normal"/>
    <w:uiPriority w:val="99"/>
    <w:semiHidden/>
    <w:unhideWhenUsed/>
    <w:rsid w:val="00A83A90"/>
    <w:pPr>
      <w:spacing w:after="240" w:line="240" w:lineRule="auto"/>
      <w:jc w:val="both"/>
    </w:pPr>
    <w:rPr>
      <w:rFonts w:asciiTheme="majorHAnsi" w:eastAsiaTheme="majorEastAsia" w:hAnsiTheme="majorHAnsi" w:cstheme="majorBidi"/>
      <w:sz w:val="20"/>
      <w:lang w:val="en-NZ" w:eastAsia="en-NZ"/>
    </w:rPr>
  </w:style>
  <w:style w:type="paragraph" w:styleId="HTMLAddress">
    <w:name w:val="HTML Address"/>
    <w:basedOn w:val="Normal"/>
    <w:link w:val="HTMLAddressChar"/>
    <w:uiPriority w:val="99"/>
    <w:semiHidden/>
    <w:unhideWhenUsed/>
    <w:rsid w:val="00A83A90"/>
    <w:pPr>
      <w:spacing w:after="240" w:line="240" w:lineRule="auto"/>
      <w:jc w:val="both"/>
    </w:pPr>
    <w:rPr>
      <w:rFonts w:ascii="Times New Roman" w:hAnsi="Times New Roman"/>
      <w:i/>
      <w:iCs/>
      <w:sz w:val="24"/>
      <w:szCs w:val="24"/>
      <w:lang w:val="en-NZ" w:eastAsia="en-NZ"/>
    </w:rPr>
  </w:style>
  <w:style w:type="character" w:customStyle="1" w:styleId="HTMLAddressChar">
    <w:name w:val="HTML Address Char"/>
    <w:basedOn w:val="DefaultParagraphFont"/>
    <w:link w:val="HTMLAddress"/>
    <w:uiPriority w:val="99"/>
    <w:semiHidden/>
    <w:rsid w:val="00A83A90"/>
    <w:rPr>
      <w:rFonts w:ascii="Times New Roman" w:eastAsia="Times New Roman" w:hAnsi="Times New Roman"/>
      <w:i/>
      <w:iCs/>
      <w:sz w:val="24"/>
      <w:szCs w:val="24"/>
    </w:rPr>
  </w:style>
  <w:style w:type="paragraph" w:styleId="HTMLPreformatted">
    <w:name w:val="HTML Preformatted"/>
    <w:basedOn w:val="Normal"/>
    <w:link w:val="HTMLPreformattedChar"/>
    <w:uiPriority w:val="99"/>
    <w:semiHidden/>
    <w:unhideWhenUsed/>
    <w:rsid w:val="00A83A90"/>
    <w:pPr>
      <w:spacing w:after="240" w:line="240" w:lineRule="auto"/>
      <w:jc w:val="both"/>
    </w:pPr>
    <w:rPr>
      <w:rFonts w:ascii="Consolas" w:hAnsi="Consolas" w:cs="Consolas"/>
      <w:sz w:val="20"/>
      <w:lang w:val="en-NZ" w:eastAsia="en-NZ"/>
    </w:rPr>
  </w:style>
  <w:style w:type="character" w:customStyle="1" w:styleId="HTMLPreformattedChar">
    <w:name w:val="HTML Preformatted Char"/>
    <w:basedOn w:val="DefaultParagraphFont"/>
    <w:link w:val="HTMLPreformatted"/>
    <w:uiPriority w:val="99"/>
    <w:semiHidden/>
    <w:rsid w:val="00A83A90"/>
    <w:rPr>
      <w:rFonts w:ascii="Consolas" w:eastAsia="Times New Roman" w:hAnsi="Consolas" w:cs="Consolas"/>
    </w:rPr>
  </w:style>
  <w:style w:type="paragraph" w:styleId="Index1">
    <w:name w:val="index 1"/>
    <w:basedOn w:val="Normal"/>
    <w:next w:val="Normal"/>
    <w:autoRedefine/>
    <w:uiPriority w:val="99"/>
    <w:semiHidden/>
    <w:unhideWhenUsed/>
    <w:rsid w:val="00A83A90"/>
    <w:pPr>
      <w:spacing w:after="240" w:line="240" w:lineRule="auto"/>
      <w:ind w:left="240" w:hanging="240"/>
      <w:jc w:val="both"/>
    </w:pPr>
    <w:rPr>
      <w:rFonts w:ascii="Times New Roman" w:hAnsi="Times New Roman"/>
      <w:sz w:val="24"/>
      <w:szCs w:val="24"/>
      <w:lang w:val="en-NZ" w:eastAsia="en-NZ"/>
    </w:rPr>
  </w:style>
  <w:style w:type="paragraph" w:styleId="Index2">
    <w:name w:val="index 2"/>
    <w:basedOn w:val="Normal"/>
    <w:next w:val="Normal"/>
    <w:autoRedefine/>
    <w:uiPriority w:val="99"/>
    <w:semiHidden/>
    <w:unhideWhenUsed/>
    <w:rsid w:val="00A83A90"/>
    <w:pPr>
      <w:spacing w:after="240" w:line="240" w:lineRule="auto"/>
      <w:ind w:left="480" w:hanging="240"/>
      <w:jc w:val="both"/>
    </w:pPr>
    <w:rPr>
      <w:rFonts w:ascii="Times New Roman" w:hAnsi="Times New Roman"/>
      <w:sz w:val="24"/>
      <w:szCs w:val="24"/>
      <w:lang w:val="en-NZ" w:eastAsia="en-NZ"/>
    </w:rPr>
  </w:style>
  <w:style w:type="paragraph" w:styleId="Index3">
    <w:name w:val="index 3"/>
    <w:basedOn w:val="Normal"/>
    <w:next w:val="Normal"/>
    <w:autoRedefine/>
    <w:uiPriority w:val="99"/>
    <w:semiHidden/>
    <w:unhideWhenUsed/>
    <w:rsid w:val="00A83A90"/>
    <w:pPr>
      <w:spacing w:after="240" w:line="240" w:lineRule="auto"/>
      <w:ind w:left="720" w:hanging="240"/>
      <w:jc w:val="both"/>
    </w:pPr>
    <w:rPr>
      <w:rFonts w:ascii="Times New Roman" w:hAnsi="Times New Roman"/>
      <w:sz w:val="24"/>
      <w:szCs w:val="24"/>
      <w:lang w:val="en-NZ" w:eastAsia="en-NZ"/>
    </w:rPr>
  </w:style>
  <w:style w:type="paragraph" w:styleId="Index4">
    <w:name w:val="index 4"/>
    <w:basedOn w:val="Normal"/>
    <w:next w:val="Normal"/>
    <w:autoRedefine/>
    <w:uiPriority w:val="99"/>
    <w:semiHidden/>
    <w:unhideWhenUsed/>
    <w:rsid w:val="00A83A90"/>
    <w:pPr>
      <w:spacing w:after="240" w:line="240" w:lineRule="auto"/>
      <w:ind w:left="960" w:hanging="240"/>
      <w:jc w:val="both"/>
    </w:pPr>
    <w:rPr>
      <w:rFonts w:ascii="Times New Roman" w:hAnsi="Times New Roman"/>
      <w:sz w:val="24"/>
      <w:szCs w:val="24"/>
      <w:lang w:val="en-NZ" w:eastAsia="en-NZ"/>
    </w:rPr>
  </w:style>
  <w:style w:type="paragraph" w:styleId="Index5">
    <w:name w:val="index 5"/>
    <w:basedOn w:val="Normal"/>
    <w:next w:val="Normal"/>
    <w:autoRedefine/>
    <w:uiPriority w:val="99"/>
    <w:semiHidden/>
    <w:unhideWhenUsed/>
    <w:rsid w:val="00A83A90"/>
    <w:pPr>
      <w:spacing w:after="240" w:line="240" w:lineRule="auto"/>
      <w:ind w:left="1200" w:hanging="240"/>
      <w:jc w:val="both"/>
    </w:pPr>
    <w:rPr>
      <w:rFonts w:ascii="Times New Roman" w:hAnsi="Times New Roman"/>
      <w:sz w:val="24"/>
      <w:szCs w:val="24"/>
      <w:lang w:val="en-NZ" w:eastAsia="en-NZ"/>
    </w:rPr>
  </w:style>
  <w:style w:type="paragraph" w:styleId="Index6">
    <w:name w:val="index 6"/>
    <w:basedOn w:val="Normal"/>
    <w:next w:val="Normal"/>
    <w:autoRedefine/>
    <w:uiPriority w:val="99"/>
    <w:semiHidden/>
    <w:unhideWhenUsed/>
    <w:rsid w:val="00A83A90"/>
    <w:pPr>
      <w:spacing w:after="240" w:line="240" w:lineRule="auto"/>
      <w:ind w:left="1440" w:hanging="240"/>
      <w:jc w:val="both"/>
    </w:pPr>
    <w:rPr>
      <w:rFonts w:ascii="Times New Roman" w:hAnsi="Times New Roman"/>
      <w:sz w:val="24"/>
      <w:szCs w:val="24"/>
      <w:lang w:val="en-NZ" w:eastAsia="en-NZ"/>
    </w:rPr>
  </w:style>
  <w:style w:type="paragraph" w:styleId="Index7">
    <w:name w:val="index 7"/>
    <w:basedOn w:val="Normal"/>
    <w:next w:val="Normal"/>
    <w:autoRedefine/>
    <w:uiPriority w:val="99"/>
    <w:semiHidden/>
    <w:unhideWhenUsed/>
    <w:rsid w:val="00A83A90"/>
    <w:pPr>
      <w:spacing w:after="240" w:line="240" w:lineRule="auto"/>
      <w:ind w:left="1680" w:hanging="240"/>
      <w:jc w:val="both"/>
    </w:pPr>
    <w:rPr>
      <w:rFonts w:ascii="Times New Roman" w:hAnsi="Times New Roman"/>
      <w:sz w:val="24"/>
      <w:szCs w:val="24"/>
      <w:lang w:val="en-NZ" w:eastAsia="en-NZ"/>
    </w:rPr>
  </w:style>
  <w:style w:type="paragraph" w:styleId="Index8">
    <w:name w:val="index 8"/>
    <w:basedOn w:val="Normal"/>
    <w:next w:val="Normal"/>
    <w:autoRedefine/>
    <w:uiPriority w:val="99"/>
    <w:semiHidden/>
    <w:unhideWhenUsed/>
    <w:rsid w:val="00A83A90"/>
    <w:pPr>
      <w:spacing w:after="240" w:line="240" w:lineRule="auto"/>
      <w:ind w:left="1920" w:hanging="240"/>
      <w:jc w:val="both"/>
    </w:pPr>
    <w:rPr>
      <w:rFonts w:ascii="Times New Roman" w:hAnsi="Times New Roman"/>
      <w:sz w:val="24"/>
      <w:szCs w:val="24"/>
      <w:lang w:val="en-NZ" w:eastAsia="en-NZ"/>
    </w:rPr>
  </w:style>
  <w:style w:type="paragraph" w:styleId="Index9">
    <w:name w:val="index 9"/>
    <w:basedOn w:val="Normal"/>
    <w:next w:val="Normal"/>
    <w:autoRedefine/>
    <w:uiPriority w:val="99"/>
    <w:semiHidden/>
    <w:unhideWhenUsed/>
    <w:rsid w:val="00A83A90"/>
    <w:pPr>
      <w:spacing w:after="240" w:line="240" w:lineRule="auto"/>
      <w:ind w:left="2160" w:hanging="240"/>
      <w:jc w:val="both"/>
    </w:pPr>
    <w:rPr>
      <w:rFonts w:ascii="Times New Roman" w:hAnsi="Times New Roman"/>
      <w:sz w:val="24"/>
      <w:szCs w:val="24"/>
      <w:lang w:val="en-NZ" w:eastAsia="en-NZ"/>
    </w:rPr>
  </w:style>
  <w:style w:type="paragraph" w:styleId="IndexHeading">
    <w:name w:val="index heading"/>
    <w:basedOn w:val="Normal"/>
    <w:next w:val="Index1"/>
    <w:uiPriority w:val="99"/>
    <w:semiHidden/>
    <w:unhideWhenUsed/>
    <w:rsid w:val="00A83A90"/>
    <w:pPr>
      <w:spacing w:after="240" w:line="240" w:lineRule="auto"/>
      <w:jc w:val="both"/>
    </w:pPr>
    <w:rPr>
      <w:rFonts w:asciiTheme="majorHAnsi" w:eastAsiaTheme="majorEastAsia" w:hAnsiTheme="majorHAnsi" w:cstheme="majorBidi"/>
      <w:b/>
      <w:bCs/>
      <w:sz w:val="24"/>
      <w:szCs w:val="24"/>
      <w:lang w:val="en-NZ" w:eastAsia="en-NZ"/>
    </w:rPr>
  </w:style>
  <w:style w:type="paragraph" w:styleId="List2">
    <w:name w:val="List 2"/>
    <w:basedOn w:val="Normal"/>
    <w:uiPriority w:val="99"/>
    <w:semiHidden/>
    <w:unhideWhenUsed/>
    <w:rsid w:val="00A83A90"/>
    <w:pPr>
      <w:spacing w:after="240" w:line="240" w:lineRule="auto"/>
      <w:ind w:left="566" w:hanging="283"/>
      <w:contextualSpacing/>
      <w:jc w:val="both"/>
    </w:pPr>
    <w:rPr>
      <w:rFonts w:ascii="Times New Roman" w:hAnsi="Times New Roman"/>
      <w:sz w:val="24"/>
      <w:szCs w:val="24"/>
      <w:lang w:val="en-NZ" w:eastAsia="en-NZ"/>
    </w:rPr>
  </w:style>
  <w:style w:type="paragraph" w:styleId="List3">
    <w:name w:val="List 3"/>
    <w:basedOn w:val="Normal"/>
    <w:uiPriority w:val="99"/>
    <w:semiHidden/>
    <w:unhideWhenUsed/>
    <w:rsid w:val="00A83A90"/>
    <w:pPr>
      <w:spacing w:after="240" w:line="240" w:lineRule="auto"/>
      <w:ind w:left="849" w:hanging="283"/>
      <w:contextualSpacing/>
      <w:jc w:val="both"/>
    </w:pPr>
    <w:rPr>
      <w:rFonts w:ascii="Times New Roman" w:hAnsi="Times New Roman"/>
      <w:sz w:val="24"/>
      <w:szCs w:val="24"/>
      <w:lang w:val="en-NZ" w:eastAsia="en-NZ"/>
    </w:rPr>
  </w:style>
  <w:style w:type="paragraph" w:styleId="List4">
    <w:name w:val="List 4"/>
    <w:basedOn w:val="Normal"/>
    <w:uiPriority w:val="99"/>
    <w:semiHidden/>
    <w:unhideWhenUsed/>
    <w:rsid w:val="00A83A90"/>
    <w:pPr>
      <w:spacing w:after="240" w:line="240" w:lineRule="auto"/>
      <w:ind w:left="1132" w:hanging="283"/>
      <w:contextualSpacing/>
      <w:jc w:val="both"/>
    </w:pPr>
    <w:rPr>
      <w:rFonts w:ascii="Times New Roman" w:hAnsi="Times New Roman"/>
      <w:sz w:val="24"/>
      <w:szCs w:val="24"/>
      <w:lang w:val="en-NZ" w:eastAsia="en-NZ"/>
    </w:rPr>
  </w:style>
  <w:style w:type="paragraph" w:styleId="List5">
    <w:name w:val="List 5"/>
    <w:basedOn w:val="Normal"/>
    <w:uiPriority w:val="99"/>
    <w:semiHidden/>
    <w:unhideWhenUsed/>
    <w:rsid w:val="00A83A90"/>
    <w:pPr>
      <w:spacing w:after="240" w:line="240" w:lineRule="auto"/>
      <w:ind w:left="1415" w:hanging="283"/>
      <w:contextualSpacing/>
      <w:jc w:val="both"/>
    </w:pPr>
    <w:rPr>
      <w:rFonts w:ascii="Times New Roman" w:hAnsi="Times New Roman"/>
      <w:sz w:val="24"/>
      <w:szCs w:val="24"/>
      <w:lang w:val="en-NZ" w:eastAsia="en-NZ"/>
    </w:rPr>
  </w:style>
  <w:style w:type="paragraph" w:styleId="ListBullet2">
    <w:name w:val="List Bullet 2"/>
    <w:basedOn w:val="Normal"/>
    <w:uiPriority w:val="99"/>
    <w:semiHidden/>
    <w:unhideWhenUsed/>
    <w:rsid w:val="00A83A90"/>
    <w:pPr>
      <w:numPr>
        <w:numId w:val="13"/>
      </w:numPr>
      <w:spacing w:after="240" w:line="240" w:lineRule="auto"/>
      <w:contextualSpacing/>
      <w:jc w:val="both"/>
    </w:pPr>
    <w:rPr>
      <w:rFonts w:ascii="Times New Roman" w:hAnsi="Times New Roman"/>
      <w:sz w:val="24"/>
      <w:szCs w:val="24"/>
      <w:lang w:val="en-NZ" w:eastAsia="en-NZ"/>
    </w:rPr>
  </w:style>
  <w:style w:type="paragraph" w:styleId="ListBullet3">
    <w:name w:val="List Bullet 3"/>
    <w:basedOn w:val="Normal"/>
    <w:uiPriority w:val="99"/>
    <w:semiHidden/>
    <w:unhideWhenUsed/>
    <w:rsid w:val="00A83A90"/>
    <w:pPr>
      <w:numPr>
        <w:numId w:val="14"/>
      </w:numPr>
      <w:spacing w:after="240" w:line="240" w:lineRule="auto"/>
      <w:contextualSpacing/>
      <w:jc w:val="both"/>
    </w:pPr>
    <w:rPr>
      <w:rFonts w:ascii="Times New Roman" w:hAnsi="Times New Roman"/>
      <w:sz w:val="24"/>
      <w:szCs w:val="24"/>
      <w:lang w:val="en-NZ" w:eastAsia="en-NZ"/>
    </w:rPr>
  </w:style>
  <w:style w:type="paragraph" w:styleId="ListBullet4">
    <w:name w:val="List Bullet 4"/>
    <w:basedOn w:val="Normal"/>
    <w:uiPriority w:val="99"/>
    <w:semiHidden/>
    <w:unhideWhenUsed/>
    <w:rsid w:val="00A83A90"/>
    <w:pPr>
      <w:numPr>
        <w:numId w:val="15"/>
      </w:numPr>
      <w:spacing w:after="240" w:line="240" w:lineRule="auto"/>
      <w:contextualSpacing/>
      <w:jc w:val="both"/>
    </w:pPr>
    <w:rPr>
      <w:rFonts w:ascii="Times New Roman" w:hAnsi="Times New Roman"/>
      <w:sz w:val="24"/>
      <w:szCs w:val="24"/>
      <w:lang w:val="en-NZ" w:eastAsia="en-NZ"/>
    </w:rPr>
  </w:style>
  <w:style w:type="paragraph" w:styleId="ListBullet5">
    <w:name w:val="List Bullet 5"/>
    <w:basedOn w:val="Normal"/>
    <w:uiPriority w:val="99"/>
    <w:semiHidden/>
    <w:unhideWhenUsed/>
    <w:rsid w:val="00A83A90"/>
    <w:pPr>
      <w:numPr>
        <w:numId w:val="16"/>
      </w:numPr>
      <w:spacing w:after="240" w:line="240" w:lineRule="auto"/>
      <w:contextualSpacing/>
      <w:jc w:val="both"/>
    </w:pPr>
    <w:rPr>
      <w:rFonts w:ascii="Times New Roman" w:hAnsi="Times New Roman"/>
      <w:sz w:val="24"/>
      <w:szCs w:val="24"/>
      <w:lang w:val="en-NZ" w:eastAsia="en-NZ"/>
    </w:rPr>
  </w:style>
  <w:style w:type="paragraph" w:styleId="ListContinue">
    <w:name w:val="List Continue"/>
    <w:basedOn w:val="Normal"/>
    <w:uiPriority w:val="99"/>
    <w:semiHidden/>
    <w:unhideWhenUsed/>
    <w:rsid w:val="00A83A90"/>
    <w:pPr>
      <w:spacing w:after="120" w:line="240" w:lineRule="auto"/>
      <w:ind w:left="283"/>
      <w:contextualSpacing/>
      <w:jc w:val="both"/>
    </w:pPr>
    <w:rPr>
      <w:rFonts w:ascii="Times New Roman" w:hAnsi="Times New Roman"/>
      <w:sz w:val="24"/>
      <w:szCs w:val="24"/>
      <w:lang w:val="en-NZ" w:eastAsia="en-NZ"/>
    </w:rPr>
  </w:style>
  <w:style w:type="paragraph" w:styleId="ListContinue2">
    <w:name w:val="List Continue 2"/>
    <w:basedOn w:val="Normal"/>
    <w:uiPriority w:val="99"/>
    <w:semiHidden/>
    <w:unhideWhenUsed/>
    <w:rsid w:val="00A83A90"/>
    <w:pPr>
      <w:spacing w:after="120" w:line="240" w:lineRule="auto"/>
      <w:ind w:left="566"/>
      <w:contextualSpacing/>
      <w:jc w:val="both"/>
    </w:pPr>
    <w:rPr>
      <w:rFonts w:ascii="Times New Roman" w:hAnsi="Times New Roman"/>
      <w:sz w:val="24"/>
      <w:szCs w:val="24"/>
      <w:lang w:val="en-NZ" w:eastAsia="en-NZ"/>
    </w:rPr>
  </w:style>
  <w:style w:type="paragraph" w:styleId="ListContinue3">
    <w:name w:val="List Continue 3"/>
    <w:basedOn w:val="Normal"/>
    <w:uiPriority w:val="99"/>
    <w:semiHidden/>
    <w:unhideWhenUsed/>
    <w:rsid w:val="00A83A90"/>
    <w:pPr>
      <w:spacing w:after="120" w:line="240" w:lineRule="auto"/>
      <w:ind w:left="849"/>
      <w:contextualSpacing/>
      <w:jc w:val="both"/>
    </w:pPr>
    <w:rPr>
      <w:rFonts w:ascii="Times New Roman" w:hAnsi="Times New Roman"/>
      <w:sz w:val="24"/>
      <w:szCs w:val="24"/>
      <w:lang w:val="en-NZ" w:eastAsia="en-NZ"/>
    </w:rPr>
  </w:style>
  <w:style w:type="paragraph" w:styleId="ListContinue4">
    <w:name w:val="List Continue 4"/>
    <w:basedOn w:val="Normal"/>
    <w:uiPriority w:val="99"/>
    <w:semiHidden/>
    <w:unhideWhenUsed/>
    <w:rsid w:val="00A83A90"/>
    <w:pPr>
      <w:spacing w:after="120" w:line="240" w:lineRule="auto"/>
      <w:ind w:left="1132"/>
      <w:contextualSpacing/>
      <w:jc w:val="both"/>
    </w:pPr>
    <w:rPr>
      <w:rFonts w:ascii="Times New Roman" w:hAnsi="Times New Roman"/>
      <w:sz w:val="24"/>
      <w:szCs w:val="24"/>
      <w:lang w:val="en-NZ" w:eastAsia="en-NZ"/>
    </w:rPr>
  </w:style>
  <w:style w:type="paragraph" w:styleId="ListContinue5">
    <w:name w:val="List Continue 5"/>
    <w:basedOn w:val="Normal"/>
    <w:uiPriority w:val="99"/>
    <w:semiHidden/>
    <w:unhideWhenUsed/>
    <w:rsid w:val="00A83A90"/>
    <w:pPr>
      <w:spacing w:after="120" w:line="240" w:lineRule="auto"/>
      <w:ind w:left="1415"/>
      <w:contextualSpacing/>
      <w:jc w:val="both"/>
    </w:pPr>
    <w:rPr>
      <w:rFonts w:ascii="Times New Roman" w:hAnsi="Times New Roman"/>
      <w:sz w:val="24"/>
      <w:szCs w:val="24"/>
      <w:lang w:val="en-NZ" w:eastAsia="en-NZ"/>
    </w:rPr>
  </w:style>
  <w:style w:type="paragraph" w:styleId="ListNumber">
    <w:name w:val="List Number"/>
    <w:basedOn w:val="Normal"/>
    <w:uiPriority w:val="99"/>
    <w:semiHidden/>
    <w:unhideWhenUsed/>
    <w:rsid w:val="00A83A90"/>
    <w:pPr>
      <w:numPr>
        <w:numId w:val="17"/>
      </w:numPr>
      <w:spacing w:after="240" w:line="240" w:lineRule="auto"/>
      <w:contextualSpacing/>
      <w:jc w:val="both"/>
    </w:pPr>
    <w:rPr>
      <w:rFonts w:ascii="Times New Roman" w:hAnsi="Times New Roman"/>
      <w:sz w:val="24"/>
      <w:szCs w:val="24"/>
      <w:lang w:val="en-NZ" w:eastAsia="en-NZ"/>
    </w:rPr>
  </w:style>
  <w:style w:type="paragraph" w:styleId="ListNumber2">
    <w:name w:val="List Number 2"/>
    <w:basedOn w:val="Normal"/>
    <w:uiPriority w:val="99"/>
    <w:semiHidden/>
    <w:unhideWhenUsed/>
    <w:rsid w:val="00A83A90"/>
    <w:pPr>
      <w:numPr>
        <w:numId w:val="18"/>
      </w:numPr>
      <w:spacing w:after="240" w:line="240" w:lineRule="auto"/>
      <w:contextualSpacing/>
      <w:jc w:val="both"/>
    </w:pPr>
    <w:rPr>
      <w:rFonts w:ascii="Times New Roman" w:hAnsi="Times New Roman"/>
      <w:sz w:val="24"/>
      <w:szCs w:val="24"/>
      <w:lang w:val="en-NZ" w:eastAsia="en-NZ"/>
    </w:rPr>
  </w:style>
  <w:style w:type="paragraph" w:styleId="ListNumber3">
    <w:name w:val="List Number 3"/>
    <w:basedOn w:val="Normal"/>
    <w:uiPriority w:val="99"/>
    <w:semiHidden/>
    <w:unhideWhenUsed/>
    <w:rsid w:val="00A83A90"/>
    <w:pPr>
      <w:numPr>
        <w:numId w:val="19"/>
      </w:numPr>
      <w:spacing w:after="240" w:line="240" w:lineRule="auto"/>
      <w:contextualSpacing/>
      <w:jc w:val="both"/>
    </w:pPr>
    <w:rPr>
      <w:rFonts w:ascii="Times New Roman" w:hAnsi="Times New Roman"/>
      <w:sz w:val="24"/>
      <w:szCs w:val="24"/>
      <w:lang w:val="en-NZ" w:eastAsia="en-NZ"/>
    </w:rPr>
  </w:style>
  <w:style w:type="paragraph" w:styleId="ListNumber4">
    <w:name w:val="List Number 4"/>
    <w:basedOn w:val="Normal"/>
    <w:uiPriority w:val="99"/>
    <w:semiHidden/>
    <w:unhideWhenUsed/>
    <w:rsid w:val="00A83A90"/>
    <w:pPr>
      <w:numPr>
        <w:numId w:val="20"/>
      </w:numPr>
      <w:spacing w:after="240" w:line="240" w:lineRule="auto"/>
      <w:contextualSpacing/>
      <w:jc w:val="both"/>
    </w:pPr>
    <w:rPr>
      <w:rFonts w:ascii="Times New Roman" w:hAnsi="Times New Roman"/>
      <w:sz w:val="24"/>
      <w:szCs w:val="24"/>
      <w:lang w:val="en-NZ" w:eastAsia="en-NZ"/>
    </w:rPr>
  </w:style>
  <w:style w:type="paragraph" w:styleId="ListNumber5">
    <w:name w:val="List Number 5"/>
    <w:basedOn w:val="Normal"/>
    <w:uiPriority w:val="99"/>
    <w:semiHidden/>
    <w:unhideWhenUsed/>
    <w:rsid w:val="00A83A90"/>
    <w:pPr>
      <w:numPr>
        <w:numId w:val="21"/>
      </w:numPr>
      <w:spacing w:after="240" w:line="240" w:lineRule="auto"/>
      <w:contextualSpacing/>
      <w:jc w:val="both"/>
    </w:pPr>
    <w:rPr>
      <w:rFonts w:ascii="Times New Roman" w:hAnsi="Times New Roman"/>
      <w:sz w:val="24"/>
      <w:szCs w:val="24"/>
      <w:lang w:val="en-NZ" w:eastAsia="en-NZ"/>
    </w:rPr>
  </w:style>
  <w:style w:type="paragraph" w:styleId="MacroText">
    <w:name w:val="macro"/>
    <w:link w:val="MacroTextChar"/>
    <w:uiPriority w:val="99"/>
    <w:semiHidden/>
    <w:unhideWhenUsed/>
    <w:rsid w:val="00A83A9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basedOn w:val="DefaultParagraphFont"/>
    <w:link w:val="MacroText"/>
    <w:uiPriority w:val="99"/>
    <w:semiHidden/>
    <w:rsid w:val="00A83A90"/>
    <w:rPr>
      <w:rFonts w:ascii="Consolas" w:eastAsia="Times New Roman" w:hAnsi="Consolas" w:cs="Consolas"/>
    </w:rPr>
  </w:style>
  <w:style w:type="paragraph" w:styleId="MessageHeader">
    <w:name w:val="Message Header"/>
    <w:basedOn w:val="Normal"/>
    <w:link w:val="MessageHeaderChar"/>
    <w:uiPriority w:val="99"/>
    <w:semiHidden/>
    <w:unhideWhenUsed/>
    <w:rsid w:val="00A83A90"/>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Theme="majorHAnsi" w:eastAsiaTheme="majorEastAsia" w:hAnsiTheme="majorHAnsi" w:cstheme="majorBidi"/>
      <w:sz w:val="24"/>
      <w:szCs w:val="24"/>
      <w:lang w:val="en-NZ" w:eastAsia="en-NZ"/>
    </w:rPr>
  </w:style>
  <w:style w:type="character" w:customStyle="1" w:styleId="MessageHeaderChar">
    <w:name w:val="Message Header Char"/>
    <w:basedOn w:val="DefaultParagraphFont"/>
    <w:link w:val="MessageHeader"/>
    <w:uiPriority w:val="99"/>
    <w:semiHidden/>
    <w:rsid w:val="00A83A9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83A90"/>
    <w:pPr>
      <w:spacing w:after="240" w:line="240" w:lineRule="auto"/>
      <w:jc w:val="both"/>
    </w:pPr>
    <w:rPr>
      <w:rFonts w:ascii="Times New Roman" w:hAnsi="Times New Roman"/>
      <w:sz w:val="24"/>
      <w:szCs w:val="24"/>
      <w:lang w:val="en-NZ" w:eastAsia="en-NZ"/>
    </w:rPr>
  </w:style>
  <w:style w:type="paragraph" w:styleId="NormalIndent">
    <w:name w:val="Normal Indent"/>
    <w:basedOn w:val="Normal"/>
    <w:uiPriority w:val="99"/>
    <w:semiHidden/>
    <w:unhideWhenUsed/>
    <w:rsid w:val="00A83A90"/>
    <w:pPr>
      <w:spacing w:after="240" w:line="240" w:lineRule="auto"/>
      <w:ind w:left="720"/>
      <w:jc w:val="both"/>
    </w:pPr>
    <w:rPr>
      <w:rFonts w:ascii="Times New Roman" w:hAnsi="Times New Roman"/>
      <w:sz w:val="24"/>
      <w:szCs w:val="24"/>
      <w:lang w:val="en-NZ" w:eastAsia="en-NZ"/>
    </w:rPr>
  </w:style>
  <w:style w:type="paragraph" w:styleId="NoteHeading">
    <w:name w:val="Note Heading"/>
    <w:basedOn w:val="Normal"/>
    <w:next w:val="Normal"/>
    <w:link w:val="NoteHeadingChar"/>
    <w:uiPriority w:val="99"/>
    <w:semiHidden/>
    <w:unhideWhenUsed/>
    <w:rsid w:val="00A83A90"/>
    <w:pPr>
      <w:spacing w:after="240" w:line="240" w:lineRule="auto"/>
      <w:jc w:val="both"/>
    </w:pPr>
    <w:rPr>
      <w:rFonts w:ascii="Times New Roman" w:hAnsi="Times New Roman"/>
      <w:sz w:val="24"/>
      <w:szCs w:val="24"/>
      <w:lang w:val="en-NZ" w:eastAsia="en-NZ"/>
    </w:rPr>
  </w:style>
  <w:style w:type="character" w:customStyle="1" w:styleId="NoteHeadingChar">
    <w:name w:val="Note Heading Char"/>
    <w:basedOn w:val="DefaultParagraphFont"/>
    <w:link w:val="NoteHeading"/>
    <w:uiPriority w:val="99"/>
    <w:semiHidden/>
    <w:rsid w:val="00A83A90"/>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83A90"/>
    <w:pPr>
      <w:spacing w:after="240" w:line="240" w:lineRule="auto"/>
      <w:jc w:val="both"/>
    </w:pPr>
    <w:rPr>
      <w:rFonts w:ascii="Consolas" w:hAnsi="Consolas" w:cs="Consolas"/>
      <w:sz w:val="21"/>
      <w:szCs w:val="21"/>
      <w:lang w:val="en-NZ" w:eastAsia="en-NZ"/>
    </w:rPr>
  </w:style>
  <w:style w:type="character" w:customStyle="1" w:styleId="PlainTextChar">
    <w:name w:val="Plain Text Char"/>
    <w:basedOn w:val="DefaultParagraphFont"/>
    <w:link w:val="PlainText"/>
    <w:uiPriority w:val="99"/>
    <w:semiHidden/>
    <w:rsid w:val="00A83A90"/>
    <w:rPr>
      <w:rFonts w:ascii="Consolas" w:eastAsia="Times New Roman" w:hAnsi="Consolas" w:cs="Consolas"/>
      <w:sz w:val="21"/>
      <w:szCs w:val="21"/>
    </w:rPr>
  </w:style>
  <w:style w:type="paragraph" w:styleId="Salutation">
    <w:name w:val="Salutation"/>
    <w:basedOn w:val="Normal"/>
    <w:next w:val="Normal"/>
    <w:link w:val="SalutationChar"/>
    <w:uiPriority w:val="99"/>
    <w:semiHidden/>
    <w:unhideWhenUsed/>
    <w:rsid w:val="00A83A90"/>
    <w:pPr>
      <w:spacing w:after="240" w:line="240" w:lineRule="auto"/>
      <w:jc w:val="both"/>
    </w:pPr>
    <w:rPr>
      <w:rFonts w:ascii="Times New Roman" w:hAnsi="Times New Roman"/>
      <w:sz w:val="24"/>
      <w:szCs w:val="24"/>
      <w:lang w:val="en-NZ" w:eastAsia="en-NZ"/>
    </w:rPr>
  </w:style>
  <w:style w:type="character" w:customStyle="1" w:styleId="SalutationChar">
    <w:name w:val="Salutation Char"/>
    <w:basedOn w:val="DefaultParagraphFont"/>
    <w:link w:val="Salutation"/>
    <w:uiPriority w:val="99"/>
    <w:semiHidden/>
    <w:rsid w:val="00A83A90"/>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A83A90"/>
    <w:pPr>
      <w:spacing w:after="240" w:line="240" w:lineRule="auto"/>
      <w:ind w:left="4252"/>
      <w:jc w:val="both"/>
    </w:pPr>
    <w:rPr>
      <w:rFonts w:ascii="Times New Roman" w:hAnsi="Times New Roman"/>
      <w:sz w:val="24"/>
      <w:szCs w:val="24"/>
      <w:lang w:val="en-NZ" w:eastAsia="en-NZ"/>
    </w:rPr>
  </w:style>
  <w:style w:type="character" w:customStyle="1" w:styleId="SignatureChar">
    <w:name w:val="Signature Char"/>
    <w:basedOn w:val="DefaultParagraphFont"/>
    <w:link w:val="Signature"/>
    <w:uiPriority w:val="99"/>
    <w:semiHidden/>
    <w:rsid w:val="00A83A90"/>
    <w:rPr>
      <w:rFonts w:ascii="Times New Roman" w:eastAsia="Times New Roman" w:hAnsi="Times New Roman"/>
      <w:sz w:val="24"/>
      <w:szCs w:val="24"/>
    </w:rPr>
  </w:style>
  <w:style w:type="paragraph" w:styleId="TableofAuthorities">
    <w:name w:val="table of authorities"/>
    <w:basedOn w:val="Normal"/>
    <w:next w:val="Normal"/>
    <w:uiPriority w:val="99"/>
    <w:semiHidden/>
    <w:unhideWhenUsed/>
    <w:rsid w:val="00A83A90"/>
    <w:pPr>
      <w:spacing w:after="240" w:line="240" w:lineRule="auto"/>
      <w:ind w:left="240" w:hanging="240"/>
      <w:jc w:val="both"/>
    </w:pPr>
    <w:rPr>
      <w:rFonts w:ascii="Times New Roman" w:hAnsi="Times New Roman"/>
      <w:sz w:val="24"/>
      <w:szCs w:val="24"/>
      <w:lang w:val="en-NZ" w:eastAsia="en-NZ"/>
    </w:rPr>
  </w:style>
  <w:style w:type="paragraph" w:styleId="TableofFigures">
    <w:name w:val="table of figures"/>
    <w:basedOn w:val="Normal"/>
    <w:next w:val="Normal"/>
    <w:uiPriority w:val="99"/>
    <w:semiHidden/>
    <w:unhideWhenUsed/>
    <w:rsid w:val="00A83A90"/>
    <w:pPr>
      <w:spacing w:after="240" w:line="240" w:lineRule="auto"/>
      <w:jc w:val="both"/>
    </w:pPr>
    <w:rPr>
      <w:rFonts w:ascii="Times New Roman" w:hAnsi="Times New Roman"/>
      <w:sz w:val="24"/>
      <w:szCs w:val="24"/>
      <w:lang w:val="en-NZ" w:eastAsia="en-NZ"/>
    </w:rPr>
  </w:style>
  <w:style w:type="paragraph" w:styleId="TOAHeading">
    <w:name w:val="toa heading"/>
    <w:basedOn w:val="Normal"/>
    <w:next w:val="Normal"/>
    <w:uiPriority w:val="99"/>
    <w:semiHidden/>
    <w:unhideWhenUsed/>
    <w:rsid w:val="00A83A90"/>
    <w:pPr>
      <w:spacing w:before="120" w:after="240" w:line="240" w:lineRule="auto"/>
      <w:jc w:val="both"/>
    </w:pPr>
    <w:rPr>
      <w:rFonts w:asciiTheme="majorHAnsi" w:eastAsiaTheme="majorEastAsia" w:hAnsiTheme="majorHAnsi" w:cstheme="majorBidi"/>
      <w:b/>
      <w:bCs/>
      <w:sz w:val="24"/>
      <w:szCs w:val="24"/>
      <w:lang w:val="en-NZ" w:eastAsia="en-NZ"/>
    </w:rPr>
  </w:style>
  <w:style w:type="paragraph" w:styleId="TOCHeading">
    <w:name w:val="TOC Heading"/>
    <w:basedOn w:val="Heading1"/>
    <w:next w:val="Normal"/>
    <w:uiPriority w:val="39"/>
    <w:unhideWhenUsed/>
    <w:qFormat/>
    <w:rsid w:val="00A83A90"/>
    <w:pPr>
      <w:keepNext/>
      <w:keepLines/>
      <w:spacing w:before="480" w:after="240"/>
      <w:jc w:val="both"/>
      <w:outlineLvl w:val="9"/>
    </w:pPr>
    <w:rPr>
      <w:rFonts w:asciiTheme="majorHAnsi" w:eastAsiaTheme="majorEastAsia" w:hAnsiTheme="majorHAnsi" w:cstheme="majorBidi"/>
      <w:bCs/>
      <w:color w:val="2E74B5" w:themeColor="accent1" w:themeShade="BF"/>
      <w:spacing w:val="0"/>
      <w:w w:val="100"/>
      <w:sz w:val="28"/>
      <w:szCs w:val="28"/>
      <w:lang w:val="en-NZ" w:eastAsia="en-NZ"/>
    </w:rPr>
  </w:style>
  <w:style w:type="table" w:styleId="ListTable3-Accent5">
    <w:name w:val="List Table 3 Accent 5"/>
    <w:basedOn w:val="TableNormal"/>
    <w:uiPriority w:val="48"/>
    <w:rsid w:val="00A83A90"/>
    <w:rPr>
      <w:rFonts w:ascii="Times New Roman" w:eastAsia="Times New Roman" w:hAnsi="Times New Roman"/>
      <w:sz w:val="24"/>
      <w:szCs w:val="24"/>
    </w:rPr>
    <w:tblPr>
      <w:tblStyleRowBandSize w:val="1"/>
      <w:tblStyleColBandSize w:val="1"/>
      <w:tblInd w:w="0" w:type="nil"/>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abledotpoint">
    <w:name w:val="Table dot point"/>
    <w:basedOn w:val="Normal"/>
    <w:rsid w:val="00A83A90"/>
    <w:pPr>
      <w:spacing w:after="240" w:line="240" w:lineRule="auto"/>
      <w:jc w:val="both"/>
    </w:pPr>
    <w:rPr>
      <w:rFonts w:ascii="Times New Roman" w:hAnsi="Times New Roman"/>
      <w:sz w:val="20"/>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456333137">
      <w:bodyDiv w:val="1"/>
      <w:marLeft w:val="0"/>
      <w:marRight w:val="0"/>
      <w:marTop w:val="0"/>
      <w:marBottom w:val="0"/>
      <w:divBdr>
        <w:top w:val="none" w:sz="0" w:space="0" w:color="auto"/>
        <w:left w:val="none" w:sz="0" w:space="0" w:color="auto"/>
        <w:bottom w:val="none" w:sz="0" w:space="0" w:color="auto"/>
        <w:right w:val="none" w:sz="0" w:space="0" w:color="auto"/>
      </w:divBdr>
    </w:div>
    <w:div w:id="754208488">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14573643">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govt.nz/regulation/public/2014/0069/latest/whol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govt.nz/regulation/public/2017/0258/7.0/whole.htm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taxpolicy.ird.govt.nz/publications/2020/2020-ria-top-personal-income-tax-rate" TargetMode="External"/><Relationship Id="rId3" Type="http://schemas.openxmlformats.org/officeDocument/2006/relationships/hyperlink" Target="https://www.lawcom.govt.nz/sites/default/files/projectAvailableFormats/NZLC%20R130.pdf" TargetMode="External"/><Relationship Id="rId7" Type="http://schemas.openxmlformats.org/officeDocument/2006/relationships/hyperlink" Target="https://taxpolicy.ird.govt.nz/publications/2020/2020-ria-top-personal-income-tax-rate" TargetMode="External"/><Relationship Id="rId2" Type="http://schemas.openxmlformats.org/officeDocument/2006/relationships/hyperlink" Target="https://taxpolicy.ird.govt.nz/publications/2020/2020-ir-cab-20-sub-0484" TargetMode="External"/><Relationship Id="rId1" Type="http://schemas.openxmlformats.org/officeDocument/2006/relationships/hyperlink" Target="https://taxpolicy.ird.govt.nz/publications/2020/2020-ria-top-personal-income-tax-rate" TargetMode="External"/><Relationship Id="rId6" Type="http://schemas.openxmlformats.org/officeDocument/2006/relationships/hyperlink" Target="https://taxpolicy.ird.govt.nz/publications/2021/2021-ip-reporting-requirements-domestic-trusts" TargetMode="External"/><Relationship Id="rId5" Type="http://schemas.openxmlformats.org/officeDocument/2006/relationships/hyperlink" Target="https://taxpolicy.ird.govt.nz/publications/2021/2021-ip-reporting-requirements-domestic-trusts" TargetMode="External"/><Relationship Id="rId4" Type="http://schemas.openxmlformats.org/officeDocument/2006/relationships/hyperlink" Target="https://taxpolicy.ird.govt.nz/publications/2020/2020-ria-top-personal-income-tax-rate" TargetMode="External"/><Relationship Id="rId9" Type="http://schemas.openxmlformats.org/officeDocument/2006/relationships/hyperlink" Target="https://taxpolicy.ird.govt.nz/publications/2021/2021-ip-reporting-requirements-domestic-tru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4DC9-BB04-4961-AA00-75120455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10442</Words>
  <Characters>57749</Characters>
  <Application>Microsoft Office Word</Application>
  <DocSecurity>0</DocSecurity>
  <Lines>1312</Lines>
  <Paragraphs>582</Paragraphs>
  <ScaleCrop>false</ScaleCrop>
  <HeadingPairs>
    <vt:vector size="2" baseType="variant">
      <vt:variant>
        <vt:lpstr>Title</vt:lpstr>
      </vt:variant>
      <vt:variant>
        <vt:i4>1</vt:i4>
      </vt:variant>
    </vt:vector>
  </HeadingPairs>
  <TitlesOfParts>
    <vt:vector size="1" baseType="lpstr">
      <vt:lpstr>Regulatory impact statement – Minimum standards for financial statements prepared by domestic trusts (21 February 2022)</vt:lpstr>
    </vt:vector>
  </TitlesOfParts>
  <Company>Inland Revenue</Company>
  <LinksUpToDate>false</LinksUpToDate>
  <CharactersWithSpaces>67609</CharactersWithSpaces>
  <SharedDoc>false</SharedDoc>
  <HLinks>
    <vt:vector size="66" baseType="variant">
      <vt:variant>
        <vt:i4>8061045</vt:i4>
      </vt:variant>
      <vt:variant>
        <vt:i4>3</vt:i4>
      </vt:variant>
      <vt:variant>
        <vt:i4>0</vt:i4>
      </vt:variant>
      <vt:variant>
        <vt:i4>5</vt:i4>
      </vt:variant>
      <vt:variant>
        <vt:lpwstr>https://www.legislation.govt.nz/regulation/public/2017/0258/7.0/whole.html</vt:lpwstr>
      </vt:variant>
      <vt:variant>
        <vt:lpwstr/>
      </vt:variant>
      <vt:variant>
        <vt:i4>1638419</vt:i4>
      </vt:variant>
      <vt:variant>
        <vt:i4>0</vt:i4>
      </vt:variant>
      <vt:variant>
        <vt:i4>0</vt:i4>
      </vt:variant>
      <vt:variant>
        <vt:i4>5</vt:i4>
      </vt:variant>
      <vt:variant>
        <vt:lpwstr>https://legislation.govt.nz/regulation/public/2014/0069/latest/whole.html</vt:lpwstr>
      </vt:variant>
      <vt:variant>
        <vt:lpwstr/>
      </vt:variant>
      <vt:variant>
        <vt:i4>3932208</vt:i4>
      </vt:variant>
      <vt:variant>
        <vt:i4>24</vt:i4>
      </vt:variant>
      <vt:variant>
        <vt:i4>0</vt:i4>
      </vt:variant>
      <vt:variant>
        <vt:i4>5</vt:i4>
      </vt:variant>
      <vt:variant>
        <vt:lpwstr>https://taxpolicy.ird.govt.nz/publications/2021/2021-ip-reporting-requirements-domestic-trusts</vt:lpwstr>
      </vt:variant>
      <vt:variant>
        <vt:lpwstr/>
      </vt:variant>
      <vt:variant>
        <vt:i4>4325393</vt:i4>
      </vt:variant>
      <vt:variant>
        <vt:i4>21</vt:i4>
      </vt:variant>
      <vt:variant>
        <vt:i4>0</vt:i4>
      </vt:variant>
      <vt:variant>
        <vt:i4>5</vt:i4>
      </vt:variant>
      <vt:variant>
        <vt:lpwstr>https://taxpolicy.ird.govt.nz/publications/2020/2020-ria-top-personal-income-tax-rate</vt:lpwstr>
      </vt:variant>
      <vt:variant>
        <vt:lpwstr/>
      </vt:variant>
      <vt:variant>
        <vt:i4>4325393</vt:i4>
      </vt:variant>
      <vt:variant>
        <vt:i4>18</vt:i4>
      </vt:variant>
      <vt:variant>
        <vt:i4>0</vt:i4>
      </vt:variant>
      <vt:variant>
        <vt:i4>5</vt:i4>
      </vt:variant>
      <vt:variant>
        <vt:lpwstr>https://taxpolicy.ird.govt.nz/publications/2020/2020-ria-top-personal-income-tax-rate</vt:lpwstr>
      </vt:variant>
      <vt:variant>
        <vt:lpwstr/>
      </vt:variant>
      <vt:variant>
        <vt:i4>3932208</vt:i4>
      </vt:variant>
      <vt:variant>
        <vt:i4>15</vt:i4>
      </vt:variant>
      <vt:variant>
        <vt:i4>0</vt:i4>
      </vt:variant>
      <vt:variant>
        <vt:i4>5</vt:i4>
      </vt:variant>
      <vt:variant>
        <vt:lpwstr>https://taxpolicy.ird.govt.nz/publications/2021/2021-ip-reporting-requirements-domestic-trusts</vt:lpwstr>
      </vt:variant>
      <vt:variant>
        <vt:lpwstr/>
      </vt:variant>
      <vt:variant>
        <vt:i4>3932208</vt:i4>
      </vt:variant>
      <vt:variant>
        <vt:i4>12</vt:i4>
      </vt:variant>
      <vt:variant>
        <vt:i4>0</vt:i4>
      </vt:variant>
      <vt:variant>
        <vt:i4>5</vt:i4>
      </vt:variant>
      <vt:variant>
        <vt:lpwstr>https://taxpolicy.ird.govt.nz/publications/2021/2021-ip-reporting-requirements-domestic-trusts</vt:lpwstr>
      </vt:variant>
      <vt:variant>
        <vt:lpwstr/>
      </vt:variant>
      <vt:variant>
        <vt:i4>4325393</vt:i4>
      </vt:variant>
      <vt:variant>
        <vt:i4>9</vt:i4>
      </vt:variant>
      <vt:variant>
        <vt:i4>0</vt:i4>
      </vt:variant>
      <vt:variant>
        <vt:i4>5</vt:i4>
      </vt:variant>
      <vt:variant>
        <vt:lpwstr>https://taxpolicy.ird.govt.nz/publications/2020/2020-ria-top-personal-income-tax-rate</vt:lpwstr>
      </vt:variant>
      <vt:variant>
        <vt:lpwstr/>
      </vt:variant>
      <vt:variant>
        <vt:i4>4391004</vt:i4>
      </vt:variant>
      <vt:variant>
        <vt:i4>6</vt:i4>
      </vt:variant>
      <vt:variant>
        <vt:i4>0</vt:i4>
      </vt:variant>
      <vt:variant>
        <vt:i4>5</vt:i4>
      </vt:variant>
      <vt:variant>
        <vt:lpwstr>https://www.lawcom.govt.nz/sites/default/files/projectAvailableFormats/NZLC R130.pdf</vt:lpwstr>
      </vt:variant>
      <vt:variant>
        <vt:lpwstr/>
      </vt:variant>
      <vt:variant>
        <vt:i4>3866724</vt:i4>
      </vt:variant>
      <vt:variant>
        <vt:i4>3</vt:i4>
      </vt:variant>
      <vt:variant>
        <vt:i4>0</vt:i4>
      </vt:variant>
      <vt:variant>
        <vt:i4>5</vt:i4>
      </vt:variant>
      <vt:variant>
        <vt:lpwstr>https://taxpolicy.ird.govt.nz/publications/2020/2020-ir-cab-20-sub-0484</vt:lpwstr>
      </vt:variant>
      <vt:variant>
        <vt:lpwstr/>
      </vt:variant>
      <vt:variant>
        <vt:i4>4325393</vt:i4>
      </vt:variant>
      <vt:variant>
        <vt:i4>0</vt:i4>
      </vt:variant>
      <vt:variant>
        <vt:i4>0</vt:i4>
      </vt:variant>
      <vt:variant>
        <vt:i4>5</vt:i4>
      </vt:variant>
      <vt:variant>
        <vt:lpwstr>https://taxpolicy.ird.govt.nz/publications/2020/2020-ria-top-personal-income-tax-rate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Minimum standards for financial statements prepared by domestic trusts (21 February 2022)</dc:title>
  <dc:subject/>
  <dc:creator>Policy and Regulatory Stewardship</dc:creator>
  <cp:keywords/>
  <dc:description/>
  <dcterms:created xsi:type="dcterms:W3CDTF">2022-03-16T18:15:00Z</dcterms:created>
  <dcterms:modified xsi:type="dcterms:W3CDTF">2022-03-16T18:17:00Z</dcterms:modified>
</cp:coreProperties>
</file>