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0DB4" w14:textId="77777777" w:rsidR="00E94525" w:rsidRDefault="00640D66" w:rsidP="00DD623A">
      <w:pPr>
        <w:jc w:val="center"/>
      </w:pPr>
      <w:r>
        <w:t xml:space="preserve">  </w:t>
      </w:r>
      <w:r w:rsidR="00E94525" w:rsidRPr="00A768F4">
        <w:rPr>
          <w:noProof/>
        </w:rPr>
        <w:drawing>
          <wp:inline distT="0" distB="0" distL="0" distR="0" wp14:anchorId="79544A96" wp14:editId="31BE556D">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2A8794B3" w14:textId="1A4A31F0" w:rsidR="00E94525" w:rsidRPr="00221AAE" w:rsidRDefault="00E94525" w:rsidP="00B73500">
      <w:pPr>
        <w:pStyle w:val="PAS-Groupname"/>
      </w:pPr>
      <w:r w:rsidRPr="00221AAE">
        <w:t xml:space="preserve">POLICY AND </w:t>
      </w:r>
      <w:r w:rsidR="00526D46">
        <w:t xml:space="preserve">REGULATORY </w:t>
      </w:r>
      <w:r w:rsidRPr="00221AAE">
        <w:t>ST</w:t>
      </w:r>
      <w:r w:rsidR="00526D46">
        <w:t>EWARDSHIP</w:t>
      </w:r>
    </w:p>
    <w:p w14:paraId="2E60567E" w14:textId="4D7D2EEA" w:rsidR="00DD623A" w:rsidRPr="001D0013" w:rsidRDefault="00DD623A" w:rsidP="001D0013">
      <w:pPr>
        <w:pStyle w:val="ReportCover-Title"/>
      </w:pPr>
      <w:r w:rsidRPr="001D0013">
        <w:t>Tax policy report:</w:t>
      </w:r>
      <w:r w:rsidRPr="001D0013">
        <w:tab/>
      </w:r>
      <w:bookmarkStart w:id="0" w:name="Subject"/>
      <w:bookmarkEnd w:id="0"/>
      <w:r w:rsidR="00190819">
        <w:t xml:space="preserve">UOMI rates and </w:t>
      </w:r>
      <w:r w:rsidR="00441781">
        <w:t xml:space="preserve">FBT prescribed rate of interest </w:t>
      </w:r>
      <w:r w:rsidR="00764490">
        <w:t>review</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27CF7B8A" w14:textId="77777777" w:rsidTr="4C4E487F">
        <w:tc>
          <w:tcPr>
            <w:tcW w:w="2689" w:type="dxa"/>
          </w:tcPr>
          <w:p w14:paraId="40E2F3D8" w14:textId="77777777" w:rsidR="00DD623A" w:rsidRPr="000B2ED1" w:rsidRDefault="00DD623A" w:rsidP="000B2ED1">
            <w:pPr>
              <w:pStyle w:val="Table-Heading"/>
            </w:pPr>
            <w:r w:rsidRPr="000B2ED1">
              <w:t>Date:</w:t>
            </w:r>
          </w:p>
        </w:tc>
        <w:tc>
          <w:tcPr>
            <w:tcW w:w="2551" w:type="dxa"/>
          </w:tcPr>
          <w:p w14:paraId="5DB177AA" w14:textId="6A407270" w:rsidR="00DD623A" w:rsidRPr="00705DC2" w:rsidRDefault="00041E9B" w:rsidP="00705DC2">
            <w:pPr>
              <w:pStyle w:val="Table-Text"/>
            </w:pPr>
            <w:bookmarkStart w:id="1" w:name="Date"/>
            <w:bookmarkEnd w:id="1"/>
            <w:r>
              <w:t>2</w:t>
            </w:r>
            <w:r w:rsidR="00CD201F">
              <w:t>4</w:t>
            </w:r>
            <w:r>
              <w:t xml:space="preserve"> </w:t>
            </w:r>
            <w:r w:rsidR="00850139">
              <w:t>February 2022</w:t>
            </w:r>
          </w:p>
        </w:tc>
        <w:tc>
          <w:tcPr>
            <w:tcW w:w="1985" w:type="dxa"/>
          </w:tcPr>
          <w:p w14:paraId="7C48988F"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473FB1533AB34D5D95FC18E68D7A5934"/>
              </w:placeholder>
              <w:dropDownList>
                <w:listItem w:value="[Choose a report priority]"/>
                <w:listItem w:displayText="Low" w:value="Low"/>
                <w:listItem w:displayText="Medium" w:value="Medium"/>
                <w:listItem w:displayText="High" w:value="High"/>
              </w:dropDownList>
            </w:sdtPr>
            <w:sdtEndPr/>
            <w:sdtContent>
              <w:p w14:paraId="1E60F5C7" w14:textId="2B318289" w:rsidR="4C4E487F" w:rsidRDefault="00850139" w:rsidP="00B76224">
                <w:pPr>
                  <w:pStyle w:val="Table-Text"/>
                </w:pPr>
                <w:r w:rsidDel="00A60ACD">
                  <w:t>Medium</w:t>
                </w:r>
              </w:p>
            </w:sdtContent>
          </w:sdt>
        </w:tc>
      </w:tr>
      <w:tr w:rsidR="00DD623A" w:rsidRPr="00DD623A" w14:paraId="04F030A4" w14:textId="77777777" w:rsidTr="4C4E487F">
        <w:tc>
          <w:tcPr>
            <w:tcW w:w="2689" w:type="dxa"/>
          </w:tcPr>
          <w:p w14:paraId="5DC3176D" w14:textId="77777777" w:rsidR="00DD623A" w:rsidRPr="000B2ED1" w:rsidRDefault="00DD623A" w:rsidP="000B2ED1">
            <w:pPr>
              <w:pStyle w:val="Table-Heading"/>
            </w:pPr>
            <w:r w:rsidRPr="000B2ED1">
              <w:t>Security level:</w:t>
            </w:r>
          </w:p>
        </w:tc>
        <w:bookmarkStart w:id="3" w:name="Security"/>
        <w:bookmarkEnd w:id="3"/>
        <w:tc>
          <w:tcPr>
            <w:tcW w:w="2551" w:type="dxa"/>
          </w:tcPr>
          <w:p w14:paraId="20669694" w14:textId="27F1C0D6" w:rsidR="009B5A86" w:rsidRPr="00DD623A" w:rsidRDefault="00817B17" w:rsidP="00C44EDE">
            <w:pPr>
              <w:pStyle w:val="Table-Text"/>
            </w:pPr>
            <w:sdt>
              <w:sdtPr>
                <w:alias w:val="Security Classification"/>
                <w:tag w:val="Security Classification"/>
                <w:id w:val="1617165177"/>
                <w:placeholder>
                  <w:docPart w:val="5B60F08359C248A99C38BD234DD32BC5"/>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764490" w:rsidDel="00A60ACD">
                  <w:t>In Confidence</w:t>
                </w:r>
              </w:sdtContent>
            </w:sdt>
            <w:r w:rsidR="0098280F">
              <w:t xml:space="preserve"> </w:t>
            </w:r>
          </w:p>
        </w:tc>
        <w:tc>
          <w:tcPr>
            <w:tcW w:w="1985" w:type="dxa"/>
          </w:tcPr>
          <w:p w14:paraId="1AAB6769" w14:textId="77777777" w:rsidR="00DD623A" w:rsidRPr="000B2ED1" w:rsidRDefault="00DD623A" w:rsidP="000B2ED1">
            <w:pPr>
              <w:pStyle w:val="Table-Heading"/>
            </w:pPr>
            <w:r w:rsidRPr="000B2ED1">
              <w:t>Report number:</w:t>
            </w:r>
          </w:p>
        </w:tc>
        <w:tc>
          <w:tcPr>
            <w:tcW w:w="2485" w:type="dxa"/>
          </w:tcPr>
          <w:p w14:paraId="3CAAF119" w14:textId="1E7A9AB9" w:rsidR="00B3357D" w:rsidRPr="00705DC2" w:rsidRDefault="00DD623A" w:rsidP="0098280F">
            <w:pPr>
              <w:pStyle w:val="Table-Text"/>
            </w:pPr>
            <w:bookmarkStart w:id="4" w:name="ReportPad"/>
            <w:bookmarkEnd w:id="4"/>
            <w:r>
              <w:t>IR20</w:t>
            </w:r>
            <w:r w:rsidR="00850139" w:rsidRPr="00DE2D88">
              <w:t>22</w:t>
            </w:r>
            <w:r w:rsidRPr="00DE2D88">
              <w:t>/</w:t>
            </w:r>
            <w:r w:rsidR="7EE6E786" w:rsidRPr="00DE2D88">
              <w:t>046</w:t>
            </w:r>
          </w:p>
        </w:tc>
      </w:tr>
    </w:tbl>
    <w:p w14:paraId="0D86ADEB"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6F0FD71C" w14:textId="77777777" w:rsidTr="000B2ED1">
        <w:tc>
          <w:tcPr>
            <w:tcW w:w="2694" w:type="dxa"/>
          </w:tcPr>
          <w:p w14:paraId="02CAB58A" w14:textId="77777777" w:rsidR="00DD623A" w:rsidRPr="000B2ED1" w:rsidRDefault="00DD623A" w:rsidP="000B2ED1">
            <w:pPr>
              <w:pStyle w:val="Table-Heading"/>
            </w:pPr>
          </w:p>
        </w:tc>
        <w:tc>
          <w:tcPr>
            <w:tcW w:w="4536" w:type="dxa"/>
            <w:tcBorders>
              <w:left w:val="nil"/>
            </w:tcBorders>
          </w:tcPr>
          <w:p w14:paraId="35A32635" w14:textId="77777777" w:rsidR="00DD623A" w:rsidRPr="000B2ED1" w:rsidRDefault="00DD623A" w:rsidP="000B2ED1">
            <w:pPr>
              <w:pStyle w:val="Table-Heading"/>
            </w:pPr>
            <w:r w:rsidRPr="000B2ED1">
              <w:t>Action sought</w:t>
            </w:r>
          </w:p>
        </w:tc>
        <w:tc>
          <w:tcPr>
            <w:tcW w:w="2480" w:type="dxa"/>
          </w:tcPr>
          <w:p w14:paraId="4EFD8623" w14:textId="77777777" w:rsidR="00DD623A" w:rsidRPr="000B2ED1" w:rsidRDefault="00DD623A" w:rsidP="000B2ED1">
            <w:pPr>
              <w:pStyle w:val="Table-Heading"/>
            </w:pPr>
            <w:r w:rsidRPr="000B2ED1">
              <w:t>Deadline</w:t>
            </w:r>
          </w:p>
        </w:tc>
      </w:tr>
      <w:tr w:rsidR="00772FD7" w:rsidRPr="00D6363A" w14:paraId="60960173"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0B347ED1" w14:textId="4F4C7844" w:rsidR="00772FD7" w:rsidRPr="00D6363A" w:rsidRDefault="00772FD7" w:rsidP="00772FD7">
            <w:pPr>
              <w:pStyle w:val="Table-Text"/>
            </w:pPr>
            <w:r w:rsidRPr="00D6363A">
              <w:t xml:space="preserve">Minister of </w:t>
            </w:r>
            <w:r>
              <w:t>Finance</w:t>
            </w:r>
          </w:p>
        </w:tc>
        <w:tc>
          <w:tcPr>
            <w:tcW w:w="4536" w:type="dxa"/>
            <w:tcBorders>
              <w:top w:val="single" w:sz="4" w:space="0" w:color="808080"/>
              <w:left w:val="single" w:sz="4" w:space="0" w:color="808080"/>
              <w:bottom w:val="single" w:sz="4" w:space="0" w:color="808080"/>
              <w:right w:val="single" w:sz="4" w:space="0" w:color="808080"/>
            </w:tcBorders>
          </w:tcPr>
          <w:p w14:paraId="244F88C2" w14:textId="46186343" w:rsidR="00772FD7" w:rsidRPr="00D6363A" w:rsidRDefault="00772FD7" w:rsidP="00772FD7">
            <w:pPr>
              <w:pStyle w:val="Table-Text"/>
            </w:pPr>
            <w:r>
              <w:rPr>
                <w:rStyle w:val="Strong"/>
              </w:rPr>
              <w:t>Indicate</w:t>
            </w:r>
            <w:r w:rsidRPr="00D6363A">
              <w:t xml:space="preserve"> </w:t>
            </w:r>
            <w:r>
              <w:t xml:space="preserve">your preferred course of action regarding </w:t>
            </w:r>
            <w:r w:rsidR="00815878">
              <w:t xml:space="preserve">the </w:t>
            </w:r>
            <w:r>
              <w:t>use</w:t>
            </w:r>
            <w:r w:rsidR="00E93195">
              <w:t xml:space="preserve"> </w:t>
            </w:r>
            <w:r>
              <w:t>of</w:t>
            </w:r>
            <w:r w:rsidR="00E93195">
              <w:t xml:space="preserve"> </w:t>
            </w:r>
            <w:r>
              <w:t>money interest rates.</w:t>
            </w:r>
          </w:p>
          <w:p w14:paraId="1A3E408A" w14:textId="77777777" w:rsidR="00772FD7" w:rsidRPr="00D6363A" w:rsidRDefault="00772FD7" w:rsidP="00772FD7">
            <w:pPr>
              <w:pStyle w:val="Table-Text"/>
            </w:pPr>
            <w:r>
              <w:rPr>
                <w:rStyle w:val="Strong"/>
              </w:rPr>
              <w:t>Agree</w:t>
            </w:r>
            <w:r w:rsidRPr="00D6363A">
              <w:t xml:space="preserve"> </w:t>
            </w:r>
            <w:r>
              <w:t>to increase the FBT prescribed rate of interest.</w:t>
            </w:r>
          </w:p>
          <w:p w14:paraId="77F1C21B" w14:textId="06877BF7" w:rsidR="00772FD7" w:rsidRDefault="003707F2" w:rsidP="00772FD7">
            <w:pPr>
              <w:pStyle w:val="Table-Text"/>
              <w:rPr>
                <w:rStyle w:val="Strong"/>
              </w:rPr>
            </w:pPr>
            <w:r>
              <w:rPr>
                <w:b/>
              </w:rPr>
              <w:t>Agree</w:t>
            </w:r>
            <w:r w:rsidR="00772FD7">
              <w:t xml:space="preserve"> </w:t>
            </w:r>
            <w:r>
              <w:t xml:space="preserve">that </w:t>
            </w:r>
            <w:r w:rsidR="00815878">
              <w:t xml:space="preserve">the </w:t>
            </w:r>
            <w:r w:rsidR="00772FD7">
              <w:t xml:space="preserve">attached papers </w:t>
            </w:r>
            <w:r>
              <w:t xml:space="preserve">be lodged with </w:t>
            </w:r>
            <w:r w:rsidR="00815878">
              <w:t xml:space="preserve">the </w:t>
            </w:r>
            <w:r w:rsidR="00772FD7">
              <w:t>Cabinet Office for consideration at the LEG meeting on 31 March 2022 (if appropriate).</w:t>
            </w:r>
          </w:p>
        </w:tc>
        <w:tc>
          <w:tcPr>
            <w:tcW w:w="2480" w:type="dxa"/>
            <w:tcBorders>
              <w:top w:val="single" w:sz="4" w:space="0" w:color="808080"/>
              <w:left w:val="single" w:sz="4" w:space="0" w:color="808080"/>
              <w:bottom w:val="single" w:sz="4" w:space="0" w:color="808080"/>
              <w:right w:val="single" w:sz="4" w:space="0" w:color="808080"/>
            </w:tcBorders>
          </w:tcPr>
          <w:p w14:paraId="10B09021" w14:textId="39D65A56" w:rsidR="00772FD7" w:rsidRDefault="00772FD7" w:rsidP="00772FD7">
            <w:pPr>
              <w:pStyle w:val="Table-Text"/>
            </w:pPr>
            <w:r>
              <w:t xml:space="preserve">10am, Thursday 24 March 2022. </w:t>
            </w:r>
          </w:p>
        </w:tc>
      </w:tr>
      <w:tr w:rsidR="00772FD7" w:rsidRPr="00D6363A" w14:paraId="6D04657C"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4DBC4AAD" w14:textId="77777777" w:rsidR="00772FD7" w:rsidRPr="00D6363A" w:rsidRDefault="00772FD7" w:rsidP="00772FD7">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735F8482" w14:textId="4125921D" w:rsidR="00772FD7" w:rsidRPr="00D6363A" w:rsidRDefault="00772FD7" w:rsidP="00772FD7">
            <w:pPr>
              <w:pStyle w:val="Table-Text"/>
            </w:pPr>
            <w:r>
              <w:rPr>
                <w:rStyle w:val="Strong"/>
              </w:rPr>
              <w:t>Indicate</w:t>
            </w:r>
            <w:r w:rsidRPr="00D6363A">
              <w:t xml:space="preserve"> </w:t>
            </w:r>
            <w:r>
              <w:t xml:space="preserve">your preferred course of action regarding </w:t>
            </w:r>
            <w:r w:rsidR="00815878">
              <w:t xml:space="preserve">the </w:t>
            </w:r>
            <w:r>
              <w:t>use</w:t>
            </w:r>
            <w:r w:rsidR="00E93195">
              <w:t xml:space="preserve"> </w:t>
            </w:r>
            <w:r>
              <w:t>of</w:t>
            </w:r>
            <w:r w:rsidR="00E93195">
              <w:t xml:space="preserve"> </w:t>
            </w:r>
            <w:r>
              <w:t>money interest rates.</w:t>
            </w:r>
          </w:p>
          <w:p w14:paraId="3AF65B62" w14:textId="718DDBE3" w:rsidR="00772FD7" w:rsidRPr="00D6363A" w:rsidRDefault="00772FD7" w:rsidP="00772FD7">
            <w:pPr>
              <w:pStyle w:val="Table-Text"/>
            </w:pPr>
            <w:r>
              <w:rPr>
                <w:rStyle w:val="Strong"/>
              </w:rPr>
              <w:t>Agree</w:t>
            </w:r>
            <w:r w:rsidRPr="00D6363A">
              <w:t xml:space="preserve"> </w:t>
            </w:r>
            <w:r>
              <w:t>to increase the FBT prescribed rate of interest.</w:t>
            </w:r>
          </w:p>
          <w:p w14:paraId="34F8E111" w14:textId="50E31051" w:rsidR="00772FD7" w:rsidRPr="00116B8C" w:rsidRDefault="00772FD7" w:rsidP="00772FD7">
            <w:pPr>
              <w:pStyle w:val="Table-Text"/>
            </w:pPr>
            <w:r>
              <w:rPr>
                <w:rStyle w:val="Strong"/>
              </w:rPr>
              <w:t>Sign</w:t>
            </w:r>
            <w:r w:rsidRPr="00D6363A">
              <w:t xml:space="preserve"> </w:t>
            </w:r>
            <w:r>
              <w:t xml:space="preserve">and </w:t>
            </w:r>
            <w:r>
              <w:rPr>
                <w:b/>
              </w:rPr>
              <w:t>refer</w:t>
            </w:r>
            <w:r>
              <w:t xml:space="preserve"> </w:t>
            </w:r>
            <w:r w:rsidR="00815878">
              <w:t xml:space="preserve">the </w:t>
            </w:r>
            <w:r>
              <w:t xml:space="preserve">attached papers to </w:t>
            </w:r>
            <w:r w:rsidR="00815878">
              <w:t xml:space="preserve">the </w:t>
            </w:r>
            <w:r>
              <w:t>Cabinet Office for consideration at the LEG meeting on 31 March 2022 (if appropriate).</w:t>
            </w:r>
          </w:p>
        </w:tc>
        <w:tc>
          <w:tcPr>
            <w:tcW w:w="2480" w:type="dxa"/>
            <w:tcBorders>
              <w:top w:val="single" w:sz="4" w:space="0" w:color="808080"/>
              <w:left w:val="single" w:sz="4" w:space="0" w:color="808080"/>
              <w:bottom w:val="single" w:sz="4" w:space="0" w:color="808080"/>
              <w:right w:val="single" w:sz="4" w:space="0" w:color="808080"/>
            </w:tcBorders>
          </w:tcPr>
          <w:p w14:paraId="4ADF2111" w14:textId="67C0449B" w:rsidR="00772FD7" w:rsidRPr="00D6363A" w:rsidRDefault="00772FD7" w:rsidP="00772FD7">
            <w:pPr>
              <w:pStyle w:val="Table-Text"/>
            </w:pPr>
            <w:r>
              <w:t xml:space="preserve">10am, Thursday 24 March 2022. </w:t>
            </w:r>
          </w:p>
        </w:tc>
      </w:tr>
    </w:tbl>
    <w:p w14:paraId="5CB63DDB"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2C557FD3" w14:textId="77777777" w:rsidTr="000B2ED1">
        <w:trPr>
          <w:cantSplit/>
        </w:trPr>
        <w:tc>
          <w:tcPr>
            <w:tcW w:w="2694" w:type="dxa"/>
            <w:tcBorders>
              <w:top w:val="nil"/>
              <w:left w:val="nil"/>
              <w:bottom w:val="nil"/>
              <w:right w:val="nil"/>
            </w:tcBorders>
          </w:tcPr>
          <w:p w14:paraId="566FE57B"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1DC3813E"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7041EE07" w14:textId="77777777" w:rsidR="00DD623A" w:rsidRPr="000B2ED1" w:rsidRDefault="00DD623A" w:rsidP="000B2ED1">
            <w:pPr>
              <w:pStyle w:val="Table-Heading"/>
            </w:pPr>
            <w:r w:rsidRPr="000B2ED1">
              <w:t>Telephone</w:t>
            </w:r>
          </w:p>
        </w:tc>
      </w:tr>
      <w:tr w:rsidR="00DD623A" w:rsidRPr="009B5A86" w14:paraId="09C8127B" w14:textId="77777777" w:rsidTr="00E36896">
        <w:tc>
          <w:tcPr>
            <w:tcW w:w="2694" w:type="dxa"/>
            <w:tcBorders>
              <w:top w:val="single" w:sz="4" w:space="0" w:color="808080"/>
              <w:left w:val="single" w:sz="4" w:space="0" w:color="808080"/>
              <w:bottom w:val="single" w:sz="4" w:space="0" w:color="808080"/>
              <w:right w:val="single" w:sz="4" w:space="0" w:color="808080"/>
            </w:tcBorders>
          </w:tcPr>
          <w:p w14:paraId="6715901A" w14:textId="736C3F94" w:rsidR="00DD623A" w:rsidRPr="009B5A86" w:rsidRDefault="005B4922" w:rsidP="009B5A86">
            <w:pPr>
              <w:pStyle w:val="Table-Text"/>
            </w:pPr>
            <w:bookmarkStart w:id="5" w:name="Name1"/>
            <w:bookmarkEnd w:id="5"/>
            <w:r>
              <w:t>Paul Fulton</w:t>
            </w:r>
          </w:p>
        </w:tc>
        <w:tc>
          <w:tcPr>
            <w:tcW w:w="3260" w:type="dxa"/>
            <w:tcBorders>
              <w:top w:val="single" w:sz="4" w:space="0" w:color="808080"/>
              <w:left w:val="single" w:sz="4" w:space="0" w:color="808080"/>
              <w:bottom w:val="single" w:sz="4" w:space="0" w:color="808080"/>
              <w:right w:val="single" w:sz="4" w:space="0" w:color="808080"/>
            </w:tcBorders>
          </w:tcPr>
          <w:p w14:paraId="4146161A" w14:textId="2FE8FFD0" w:rsidR="00DD623A" w:rsidRPr="009B5A86" w:rsidRDefault="00D3043B" w:rsidP="009B5A86">
            <w:pPr>
              <w:pStyle w:val="Table-Text"/>
            </w:pPr>
            <w:bookmarkStart w:id="6" w:name="Pos1"/>
            <w:bookmarkEnd w:id="6"/>
            <w:r>
              <w:t xml:space="preserve">Acting Policy Lead </w:t>
            </w:r>
          </w:p>
        </w:tc>
        <w:tc>
          <w:tcPr>
            <w:tcW w:w="3756"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69E163D" w14:textId="05F31413" w:rsidR="00DD623A" w:rsidRPr="00DE2D88" w:rsidRDefault="00E36896" w:rsidP="009B5A86">
            <w:pPr>
              <w:pStyle w:val="Table-Text"/>
            </w:pPr>
            <w:bookmarkStart w:id="7" w:name="Direct1"/>
            <w:bookmarkStart w:id="8" w:name="Mobile1"/>
            <w:bookmarkEnd w:id="7"/>
            <w:bookmarkEnd w:id="8"/>
            <w:r>
              <w:t>S 9(2)(a)</w:t>
            </w:r>
          </w:p>
        </w:tc>
      </w:tr>
      <w:tr w:rsidR="00445D19" w:rsidRPr="009B5A86" w14:paraId="6866A8EF" w14:textId="77777777" w:rsidTr="00E36896">
        <w:tc>
          <w:tcPr>
            <w:tcW w:w="2694" w:type="dxa"/>
            <w:tcBorders>
              <w:top w:val="single" w:sz="4" w:space="0" w:color="808080"/>
              <w:left w:val="single" w:sz="4" w:space="0" w:color="808080"/>
              <w:bottom w:val="single" w:sz="4" w:space="0" w:color="808080"/>
              <w:right w:val="single" w:sz="4" w:space="0" w:color="808080"/>
            </w:tcBorders>
          </w:tcPr>
          <w:p w14:paraId="5B79B6DF" w14:textId="5B1399F4" w:rsidR="00445D19" w:rsidRPr="009B5A86" w:rsidRDefault="005B4922" w:rsidP="00445D19">
            <w:pPr>
              <w:pStyle w:val="Table-Text"/>
            </w:pPr>
            <w:bookmarkStart w:id="9" w:name="Name2"/>
            <w:bookmarkEnd w:id="9"/>
            <w:r>
              <w:t>Eugene Parker</w:t>
            </w:r>
          </w:p>
        </w:tc>
        <w:tc>
          <w:tcPr>
            <w:tcW w:w="3260" w:type="dxa"/>
            <w:tcBorders>
              <w:top w:val="single" w:sz="4" w:space="0" w:color="808080"/>
              <w:left w:val="single" w:sz="4" w:space="0" w:color="808080"/>
              <w:bottom w:val="single" w:sz="4" w:space="0" w:color="808080"/>
              <w:right w:val="single" w:sz="4" w:space="0" w:color="808080"/>
            </w:tcBorders>
          </w:tcPr>
          <w:p w14:paraId="67698012" w14:textId="72FC76EB" w:rsidR="00445D19" w:rsidRPr="009B5A86" w:rsidRDefault="00CD068E" w:rsidP="00445D19">
            <w:pPr>
              <w:pStyle w:val="Table-Text"/>
            </w:pPr>
            <w:bookmarkStart w:id="10" w:name="Pos2"/>
            <w:bookmarkEnd w:id="10"/>
            <w:r>
              <w:t xml:space="preserve">Policy </w:t>
            </w:r>
            <w:r w:rsidR="005B4922">
              <w:t>Advisor</w:t>
            </w:r>
          </w:p>
        </w:tc>
        <w:tc>
          <w:tcPr>
            <w:tcW w:w="3756"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7796D65" w14:textId="4A24A60E" w:rsidR="00445D19" w:rsidRPr="00DE2D88" w:rsidRDefault="00E36896" w:rsidP="00850139">
            <w:pPr>
              <w:pStyle w:val="Table-Text"/>
            </w:pPr>
            <w:bookmarkStart w:id="11" w:name="Direct2"/>
            <w:bookmarkEnd w:id="11"/>
            <w:r>
              <w:t>S 9(2)(a)</w:t>
            </w:r>
          </w:p>
        </w:tc>
      </w:tr>
    </w:tbl>
    <w:p w14:paraId="456BD295" w14:textId="77777777" w:rsidR="00D6363A" w:rsidRPr="00891517" w:rsidRDefault="00D6363A" w:rsidP="00891517">
      <w:pPr>
        <w:sectPr w:rsidR="00D6363A" w:rsidRPr="00891517" w:rsidSect="00A364AA">
          <w:headerReference w:type="default" r:id="rId8"/>
          <w:pgSz w:w="11906" w:h="16838"/>
          <w:pgMar w:top="1134" w:right="1134" w:bottom="1134" w:left="1134" w:header="709" w:footer="709" w:gutter="0"/>
          <w:cols w:space="708"/>
          <w:docGrid w:linePitch="360"/>
        </w:sectPr>
      </w:pPr>
    </w:p>
    <w:p w14:paraId="547A7E56" w14:textId="07FBA6C1" w:rsidR="005B202F" w:rsidRDefault="00041E9B">
      <w:r>
        <w:lastRenderedPageBreak/>
        <w:t xml:space="preserve">22 </w:t>
      </w:r>
      <w:r w:rsidR="00114ACB">
        <w:t>February 2022</w:t>
      </w:r>
    </w:p>
    <w:p w14:paraId="7A4D8BC5" w14:textId="77777777" w:rsidR="00811AC6" w:rsidRDefault="00811AC6"/>
    <w:p w14:paraId="15B2FF8F" w14:textId="77777777" w:rsidR="00772FD7" w:rsidRDefault="00811AC6">
      <w:r>
        <w:t xml:space="preserve">Minister of </w:t>
      </w:r>
      <w:r w:rsidR="00772FD7">
        <w:t>Finance</w:t>
      </w:r>
    </w:p>
    <w:p w14:paraId="0BF7FF4D" w14:textId="0C69AAB3" w:rsidR="00811AC6" w:rsidRDefault="00772FD7">
      <w:r>
        <w:t xml:space="preserve">Minister of </w:t>
      </w:r>
      <w:r w:rsidR="00811AC6">
        <w:t>Revenue</w:t>
      </w:r>
    </w:p>
    <w:p w14:paraId="693B8C10" w14:textId="25E6EDBA" w:rsidR="00114ACB" w:rsidRPr="001D0013" w:rsidRDefault="00114ACB" w:rsidP="00114ACB">
      <w:pPr>
        <w:pStyle w:val="ReportCover-Title"/>
      </w:pPr>
      <w:r>
        <w:t xml:space="preserve">UOMI rates </w:t>
      </w:r>
      <w:r w:rsidR="00766A40">
        <w:t xml:space="preserve">and FBT prescribed rate of interest </w:t>
      </w:r>
      <w:r>
        <w:t>review</w:t>
      </w:r>
    </w:p>
    <w:p w14:paraId="33FA0376" w14:textId="77777777" w:rsidR="00AB6446" w:rsidRPr="00A2547F" w:rsidRDefault="00AB6446" w:rsidP="00AB6446">
      <w:pPr>
        <w:pStyle w:val="Heading2"/>
      </w:pPr>
      <w:r w:rsidRPr="00A2547F">
        <w:t>Purpose</w:t>
      </w:r>
    </w:p>
    <w:p w14:paraId="23A56A42" w14:textId="3B28ACF9" w:rsidR="00AB6446" w:rsidRDefault="00E839DD" w:rsidP="00AB6446">
      <w:pPr>
        <w:pStyle w:val="NumberedParagraph"/>
      </w:pPr>
      <w:r w:rsidRPr="00E839DD">
        <w:t xml:space="preserve">This report </w:t>
      </w:r>
      <w:r w:rsidR="0013704E">
        <w:t>brings</w:t>
      </w:r>
      <w:r w:rsidR="00114ACB">
        <w:t xml:space="preserve"> to your attention the </w:t>
      </w:r>
      <w:r w:rsidR="00426BFA">
        <w:t xml:space="preserve">outcome of the </w:t>
      </w:r>
      <w:r w:rsidRPr="00E839DD">
        <w:t>regular review of the</w:t>
      </w:r>
      <w:r w:rsidR="000B623A">
        <w:t xml:space="preserve"> use</w:t>
      </w:r>
      <w:r w:rsidR="00DC2FCC">
        <w:t xml:space="preserve"> </w:t>
      </w:r>
      <w:r w:rsidR="000B623A">
        <w:t>of</w:t>
      </w:r>
      <w:r w:rsidR="00DC2FCC">
        <w:t xml:space="preserve"> </w:t>
      </w:r>
      <w:r w:rsidR="000B623A">
        <w:t>money</w:t>
      </w:r>
      <w:r w:rsidR="00DC2FCC">
        <w:t xml:space="preserve"> </w:t>
      </w:r>
      <w:r w:rsidR="000B623A">
        <w:t>interest (UOMI)</w:t>
      </w:r>
      <w:r w:rsidR="000B623A" w:rsidRPr="00E839DD">
        <w:t xml:space="preserve"> rates</w:t>
      </w:r>
      <w:r w:rsidR="000B623A">
        <w:t xml:space="preserve"> and</w:t>
      </w:r>
      <w:r w:rsidRPr="00E839DD">
        <w:t xml:space="preserve"> </w:t>
      </w:r>
      <w:r w:rsidR="00426BFA">
        <w:t>FBT prescribed rate of interest</w:t>
      </w:r>
      <w:r w:rsidRPr="00E839DD">
        <w:t>.</w:t>
      </w:r>
      <w:r w:rsidR="00426BFA">
        <w:t xml:space="preserve"> </w:t>
      </w:r>
      <w:r w:rsidR="0013704E">
        <w:t xml:space="preserve">It </w:t>
      </w:r>
      <w:r w:rsidR="000B623A">
        <w:t xml:space="preserve">seeks a decision </w:t>
      </w:r>
      <w:r w:rsidR="003850C3">
        <w:t xml:space="preserve">on </w:t>
      </w:r>
      <w:r w:rsidR="000B623A">
        <w:t xml:space="preserve">whether to change the UOMI rates now or defer changing </w:t>
      </w:r>
      <w:r w:rsidR="00DD457D">
        <w:t>the rates</w:t>
      </w:r>
      <w:r w:rsidR="000B623A">
        <w:t xml:space="preserve"> because of the current Omicron outbreak</w:t>
      </w:r>
      <w:r w:rsidR="000D104C">
        <w:t xml:space="preserve">. </w:t>
      </w:r>
      <w:r w:rsidR="00DE2D88">
        <w:t>The report</w:t>
      </w:r>
      <w:r w:rsidR="000D104C">
        <w:t xml:space="preserve"> also </w:t>
      </w:r>
      <w:r w:rsidR="000B623A">
        <w:t>seeks your agreement to increasing the FBT prescribed rate of interest.</w:t>
      </w:r>
    </w:p>
    <w:p w14:paraId="50C8469B" w14:textId="3CF1C6C2" w:rsidR="00AB6446" w:rsidRDefault="00AB6446" w:rsidP="00441A44">
      <w:pPr>
        <w:pStyle w:val="Heading2"/>
      </w:pPr>
      <w:r>
        <w:t>Context</w:t>
      </w:r>
      <w:r w:rsidR="00517EF6">
        <w:t xml:space="preserve"> and background</w:t>
      </w:r>
    </w:p>
    <w:p w14:paraId="4596AD00" w14:textId="03CE211A" w:rsidR="00E839DD" w:rsidRPr="00E839DD" w:rsidRDefault="00E839DD" w:rsidP="00DC5B7E">
      <w:pPr>
        <w:pStyle w:val="NumberedParagraph"/>
      </w:pPr>
      <w:r w:rsidRPr="00E839DD">
        <w:t xml:space="preserve">The UOMI rates </w:t>
      </w:r>
      <w:r w:rsidR="002E7CB1">
        <w:t xml:space="preserve">and FBT prescribed rate of interest </w:t>
      </w:r>
      <w:r w:rsidRPr="00E839DD">
        <w:t xml:space="preserve">are reviewed regularly to ensure </w:t>
      </w:r>
      <w:r w:rsidR="00EB3425">
        <w:t>that they align</w:t>
      </w:r>
      <w:r w:rsidRPr="00E839DD">
        <w:t xml:space="preserve"> with market interest rates</w:t>
      </w:r>
      <w:r w:rsidR="002A5C30">
        <w:t>. The rates are</w:t>
      </w:r>
      <w:r w:rsidR="001C0C65">
        <w:t xml:space="preserve"> </w:t>
      </w:r>
      <w:r w:rsidRPr="00E839DD">
        <w:t xml:space="preserve">calculated </w:t>
      </w:r>
      <w:r w:rsidR="006672A4">
        <w:t>using</w:t>
      </w:r>
      <w:r w:rsidRPr="00E839DD">
        <w:t xml:space="preserve"> formulae based on the Reserve Bank</w:t>
      </w:r>
      <w:r w:rsidR="004F14A8">
        <w:t xml:space="preserve"> of New Zealand</w:t>
      </w:r>
      <w:r w:rsidRPr="00E839DD">
        <w:t xml:space="preserve"> (RBNZ) survey of interest rates</w:t>
      </w:r>
      <w:r w:rsidR="00A13F0F">
        <w:t>.</w:t>
      </w:r>
      <w:r w:rsidR="002E7CB1" w:rsidDel="002E7CB1">
        <w:rPr>
          <w:rStyle w:val="FootnoteReference"/>
        </w:rPr>
        <w:t xml:space="preserve"> </w:t>
      </w:r>
    </w:p>
    <w:p w14:paraId="12F7AFC1" w14:textId="63DCF2E6" w:rsidR="00B26B5F" w:rsidRDefault="00E738F0" w:rsidP="00DC5B7E">
      <w:pPr>
        <w:pStyle w:val="NumberedParagraph"/>
      </w:pPr>
      <w:r>
        <w:t>T</w:t>
      </w:r>
      <w:r w:rsidR="00762EDD">
        <w:t xml:space="preserve">he </w:t>
      </w:r>
      <w:r w:rsidR="00E839DD" w:rsidRPr="00E839DD">
        <w:t xml:space="preserve">underpayment UOMI rate is </w:t>
      </w:r>
      <w:r w:rsidR="005C6D49">
        <w:t xml:space="preserve">currently </w:t>
      </w:r>
      <w:r w:rsidR="00B26B5F">
        <w:t>7</w:t>
      </w:r>
      <w:r w:rsidR="00E839DD" w:rsidRPr="00E839DD">
        <w:t>.</w:t>
      </w:r>
      <w:r w:rsidR="00B26B5F">
        <w:t>00</w:t>
      </w:r>
      <w:r w:rsidR="00E839DD" w:rsidRPr="00E839DD">
        <w:t>%</w:t>
      </w:r>
      <w:r w:rsidR="00DA56B5">
        <w:t xml:space="preserve">, based on </w:t>
      </w:r>
      <w:r w:rsidR="00F727C4">
        <w:t xml:space="preserve">RBNZ </w:t>
      </w:r>
      <w:r w:rsidR="00DA56B5">
        <w:t>figures from March 2020</w:t>
      </w:r>
      <w:r>
        <w:t>,</w:t>
      </w:r>
      <w:r w:rsidR="00762EDD">
        <w:t xml:space="preserve"> </w:t>
      </w:r>
      <w:r>
        <w:t>while t</w:t>
      </w:r>
      <w:r w:rsidR="001624D3">
        <w:t xml:space="preserve">he </w:t>
      </w:r>
      <w:r w:rsidR="00E839DD" w:rsidRPr="00E839DD">
        <w:t xml:space="preserve">overpayment UOMI rate </w:t>
      </w:r>
      <w:r w:rsidR="00C50B99">
        <w:t>is capped so that it cannot go</w:t>
      </w:r>
      <w:r w:rsidR="00BF0D36">
        <w:t xml:space="preserve"> below zero</w:t>
      </w:r>
      <w:r w:rsidR="007F6080">
        <w:t>,</w:t>
      </w:r>
      <w:r w:rsidR="005D73C1">
        <w:t xml:space="preserve"> where it currently is</w:t>
      </w:r>
      <w:r w:rsidR="00E839DD" w:rsidRPr="00E839DD">
        <w:t xml:space="preserve">. </w:t>
      </w:r>
      <w:r>
        <w:t>The</w:t>
      </w:r>
      <w:r w:rsidRPr="00E839DD">
        <w:t xml:space="preserve"> current </w:t>
      </w:r>
      <w:r>
        <w:t>FBT prescribed rate of interest is 4.50%.</w:t>
      </w:r>
    </w:p>
    <w:p w14:paraId="6C19BC7C" w14:textId="77777777" w:rsidR="000B02F6" w:rsidRDefault="000B02F6" w:rsidP="000B02F6">
      <w:pPr>
        <w:pStyle w:val="Heading2"/>
      </w:pPr>
      <w:r>
        <w:t>Principles for updating the rates</w:t>
      </w:r>
    </w:p>
    <w:p w14:paraId="3260CBAC" w14:textId="2E5F5805" w:rsidR="000B02F6" w:rsidRPr="0004609D" w:rsidRDefault="000B02F6" w:rsidP="000B02F6">
      <w:pPr>
        <w:pStyle w:val="NumberedParagraph"/>
      </w:pPr>
      <w:r>
        <w:t>Longstanding administrative principle</w:t>
      </w:r>
      <w:r w:rsidR="00F81986">
        <w:t>s</w:t>
      </w:r>
      <w:r>
        <w:t xml:space="preserve"> in setting the rates provide that: </w:t>
      </w:r>
    </w:p>
    <w:p w14:paraId="34AAA18C" w14:textId="27D42E44" w:rsidR="0081436D" w:rsidRDefault="001147DA" w:rsidP="00F81986">
      <w:pPr>
        <w:pStyle w:val="NumberedParagraph"/>
        <w:numPr>
          <w:ilvl w:val="1"/>
          <w:numId w:val="11"/>
        </w:numPr>
      </w:pPr>
      <w:r>
        <w:t xml:space="preserve">Both UOMI rates should be adjusted </w:t>
      </w:r>
      <w:r w:rsidR="0081436D">
        <w:t>if:</w:t>
      </w:r>
    </w:p>
    <w:p w14:paraId="6E48410B" w14:textId="0A798B56" w:rsidR="0081436D" w:rsidRDefault="0080297A" w:rsidP="0081436D">
      <w:pPr>
        <w:pStyle w:val="NumberedParagraph"/>
        <w:numPr>
          <w:ilvl w:val="2"/>
          <w:numId w:val="11"/>
        </w:numPr>
      </w:pPr>
      <w:r>
        <w:t xml:space="preserve">the RBNZ 90-day bank bill rate or the floating first mortgage new customer </w:t>
      </w:r>
      <w:r w:rsidR="00E523FA">
        <w:t xml:space="preserve">housing </w:t>
      </w:r>
      <w:r>
        <w:t xml:space="preserve">rate </w:t>
      </w:r>
      <w:r w:rsidR="0081436D">
        <w:t>moves by 1% or more; or</w:t>
      </w:r>
    </w:p>
    <w:p w14:paraId="57DC8E30" w14:textId="5A71B1E2" w:rsidR="00F81986" w:rsidRDefault="00736EB0" w:rsidP="00B76224">
      <w:pPr>
        <w:pStyle w:val="NumberedParagraph"/>
        <w:numPr>
          <w:ilvl w:val="2"/>
          <w:numId w:val="11"/>
        </w:numPr>
      </w:pPr>
      <w:r>
        <w:t>one of these index</w:t>
      </w:r>
      <w:r w:rsidR="00EA0EAB">
        <w:t>e</w:t>
      </w:r>
      <w:r>
        <w:t>s</w:t>
      </w:r>
      <w:r w:rsidR="0081436D">
        <w:t xml:space="preserve"> moves by 0.2% or more and the </w:t>
      </w:r>
      <w:r w:rsidR="00734CF3">
        <w:t xml:space="preserve">UOMI </w:t>
      </w:r>
      <w:r w:rsidR="0081436D">
        <w:t>rate</w:t>
      </w:r>
      <w:r w:rsidR="00734CF3">
        <w:t>s</w:t>
      </w:r>
      <w:r w:rsidR="0081436D">
        <w:t xml:space="preserve"> ha</w:t>
      </w:r>
      <w:r w:rsidR="00734CF3">
        <w:t>ve</w:t>
      </w:r>
      <w:r w:rsidR="0081436D">
        <w:t>n’t been adjusted in the last 12 months</w:t>
      </w:r>
      <w:r w:rsidR="001A0353">
        <w:t>.</w:t>
      </w:r>
      <w:r w:rsidR="00F81986" w:rsidRPr="00F81986">
        <w:t xml:space="preserve"> </w:t>
      </w:r>
    </w:p>
    <w:p w14:paraId="6237D158" w14:textId="2280A89F" w:rsidR="000B02F6" w:rsidRDefault="00F81986" w:rsidP="00C866F6">
      <w:pPr>
        <w:pStyle w:val="NumberedParagraph"/>
        <w:numPr>
          <w:ilvl w:val="1"/>
          <w:numId w:val="11"/>
        </w:numPr>
      </w:pPr>
      <w:r>
        <w:t xml:space="preserve">The FBT prescribed rate of interest should be adjusted </w:t>
      </w:r>
      <w:r w:rsidR="00EA0EAB">
        <w:t xml:space="preserve">if </w:t>
      </w:r>
      <w:r>
        <w:t xml:space="preserve">the floating first mortgage new customer housing rate </w:t>
      </w:r>
      <w:r w:rsidR="00E523FA">
        <w:t xml:space="preserve">moves </w:t>
      </w:r>
      <w:r w:rsidR="00EA0EAB">
        <w:t xml:space="preserve">by </w:t>
      </w:r>
      <w:r>
        <w:t>0.2% or more.</w:t>
      </w:r>
    </w:p>
    <w:p w14:paraId="4646F588" w14:textId="77777777" w:rsidR="00E64999" w:rsidRDefault="00E64999" w:rsidP="00E64999">
      <w:pPr>
        <w:pStyle w:val="NumberedParagraph"/>
      </w:pPr>
      <w:r>
        <w:t xml:space="preserve">When regulations are made altering the UOMI rates, the </w:t>
      </w:r>
      <w:r w:rsidRPr="0004609D">
        <w:t xml:space="preserve">adjustment </w:t>
      </w:r>
      <w:r>
        <w:t xml:space="preserve">is applied </w:t>
      </w:r>
      <w:r w:rsidRPr="0004609D">
        <w:t>from the next standard provisional tax payment date.</w:t>
      </w:r>
    </w:p>
    <w:p w14:paraId="1266F9E2" w14:textId="25707DEC" w:rsidR="000B02F6" w:rsidRDefault="000B02F6" w:rsidP="000B02F6">
      <w:pPr>
        <w:pStyle w:val="NumberedParagraph"/>
      </w:pPr>
      <w:r>
        <w:t>When regulations are made declaring the FBT prescribed rate of interest, they apply to quarters starting at least 1 month following the date the regulations were made.</w:t>
      </w:r>
      <w:r w:rsidR="000E6E7B">
        <w:rPr>
          <w:rStyle w:val="FootnoteReference"/>
        </w:rPr>
        <w:footnoteReference w:id="2"/>
      </w:r>
      <w:r>
        <w:t xml:space="preserve"> </w:t>
      </w:r>
    </w:p>
    <w:p w14:paraId="3748E661" w14:textId="6BA5676A" w:rsidR="00D92AE1" w:rsidRDefault="00D92AE1" w:rsidP="00200AF1">
      <w:pPr>
        <w:pStyle w:val="NumberedParagraph"/>
        <w:spacing w:after="0"/>
      </w:pPr>
      <w:r>
        <w:t xml:space="preserve">Based on RBNZ figures from December 2021, </w:t>
      </w:r>
      <w:r w:rsidR="00565778">
        <w:t xml:space="preserve">the </w:t>
      </w:r>
      <w:r w:rsidR="00FB6D03">
        <w:t>FBT prescribed rate of interest should be increased to 4.78%</w:t>
      </w:r>
      <w:r w:rsidR="00D42A16">
        <w:t xml:space="preserve"> and </w:t>
      </w:r>
      <w:r w:rsidR="00FB6D03">
        <w:t xml:space="preserve">the </w:t>
      </w:r>
      <w:r w:rsidR="00FB6D03" w:rsidRPr="00E839DD">
        <w:t xml:space="preserve">underpayment UOMI rate </w:t>
      </w:r>
      <w:r w:rsidR="00FB6D03">
        <w:t>to</w:t>
      </w:r>
      <w:r w:rsidR="00FB6D03" w:rsidRPr="00E839DD">
        <w:t xml:space="preserve"> </w:t>
      </w:r>
      <w:r w:rsidR="00FB6D03">
        <w:t>7</w:t>
      </w:r>
      <w:r w:rsidR="00FB6D03" w:rsidRPr="00E839DD">
        <w:t>.</w:t>
      </w:r>
      <w:r w:rsidR="00F3518D">
        <w:t>28</w:t>
      </w:r>
      <w:r w:rsidR="00FB6D03" w:rsidRPr="00E839DD">
        <w:t>%</w:t>
      </w:r>
      <w:r w:rsidR="00F3518D">
        <w:t xml:space="preserve">. The overpayment UOMI rate would remain below zero </w:t>
      </w:r>
      <w:proofErr w:type="gramStart"/>
      <w:r w:rsidR="00F3518D">
        <w:t>on the basis of</w:t>
      </w:r>
      <w:proofErr w:type="gramEnd"/>
      <w:r w:rsidR="00F3518D">
        <w:t xml:space="preserve"> </w:t>
      </w:r>
      <w:r w:rsidR="001A6BAE">
        <w:t>the formula</w:t>
      </w:r>
      <w:r w:rsidR="00F3518D">
        <w:t xml:space="preserve"> and so </w:t>
      </w:r>
      <w:r w:rsidR="009F2FBE">
        <w:t>would</w:t>
      </w:r>
      <w:r w:rsidR="00F3518D">
        <w:t xml:space="preserve"> not change.</w:t>
      </w:r>
      <w:r w:rsidR="003B42A3">
        <w:t xml:space="preserve"> </w:t>
      </w:r>
    </w:p>
    <w:p w14:paraId="1A1F0E6D" w14:textId="1D3F80D8" w:rsidR="002311D6" w:rsidRPr="005178EA" w:rsidRDefault="00E813CE" w:rsidP="00AC74F1">
      <w:pPr>
        <w:pStyle w:val="Heading2"/>
        <w:keepLines/>
      </w:pPr>
      <w:r w:rsidRPr="005178EA">
        <w:lastRenderedPageBreak/>
        <w:t>UOMI rate</w:t>
      </w:r>
      <w:r w:rsidR="0013270D" w:rsidRPr="005178EA">
        <w:t>s</w:t>
      </w:r>
      <w:r w:rsidRPr="005178EA">
        <w:t xml:space="preserve"> </w:t>
      </w:r>
    </w:p>
    <w:p w14:paraId="79871C73" w14:textId="63297FA0" w:rsidR="003C7C79" w:rsidRDefault="00BA558E" w:rsidP="00AC74F1">
      <w:pPr>
        <w:pStyle w:val="NumberedParagraph"/>
        <w:keepLines/>
      </w:pPr>
      <w:r w:rsidRPr="007604CE">
        <w:t xml:space="preserve">The underpayment rate is </w:t>
      </w:r>
      <w:r w:rsidR="00D315BC">
        <w:t>charged on</w:t>
      </w:r>
      <w:r w:rsidRPr="007604CE">
        <w:t xml:space="preserve"> underpaid tax, while the overpayment rate is </w:t>
      </w:r>
      <w:r w:rsidR="00D315BC">
        <w:t>paid</w:t>
      </w:r>
      <w:r w:rsidRPr="007604CE">
        <w:t xml:space="preserve"> on money paid to Inland Revenue above their tax liability.</w:t>
      </w:r>
    </w:p>
    <w:p w14:paraId="422EB7AB" w14:textId="68813B86" w:rsidR="00171838" w:rsidRPr="007604CE" w:rsidRDefault="00171838" w:rsidP="00251852">
      <w:pPr>
        <w:pStyle w:val="NumberedParagraph"/>
      </w:pPr>
      <w:r w:rsidRPr="005560B3">
        <w:t xml:space="preserve">Although more is charged on underpayments than is </w:t>
      </w:r>
      <w:r>
        <w:t>paid on</w:t>
      </w:r>
      <w:r w:rsidRPr="005560B3">
        <w:t xml:space="preserve"> overpayments, underpayments are impaired by </w:t>
      </w:r>
      <w:r w:rsidR="00975605">
        <w:t>78.7</w:t>
      </w:r>
      <w:r w:rsidRPr="005560B3">
        <w:t>% in the Crown accounts</w:t>
      </w:r>
      <w:r>
        <w:t xml:space="preserve"> </w:t>
      </w:r>
      <w:r w:rsidRPr="00C14BBD">
        <w:t>to reflect that most UOMI charged is never paid and must be written</w:t>
      </w:r>
      <w:r w:rsidR="00084418">
        <w:t xml:space="preserve"> </w:t>
      </w:r>
      <w:r w:rsidRPr="00C14BBD">
        <w:t xml:space="preserve">off. </w:t>
      </w:r>
      <w:r w:rsidR="00084418">
        <w:t>I</w:t>
      </w:r>
      <w:r>
        <w:t>ncreas</w:t>
      </w:r>
      <w:r w:rsidR="00805974">
        <w:t>i</w:t>
      </w:r>
      <w:r>
        <w:t>n</w:t>
      </w:r>
      <w:r w:rsidR="00805974">
        <w:t>g</w:t>
      </w:r>
      <w:r>
        <w:t xml:space="preserve"> the underpayment rate </w:t>
      </w:r>
      <w:r w:rsidR="00084418">
        <w:t xml:space="preserve">thus </w:t>
      </w:r>
      <w:r>
        <w:t>also increase</w:t>
      </w:r>
      <w:r w:rsidR="00805974">
        <w:t>s</w:t>
      </w:r>
      <w:r>
        <w:t xml:space="preserve"> impairment expenditure. </w:t>
      </w:r>
    </w:p>
    <w:p w14:paraId="4190A7AB" w14:textId="4F74F9B7" w:rsidR="000D104C" w:rsidRDefault="00992DF0" w:rsidP="008A45BF">
      <w:pPr>
        <w:pStyle w:val="NumberedParagraph"/>
      </w:pPr>
      <w:r>
        <w:t xml:space="preserve">While </w:t>
      </w:r>
      <w:r w:rsidR="001830EA">
        <w:t>the timing and amount of rate change</w:t>
      </w:r>
      <w:r w:rsidR="00E731A6">
        <w:t xml:space="preserve"> recommendations</w:t>
      </w:r>
      <w:r w:rsidR="001830EA">
        <w:t xml:space="preserve"> </w:t>
      </w:r>
      <w:r w:rsidR="00042384">
        <w:t>are determined by formula</w:t>
      </w:r>
      <w:r w:rsidR="00E731A6">
        <w:t>, they require your agreement so</w:t>
      </w:r>
      <w:r w:rsidR="008F780B" w:rsidRPr="008F780B">
        <w:t xml:space="preserve"> you </w:t>
      </w:r>
      <w:r w:rsidR="00E731A6">
        <w:t>could</w:t>
      </w:r>
      <w:r w:rsidR="008F780B" w:rsidRPr="008F780B">
        <w:t xml:space="preserve"> elect to defer the increase </w:t>
      </w:r>
      <w:r w:rsidR="000D104C" w:rsidRPr="007604CE">
        <w:t xml:space="preserve">because of the current </w:t>
      </w:r>
      <w:r w:rsidR="000D4088">
        <w:t>Omicron</w:t>
      </w:r>
      <w:r w:rsidR="0090345D">
        <w:t xml:space="preserve"> </w:t>
      </w:r>
      <w:r w:rsidR="000D104C" w:rsidRPr="007604CE">
        <w:t>outbreak</w:t>
      </w:r>
      <w:r w:rsidR="000D104C" w:rsidRPr="008F780B">
        <w:t>.</w:t>
      </w:r>
      <w:r w:rsidR="000D104C">
        <w:t xml:space="preserve"> </w:t>
      </w:r>
      <w:r w:rsidR="007604CE" w:rsidRPr="005178EA">
        <w:t>Increasing the UOMI</w:t>
      </w:r>
      <w:r w:rsidR="007604CE">
        <w:t xml:space="preserve"> underpayment rate during the current Omicron outbreak could be viewed as punitive for taxpayers, even if the Government decides to extend UOMI remission.</w:t>
      </w:r>
    </w:p>
    <w:p w14:paraId="7EB74A7A" w14:textId="559CB819" w:rsidR="00646D0D" w:rsidRDefault="008A45BF" w:rsidP="008A45BF">
      <w:pPr>
        <w:pStyle w:val="NumberedParagraph"/>
      </w:pPr>
      <w:r>
        <w:t xml:space="preserve">Officials have </w:t>
      </w:r>
      <w:r w:rsidR="000D104C">
        <w:t xml:space="preserve">therefore </w:t>
      </w:r>
      <w:r>
        <w:t>included two options for you to consider</w:t>
      </w:r>
      <w:r w:rsidR="00646D0D">
        <w:t>:</w:t>
      </w:r>
      <w:r>
        <w:t xml:space="preserve"> </w:t>
      </w:r>
    </w:p>
    <w:p w14:paraId="27B24264" w14:textId="10DD8A1B" w:rsidR="00B65604" w:rsidRDefault="003975B8" w:rsidP="00646D0D">
      <w:pPr>
        <w:pStyle w:val="NumberedParagraph"/>
        <w:numPr>
          <w:ilvl w:val="1"/>
          <w:numId w:val="11"/>
        </w:numPr>
      </w:pPr>
      <w:r>
        <w:t>O</w:t>
      </w:r>
      <w:r w:rsidR="009570BD">
        <w:t xml:space="preserve">ption </w:t>
      </w:r>
      <w:r w:rsidR="00846EFB">
        <w:t xml:space="preserve">1 </w:t>
      </w:r>
      <w:r w:rsidR="008A45BF">
        <w:t xml:space="preserve">is increasing the underpayment </w:t>
      </w:r>
      <w:r w:rsidR="006228A9">
        <w:t xml:space="preserve">UOMI </w:t>
      </w:r>
      <w:r w:rsidR="008A45BF">
        <w:t xml:space="preserve">rate </w:t>
      </w:r>
      <w:r w:rsidR="001539D8">
        <w:t>by following the standard formula</w:t>
      </w:r>
      <w:r w:rsidR="008F30E4">
        <w:t xml:space="preserve">. </w:t>
      </w:r>
      <w:r w:rsidR="009570BD">
        <w:t xml:space="preserve">The overpayment </w:t>
      </w:r>
      <w:r w:rsidR="00EE6F47">
        <w:t xml:space="preserve">UOMI </w:t>
      </w:r>
      <w:r w:rsidR="009570BD">
        <w:t>rate would continue to be 0%.</w:t>
      </w:r>
      <w:r w:rsidR="000D3887">
        <w:t xml:space="preserve"> The new rates would take effect from </w:t>
      </w:r>
      <w:r w:rsidR="007E0AA5">
        <w:t>9 May 2022.</w:t>
      </w:r>
      <w:r w:rsidR="006C5E69">
        <w:t xml:space="preserve"> </w:t>
      </w:r>
    </w:p>
    <w:p w14:paraId="70C74E96" w14:textId="0B38DFD0" w:rsidR="006C5E69" w:rsidRDefault="00846EFB" w:rsidP="009B71D9">
      <w:pPr>
        <w:pStyle w:val="NumberedParagraph"/>
        <w:numPr>
          <w:ilvl w:val="1"/>
          <w:numId w:val="11"/>
        </w:numPr>
        <w:spacing w:after="0"/>
      </w:pPr>
      <w:r>
        <w:t>O</w:t>
      </w:r>
      <w:r w:rsidR="009570BD">
        <w:t>ption</w:t>
      </w:r>
      <w:r w:rsidR="008F30E4">
        <w:t xml:space="preserve"> </w:t>
      </w:r>
      <w:r>
        <w:t xml:space="preserve">2 </w:t>
      </w:r>
      <w:r w:rsidR="008F30E4">
        <w:t xml:space="preserve">is deferring any </w:t>
      </w:r>
      <w:r w:rsidR="009570BD">
        <w:t>change</w:t>
      </w:r>
      <w:r w:rsidR="008F30E4">
        <w:t xml:space="preserve"> to the UOMI rate</w:t>
      </w:r>
      <w:r w:rsidR="009570BD">
        <w:t>s</w:t>
      </w:r>
      <w:r w:rsidR="008F30E4">
        <w:t xml:space="preserve"> for now</w:t>
      </w:r>
      <w:r w:rsidR="009570BD">
        <w:t>.</w:t>
      </w:r>
      <w:r w:rsidR="008F30E4">
        <w:t xml:space="preserve"> </w:t>
      </w:r>
      <w:r w:rsidR="009570BD">
        <w:t>I</w:t>
      </w:r>
      <w:r w:rsidR="008F30E4">
        <w:t>nstead</w:t>
      </w:r>
      <w:r w:rsidR="009570BD">
        <w:t xml:space="preserve">, officials </w:t>
      </w:r>
      <w:r w:rsidR="00EE6F47">
        <w:t>would</w:t>
      </w:r>
      <w:r w:rsidR="00374739">
        <w:t xml:space="preserve"> report to you on</w:t>
      </w:r>
      <w:r w:rsidR="008F30E4">
        <w:t xml:space="preserve"> rev</w:t>
      </w:r>
      <w:r w:rsidR="008F30E4" w:rsidRPr="00FC5C5A">
        <w:t>iewing the rate</w:t>
      </w:r>
      <w:r w:rsidR="00374739" w:rsidRPr="00FC5C5A">
        <w:t xml:space="preserve">s </w:t>
      </w:r>
      <w:r w:rsidR="00AE7C9F" w:rsidRPr="00FC5C5A">
        <w:t xml:space="preserve">in </w:t>
      </w:r>
      <w:r w:rsidR="00971E2B">
        <w:t>the middle of the year</w:t>
      </w:r>
      <w:r w:rsidR="00374739" w:rsidRPr="00FC5C5A">
        <w:t>.</w:t>
      </w:r>
      <w:r w:rsidR="000711C8">
        <w:t xml:space="preserve"> </w:t>
      </w:r>
    </w:p>
    <w:p w14:paraId="1669EAE6" w14:textId="77777777" w:rsidR="00842B9F" w:rsidRPr="00842B9F" w:rsidRDefault="00842B9F" w:rsidP="003B2C7A"/>
    <w:p w14:paraId="2F856F64" w14:textId="29D974FE" w:rsidR="00B319F0" w:rsidRDefault="00B319F0" w:rsidP="00450494">
      <w:pPr>
        <w:pStyle w:val="Heading4"/>
        <w:spacing w:before="0"/>
      </w:pPr>
      <w:r>
        <w:t xml:space="preserve">Option 1: changing the UOMI rates from 9 May 2022 </w:t>
      </w:r>
    </w:p>
    <w:p w14:paraId="6502D539" w14:textId="1E07DEE4" w:rsidR="008C4F30" w:rsidRPr="00247C86" w:rsidRDefault="00E64BFC" w:rsidP="008C4F30">
      <w:pPr>
        <w:pStyle w:val="NumberedParagraph"/>
      </w:pPr>
      <w:r>
        <w:t>O</w:t>
      </w:r>
      <w:r w:rsidR="008C4F30" w:rsidRPr="00247C86">
        <w:t xml:space="preserve">ption </w:t>
      </w:r>
      <w:r w:rsidR="008C4F30">
        <w:t>1</w:t>
      </w:r>
      <w:r w:rsidR="008C4F30" w:rsidRPr="00247C86">
        <w:t xml:space="preserve"> </w:t>
      </w:r>
      <w:r>
        <w:t xml:space="preserve">will </w:t>
      </w:r>
      <w:r w:rsidR="008C4F30" w:rsidRPr="00247C86">
        <w:t xml:space="preserve">prevent misalignment of the UOMI rates with market rates and </w:t>
      </w:r>
      <w:r>
        <w:t xml:space="preserve">maintain </w:t>
      </w:r>
      <w:r w:rsidR="008C4F30" w:rsidRPr="00247C86">
        <w:t xml:space="preserve">continuity of administrative principles. Additionally, </w:t>
      </w:r>
      <w:r w:rsidR="00C82233">
        <w:t>most</w:t>
      </w:r>
      <w:r w:rsidR="008C4F30" w:rsidRPr="00247C86">
        <w:t xml:space="preserve"> UOMI accrued by taxpayers (78.7%) is impaired, and the Government is considering an extension of COVID-related UOMI remission policies which </w:t>
      </w:r>
      <w:r w:rsidR="00C82233">
        <w:t>will</w:t>
      </w:r>
      <w:r w:rsidR="008C4F30" w:rsidRPr="00247C86">
        <w:t xml:space="preserve"> increase that amount. </w:t>
      </w:r>
      <w:r w:rsidR="00C82233">
        <w:t>T</w:t>
      </w:r>
      <w:r w:rsidR="008C4F30" w:rsidRPr="00247C86">
        <w:t xml:space="preserve">he actual impact of raising the underpayment rate on </w:t>
      </w:r>
      <w:r w:rsidR="008C4F30">
        <w:t>taxpayers</w:t>
      </w:r>
      <w:r w:rsidR="008C4F30" w:rsidRPr="00247C86">
        <w:t xml:space="preserve"> may </w:t>
      </w:r>
      <w:r w:rsidR="00C82233">
        <w:t xml:space="preserve">thus </w:t>
      </w:r>
      <w:r w:rsidR="008C4F30" w:rsidRPr="00247C86">
        <w:t xml:space="preserve">be </w:t>
      </w:r>
      <w:r w:rsidR="00016398" w:rsidRPr="00247C86">
        <w:t>s</w:t>
      </w:r>
      <w:r w:rsidR="00016398">
        <w:t>mall</w:t>
      </w:r>
      <w:r w:rsidR="008C4F30" w:rsidRPr="00247C86">
        <w:t>.</w:t>
      </w:r>
    </w:p>
    <w:p w14:paraId="4901C3E2" w14:textId="329AA605" w:rsidR="00B319F0" w:rsidRDefault="00B319F0" w:rsidP="0084007F">
      <w:pPr>
        <w:pStyle w:val="NumberedParagraph"/>
      </w:pPr>
      <w:r>
        <w:t>Should you proceed with the UOMI rate change, the</w:t>
      </w:r>
      <w:r w:rsidRPr="005560B3">
        <w:t xml:space="preserve"> </w:t>
      </w:r>
      <w:r>
        <w:t>change to the operating balance</w:t>
      </w:r>
      <w:r w:rsidRPr="005560B3">
        <w:t xml:space="preserve"> </w:t>
      </w:r>
      <w:r>
        <w:t>for the 2021/22 fiscal year is estimated to be approximately net zero</w:t>
      </w:r>
      <w:r w:rsidR="00D575D9">
        <w:t>. T</w:t>
      </w:r>
      <w:r>
        <w:t xml:space="preserve">he 2022/23 and later years are estimated to have a </w:t>
      </w:r>
      <w:r w:rsidRPr="005560B3">
        <w:t xml:space="preserve">full year net saving </w:t>
      </w:r>
      <w:r>
        <w:t xml:space="preserve">of approximately $2 million per annum. </w:t>
      </w:r>
    </w:p>
    <w:p w14:paraId="63C497B5" w14:textId="16AB6130" w:rsidR="00B319F0" w:rsidRPr="00450494" w:rsidRDefault="00B319F0" w:rsidP="00B319F0">
      <w:pPr>
        <w:pStyle w:val="NumberedParagraph"/>
        <w:spacing w:after="240"/>
        <w:rPr>
          <w:szCs w:val="20"/>
        </w:rPr>
      </w:pPr>
      <w:bookmarkStart w:id="12" w:name="_Hlk96418169"/>
      <w:r>
        <w:t xml:space="preserve">These savings </w:t>
      </w:r>
      <w:r w:rsidRPr="005560B3">
        <w:t>compris</w:t>
      </w:r>
      <w:r>
        <w:t>e</w:t>
      </w:r>
      <w:r w:rsidRPr="005560B3">
        <w:t xml:space="preserve"> a revenue increase of</w:t>
      </w:r>
      <w:r w:rsidR="00450494">
        <w:t xml:space="preserve"> approximately</w:t>
      </w:r>
      <w:r w:rsidRPr="005560B3">
        <w:t xml:space="preserve"> </w:t>
      </w:r>
      <w:r>
        <w:t xml:space="preserve">$1 million in 2021/22, $8 million in 2022/23, and </w:t>
      </w:r>
      <w:r w:rsidRPr="00A9783B">
        <w:t>$</w:t>
      </w:r>
      <w:r>
        <w:t xml:space="preserve">9 </w:t>
      </w:r>
      <w:r w:rsidRPr="00A9783B">
        <w:t>million per annum</w:t>
      </w:r>
      <w:r>
        <w:t xml:space="preserve"> for 2023/24 and later years. </w:t>
      </w:r>
      <w:r w:rsidR="00AC188F">
        <w:t xml:space="preserve">As described above, this is partly </w:t>
      </w:r>
      <w:r w:rsidR="00AC188F" w:rsidRPr="00450494">
        <w:rPr>
          <w:szCs w:val="20"/>
        </w:rPr>
        <w:t>counteracted by</w:t>
      </w:r>
      <w:r w:rsidRPr="00450494">
        <w:rPr>
          <w:szCs w:val="20"/>
        </w:rPr>
        <w:t xml:space="preserve"> an increase in impairment expenditure of </w:t>
      </w:r>
      <w:r w:rsidR="00450494" w:rsidRPr="00450494">
        <w:rPr>
          <w:szCs w:val="20"/>
        </w:rPr>
        <w:t xml:space="preserve">approximately </w:t>
      </w:r>
      <w:r w:rsidRPr="00450494">
        <w:rPr>
          <w:szCs w:val="20"/>
        </w:rPr>
        <w:t>$1 million in 2021/22, and $7 million per annum for 2022/23 and later years. This is shown in the table below:</w:t>
      </w:r>
      <w:r w:rsidRPr="00450494">
        <w:rPr>
          <w:szCs w:val="20"/>
        </w:rPr>
        <w:tab/>
        <w:t xml:space="preserve"> </w:t>
      </w:r>
    </w:p>
    <w:tbl>
      <w:tblPr>
        <w:tblStyle w:val="TableGrid1"/>
        <w:tblW w:w="8930" w:type="dxa"/>
        <w:tblInd w:w="142" w:type="dxa"/>
        <w:tblLayout w:type="fixed"/>
        <w:tblLook w:val="04A0" w:firstRow="1" w:lastRow="0" w:firstColumn="1" w:lastColumn="0" w:noHBand="0" w:noVBand="1"/>
      </w:tblPr>
      <w:tblGrid>
        <w:gridCol w:w="1985"/>
        <w:gridCol w:w="1389"/>
        <w:gridCol w:w="1389"/>
        <w:gridCol w:w="1389"/>
        <w:gridCol w:w="1389"/>
        <w:gridCol w:w="1389"/>
      </w:tblGrid>
      <w:tr w:rsidR="00B319F0" w:rsidRPr="00450494" w14:paraId="7733F607" w14:textId="77777777" w:rsidTr="00AC188F">
        <w:trPr>
          <w:cantSplit/>
        </w:trPr>
        <w:tc>
          <w:tcPr>
            <w:tcW w:w="1985" w:type="dxa"/>
            <w:tcBorders>
              <w:top w:val="nil"/>
              <w:left w:val="nil"/>
            </w:tcBorders>
            <w:shd w:val="clear" w:color="auto" w:fill="auto"/>
          </w:tcPr>
          <w:p w14:paraId="07FCD618" w14:textId="77777777" w:rsidR="00B319F0" w:rsidRPr="00450494" w:rsidRDefault="00B319F0" w:rsidP="00C966B3">
            <w:pPr>
              <w:pStyle w:val="NumberedParagraphCabStandard"/>
              <w:tabs>
                <w:tab w:val="clear" w:pos="709"/>
              </w:tabs>
              <w:spacing w:before="60" w:after="60"/>
              <w:ind w:left="0" w:firstLine="0"/>
              <w:rPr>
                <w:rFonts w:ascii="Verdana" w:hAnsi="Verdana"/>
                <w:sz w:val="20"/>
                <w:szCs w:val="20"/>
              </w:rPr>
            </w:pPr>
          </w:p>
        </w:tc>
        <w:tc>
          <w:tcPr>
            <w:tcW w:w="6945" w:type="dxa"/>
            <w:gridSpan w:val="5"/>
            <w:shd w:val="clear" w:color="auto" w:fill="auto"/>
            <w:vAlign w:val="center"/>
          </w:tcPr>
          <w:p w14:paraId="09AE1A4F" w14:textId="7B312A76" w:rsidR="00B319F0" w:rsidRPr="00450494" w:rsidRDefault="00B319F0" w:rsidP="00C966B3">
            <w:pPr>
              <w:spacing w:before="60" w:after="60"/>
              <w:jc w:val="center"/>
              <w:rPr>
                <w:rFonts w:ascii="Verdana" w:hAnsi="Verdana"/>
                <w:b/>
                <w:bCs/>
                <w:sz w:val="20"/>
                <w:szCs w:val="20"/>
              </w:rPr>
            </w:pPr>
            <w:r w:rsidRPr="00450494">
              <w:rPr>
                <w:rFonts w:ascii="Verdana" w:eastAsia="Times New Roman" w:hAnsi="Verdana" w:cs="Arial"/>
                <w:b/>
                <w:bCs/>
                <w:sz w:val="20"/>
                <w:szCs w:val="20"/>
              </w:rPr>
              <w:t xml:space="preserve">$millions </w:t>
            </w:r>
            <w:r w:rsidR="00C966B3" w:rsidRPr="00450494">
              <w:rPr>
                <w:rFonts w:ascii="Verdana" w:eastAsia="Times New Roman" w:hAnsi="Verdana" w:cs="Arial"/>
                <w:b/>
                <w:bCs/>
                <w:sz w:val="20"/>
                <w:szCs w:val="20"/>
              </w:rPr>
              <w:t xml:space="preserve">- </w:t>
            </w:r>
            <w:r w:rsidRPr="00450494">
              <w:rPr>
                <w:rFonts w:ascii="Verdana" w:eastAsia="Times New Roman" w:hAnsi="Verdana" w:cs="Arial"/>
                <w:b/>
                <w:bCs/>
                <w:sz w:val="20"/>
                <w:szCs w:val="20"/>
              </w:rPr>
              <w:t>increase/(decrease)</w:t>
            </w:r>
          </w:p>
        </w:tc>
      </w:tr>
      <w:tr w:rsidR="00EE2459" w:rsidRPr="00450494" w14:paraId="2AF158D7" w14:textId="77777777" w:rsidTr="00AC188F">
        <w:trPr>
          <w:cantSplit/>
        </w:trPr>
        <w:tc>
          <w:tcPr>
            <w:tcW w:w="1985" w:type="dxa"/>
            <w:shd w:val="clear" w:color="auto" w:fill="auto"/>
            <w:vAlign w:val="center"/>
          </w:tcPr>
          <w:p w14:paraId="1F7266A0" w14:textId="77777777" w:rsidR="00B319F0" w:rsidRPr="00450494" w:rsidRDefault="00B319F0" w:rsidP="00210757">
            <w:pPr>
              <w:spacing w:before="60" w:after="60" w:line="240" w:lineRule="auto"/>
              <w:jc w:val="left"/>
              <w:rPr>
                <w:rFonts w:ascii="Verdana" w:eastAsia="Times New Roman" w:hAnsi="Verdana" w:cs="Arial"/>
                <w:b/>
                <w:bCs/>
                <w:sz w:val="20"/>
                <w:szCs w:val="20"/>
              </w:rPr>
            </w:pPr>
            <w:r w:rsidRPr="00450494">
              <w:rPr>
                <w:rFonts w:ascii="Verdana" w:eastAsia="Times New Roman" w:hAnsi="Verdana" w:cs="Arial"/>
                <w:b/>
                <w:bCs/>
                <w:sz w:val="20"/>
                <w:szCs w:val="20"/>
              </w:rPr>
              <w:t>Vote Revenue</w:t>
            </w:r>
          </w:p>
        </w:tc>
        <w:tc>
          <w:tcPr>
            <w:tcW w:w="1389" w:type="dxa"/>
            <w:shd w:val="clear" w:color="auto" w:fill="auto"/>
            <w:vAlign w:val="center"/>
          </w:tcPr>
          <w:p w14:paraId="02D7DA2D" w14:textId="77777777"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2021/22</w:t>
            </w:r>
          </w:p>
        </w:tc>
        <w:tc>
          <w:tcPr>
            <w:tcW w:w="1389" w:type="dxa"/>
            <w:shd w:val="clear" w:color="auto" w:fill="auto"/>
            <w:vAlign w:val="center"/>
          </w:tcPr>
          <w:p w14:paraId="2DD99FDB" w14:textId="77777777"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2022/23</w:t>
            </w:r>
          </w:p>
        </w:tc>
        <w:tc>
          <w:tcPr>
            <w:tcW w:w="1389" w:type="dxa"/>
            <w:shd w:val="clear" w:color="auto" w:fill="auto"/>
            <w:vAlign w:val="center"/>
          </w:tcPr>
          <w:p w14:paraId="10D64E2F" w14:textId="77777777"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2023/24</w:t>
            </w:r>
          </w:p>
        </w:tc>
        <w:tc>
          <w:tcPr>
            <w:tcW w:w="1389" w:type="dxa"/>
            <w:shd w:val="clear" w:color="auto" w:fill="auto"/>
            <w:vAlign w:val="center"/>
          </w:tcPr>
          <w:p w14:paraId="08821F58" w14:textId="77777777"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2024/25</w:t>
            </w:r>
          </w:p>
        </w:tc>
        <w:tc>
          <w:tcPr>
            <w:tcW w:w="1389" w:type="dxa"/>
            <w:shd w:val="clear" w:color="auto" w:fill="auto"/>
            <w:vAlign w:val="center"/>
          </w:tcPr>
          <w:p w14:paraId="02F92447" w14:textId="1F372878"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2025/26 &amp;</w:t>
            </w:r>
            <w:r w:rsidR="00C966B3" w:rsidRPr="00450494">
              <w:rPr>
                <w:rFonts w:ascii="Verdana" w:eastAsia="Times New Roman" w:hAnsi="Verdana" w:cs="Arial"/>
                <w:b/>
                <w:bCs/>
                <w:sz w:val="20"/>
                <w:szCs w:val="20"/>
              </w:rPr>
              <w:t xml:space="preserve"> </w:t>
            </w:r>
            <w:r w:rsidRPr="00450494">
              <w:rPr>
                <w:rFonts w:ascii="Verdana" w:eastAsia="Times New Roman" w:hAnsi="Verdana" w:cs="Arial"/>
                <w:b/>
                <w:bCs/>
                <w:sz w:val="20"/>
                <w:szCs w:val="20"/>
              </w:rPr>
              <w:t>outyears</w:t>
            </w:r>
          </w:p>
        </w:tc>
      </w:tr>
      <w:tr w:rsidR="00EE2459" w:rsidRPr="00450494" w14:paraId="78FC0FF8" w14:textId="77777777" w:rsidTr="00AC188F">
        <w:trPr>
          <w:cantSplit/>
        </w:trPr>
        <w:tc>
          <w:tcPr>
            <w:tcW w:w="1985" w:type="dxa"/>
            <w:shd w:val="clear" w:color="auto" w:fill="auto"/>
            <w:vAlign w:val="center"/>
          </w:tcPr>
          <w:p w14:paraId="07E9E78F" w14:textId="77777777" w:rsidR="00B319F0" w:rsidRPr="00450494" w:rsidRDefault="00B319F0" w:rsidP="00210757">
            <w:pPr>
              <w:spacing w:before="60" w:line="240" w:lineRule="auto"/>
              <w:jc w:val="left"/>
              <w:rPr>
                <w:rFonts w:ascii="Verdana" w:eastAsia="Times New Roman" w:hAnsi="Verdana" w:cs="Arial"/>
                <w:sz w:val="20"/>
                <w:szCs w:val="20"/>
              </w:rPr>
            </w:pPr>
            <w:r w:rsidRPr="00450494">
              <w:rPr>
                <w:rFonts w:ascii="Verdana" w:eastAsia="Times New Roman" w:hAnsi="Verdana" w:cs="Arial"/>
                <w:sz w:val="20"/>
                <w:szCs w:val="20"/>
              </w:rPr>
              <w:t>Crown Revenue and Receipts:</w:t>
            </w:r>
          </w:p>
          <w:p w14:paraId="33650CF3" w14:textId="77777777" w:rsidR="00B319F0" w:rsidRPr="00450494" w:rsidRDefault="00B319F0" w:rsidP="00210757">
            <w:pPr>
              <w:spacing w:after="60" w:line="240" w:lineRule="auto"/>
              <w:jc w:val="left"/>
              <w:rPr>
                <w:rFonts w:ascii="Verdana" w:eastAsia="Times New Roman" w:hAnsi="Verdana" w:cs="Arial"/>
                <w:sz w:val="20"/>
                <w:szCs w:val="20"/>
              </w:rPr>
            </w:pPr>
            <w:r w:rsidRPr="00450494">
              <w:rPr>
                <w:rFonts w:ascii="Verdana" w:eastAsia="Times New Roman" w:hAnsi="Verdana" w:cs="Arial"/>
                <w:sz w:val="20"/>
                <w:szCs w:val="20"/>
              </w:rPr>
              <w:t>Tax Revenue</w:t>
            </w:r>
          </w:p>
        </w:tc>
        <w:tc>
          <w:tcPr>
            <w:tcW w:w="1389" w:type="dxa"/>
            <w:shd w:val="clear" w:color="auto" w:fill="auto"/>
            <w:vAlign w:val="center"/>
          </w:tcPr>
          <w:p w14:paraId="46AEA25D" w14:textId="26C1F5D0"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1</w:t>
            </w:r>
            <w:r w:rsidR="00C966B3" w:rsidRPr="00450494">
              <w:rPr>
                <w:rFonts w:ascii="Verdana" w:eastAsia="Times New Roman" w:hAnsi="Verdana" w:cs="Arial"/>
                <w:sz w:val="20"/>
                <w:szCs w:val="20"/>
              </w:rPr>
              <w:t>.</w:t>
            </w:r>
            <w:r w:rsidR="00EE2459" w:rsidRPr="00450494">
              <w:rPr>
                <w:rFonts w:ascii="Verdana" w:eastAsia="Times New Roman" w:hAnsi="Verdana" w:cs="Arial"/>
                <w:sz w:val="20"/>
                <w:szCs w:val="20"/>
              </w:rPr>
              <w:t>137</w:t>
            </w:r>
            <w:r w:rsidRPr="00450494">
              <w:rPr>
                <w:rFonts w:ascii="Verdana" w:eastAsia="Times New Roman" w:hAnsi="Verdana" w:cs="Arial"/>
                <w:sz w:val="20"/>
                <w:szCs w:val="20"/>
              </w:rPr>
              <w:t xml:space="preserve"> </w:t>
            </w:r>
          </w:p>
        </w:tc>
        <w:tc>
          <w:tcPr>
            <w:tcW w:w="1389" w:type="dxa"/>
            <w:shd w:val="clear" w:color="auto" w:fill="auto"/>
            <w:vAlign w:val="center"/>
          </w:tcPr>
          <w:p w14:paraId="3497ACB1" w14:textId="79FFED99"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8</w:t>
            </w:r>
            <w:r w:rsidR="00C966B3" w:rsidRPr="00450494">
              <w:rPr>
                <w:rFonts w:ascii="Verdana" w:eastAsia="Times New Roman" w:hAnsi="Verdana" w:cs="Arial"/>
                <w:sz w:val="20"/>
                <w:szCs w:val="20"/>
              </w:rPr>
              <w:t>.</w:t>
            </w:r>
            <w:r w:rsidR="00EE2459" w:rsidRPr="00450494">
              <w:rPr>
                <w:rFonts w:ascii="Verdana" w:eastAsia="Times New Roman" w:hAnsi="Verdana" w:cs="Arial"/>
                <w:sz w:val="20"/>
                <w:szCs w:val="20"/>
              </w:rPr>
              <w:t>48</w:t>
            </w:r>
            <w:r w:rsidR="00C966B3" w:rsidRPr="00450494">
              <w:rPr>
                <w:rFonts w:ascii="Verdana" w:eastAsia="Times New Roman" w:hAnsi="Verdana" w:cs="Arial"/>
                <w:sz w:val="20"/>
                <w:szCs w:val="20"/>
              </w:rPr>
              <w:t>0</w:t>
            </w:r>
          </w:p>
        </w:tc>
        <w:tc>
          <w:tcPr>
            <w:tcW w:w="1389" w:type="dxa"/>
            <w:shd w:val="clear" w:color="auto" w:fill="auto"/>
            <w:vAlign w:val="center"/>
          </w:tcPr>
          <w:p w14:paraId="39C8D326" w14:textId="1B6A8A2C"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w:t>
            </w:r>
            <w:r w:rsidR="00C966B3" w:rsidRPr="00450494">
              <w:rPr>
                <w:rFonts w:ascii="Verdana" w:eastAsia="Times New Roman" w:hAnsi="Verdana" w:cs="Arial"/>
                <w:sz w:val="20"/>
                <w:szCs w:val="20"/>
              </w:rPr>
              <w:t>.000</w:t>
            </w:r>
          </w:p>
        </w:tc>
        <w:tc>
          <w:tcPr>
            <w:tcW w:w="1389" w:type="dxa"/>
            <w:shd w:val="clear" w:color="auto" w:fill="auto"/>
            <w:vAlign w:val="center"/>
          </w:tcPr>
          <w:p w14:paraId="68593244" w14:textId="1247E172"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w:t>
            </w:r>
            <w:r w:rsidR="00C966B3" w:rsidRPr="00450494">
              <w:rPr>
                <w:rFonts w:ascii="Verdana" w:eastAsia="Times New Roman" w:hAnsi="Verdana" w:cs="Arial"/>
                <w:sz w:val="20"/>
                <w:szCs w:val="20"/>
              </w:rPr>
              <w:t>.000</w:t>
            </w:r>
          </w:p>
        </w:tc>
        <w:tc>
          <w:tcPr>
            <w:tcW w:w="1389" w:type="dxa"/>
            <w:shd w:val="clear" w:color="auto" w:fill="auto"/>
            <w:vAlign w:val="center"/>
          </w:tcPr>
          <w:p w14:paraId="40EA5643" w14:textId="0A901C2F"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w:t>
            </w:r>
            <w:r w:rsidR="00C966B3" w:rsidRPr="00450494">
              <w:rPr>
                <w:rFonts w:ascii="Verdana" w:eastAsia="Times New Roman" w:hAnsi="Verdana" w:cs="Arial"/>
                <w:sz w:val="20"/>
                <w:szCs w:val="20"/>
              </w:rPr>
              <w:t>.000</w:t>
            </w:r>
          </w:p>
        </w:tc>
      </w:tr>
      <w:tr w:rsidR="00EE2459" w:rsidRPr="00450494" w14:paraId="19512325" w14:textId="77777777" w:rsidTr="00AC188F">
        <w:trPr>
          <w:cantSplit/>
        </w:trPr>
        <w:tc>
          <w:tcPr>
            <w:tcW w:w="1985" w:type="dxa"/>
            <w:shd w:val="clear" w:color="auto" w:fill="auto"/>
            <w:vAlign w:val="center"/>
          </w:tcPr>
          <w:p w14:paraId="78FD8FCE" w14:textId="77777777" w:rsidR="00B319F0" w:rsidRPr="00450494" w:rsidRDefault="00B319F0" w:rsidP="00210757">
            <w:pPr>
              <w:spacing w:before="60" w:after="60" w:line="240" w:lineRule="auto"/>
              <w:jc w:val="left"/>
              <w:rPr>
                <w:rFonts w:ascii="Verdana" w:eastAsia="Times New Roman" w:hAnsi="Verdana" w:cs="Arial"/>
                <w:sz w:val="20"/>
                <w:szCs w:val="20"/>
              </w:rPr>
            </w:pPr>
            <w:r w:rsidRPr="00450494">
              <w:rPr>
                <w:rFonts w:ascii="Verdana" w:eastAsia="Times New Roman" w:hAnsi="Verdana" w:cs="Arial"/>
                <w:sz w:val="20"/>
                <w:szCs w:val="20"/>
              </w:rPr>
              <w:t xml:space="preserve">Non-Departmental Other Expense: </w:t>
            </w:r>
            <w:r w:rsidRPr="00450494">
              <w:rPr>
                <w:rFonts w:ascii="Verdana" w:eastAsia="Times New Roman" w:hAnsi="Verdana" w:cs="Arial"/>
                <w:i/>
                <w:iCs/>
                <w:sz w:val="20"/>
                <w:szCs w:val="20"/>
              </w:rPr>
              <w:t>Impairment of Debt and Debt Write-offs</w:t>
            </w:r>
          </w:p>
        </w:tc>
        <w:tc>
          <w:tcPr>
            <w:tcW w:w="1389" w:type="dxa"/>
            <w:shd w:val="clear" w:color="auto" w:fill="auto"/>
            <w:vAlign w:val="center"/>
          </w:tcPr>
          <w:p w14:paraId="3282D5A3" w14:textId="5961B502" w:rsidR="00B319F0" w:rsidRPr="00450494" w:rsidRDefault="00EE2459"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0</w:t>
            </w:r>
            <w:r w:rsidR="00C966B3" w:rsidRPr="00450494">
              <w:rPr>
                <w:rFonts w:ascii="Verdana" w:eastAsia="Times New Roman" w:hAnsi="Verdana" w:cs="Arial"/>
                <w:sz w:val="20"/>
                <w:szCs w:val="20"/>
              </w:rPr>
              <w:t>.</w:t>
            </w:r>
            <w:r w:rsidRPr="00450494">
              <w:rPr>
                <w:rFonts w:ascii="Verdana" w:eastAsia="Times New Roman" w:hAnsi="Verdana" w:cs="Arial"/>
                <w:sz w:val="20"/>
                <w:szCs w:val="20"/>
              </w:rPr>
              <w:t>895</w:t>
            </w:r>
            <w:r w:rsidR="00C966B3" w:rsidRPr="00450494">
              <w:rPr>
                <w:rFonts w:ascii="Verdana" w:eastAsia="Times New Roman" w:hAnsi="Verdana" w:cs="Arial"/>
                <w:sz w:val="20"/>
                <w:szCs w:val="20"/>
              </w:rPr>
              <w:t xml:space="preserve"> </w:t>
            </w:r>
            <w:r w:rsidR="00B319F0" w:rsidRPr="00450494">
              <w:rPr>
                <w:rFonts w:ascii="Verdana" w:eastAsia="Times New Roman" w:hAnsi="Verdana" w:cs="Arial"/>
                <w:sz w:val="20"/>
                <w:szCs w:val="20"/>
              </w:rPr>
              <w:t xml:space="preserve"> </w:t>
            </w:r>
          </w:p>
        </w:tc>
        <w:tc>
          <w:tcPr>
            <w:tcW w:w="1389" w:type="dxa"/>
            <w:shd w:val="clear" w:color="auto" w:fill="auto"/>
            <w:vAlign w:val="center"/>
          </w:tcPr>
          <w:p w14:paraId="604A952C" w14:textId="419CEC8A" w:rsidR="00B319F0" w:rsidRPr="00450494" w:rsidRDefault="00EE2459"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6</w:t>
            </w:r>
            <w:r w:rsidR="00C966B3" w:rsidRPr="00450494">
              <w:rPr>
                <w:rFonts w:ascii="Verdana" w:eastAsia="Times New Roman" w:hAnsi="Verdana" w:cs="Arial"/>
                <w:sz w:val="20"/>
                <w:szCs w:val="20"/>
              </w:rPr>
              <w:t>.</w:t>
            </w:r>
            <w:r w:rsidRPr="00450494">
              <w:rPr>
                <w:rFonts w:ascii="Verdana" w:eastAsia="Times New Roman" w:hAnsi="Verdana" w:cs="Arial"/>
                <w:sz w:val="20"/>
                <w:szCs w:val="20"/>
              </w:rPr>
              <w:t>674</w:t>
            </w:r>
          </w:p>
        </w:tc>
        <w:tc>
          <w:tcPr>
            <w:tcW w:w="1389" w:type="dxa"/>
            <w:shd w:val="clear" w:color="auto" w:fill="auto"/>
            <w:vAlign w:val="center"/>
          </w:tcPr>
          <w:p w14:paraId="2849935A" w14:textId="3C2B5488"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w:t>
            </w:r>
            <w:r w:rsidR="00C966B3" w:rsidRPr="00450494">
              <w:rPr>
                <w:rFonts w:ascii="Verdana" w:eastAsia="Times New Roman" w:hAnsi="Verdana" w:cs="Arial"/>
                <w:sz w:val="20"/>
                <w:szCs w:val="20"/>
              </w:rPr>
              <w:t>.0</w:t>
            </w:r>
            <w:r w:rsidR="00EE2459" w:rsidRPr="00450494">
              <w:rPr>
                <w:rFonts w:ascii="Verdana" w:eastAsia="Times New Roman" w:hAnsi="Verdana" w:cs="Arial"/>
                <w:sz w:val="20"/>
                <w:szCs w:val="20"/>
              </w:rPr>
              <w:t>83</w:t>
            </w:r>
          </w:p>
        </w:tc>
        <w:tc>
          <w:tcPr>
            <w:tcW w:w="1389" w:type="dxa"/>
            <w:shd w:val="clear" w:color="auto" w:fill="auto"/>
            <w:vAlign w:val="center"/>
          </w:tcPr>
          <w:p w14:paraId="29A6996C" w14:textId="6556BC8C"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w:t>
            </w:r>
            <w:r w:rsidR="00C966B3" w:rsidRPr="00450494">
              <w:rPr>
                <w:rFonts w:ascii="Verdana" w:eastAsia="Times New Roman" w:hAnsi="Verdana" w:cs="Arial"/>
                <w:sz w:val="20"/>
                <w:szCs w:val="20"/>
              </w:rPr>
              <w:t>.0</w:t>
            </w:r>
            <w:r w:rsidR="00EE2459" w:rsidRPr="00450494">
              <w:rPr>
                <w:rFonts w:ascii="Verdana" w:eastAsia="Times New Roman" w:hAnsi="Verdana" w:cs="Arial"/>
                <w:sz w:val="20"/>
                <w:szCs w:val="20"/>
              </w:rPr>
              <w:t>83</w:t>
            </w:r>
          </w:p>
        </w:tc>
        <w:tc>
          <w:tcPr>
            <w:tcW w:w="1389" w:type="dxa"/>
            <w:shd w:val="clear" w:color="auto" w:fill="auto"/>
            <w:vAlign w:val="center"/>
          </w:tcPr>
          <w:p w14:paraId="775880C6" w14:textId="4B8C2A37" w:rsidR="00B319F0" w:rsidRPr="00450494" w:rsidRDefault="00B319F0" w:rsidP="00210757">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w:t>
            </w:r>
            <w:r w:rsidR="00C966B3" w:rsidRPr="00450494">
              <w:rPr>
                <w:rFonts w:ascii="Verdana" w:eastAsia="Times New Roman" w:hAnsi="Verdana" w:cs="Arial"/>
                <w:sz w:val="20"/>
                <w:szCs w:val="20"/>
              </w:rPr>
              <w:t>.0</w:t>
            </w:r>
            <w:r w:rsidR="00EE2459" w:rsidRPr="00450494">
              <w:rPr>
                <w:rFonts w:ascii="Verdana" w:eastAsia="Times New Roman" w:hAnsi="Verdana" w:cs="Arial"/>
                <w:sz w:val="20"/>
                <w:szCs w:val="20"/>
              </w:rPr>
              <w:t>83</w:t>
            </w:r>
          </w:p>
        </w:tc>
      </w:tr>
      <w:tr w:rsidR="00EE2459" w:rsidRPr="00450494" w14:paraId="48F2FB94" w14:textId="77777777" w:rsidTr="00AC188F">
        <w:trPr>
          <w:cantSplit/>
        </w:trPr>
        <w:tc>
          <w:tcPr>
            <w:tcW w:w="1985" w:type="dxa"/>
            <w:shd w:val="clear" w:color="auto" w:fill="auto"/>
            <w:vAlign w:val="center"/>
          </w:tcPr>
          <w:p w14:paraId="58BDF59E" w14:textId="77777777" w:rsidR="00B319F0" w:rsidRPr="00450494" w:rsidRDefault="00B319F0" w:rsidP="00210757">
            <w:pPr>
              <w:spacing w:before="60" w:after="60" w:line="240" w:lineRule="auto"/>
              <w:jc w:val="left"/>
              <w:rPr>
                <w:rFonts w:ascii="Verdana" w:eastAsia="Times New Roman" w:hAnsi="Verdana" w:cs="Arial"/>
                <w:b/>
                <w:bCs/>
                <w:sz w:val="20"/>
                <w:szCs w:val="20"/>
              </w:rPr>
            </w:pPr>
            <w:r w:rsidRPr="00450494">
              <w:rPr>
                <w:rFonts w:ascii="Verdana" w:hAnsi="Verdana" w:cs="Arial"/>
                <w:b/>
                <w:bCs/>
                <w:sz w:val="20"/>
                <w:szCs w:val="20"/>
              </w:rPr>
              <w:t>Total Operating</w:t>
            </w:r>
          </w:p>
        </w:tc>
        <w:tc>
          <w:tcPr>
            <w:tcW w:w="1389" w:type="dxa"/>
            <w:shd w:val="clear" w:color="auto" w:fill="auto"/>
            <w:vAlign w:val="center"/>
          </w:tcPr>
          <w:p w14:paraId="0A848A90" w14:textId="5B3C5446" w:rsidR="00B319F0" w:rsidRPr="00450494" w:rsidRDefault="00EE2459" w:rsidP="00210757">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(0.242)</w:t>
            </w:r>
          </w:p>
        </w:tc>
        <w:tc>
          <w:tcPr>
            <w:tcW w:w="1389" w:type="dxa"/>
            <w:shd w:val="clear" w:color="auto" w:fill="auto"/>
            <w:vAlign w:val="center"/>
          </w:tcPr>
          <w:p w14:paraId="19C479D3" w14:textId="43DA80D9"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w:t>
            </w:r>
            <w:r w:rsidR="00EE2459" w:rsidRPr="00450494">
              <w:rPr>
                <w:rFonts w:ascii="Verdana" w:hAnsi="Verdana" w:cs="Arial"/>
                <w:b/>
                <w:bCs/>
                <w:sz w:val="20"/>
                <w:szCs w:val="20"/>
              </w:rPr>
              <w:t>1</w:t>
            </w:r>
            <w:r w:rsidR="00C966B3" w:rsidRPr="00450494">
              <w:rPr>
                <w:rFonts w:ascii="Verdana" w:eastAsia="Times New Roman" w:hAnsi="Verdana" w:cs="Arial"/>
                <w:b/>
                <w:bCs/>
                <w:sz w:val="20"/>
                <w:szCs w:val="20"/>
              </w:rPr>
              <w:t>.</w:t>
            </w:r>
            <w:r w:rsidR="00EE2459" w:rsidRPr="00450494">
              <w:rPr>
                <w:rFonts w:ascii="Verdana" w:eastAsia="Times New Roman" w:hAnsi="Verdana" w:cs="Arial"/>
                <w:b/>
                <w:bCs/>
                <w:sz w:val="20"/>
                <w:szCs w:val="20"/>
              </w:rPr>
              <w:t>806</w:t>
            </w:r>
            <w:r w:rsidRPr="00450494">
              <w:rPr>
                <w:rFonts w:ascii="Verdana" w:hAnsi="Verdana" w:cs="Arial"/>
                <w:b/>
                <w:bCs/>
                <w:sz w:val="20"/>
                <w:szCs w:val="20"/>
              </w:rPr>
              <w:t>)</w:t>
            </w:r>
          </w:p>
        </w:tc>
        <w:tc>
          <w:tcPr>
            <w:tcW w:w="1389" w:type="dxa"/>
            <w:shd w:val="clear" w:color="auto" w:fill="auto"/>
            <w:vAlign w:val="center"/>
          </w:tcPr>
          <w:p w14:paraId="21826062" w14:textId="4D7EDFD6"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w:t>
            </w:r>
            <w:r w:rsidR="00EE2459" w:rsidRPr="00450494">
              <w:rPr>
                <w:rFonts w:ascii="Verdana" w:hAnsi="Verdana" w:cs="Arial"/>
                <w:b/>
                <w:bCs/>
                <w:sz w:val="20"/>
                <w:szCs w:val="20"/>
              </w:rPr>
              <w:t>1</w:t>
            </w:r>
            <w:r w:rsidR="00C966B3" w:rsidRPr="00450494">
              <w:rPr>
                <w:rFonts w:ascii="Verdana" w:eastAsia="Times New Roman" w:hAnsi="Verdana" w:cs="Arial"/>
                <w:b/>
                <w:bCs/>
                <w:sz w:val="20"/>
                <w:szCs w:val="20"/>
              </w:rPr>
              <w:t>.</w:t>
            </w:r>
            <w:r w:rsidR="00EE2459" w:rsidRPr="00450494">
              <w:rPr>
                <w:rFonts w:ascii="Verdana" w:eastAsia="Times New Roman" w:hAnsi="Verdana" w:cs="Arial"/>
                <w:b/>
                <w:bCs/>
                <w:sz w:val="20"/>
                <w:szCs w:val="20"/>
              </w:rPr>
              <w:t>917</w:t>
            </w:r>
            <w:r w:rsidRPr="00450494">
              <w:rPr>
                <w:rFonts w:ascii="Verdana" w:hAnsi="Verdana" w:cs="Arial"/>
                <w:b/>
                <w:bCs/>
                <w:sz w:val="20"/>
                <w:szCs w:val="20"/>
              </w:rPr>
              <w:t>)</w:t>
            </w:r>
          </w:p>
        </w:tc>
        <w:tc>
          <w:tcPr>
            <w:tcW w:w="1389" w:type="dxa"/>
            <w:shd w:val="clear" w:color="auto" w:fill="auto"/>
            <w:vAlign w:val="center"/>
          </w:tcPr>
          <w:p w14:paraId="21B84314" w14:textId="4E135D52"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w:t>
            </w:r>
            <w:r w:rsidR="00EE2459" w:rsidRPr="00450494">
              <w:rPr>
                <w:rFonts w:ascii="Verdana" w:hAnsi="Verdana" w:cs="Arial"/>
                <w:b/>
                <w:bCs/>
                <w:sz w:val="20"/>
                <w:szCs w:val="20"/>
              </w:rPr>
              <w:t>1</w:t>
            </w:r>
            <w:r w:rsidR="00C966B3" w:rsidRPr="00450494">
              <w:rPr>
                <w:rFonts w:ascii="Verdana" w:eastAsia="Times New Roman" w:hAnsi="Verdana" w:cs="Arial"/>
                <w:b/>
                <w:bCs/>
                <w:sz w:val="20"/>
                <w:szCs w:val="20"/>
              </w:rPr>
              <w:t>.</w:t>
            </w:r>
            <w:r w:rsidR="00EE2459" w:rsidRPr="00450494">
              <w:rPr>
                <w:rFonts w:ascii="Verdana" w:eastAsia="Times New Roman" w:hAnsi="Verdana" w:cs="Arial"/>
                <w:b/>
                <w:bCs/>
                <w:sz w:val="20"/>
                <w:szCs w:val="20"/>
              </w:rPr>
              <w:t>917</w:t>
            </w:r>
            <w:r w:rsidRPr="00450494">
              <w:rPr>
                <w:rFonts w:ascii="Verdana" w:hAnsi="Verdana" w:cs="Arial"/>
                <w:b/>
                <w:bCs/>
                <w:sz w:val="20"/>
                <w:szCs w:val="20"/>
              </w:rPr>
              <w:t>)</w:t>
            </w:r>
          </w:p>
        </w:tc>
        <w:tc>
          <w:tcPr>
            <w:tcW w:w="1389" w:type="dxa"/>
            <w:shd w:val="clear" w:color="auto" w:fill="auto"/>
            <w:vAlign w:val="center"/>
          </w:tcPr>
          <w:p w14:paraId="34F227F0" w14:textId="2DE7C509" w:rsidR="00B319F0" w:rsidRPr="00450494" w:rsidRDefault="00B319F0" w:rsidP="00210757">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w:t>
            </w:r>
            <w:r w:rsidR="00EE2459" w:rsidRPr="00450494">
              <w:rPr>
                <w:rFonts w:ascii="Verdana" w:hAnsi="Verdana" w:cs="Arial"/>
                <w:b/>
                <w:bCs/>
                <w:sz w:val="20"/>
                <w:szCs w:val="20"/>
              </w:rPr>
              <w:t>1</w:t>
            </w:r>
            <w:r w:rsidR="00C966B3" w:rsidRPr="00450494">
              <w:rPr>
                <w:rFonts w:ascii="Verdana" w:eastAsia="Times New Roman" w:hAnsi="Verdana" w:cs="Arial"/>
                <w:b/>
                <w:bCs/>
                <w:sz w:val="20"/>
                <w:szCs w:val="20"/>
              </w:rPr>
              <w:t>.</w:t>
            </w:r>
            <w:r w:rsidR="00EE2459" w:rsidRPr="00450494">
              <w:rPr>
                <w:rFonts w:ascii="Verdana" w:eastAsia="Times New Roman" w:hAnsi="Verdana" w:cs="Arial"/>
                <w:b/>
                <w:bCs/>
                <w:sz w:val="20"/>
                <w:szCs w:val="20"/>
              </w:rPr>
              <w:t>917</w:t>
            </w:r>
            <w:r w:rsidRPr="00450494">
              <w:rPr>
                <w:rFonts w:ascii="Verdana" w:hAnsi="Verdana" w:cs="Arial"/>
                <w:b/>
                <w:bCs/>
                <w:sz w:val="20"/>
                <w:szCs w:val="20"/>
              </w:rPr>
              <w:t>)</w:t>
            </w:r>
          </w:p>
        </w:tc>
      </w:tr>
    </w:tbl>
    <w:p w14:paraId="798530BD" w14:textId="77777777" w:rsidR="00C966B3" w:rsidRPr="00EE2459" w:rsidRDefault="00C966B3" w:rsidP="00210757">
      <w:pPr>
        <w:pStyle w:val="NumberedParagraph"/>
        <w:numPr>
          <w:ilvl w:val="0"/>
          <w:numId w:val="0"/>
        </w:numPr>
        <w:ind w:left="709"/>
      </w:pPr>
    </w:p>
    <w:p w14:paraId="17557ED4" w14:textId="47BC3997" w:rsidR="00902765" w:rsidRDefault="00902765" w:rsidP="00902765">
      <w:pPr>
        <w:pStyle w:val="NumberedParagraph"/>
      </w:pPr>
      <w:r w:rsidRPr="00EE2459">
        <w:t>The Treasury advises that a decision to proceed with this option would have</w:t>
      </w:r>
      <w:r>
        <w:t xml:space="preserve"> no impact on allowances, as it would be considered consistent with existing policy, and hence a forecast change. By contrast, a decision to defer changing the rates would have to be charged against an allowance (likely, the Tax Policy Scorecard).</w:t>
      </w:r>
      <w:r w:rsidR="00C966B3">
        <w:t xml:space="preserve"> </w:t>
      </w:r>
      <w:r w:rsidR="00AC188F">
        <w:t>Any</w:t>
      </w:r>
      <w:r w:rsidR="00C966B3">
        <w:t xml:space="preserve"> increase in the </w:t>
      </w:r>
      <w:r w:rsidR="00C966B3">
        <w:rPr>
          <w:i/>
          <w:iCs/>
        </w:rPr>
        <w:t xml:space="preserve">Impairment of Debt and Debt Write-offs </w:t>
      </w:r>
      <w:r w:rsidR="00C966B3">
        <w:t xml:space="preserve">appropriation for 2021/22 would also have to be met from </w:t>
      </w:r>
      <w:proofErr w:type="spellStart"/>
      <w:r w:rsidR="00C966B3">
        <w:t>Imprest</w:t>
      </w:r>
      <w:proofErr w:type="spellEnd"/>
      <w:r w:rsidR="00C966B3">
        <w:t xml:space="preserve"> Supply.</w:t>
      </w:r>
    </w:p>
    <w:p w14:paraId="11CCBE86" w14:textId="1A388ED8" w:rsidR="00B319F0" w:rsidRDefault="00171838" w:rsidP="00B319F0">
      <w:pPr>
        <w:pStyle w:val="NumberedParagraph"/>
      </w:pPr>
      <w:r>
        <w:t xml:space="preserve">Separately, however, </w:t>
      </w:r>
      <w:r w:rsidR="00B319F0">
        <w:t>an extension to UOMI remission policies for businesses impacted by COVID-19</w:t>
      </w:r>
      <w:r w:rsidR="001D14AE">
        <w:t xml:space="preserve"> will be considered by Cabinet on 14 March. </w:t>
      </w:r>
      <w:r w:rsidR="00B319F0">
        <w:t xml:space="preserve">If </w:t>
      </w:r>
      <w:r w:rsidR="001D14AE">
        <w:t>Cabinet approves</w:t>
      </w:r>
      <w:r w:rsidR="00C966B3">
        <w:t xml:space="preserve"> the proposal</w:t>
      </w:r>
      <w:r w:rsidR="00B319F0">
        <w:t xml:space="preserve">, </w:t>
      </w:r>
      <w:r w:rsidR="00C966B3">
        <w:t xml:space="preserve">it </w:t>
      </w:r>
      <w:r w:rsidR="00B319F0">
        <w:t xml:space="preserve">will affect the </w:t>
      </w:r>
      <w:r w:rsidR="0077154F">
        <w:t>change to the operating balance</w:t>
      </w:r>
      <w:r w:rsidR="00B319F0">
        <w:t xml:space="preserve"> </w:t>
      </w:r>
      <w:proofErr w:type="gramStart"/>
      <w:r w:rsidR="00B319F0">
        <w:t>as a result of</w:t>
      </w:r>
      <w:proofErr w:type="gramEnd"/>
      <w:r w:rsidR="00B319F0">
        <w:t xml:space="preserve"> the rate </w:t>
      </w:r>
      <w:r w:rsidR="0077154F">
        <w:t>increase</w:t>
      </w:r>
      <w:r w:rsidR="00B319F0">
        <w:t>. We understand the extension is proposed to go to March 2024.</w:t>
      </w:r>
      <w:r w:rsidR="002974A8">
        <w:t xml:space="preserve"> </w:t>
      </w:r>
    </w:p>
    <w:p w14:paraId="71DA6920" w14:textId="2BD4CC7B" w:rsidR="00E65703" w:rsidRPr="00450494" w:rsidRDefault="00FD5A59" w:rsidP="007D4607">
      <w:pPr>
        <w:pStyle w:val="NumberedParagraph"/>
        <w:rPr>
          <w:szCs w:val="20"/>
        </w:rPr>
      </w:pPr>
      <w:r w:rsidRPr="00450494">
        <w:rPr>
          <w:szCs w:val="20"/>
        </w:rPr>
        <w:t>Extending UOMI remission polices will reduce the overall fiscal impact of</w:t>
      </w:r>
      <w:r w:rsidR="001D1D2A" w:rsidRPr="00450494">
        <w:rPr>
          <w:szCs w:val="20"/>
        </w:rPr>
        <w:t xml:space="preserve"> changing the UOMI </w:t>
      </w:r>
      <w:r w:rsidRPr="00450494">
        <w:rPr>
          <w:szCs w:val="20"/>
        </w:rPr>
        <w:t xml:space="preserve">underpayment rate, </w:t>
      </w:r>
      <w:r w:rsidR="00E31E39" w:rsidRPr="00450494">
        <w:rPr>
          <w:szCs w:val="20"/>
        </w:rPr>
        <w:t>resulting in a lesser increase of</w:t>
      </w:r>
      <w:r w:rsidRPr="00450494">
        <w:rPr>
          <w:szCs w:val="20"/>
        </w:rPr>
        <w:t xml:space="preserve"> revenue and impairment </w:t>
      </w:r>
      <w:r w:rsidR="00E31E39" w:rsidRPr="00450494">
        <w:rPr>
          <w:szCs w:val="20"/>
        </w:rPr>
        <w:t xml:space="preserve">compared to the effect of raising the rate without changes to UOMI remission (as shown in the table in paragraph 14). This </w:t>
      </w:r>
      <w:r w:rsidR="006142A1" w:rsidRPr="00450494">
        <w:rPr>
          <w:szCs w:val="20"/>
        </w:rPr>
        <w:t>reduced</w:t>
      </w:r>
      <w:r w:rsidR="00E31E39" w:rsidRPr="00450494">
        <w:rPr>
          <w:szCs w:val="20"/>
        </w:rPr>
        <w:t xml:space="preserve"> effect is </w:t>
      </w:r>
      <w:r w:rsidR="006142A1" w:rsidRPr="00450494">
        <w:rPr>
          <w:szCs w:val="20"/>
        </w:rPr>
        <w:t>shown</w:t>
      </w:r>
      <w:r w:rsidR="00E31E39" w:rsidRPr="00450494">
        <w:rPr>
          <w:szCs w:val="20"/>
        </w:rPr>
        <w:t xml:space="preserve"> in the table below:</w:t>
      </w:r>
    </w:p>
    <w:tbl>
      <w:tblPr>
        <w:tblStyle w:val="TableGrid1"/>
        <w:tblW w:w="8923" w:type="dxa"/>
        <w:tblInd w:w="142" w:type="dxa"/>
        <w:tblLayout w:type="fixed"/>
        <w:tblLook w:val="04A0" w:firstRow="1" w:lastRow="0" w:firstColumn="1" w:lastColumn="0" w:noHBand="0" w:noVBand="1"/>
      </w:tblPr>
      <w:tblGrid>
        <w:gridCol w:w="1985"/>
        <w:gridCol w:w="1387"/>
        <w:gridCol w:w="1388"/>
        <w:gridCol w:w="1387"/>
        <w:gridCol w:w="1388"/>
        <w:gridCol w:w="1388"/>
      </w:tblGrid>
      <w:tr w:rsidR="006C1643" w:rsidRPr="00450494" w14:paraId="7C1C6F4E" w14:textId="77777777" w:rsidTr="00AC188F">
        <w:trPr>
          <w:cantSplit/>
        </w:trPr>
        <w:tc>
          <w:tcPr>
            <w:tcW w:w="1985" w:type="dxa"/>
            <w:tcBorders>
              <w:top w:val="nil"/>
              <w:left w:val="nil"/>
            </w:tcBorders>
            <w:shd w:val="clear" w:color="auto" w:fill="auto"/>
          </w:tcPr>
          <w:p w14:paraId="017DF3D2" w14:textId="77777777" w:rsidR="006C1643" w:rsidRPr="00450494" w:rsidRDefault="006C1643" w:rsidP="00C966B3">
            <w:pPr>
              <w:pStyle w:val="NumberedParagraphCabStandard"/>
              <w:tabs>
                <w:tab w:val="clear" w:pos="709"/>
              </w:tabs>
              <w:spacing w:before="60" w:after="60"/>
              <w:ind w:left="0" w:firstLine="0"/>
              <w:rPr>
                <w:rFonts w:ascii="Verdana" w:hAnsi="Verdana"/>
                <w:sz w:val="20"/>
                <w:szCs w:val="20"/>
              </w:rPr>
            </w:pPr>
          </w:p>
        </w:tc>
        <w:tc>
          <w:tcPr>
            <w:tcW w:w="6938" w:type="dxa"/>
            <w:gridSpan w:val="5"/>
            <w:shd w:val="clear" w:color="auto" w:fill="auto"/>
            <w:vAlign w:val="center"/>
          </w:tcPr>
          <w:p w14:paraId="57FF66ED" w14:textId="454289EB" w:rsidR="006C1643" w:rsidRPr="00450494" w:rsidRDefault="006C1643" w:rsidP="00C966B3">
            <w:pPr>
              <w:spacing w:before="60" w:after="60"/>
              <w:jc w:val="center"/>
              <w:rPr>
                <w:rFonts w:ascii="Verdana" w:hAnsi="Verdana"/>
                <w:b/>
                <w:bCs/>
                <w:sz w:val="20"/>
                <w:szCs w:val="20"/>
              </w:rPr>
            </w:pPr>
            <w:r w:rsidRPr="00450494">
              <w:rPr>
                <w:rFonts w:ascii="Verdana" w:eastAsia="Times New Roman" w:hAnsi="Verdana" w:cs="Arial"/>
                <w:b/>
                <w:bCs/>
                <w:sz w:val="20"/>
                <w:szCs w:val="20"/>
              </w:rPr>
              <w:t>$millions</w:t>
            </w:r>
            <w:r w:rsidR="00C966B3" w:rsidRPr="00450494">
              <w:rPr>
                <w:rFonts w:ascii="Verdana" w:eastAsia="Times New Roman" w:hAnsi="Verdana" w:cs="Arial"/>
                <w:b/>
                <w:bCs/>
                <w:sz w:val="20"/>
                <w:szCs w:val="20"/>
              </w:rPr>
              <w:t xml:space="preserve"> -</w:t>
            </w:r>
            <w:r w:rsidRPr="00450494">
              <w:rPr>
                <w:rFonts w:ascii="Verdana" w:eastAsia="Times New Roman" w:hAnsi="Verdana" w:cs="Arial"/>
                <w:b/>
                <w:bCs/>
                <w:sz w:val="20"/>
                <w:szCs w:val="20"/>
              </w:rPr>
              <w:t xml:space="preserve"> increase/(decrease)</w:t>
            </w:r>
          </w:p>
        </w:tc>
      </w:tr>
      <w:tr w:rsidR="0061607E" w:rsidRPr="00450494" w14:paraId="76BC5543" w14:textId="77777777" w:rsidTr="00AC188F">
        <w:trPr>
          <w:cantSplit/>
        </w:trPr>
        <w:tc>
          <w:tcPr>
            <w:tcW w:w="1985" w:type="dxa"/>
            <w:shd w:val="clear" w:color="auto" w:fill="auto"/>
            <w:vAlign w:val="center"/>
          </w:tcPr>
          <w:p w14:paraId="69E70D80" w14:textId="77777777" w:rsidR="006C1643" w:rsidRPr="00450494" w:rsidRDefault="006C1643" w:rsidP="00210757">
            <w:pPr>
              <w:spacing w:before="60" w:after="60" w:line="240" w:lineRule="auto"/>
              <w:jc w:val="left"/>
              <w:rPr>
                <w:rFonts w:ascii="Verdana" w:eastAsia="Times New Roman" w:hAnsi="Verdana" w:cs="Arial"/>
                <w:b/>
                <w:bCs/>
                <w:sz w:val="20"/>
                <w:szCs w:val="20"/>
              </w:rPr>
            </w:pPr>
            <w:r w:rsidRPr="00450494">
              <w:rPr>
                <w:rFonts w:ascii="Verdana" w:eastAsia="Times New Roman" w:hAnsi="Verdana" w:cs="Arial"/>
                <w:b/>
                <w:bCs/>
                <w:sz w:val="20"/>
                <w:szCs w:val="20"/>
              </w:rPr>
              <w:t>Vote Revenue</w:t>
            </w:r>
          </w:p>
        </w:tc>
        <w:tc>
          <w:tcPr>
            <w:tcW w:w="1387" w:type="dxa"/>
            <w:shd w:val="clear" w:color="auto" w:fill="auto"/>
            <w:vAlign w:val="center"/>
          </w:tcPr>
          <w:p w14:paraId="5FFDE59A" w14:textId="77777777" w:rsidR="006C1643" w:rsidRPr="00450494" w:rsidRDefault="006C1643"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2021/22</w:t>
            </w:r>
          </w:p>
        </w:tc>
        <w:tc>
          <w:tcPr>
            <w:tcW w:w="1388" w:type="dxa"/>
            <w:shd w:val="clear" w:color="auto" w:fill="auto"/>
            <w:vAlign w:val="center"/>
          </w:tcPr>
          <w:p w14:paraId="2A5E39AF" w14:textId="77777777" w:rsidR="006C1643" w:rsidRPr="00450494" w:rsidRDefault="006C1643"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2022/23</w:t>
            </w:r>
          </w:p>
        </w:tc>
        <w:tc>
          <w:tcPr>
            <w:tcW w:w="1387" w:type="dxa"/>
            <w:shd w:val="clear" w:color="auto" w:fill="auto"/>
            <w:vAlign w:val="center"/>
          </w:tcPr>
          <w:p w14:paraId="7BD7C843" w14:textId="77777777" w:rsidR="006C1643" w:rsidRPr="00450494" w:rsidRDefault="006C1643"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2023/24</w:t>
            </w:r>
          </w:p>
        </w:tc>
        <w:tc>
          <w:tcPr>
            <w:tcW w:w="1388" w:type="dxa"/>
            <w:shd w:val="clear" w:color="auto" w:fill="auto"/>
            <w:vAlign w:val="center"/>
          </w:tcPr>
          <w:p w14:paraId="202A9C71" w14:textId="77777777" w:rsidR="006C1643" w:rsidRPr="00450494" w:rsidRDefault="006C1643"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2024/25</w:t>
            </w:r>
          </w:p>
        </w:tc>
        <w:tc>
          <w:tcPr>
            <w:tcW w:w="1388" w:type="dxa"/>
            <w:shd w:val="clear" w:color="auto" w:fill="auto"/>
            <w:vAlign w:val="center"/>
          </w:tcPr>
          <w:p w14:paraId="1DC05652" w14:textId="06CCC71E" w:rsidR="006C1643" w:rsidRPr="00450494" w:rsidRDefault="006C1643" w:rsidP="00210757">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2025/26 &amp; outyears</w:t>
            </w:r>
          </w:p>
        </w:tc>
      </w:tr>
      <w:tr w:rsidR="0061607E" w:rsidRPr="00450494" w14:paraId="4411A631" w14:textId="77777777" w:rsidTr="00AC188F">
        <w:trPr>
          <w:cantSplit/>
        </w:trPr>
        <w:tc>
          <w:tcPr>
            <w:tcW w:w="1985" w:type="dxa"/>
            <w:shd w:val="clear" w:color="auto" w:fill="auto"/>
            <w:vAlign w:val="center"/>
          </w:tcPr>
          <w:p w14:paraId="321FE480" w14:textId="77777777" w:rsidR="00EE2459" w:rsidRPr="00450494" w:rsidRDefault="00EE2459" w:rsidP="00EE2459">
            <w:pPr>
              <w:spacing w:before="60" w:line="240" w:lineRule="auto"/>
              <w:jc w:val="left"/>
              <w:rPr>
                <w:rFonts w:ascii="Verdana" w:eastAsia="Times New Roman" w:hAnsi="Verdana" w:cs="Arial"/>
                <w:sz w:val="20"/>
                <w:szCs w:val="20"/>
              </w:rPr>
            </w:pPr>
            <w:r w:rsidRPr="00450494">
              <w:rPr>
                <w:rFonts w:ascii="Verdana" w:eastAsia="Times New Roman" w:hAnsi="Verdana" w:cs="Arial"/>
                <w:sz w:val="20"/>
                <w:szCs w:val="20"/>
              </w:rPr>
              <w:t>Crown Revenue and Receipts:</w:t>
            </w:r>
          </w:p>
          <w:p w14:paraId="0C8DD167" w14:textId="77777777" w:rsidR="00EE2459" w:rsidRPr="00450494" w:rsidRDefault="00EE2459" w:rsidP="00EE2459">
            <w:pPr>
              <w:spacing w:after="60" w:line="240" w:lineRule="auto"/>
              <w:jc w:val="left"/>
              <w:rPr>
                <w:rFonts w:ascii="Verdana" w:eastAsia="Times New Roman" w:hAnsi="Verdana" w:cs="Arial"/>
                <w:sz w:val="20"/>
                <w:szCs w:val="20"/>
              </w:rPr>
            </w:pPr>
            <w:r w:rsidRPr="00450494">
              <w:rPr>
                <w:rFonts w:ascii="Verdana" w:eastAsia="Times New Roman" w:hAnsi="Verdana" w:cs="Arial"/>
                <w:sz w:val="20"/>
                <w:szCs w:val="20"/>
              </w:rPr>
              <w:t>Tax Revenue</w:t>
            </w:r>
          </w:p>
        </w:tc>
        <w:tc>
          <w:tcPr>
            <w:tcW w:w="1387" w:type="dxa"/>
            <w:shd w:val="clear" w:color="auto" w:fill="auto"/>
            <w:vAlign w:val="center"/>
          </w:tcPr>
          <w:p w14:paraId="37A71A29" w14:textId="51EFA516"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 xml:space="preserve">0.584 </w:t>
            </w:r>
          </w:p>
        </w:tc>
        <w:tc>
          <w:tcPr>
            <w:tcW w:w="1388" w:type="dxa"/>
            <w:shd w:val="clear" w:color="auto" w:fill="auto"/>
            <w:vAlign w:val="center"/>
          </w:tcPr>
          <w:p w14:paraId="20A36426" w14:textId="719D1328"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6.0</w:t>
            </w:r>
            <w:r w:rsidR="0061607E" w:rsidRPr="00450494">
              <w:rPr>
                <w:rFonts w:ascii="Verdana" w:eastAsia="Times New Roman" w:hAnsi="Verdana" w:cs="Arial"/>
                <w:sz w:val="20"/>
                <w:szCs w:val="20"/>
              </w:rPr>
              <w:t>95</w:t>
            </w:r>
          </w:p>
        </w:tc>
        <w:tc>
          <w:tcPr>
            <w:tcW w:w="1387" w:type="dxa"/>
            <w:shd w:val="clear" w:color="auto" w:fill="auto"/>
            <w:vAlign w:val="center"/>
          </w:tcPr>
          <w:p w14:paraId="3745C3B2" w14:textId="1A77768C" w:rsidR="00EE2459" w:rsidRPr="00450494" w:rsidRDefault="0061607E"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6</w:t>
            </w:r>
            <w:r w:rsidR="00EE2459" w:rsidRPr="00450494">
              <w:rPr>
                <w:rFonts w:ascii="Verdana" w:eastAsia="Times New Roman" w:hAnsi="Verdana" w:cs="Arial"/>
                <w:sz w:val="20"/>
                <w:szCs w:val="20"/>
              </w:rPr>
              <w:t>.</w:t>
            </w:r>
            <w:r w:rsidRPr="00450494">
              <w:rPr>
                <w:rFonts w:ascii="Verdana" w:eastAsia="Times New Roman" w:hAnsi="Verdana" w:cs="Arial"/>
                <w:sz w:val="20"/>
                <w:szCs w:val="20"/>
              </w:rPr>
              <w:t>819</w:t>
            </w:r>
          </w:p>
        </w:tc>
        <w:tc>
          <w:tcPr>
            <w:tcW w:w="1388" w:type="dxa"/>
            <w:shd w:val="clear" w:color="auto" w:fill="auto"/>
            <w:vAlign w:val="center"/>
          </w:tcPr>
          <w:p w14:paraId="0A715EDB" w14:textId="740B9BB1"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9.000</w:t>
            </w:r>
          </w:p>
        </w:tc>
        <w:tc>
          <w:tcPr>
            <w:tcW w:w="1388" w:type="dxa"/>
            <w:shd w:val="clear" w:color="auto" w:fill="auto"/>
            <w:vAlign w:val="center"/>
          </w:tcPr>
          <w:p w14:paraId="3A50AD35" w14:textId="7C60D666"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9.000</w:t>
            </w:r>
          </w:p>
        </w:tc>
      </w:tr>
      <w:tr w:rsidR="0061607E" w:rsidRPr="00450494" w14:paraId="015DCC98" w14:textId="77777777" w:rsidTr="00AC188F">
        <w:trPr>
          <w:cantSplit/>
        </w:trPr>
        <w:tc>
          <w:tcPr>
            <w:tcW w:w="1985" w:type="dxa"/>
            <w:shd w:val="clear" w:color="auto" w:fill="auto"/>
            <w:vAlign w:val="center"/>
          </w:tcPr>
          <w:p w14:paraId="74217AC4" w14:textId="77777777" w:rsidR="00EE2459" w:rsidRPr="00450494" w:rsidRDefault="00EE2459" w:rsidP="00EE2459">
            <w:pPr>
              <w:spacing w:before="60" w:after="60" w:line="240" w:lineRule="auto"/>
              <w:jc w:val="left"/>
              <w:rPr>
                <w:rFonts w:ascii="Verdana" w:eastAsia="Times New Roman" w:hAnsi="Verdana" w:cs="Arial"/>
                <w:sz w:val="20"/>
                <w:szCs w:val="20"/>
              </w:rPr>
            </w:pPr>
            <w:r w:rsidRPr="00450494">
              <w:rPr>
                <w:rFonts w:ascii="Verdana" w:eastAsia="Times New Roman" w:hAnsi="Verdana" w:cs="Arial"/>
                <w:sz w:val="20"/>
                <w:szCs w:val="20"/>
              </w:rPr>
              <w:t xml:space="preserve">Non-Departmental Other Expense: </w:t>
            </w:r>
            <w:r w:rsidRPr="00450494">
              <w:rPr>
                <w:rFonts w:ascii="Verdana" w:eastAsia="Times New Roman" w:hAnsi="Verdana" w:cs="Arial"/>
                <w:i/>
                <w:iCs/>
                <w:sz w:val="20"/>
                <w:szCs w:val="20"/>
              </w:rPr>
              <w:t>Impairment of Debt and Debt Write-offs</w:t>
            </w:r>
          </w:p>
        </w:tc>
        <w:tc>
          <w:tcPr>
            <w:tcW w:w="1387" w:type="dxa"/>
            <w:shd w:val="clear" w:color="auto" w:fill="auto"/>
            <w:vAlign w:val="center"/>
          </w:tcPr>
          <w:p w14:paraId="436FB0A8" w14:textId="2A0E060F"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0.460</w:t>
            </w:r>
          </w:p>
        </w:tc>
        <w:tc>
          <w:tcPr>
            <w:tcW w:w="1388" w:type="dxa"/>
            <w:shd w:val="clear" w:color="auto" w:fill="auto"/>
            <w:vAlign w:val="center"/>
          </w:tcPr>
          <w:p w14:paraId="2ED8F5D3" w14:textId="060E3B51" w:rsidR="00EE2459" w:rsidRPr="00450494" w:rsidRDefault="0061607E"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4</w:t>
            </w:r>
            <w:r w:rsidR="00EE2459" w:rsidRPr="00450494">
              <w:rPr>
                <w:rFonts w:ascii="Verdana" w:eastAsia="Times New Roman" w:hAnsi="Verdana" w:cs="Arial"/>
                <w:sz w:val="20"/>
                <w:szCs w:val="20"/>
              </w:rPr>
              <w:t>.</w:t>
            </w:r>
            <w:r w:rsidRPr="00450494">
              <w:rPr>
                <w:rFonts w:ascii="Verdana" w:eastAsia="Times New Roman" w:hAnsi="Verdana" w:cs="Arial"/>
                <w:sz w:val="20"/>
                <w:szCs w:val="20"/>
              </w:rPr>
              <w:t>797</w:t>
            </w:r>
          </w:p>
        </w:tc>
        <w:tc>
          <w:tcPr>
            <w:tcW w:w="1387" w:type="dxa"/>
            <w:shd w:val="clear" w:color="auto" w:fill="auto"/>
            <w:vAlign w:val="center"/>
          </w:tcPr>
          <w:p w14:paraId="545B5C7E" w14:textId="6D38639E"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5.</w:t>
            </w:r>
            <w:r w:rsidR="0061607E" w:rsidRPr="00450494">
              <w:rPr>
                <w:rFonts w:ascii="Verdana" w:eastAsia="Times New Roman" w:hAnsi="Verdana" w:cs="Arial"/>
                <w:sz w:val="20"/>
                <w:szCs w:val="20"/>
              </w:rPr>
              <w:t>367</w:t>
            </w:r>
          </w:p>
        </w:tc>
        <w:tc>
          <w:tcPr>
            <w:tcW w:w="1388" w:type="dxa"/>
            <w:shd w:val="clear" w:color="auto" w:fill="auto"/>
            <w:vAlign w:val="center"/>
          </w:tcPr>
          <w:p w14:paraId="4FF83A7E" w14:textId="2752A1E8"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7.083</w:t>
            </w:r>
          </w:p>
        </w:tc>
        <w:tc>
          <w:tcPr>
            <w:tcW w:w="1388" w:type="dxa"/>
            <w:shd w:val="clear" w:color="auto" w:fill="auto"/>
            <w:vAlign w:val="center"/>
          </w:tcPr>
          <w:p w14:paraId="00E8E31F" w14:textId="2819FE59"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7.083</w:t>
            </w:r>
          </w:p>
        </w:tc>
      </w:tr>
      <w:tr w:rsidR="0061607E" w:rsidRPr="00450494" w14:paraId="438494E4" w14:textId="77777777" w:rsidTr="00AC188F">
        <w:trPr>
          <w:cantSplit/>
        </w:trPr>
        <w:tc>
          <w:tcPr>
            <w:tcW w:w="1985" w:type="dxa"/>
            <w:shd w:val="clear" w:color="auto" w:fill="auto"/>
            <w:vAlign w:val="center"/>
          </w:tcPr>
          <w:p w14:paraId="067E9CC5" w14:textId="77777777" w:rsidR="00EE2459" w:rsidRPr="00450494" w:rsidRDefault="00EE2459" w:rsidP="00EE2459">
            <w:pPr>
              <w:spacing w:before="60" w:after="60" w:line="240" w:lineRule="auto"/>
              <w:jc w:val="left"/>
              <w:rPr>
                <w:rFonts w:ascii="Verdana" w:eastAsia="Times New Roman" w:hAnsi="Verdana" w:cs="Arial"/>
                <w:b/>
                <w:bCs/>
                <w:sz w:val="20"/>
                <w:szCs w:val="20"/>
              </w:rPr>
            </w:pPr>
            <w:r w:rsidRPr="00450494">
              <w:rPr>
                <w:rFonts w:ascii="Verdana" w:hAnsi="Verdana"/>
                <w:b/>
                <w:bCs/>
                <w:sz w:val="20"/>
                <w:szCs w:val="20"/>
              </w:rPr>
              <w:t>Total Operating</w:t>
            </w:r>
          </w:p>
        </w:tc>
        <w:tc>
          <w:tcPr>
            <w:tcW w:w="1387" w:type="dxa"/>
            <w:shd w:val="clear" w:color="auto" w:fill="auto"/>
            <w:vAlign w:val="center"/>
          </w:tcPr>
          <w:p w14:paraId="4250DD5C" w14:textId="083F7799"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b/>
                <w:bCs/>
                <w:sz w:val="20"/>
                <w:szCs w:val="20"/>
              </w:rPr>
              <w:t>(0.124)</w:t>
            </w:r>
          </w:p>
        </w:tc>
        <w:tc>
          <w:tcPr>
            <w:tcW w:w="1388" w:type="dxa"/>
            <w:shd w:val="clear" w:color="auto" w:fill="auto"/>
            <w:vAlign w:val="center"/>
          </w:tcPr>
          <w:p w14:paraId="3348EEEE" w14:textId="05DBE534"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b/>
                <w:bCs/>
                <w:sz w:val="20"/>
                <w:szCs w:val="20"/>
              </w:rPr>
              <w:t>(1</w:t>
            </w:r>
            <w:r w:rsidRPr="00450494">
              <w:rPr>
                <w:rFonts w:ascii="Verdana" w:eastAsia="Times New Roman" w:hAnsi="Verdana" w:cs="Arial"/>
                <w:b/>
                <w:bCs/>
                <w:sz w:val="20"/>
                <w:szCs w:val="20"/>
              </w:rPr>
              <w:t>.298</w:t>
            </w:r>
            <w:r w:rsidRPr="00450494">
              <w:rPr>
                <w:rFonts w:ascii="Verdana" w:hAnsi="Verdana"/>
                <w:b/>
                <w:bCs/>
                <w:sz w:val="20"/>
                <w:szCs w:val="20"/>
              </w:rPr>
              <w:t>)</w:t>
            </w:r>
          </w:p>
        </w:tc>
        <w:tc>
          <w:tcPr>
            <w:tcW w:w="1387" w:type="dxa"/>
            <w:shd w:val="clear" w:color="auto" w:fill="auto"/>
            <w:vAlign w:val="center"/>
          </w:tcPr>
          <w:p w14:paraId="1002FF66" w14:textId="5FF4AD57"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b/>
                <w:bCs/>
                <w:sz w:val="20"/>
                <w:szCs w:val="20"/>
              </w:rPr>
              <w:t>(1</w:t>
            </w:r>
            <w:r w:rsidRPr="00450494">
              <w:rPr>
                <w:rFonts w:ascii="Verdana" w:eastAsia="Times New Roman" w:hAnsi="Verdana" w:cs="Arial"/>
                <w:b/>
                <w:bCs/>
                <w:sz w:val="20"/>
                <w:szCs w:val="20"/>
              </w:rPr>
              <w:t>.452</w:t>
            </w:r>
            <w:r w:rsidRPr="00450494">
              <w:rPr>
                <w:rFonts w:ascii="Verdana" w:hAnsi="Verdana"/>
                <w:b/>
                <w:bCs/>
                <w:sz w:val="20"/>
                <w:szCs w:val="20"/>
              </w:rPr>
              <w:t>)</w:t>
            </w:r>
          </w:p>
        </w:tc>
        <w:tc>
          <w:tcPr>
            <w:tcW w:w="1388" w:type="dxa"/>
            <w:shd w:val="clear" w:color="auto" w:fill="auto"/>
            <w:vAlign w:val="center"/>
          </w:tcPr>
          <w:p w14:paraId="5E0CA4D9" w14:textId="7863A2F5"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.917</w:t>
            </w:r>
            <w:r w:rsidRPr="00450494">
              <w:rPr>
                <w:rFonts w:ascii="Verdana" w:hAnsi="Verdana" w:cs="Arial"/>
                <w:b/>
                <w:bCs/>
                <w:sz w:val="20"/>
                <w:szCs w:val="20"/>
              </w:rPr>
              <w:t>)</w:t>
            </w:r>
          </w:p>
        </w:tc>
        <w:tc>
          <w:tcPr>
            <w:tcW w:w="1388" w:type="dxa"/>
            <w:shd w:val="clear" w:color="auto" w:fill="auto"/>
            <w:vAlign w:val="center"/>
          </w:tcPr>
          <w:p w14:paraId="261D0CE6" w14:textId="61DA4441"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.917</w:t>
            </w:r>
            <w:r w:rsidRPr="00450494">
              <w:rPr>
                <w:rFonts w:ascii="Verdana" w:hAnsi="Verdana" w:cs="Arial"/>
                <w:b/>
                <w:bCs/>
                <w:sz w:val="20"/>
                <w:szCs w:val="20"/>
              </w:rPr>
              <w:t>)</w:t>
            </w:r>
          </w:p>
        </w:tc>
      </w:tr>
    </w:tbl>
    <w:bookmarkEnd w:id="12"/>
    <w:p w14:paraId="3FB85475" w14:textId="77777777" w:rsidR="00B319F0" w:rsidRPr="00450494" w:rsidRDefault="00B319F0" w:rsidP="00E6435E">
      <w:pPr>
        <w:pStyle w:val="Heading4"/>
      </w:pPr>
      <w:r w:rsidRPr="00450494">
        <w:t xml:space="preserve">Option 2: deferring changes to the UOMI rates </w:t>
      </w:r>
    </w:p>
    <w:p w14:paraId="2512AF9B" w14:textId="60797E0B" w:rsidR="008C4F30" w:rsidRDefault="0077154F" w:rsidP="00B319F0">
      <w:pPr>
        <w:pStyle w:val="NumberedParagraph"/>
      </w:pPr>
      <w:r>
        <w:t>The primary consideration</w:t>
      </w:r>
      <w:r w:rsidR="008C4F30" w:rsidRPr="00247C86">
        <w:t xml:space="preserve"> in favour of </w:t>
      </w:r>
      <w:r w:rsidR="008C4F30">
        <w:t>o</w:t>
      </w:r>
      <w:r w:rsidR="008C4F30" w:rsidRPr="00247C86">
        <w:t xml:space="preserve">ption </w:t>
      </w:r>
      <w:r w:rsidR="008C4F30">
        <w:t>2</w:t>
      </w:r>
      <w:r w:rsidR="008C4F30" w:rsidRPr="00247C86">
        <w:t xml:space="preserve"> </w:t>
      </w:r>
      <w:r>
        <w:t>is</w:t>
      </w:r>
      <w:r w:rsidR="008C4F30" w:rsidRPr="00247C86">
        <w:t xml:space="preserve"> reducing costs for </w:t>
      </w:r>
      <w:r w:rsidR="008C4F30">
        <w:t>taxpayers</w:t>
      </w:r>
      <w:r w:rsidR="008C4F30" w:rsidRPr="00247C86">
        <w:t xml:space="preserve"> already struggling with the potential impact of the Omicron outbreak. While the additional cost to </w:t>
      </w:r>
      <w:r w:rsidR="008C4F30">
        <w:t>taxpayers</w:t>
      </w:r>
      <w:r w:rsidR="008C4F30" w:rsidRPr="00247C86">
        <w:t xml:space="preserve"> if the rates were increased may not be all that high, it is nevertheless an increase in costs at a time when </w:t>
      </w:r>
      <w:r w:rsidR="008C4F30">
        <w:t>taxpayers</w:t>
      </w:r>
      <w:r w:rsidR="008C4F30" w:rsidRPr="00247C86">
        <w:t xml:space="preserve"> may be struggling.</w:t>
      </w:r>
    </w:p>
    <w:p w14:paraId="4D986416" w14:textId="7E729DFA" w:rsidR="001771A6" w:rsidRDefault="00B319F0" w:rsidP="001771A6">
      <w:pPr>
        <w:pStyle w:val="NumberedParagraph"/>
        <w:spacing w:after="0"/>
      </w:pPr>
      <w:r>
        <w:t>Should you defer the UOMI rate changes, leaving the rate unchanged will have no impact on projected future revenue. However, leaving the rates unchanged represents a departure from an existing policy (which is to change the UOMI rates when certain criteria are met)</w:t>
      </w:r>
      <w:r w:rsidR="00C67CBC">
        <w:t>.</w:t>
      </w:r>
      <w:r w:rsidR="001771A6">
        <w:t xml:space="preserve"> This will have to be charged against an allowance, which would likely be the Tax Policy Scorecard.</w:t>
      </w:r>
    </w:p>
    <w:p w14:paraId="0B934740" w14:textId="022B06E9" w:rsidR="00C668E6" w:rsidRDefault="00C668E6" w:rsidP="006D7C68">
      <w:pPr>
        <w:pStyle w:val="NumberedParagraph"/>
        <w:numPr>
          <w:ilvl w:val="0"/>
          <w:numId w:val="0"/>
        </w:numPr>
        <w:spacing w:after="0"/>
        <w:ind w:left="709"/>
      </w:pPr>
    </w:p>
    <w:p w14:paraId="41AC67F9" w14:textId="6015A0F9" w:rsidR="00C668E6" w:rsidRDefault="003D0D6B" w:rsidP="001771A6">
      <w:pPr>
        <w:pStyle w:val="NumberedParagraph"/>
        <w:spacing w:after="0"/>
      </w:pPr>
      <w:r>
        <w:t xml:space="preserve">Officials estimate the impact on the Scorecard would be </w:t>
      </w:r>
      <w:r w:rsidR="00C966B3">
        <w:t xml:space="preserve">approximately </w:t>
      </w:r>
      <w:r>
        <w:t>the reverse of the changes noted in the table in paragraph 14, as represented in the table below.</w:t>
      </w:r>
      <w:r w:rsidR="002027FB">
        <w:t xml:space="preserve"> Note that </w:t>
      </w:r>
      <w:r w:rsidR="002027FB" w:rsidRPr="002027FB">
        <w:t xml:space="preserve">the real effect might be larger or smaller depending on the movement of interest rates </w:t>
      </w:r>
      <w:r w:rsidR="002027FB">
        <w:t>and</w:t>
      </w:r>
      <w:r w:rsidR="002027FB" w:rsidRPr="002027FB">
        <w:t xml:space="preserve"> when the eventual decision is made</w:t>
      </w:r>
      <w:r w:rsidR="002027FB">
        <w:t>.</w:t>
      </w:r>
    </w:p>
    <w:p w14:paraId="14C5148C" w14:textId="77777777" w:rsidR="00C37D91" w:rsidRDefault="00C37D91" w:rsidP="00557B17">
      <w:pPr>
        <w:pStyle w:val="ListParagraph"/>
      </w:pPr>
    </w:p>
    <w:p w14:paraId="0E5F844D" w14:textId="77777777" w:rsidR="00C37D91" w:rsidRDefault="00C37D91" w:rsidP="00C37D91">
      <w:pPr>
        <w:pStyle w:val="NumberedParagraph"/>
        <w:numPr>
          <w:ilvl w:val="0"/>
          <w:numId w:val="0"/>
        </w:numPr>
        <w:spacing w:after="0"/>
        <w:ind w:left="709" w:hanging="709"/>
      </w:pPr>
    </w:p>
    <w:p w14:paraId="327CE883" w14:textId="77777777" w:rsidR="00C37D91" w:rsidRDefault="00C37D91" w:rsidP="00C37D91">
      <w:pPr>
        <w:pStyle w:val="NumberedParagraph"/>
        <w:numPr>
          <w:ilvl w:val="0"/>
          <w:numId w:val="0"/>
        </w:numPr>
        <w:spacing w:after="0"/>
        <w:ind w:left="709" w:hanging="709"/>
      </w:pPr>
    </w:p>
    <w:p w14:paraId="07BDEE2D" w14:textId="77777777" w:rsidR="00C37D91" w:rsidRDefault="00C37D91" w:rsidP="00C37D91">
      <w:pPr>
        <w:pStyle w:val="NumberedParagraph"/>
        <w:numPr>
          <w:ilvl w:val="0"/>
          <w:numId w:val="0"/>
        </w:numPr>
        <w:spacing w:after="0"/>
        <w:ind w:left="709" w:hanging="709"/>
      </w:pPr>
    </w:p>
    <w:p w14:paraId="00963634" w14:textId="77777777" w:rsidR="00C37D91" w:rsidRDefault="00C37D91" w:rsidP="00C37D91">
      <w:pPr>
        <w:pStyle w:val="NumberedParagraph"/>
        <w:numPr>
          <w:ilvl w:val="0"/>
          <w:numId w:val="0"/>
        </w:numPr>
        <w:spacing w:after="0"/>
        <w:ind w:left="709" w:hanging="709"/>
      </w:pPr>
    </w:p>
    <w:tbl>
      <w:tblPr>
        <w:tblStyle w:val="TableGrid1"/>
        <w:tblW w:w="9072" w:type="dxa"/>
        <w:tblInd w:w="142" w:type="dxa"/>
        <w:tblLayout w:type="fixed"/>
        <w:tblLook w:val="04A0" w:firstRow="1" w:lastRow="0" w:firstColumn="1" w:lastColumn="0" w:noHBand="0" w:noVBand="1"/>
      </w:tblPr>
      <w:tblGrid>
        <w:gridCol w:w="1985"/>
        <w:gridCol w:w="1417"/>
        <w:gridCol w:w="1417"/>
        <w:gridCol w:w="1418"/>
        <w:gridCol w:w="1417"/>
        <w:gridCol w:w="1418"/>
      </w:tblGrid>
      <w:tr w:rsidR="004B75FE" w:rsidRPr="00450494" w14:paraId="723CF753" w14:textId="77777777" w:rsidTr="00AC188F">
        <w:trPr>
          <w:cantSplit/>
        </w:trPr>
        <w:tc>
          <w:tcPr>
            <w:tcW w:w="1985" w:type="dxa"/>
            <w:tcBorders>
              <w:top w:val="nil"/>
              <w:left w:val="nil"/>
            </w:tcBorders>
            <w:shd w:val="clear" w:color="auto" w:fill="auto"/>
          </w:tcPr>
          <w:p w14:paraId="44FDA3E2" w14:textId="77777777" w:rsidR="004B75FE" w:rsidRPr="00450494" w:rsidRDefault="004B75FE" w:rsidP="00C966B3">
            <w:pPr>
              <w:pStyle w:val="NumberedParagraphCabStandard"/>
              <w:tabs>
                <w:tab w:val="clear" w:pos="709"/>
              </w:tabs>
              <w:spacing w:before="60" w:after="60"/>
              <w:ind w:left="0" w:firstLine="0"/>
              <w:rPr>
                <w:rFonts w:ascii="Verdana" w:hAnsi="Verdana"/>
                <w:sz w:val="20"/>
                <w:szCs w:val="20"/>
              </w:rPr>
            </w:pPr>
          </w:p>
        </w:tc>
        <w:tc>
          <w:tcPr>
            <w:tcW w:w="7087" w:type="dxa"/>
            <w:gridSpan w:val="5"/>
            <w:shd w:val="clear" w:color="auto" w:fill="auto"/>
            <w:vAlign w:val="center"/>
          </w:tcPr>
          <w:p w14:paraId="5184E473" w14:textId="480C04B5" w:rsidR="004B75FE" w:rsidRPr="00450494" w:rsidRDefault="004B75FE" w:rsidP="00C966B3">
            <w:pPr>
              <w:spacing w:before="60" w:after="60"/>
              <w:jc w:val="center"/>
              <w:rPr>
                <w:rFonts w:ascii="Verdana" w:hAnsi="Verdana"/>
                <w:b/>
                <w:bCs/>
                <w:sz w:val="20"/>
                <w:szCs w:val="20"/>
              </w:rPr>
            </w:pPr>
            <w:r w:rsidRPr="00450494">
              <w:rPr>
                <w:rFonts w:ascii="Verdana" w:eastAsia="Times New Roman" w:hAnsi="Verdana" w:cs="Arial"/>
                <w:b/>
                <w:bCs/>
                <w:sz w:val="20"/>
                <w:szCs w:val="20"/>
              </w:rPr>
              <w:t>$millions</w:t>
            </w:r>
            <w:r w:rsidR="00C966B3" w:rsidRPr="00450494">
              <w:rPr>
                <w:rFonts w:ascii="Verdana" w:eastAsia="Times New Roman" w:hAnsi="Verdana" w:cs="Arial"/>
                <w:b/>
                <w:bCs/>
                <w:sz w:val="20"/>
                <w:szCs w:val="20"/>
              </w:rPr>
              <w:t xml:space="preserve"> -</w:t>
            </w:r>
            <w:r w:rsidRPr="00450494">
              <w:rPr>
                <w:rFonts w:ascii="Verdana" w:eastAsia="Times New Roman" w:hAnsi="Verdana" w:cs="Arial"/>
                <w:b/>
                <w:bCs/>
                <w:sz w:val="20"/>
                <w:szCs w:val="20"/>
              </w:rPr>
              <w:t xml:space="preserve"> increase/(decrease)</w:t>
            </w:r>
          </w:p>
        </w:tc>
      </w:tr>
      <w:tr w:rsidR="00EE2459" w:rsidRPr="00450494" w14:paraId="00E86319" w14:textId="77777777" w:rsidTr="00EE2459">
        <w:trPr>
          <w:cantSplit/>
        </w:trPr>
        <w:tc>
          <w:tcPr>
            <w:tcW w:w="1985" w:type="dxa"/>
            <w:shd w:val="clear" w:color="auto" w:fill="auto"/>
            <w:vAlign w:val="center"/>
          </w:tcPr>
          <w:p w14:paraId="27E92C68" w14:textId="77777777" w:rsidR="00EE2459" w:rsidRPr="00450494" w:rsidRDefault="00EE2459" w:rsidP="00EE2459">
            <w:pPr>
              <w:spacing w:before="60" w:after="60" w:line="240" w:lineRule="auto"/>
              <w:jc w:val="left"/>
              <w:rPr>
                <w:rFonts w:ascii="Verdana" w:eastAsia="Times New Roman" w:hAnsi="Verdana" w:cs="Arial"/>
                <w:b/>
                <w:bCs/>
                <w:sz w:val="20"/>
                <w:szCs w:val="20"/>
              </w:rPr>
            </w:pPr>
            <w:r w:rsidRPr="00450494">
              <w:rPr>
                <w:rFonts w:ascii="Verdana" w:eastAsia="Times New Roman" w:hAnsi="Verdana" w:cs="Arial"/>
                <w:b/>
                <w:bCs/>
                <w:sz w:val="20"/>
                <w:szCs w:val="20"/>
              </w:rPr>
              <w:t>Vote Revenue</w:t>
            </w:r>
          </w:p>
        </w:tc>
        <w:tc>
          <w:tcPr>
            <w:tcW w:w="1417" w:type="dxa"/>
            <w:shd w:val="clear" w:color="auto" w:fill="auto"/>
            <w:vAlign w:val="center"/>
          </w:tcPr>
          <w:p w14:paraId="375951FF" w14:textId="6EF66D3D"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2021/22</w:t>
            </w:r>
          </w:p>
        </w:tc>
        <w:tc>
          <w:tcPr>
            <w:tcW w:w="1417" w:type="dxa"/>
            <w:shd w:val="clear" w:color="auto" w:fill="auto"/>
            <w:vAlign w:val="center"/>
          </w:tcPr>
          <w:p w14:paraId="78AB70A9" w14:textId="7EC9B5DE"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2022/23</w:t>
            </w:r>
          </w:p>
        </w:tc>
        <w:tc>
          <w:tcPr>
            <w:tcW w:w="1418" w:type="dxa"/>
            <w:shd w:val="clear" w:color="auto" w:fill="auto"/>
            <w:vAlign w:val="center"/>
          </w:tcPr>
          <w:p w14:paraId="640DF91B" w14:textId="1B52F778"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2023/24</w:t>
            </w:r>
          </w:p>
        </w:tc>
        <w:tc>
          <w:tcPr>
            <w:tcW w:w="1417" w:type="dxa"/>
            <w:shd w:val="clear" w:color="auto" w:fill="auto"/>
            <w:vAlign w:val="center"/>
          </w:tcPr>
          <w:p w14:paraId="071A6870" w14:textId="58EC66C5"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2024/25</w:t>
            </w:r>
          </w:p>
        </w:tc>
        <w:tc>
          <w:tcPr>
            <w:tcW w:w="1418" w:type="dxa"/>
            <w:shd w:val="clear" w:color="auto" w:fill="auto"/>
            <w:vAlign w:val="center"/>
          </w:tcPr>
          <w:p w14:paraId="1B254C2F" w14:textId="002F8BE8"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eastAsia="Times New Roman" w:hAnsi="Verdana" w:cs="Arial"/>
                <w:b/>
                <w:bCs/>
                <w:sz w:val="20"/>
                <w:szCs w:val="20"/>
              </w:rPr>
              <w:t>2025/26 &amp; outyears</w:t>
            </w:r>
          </w:p>
        </w:tc>
      </w:tr>
      <w:tr w:rsidR="00EE2459" w:rsidRPr="00450494" w14:paraId="3E64B4CD" w14:textId="77777777" w:rsidTr="00EE2459">
        <w:trPr>
          <w:cantSplit/>
        </w:trPr>
        <w:tc>
          <w:tcPr>
            <w:tcW w:w="1985" w:type="dxa"/>
            <w:shd w:val="clear" w:color="auto" w:fill="auto"/>
            <w:vAlign w:val="center"/>
          </w:tcPr>
          <w:p w14:paraId="751A9BDF" w14:textId="77777777" w:rsidR="00EE2459" w:rsidRPr="00450494" w:rsidRDefault="00EE2459" w:rsidP="00EE2459">
            <w:pPr>
              <w:spacing w:before="60" w:line="240" w:lineRule="auto"/>
              <w:jc w:val="left"/>
              <w:rPr>
                <w:rFonts w:ascii="Verdana" w:eastAsia="Times New Roman" w:hAnsi="Verdana" w:cs="Arial"/>
                <w:sz w:val="20"/>
                <w:szCs w:val="20"/>
              </w:rPr>
            </w:pPr>
            <w:r w:rsidRPr="00450494">
              <w:rPr>
                <w:rFonts w:ascii="Verdana" w:eastAsia="Times New Roman" w:hAnsi="Verdana" w:cs="Arial"/>
                <w:sz w:val="20"/>
                <w:szCs w:val="20"/>
              </w:rPr>
              <w:t>Crown Revenue and Receipts:</w:t>
            </w:r>
          </w:p>
          <w:p w14:paraId="02ABE61F" w14:textId="18DAA2FD" w:rsidR="00EE2459" w:rsidRPr="00450494" w:rsidRDefault="00EE2459" w:rsidP="00EE2459">
            <w:pPr>
              <w:spacing w:after="60" w:line="240" w:lineRule="auto"/>
              <w:jc w:val="left"/>
              <w:rPr>
                <w:rFonts w:ascii="Verdana" w:eastAsia="Times New Roman" w:hAnsi="Verdana" w:cs="Arial"/>
                <w:sz w:val="20"/>
                <w:szCs w:val="20"/>
              </w:rPr>
            </w:pPr>
            <w:r w:rsidRPr="00450494">
              <w:rPr>
                <w:rFonts w:ascii="Verdana" w:eastAsia="Times New Roman" w:hAnsi="Verdana" w:cs="Arial"/>
                <w:sz w:val="20"/>
                <w:szCs w:val="20"/>
              </w:rPr>
              <w:t>Tax Revenue</w:t>
            </w:r>
          </w:p>
        </w:tc>
        <w:tc>
          <w:tcPr>
            <w:tcW w:w="1417" w:type="dxa"/>
            <w:shd w:val="clear" w:color="auto" w:fill="auto"/>
            <w:vAlign w:val="center"/>
          </w:tcPr>
          <w:p w14:paraId="17A7EB16" w14:textId="3B16EBD1"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 xml:space="preserve">(1.137) </w:t>
            </w:r>
          </w:p>
        </w:tc>
        <w:tc>
          <w:tcPr>
            <w:tcW w:w="1417" w:type="dxa"/>
            <w:shd w:val="clear" w:color="auto" w:fill="auto"/>
            <w:vAlign w:val="center"/>
          </w:tcPr>
          <w:p w14:paraId="1FF26AD6" w14:textId="79619507"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(8.480)</w:t>
            </w:r>
          </w:p>
        </w:tc>
        <w:tc>
          <w:tcPr>
            <w:tcW w:w="1418" w:type="dxa"/>
            <w:shd w:val="clear" w:color="auto" w:fill="auto"/>
            <w:vAlign w:val="center"/>
          </w:tcPr>
          <w:p w14:paraId="31F954EE" w14:textId="2F9F2F8B"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(9.000)</w:t>
            </w:r>
          </w:p>
        </w:tc>
        <w:tc>
          <w:tcPr>
            <w:tcW w:w="1417" w:type="dxa"/>
            <w:shd w:val="clear" w:color="auto" w:fill="auto"/>
            <w:vAlign w:val="center"/>
          </w:tcPr>
          <w:p w14:paraId="453C0959" w14:textId="08EFC709"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(9.000)</w:t>
            </w:r>
          </w:p>
        </w:tc>
        <w:tc>
          <w:tcPr>
            <w:tcW w:w="1418" w:type="dxa"/>
            <w:shd w:val="clear" w:color="auto" w:fill="auto"/>
            <w:vAlign w:val="center"/>
          </w:tcPr>
          <w:p w14:paraId="2B3F81D6" w14:textId="71B34815"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(9.000)</w:t>
            </w:r>
          </w:p>
        </w:tc>
      </w:tr>
      <w:tr w:rsidR="00EE2459" w:rsidRPr="00450494" w14:paraId="2ED27324" w14:textId="77777777" w:rsidTr="00EE2459">
        <w:trPr>
          <w:cantSplit/>
        </w:trPr>
        <w:tc>
          <w:tcPr>
            <w:tcW w:w="1985" w:type="dxa"/>
            <w:shd w:val="clear" w:color="auto" w:fill="auto"/>
            <w:vAlign w:val="center"/>
          </w:tcPr>
          <w:p w14:paraId="5CC4C25D" w14:textId="06D005DD" w:rsidR="00EE2459" w:rsidRPr="00450494" w:rsidRDefault="00EE2459" w:rsidP="00EE2459">
            <w:pPr>
              <w:spacing w:before="60" w:line="240" w:lineRule="auto"/>
              <w:jc w:val="left"/>
              <w:rPr>
                <w:rFonts w:ascii="Verdana" w:eastAsia="Times New Roman" w:hAnsi="Verdana" w:cs="Arial"/>
                <w:sz w:val="20"/>
                <w:szCs w:val="20"/>
              </w:rPr>
            </w:pPr>
            <w:r w:rsidRPr="00450494">
              <w:rPr>
                <w:rFonts w:ascii="Verdana" w:eastAsia="Times New Roman" w:hAnsi="Verdana" w:cs="Arial"/>
                <w:sz w:val="20"/>
                <w:szCs w:val="20"/>
              </w:rPr>
              <w:t xml:space="preserve">Non-Departmental Other Expense: </w:t>
            </w:r>
            <w:r w:rsidRPr="00450494">
              <w:rPr>
                <w:rFonts w:ascii="Verdana" w:eastAsia="Times New Roman" w:hAnsi="Verdana" w:cs="Arial"/>
                <w:i/>
                <w:iCs/>
                <w:sz w:val="20"/>
                <w:szCs w:val="20"/>
              </w:rPr>
              <w:t>Impairment of Debt and Debt Write-offs</w:t>
            </w:r>
          </w:p>
        </w:tc>
        <w:tc>
          <w:tcPr>
            <w:tcW w:w="1417" w:type="dxa"/>
            <w:shd w:val="clear" w:color="auto" w:fill="auto"/>
            <w:vAlign w:val="center"/>
          </w:tcPr>
          <w:p w14:paraId="036142E1" w14:textId="05E14717"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 xml:space="preserve">(0.895)  </w:t>
            </w:r>
          </w:p>
        </w:tc>
        <w:tc>
          <w:tcPr>
            <w:tcW w:w="1417" w:type="dxa"/>
            <w:shd w:val="clear" w:color="auto" w:fill="auto"/>
            <w:vAlign w:val="center"/>
          </w:tcPr>
          <w:p w14:paraId="454F6417" w14:textId="2E7101C4"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(6.674)</w:t>
            </w:r>
          </w:p>
        </w:tc>
        <w:tc>
          <w:tcPr>
            <w:tcW w:w="1418" w:type="dxa"/>
            <w:shd w:val="clear" w:color="auto" w:fill="auto"/>
            <w:vAlign w:val="center"/>
          </w:tcPr>
          <w:p w14:paraId="11BFA298" w14:textId="405D8FD3"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(7.083)</w:t>
            </w:r>
          </w:p>
        </w:tc>
        <w:tc>
          <w:tcPr>
            <w:tcW w:w="1417" w:type="dxa"/>
            <w:shd w:val="clear" w:color="auto" w:fill="auto"/>
            <w:vAlign w:val="center"/>
          </w:tcPr>
          <w:p w14:paraId="7FCD6BB2" w14:textId="60636066"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(7.083)</w:t>
            </w:r>
          </w:p>
        </w:tc>
        <w:tc>
          <w:tcPr>
            <w:tcW w:w="1418" w:type="dxa"/>
            <w:shd w:val="clear" w:color="auto" w:fill="auto"/>
            <w:vAlign w:val="center"/>
          </w:tcPr>
          <w:p w14:paraId="06A97AA3" w14:textId="5F762595" w:rsidR="00EE2459" w:rsidRPr="00450494" w:rsidRDefault="00EE2459" w:rsidP="00EE2459">
            <w:pPr>
              <w:spacing w:before="60" w:after="60" w:line="240" w:lineRule="auto"/>
              <w:jc w:val="right"/>
              <w:rPr>
                <w:rFonts w:ascii="Verdana" w:eastAsia="Times New Roman" w:hAnsi="Verdana" w:cs="Arial"/>
                <w:sz w:val="20"/>
                <w:szCs w:val="20"/>
              </w:rPr>
            </w:pPr>
            <w:r w:rsidRPr="00450494">
              <w:rPr>
                <w:rFonts w:ascii="Verdana" w:eastAsia="Times New Roman" w:hAnsi="Verdana" w:cs="Arial"/>
                <w:sz w:val="20"/>
                <w:szCs w:val="20"/>
              </w:rPr>
              <w:t>(7.083)</w:t>
            </w:r>
          </w:p>
        </w:tc>
      </w:tr>
      <w:tr w:rsidR="00EE2459" w:rsidRPr="00450494" w14:paraId="68AEDA6E" w14:textId="77777777" w:rsidTr="00EE2459">
        <w:trPr>
          <w:cantSplit/>
        </w:trPr>
        <w:tc>
          <w:tcPr>
            <w:tcW w:w="1985" w:type="dxa"/>
            <w:shd w:val="clear" w:color="auto" w:fill="auto"/>
            <w:vAlign w:val="center"/>
          </w:tcPr>
          <w:p w14:paraId="58D16B1F" w14:textId="19D0BF1A" w:rsidR="00EE2459" w:rsidRPr="00450494" w:rsidRDefault="00EE2459" w:rsidP="00EE2459">
            <w:pPr>
              <w:spacing w:before="60" w:line="240" w:lineRule="auto"/>
              <w:jc w:val="left"/>
              <w:rPr>
                <w:rFonts w:ascii="Verdana" w:eastAsia="Times New Roman" w:hAnsi="Verdana" w:cs="Arial"/>
                <w:b/>
                <w:bCs/>
                <w:sz w:val="20"/>
                <w:szCs w:val="20"/>
              </w:rPr>
            </w:pPr>
            <w:r w:rsidRPr="00450494">
              <w:rPr>
                <w:rFonts w:ascii="Verdana" w:hAnsi="Verdana"/>
                <w:b/>
                <w:bCs/>
                <w:sz w:val="20"/>
                <w:szCs w:val="20"/>
              </w:rPr>
              <w:t>Total Operating</w:t>
            </w:r>
          </w:p>
        </w:tc>
        <w:tc>
          <w:tcPr>
            <w:tcW w:w="1417" w:type="dxa"/>
            <w:shd w:val="clear" w:color="auto" w:fill="auto"/>
            <w:vAlign w:val="center"/>
          </w:tcPr>
          <w:p w14:paraId="75077600" w14:textId="528CC0FC"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0.242</w:t>
            </w:r>
          </w:p>
        </w:tc>
        <w:tc>
          <w:tcPr>
            <w:tcW w:w="1417" w:type="dxa"/>
            <w:shd w:val="clear" w:color="auto" w:fill="auto"/>
            <w:vAlign w:val="center"/>
          </w:tcPr>
          <w:p w14:paraId="3A46D3DD" w14:textId="7B823FF3"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.806</w:t>
            </w:r>
          </w:p>
        </w:tc>
        <w:tc>
          <w:tcPr>
            <w:tcW w:w="1418" w:type="dxa"/>
            <w:shd w:val="clear" w:color="auto" w:fill="auto"/>
            <w:vAlign w:val="center"/>
          </w:tcPr>
          <w:p w14:paraId="4A3A947C" w14:textId="7558B0A2"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.917</w:t>
            </w:r>
          </w:p>
        </w:tc>
        <w:tc>
          <w:tcPr>
            <w:tcW w:w="1417" w:type="dxa"/>
            <w:shd w:val="clear" w:color="auto" w:fill="auto"/>
            <w:vAlign w:val="center"/>
          </w:tcPr>
          <w:p w14:paraId="445F32A9" w14:textId="6BEF8ED4"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.917</w:t>
            </w:r>
          </w:p>
        </w:tc>
        <w:tc>
          <w:tcPr>
            <w:tcW w:w="1418" w:type="dxa"/>
            <w:shd w:val="clear" w:color="auto" w:fill="auto"/>
            <w:vAlign w:val="center"/>
          </w:tcPr>
          <w:p w14:paraId="13276087" w14:textId="2B2774D1" w:rsidR="00EE2459" w:rsidRPr="00450494" w:rsidRDefault="00EE2459" w:rsidP="00EE2459">
            <w:pPr>
              <w:spacing w:before="60" w:after="60" w:line="240" w:lineRule="auto"/>
              <w:jc w:val="right"/>
              <w:rPr>
                <w:rFonts w:ascii="Verdana" w:eastAsia="Times New Roman" w:hAnsi="Verdana" w:cs="Arial"/>
                <w:b/>
                <w:bCs/>
                <w:sz w:val="20"/>
                <w:szCs w:val="20"/>
              </w:rPr>
            </w:pPr>
            <w:r w:rsidRPr="00450494">
              <w:rPr>
                <w:rFonts w:ascii="Verdana" w:hAnsi="Verdana" w:cs="Arial"/>
                <w:b/>
                <w:bCs/>
                <w:sz w:val="20"/>
                <w:szCs w:val="20"/>
              </w:rPr>
              <w:t>1</w:t>
            </w:r>
            <w:r w:rsidRPr="00450494">
              <w:rPr>
                <w:rFonts w:ascii="Verdana" w:eastAsia="Times New Roman" w:hAnsi="Verdana" w:cs="Arial"/>
                <w:b/>
                <w:bCs/>
                <w:sz w:val="20"/>
                <w:szCs w:val="20"/>
              </w:rPr>
              <w:t>.917</w:t>
            </w:r>
          </w:p>
        </w:tc>
      </w:tr>
    </w:tbl>
    <w:p w14:paraId="69C77097" w14:textId="77777777" w:rsidR="001771A6" w:rsidRPr="00450494" w:rsidRDefault="001771A6" w:rsidP="006D7C68">
      <w:pPr>
        <w:pStyle w:val="NumberedParagraph"/>
        <w:numPr>
          <w:ilvl w:val="0"/>
          <w:numId w:val="0"/>
        </w:numPr>
        <w:spacing w:after="0"/>
        <w:ind w:left="709"/>
        <w:rPr>
          <w:szCs w:val="20"/>
        </w:rPr>
      </w:pPr>
    </w:p>
    <w:p w14:paraId="2E014E83" w14:textId="39ACAD41" w:rsidR="00990E6E" w:rsidRDefault="007B612E" w:rsidP="000C5AE9">
      <w:pPr>
        <w:pStyle w:val="NumberedParagraph"/>
        <w:spacing w:after="0"/>
      </w:pPr>
      <w:r w:rsidRPr="00450494">
        <w:rPr>
          <w:szCs w:val="20"/>
        </w:rPr>
        <w:t>Additionally, i</w:t>
      </w:r>
      <w:r w:rsidR="00A50102" w:rsidRPr="00450494">
        <w:rPr>
          <w:szCs w:val="20"/>
        </w:rPr>
        <w:t>f</w:t>
      </w:r>
      <w:r w:rsidRPr="00450494">
        <w:rPr>
          <w:szCs w:val="20"/>
        </w:rPr>
        <w:t xml:space="preserve"> (</w:t>
      </w:r>
      <w:r w:rsidR="00A50102" w:rsidRPr="00450494">
        <w:rPr>
          <w:szCs w:val="20"/>
        </w:rPr>
        <w:t>as expected</w:t>
      </w:r>
      <w:r w:rsidRPr="00450494">
        <w:rPr>
          <w:szCs w:val="20"/>
        </w:rPr>
        <w:t>)</w:t>
      </w:r>
      <w:r w:rsidR="00A50102" w:rsidRPr="00450494">
        <w:rPr>
          <w:szCs w:val="20"/>
        </w:rPr>
        <w:t xml:space="preserve"> interest rates </w:t>
      </w:r>
      <w:r w:rsidR="00255756" w:rsidRPr="00450494">
        <w:rPr>
          <w:szCs w:val="20"/>
        </w:rPr>
        <w:t>increase in early 2022</w:t>
      </w:r>
      <w:r w:rsidRPr="00450494">
        <w:rPr>
          <w:szCs w:val="20"/>
        </w:rPr>
        <w:t>,</w:t>
      </w:r>
      <w:r w:rsidR="00255756" w:rsidRPr="00450494">
        <w:rPr>
          <w:szCs w:val="20"/>
        </w:rPr>
        <w:t xml:space="preserve"> the deferral </w:t>
      </w:r>
      <w:r w:rsidR="006A33F3" w:rsidRPr="00450494">
        <w:rPr>
          <w:szCs w:val="20"/>
        </w:rPr>
        <w:t xml:space="preserve">may </w:t>
      </w:r>
      <w:r w:rsidR="00255756" w:rsidRPr="00450494">
        <w:rPr>
          <w:szCs w:val="20"/>
        </w:rPr>
        <w:t xml:space="preserve">result in a higher UOMI </w:t>
      </w:r>
      <w:r w:rsidR="00FF3A69" w:rsidRPr="00450494">
        <w:rPr>
          <w:szCs w:val="20"/>
        </w:rPr>
        <w:t xml:space="preserve">underpayment </w:t>
      </w:r>
      <w:r w:rsidR="00255756" w:rsidRPr="00450494">
        <w:rPr>
          <w:szCs w:val="20"/>
        </w:rPr>
        <w:t>rate at the next review than if you choose option 1.</w:t>
      </w:r>
      <w:r w:rsidR="005F1DBF" w:rsidRPr="00450494">
        <w:rPr>
          <w:szCs w:val="20"/>
        </w:rPr>
        <w:t xml:space="preserve"> A deferral may also</w:t>
      </w:r>
      <w:r w:rsidR="005F1DBF">
        <w:t xml:space="preserve"> result, however, </w:t>
      </w:r>
      <w:r w:rsidR="00FF3A69">
        <w:t>in the UOMI overpayment rate rising above 0%</w:t>
      </w:r>
      <w:r w:rsidR="006A33F3">
        <w:t>.</w:t>
      </w:r>
    </w:p>
    <w:p w14:paraId="7DD5930D" w14:textId="75466D35" w:rsidR="00B319F0" w:rsidRPr="000C5AE9" w:rsidRDefault="008C4F30" w:rsidP="000C5AE9">
      <w:pPr>
        <w:pStyle w:val="Heading4"/>
      </w:pPr>
      <w:r w:rsidRPr="000C5AE9">
        <w:t>O</w:t>
      </w:r>
      <w:r w:rsidR="00990E6E" w:rsidRPr="000C5AE9">
        <w:t>fficials’ recommendation</w:t>
      </w:r>
    </w:p>
    <w:p w14:paraId="4B6709F3" w14:textId="46D1335C" w:rsidR="00FC73CD" w:rsidRPr="00255756" w:rsidRDefault="0046210B" w:rsidP="00C966B3">
      <w:pPr>
        <w:pStyle w:val="NumberedParagraph"/>
      </w:pPr>
      <w:r w:rsidRPr="00255756">
        <w:t>Officials recommend Option 1. While a deferral may help some taxpayers</w:t>
      </w:r>
      <w:r w:rsidR="00687AC6" w:rsidRPr="00255756">
        <w:t>, the overall effect is likely to be minimal</w:t>
      </w:r>
      <w:r w:rsidR="0014657B" w:rsidRPr="00255756">
        <w:t xml:space="preserve">, especially </w:t>
      </w:r>
      <w:r w:rsidR="00D24B09">
        <w:t>if</w:t>
      </w:r>
      <w:r w:rsidR="0014657B" w:rsidRPr="00255756">
        <w:t xml:space="preserve"> COVID-related UOMI remission</w:t>
      </w:r>
      <w:r w:rsidR="00D24B09">
        <w:t xml:space="preserve"> is extended</w:t>
      </w:r>
      <w:r w:rsidR="0014657B" w:rsidRPr="00255756">
        <w:t>.</w:t>
      </w:r>
      <w:r w:rsidR="005C4806" w:rsidRPr="00255756">
        <w:t xml:space="preserve"> </w:t>
      </w:r>
      <w:r w:rsidR="00AC188F">
        <w:t xml:space="preserve">Moreover, UOMI plays an important role in incentivising compliance and mitigating the fiscal impacts of late payment.  Not updating it would undermine these functions.  </w:t>
      </w:r>
      <w:r w:rsidR="00BE2F03">
        <w:t xml:space="preserve">Proceeding with </w:t>
      </w:r>
      <w:r w:rsidR="00DB1EE4">
        <w:t>O</w:t>
      </w:r>
      <w:r w:rsidR="00BE2F03">
        <w:t>ption 1</w:t>
      </w:r>
      <w:r w:rsidR="00255756">
        <w:t xml:space="preserve"> would also </w:t>
      </w:r>
      <w:r w:rsidR="002E79EA">
        <w:t xml:space="preserve">have no </w:t>
      </w:r>
      <w:r w:rsidR="001D155B">
        <w:t xml:space="preserve">impact on the </w:t>
      </w:r>
      <w:r w:rsidR="00DB1EE4">
        <w:t>S</w:t>
      </w:r>
      <w:r w:rsidR="001D155B">
        <w:t>corecard</w:t>
      </w:r>
      <w:r w:rsidR="00D24B09">
        <w:t>.</w:t>
      </w:r>
      <w:r w:rsidR="00902765">
        <w:t xml:space="preserve"> Officials have consulted with the Treasury, who concur with this recommendation.</w:t>
      </w:r>
    </w:p>
    <w:p w14:paraId="2A56392F" w14:textId="77777777" w:rsidR="008A45BF" w:rsidRPr="008F780B" w:rsidRDefault="008A45BF" w:rsidP="008A45BF">
      <w:pPr>
        <w:pStyle w:val="Heading2"/>
      </w:pPr>
      <w:r w:rsidRPr="008F780B">
        <w:t xml:space="preserve">FBT prescribed rate of interest </w:t>
      </w:r>
    </w:p>
    <w:p w14:paraId="48DC97F7" w14:textId="5C13E0DC" w:rsidR="008A45BF" w:rsidRPr="00AE7C9F" w:rsidRDefault="008A45BF" w:rsidP="008A45BF">
      <w:pPr>
        <w:pStyle w:val="NumberedParagraph"/>
      </w:pPr>
      <w:r w:rsidRPr="00AE7C9F">
        <w:t xml:space="preserve">The FBT prescribed rate of interest </w:t>
      </w:r>
      <w:r w:rsidR="00F36AC1" w:rsidRPr="00AE7C9F">
        <w:t>applies to</w:t>
      </w:r>
      <w:r w:rsidR="005178EA" w:rsidRPr="00AE7C9F">
        <w:t xml:space="preserve"> </w:t>
      </w:r>
      <w:r w:rsidR="005178EA" w:rsidRPr="008F780B">
        <w:t>loans by employers to employees on which the employer is charging a rate of interest that is below the market rate</w:t>
      </w:r>
      <w:r w:rsidR="005178EA" w:rsidRPr="00AE7C9F">
        <w:t xml:space="preserve">, and taxes the differential between the rate of interest charged and </w:t>
      </w:r>
      <w:r w:rsidR="00DB2DE7">
        <w:t>the prescribed</w:t>
      </w:r>
      <w:r w:rsidR="008F780B" w:rsidRPr="00AE7C9F">
        <w:t xml:space="preserve"> rate.</w:t>
      </w:r>
    </w:p>
    <w:p w14:paraId="7684CCF9" w14:textId="77C2039C" w:rsidR="006A3346" w:rsidRDefault="001B28E4" w:rsidP="0060302C">
      <w:pPr>
        <w:pStyle w:val="NumberedParagraph"/>
      </w:pPr>
      <w:r>
        <w:t xml:space="preserve">Despite the Omicron outbreak, officials </w:t>
      </w:r>
      <w:r w:rsidR="00EB4B09">
        <w:t>recommend</w:t>
      </w:r>
      <w:r w:rsidR="00796A43">
        <w:t xml:space="preserve"> that the FBT prescribed rate of interest </w:t>
      </w:r>
      <w:r w:rsidR="00EB4B09">
        <w:t>be increased to 4.78%</w:t>
      </w:r>
      <w:r w:rsidR="00AC1582">
        <w:t xml:space="preserve">. </w:t>
      </w:r>
      <w:r w:rsidR="006A3346">
        <w:t xml:space="preserve">While the UOMI rates affect all taxpayers with tax debit or credit, the FBT prescribed rate of interest affects relatively few. Additionally, the purpose of the prescribed rate is to lower the tax advantage of offering employment-related loans at low interest rates; if the rate were to fall too far out of step with market interest rates, its effectiveness may be reduced. </w:t>
      </w:r>
    </w:p>
    <w:p w14:paraId="32FCFD3C" w14:textId="1120924E" w:rsidR="00796A43" w:rsidRDefault="00AC1582" w:rsidP="0060302C">
      <w:pPr>
        <w:pStyle w:val="NumberedParagraph"/>
      </w:pPr>
      <w:r>
        <w:t>Th</w:t>
      </w:r>
      <w:r w:rsidR="00AE7C9F">
        <w:t>e rate</w:t>
      </w:r>
      <w:r>
        <w:t xml:space="preserve"> increase</w:t>
      </w:r>
      <w:r w:rsidR="00796A43" w:rsidRPr="00E839DD">
        <w:t xml:space="preserve"> </w:t>
      </w:r>
      <w:r w:rsidR="006E701B">
        <w:t xml:space="preserve">would </w:t>
      </w:r>
      <w:r w:rsidR="00796A43" w:rsidRPr="00E839DD">
        <w:t xml:space="preserve">come into force on </w:t>
      </w:r>
      <w:r w:rsidR="00796A43">
        <w:t>1 July 2022, the start of the next available quarter.</w:t>
      </w:r>
      <w:r w:rsidR="00F36AC1">
        <w:t xml:space="preserve"> </w:t>
      </w:r>
    </w:p>
    <w:p w14:paraId="1EE26AF5" w14:textId="23B936D1" w:rsidR="007E6F77" w:rsidRDefault="007E6F77" w:rsidP="00C966B3">
      <w:pPr>
        <w:pStyle w:val="NumberedParagraph"/>
      </w:pPr>
      <w:r>
        <w:t xml:space="preserve">Raising the FBT prescribed rate of interest is projected to have a net positive fiscal impact of </w:t>
      </w:r>
      <w:r w:rsidRPr="009B13BF">
        <w:t>approximately $0.59 million per annum, which amounts to $2.36 million over the current forecast period.</w:t>
      </w:r>
      <w:r>
        <w:t xml:space="preserve"> This net increase consists of an increase of approximately $0.82 million per annum and a decrease in company tax paid </w:t>
      </w:r>
      <w:r w:rsidR="007A4DFB">
        <w:t>of</w:t>
      </w:r>
      <w:r>
        <w:t xml:space="preserve"> approximately $0.23 million per annum. This is demonstrated in the table </w:t>
      </w:r>
      <w:r w:rsidR="00FA295E">
        <w:t>below</w:t>
      </w:r>
      <w:r>
        <w:t>.</w:t>
      </w:r>
      <w:r w:rsidRPr="00465547">
        <w:t xml:space="preserve"> </w:t>
      </w:r>
    </w:p>
    <w:tbl>
      <w:tblPr>
        <w:tblW w:w="9072" w:type="dxa"/>
        <w:tblLook w:val="04A0" w:firstRow="1" w:lastRow="0" w:firstColumn="1" w:lastColumn="0" w:noHBand="0" w:noVBand="1"/>
      </w:tblPr>
      <w:tblGrid>
        <w:gridCol w:w="1842"/>
        <w:gridCol w:w="1446"/>
        <w:gridCol w:w="1446"/>
        <w:gridCol w:w="1446"/>
        <w:gridCol w:w="1446"/>
        <w:gridCol w:w="1446"/>
      </w:tblGrid>
      <w:tr w:rsidR="007E6F77" w:rsidRPr="00950182" w14:paraId="555F3CE2" w14:textId="77777777" w:rsidTr="00210757">
        <w:trPr>
          <w:cantSplit/>
          <w:trHeight w:val="270"/>
        </w:trPr>
        <w:tc>
          <w:tcPr>
            <w:tcW w:w="1842" w:type="dxa"/>
            <w:tcBorders>
              <w:top w:val="nil"/>
              <w:left w:val="nil"/>
              <w:bottom w:val="single" w:sz="4" w:space="0" w:color="auto"/>
              <w:right w:val="single" w:sz="4" w:space="0" w:color="auto"/>
            </w:tcBorders>
            <w:shd w:val="clear" w:color="auto" w:fill="auto"/>
            <w:vAlign w:val="center"/>
            <w:hideMark/>
          </w:tcPr>
          <w:p w14:paraId="6F2DED9A" w14:textId="77777777" w:rsidR="007E6F77" w:rsidRPr="00107E12" w:rsidRDefault="007E6F77" w:rsidP="008A61BC">
            <w:pPr>
              <w:keepNext/>
              <w:keepLines/>
              <w:spacing w:before="60" w:after="60" w:line="240" w:lineRule="auto"/>
              <w:rPr>
                <w:rFonts w:eastAsia="Times New Roman" w:cs="Times New Roman"/>
                <w:lang w:eastAsia="en-NZ"/>
              </w:rPr>
            </w:pPr>
            <w:r w:rsidRPr="006F6068">
              <w:rPr>
                <w:rFonts w:eastAsia="Times New Roman" w:cs="Times New Roman"/>
                <w:lang w:eastAsia="en-NZ"/>
              </w:rPr>
              <w:t> </w:t>
            </w:r>
          </w:p>
        </w:tc>
        <w:tc>
          <w:tcPr>
            <w:tcW w:w="72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011A6A" w14:textId="77777777" w:rsidR="007E6F77" w:rsidRPr="006F6068" w:rsidRDefault="007E6F77" w:rsidP="008A61BC">
            <w:pPr>
              <w:keepNext/>
              <w:keepLines/>
              <w:spacing w:before="60" w:after="60" w:line="240" w:lineRule="auto"/>
              <w:jc w:val="center"/>
              <w:rPr>
                <w:rFonts w:eastAsia="Times New Roman" w:cs="Arial"/>
                <w:b/>
                <w:bCs/>
                <w:lang w:eastAsia="en-NZ"/>
              </w:rPr>
            </w:pPr>
            <w:r w:rsidRPr="006F6068">
              <w:rPr>
                <w:rFonts w:eastAsia="Times New Roman" w:cs="Arial"/>
                <w:b/>
                <w:bCs/>
                <w:lang w:eastAsia="en-NZ"/>
              </w:rPr>
              <w:t xml:space="preserve"> $millions increase/(decrease)</w:t>
            </w:r>
          </w:p>
        </w:tc>
      </w:tr>
      <w:tr w:rsidR="00806C7D" w:rsidRPr="00950182" w14:paraId="096D7CCB" w14:textId="77777777" w:rsidTr="00210757">
        <w:trPr>
          <w:cantSplit/>
          <w:trHeight w:val="525"/>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F84EA" w14:textId="25B070CE" w:rsidR="007E6F77" w:rsidRPr="00107E12" w:rsidRDefault="007E6F77" w:rsidP="00210757">
            <w:pPr>
              <w:keepNext/>
              <w:keepLines/>
              <w:spacing w:before="60" w:after="60" w:line="240" w:lineRule="auto"/>
              <w:rPr>
                <w:rFonts w:eastAsia="Times New Roman" w:cs="Arial"/>
                <w:b/>
                <w:bCs/>
                <w:lang w:eastAsia="en-NZ"/>
              </w:rPr>
            </w:pPr>
            <w:r w:rsidRPr="006F6068">
              <w:rPr>
                <w:rFonts w:eastAsia="Times New Roman" w:cs="Arial"/>
                <w:b/>
                <w:bCs/>
                <w:lang w:eastAsia="en-NZ"/>
              </w:rPr>
              <w:t>Vote Revenue</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E48C" w14:textId="77777777" w:rsidR="007E6F77" w:rsidRPr="006F6068" w:rsidRDefault="007E6F77" w:rsidP="00210757">
            <w:pPr>
              <w:keepNext/>
              <w:keepLines/>
              <w:spacing w:before="60" w:after="60" w:line="240" w:lineRule="auto"/>
              <w:jc w:val="right"/>
              <w:rPr>
                <w:rFonts w:eastAsia="Times New Roman" w:cs="Arial"/>
                <w:b/>
                <w:bCs/>
                <w:lang w:eastAsia="en-NZ"/>
              </w:rPr>
            </w:pPr>
            <w:r w:rsidRPr="006F6068">
              <w:rPr>
                <w:rFonts w:eastAsia="Times New Roman" w:cs="Arial"/>
                <w:b/>
                <w:bCs/>
                <w:lang w:eastAsia="en-NZ"/>
              </w:rPr>
              <w:t>2021/22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72AD" w14:textId="77777777" w:rsidR="007E6F77" w:rsidRPr="006F6068" w:rsidRDefault="007E6F77" w:rsidP="00210757">
            <w:pPr>
              <w:keepNext/>
              <w:keepLines/>
              <w:spacing w:before="60" w:after="60" w:line="240" w:lineRule="auto"/>
              <w:jc w:val="right"/>
              <w:rPr>
                <w:rFonts w:eastAsia="Times New Roman" w:cs="Arial"/>
                <w:b/>
                <w:bCs/>
                <w:lang w:eastAsia="en-NZ"/>
              </w:rPr>
            </w:pPr>
            <w:r w:rsidRPr="006F6068">
              <w:rPr>
                <w:rFonts w:eastAsia="Times New Roman" w:cs="Arial"/>
                <w:b/>
                <w:bCs/>
                <w:lang w:eastAsia="en-NZ"/>
              </w:rPr>
              <w:t>2022/23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29F1" w14:textId="77777777" w:rsidR="007E6F77" w:rsidRPr="006F6068" w:rsidRDefault="007E6F77" w:rsidP="00210757">
            <w:pPr>
              <w:keepNext/>
              <w:keepLines/>
              <w:spacing w:before="60" w:after="60" w:line="240" w:lineRule="auto"/>
              <w:jc w:val="right"/>
              <w:rPr>
                <w:rFonts w:eastAsia="Times New Roman" w:cs="Arial"/>
                <w:b/>
                <w:bCs/>
                <w:lang w:eastAsia="en-NZ"/>
              </w:rPr>
            </w:pPr>
            <w:r w:rsidRPr="006F6068">
              <w:rPr>
                <w:rFonts w:eastAsia="Times New Roman" w:cs="Arial"/>
                <w:b/>
                <w:bCs/>
                <w:lang w:eastAsia="en-NZ"/>
              </w:rPr>
              <w:t>2023/24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FED40" w14:textId="77777777" w:rsidR="007E6F77" w:rsidRPr="006F6068" w:rsidRDefault="007E6F77" w:rsidP="00210757">
            <w:pPr>
              <w:keepNext/>
              <w:keepLines/>
              <w:spacing w:before="60" w:after="60" w:line="240" w:lineRule="auto"/>
              <w:jc w:val="right"/>
              <w:rPr>
                <w:rFonts w:eastAsia="Times New Roman" w:cs="Arial"/>
                <w:b/>
                <w:bCs/>
                <w:lang w:eastAsia="en-NZ"/>
              </w:rPr>
            </w:pPr>
            <w:r w:rsidRPr="006F6068">
              <w:rPr>
                <w:rFonts w:eastAsia="Times New Roman" w:cs="Arial"/>
                <w:b/>
                <w:bCs/>
                <w:lang w:eastAsia="en-NZ"/>
              </w:rPr>
              <w:t>2024/25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7CE7" w14:textId="77777777" w:rsidR="007E6F77" w:rsidRPr="006F6068" w:rsidRDefault="007E6F77" w:rsidP="00210757">
            <w:pPr>
              <w:keepNext/>
              <w:keepLines/>
              <w:spacing w:before="60" w:after="60" w:line="240" w:lineRule="auto"/>
              <w:jc w:val="right"/>
              <w:rPr>
                <w:rFonts w:eastAsia="Times New Roman" w:cs="Arial"/>
                <w:b/>
                <w:bCs/>
                <w:lang w:eastAsia="en-NZ"/>
              </w:rPr>
            </w:pPr>
            <w:r w:rsidRPr="006F6068">
              <w:rPr>
                <w:rFonts w:eastAsia="Times New Roman" w:cs="Arial"/>
                <w:b/>
                <w:bCs/>
                <w:lang w:eastAsia="en-NZ"/>
              </w:rPr>
              <w:t>2025/26 &amp; out years</w:t>
            </w:r>
          </w:p>
        </w:tc>
      </w:tr>
      <w:tr w:rsidR="000D5E16" w:rsidRPr="00950182" w14:paraId="15019E33" w14:textId="77777777" w:rsidTr="00210757">
        <w:trPr>
          <w:cantSplit/>
          <w:trHeight w:val="525"/>
        </w:trPr>
        <w:tc>
          <w:tcPr>
            <w:tcW w:w="1842" w:type="dxa"/>
            <w:tcBorders>
              <w:top w:val="single" w:sz="4" w:space="0" w:color="auto"/>
              <w:left w:val="single" w:sz="4" w:space="0" w:color="auto"/>
              <w:right w:val="single" w:sz="4" w:space="0" w:color="auto"/>
            </w:tcBorders>
            <w:shd w:val="clear" w:color="auto" w:fill="auto"/>
            <w:vAlign w:val="center"/>
          </w:tcPr>
          <w:p w14:paraId="4C5611F3" w14:textId="7B76CD23" w:rsidR="000D5E16" w:rsidRPr="00210757" w:rsidRDefault="000D5E16" w:rsidP="000D5E16">
            <w:pPr>
              <w:keepNext/>
              <w:keepLines/>
              <w:spacing w:before="60" w:after="60" w:line="240" w:lineRule="auto"/>
              <w:jc w:val="left"/>
              <w:rPr>
                <w:rFonts w:eastAsia="Times New Roman" w:cs="Arial"/>
                <w:lang w:eastAsia="en-NZ"/>
              </w:rPr>
            </w:pPr>
            <w:r w:rsidRPr="00210757">
              <w:rPr>
                <w:rFonts w:eastAsia="Times New Roman" w:cs="Arial"/>
                <w:lang w:eastAsia="en-NZ"/>
              </w:rPr>
              <w:t>Tax Revenue:</w:t>
            </w:r>
          </w:p>
        </w:tc>
        <w:tc>
          <w:tcPr>
            <w:tcW w:w="1446" w:type="dxa"/>
            <w:tcBorders>
              <w:top w:val="single" w:sz="4" w:space="0" w:color="auto"/>
              <w:left w:val="single" w:sz="4" w:space="0" w:color="auto"/>
              <w:right w:val="single" w:sz="4" w:space="0" w:color="auto"/>
            </w:tcBorders>
            <w:shd w:val="clear" w:color="auto" w:fill="auto"/>
            <w:vAlign w:val="center"/>
          </w:tcPr>
          <w:p w14:paraId="1CFB6967" w14:textId="77777777" w:rsidR="000D5E16" w:rsidRPr="006F6068" w:rsidRDefault="000D5E16" w:rsidP="00210757">
            <w:pPr>
              <w:keepNext/>
              <w:keepLines/>
              <w:spacing w:before="60" w:after="60" w:line="240" w:lineRule="auto"/>
              <w:jc w:val="right"/>
              <w:rPr>
                <w:rFonts w:eastAsia="Times New Roman" w:cs="Arial"/>
                <w:b/>
                <w:bCs/>
                <w:lang w:eastAsia="en-NZ"/>
              </w:rPr>
            </w:pPr>
          </w:p>
        </w:tc>
        <w:tc>
          <w:tcPr>
            <w:tcW w:w="1446" w:type="dxa"/>
            <w:tcBorders>
              <w:top w:val="single" w:sz="4" w:space="0" w:color="auto"/>
              <w:left w:val="single" w:sz="4" w:space="0" w:color="auto"/>
              <w:right w:val="single" w:sz="4" w:space="0" w:color="auto"/>
            </w:tcBorders>
            <w:shd w:val="clear" w:color="auto" w:fill="auto"/>
            <w:vAlign w:val="center"/>
          </w:tcPr>
          <w:p w14:paraId="74074AE3" w14:textId="77777777" w:rsidR="000D5E16" w:rsidRPr="006F6068" w:rsidRDefault="000D5E16" w:rsidP="00210757">
            <w:pPr>
              <w:keepNext/>
              <w:keepLines/>
              <w:spacing w:before="60" w:after="60" w:line="240" w:lineRule="auto"/>
              <w:jc w:val="right"/>
              <w:rPr>
                <w:rFonts w:eastAsia="Times New Roman" w:cs="Arial"/>
                <w:b/>
                <w:bCs/>
                <w:lang w:eastAsia="en-NZ"/>
              </w:rPr>
            </w:pPr>
          </w:p>
        </w:tc>
        <w:tc>
          <w:tcPr>
            <w:tcW w:w="1446" w:type="dxa"/>
            <w:tcBorders>
              <w:top w:val="single" w:sz="4" w:space="0" w:color="auto"/>
              <w:left w:val="single" w:sz="4" w:space="0" w:color="auto"/>
              <w:right w:val="single" w:sz="4" w:space="0" w:color="auto"/>
            </w:tcBorders>
            <w:shd w:val="clear" w:color="auto" w:fill="auto"/>
            <w:vAlign w:val="center"/>
          </w:tcPr>
          <w:p w14:paraId="56D0E8B0" w14:textId="77777777" w:rsidR="000D5E16" w:rsidRPr="006F6068" w:rsidRDefault="000D5E16" w:rsidP="00210757">
            <w:pPr>
              <w:keepNext/>
              <w:keepLines/>
              <w:spacing w:before="60" w:after="60" w:line="240" w:lineRule="auto"/>
              <w:jc w:val="right"/>
              <w:rPr>
                <w:rFonts w:eastAsia="Times New Roman" w:cs="Arial"/>
                <w:b/>
                <w:bCs/>
                <w:lang w:eastAsia="en-NZ"/>
              </w:rPr>
            </w:pPr>
          </w:p>
        </w:tc>
        <w:tc>
          <w:tcPr>
            <w:tcW w:w="1446" w:type="dxa"/>
            <w:tcBorders>
              <w:top w:val="single" w:sz="4" w:space="0" w:color="auto"/>
              <w:left w:val="single" w:sz="4" w:space="0" w:color="auto"/>
              <w:right w:val="single" w:sz="4" w:space="0" w:color="auto"/>
            </w:tcBorders>
            <w:shd w:val="clear" w:color="auto" w:fill="auto"/>
            <w:vAlign w:val="center"/>
          </w:tcPr>
          <w:p w14:paraId="277B9C74" w14:textId="77777777" w:rsidR="000D5E16" w:rsidRPr="006F6068" w:rsidRDefault="000D5E16" w:rsidP="00210757">
            <w:pPr>
              <w:keepNext/>
              <w:keepLines/>
              <w:spacing w:before="60" w:after="60" w:line="240" w:lineRule="auto"/>
              <w:jc w:val="right"/>
              <w:rPr>
                <w:rFonts w:eastAsia="Times New Roman" w:cs="Arial"/>
                <w:b/>
                <w:bCs/>
                <w:lang w:eastAsia="en-NZ"/>
              </w:rPr>
            </w:pPr>
          </w:p>
        </w:tc>
        <w:tc>
          <w:tcPr>
            <w:tcW w:w="1446" w:type="dxa"/>
            <w:tcBorders>
              <w:top w:val="single" w:sz="4" w:space="0" w:color="auto"/>
              <w:left w:val="single" w:sz="4" w:space="0" w:color="auto"/>
              <w:right w:val="single" w:sz="4" w:space="0" w:color="auto"/>
            </w:tcBorders>
            <w:shd w:val="clear" w:color="auto" w:fill="auto"/>
            <w:vAlign w:val="center"/>
          </w:tcPr>
          <w:p w14:paraId="4C2DD2ED" w14:textId="77777777" w:rsidR="000D5E16" w:rsidRPr="006F6068" w:rsidRDefault="000D5E16" w:rsidP="00210757">
            <w:pPr>
              <w:keepNext/>
              <w:keepLines/>
              <w:spacing w:before="60" w:after="60" w:line="240" w:lineRule="auto"/>
              <w:jc w:val="right"/>
              <w:rPr>
                <w:rFonts w:eastAsia="Times New Roman" w:cs="Arial"/>
                <w:b/>
                <w:bCs/>
                <w:lang w:eastAsia="en-NZ"/>
              </w:rPr>
            </w:pPr>
          </w:p>
        </w:tc>
      </w:tr>
      <w:tr w:rsidR="007E6F77" w:rsidRPr="00950182" w14:paraId="19E30879" w14:textId="77777777" w:rsidTr="00210757">
        <w:trPr>
          <w:cantSplit/>
          <w:trHeight w:val="20"/>
        </w:trPr>
        <w:tc>
          <w:tcPr>
            <w:tcW w:w="1842" w:type="dxa"/>
            <w:tcBorders>
              <w:left w:val="single" w:sz="4" w:space="0" w:color="auto"/>
              <w:right w:val="single" w:sz="4" w:space="0" w:color="auto"/>
            </w:tcBorders>
            <w:shd w:val="clear" w:color="auto" w:fill="auto"/>
            <w:vAlign w:val="center"/>
            <w:hideMark/>
          </w:tcPr>
          <w:p w14:paraId="4859272D" w14:textId="77777777" w:rsidR="007E6F77" w:rsidRPr="00A17015" w:rsidRDefault="007E6F77" w:rsidP="00210757">
            <w:pPr>
              <w:keepNext/>
              <w:keepLines/>
              <w:spacing w:before="60" w:after="60" w:line="240" w:lineRule="auto"/>
              <w:jc w:val="left"/>
              <w:rPr>
                <w:rFonts w:eastAsia="Times New Roman" w:cs="Arial"/>
                <w:lang w:eastAsia="en-NZ"/>
              </w:rPr>
            </w:pPr>
            <w:r w:rsidRPr="006F6068">
              <w:rPr>
                <w:rFonts w:eastAsia="Times New Roman" w:cs="Arial"/>
                <w:lang w:eastAsia="en-NZ"/>
              </w:rPr>
              <w:t xml:space="preserve">FBT </w:t>
            </w:r>
            <w:r w:rsidRPr="00107E12">
              <w:rPr>
                <w:rFonts w:eastAsia="Times New Roman" w:cs="Arial"/>
                <w:lang w:eastAsia="en-NZ"/>
              </w:rPr>
              <w:t>R</w:t>
            </w:r>
            <w:r w:rsidRPr="001C1A90">
              <w:rPr>
                <w:rFonts w:eastAsia="Times New Roman" w:cs="Arial"/>
                <w:lang w:eastAsia="en-NZ"/>
              </w:rPr>
              <w:t>evenue</w:t>
            </w:r>
          </w:p>
        </w:tc>
        <w:tc>
          <w:tcPr>
            <w:tcW w:w="1446" w:type="dxa"/>
            <w:tcBorders>
              <w:left w:val="single" w:sz="4" w:space="0" w:color="auto"/>
              <w:right w:val="single" w:sz="4" w:space="0" w:color="auto"/>
            </w:tcBorders>
            <w:shd w:val="clear" w:color="auto" w:fill="auto"/>
            <w:vAlign w:val="center"/>
            <w:hideMark/>
          </w:tcPr>
          <w:p w14:paraId="1F40C25D" w14:textId="079C1B8E"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0.00</w:t>
            </w:r>
            <w:r w:rsidR="000D5E16">
              <w:rPr>
                <w:rFonts w:eastAsia="Times New Roman" w:cs="Arial"/>
                <w:lang w:eastAsia="en-NZ"/>
              </w:rPr>
              <w:t>0</w:t>
            </w:r>
            <w:r w:rsidRPr="006F6068">
              <w:rPr>
                <w:rFonts w:eastAsia="Times New Roman" w:cs="Arial"/>
                <w:lang w:eastAsia="en-NZ"/>
              </w:rPr>
              <w:t xml:space="preserve"> </w:t>
            </w:r>
          </w:p>
        </w:tc>
        <w:tc>
          <w:tcPr>
            <w:tcW w:w="1446" w:type="dxa"/>
            <w:tcBorders>
              <w:left w:val="single" w:sz="4" w:space="0" w:color="auto"/>
              <w:right w:val="single" w:sz="4" w:space="0" w:color="auto"/>
            </w:tcBorders>
            <w:shd w:val="clear" w:color="auto" w:fill="auto"/>
            <w:vAlign w:val="center"/>
            <w:hideMark/>
          </w:tcPr>
          <w:p w14:paraId="126D3B89" w14:textId="05F48452"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0.82</w:t>
            </w:r>
            <w:r w:rsidR="000D5E16">
              <w:rPr>
                <w:rFonts w:eastAsia="Times New Roman" w:cs="Arial"/>
                <w:lang w:eastAsia="en-NZ"/>
              </w:rPr>
              <w:t>0</w:t>
            </w:r>
            <w:r w:rsidRPr="006F6068">
              <w:rPr>
                <w:rFonts w:eastAsia="Times New Roman" w:cs="Arial"/>
                <w:lang w:eastAsia="en-NZ"/>
              </w:rPr>
              <w:t xml:space="preserve"> </w:t>
            </w:r>
          </w:p>
        </w:tc>
        <w:tc>
          <w:tcPr>
            <w:tcW w:w="1446" w:type="dxa"/>
            <w:tcBorders>
              <w:left w:val="single" w:sz="4" w:space="0" w:color="auto"/>
              <w:right w:val="single" w:sz="4" w:space="0" w:color="auto"/>
            </w:tcBorders>
            <w:shd w:val="clear" w:color="auto" w:fill="auto"/>
            <w:vAlign w:val="center"/>
            <w:hideMark/>
          </w:tcPr>
          <w:p w14:paraId="0391B0C5" w14:textId="3BC22A88"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0.82</w:t>
            </w:r>
            <w:r w:rsidR="000D5E16">
              <w:rPr>
                <w:rFonts w:eastAsia="Times New Roman" w:cs="Arial"/>
                <w:lang w:eastAsia="en-NZ"/>
              </w:rPr>
              <w:t>0</w:t>
            </w:r>
            <w:r w:rsidRPr="006F6068">
              <w:rPr>
                <w:rFonts w:eastAsia="Times New Roman" w:cs="Arial"/>
                <w:lang w:eastAsia="en-NZ"/>
              </w:rPr>
              <w:t xml:space="preserve"> </w:t>
            </w:r>
          </w:p>
        </w:tc>
        <w:tc>
          <w:tcPr>
            <w:tcW w:w="1446" w:type="dxa"/>
            <w:tcBorders>
              <w:left w:val="single" w:sz="4" w:space="0" w:color="auto"/>
              <w:right w:val="single" w:sz="4" w:space="0" w:color="auto"/>
            </w:tcBorders>
            <w:shd w:val="clear" w:color="auto" w:fill="auto"/>
            <w:vAlign w:val="center"/>
            <w:hideMark/>
          </w:tcPr>
          <w:p w14:paraId="07371950" w14:textId="70C21104"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0.82</w:t>
            </w:r>
            <w:r w:rsidR="000D5E16">
              <w:rPr>
                <w:rFonts w:eastAsia="Times New Roman" w:cs="Arial"/>
                <w:lang w:eastAsia="en-NZ"/>
              </w:rPr>
              <w:t>0</w:t>
            </w:r>
            <w:r w:rsidRPr="006F6068">
              <w:rPr>
                <w:rFonts w:eastAsia="Times New Roman" w:cs="Arial"/>
                <w:lang w:eastAsia="en-NZ"/>
              </w:rPr>
              <w:t xml:space="preserve"> </w:t>
            </w:r>
          </w:p>
        </w:tc>
        <w:tc>
          <w:tcPr>
            <w:tcW w:w="1446" w:type="dxa"/>
            <w:tcBorders>
              <w:left w:val="single" w:sz="4" w:space="0" w:color="auto"/>
              <w:right w:val="single" w:sz="4" w:space="0" w:color="auto"/>
            </w:tcBorders>
            <w:shd w:val="clear" w:color="auto" w:fill="auto"/>
            <w:vAlign w:val="center"/>
            <w:hideMark/>
          </w:tcPr>
          <w:p w14:paraId="67D2B7D3" w14:textId="68F89A39"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0.82</w:t>
            </w:r>
            <w:r w:rsidR="000D5E16">
              <w:rPr>
                <w:rFonts w:eastAsia="Times New Roman" w:cs="Arial"/>
                <w:lang w:eastAsia="en-NZ"/>
              </w:rPr>
              <w:t>0</w:t>
            </w:r>
            <w:r w:rsidRPr="006F6068">
              <w:rPr>
                <w:rFonts w:eastAsia="Times New Roman" w:cs="Arial"/>
                <w:lang w:eastAsia="en-NZ"/>
              </w:rPr>
              <w:t xml:space="preserve"> </w:t>
            </w:r>
          </w:p>
        </w:tc>
      </w:tr>
      <w:tr w:rsidR="007E6F77" w:rsidRPr="00950182" w14:paraId="08D72B37" w14:textId="77777777" w:rsidTr="00210757">
        <w:trPr>
          <w:cantSplit/>
          <w:trHeight w:val="20"/>
        </w:trPr>
        <w:tc>
          <w:tcPr>
            <w:tcW w:w="1842" w:type="dxa"/>
            <w:tcBorders>
              <w:left w:val="single" w:sz="4" w:space="0" w:color="auto"/>
              <w:bottom w:val="single" w:sz="4" w:space="0" w:color="auto"/>
              <w:right w:val="single" w:sz="4" w:space="0" w:color="auto"/>
            </w:tcBorders>
            <w:shd w:val="clear" w:color="auto" w:fill="auto"/>
            <w:vAlign w:val="center"/>
            <w:hideMark/>
          </w:tcPr>
          <w:p w14:paraId="35C8D63C" w14:textId="77777777" w:rsidR="007E6F77" w:rsidRPr="00A17015" w:rsidRDefault="007E6F77" w:rsidP="00210757">
            <w:pPr>
              <w:keepNext/>
              <w:keepLines/>
              <w:spacing w:before="60" w:after="60" w:line="240" w:lineRule="auto"/>
              <w:jc w:val="left"/>
              <w:rPr>
                <w:rFonts w:eastAsia="Times New Roman" w:cs="Arial"/>
                <w:lang w:eastAsia="en-NZ"/>
              </w:rPr>
            </w:pPr>
            <w:r w:rsidRPr="006F6068">
              <w:rPr>
                <w:rFonts w:eastAsia="Times New Roman" w:cs="Arial"/>
                <w:lang w:eastAsia="en-NZ"/>
              </w:rPr>
              <w:t xml:space="preserve">Company </w:t>
            </w:r>
            <w:r w:rsidRPr="00107E12">
              <w:rPr>
                <w:rFonts w:eastAsia="Times New Roman" w:cs="Arial"/>
                <w:lang w:eastAsia="en-NZ"/>
              </w:rPr>
              <w:t>T</w:t>
            </w:r>
            <w:r w:rsidRPr="001C1A90">
              <w:rPr>
                <w:rFonts w:eastAsia="Times New Roman" w:cs="Arial"/>
                <w:lang w:eastAsia="en-NZ"/>
              </w:rPr>
              <w:t>ax</w:t>
            </w:r>
          </w:p>
        </w:tc>
        <w:tc>
          <w:tcPr>
            <w:tcW w:w="1446" w:type="dxa"/>
            <w:tcBorders>
              <w:left w:val="single" w:sz="4" w:space="0" w:color="auto"/>
              <w:bottom w:val="single" w:sz="4" w:space="0" w:color="auto"/>
              <w:right w:val="single" w:sz="4" w:space="0" w:color="auto"/>
            </w:tcBorders>
            <w:shd w:val="clear" w:color="auto" w:fill="auto"/>
            <w:vAlign w:val="center"/>
            <w:hideMark/>
          </w:tcPr>
          <w:p w14:paraId="74CF9230" w14:textId="2C7481FC"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0.00</w:t>
            </w:r>
            <w:r w:rsidR="000D5E16">
              <w:rPr>
                <w:rFonts w:eastAsia="Times New Roman" w:cs="Arial"/>
                <w:lang w:eastAsia="en-NZ"/>
              </w:rPr>
              <w:t>0</w:t>
            </w:r>
            <w:r w:rsidRPr="006F6068">
              <w:rPr>
                <w:rFonts w:eastAsia="Times New Roman" w:cs="Arial"/>
                <w:lang w:eastAsia="en-NZ"/>
              </w:rPr>
              <w:t xml:space="preserve"> </w:t>
            </w:r>
          </w:p>
        </w:tc>
        <w:tc>
          <w:tcPr>
            <w:tcW w:w="1446" w:type="dxa"/>
            <w:tcBorders>
              <w:left w:val="single" w:sz="4" w:space="0" w:color="auto"/>
              <w:bottom w:val="single" w:sz="4" w:space="0" w:color="auto"/>
              <w:right w:val="single" w:sz="4" w:space="0" w:color="auto"/>
            </w:tcBorders>
            <w:shd w:val="clear" w:color="auto" w:fill="auto"/>
            <w:vAlign w:val="center"/>
            <w:hideMark/>
          </w:tcPr>
          <w:p w14:paraId="5A2825D6" w14:textId="41AD73D4"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(0.23</w:t>
            </w:r>
            <w:r w:rsidR="000D5E16">
              <w:rPr>
                <w:rFonts w:eastAsia="Times New Roman" w:cs="Arial"/>
                <w:lang w:eastAsia="en-NZ"/>
              </w:rPr>
              <w:t>0</w:t>
            </w:r>
            <w:r w:rsidRPr="006F6068">
              <w:rPr>
                <w:rFonts w:eastAsia="Times New Roman" w:cs="Arial"/>
                <w:lang w:eastAsia="en-NZ"/>
              </w:rPr>
              <w:t>)</w:t>
            </w:r>
          </w:p>
        </w:tc>
        <w:tc>
          <w:tcPr>
            <w:tcW w:w="1446" w:type="dxa"/>
            <w:tcBorders>
              <w:left w:val="single" w:sz="4" w:space="0" w:color="auto"/>
              <w:bottom w:val="single" w:sz="4" w:space="0" w:color="auto"/>
              <w:right w:val="single" w:sz="4" w:space="0" w:color="auto"/>
            </w:tcBorders>
            <w:shd w:val="clear" w:color="auto" w:fill="auto"/>
            <w:vAlign w:val="center"/>
            <w:hideMark/>
          </w:tcPr>
          <w:p w14:paraId="514059E2" w14:textId="509C9856"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(0.23</w:t>
            </w:r>
            <w:r w:rsidR="000D5E16">
              <w:rPr>
                <w:rFonts w:eastAsia="Times New Roman" w:cs="Arial"/>
                <w:lang w:eastAsia="en-NZ"/>
              </w:rPr>
              <w:t>0</w:t>
            </w:r>
            <w:r w:rsidRPr="006F6068">
              <w:rPr>
                <w:rFonts w:eastAsia="Times New Roman" w:cs="Arial"/>
                <w:lang w:eastAsia="en-NZ"/>
              </w:rPr>
              <w:t>)</w:t>
            </w:r>
          </w:p>
        </w:tc>
        <w:tc>
          <w:tcPr>
            <w:tcW w:w="1446" w:type="dxa"/>
            <w:tcBorders>
              <w:left w:val="single" w:sz="4" w:space="0" w:color="auto"/>
              <w:bottom w:val="single" w:sz="4" w:space="0" w:color="auto"/>
              <w:right w:val="single" w:sz="4" w:space="0" w:color="auto"/>
            </w:tcBorders>
            <w:shd w:val="clear" w:color="auto" w:fill="auto"/>
            <w:vAlign w:val="center"/>
            <w:hideMark/>
          </w:tcPr>
          <w:p w14:paraId="2CC51675" w14:textId="4D6606CC"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(0.23</w:t>
            </w:r>
            <w:r w:rsidR="000D5E16">
              <w:rPr>
                <w:rFonts w:eastAsia="Times New Roman" w:cs="Arial"/>
                <w:lang w:eastAsia="en-NZ"/>
              </w:rPr>
              <w:t>0</w:t>
            </w:r>
            <w:r w:rsidRPr="006F6068">
              <w:rPr>
                <w:rFonts w:eastAsia="Times New Roman" w:cs="Arial"/>
                <w:lang w:eastAsia="en-NZ"/>
              </w:rPr>
              <w:t>)</w:t>
            </w:r>
          </w:p>
        </w:tc>
        <w:tc>
          <w:tcPr>
            <w:tcW w:w="1446" w:type="dxa"/>
            <w:tcBorders>
              <w:left w:val="single" w:sz="4" w:space="0" w:color="auto"/>
              <w:bottom w:val="single" w:sz="4" w:space="0" w:color="auto"/>
              <w:right w:val="single" w:sz="4" w:space="0" w:color="auto"/>
            </w:tcBorders>
            <w:shd w:val="clear" w:color="auto" w:fill="auto"/>
            <w:vAlign w:val="center"/>
            <w:hideMark/>
          </w:tcPr>
          <w:p w14:paraId="1FFB5ACD" w14:textId="102FF75C" w:rsidR="007E6F77" w:rsidRPr="006F6068" w:rsidRDefault="007E6F77" w:rsidP="00210757">
            <w:pPr>
              <w:keepNext/>
              <w:keepLines/>
              <w:spacing w:before="60" w:after="60" w:line="240" w:lineRule="auto"/>
              <w:jc w:val="right"/>
              <w:rPr>
                <w:rFonts w:eastAsia="Times New Roman" w:cs="Arial"/>
                <w:lang w:eastAsia="en-NZ"/>
              </w:rPr>
            </w:pPr>
            <w:r w:rsidRPr="006F6068">
              <w:rPr>
                <w:rFonts w:eastAsia="Times New Roman" w:cs="Arial"/>
                <w:lang w:eastAsia="en-NZ"/>
              </w:rPr>
              <w:t>(0.23</w:t>
            </w:r>
            <w:r w:rsidR="000D5E16">
              <w:rPr>
                <w:rFonts w:eastAsia="Times New Roman" w:cs="Arial"/>
                <w:lang w:eastAsia="en-NZ"/>
              </w:rPr>
              <w:t>0</w:t>
            </w:r>
            <w:r w:rsidRPr="006F6068">
              <w:rPr>
                <w:rFonts w:eastAsia="Times New Roman" w:cs="Arial"/>
                <w:lang w:eastAsia="en-NZ"/>
              </w:rPr>
              <w:t>)</w:t>
            </w:r>
          </w:p>
        </w:tc>
      </w:tr>
      <w:tr w:rsidR="007E6F77" w:rsidRPr="000D5E16" w14:paraId="2DDA302F" w14:textId="77777777" w:rsidTr="00210757">
        <w:trPr>
          <w:cantSplit/>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15EE" w14:textId="3D3D139A" w:rsidR="007E6F77" w:rsidRPr="00210757" w:rsidRDefault="000D5E16" w:rsidP="00210757">
            <w:pPr>
              <w:keepNext/>
              <w:keepLines/>
              <w:spacing w:before="60" w:after="60" w:line="240" w:lineRule="auto"/>
              <w:jc w:val="left"/>
              <w:rPr>
                <w:rFonts w:eastAsia="Times New Roman" w:cs="Arial"/>
                <w:b/>
                <w:bCs/>
                <w:lang w:eastAsia="en-NZ"/>
              </w:rPr>
            </w:pPr>
            <w:r w:rsidRPr="00210757">
              <w:rPr>
                <w:rFonts w:eastAsia="Times New Roman" w:cs="Arial"/>
                <w:b/>
                <w:bCs/>
                <w:lang w:eastAsia="en-NZ"/>
              </w:rPr>
              <w:t>Total Operating</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06F5" w14:textId="0D4916D0" w:rsidR="007E6F77" w:rsidRPr="00210757" w:rsidRDefault="007E6F77" w:rsidP="00210757">
            <w:pPr>
              <w:keepNext/>
              <w:keepLines/>
              <w:spacing w:before="60" w:after="60" w:line="240" w:lineRule="auto"/>
              <w:jc w:val="right"/>
              <w:rPr>
                <w:rFonts w:eastAsia="Times New Roman" w:cs="Arial"/>
                <w:b/>
                <w:bCs/>
                <w:lang w:eastAsia="en-NZ"/>
              </w:rPr>
            </w:pPr>
            <w:r w:rsidRPr="00210757">
              <w:rPr>
                <w:rFonts w:eastAsia="Times New Roman" w:cs="Arial"/>
                <w:b/>
                <w:bCs/>
                <w:lang w:eastAsia="en-NZ"/>
              </w:rPr>
              <w:t xml:space="preserve">-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A106" w14:textId="3D82EDB4" w:rsidR="007E6F77" w:rsidRPr="00210757" w:rsidRDefault="007E6F77" w:rsidP="00210757">
            <w:pPr>
              <w:keepNext/>
              <w:keepLines/>
              <w:spacing w:before="60" w:after="60" w:line="240" w:lineRule="auto"/>
              <w:jc w:val="right"/>
              <w:rPr>
                <w:rFonts w:eastAsia="Times New Roman" w:cs="Arial"/>
                <w:b/>
                <w:bCs/>
                <w:lang w:eastAsia="en-NZ"/>
              </w:rPr>
            </w:pPr>
            <w:r w:rsidRPr="00210757">
              <w:rPr>
                <w:rFonts w:eastAsia="Times New Roman" w:cs="Arial"/>
                <w:b/>
                <w:bCs/>
                <w:lang w:eastAsia="en-NZ"/>
              </w:rPr>
              <w:t>(0.59</w:t>
            </w:r>
            <w:r w:rsidR="000D5E16">
              <w:rPr>
                <w:rFonts w:eastAsia="Times New Roman" w:cs="Arial"/>
                <w:b/>
                <w:bCs/>
                <w:lang w:eastAsia="en-NZ"/>
              </w:rPr>
              <w:t>0</w:t>
            </w:r>
            <w:r w:rsidRPr="00210757">
              <w:rPr>
                <w:rFonts w:eastAsia="Times New Roman" w:cs="Arial"/>
                <w:b/>
                <w:bCs/>
                <w:lang w:eastAsia="en-NZ"/>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299D" w14:textId="2BB71629" w:rsidR="007E6F77" w:rsidRPr="00210757" w:rsidRDefault="007E6F77" w:rsidP="00210757">
            <w:pPr>
              <w:keepNext/>
              <w:keepLines/>
              <w:spacing w:before="60" w:after="60" w:line="240" w:lineRule="auto"/>
              <w:jc w:val="right"/>
              <w:rPr>
                <w:rFonts w:eastAsia="Times New Roman" w:cs="Arial"/>
                <w:b/>
                <w:bCs/>
                <w:lang w:eastAsia="en-NZ"/>
              </w:rPr>
            </w:pPr>
            <w:r w:rsidRPr="00210757">
              <w:rPr>
                <w:rFonts w:eastAsia="Times New Roman" w:cs="Arial"/>
                <w:b/>
                <w:bCs/>
                <w:lang w:eastAsia="en-NZ"/>
              </w:rPr>
              <w:t>(0.59</w:t>
            </w:r>
            <w:r w:rsidR="000D5E16">
              <w:rPr>
                <w:rFonts w:eastAsia="Times New Roman" w:cs="Arial"/>
                <w:b/>
                <w:bCs/>
                <w:lang w:eastAsia="en-NZ"/>
              </w:rPr>
              <w:t>8</w:t>
            </w:r>
            <w:r w:rsidRPr="00210757">
              <w:rPr>
                <w:rFonts w:eastAsia="Times New Roman" w:cs="Arial"/>
                <w:b/>
                <w:bCs/>
                <w:lang w:eastAsia="en-NZ"/>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3BFC" w14:textId="32626AAF" w:rsidR="007E6F77" w:rsidRPr="00210757" w:rsidRDefault="007E6F77" w:rsidP="00210757">
            <w:pPr>
              <w:keepNext/>
              <w:keepLines/>
              <w:spacing w:before="60" w:after="60" w:line="240" w:lineRule="auto"/>
              <w:jc w:val="right"/>
              <w:rPr>
                <w:rFonts w:eastAsia="Times New Roman" w:cs="Arial"/>
                <w:b/>
                <w:bCs/>
                <w:lang w:eastAsia="en-NZ"/>
              </w:rPr>
            </w:pPr>
            <w:r w:rsidRPr="00210757">
              <w:rPr>
                <w:rFonts w:eastAsia="Times New Roman" w:cs="Arial"/>
                <w:b/>
                <w:bCs/>
                <w:lang w:eastAsia="en-NZ"/>
              </w:rPr>
              <w:t>(0.59</w:t>
            </w:r>
            <w:r w:rsidR="000D5E16">
              <w:rPr>
                <w:rFonts w:eastAsia="Times New Roman" w:cs="Arial"/>
                <w:b/>
                <w:bCs/>
                <w:lang w:eastAsia="en-NZ"/>
              </w:rPr>
              <w:t>0</w:t>
            </w:r>
            <w:r w:rsidRPr="00210757">
              <w:rPr>
                <w:rFonts w:eastAsia="Times New Roman" w:cs="Arial"/>
                <w:b/>
                <w:bCs/>
                <w:lang w:eastAsia="en-NZ"/>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051F" w14:textId="1E8E36F7" w:rsidR="007E6F77" w:rsidRPr="00210757" w:rsidRDefault="007E6F77" w:rsidP="00210757">
            <w:pPr>
              <w:keepNext/>
              <w:keepLines/>
              <w:spacing w:before="60" w:after="60" w:line="240" w:lineRule="auto"/>
              <w:jc w:val="right"/>
              <w:rPr>
                <w:rFonts w:eastAsia="Times New Roman" w:cs="Arial"/>
                <w:b/>
                <w:bCs/>
                <w:lang w:eastAsia="en-NZ"/>
              </w:rPr>
            </w:pPr>
            <w:r w:rsidRPr="00210757">
              <w:rPr>
                <w:rFonts w:eastAsia="Times New Roman" w:cs="Arial"/>
                <w:b/>
                <w:bCs/>
                <w:lang w:eastAsia="en-NZ"/>
              </w:rPr>
              <w:t>(0.59</w:t>
            </w:r>
            <w:r w:rsidR="000D5E16">
              <w:rPr>
                <w:rFonts w:eastAsia="Times New Roman" w:cs="Arial"/>
                <w:b/>
                <w:bCs/>
                <w:lang w:eastAsia="en-NZ"/>
              </w:rPr>
              <w:t>0</w:t>
            </w:r>
            <w:r w:rsidRPr="00210757">
              <w:rPr>
                <w:rFonts w:eastAsia="Times New Roman" w:cs="Arial"/>
                <w:b/>
                <w:bCs/>
                <w:lang w:eastAsia="en-NZ"/>
              </w:rPr>
              <w:t>)</w:t>
            </w:r>
          </w:p>
        </w:tc>
      </w:tr>
    </w:tbl>
    <w:p w14:paraId="4FD1F0DA" w14:textId="1547D450" w:rsidR="00863381" w:rsidRPr="00041E9B" w:rsidRDefault="00863381" w:rsidP="008A61BC">
      <w:pPr>
        <w:pStyle w:val="Heading2"/>
        <w:rPr>
          <w:bCs/>
        </w:rPr>
      </w:pPr>
      <w:r w:rsidRPr="003E2C19">
        <w:t>Consultation</w:t>
      </w:r>
    </w:p>
    <w:p w14:paraId="1DAAB474" w14:textId="6522A459" w:rsidR="000D657F" w:rsidRPr="00AC188F" w:rsidRDefault="0041328E" w:rsidP="000D657F">
      <w:pPr>
        <w:pStyle w:val="NumberedParagraph"/>
      </w:pPr>
      <w:r w:rsidRPr="00AC188F">
        <w:t>Inland Revenue has consulted with the Treasury</w:t>
      </w:r>
      <w:r w:rsidR="00440258">
        <w:t>,</w:t>
      </w:r>
      <w:r w:rsidR="00210757" w:rsidRPr="00AC188F">
        <w:t xml:space="preserve"> </w:t>
      </w:r>
      <w:r w:rsidR="00440258">
        <w:t xml:space="preserve">the Parliamentary Counsel Office (PCO), </w:t>
      </w:r>
      <w:r w:rsidR="00210757" w:rsidRPr="00AC188F">
        <w:t>and</w:t>
      </w:r>
      <w:r w:rsidRPr="00AC188F">
        <w:t xml:space="preserve"> </w:t>
      </w:r>
      <w:r w:rsidR="005351A3" w:rsidRPr="00AC188F">
        <w:t xml:space="preserve">the New Zealand Customs Service </w:t>
      </w:r>
      <w:r w:rsidR="00210757" w:rsidRPr="00AC188F">
        <w:t xml:space="preserve">(Customs) </w:t>
      </w:r>
      <w:r w:rsidR="005351A3" w:rsidRPr="00AC188F">
        <w:t>on this report.</w:t>
      </w:r>
      <w:r w:rsidR="00902765" w:rsidRPr="00AC188F">
        <w:t xml:space="preserve"> They agree with the recommendations.</w:t>
      </w:r>
      <w:r w:rsidR="000D657F">
        <w:t xml:space="preserve"> </w:t>
      </w:r>
    </w:p>
    <w:p w14:paraId="7E0D69D3" w14:textId="592C990B" w:rsidR="00210757" w:rsidRDefault="00210757" w:rsidP="00C05674">
      <w:pPr>
        <w:pStyle w:val="NumberedParagraph"/>
      </w:pPr>
      <w:r>
        <w:t xml:space="preserve">Customs advise that a change in the underpayment UOMI rate will have some small operational and financial impacts. Customs’ compensatory interest rate is aligned with the UOMI underpayment rate, and an increase in the underpayment rate will correspondingly result in an increase to the compensatory interest rate. </w:t>
      </w:r>
    </w:p>
    <w:p w14:paraId="3394813E" w14:textId="48B465E5" w:rsidR="00210757" w:rsidRPr="00AC188F" w:rsidRDefault="00210757">
      <w:pPr>
        <w:pStyle w:val="NumberedParagraph"/>
      </w:pPr>
      <w:r>
        <w:t xml:space="preserve">This increase will in turn have a very small financial impact on Vote Customs. Customs collected $595,752.09 compensatory interest in the 12 months to December 2021. </w:t>
      </w:r>
      <w:r w:rsidR="0061607E">
        <w:t>They advise us that an</w:t>
      </w:r>
      <w:r>
        <w:t xml:space="preserve"> additional 0.28% increase in the UOMI would collect an additional $1,668 compensatory interest.</w:t>
      </w:r>
    </w:p>
    <w:p w14:paraId="698733F1" w14:textId="0D5D4FFA" w:rsidR="008A45BF" w:rsidRPr="00F36AC1" w:rsidRDefault="008A45BF" w:rsidP="008A61BC">
      <w:pPr>
        <w:pStyle w:val="Heading2"/>
        <w:rPr>
          <w:bCs/>
        </w:rPr>
      </w:pPr>
      <w:r w:rsidRPr="00F36AC1">
        <w:t>Next steps</w:t>
      </w:r>
    </w:p>
    <w:p w14:paraId="5CF28D7D" w14:textId="63B8CD7C" w:rsidR="00E839DD" w:rsidRPr="00E839DD" w:rsidRDefault="0001036A" w:rsidP="00DC5B7E">
      <w:pPr>
        <w:pStyle w:val="NumberedParagraph"/>
      </w:pPr>
      <w:r>
        <w:t>O</w:t>
      </w:r>
      <w:r w:rsidR="00E839DD" w:rsidRPr="00E839DD">
        <w:t xml:space="preserve">fficials have advised </w:t>
      </w:r>
      <w:r w:rsidR="00214BE5">
        <w:t>PCO</w:t>
      </w:r>
      <w:r w:rsidR="00E839DD" w:rsidRPr="00E839DD">
        <w:t xml:space="preserve"> that draft Order</w:t>
      </w:r>
      <w:r>
        <w:t>s</w:t>
      </w:r>
      <w:r w:rsidR="00E839DD" w:rsidRPr="00E839DD">
        <w:t xml:space="preserve"> in Council changing the rates </w:t>
      </w:r>
      <w:r>
        <w:t>may</w:t>
      </w:r>
      <w:r w:rsidR="00E839DD" w:rsidRPr="00E839DD">
        <w:t xml:space="preserve"> need to be prepared</w:t>
      </w:r>
      <w:r>
        <w:t xml:space="preserve"> depending on your decision</w:t>
      </w:r>
      <w:r w:rsidR="00E839DD" w:rsidRPr="00E839DD">
        <w:t xml:space="preserve">. </w:t>
      </w:r>
    </w:p>
    <w:p w14:paraId="602ACEEC" w14:textId="1E882C04" w:rsidR="00E839DD" w:rsidRDefault="00E839DD" w:rsidP="00DC5B7E">
      <w:pPr>
        <w:pStyle w:val="NumberedParagraph"/>
      </w:pPr>
      <w:r w:rsidRPr="00E839DD">
        <w:t xml:space="preserve">Attached </w:t>
      </w:r>
      <w:r w:rsidR="0001036A">
        <w:t>are two</w:t>
      </w:r>
      <w:r w:rsidRPr="00E839DD">
        <w:t xml:space="preserve"> paper</w:t>
      </w:r>
      <w:r w:rsidR="0001036A">
        <w:t>s</w:t>
      </w:r>
      <w:r w:rsidRPr="00E839DD">
        <w:t xml:space="preserve"> to the Cabinet Legislation Committee</w:t>
      </w:r>
      <w:r w:rsidR="00AB5017">
        <w:t>,</w:t>
      </w:r>
      <w:r w:rsidRPr="00E839DD">
        <w:t xml:space="preserve"> recommending that it approve the Order</w:t>
      </w:r>
      <w:r w:rsidR="0001036A">
        <w:t>s</w:t>
      </w:r>
      <w:r w:rsidRPr="00E839DD">
        <w:t xml:space="preserve"> in Council and authorise </w:t>
      </w:r>
      <w:r w:rsidR="0001036A">
        <w:t>their</w:t>
      </w:r>
      <w:r w:rsidRPr="00E839DD">
        <w:t xml:space="preserve"> submission to Cabinet and the Executive Council. </w:t>
      </w:r>
      <w:r w:rsidR="00AB5017">
        <w:t xml:space="preserve">If you decide to increase the UOMI rates and/or the FBT prescribed rate of interest, </w:t>
      </w:r>
      <w:r w:rsidR="00725CD9">
        <w:t>the</w:t>
      </w:r>
      <w:r w:rsidR="00AE7C9F">
        <w:t xml:space="preserve"> papers</w:t>
      </w:r>
      <w:r w:rsidRPr="00E839DD">
        <w:t xml:space="preserve"> should be referred to Cabinet Office by 10am, Thursday </w:t>
      </w:r>
      <w:r w:rsidR="0001036A">
        <w:t>24 March 2022</w:t>
      </w:r>
      <w:r w:rsidRPr="00E839DD">
        <w:t>.</w:t>
      </w:r>
      <w:r w:rsidR="00797BE4">
        <w:t xml:space="preserve"> This would enable </w:t>
      </w:r>
      <w:r w:rsidR="00797BE4" w:rsidRPr="00E839DD">
        <w:t xml:space="preserve">the Cabinet Legislation Committee </w:t>
      </w:r>
      <w:r w:rsidR="00797BE4">
        <w:t xml:space="preserve">to consider </w:t>
      </w:r>
      <w:r w:rsidR="00797BE4" w:rsidRPr="00E839DD">
        <w:t>the paper</w:t>
      </w:r>
      <w:r w:rsidR="00797BE4">
        <w:t>s</w:t>
      </w:r>
      <w:r w:rsidR="00797BE4" w:rsidRPr="00E839DD">
        <w:t xml:space="preserve"> on </w:t>
      </w:r>
      <w:r w:rsidR="00797BE4">
        <w:t>31</w:t>
      </w:r>
      <w:r w:rsidR="00797BE4" w:rsidRPr="00E839DD">
        <w:t xml:space="preserve"> </w:t>
      </w:r>
      <w:r w:rsidR="00797BE4">
        <w:t>March</w:t>
      </w:r>
      <w:r w:rsidR="00797BE4" w:rsidRPr="00E839DD">
        <w:t xml:space="preserve"> 20</w:t>
      </w:r>
      <w:r w:rsidR="00797BE4">
        <w:t>22.</w:t>
      </w:r>
    </w:p>
    <w:p w14:paraId="4D2F047E" w14:textId="66E1F8C6" w:rsidR="00677CD5" w:rsidRDefault="00B5616B" w:rsidP="00DC5B7E">
      <w:pPr>
        <w:pStyle w:val="NumberedParagraph"/>
      </w:pPr>
      <w:r>
        <w:t>T</w:t>
      </w:r>
      <w:r w:rsidR="00677CD5">
        <w:t xml:space="preserve">he Cabinet paper </w:t>
      </w:r>
      <w:r w:rsidR="002C5CB8">
        <w:t>recommending</w:t>
      </w:r>
      <w:r w:rsidR="00677CD5">
        <w:t xml:space="preserve"> the increase of the UOMI rates </w:t>
      </w:r>
      <w:r w:rsidR="00DE0D5A">
        <w:t xml:space="preserve">as written assumes that the extension to UOMI remission for businesses impacted by COVID-19 is approved by Cabinet on 14 March. </w:t>
      </w:r>
      <w:r w:rsidR="00591CE2">
        <w:t>If this extension is not approved by Cabinet, officials will supply you with an alternative Cabinet paper before 24 March.</w:t>
      </w:r>
    </w:p>
    <w:p w14:paraId="0AA78DFA" w14:textId="3A6B5035" w:rsidR="00FA295E" w:rsidRDefault="002F3F7C" w:rsidP="00557B17">
      <w:pPr>
        <w:pStyle w:val="NumberedParagraph"/>
      </w:pPr>
      <w:r>
        <w:t xml:space="preserve">If you decide to defer changing the UOMI rates, officials will continue to monitor the appropriate RBNZ indices and report to you again </w:t>
      </w:r>
      <w:r w:rsidRPr="00B76224">
        <w:t xml:space="preserve">in </w:t>
      </w:r>
      <w:r w:rsidR="00B562A2" w:rsidRPr="00B76224">
        <w:t>the middle of the year</w:t>
      </w:r>
      <w:r w:rsidRPr="00B76224">
        <w:t>.</w:t>
      </w:r>
    </w:p>
    <w:p w14:paraId="41F0CA3C" w14:textId="77777777" w:rsidR="00FA295E" w:rsidRDefault="00FA295E">
      <w:pPr>
        <w:spacing w:after="160" w:line="259" w:lineRule="auto"/>
        <w:jc w:val="left"/>
        <w:rPr>
          <w:szCs w:val="23"/>
          <w:lang w:eastAsia="en-NZ"/>
        </w:rPr>
      </w:pPr>
      <w:r>
        <w:br w:type="page"/>
      </w:r>
    </w:p>
    <w:p w14:paraId="6E77659F" w14:textId="06D0BF79" w:rsidR="00811AC6" w:rsidRDefault="00811AC6" w:rsidP="00D74704">
      <w:pPr>
        <w:pStyle w:val="Heading1"/>
      </w:pPr>
      <w:r>
        <w:t>Recommended action</w:t>
      </w:r>
    </w:p>
    <w:p w14:paraId="75828A48" w14:textId="77777777" w:rsidR="006222B9" w:rsidRDefault="006222B9" w:rsidP="008331C2"/>
    <w:p w14:paraId="2BFFE05F" w14:textId="77777777" w:rsidR="00E63639" w:rsidRDefault="00E63639" w:rsidP="00E63639">
      <w:r w:rsidRPr="00E63639">
        <w:t>We recommend that you:</w:t>
      </w:r>
    </w:p>
    <w:p w14:paraId="559B3548" w14:textId="009B1AFB" w:rsidR="000C6160" w:rsidRPr="00E63639" w:rsidRDefault="004D3F34" w:rsidP="00AE7C9F">
      <w:pPr>
        <w:pStyle w:val="Heading2"/>
      </w:pPr>
      <w:r>
        <w:t>UOMI rates</w:t>
      </w:r>
    </w:p>
    <w:p w14:paraId="0339D229" w14:textId="61B6089E" w:rsidR="00CE016D" w:rsidRDefault="004D3F34" w:rsidP="00AE7C9F">
      <w:pPr>
        <w:pStyle w:val="NumberedParagraph"/>
      </w:pPr>
      <w:r>
        <w:rPr>
          <w:b/>
        </w:rPr>
        <w:t>agree</w:t>
      </w:r>
      <w:r w:rsidR="00E63639" w:rsidRPr="00E63639">
        <w:rPr>
          <w:b/>
        </w:rPr>
        <w:t xml:space="preserve"> </w:t>
      </w:r>
      <w:r>
        <w:t xml:space="preserve">to </w:t>
      </w:r>
      <w:r w:rsidR="00405571">
        <w:t>EITHER</w:t>
      </w:r>
      <w:r w:rsidR="00CE016D">
        <w:t>:</w:t>
      </w:r>
    </w:p>
    <w:p w14:paraId="74ED1CD5" w14:textId="3961132C" w:rsidR="004D3F34" w:rsidRDefault="00CE016D" w:rsidP="00AE7C9F">
      <w:pPr>
        <w:pStyle w:val="NumberedParagraph"/>
        <w:numPr>
          <w:ilvl w:val="1"/>
          <w:numId w:val="11"/>
        </w:numPr>
      </w:pPr>
      <w:r>
        <w:t xml:space="preserve">Option </w:t>
      </w:r>
      <w:r w:rsidR="004D3F34">
        <w:t>1 –</w:t>
      </w:r>
      <w:r w:rsidR="004D3F34" w:rsidRPr="00E63639">
        <w:t xml:space="preserve"> </w:t>
      </w:r>
      <w:r w:rsidR="004D3F34">
        <w:t xml:space="preserve">increase </w:t>
      </w:r>
      <w:r w:rsidR="00E63639" w:rsidRPr="00E63639">
        <w:t xml:space="preserve">the underpayment </w:t>
      </w:r>
      <w:r w:rsidR="008123E3">
        <w:t>U</w:t>
      </w:r>
      <w:r w:rsidR="008123E3" w:rsidRPr="00E63639">
        <w:t xml:space="preserve">OMI </w:t>
      </w:r>
      <w:r w:rsidR="00E63639" w:rsidRPr="00E63639">
        <w:t xml:space="preserve">rate </w:t>
      </w:r>
      <w:r w:rsidR="008123E3">
        <w:t>to</w:t>
      </w:r>
      <w:r w:rsidR="00E63639" w:rsidRPr="00E63639">
        <w:t xml:space="preserve"> </w:t>
      </w:r>
      <w:r w:rsidR="004912D7">
        <w:t>7</w:t>
      </w:r>
      <w:r w:rsidR="00E63639">
        <w:t>.</w:t>
      </w:r>
      <w:r w:rsidR="004912D7">
        <w:t>2</w:t>
      </w:r>
      <w:r w:rsidR="00E63639">
        <w:t>8</w:t>
      </w:r>
      <w:r w:rsidR="00E63639" w:rsidRPr="00E63639">
        <w:t xml:space="preserve">% (from </w:t>
      </w:r>
      <w:r w:rsidR="004912D7">
        <w:t>7</w:t>
      </w:r>
      <w:r w:rsidR="00E63639" w:rsidRPr="00E63639">
        <w:t>.</w:t>
      </w:r>
      <w:r w:rsidR="004912D7">
        <w:t>0</w:t>
      </w:r>
      <w:r w:rsidR="00E63639">
        <w:t>0</w:t>
      </w:r>
      <w:r w:rsidR="00E63639" w:rsidRPr="00E63639">
        <w:t>%)</w:t>
      </w:r>
      <w:r w:rsidR="00F32D09">
        <w:t xml:space="preserve"> from 9 May 2022</w:t>
      </w:r>
      <w:r w:rsidR="00E63639" w:rsidRPr="00E63639">
        <w:t>.</w:t>
      </w:r>
      <w:r w:rsidR="00996795">
        <w:t xml:space="preserve"> </w:t>
      </w:r>
      <w:r w:rsidR="00405FC3">
        <w:t xml:space="preserve">The UOMI overpayment rate </w:t>
      </w:r>
      <w:r w:rsidR="001A5089">
        <w:t>remains unchanged.</w:t>
      </w:r>
      <w:r w:rsidR="00197A49">
        <w:t xml:space="preserve"> </w:t>
      </w:r>
      <w:r w:rsidR="004D3F34" w:rsidRPr="00B76224">
        <w:rPr>
          <w:i/>
          <w:iCs/>
        </w:rPr>
        <w:t xml:space="preserve">(Officials’ </w:t>
      </w:r>
      <w:r w:rsidR="00197A49" w:rsidRPr="00B76224">
        <w:rPr>
          <w:i/>
          <w:iCs/>
        </w:rPr>
        <w:t>preferred option</w:t>
      </w:r>
      <w:r w:rsidR="004D3F34" w:rsidRPr="00B76224">
        <w:rPr>
          <w:i/>
          <w:iCs/>
        </w:rPr>
        <w:t>)</w:t>
      </w:r>
      <w:r w:rsidR="00857F93" w:rsidRPr="00531F1E">
        <w:t>;</w:t>
      </w:r>
      <w:r w:rsidR="00857F93">
        <w:t xml:space="preserve"> OR</w:t>
      </w:r>
    </w:p>
    <w:p w14:paraId="49DFADA4" w14:textId="7BFBC1A2" w:rsidR="00405571" w:rsidRDefault="00405571" w:rsidP="008F2747">
      <w:pPr>
        <w:pStyle w:val="NumberedParagraph"/>
        <w:numPr>
          <w:ilvl w:val="0"/>
          <w:numId w:val="0"/>
        </w:numPr>
        <w:tabs>
          <w:tab w:val="left" w:pos="5387"/>
        </w:tabs>
        <w:ind w:left="709"/>
      </w:pPr>
      <w:r>
        <w:t>Agreed/Not agreed</w:t>
      </w:r>
      <w:r w:rsidR="00772FD7">
        <w:tab/>
        <w:t>Agreed/Not agreed</w:t>
      </w:r>
    </w:p>
    <w:p w14:paraId="047E5882" w14:textId="2525360B" w:rsidR="00804EB4" w:rsidRDefault="00804EB4" w:rsidP="00AE7C9F">
      <w:pPr>
        <w:pStyle w:val="NumberedParagraph"/>
        <w:numPr>
          <w:ilvl w:val="1"/>
          <w:numId w:val="11"/>
        </w:numPr>
      </w:pPr>
      <w:r w:rsidRPr="001623E0">
        <w:t xml:space="preserve">Option </w:t>
      </w:r>
      <w:r w:rsidR="004D3F34" w:rsidRPr="001623E0">
        <w:t xml:space="preserve">2 – defer changing the rates. </w:t>
      </w:r>
    </w:p>
    <w:p w14:paraId="06A4CA1B" w14:textId="04404C9B" w:rsidR="00900EC4" w:rsidRPr="001623E0" w:rsidRDefault="00405571" w:rsidP="008F2747">
      <w:pPr>
        <w:pStyle w:val="NumberedParagraph"/>
        <w:numPr>
          <w:ilvl w:val="0"/>
          <w:numId w:val="0"/>
        </w:numPr>
        <w:tabs>
          <w:tab w:val="left" w:pos="5387"/>
        </w:tabs>
        <w:ind w:left="709"/>
      </w:pPr>
      <w:r>
        <w:t>Agreed/Not agreed</w:t>
      </w:r>
      <w:r w:rsidR="00772FD7">
        <w:tab/>
        <w:t>Agreed/Not agreed</w:t>
      </w:r>
    </w:p>
    <w:p w14:paraId="200118EC" w14:textId="693FAEBC" w:rsidR="006A773E" w:rsidRDefault="006A773E" w:rsidP="006A773E">
      <w:pPr>
        <w:pStyle w:val="NumberedParagraph"/>
      </w:pPr>
      <w:r>
        <w:t xml:space="preserve">if you select </w:t>
      </w:r>
      <w:r w:rsidR="00550EBA">
        <w:t>O</w:t>
      </w:r>
      <w:r>
        <w:t>ption 1:</w:t>
      </w:r>
    </w:p>
    <w:p w14:paraId="085F21B3" w14:textId="0666C3F2" w:rsidR="000D5E16" w:rsidRPr="000D5E16" w:rsidRDefault="000D5E16" w:rsidP="00D96B4F">
      <w:pPr>
        <w:pStyle w:val="NumberedParagraph"/>
        <w:numPr>
          <w:ilvl w:val="1"/>
          <w:numId w:val="11"/>
        </w:numPr>
      </w:pPr>
      <w:r>
        <w:rPr>
          <w:b/>
        </w:rPr>
        <w:t xml:space="preserve">note </w:t>
      </w:r>
      <w:r>
        <w:rPr>
          <w:bCs/>
        </w:rPr>
        <w:t>the following fiscal impacts arising from the decision to increase the UOMI underpayment rate, with a corresponding impact on the operating balance and net core Crown debt:</w:t>
      </w:r>
    </w:p>
    <w:tbl>
      <w:tblPr>
        <w:tblStyle w:val="TableGrid1"/>
        <w:tblW w:w="8930" w:type="dxa"/>
        <w:tblInd w:w="142" w:type="dxa"/>
        <w:tblLook w:val="04A0" w:firstRow="1" w:lastRow="0" w:firstColumn="1" w:lastColumn="0" w:noHBand="0" w:noVBand="1"/>
      </w:tblPr>
      <w:tblGrid>
        <w:gridCol w:w="1985"/>
        <w:gridCol w:w="1389"/>
        <w:gridCol w:w="1389"/>
        <w:gridCol w:w="1389"/>
        <w:gridCol w:w="1389"/>
        <w:gridCol w:w="1389"/>
      </w:tblGrid>
      <w:tr w:rsidR="00FA295E" w:rsidRPr="00CC645F" w14:paraId="4FE0F330" w14:textId="77777777" w:rsidTr="00CC645F">
        <w:trPr>
          <w:cantSplit/>
        </w:trPr>
        <w:tc>
          <w:tcPr>
            <w:tcW w:w="1985" w:type="dxa"/>
            <w:tcBorders>
              <w:top w:val="nil"/>
              <w:left w:val="nil"/>
            </w:tcBorders>
            <w:shd w:val="clear" w:color="auto" w:fill="auto"/>
          </w:tcPr>
          <w:p w14:paraId="38DC289A" w14:textId="77777777" w:rsidR="00FA295E" w:rsidRPr="00EE2459" w:rsidRDefault="00FA295E" w:rsidP="00CC645F">
            <w:pPr>
              <w:pStyle w:val="NumberedParagraphCabStandard"/>
              <w:tabs>
                <w:tab w:val="clear" w:pos="709"/>
              </w:tabs>
              <w:spacing w:before="60" w:after="60"/>
              <w:ind w:left="0" w:firstLine="0"/>
              <w:rPr>
                <w:rFonts w:ascii="Verdana" w:hAnsi="Verdana"/>
                <w:sz w:val="20"/>
                <w:szCs w:val="20"/>
              </w:rPr>
            </w:pPr>
          </w:p>
        </w:tc>
        <w:tc>
          <w:tcPr>
            <w:tcW w:w="6945" w:type="dxa"/>
            <w:gridSpan w:val="5"/>
            <w:shd w:val="clear" w:color="auto" w:fill="auto"/>
            <w:vAlign w:val="center"/>
          </w:tcPr>
          <w:p w14:paraId="710E6260" w14:textId="77777777" w:rsidR="00FA295E" w:rsidRPr="00CC645F" w:rsidRDefault="00FA295E" w:rsidP="00CC645F">
            <w:pPr>
              <w:spacing w:before="60" w:after="60"/>
              <w:jc w:val="center"/>
              <w:rPr>
                <w:rFonts w:ascii="Verdana" w:hAnsi="Verdana"/>
                <w:b/>
                <w:bCs/>
                <w:sz w:val="20"/>
                <w:szCs w:val="20"/>
              </w:rPr>
            </w:pPr>
            <w:r w:rsidRPr="00CC645F">
              <w:rPr>
                <w:rFonts w:ascii="Verdana" w:eastAsia="Times New Roman" w:hAnsi="Verdana" w:cs="Arial"/>
                <w:b/>
                <w:bCs/>
                <w:sz w:val="20"/>
                <w:szCs w:val="20"/>
              </w:rPr>
              <w:t>$millions - increase/(decrease)</w:t>
            </w:r>
          </w:p>
        </w:tc>
      </w:tr>
      <w:tr w:rsidR="00FA295E" w:rsidRPr="00CC645F" w14:paraId="07352FAF" w14:textId="77777777" w:rsidTr="00CC645F">
        <w:trPr>
          <w:cantSplit/>
        </w:trPr>
        <w:tc>
          <w:tcPr>
            <w:tcW w:w="1985" w:type="dxa"/>
            <w:shd w:val="clear" w:color="auto" w:fill="auto"/>
            <w:vAlign w:val="center"/>
          </w:tcPr>
          <w:p w14:paraId="03DE4B16" w14:textId="77777777" w:rsidR="00FA295E" w:rsidRPr="00CC645F" w:rsidRDefault="00FA295E" w:rsidP="00CC645F">
            <w:pPr>
              <w:spacing w:before="60" w:after="60" w:line="240" w:lineRule="auto"/>
              <w:jc w:val="left"/>
              <w:rPr>
                <w:rFonts w:ascii="Verdana" w:eastAsia="Times New Roman" w:hAnsi="Verdana" w:cs="Arial"/>
                <w:b/>
                <w:bCs/>
                <w:sz w:val="20"/>
                <w:szCs w:val="20"/>
              </w:rPr>
            </w:pPr>
            <w:r w:rsidRPr="00CC645F">
              <w:rPr>
                <w:rFonts w:ascii="Verdana" w:eastAsia="Times New Roman" w:hAnsi="Verdana" w:cs="Arial"/>
                <w:b/>
                <w:bCs/>
                <w:sz w:val="20"/>
                <w:szCs w:val="20"/>
              </w:rPr>
              <w:t>Vote Revenue</w:t>
            </w:r>
          </w:p>
        </w:tc>
        <w:tc>
          <w:tcPr>
            <w:tcW w:w="1389" w:type="dxa"/>
            <w:shd w:val="clear" w:color="auto" w:fill="auto"/>
            <w:vAlign w:val="center"/>
          </w:tcPr>
          <w:p w14:paraId="01F34BE2"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2021/22</w:t>
            </w:r>
          </w:p>
        </w:tc>
        <w:tc>
          <w:tcPr>
            <w:tcW w:w="1389" w:type="dxa"/>
            <w:shd w:val="clear" w:color="auto" w:fill="auto"/>
            <w:vAlign w:val="center"/>
          </w:tcPr>
          <w:p w14:paraId="6DB2DC1D"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2022/23</w:t>
            </w:r>
          </w:p>
        </w:tc>
        <w:tc>
          <w:tcPr>
            <w:tcW w:w="1389" w:type="dxa"/>
            <w:shd w:val="clear" w:color="auto" w:fill="auto"/>
            <w:vAlign w:val="center"/>
          </w:tcPr>
          <w:p w14:paraId="01B33B87"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2023/24</w:t>
            </w:r>
          </w:p>
        </w:tc>
        <w:tc>
          <w:tcPr>
            <w:tcW w:w="1389" w:type="dxa"/>
            <w:shd w:val="clear" w:color="auto" w:fill="auto"/>
            <w:vAlign w:val="center"/>
          </w:tcPr>
          <w:p w14:paraId="53FF5F51"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2024/25</w:t>
            </w:r>
          </w:p>
        </w:tc>
        <w:tc>
          <w:tcPr>
            <w:tcW w:w="1389" w:type="dxa"/>
            <w:shd w:val="clear" w:color="auto" w:fill="auto"/>
            <w:vAlign w:val="center"/>
          </w:tcPr>
          <w:p w14:paraId="06F885E4"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2025/26 &amp; outyears</w:t>
            </w:r>
          </w:p>
        </w:tc>
      </w:tr>
      <w:tr w:rsidR="00FA295E" w:rsidRPr="00CC645F" w14:paraId="345B9136" w14:textId="77777777" w:rsidTr="00CC645F">
        <w:trPr>
          <w:cantSplit/>
        </w:trPr>
        <w:tc>
          <w:tcPr>
            <w:tcW w:w="1985" w:type="dxa"/>
            <w:shd w:val="clear" w:color="auto" w:fill="auto"/>
            <w:vAlign w:val="center"/>
          </w:tcPr>
          <w:p w14:paraId="1E72F45D" w14:textId="77777777" w:rsidR="00FA295E" w:rsidRPr="00CC645F" w:rsidRDefault="00FA295E" w:rsidP="00CC645F">
            <w:pPr>
              <w:spacing w:before="60" w:line="240" w:lineRule="auto"/>
              <w:jc w:val="left"/>
              <w:rPr>
                <w:rFonts w:ascii="Verdana" w:eastAsia="Times New Roman" w:hAnsi="Verdana" w:cs="Arial"/>
                <w:sz w:val="20"/>
                <w:szCs w:val="20"/>
              </w:rPr>
            </w:pPr>
            <w:r w:rsidRPr="00CC645F">
              <w:rPr>
                <w:rFonts w:ascii="Verdana" w:eastAsia="Times New Roman" w:hAnsi="Verdana" w:cs="Arial"/>
                <w:sz w:val="20"/>
                <w:szCs w:val="20"/>
              </w:rPr>
              <w:t>Crown Revenue and Receipts:</w:t>
            </w:r>
          </w:p>
          <w:p w14:paraId="3B155892" w14:textId="77777777" w:rsidR="00FA295E" w:rsidRPr="00CC645F" w:rsidRDefault="00FA295E" w:rsidP="00CC645F">
            <w:pPr>
              <w:spacing w:after="60" w:line="240" w:lineRule="auto"/>
              <w:jc w:val="left"/>
              <w:rPr>
                <w:rFonts w:ascii="Verdana" w:eastAsia="Times New Roman" w:hAnsi="Verdana" w:cs="Arial"/>
                <w:sz w:val="20"/>
                <w:szCs w:val="20"/>
              </w:rPr>
            </w:pPr>
            <w:r w:rsidRPr="00CC645F">
              <w:rPr>
                <w:rFonts w:ascii="Verdana" w:eastAsia="Times New Roman" w:hAnsi="Verdana" w:cs="Arial"/>
                <w:sz w:val="20"/>
                <w:szCs w:val="20"/>
              </w:rPr>
              <w:t>Tax Revenue</w:t>
            </w:r>
          </w:p>
        </w:tc>
        <w:tc>
          <w:tcPr>
            <w:tcW w:w="1389" w:type="dxa"/>
            <w:shd w:val="clear" w:color="auto" w:fill="auto"/>
            <w:vAlign w:val="center"/>
          </w:tcPr>
          <w:p w14:paraId="3CF3A923"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 xml:space="preserve">1.137 </w:t>
            </w:r>
          </w:p>
        </w:tc>
        <w:tc>
          <w:tcPr>
            <w:tcW w:w="1389" w:type="dxa"/>
            <w:shd w:val="clear" w:color="auto" w:fill="auto"/>
            <w:vAlign w:val="center"/>
          </w:tcPr>
          <w:p w14:paraId="6AAC8438"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8.480</w:t>
            </w:r>
          </w:p>
        </w:tc>
        <w:tc>
          <w:tcPr>
            <w:tcW w:w="1389" w:type="dxa"/>
            <w:shd w:val="clear" w:color="auto" w:fill="auto"/>
            <w:vAlign w:val="center"/>
          </w:tcPr>
          <w:p w14:paraId="775956BF"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9.000</w:t>
            </w:r>
          </w:p>
        </w:tc>
        <w:tc>
          <w:tcPr>
            <w:tcW w:w="1389" w:type="dxa"/>
            <w:shd w:val="clear" w:color="auto" w:fill="auto"/>
            <w:vAlign w:val="center"/>
          </w:tcPr>
          <w:p w14:paraId="3961C7A3"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9.000</w:t>
            </w:r>
          </w:p>
        </w:tc>
        <w:tc>
          <w:tcPr>
            <w:tcW w:w="1389" w:type="dxa"/>
            <w:shd w:val="clear" w:color="auto" w:fill="auto"/>
            <w:vAlign w:val="center"/>
          </w:tcPr>
          <w:p w14:paraId="77348191"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9.000</w:t>
            </w:r>
          </w:p>
        </w:tc>
      </w:tr>
      <w:tr w:rsidR="00FA295E" w:rsidRPr="00CC645F" w14:paraId="43D4C438" w14:textId="77777777" w:rsidTr="00CC645F">
        <w:trPr>
          <w:cantSplit/>
        </w:trPr>
        <w:tc>
          <w:tcPr>
            <w:tcW w:w="1985" w:type="dxa"/>
            <w:shd w:val="clear" w:color="auto" w:fill="auto"/>
            <w:vAlign w:val="center"/>
          </w:tcPr>
          <w:p w14:paraId="37DE9012" w14:textId="77777777" w:rsidR="00FA295E" w:rsidRPr="00CC645F" w:rsidRDefault="00FA295E" w:rsidP="00CC645F">
            <w:pPr>
              <w:spacing w:before="60" w:after="60" w:line="240" w:lineRule="auto"/>
              <w:jc w:val="left"/>
              <w:rPr>
                <w:rFonts w:ascii="Verdana" w:eastAsia="Times New Roman" w:hAnsi="Verdana" w:cs="Arial"/>
                <w:sz w:val="20"/>
                <w:szCs w:val="20"/>
              </w:rPr>
            </w:pPr>
            <w:r w:rsidRPr="00CC645F">
              <w:rPr>
                <w:rFonts w:ascii="Verdana" w:eastAsia="Times New Roman" w:hAnsi="Verdana" w:cs="Arial"/>
                <w:sz w:val="20"/>
                <w:szCs w:val="20"/>
              </w:rPr>
              <w:t xml:space="preserve">Non-Departmental Other Expense: </w:t>
            </w:r>
            <w:r w:rsidRPr="00CC645F">
              <w:rPr>
                <w:rFonts w:ascii="Verdana" w:eastAsia="Times New Roman" w:hAnsi="Verdana" w:cs="Arial"/>
                <w:i/>
                <w:iCs/>
                <w:sz w:val="20"/>
                <w:szCs w:val="20"/>
              </w:rPr>
              <w:t>Impairment of Debt and Debt Write-offs</w:t>
            </w:r>
          </w:p>
        </w:tc>
        <w:tc>
          <w:tcPr>
            <w:tcW w:w="1389" w:type="dxa"/>
            <w:shd w:val="clear" w:color="auto" w:fill="auto"/>
            <w:vAlign w:val="center"/>
          </w:tcPr>
          <w:p w14:paraId="7049D901"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 xml:space="preserve">0.895  </w:t>
            </w:r>
          </w:p>
        </w:tc>
        <w:tc>
          <w:tcPr>
            <w:tcW w:w="1389" w:type="dxa"/>
            <w:shd w:val="clear" w:color="auto" w:fill="auto"/>
            <w:vAlign w:val="center"/>
          </w:tcPr>
          <w:p w14:paraId="5C16ECBA"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6.674</w:t>
            </w:r>
          </w:p>
        </w:tc>
        <w:tc>
          <w:tcPr>
            <w:tcW w:w="1389" w:type="dxa"/>
            <w:shd w:val="clear" w:color="auto" w:fill="auto"/>
            <w:vAlign w:val="center"/>
          </w:tcPr>
          <w:p w14:paraId="76849507"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7.083</w:t>
            </w:r>
          </w:p>
        </w:tc>
        <w:tc>
          <w:tcPr>
            <w:tcW w:w="1389" w:type="dxa"/>
            <w:shd w:val="clear" w:color="auto" w:fill="auto"/>
            <w:vAlign w:val="center"/>
          </w:tcPr>
          <w:p w14:paraId="5756183D"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7.083</w:t>
            </w:r>
          </w:p>
        </w:tc>
        <w:tc>
          <w:tcPr>
            <w:tcW w:w="1389" w:type="dxa"/>
            <w:shd w:val="clear" w:color="auto" w:fill="auto"/>
            <w:vAlign w:val="center"/>
          </w:tcPr>
          <w:p w14:paraId="1CECCF2D" w14:textId="77777777" w:rsidR="00FA295E" w:rsidRPr="00CC645F" w:rsidRDefault="00FA295E" w:rsidP="00CC645F">
            <w:pPr>
              <w:spacing w:before="60" w:after="60" w:line="240" w:lineRule="auto"/>
              <w:jc w:val="right"/>
              <w:rPr>
                <w:rFonts w:ascii="Verdana" w:eastAsia="Times New Roman" w:hAnsi="Verdana" w:cs="Arial"/>
                <w:sz w:val="20"/>
                <w:szCs w:val="20"/>
              </w:rPr>
            </w:pPr>
            <w:r w:rsidRPr="00CC645F">
              <w:rPr>
                <w:rFonts w:ascii="Verdana" w:eastAsia="Times New Roman" w:hAnsi="Verdana" w:cs="Arial"/>
                <w:sz w:val="20"/>
                <w:szCs w:val="20"/>
              </w:rPr>
              <w:t>7.083</w:t>
            </w:r>
          </w:p>
        </w:tc>
      </w:tr>
      <w:tr w:rsidR="00FA295E" w:rsidRPr="00CC645F" w14:paraId="74F3AA6C" w14:textId="77777777" w:rsidTr="00CC645F">
        <w:trPr>
          <w:cantSplit/>
        </w:trPr>
        <w:tc>
          <w:tcPr>
            <w:tcW w:w="1985" w:type="dxa"/>
            <w:shd w:val="clear" w:color="auto" w:fill="auto"/>
            <w:vAlign w:val="center"/>
          </w:tcPr>
          <w:p w14:paraId="54786E23" w14:textId="77777777" w:rsidR="00FA295E" w:rsidRPr="00CC645F" w:rsidRDefault="00FA295E" w:rsidP="00CC645F">
            <w:pPr>
              <w:spacing w:before="60" w:after="60" w:line="240" w:lineRule="auto"/>
              <w:jc w:val="left"/>
              <w:rPr>
                <w:rFonts w:ascii="Verdana" w:eastAsia="Times New Roman" w:hAnsi="Verdana" w:cs="Arial"/>
                <w:b/>
                <w:bCs/>
                <w:sz w:val="20"/>
                <w:szCs w:val="20"/>
              </w:rPr>
            </w:pPr>
            <w:r w:rsidRPr="00CC645F">
              <w:rPr>
                <w:rFonts w:ascii="Verdana" w:hAnsi="Verdana" w:cs="Arial"/>
                <w:b/>
                <w:bCs/>
                <w:sz w:val="20"/>
                <w:szCs w:val="20"/>
              </w:rPr>
              <w:t>Total Operating</w:t>
            </w:r>
          </w:p>
        </w:tc>
        <w:tc>
          <w:tcPr>
            <w:tcW w:w="1389" w:type="dxa"/>
            <w:shd w:val="clear" w:color="auto" w:fill="auto"/>
            <w:vAlign w:val="center"/>
          </w:tcPr>
          <w:p w14:paraId="2B260DBB"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(0.242)</w:t>
            </w:r>
          </w:p>
        </w:tc>
        <w:tc>
          <w:tcPr>
            <w:tcW w:w="1389" w:type="dxa"/>
            <w:shd w:val="clear" w:color="auto" w:fill="auto"/>
            <w:vAlign w:val="center"/>
          </w:tcPr>
          <w:p w14:paraId="6DE990AE"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.806</w:t>
            </w:r>
            <w:r w:rsidRPr="00CC645F">
              <w:rPr>
                <w:rFonts w:ascii="Verdana" w:hAnsi="Verdana" w:cs="Arial"/>
                <w:b/>
                <w:bCs/>
                <w:sz w:val="20"/>
                <w:szCs w:val="20"/>
              </w:rPr>
              <w:t>)</w:t>
            </w:r>
          </w:p>
        </w:tc>
        <w:tc>
          <w:tcPr>
            <w:tcW w:w="1389" w:type="dxa"/>
            <w:shd w:val="clear" w:color="auto" w:fill="auto"/>
            <w:vAlign w:val="center"/>
          </w:tcPr>
          <w:p w14:paraId="34604392"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r w:rsidRPr="00CC645F">
              <w:rPr>
                <w:rFonts w:ascii="Verdana" w:hAnsi="Verdana" w:cs="Arial"/>
                <w:b/>
                <w:bCs/>
                <w:sz w:val="20"/>
                <w:szCs w:val="20"/>
              </w:rPr>
              <w:t>)</w:t>
            </w:r>
          </w:p>
        </w:tc>
        <w:tc>
          <w:tcPr>
            <w:tcW w:w="1389" w:type="dxa"/>
            <w:shd w:val="clear" w:color="auto" w:fill="auto"/>
            <w:vAlign w:val="center"/>
          </w:tcPr>
          <w:p w14:paraId="6C0D024A"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r w:rsidRPr="00CC645F">
              <w:rPr>
                <w:rFonts w:ascii="Verdana" w:hAnsi="Verdana" w:cs="Arial"/>
                <w:b/>
                <w:bCs/>
                <w:sz w:val="20"/>
                <w:szCs w:val="20"/>
              </w:rPr>
              <w:t>)</w:t>
            </w:r>
          </w:p>
        </w:tc>
        <w:tc>
          <w:tcPr>
            <w:tcW w:w="1389" w:type="dxa"/>
            <w:shd w:val="clear" w:color="auto" w:fill="auto"/>
            <w:vAlign w:val="center"/>
          </w:tcPr>
          <w:p w14:paraId="4A1DD14F"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r w:rsidRPr="00CC645F">
              <w:rPr>
                <w:rFonts w:ascii="Verdana" w:hAnsi="Verdana" w:cs="Arial"/>
                <w:b/>
                <w:bCs/>
                <w:sz w:val="20"/>
                <w:szCs w:val="20"/>
              </w:rPr>
              <w:t>)</w:t>
            </w:r>
          </w:p>
        </w:tc>
      </w:tr>
    </w:tbl>
    <w:p w14:paraId="24120311" w14:textId="77777777" w:rsidR="000D5E16" w:rsidRPr="000D5E16" w:rsidRDefault="000D5E16" w:rsidP="00210757">
      <w:pPr>
        <w:pStyle w:val="NumberedParagraph"/>
        <w:numPr>
          <w:ilvl w:val="0"/>
          <w:numId w:val="0"/>
        </w:numPr>
        <w:ind w:left="709" w:hanging="709"/>
      </w:pPr>
    </w:p>
    <w:p w14:paraId="5AACA513" w14:textId="5E13310E" w:rsidR="000D5E16" w:rsidRDefault="000D5E16" w:rsidP="008F2747">
      <w:pPr>
        <w:pStyle w:val="NumberedParagraph"/>
        <w:numPr>
          <w:ilvl w:val="0"/>
          <w:numId w:val="0"/>
        </w:numPr>
        <w:tabs>
          <w:tab w:val="left" w:pos="5387"/>
        </w:tabs>
        <w:ind w:left="1418"/>
      </w:pPr>
      <w:r w:rsidRPr="001623E0">
        <w:t>Noted</w:t>
      </w:r>
      <w:r>
        <w:tab/>
      </w:r>
      <w:proofErr w:type="spellStart"/>
      <w:r>
        <w:t>Noted</w:t>
      </w:r>
      <w:proofErr w:type="spellEnd"/>
    </w:p>
    <w:p w14:paraId="007BB9AC" w14:textId="05A86001" w:rsidR="000D5E16" w:rsidRPr="000D5E16" w:rsidRDefault="000D5E16" w:rsidP="00D96B4F">
      <w:pPr>
        <w:pStyle w:val="NumberedParagraph"/>
        <w:numPr>
          <w:ilvl w:val="1"/>
          <w:numId w:val="11"/>
        </w:numPr>
      </w:pPr>
      <w:r>
        <w:rPr>
          <w:b/>
        </w:rPr>
        <w:t>note</w:t>
      </w:r>
      <w:r>
        <w:rPr>
          <w:bCs/>
        </w:rPr>
        <w:t xml:space="preserve"> that the fiscal impacts will be treated as a forecast change, and so will have no impact on </w:t>
      </w:r>
      <w:proofErr w:type="gramStart"/>
      <w:r>
        <w:rPr>
          <w:bCs/>
        </w:rPr>
        <w:t>allowances;</w:t>
      </w:r>
      <w:proofErr w:type="gramEnd"/>
    </w:p>
    <w:p w14:paraId="2E9FCB2D" w14:textId="214DBF2E" w:rsidR="000D5E16" w:rsidRDefault="000D5E16" w:rsidP="008F2747">
      <w:pPr>
        <w:pStyle w:val="NumberedParagraph"/>
        <w:numPr>
          <w:ilvl w:val="0"/>
          <w:numId w:val="0"/>
        </w:numPr>
        <w:tabs>
          <w:tab w:val="left" w:pos="5387"/>
        </w:tabs>
        <w:ind w:left="1418"/>
      </w:pPr>
      <w:r w:rsidRPr="001623E0">
        <w:t>Noted</w:t>
      </w:r>
      <w:r>
        <w:tab/>
      </w:r>
      <w:proofErr w:type="spellStart"/>
      <w:r>
        <w:t>Noted</w:t>
      </w:r>
      <w:proofErr w:type="spellEnd"/>
    </w:p>
    <w:p w14:paraId="71DC9621" w14:textId="1B25495A" w:rsidR="000D5E16" w:rsidRPr="00210757" w:rsidRDefault="000D5E16" w:rsidP="00D96B4F">
      <w:pPr>
        <w:pStyle w:val="NumberedParagraph"/>
        <w:numPr>
          <w:ilvl w:val="1"/>
          <w:numId w:val="11"/>
        </w:numPr>
      </w:pPr>
      <w:r>
        <w:rPr>
          <w:b/>
        </w:rPr>
        <w:t xml:space="preserve">agree </w:t>
      </w:r>
      <w:r w:rsidRPr="007E3F28">
        <w:rPr>
          <w:rFonts w:cs="Arial"/>
          <w:lang w:eastAsia="en-US"/>
        </w:rPr>
        <w:t xml:space="preserve">that the proposed change to </w:t>
      </w:r>
      <w:r>
        <w:rPr>
          <w:rFonts w:cs="Arial"/>
          <w:lang w:eastAsia="en-US"/>
        </w:rPr>
        <w:t xml:space="preserve">the </w:t>
      </w:r>
      <w:r w:rsidRPr="00995437">
        <w:rPr>
          <w:rFonts w:eastAsia="Times New Roman" w:cs="Arial"/>
          <w:i/>
          <w:iCs/>
          <w:szCs w:val="20"/>
        </w:rPr>
        <w:t>Impairment of Debt and Debt Write-offs</w:t>
      </w:r>
      <w:r w:rsidRPr="007E3F28">
        <w:rPr>
          <w:rFonts w:cs="Arial"/>
          <w:lang w:eastAsia="en-US"/>
        </w:rPr>
        <w:t xml:space="preserve"> appropriation for 20</w:t>
      </w:r>
      <w:r>
        <w:rPr>
          <w:rFonts w:cs="Arial"/>
          <w:lang w:eastAsia="en-US"/>
        </w:rPr>
        <w:t>21</w:t>
      </w:r>
      <w:r w:rsidRPr="007E3F28">
        <w:rPr>
          <w:rFonts w:cs="Arial"/>
          <w:lang w:eastAsia="en-US"/>
        </w:rPr>
        <w:t>/</w:t>
      </w:r>
      <w:r>
        <w:rPr>
          <w:rFonts w:cs="Arial"/>
          <w:lang w:eastAsia="en-US"/>
        </w:rPr>
        <w:t>22</w:t>
      </w:r>
      <w:r w:rsidRPr="007E3F28">
        <w:rPr>
          <w:rFonts w:cs="Arial"/>
          <w:lang w:eastAsia="en-US"/>
        </w:rPr>
        <w:t xml:space="preserve"> above be included in the </w:t>
      </w:r>
      <w:r>
        <w:rPr>
          <w:rFonts w:cs="Arial"/>
          <w:lang w:eastAsia="en-US"/>
        </w:rPr>
        <w:t>2021/22</w:t>
      </w:r>
      <w:r w:rsidRPr="007E3F28">
        <w:rPr>
          <w:rFonts w:cs="Arial"/>
          <w:lang w:eastAsia="en-US"/>
        </w:rPr>
        <w:t xml:space="preserve"> Supplementary Estimates and that, in the interim, the increase(s) be met from </w:t>
      </w:r>
      <w:proofErr w:type="spellStart"/>
      <w:r w:rsidRPr="007E3F28">
        <w:rPr>
          <w:rFonts w:cs="Arial"/>
          <w:lang w:eastAsia="en-US"/>
        </w:rPr>
        <w:t>Imprest</w:t>
      </w:r>
      <w:proofErr w:type="spellEnd"/>
      <w:r w:rsidRPr="007E3F28">
        <w:rPr>
          <w:rFonts w:cs="Arial"/>
          <w:lang w:eastAsia="en-US"/>
        </w:rPr>
        <w:t xml:space="preserve"> </w:t>
      </w:r>
      <w:proofErr w:type="gramStart"/>
      <w:r w:rsidRPr="007E3F28">
        <w:rPr>
          <w:rFonts w:cs="Arial"/>
          <w:lang w:eastAsia="en-US"/>
        </w:rPr>
        <w:t>Supply</w:t>
      </w:r>
      <w:r>
        <w:rPr>
          <w:rFonts w:cs="Arial"/>
          <w:lang w:eastAsia="en-US"/>
        </w:rPr>
        <w:t>;</w:t>
      </w:r>
      <w:proofErr w:type="gramEnd"/>
    </w:p>
    <w:p w14:paraId="5283C442" w14:textId="66A5140C" w:rsidR="000D5E16" w:rsidRPr="00210757" w:rsidRDefault="000D5E16" w:rsidP="008F2747">
      <w:pPr>
        <w:pStyle w:val="NumberedParagraph"/>
        <w:numPr>
          <w:ilvl w:val="0"/>
          <w:numId w:val="0"/>
        </w:numPr>
        <w:tabs>
          <w:tab w:val="left" w:pos="5387"/>
        </w:tabs>
        <w:ind w:left="1418"/>
      </w:pPr>
      <w:r>
        <w:t>Agreed/Not agreed</w:t>
      </w:r>
      <w:r>
        <w:tab/>
        <w:t>Agreed/Not agreed</w:t>
      </w:r>
    </w:p>
    <w:p w14:paraId="6B8765EC" w14:textId="59500286" w:rsidR="00E63639" w:rsidRPr="00E63639" w:rsidRDefault="006A773E" w:rsidP="00D96B4F">
      <w:pPr>
        <w:pStyle w:val="NumberedParagraph"/>
        <w:numPr>
          <w:ilvl w:val="1"/>
          <w:numId w:val="11"/>
        </w:numPr>
      </w:pPr>
      <w:r w:rsidRPr="006A773E">
        <w:rPr>
          <w:b/>
        </w:rPr>
        <w:t>agree</w:t>
      </w:r>
      <w:r>
        <w:t xml:space="preserve"> </w:t>
      </w:r>
      <w:r w:rsidR="00EB3B1E">
        <w:t>t</w:t>
      </w:r>
      <w:r w:rsidR="00E63639" w:rsidRPr="00E63639">
        <w:t xml:space="preserve">hat </w:t>
      </w:r>
      <w:r w:rsidR="0033568B">
        <w:t>PCO</w:t>
      </w:r>
      <w:r w:rsidR="00E63639" w:rsidRPr="00E63639">
        <w:t xml:space="preserve"> draft</w:t>
      </w:r>
      <w:r w:rsidR="00C1277C">
        <w:t xml:space="preserve"> an</w:t>
      </w:r>
      <w:r w:rsidR="00E63639" w:rsidRPr="00E63639">
        <w:t xml:space="preserve"> Order in Council to </w:t>
      </w:r>
      <w:r w:rsidR="000A34B2">
        <w:t>adjust</w:t>
      </w:r>
      <w:r w:rsidR="007F5D1F">
        <w:t xml:space="preserve"> </w:t>
      </w:r>
      <w:r w:rsidR="00C1277C">
        <w:t>the</w:t>
      </w:r>
      <w:r w:rsidR="00D57E49">
        <w:t xml:space="preserve"> </w:t>
      </w:r>
      <w:r w:rsidR="00E63639" w:rsidRPr="00E63639">
        <w:t xml:space="preserve">UOMI </w:t>
      </w:r>
      <w:proofErr w:type="gramStart"/>
      <w:r w:rsidR="00E63639" w:rsidRPr="00E63639">
        <w:t>rates</w:t>
      </w:r>
      <w:r w:rsidR="00857F93">
        <w:t>;</w:t>
      </w:r>
      <w:proofErr w:type="gramEnd"/>
    </w:p>
    <w:p w14:paraId="445E09EB" w14:textId="65FF0133" w:rsidR="00E63639" w:rsidRPr="00E63639" w:rsidRDefault="00E63639" w:rsidP="008F2747">
      <w:pPr>
        <w:tabs>
          <w:tab w:val="left" w:pos="5387"/>
        </w:tabs>
        <w:ind w:left="1418"/>
      </w:pPr>
      <w:r w:rsidRPr="00E63639">
        <w:t>Agreed/Not agreed</w:t>
      </w:r>
      <w:r w:rsidR="00772FD7">
        <w:tab/>
      </w:r>
      <w:r w:rsidR="00772FD7" w:rsidRPr="00E63639">
        <w:t>Agreed/Not agreed</w:t>
      </w:r>
    </w:p>
    <w:p w14:paraId="66AF4786" w14:textId="77777777" w:rsidR="00E63639" w:rsidRPr="00E63639" w:rsidRDefault="00E63639" w:rsidP="00E63639"/>
    <w:p w14:paraId="16E624D3" w14:textId="7BE7F2B6" w:rsidR="00CC32A8" w:rsidRPr="00E63639" w:rsidRDefault="00CC32A8" w:rsidP="00CC32A8">
      <w:pPr>
        <w:pStyle w:val="NumberedParagraph"/>
        <w:numPr>
          <w:ilvl w:val="1"/>
          <w:numId w:val="11"/>
        </w:numPr>
      </w:pPr>
      <w:bookmarkStart w:id="13" w:name="_Hlk96437175"/>
      <w:r>
        <w:rPr>
          <w:b/>
          <w:bCs/>
        </w:rPr>
        <w:t>agree</w:t>
      </w:r>
      <w:r w:rsidRPr="00E63639">
        <w:t xml:space="preserve"> </w:t>
      </w:r>
      <w:r>
        <w:rPr>
          <w:bCs/>
        </w:rPr>
        <w:t>that</w:t>
      </w:r>
      <w:r w:rsidRPr="00E63639">
        <w:t xml:space="preserve"> the attached </w:t>
      </w:r>
      <w:r>
        <w:t xml:space="preserve">Cabinet </w:t>
      </w:r>
      <w:r w:rsidRPr="00E63639">
        <w:t>paper</w:t>
      </w:r>
      <w:r>
        <w:t xml:space="preserve"> be lodged with</w:t>
      </w:r>
      <w:r w:rsidRPr="00E63639">
        <w:t xml:space="preserve"> the Cabinet Office by </w:t>
      </w:r>
      <w:r>
        <w:t>10am Thursday 24 March 2022</w:t>
      </w:r>
      <w:r w:rsidRPr="00E63639">
        <w:t xml:space="preserve"> for consideration by Cabinet Legislation Committee at its meeting on </w:t>
      </w:r>
      <w:r>
        <w:t xml:space="preserve">31 March </w:t>
      </w:r>
      <w:proofErr w:type="gramStart"/>
      <w:r>
        <w:t>2022</w:t>
      </w:r>
      <w:bookmarkEnd w:id="13"/>
      <w:r>
        <w:t>;</w:t>
      </w:r>
      <w:proofErr w:type="gramEnd"/>
      <w:r>
        <w:t xml:space="preserve"> </w:t>
      </w:r>
    </w:p>
    <w:p w14:paraId="161F6AB4" w14:textId="33BC94D0" w:rsidR="00CC32A8" w:rsidRDefault="00CC32A8" w:rsidP="00842B9F">
      <w:pPr>
        <w:pStyle w:val="NumberedParagraph"/>
        <w:numPr>
          <w:ilvl w:val="0"/>
          <w:numId w:val="0"/>
        </w:numPr>
        <w:ind w:left="1418"/>
      </w:pPr>
      <w:r>
        <w:tab/>
        <w:t>Agreed/Not agreed</w:t>
      </w:r>
    </w:p>
    <w:p w14:paraId="6D57C0A2" w14:textId="481EE8FC" w:rsidR="00E63639" w:rsidRPr="00E63639" w:rsidRDefault="006D6396" w:rsidP="00D96B4F">
      <w:pPr>
        <w:pStyle w:val="NumberedParagraph"/>
        <w:numPr>
          <w:ilvl w:val="1"/>
          <w:numId w:val="11"/>
        </w:numPr>
      </w:pPr>
      <w:r>
        <w:rPr>
          <w:b/>
          <w:bCs/>
        </w:rPr>
        <w:t xml:space="preserve">approve </w:t>
      </w:r>
      <w:r w:rsidRPr="00F0421B">
        <w:t>and</w:t>
      </w:r>
      <w:r>
        <w:rPr>
          <w:b/>
          <w:bCs/>
        </w:rPr>
        <w:t xml:space="preserve"> lodge</w:t>
      </w:r>
      <w:r w:rsidR="00E63639" w:rsidRPr="00E63639">
        <w:t xml:space="preserve"> </w:t>
      </w:r>
      <w:r w:rsidR="001D429B">
        <w:t xml:space="preserve">the attached </w:t>
      </w:r>
      <w:r w:rsidR="00C41FC1">
        <w:t xml:space="preserve">Cabinet </w:t>
      </w:r>
      <w:r w:rsidR="001D429B">
        <w:t>paper</w:t>
      </w:r>
      <w:r w:rsidR="006A773E">
        <w:t xml:space="preserve"> </w:t>
      </w:r>
      <w:r w:rsidR="00E63639" w:rsidRPr="00E63639">
        <w:t xml:space="preserve">to the Cabinet Office by </w:t>
      </w:r>
      <w:r w:rsidR="00A5708E">
        <w:t>10am Thursday 24 March 2022</w:t>
      </w:r>
      <w:r w:rsidR="00E63639" w:rsidRPr="00E63639">
        <w:t xml:space="preserve"> for consideration by Cabinet Legislation Committee at its meeting on </w:t>
      </w:r>
      <w:r w:rsidR="00A5708E">
        <w:t xml:space="preserve">31 March </w:t>
      </w:r>
      <w:proofErr w:type="gramStart"/>
      <w:r w:rsidR="00A5708E">
        <w:t>2022</w:t>
      </w:r>
      <w:r w:rsidR="006228A9">
        <w:t>;</w:t>
      </w:r>
      <w:proofErr w:type="gramEnd"/>
      <w:r w:rsidR="004639FB">
        <w:t xml:space="preserve"> </w:t>
      </w:r>
    </w:p>
    <w:p w14:paraId="71740C94" w14:textId="1760125A" w:rsidR="005520B1" w:rsidRDefault="00772FD7" w:rsidP="008F2747">
      <w:pPr>
        <w:pStyle w:val="NumberedParagraph"/>
        <w:numPr>
          <w:ilvl w:val="0"/>
          <w:numId w:val="0"/>
        </w:numPr>
        <w:ind w:left="5387"/>
      </w:pPr>
      <w:r>
        <w:t>Approved and lodged/Not approved</w:t>
      </w:r>
    </w:p>
    <w:p w14:paraId="347B247B" w14:textId="2EB42FF5" w:rsidR="00653D02" w:rsidRDefault="00653D02" w:rsidP="00653D02">
      <w:pPr>
        <w:pStyle w:val="NumberedParagraph"/>
      </w:pPr>
      <w:r>
        <w:t xml:space="preserve">if you select </w:t>
      </w:r>
      <w:r w:rsidR="00550EBA">
        <w:t>O</w:t>
      </w:r>
      <w:r>
        <w:t>ption 2:</w:t>
      </w:r>
    </w:p>
    <w:p w14:paraId="73335BEC" w14:textId="0126FFDE" w:rsidR="00653D02" w:rsidRDefault="00653D02" w:rsidP="00653D02">
      <w:pPr>
        <w:pStyle w:val="NumberedParagraph"/>
        <w:numPr>
          <w:ilvl w:val="1"/>
          <w:numId w:val="11"/>
        </w:numPr>
      </w:pPr>
      <w:r>
        <w:rPr>
          <w:b/>
        </w:rPr>
        <w:t>note</w:t>
      </w:r>
      <w:r>
        <w:t xml:space="preserve"> </w:t>
      </w:r>
      <w:r w:rsidRPr="00653D02">
        <w:t xml:space="preserve">the following </w:t>
      </w:r>
      <w:r w:rsidR="00327D0F">
        <w:t xml:space="preserve">estimated </w:t>
      </w:r>
      <w:r w:rsidRPr="00653D02">
        <w:t xml:space="preserve">changes </w:t>
      </w:r>
      <w:proofErr w:type="gramStart"/>
      <w:r w:rsidRPr="00653D02">
        <w:t>as a result of</w:t>
      </w:r>
      <w:proofErr w:type="gramEnd"/>
      <w:r w:rsidRPr="00653D02">
        <w:t xml:space="preserve"> the decision to defer changing UOMI rates, with a corresponding impact on the operating balance and net core Crown debt:</w:t>
      </w:r>
    </w:p>
    <w:tbl>
      <w:tblPr>
        <w:tblStyle w:val="TableGrid1"/>
        <w:tblW w:w="9072" w:type="dxa"/>
        <w:tblInd w:w="142" w:type="dxa"/>
        <w:tblLayout w:type="fixed"/>
        <w:tblLook w:val="04A0" w:firstRow="1" w:lastRow="0" w:firstColumn="1" w:lastColumn="0" w:noHBand="0" w:noVBand="1"/>
      </w:tblPr>
      <w:tblGrid>
        <w:gridCol w:w="1985"/>
        <w:gridCol w:w="1417"/>
        <w:gridCol w:w="1417"/>
        <w:gridCol w:w="1418"/>
        <w:gridCol w:w="1417"/>
        <w:gridCol w:w="1418"/>
      </w:tblGrid>
      <w:tr w:rsidR="00FA295E" w:rsidRPr="00CC645F" w14:paraId="13DA6BC3" w14:textId="77777777" w:rsidTr="00CC645F">
        <w:trPr>
          <w:cantSplit/>
        </w:trPr>
        <w:tc>
          <w:tcPr>
            <w:tcW w:w="1985" w:type="dxa"/>
            <w:tcBorders>
              <w:top w:val="nil"/>
              <w:left w:val="nil"/>
            </w:tcBorders>
            <w:shd w:val="clear" w:color="auto" w:fill="auto"/>
          </w:tcPr>
          <w:p w14:paraId="4307A8A1" w14:textId="77777777" w:rsidR="00FA295E" w:rsidRPr="00CC645F" w:rsidRDefault="00FA295E" w:rsidP="00CC645F">
            <w:pPr>
              <w:pStyle w:val="NumberedParagraphCabStandard"/>
              <w:tabs>
                <w:tab w:val="clear" w:pos="709"/>
              </w:tabs>
              <w:spacing w:before="60" w:after="60"/>
              <w:ind w:left="0" w:firstLine="0"/>
              <w:rPr>
                <w:rFonts w:ascii="Verdana" w:hAnsi="Verdana"/>
                <w:sz w:val="20"/>
                <w:szCs w:val="20"/>
              </w:rPr>
            </w:pPr>
          </w:p>
        </w:tc>
        <w:tc>
          <w:tcPr>
            <w:tcW w:w="7087" w:type="dxa"/>
            <w:gridSpan w:val="5"/>
            <w:shd w:val="clear" w:color="auto" w:fill="auto"/>
            <w:vAlign w:val="center"/>
          </w:tcPr>
          <w:p w14:paraId="17DCFCC9" w14:textId="77777777" w:rsidR="00FA295E" w:rsidRPr="00CC645F" w:rsidRDefault="00FA295E" w:rsidP="00CC645F">
            <w:pPr>
              <w:spacing w:before="60" w:after="60"/>
              <w:jc w:val="center"/>
              <w:rPr>
                <w:rFonts w:ascii="Verdana" w:hAnsi="Verdana"/>
                <w:b/>
                <w:bCs/>
                <w:sz w:val="20"/>
                <w:szCs w:val="20"/>
              </w:rPr>
            </w:pPr>
            <w:r w:rsidRPr="00CC645F">
              <w:rPr>
                <w:rFonts w:ascii="Verdana" w:eastAsia="Times New Roman" w:hAnsi="Verdana" w:cs="Arial"/>
                <w:b/>
                <w:bCs/>
                <w:sz w:val="20"/>
                <w:szCs w:val="20"/>
              </w:rPr>
              <w:t>$millions - increase/(decrease)</w:t>
            </w:r>
          </w:p>
        </w:tc>
      </w:tr>
      <w:tr w:rsidR="00FA295E" w:rsidRPr="00CC645F" w14:paraId="5A59AE36" w14:textId="77777777" w:rsidTr="00CC645F">
        <w:trPr>
          <w:cantSplit/>
        </w:trPr>
        <w:tc>
          <w:tcPr>
            <w:tcW w:w="1985" w:type="dxa"/>
            <w:shd w:val="clear" w:color="auto" w:fill="auto"/>
            <w:vAlign w:val="center"/>
          </w:tcPr>
          <w:p w14:paraId="3D64C8EB" w14:textId="77777777" w:rsidR="00FA295E" w:rsidRPr="00CC645F" w:rsidRDefault="00FA295E" w:rsidP="00CC645F">
            <w:pPr>
              <w:spacing w:before="60" w:after="60" w:line="240" w:lineRule="auto"/>
              <w:jc w:val="left"/>
              <w:rPr>
                <w:rFonts w:ascii="Verdana" w:eastAsia="Times New Roman" w:hAnsi="Verdana" w:cs="Arial"/>
                <w:b/>
                <w:bCs/>
                <w:sz w:val="20"/>
                <w:szCs w:val="20"/>
              </w:rPr>
            </w:pPr>
            <w:r w:rsidRPr="00CC645F">
              <w:rPr>
                <w:rFonts w:ascii="Verdana" w:eastAsia="Times New Roman" w:hAnsi="Verdana" w:cs="Arial"/>
                <w:b/>
                <w:bCs/>
                <w:sz w:val="20"/>
                <w:szCs w:val="20"/>
              </w:rPr>
              <w:t>Vote Revenue</w:t>
            </w:r>
          </w:p>
        </w:tc>
        <w:tc>
          <w:tcPr>
            <w:tcW w:w="1417" w:type="dxa"/>
            <w:shd w:val="clear" w:color="auto" w:fill="auto"/>
            <w:vAlign w:val="center"/>
          </w:tcPr>
          <w:p w14:paraId="5E7CB83C"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2021/22</w:t>
            </w:r>
          </w:p>
        </w:tc>
        <w:tc>
          <w:tcPr>
            <w:tcW w:w="1417" w:type="dxa"/>
            <w:shd w:val="clear" w:color="auto" w:fill="auto"/>
            <w:vAlign w:val="center"/>
          </w:tcPr>
          <w:p w14:paraId="71B4BFF8"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2022/23</w:t>
            </w:r>
          </w:p>
        </w:tc>
        <w:tc>
          <w:tcPr>
            <w:tcW w:w="1418" w:type="dxa"/>
            <w:shd w:val="clear" w:color="auto" w:fill="auto"/>
            <w:vAlign w:val="center"/>
          </w:tcPr>
          <w:p w14:paraId="3E3575B2"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2023/24</w:t>
            </w:r>
          </w:p>
        </w:tc>
        <w:tc>
          <w:tcPr>
            <w:tcW w:w="1417" w:type="dxa"/>
            <w:shd w:val="clear" w:color="auto" w:fill="auto"/>
            <w:vAlign w:val="center"/>
          </w:tcPr>
          <w:p w14:paraId="23F0F705"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2024/25</w:t>
            </w:r>
          </w:p>
        </w:tc>
        <w:tc>
          <w:tcPr>
            <w:tcW w:w="1418" w:type="dxa"/>
            <w:shd w:val="clear" w:color="auto" w:fill="auto"/>
            <w:vAlign w:val="center"/>
          </w:tcPr>
          <w:p w14:paraId="6E414DFC"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eastAsia="Times New Roman" w:hAnsi="Verdana" w:cs="Arial"/>
                <w:b/>
                <w:bCs/>
                <w:sz w:val="20"/>
                <w:szCs w:val="20"/>
              </w:rPr>
              <w:t>2025/26 &amp; outyears</w:t>
            </w:r>
          </w:p>
        </w:tc>
      </w:tr>
      <w:tr w:rsidR="00FA295E" w:rsidRPr="00CC645F" w14:paraId="196C6B36" w14:textId="77777777" w:rsidTr="00CC645F">
        <w:trPr>
          <w:cantSplit/>
        </w:trPr>
        <w:tc>
          <w:tcPr>
            <w:tcW w:w="1985" w:type="dxa"/>
            <w:shd w:val="clear" w:color="auto" w:fill="auto"/>
            <w:vAlign w:val="center"/>
          </w:tcPr>
          <w:p w14:paraId="3D7D3C96" w14:textId="77777777" w:rsidR="00FA295E" w:rsidRPr="00CC645F" w:rsidRDefault="00FA295E" w:rsidP="00CC645F">
            <w:pPr>
              <w:spacing w:before="60" w:line="240" w:lineRule="auto"/>
              <w:jc w:val="left"/>
              <w:rPr>
                <w:rFonts w:ascii="Verdana" w:eastAsia="Times New Roman" w:hAnsi="Verdana" w:cs="Arial"/>
                <w:sz w:val="20"/>
                <w:szCs w:val="20"/>
              </w:rPr>
            </w:pPr>
            <w:r w:rsidRPr="00CC645F">
              <w:rPr>
                <w:rFonts w:ascii="Verdana" w:eastAsia="Times New Roman" w:hAnsi="Verdana" w:cs="Arial"/>
                <w:sz w:val="20"/>
                <w:szCs w:val="20"/>
              </w:rPr>
              <w:t>Crown Revenue and Receipts:</w:t>
            </w:r>
          </w:p>
          <w:p w14:paraId="088A20B6" w14:textId="77777777" w:rsidR="00FA295E" w:rsidRPr="00CC645F" w:rsidRDefault="00FA295E" w:rsidP="00CC645F">
            <w:pPr>
              <w:spacing w:after="60" w:line="240" w:lineRule="auto"/>
              <w:jc w:val="left"/>
              <w:rPr>
                <w:rFonts w:ascii="Verdana" w:eastAsia="Times New Roman" w:hAnsi="Verdana" w:cs="Arial"/>
                <w:sz w:val="20"/>
                <w:szCs w:val="20"/>
              </w:rPr>
            </w:pPr>
            <w:r w:rsidRPr="00CC645F">
              <w:rPr>
                <w:rFonts w:ascii="Verdana" w:eastAsia="Times New Roman" w:hAnsi="Verdana" w:cs="Arial"/>
                <w:sz w:val="20"/>
                <w:szCs w:val="20"/>
              </w:rPr>
              <w:t>Tax Revenue</w:t>
            </w:r>
          </w:p>
        </w:tc>
        <w:tc>
          <w:tcPr>
            <w:tcW w:w="1417" w:type="dxa"/>
            <w:shd w:val="clear" w:color="auto" w:fill="auto"/>
            <w:vAlign w:val="center"/>
          </w:tcPr>
          <w:p w14:paraId="36158DE8"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1.137</w:t>
            </w:r>
            <w:r>
              <w:rPr>
                <w:rFonts w:ascii="Verdana" w:eastAsia="Times New Roman" w:hAnsi="Verdana" w:cs="Arial"/>
                <w:sz w:val="20"/>
                <w:szCs w:val="20"/>
              </w:rPr>
              <w:t>)</w:t>
            </w:r>
            <w:r w:rsidRPr="00CC645F">
              <w:rPr>
                <w:rFonts w:ascii="Verdana" w:eastAsia="Times New Roman" w:hAnsi="Verdana" w:cs="Arial"/>
                <w:sz w:val="20"/>
                <w:szCs w:val="20"/>
              </w:rPr>
              <w:t xml:space="preserve"> </w:t>
            </w:r>
          </w:p>
        </w:tc>
        <w:tc>
          <w:tcPr>
            <w:tcW w:w="1417" w:type="dxa"/>
            <w:shd w:val="clear" w:color="auto" w:fill="auto"/>
            <w:vAlign w:val="center"/>
          </w:tcPr>
          <w:p w14:paraId="73F1C210"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8.480</w:t>
            </w:r>
            <w:r>
              <w:rPr>
                <w:rFonts w:ascii="Verdana" w:eastAsia="Times New Roman" w:hAnsi="Verdana" w:cs="Arial"/>
                <w:sz w:val="20"/>
                <w:szCs w:val="20"/>
              </w:rPr>
              <w:t>)</w:t>
            </w:r>
          </w:p>
        </w:tc>
        <w:tc>
          <w:tcPr>
            <w:tcW w:w="1418" w:type="dxa"/>
            <w:shd w:val="clear" w:color="auto" w:fill="auto"/>
            <w:vAlign w:val="center"/>
          </w:tcPr>
          <w:p w14:paraId="1CAED647"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9.000</w:t>
            </w:r>
            <w:r>
              <w:rPr>
                <w:rFonts w:ascii="Verdana" w:eastAsia="Times New Roman" w:hAnsi="Verdana" w:cs="Arial"/>
                <w:sz w:val="20"/>
                <w:szCs w:val="20"/>
              </w:rPr>
              <w:t>)</w:t>
            </w:r>
          </w:p>
        </w:tc>
        <w:tc>
          <w:tcPr>
            <w:tcW w:w="1417" w:type="dxa"/>
            <w:shd w:val="clear" w:color="auto" w:fill="auto"/>
            <w:vAlign w:val="center"/>
          </w:tcPr>
          <w:p w14:paraId="7A5F1C02"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9.000</w:t>
            </w:r>
            <w:r>
              <w:rPr>
                <w:rFonts w:ascii="Verdana" w:eastAsia="Times New Roman" w:hAnsi="Verdana" w:cs="Arial"/>
                <w:sz w:val="20"/>
                <w:szCs w:val="20"/>
              </w:rPr>
              <w:t>)</w:t>
            </w:r>
          </w:p>
        </w:tc>
        <w:tc>
          <w:tcPr>
            <w:tcW w:w="1418" w:type="dxa"/>
            <w:shd w:val="clear" w:color="auto" w:fill="auto"/>
            <w:vAlign w:val="center"/>
          </w:tcPr>
          <w:p w14:paraId="2DC27E1A"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9.000</w:t>
            </w:r>
            <w:r>
              <w:rPr>
                <w:rFonts w:ascii="Verdana" w:eastAsia="Times New Roman" w:hAnsi="Verdana" w:cs="Arial"/>
                <w:sz w:val="20"/>
                <w:szCs w:val="20"/>
              </w:rPr>
              <w:t>)</w:t>
            </w:r>
          </w:p>
        </w:tc>
      </w:tr>
      <w:tr w:rsidR="00FA295E" w:rsidRPr="00CC645F" w14:paraId="3FCA6986" w14:textId="77777777" w:rsidTr="00CC645F">
        <w:trPr>
          <w:cantSplit/>
        </w:trPr>
        <w:tc>
          <w:tcPr>
            <w:tcW w:w="1985" w:type="dxa"/>
            <w:shd w:val="clear" w:color="auto" w:fill="auto"/>
            <w:vAlign w:val="center"/>
          </w:tcPr>
          <w:p w14:paraId="6F59C032" w14:textId="77777777" w:rsidR="00FA295E" w:rsidRPr="00CC645F" w:rsidRDefault="00FA295E" w:rsidP="00CC645F">
            <w:pPr>
              <w:spacing w:before="60" w:line="240" w:lineRule="auto"/>
              <w:jc w:val="left"/>
              <w:rPr>
                <w:rFonts w:ascii="Verdana" w:eastAsia="Times New Roman" w:hAnsi="Verdana" w:cs="Arial"/>
                <w:sz w:val="20"/>
                <w:szCs w:val="20"/>
              </w:rPr>
            </w:pPr>
            <w:r w:rsidRPr="00CC645F">
              <w:rPr>
                <w:rFonts w:ascii="Verdana" w:eastAsia="Times New Roman" w:hAnsi="Verdana" w:cs="Arial"/>
                <w:sz w:val="20"/>
                <w:szCs w:val="20"/>
              </w:rPr>
              <w:t xml:space="preserve">Non-Departmental Other Expense: </w:t>
            </w:r>
            <w:r w:rsidRPr="00CC645F">
              <w:rPr>
                <w:rFonts w:ascii="Verdana" w:eastAsia="Times New Roman" w:hAnsi="Verdana" w:cs="Arial"/>
                <w:i/>
                <w:iCs/>
                <w:sz w:val="20"/>
                <w:szCs w:val="20"/>
              </w:rPr>
              <w:t>Impairment of Debt and Debt Write-offs</w:t>
            </w:r>
          </w:p>
        </w:tc>
        <w:tc>
          <w:tcPr>
            <w:tcW w:w="1417" w:type="dxa"/>
            <w:shd w:val="clear" w:color="auto" w:fill="auto"/>
            <w:vAlign w:val="center"/>
          </w:tcPr>
          <w:p w14:paraId="612F263D"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0.895</w:t>
            </w:r>
            <w:r>
              <w:rPr>
                <w:rFonts w:ascii="Verdana" w:eastAsia="Times New Roman" w:hAnsi="Verdana" w:cs="Arial"/>
                <w:sz w:val="20"/>
                <w:szCs w:val="20"/>
              </w:rPr>
              <w:t>)</w:t>
            </w:r>
            <w:r w:rsidRPr="00CC645F">
              <w:rPr>
                <w:rFonts w:ascii="Verdana" w:eastAsia="Times New Roman" w:hAnsi="Verdana" w:cs="Arial"/>
                <w:sz w:val="20"/>
                <w:szCs w:val="20"/>
              </w:rPr>
              <w:t xml:space="preserve">  </w:t>
            </w:r>
          </w:p>
        </w:tc>
        <w:tc>
          <w:tcPr>
            <w:tcW w:w="1417" w:type="dxa"/>
            <w:shd w:val="clear" w:color="auto" w:fill="auto"/>
            <w:vAlign w:val="center"/>
          </w:tcPr>
          <w:p w14:paraId="68DAD789"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6.674</w:t>
            </w:r>
            <w:r>
              <w:rPr>
                <w:rFonts w:ascii="Verdana" w:eastAsia="Times New Roman" w:hAnsi="Verdana" w:cs="Arial"/>
                <w:sz w:val="20"/>
                <w:szCs w:val="20"/>
              </w:rPr>
              <w:t>)</w:t>
            </w:r>
          </w:p>
        </w:tc>
        <w:tc>
          <w:tcPr>
            <w:tcW w:w="1418" w:type="dxa"/>
            <w:shd w:val="clear" w:color="auto" w:fill="auto"/>
            <w:vAlign w:val="center"/>
          </w:tcPr>
          <w:p w14:paraId="2E8B99C2"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7.083</w:t>
            </w:r>
            <w:r>
              <w:rPr>
                <w:rFonts w:ascii="Verdana" w:eastAsia="Times New Roman" w:hAnsi="Verdana" w:cs="Arial"/>
                <w:sz w:val="20"/>
                <w:szCs w:val="20"/>
              </w:rPr>
              <w:t>)</w:t>
            </w:r>
          </w:p>
        </w:tc>
        <w:tc>
          <w:tcPr>
            <w:tcW w:w="1417" w:type="dxa"/>
            <w:shd w:val="clear" w:color="auto" w:fill="auto"/>
            <w:vAlign w:val="center"/>
          </w:tcPr>
          <w:p w14:paraId="3C966C09"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7.083</w:t>
            </w:r>
            <w:r>
              <w:rPr>
                <w:rFonts w:ascii="Verdana" w:eastAsia="Times New Roman" w:hAnsi="Verdana" w:cs="Arial"/>
                <w:sz w:val="20"/>
                <w:szCs w:val="20"/>
              </w:rPr>
              <w:t>)</w:t>
            </w:r>
          </w:p>
        </w:tc>
        <w:tc>
          <w:tcPr>
            <w:tcW w:w="1418" w:type="dxa"/>
            <w:shd w:val="clear" w:color="auto" w:fill="auto"/>
            <w:vAlign w:val="center"/>
          </w:tcPr>
          <w:p w14:paraId="71BB76D3" w14:textId="77777777" w:rsidR="00FA295E" w:rsidRPr="00CC645F" w:rsidRDefault="00FA295E" w:rsidP="00CC645F">
            <w:pPr>
              <w:spacing w:before="60" w:after="60" w:line="240" w:lineRule="auto"/>
              <w:jc w:val="right"/>
              <w:rPr>
                <w:rFonts w:ascii="Verdana" w:eastAsia="Times New Roman" w:hAnsi="Verdana" w:cs="Arial"/>
                <w:sz w:val="20"/>
                <w:szCs w:val="20"/>
              </w:rPr>
            </w:pPr>
            <w:r>
              <w:rPr>
                <w:rFonts w:ascii="Verdana" w:eastAsia="Times New Roman" w:hAnsi="Verdana" w:cs="Arial"/>
                <w:sz w:val="20"/>
                <w:szCs w:val="20"/>
              </w:rPr>
              <w:t>(</w:t>
            </w:r>
            <w:r w:rsidRPr="00CC645F">
              <w:rPr>
                <w:rFonts w:ascii="Verdana" w:eastAsia="Times New Roman" w:hAnsi="Verdana" w:cs="Arial"/>
                <w:sz w:val="20"/>
                <w:szCs w:val="20"/>
              </w:rPr>
              <w:t>7.083</w:t>
            </w:r>
            <w:r>
              <w:rPr>
                <w:rFonts w:ascii="Verdana" w:eastAsia="Times New Roman" w:hAnsi="Verdana" w:cs="Arial"/>
                <w:sz w:val="20"/>
                <w:szCs w:val="20"/>
              </w:rPr>
              <w:t>)</w:t>
            </w:r>
          </w:p>
        </w:tc>
      </w:tr>
      <w:tr w:rsidR="00FA295E" w:rsidRPr="00CC645F" w14:paraId="67DC7A5D" w14:textId="77777777" w:rsidTr="00CC645F">
        <w:trPr>
          <w:cantSplit/>
        </w:trPr>
        <w:tc>
          <w:tcPr>
            <w:tcW w:w="1985" w:type="dxa"/>
            <w:shd w:val="clear" w:color="auto" w:fill="auto"/>
            <w:vAlign w:val="center"/>
          </w:tcPr>
          <w:p w14:paraId="533F10AC" w14:textId="77777777" w:rsidR="00FA295E" w:rsidRPr="00CC645F" w:rsidRDefault="00FA295E" w:rsidP="00CC645F">
            <w:pPr>
              <w:spacing w:before="60" w:line="240" w:lineRule="auto"/>
              <w:jc w:val="left"/>
              <w:rPr>
                <w:rFonts w:ascii="Verdana" w:eastAsia="Times New Roman" w:hAnsi="Verdana" w:cs="Arial"/>
                <w:b/>
                <w:bCs/>
                <w:sz w:val="20"/>
                <w:szCs w:val="20"/>
              </w:rPr>
            </w:pPr>
            <w:r w:rsidRPr="00CC645F">
              <w:rPr>
                <w:rFonts w:ascii="Verdana" w:hAnsi="Verdana"/>
                <w:b/>
                <w:bCs/>
                <w:sz w:val="20"/>
                <w:szCs w:val="20"/>
              </w:rPr>
              <w:t>Total Operating</w:t>
            </w:r>
          </w:p>
        </w:tc>
        <w:tc>
          <w:tcPr>
            <w:tcW w:w="1417" w:type="dxa"/>
            <w:shd w:val="clear" w:color="auto" w:fill="auto"/>
            <w:vAlign w:val="center"/>
          </w:tcPr>
          <w:p w14:paraId="356F6BE7"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0.242</w:t>
            </w:r>
          </w:p>
        </w:tc>
        <w:tc>
          <w:tcPr>
            <w:tcW w:w="1417" w:type="dxa"/>
            <w:shd w:val="clear" w:color="auto" w:fill="auto"/>
            <w:vAlign w:val="center"/>
          </w:tcPr>
          <w:p w14:paraId="0E8B5975"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.806</w:t>
            </w:r>
          </w:p>
        </w:tc>
        <w:tc>
          <w:tcPr>
            <w:tcW w:w="1418" w:type="dxa"/>
            <w:shd w:val="clear" w:color="auto" w:fill="auto"/>
            <w:vAlign w:val="center"/>
          </w:tcPr>
          <w:p w14:paraId="12F39D7F"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p>
        </w:tc>
        <w:tc>
          <w:tcPr>
            <w:tcW w:w="1417" w:type="dxa"/>
            <w:shd w:val="clear" w:color="auto" w:fill="auto"/>
            <w:vAlign w:val="center"/>
          </w:tcPr>
          <w:p w14:paraId="26EDC943"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p>
        </w:tc>
        <w:tc>
          <w:tcPr>
            <w:tcW w:w="1418" w:type="dxa"/>
            <w:shd w:val="clear" w:color="auto" w:fill="auto"/>
            <w:vAlign w:val="center"/>
          </w:tcPr>
          <w:p w14:paraId="0B4EC4B1" w14:textId="77777777" w:rsidR="00FA295E" w:rsidRPr="00CC645F" w:rsidRDefault="00FA295E" w:rsidP="00CC645F">
            <w:pPr>
              <w:spacing w:before="60" w:after="60" w:line="240" w:lineRule="auto"/>
              <w:jc w:val="right"/>
              <w:rPr>
                <w:rFonts w:ascii="Verdana" w:eastAsia="Times New Roman" w:hAnsi="Verdana" w:cs="Arial"/>
                <w:b/>
                <w:bCs/>
                <w:sz w:val="20"/>
                <w:szCs w:val="20"/>
              </w:rPr>
            </w:pPr>
            <w:r w:rsidRPr="00CC645F">
              <w:rPr>
                <w:rFonts w:ascii="Verdana" w:hAnsi="Verdana" w:cs="Arial"/>
                <w:b/>
                <w:bCs/>
                <w:sz w:val="20"/>
                <w:szCs w:val="20"/>
              </w:rPr>
              <w:t>1</w:t>
            </w:r>
            <w:r w:rsidRPr="00CC645F">
              <w:rPr>
                <w:rFonts w:ascii="Verdana" w:eastAsia="Times New Roman" w:hAnsi="Verdana" w:cs="Arial"/>
                <w:b/>
                <w:bCs/>
                <w:sz w:val="20"/>
                <w:szCs w:val="20"/>
              </w:rPr>
              <w:t>.917</w:t>
            </w:r>
          </w:p>
        </w:tc>
      </w:tr>
    </w:tbl>
    <w:p w14:paraId="07168C89" w14:textId="77777777" w:rsidR="005032C5" w:rsidRDefault="005032C5" w:rsidP="00653D02">
      <w:pPr>
        <w:ind w:left="709"/>
      </w:pPr>
    </w:p>
    <w:p w14:paraId="145A5364" w14:textId="106E649F" w:rsidR="00653D02" w:rsidRPr="00E63639" w:rsidRDefault="005032C5" w:rsidP="00450494">
      <w:pPr>
        <w:tabs>
          <w:tab w:val="left" w:pos="5387"/>
        </w:tabs>
        <w:ind w:left="1407" w:firstLine="11"/>
      </w:pPr>
      <w:r>
        <w:t>Noted</w:t>
      </w:r>
      <w:r w:rsidR="00653D02">
        <w:tab/>
      </w:r>
      <w:proofErr w:type="spellStart"/>
      <w:r>
        <w:t>Noted</w:t>
      </w:r>
      <w:proofErr w:type="spellEnd"/>
    </w:p>
    <w:p w14:paraId="683DD11B" w14:textId="77777777" w:rsidR="00653D02" w:rsidRPr="00E63639" w:rsidRDefault="00653D02" w:rsidP="00653D02"/>
    <w:p w14:paraId="5025FEC8" w14:textId="7555AC35" w:rsidR="00550EBA" w:rsidRDefault="00327D0F" w:rsidP="00653D02">
      <w:pPr>
        <w:pStyle w:val="NumberedParagraph"/>
        <w:numPr>
          <w:ilvl w:val="1"/>
          <w:numId w:val="11"/>
        </w:numPr>
      </w:pPr>
      <w:r>
        <w:rPr>
          <w:b/>
          <w:bCs/>
        </w:rPr>
        <w:t xml:space="preserve">note </w:t>
      </w:r>
      <w:r w:rsidRPr="00843F95">
        <w:t xml:space="preserve">that the real effect might be larger or smaller depending on the movement of interest rates </w:t>
      </w:r>
      <w:r>
        <w:t>and</w:t>
      </w:r>
      <w:r w:rsidRPr="00843F95">
        <w:t xml:space="preserve"> when the eventual decision is </w:t>
      </w:r>
      <w:proofErr w:type="gramStart"/>
      <w:r w:rsidRPr="00843F95">
        <w:t>made</w:t>
      </w:r>
      <w:r w:rsidR="009E1B23">
        <w:t>;</w:t>
      </w:r>
      <w:proofErr w:type="gramEnd"/>
    </w:p>
    <w:p w14:paraId="2E528A70" w14:textId="7616EECA" w:rsidR="00550EBA" w:rsidRPr="00843F95" w:rsidRDefault="00550EBA" w:rsidP="008F2747">
      <w:pPr>
        <w:pStyle w:val="NumberedParagraph"/>
        <w:numPr>
          <w:ilvl w:val="0"/>
          <w:numId w:val="0"/>
        </w:numPr>
        <w:tabs>
          <w:tab w:val="left" w:pos="5387"/>
        </w:tabs>
        <w:ind w:left="1418"/>
      </w:pPr>
      <w:r>
        <w:t>Noted</w:t>
      </w:r>
      <w:r>
        <w:tab/>
      </w:r>
      <w:proofErr w:type="spellStart"/>
      <w:r>
        <w:t>Noted</w:t>
      </w:r>
      <w:proofErr w:type="spellEnd"/>
    </w:p>
    <w:p w14:paraId="3FE11CFF" w14:textId="3B772F06" w:rsidR="008F2747" w:rsidRDefault="00550EBA" w:rsidP="00653D02">
      <w:pPr>
        <w:pStyle w:val="NumberedParagraph"/>
        <w:numPr>
          <w:ilvl w:val="1"/>
          <w:numId w:val="11"/>
        </w:numPr>
      </w:pPr>
      <w:r>
        <w:rPr>
          <w:b/>
          <w:bCs/>
        </w:rPr>
        <w:t>agree</w:t>
      </w:r>
      <w:r w:rsidR="00653D02">
        <w:rPr>
          <w:b/>
          <w:bCs/>
        </w:rPr>
        <w:t xml:space="preserve"> </w:t>
      </w:r>
      <w:r w:rsidRPr="00550EBA">
        <w:t xml:space="preserve">to charge the above </w:t>
      </w:r>
      <w:r w:rsidR="00DB1EE4">
        <w:t>operating balance</w:t>
      </w:r>
      <w:r w:rsidR="00DB1EE4" w:rsidRPr="00550EBA">
        <w:t xml:space="preserve"> </w:t>
      </w:r>
      <w:r w:rsidRPr="00550EBA">
        <w:t xml:space="preserve">impact against the Tax Policy </w:t>
      </w:r>
      <w:proofErr w:type="gramStart"/>
      <w:r w:rsidRPr="00550EBA">
        <w:t>Scorecard</w:t>
      </w:r>
      <w:r w:rsidR="00653D02">
        <w:t>;</w:t>
      </w:r>
      <w:proofErr w:type="gramEnd"/>
    </w:p>
    <w:p w14:paraId="6653CC20" w14:textId="250449C9" w:rsidR="008F2747" w:rsidRPr="008F2747" w:rsidRDefault="008F2747" w:rsidP="00450494">
      <w:pPr>
        <w:pStyle w:val="NumberedParagraph"/>
        <w:numPr>
          <w:ilvl w:val="0"/>
          <w:numId w:val="0"/>
        </w:numPr>
        <w:tabs>
          <w:tab w:val="left" w:pos="5387"/>
          <w:tab w:val="left" w:pos="5670"/>
        </w:tabs>
        <w:ind w:left="1418"/>
      </w:pPr>
      <w:r w:rsidRPr="00450494">
        <w:t>Agreed/Not agreed</w:t>
      </w:r>
      <w:r w:rsidRPr="00450494">
        <w:tab/>
        <w:t>Agreed/Not agreed</w:t>
      </w:r>
    </w:p>
    <w:p w14:paraId="0811F743" w14:textId="02312C21" w:rsidR="008F2747" w:rsidRPr="005B5DE4" w:rsidRDefault="008F2747" w:rsidP="008F2747">
      <w:pPr>
        <w:pStyle w:val="NumberedParagraph"/>
        <w:numPr>
          <w:ilvl w:val="1"/>
          <w:numId w:val="11"/>
        </w:numPr>
      </w:pPr>
      <w:r>
        <w:rPr>
          <w:b/>
          <w:bCs/>
        </w:rPr>
        <w:t>agree</w:t>
      </w:r>
      <w:r>
        <w:t xml:space="preserve"> that the proposed changes to the Impairment of Debt and Debt Write-offs appropriation for 2021/22 above be included in the 2021/22 Supplementary Estimates.</w:t>
      </w:r>
    </w:p>
    <w:p w14:paraId="1DB52F33" w14:textId="1EEFAE4F" w:rsidR="00FA295E" w:rsidRDefault="00550EBA" w:rsidP="00450494">
      <w:pPr>
        <w:pStyle w:val="NumberedParagraph"/>
        <w:numPr>
          <w:ilvl w:val="0"/>
          <w:numId w:val="0"/>
        </w:numPr>
        <w:tabs>
          <w:tab w:val="left" w:pos="5387"/>
        </w:tabs>
        <w:ind w:left="1418"/>
      </w:pPr>
      <w:r>
        <w:t>Agreed/Not agreed</w:t>
      </w:r>
      <w:r>
        <w:tab/>
        <w:t>Agreed/Not agreed</w:t>
      </w:r>
    </w:p>
    <w:p w14:paraId="6A3E18D2" w14:textId="77777777" w:rsidR="00FA295E" w:rsidRDefault="00FA295E">
      <w:pPr>
        <w:spacing w:after="160" w:line="259" w:lineRule="auto"/>
        <w:jc w:val="left"/>
        <w:rPr>
          <w:szCs w:val="23"/>
          <w:lang w:eastAsia="en-NZ"/>
        </w:rPr>
      </w:pPr>
      <w:r>
        <w:br w:type="page"/>
      </w:r>
    </w:p>
    <w:p w14:paraId="35FF00FE" w14:textId="77777777" w:rsidR="0083030D" w:rsidRPr="00E63639" w:rsidRDefault="0083030D" w:rsidP="0083030D">
      <w:pPr>
        <w:pStyle w:val="Heading2"/>
      </w:pPr>
      <w:r>
        <w:t>FBT prescribed rate of interest</w:t>
      </w:r>
    </w:p>
    <w:p w14:paraId="12D5D523" w14:textId="7E316DF7" w:rsidR="0083030D" w:rsidRDefault="0083030D" w:rsidP="0083030D">
      <w:pPr>
        <w:pStyle w:val="NumberedParagraph"/>
      </w:pPr>
      <w:r>
        <w:rPr>
          <w:b/>
          <w:bCs/>
        </w:rPr>
        <w:t>a</w:t>
      </w:r>
      <w:r w:rsidRPr="0024768F">
        <w:rPr>
          <w:b/>
          <w:bCs/>
        </w:rPr>
        <w:t>gree</w:t>
      </w:r>
      <w:r>
        <w:t xml:space="preserve"> that the FBT prescribed rate of interest should be increased to 4.78%, effective from 1 July </w:t>
      </w:r>
      <w:proofErr w:type="gramStart"/>
      <w:r>
        <w:t>2022;</w:t>
      </w:r>
      <w:proofErr w:type="gramEnd"/>
    </w:p>
    <w:p w14:paraId="305E506B" w14:textId="6BFED095" w:rsidR="0083030D" w:rsidRDefault="0083030D" w:rsidP="008F2747">
      <w:pPr>
        <w:tabs>
          <w:tab w:val="left" w:pos="5387"/>
        </w:tabs>
        <w:ind w:left="709"/>
      </w:pPr>
      <w:r>
        <w:t>Agreed/Not agreed</w:t>
      </w:r>
      <w:r w:rsidR="00772FD7">
        <w:tab/>
        <w:t>Agreed/Not agreed</w:t>
      </w:r>
    </w:p>
    <w:p w14:paraId="2D3FF542" w14:textId="77777777" w:rsidR="0083030D" w:rsidRDefault="0083030D" w:rsidP="0083030D">
      <w:pPr>
        <w:ind w:left="720"/>
      </w:pPr>
    </w:p>
    <w:p w14:paraId="09B0BD65" w14:textId="77777777" w:rsidR="0083030D" w:rsidRPr="009B13BF" w:rsidRDefault="0083030D" w:rsidP="0083030D">
      <w:pPr>
        <w:pStyle w:val="NumberedParagraph"/>
      </w:pPr>
      <w:r>
        <w:rPr>
          <w:b/>
          <w:bCs/>
        </w:rPr>
        <w:t>n</w:t>
      </w:r>
      <w:r w:rsidRPr="009B13BF">
        <w:rPr>
          <w:b/>
          <w:bCs/>
        </w:rPr>
        <w:t>ote</w:t>
      </w:r>
      <w:r w:rsidRPr="009B13BF">
        <w:t xml:space="preserve"> that increasing the prescribed rate to 4.78%</w:t>
      </w:r>
      <w:r>
        <w:t xml:space="preserve"> (from 4.50%)</w:t>
      </w:r>
      <w:r w:rsidRPr="009B13BF">
        <w:t xml:space="preserve"> will result in an increase in revenue of approximately $0.59 million per annum, which amounts to $2.36 million over the current forecast period (2022-23 to 2025-26</w:t>
      </w:r>
      <w:proofErr w:type="gramStart"/>
      <w:r w:rsidRPr="009B13BF">
        <w:t>)</w:t>
      </w:r>
      <w:r>
        <w:t>;</w:t>
      </w:r>
      <w:proofErr w:type="gramEnd"/>
    </w:p>
    <w:p w14:paraId="5C5E8C0E" w14:textId="4D8A3F56" w:rsidR="0083030D" w:rsidRDefault="0083030D" w:rsidP="008F2747">
      <w:pPr>
        <w:tabs>
          <w:tab w:val="left" w:pos="5387"/>
        </w:tabs>
        <w:ind w:left="709"/>
      </w:pPr>
      <w:r>
        <w:t>Noted</w:t>
      </w:r>
      <w:r w:rsidR="00772FD7">
        <w:tab/>
      </w:r>
      <w:proofErr w:type="spellStart"/>
      <w:r w:rsidR="00772FD7">
        <w:t>Noted</w:t>
      </w:r>
      <w:proofErr w:type="spellEnd"/>
    </w:p>
    <w:p w14:paraId="322FD00D" w14:textId="77777777" w:rsidR="0083030D" w:rsidRDefault="0083030D" w:rsidP="0083030D">
      <w:pPr>
        <w:ind w:left="720"/>
      </w:pPr>
    </w:p>
    <w:p w14:paraId="6F4D49D4" w14:textId="66DF08C9" w:rsidR="0083030D" w:rsidRPr="00E63639" w:rsidRDefault="0083030D" w:rsidP="0083030D">
      <w:pPr>
        <w:pStyle w:val="NumberedParagraph"/>
      </w:pPr>
      <w:r>
        <w:rPr>
          <w:b/>
          <w:bCs/>
        </w:rPr>
        <w:t>a</w:t>
      </w:r>
      <w:r w:rsidRPr="00C21353">
        <w:rPr>
          <w:b/>
          <w:bCs/>
        </w:rPr>
        <w:t>gree</w:t>
      </w:r>
      <w:r>
        <w:t xml:space="preserve"> that </w:t>
      </w:r>
      <w:r w:rsidR="0033568B">
        <w:t>PCO</w:t>
      </w:r>
      <w:r>
        <w:t xml:space="preserve"> </w:t>
      </w:r>
      <w:r w:rsidRPr="00E63639">
        <w:t>draft</w:t>
      </w:r>
      <w:r>
        <w:t xml:space="preserve"> an</w:t>
      </w:r>
      <w:r w:rsidRPr="00E63639">
        <w:t xml:space="preserve"> Order in Council to </w:t>
      </w:r>
      <w:r>
        <w:t xml:space="preserve">adjust the prescribed </w:t>
      </w:r>
      <w:r w:rsidRPr="00E63639">
        <w:t>rate</w:t>
      </w:r>
      <w:r>
        <w:t xml:space="preserve"> </w:t>
      </w:r>
      <w:r w:rsidR="00636A34">
        <w:t xml:space="preserve">of </w:t>
      </w:r>
      <w:proofErr w:type="gramStart"/>
      <w:r w:rsidR="00636A34">
        <w:t>interest</w:t>
      </w:r>
      <w:r>
        <w:t>;</w:t>
      </w:r>
      <w:proofErr w:type="gramEnd"/>
    </w:p>
    <w:p w14:paraId="03163252" w14:textId="4BACA0C1" w:rsidR="0083030D" w:rsidRPr="00E63639" w:rsidRDefault="0083030D" w:rsidP="008F2747">
      <w:pPr>
        <w:tabs>
          <w:tab w:val="left" w:pos="5387"/>
        </w:tabs>
        <w:ind w:left="709"/>
      </w:pPr>
      <w:r w:rsidRPr="00E63639">
        <w:t>Agreed/Not agreed</w:t>
      </w:r>
      <w:r w:rsidR="00772FD7">
        <w:tab/>
        <w:t>Agreed/Not agreed</w:t>
      </w:r>
    </w:p>
    <w:p w14:paraId="05952146" w14:textId="77777777" w:rsidR="0083030D" w:rsidRPr="00E63639" w:rsidRDefault="0083030D" w:rsidP="0083030D"/>
    <w:p w14:paraId="452A37B9" w14:textId="12BE0948" w:rsidR="0083030D" w:rsidRPr="00E63639" w:rsidRDefault="000B418B" w:rsidP="0083030D">
      <w:pPr>
        <w:pStyle w:val="NumberedParagraph"/>
      </w:pPr>
      <w:r>
        <w:rPr>
          <w:b/>
        </w:rPr>
        <w:t xml:space="preserve">agree </w:t>
      </w:r>
      <w:r>
        <w:rPr>
          <w:bCs/>
        </w:rPr>
        <w:t>that</w:t>
      </w:r>
      <w:r w:rsidR="0083030D" w:rsidRPr="00E63639">
        <w:t xml:space="preserve"> the attached </w:t>
      </w:r>
      <w:r w:rsidR="00C41FC1">
        <w:t xml:space="preserve">Cabinet </w:t>
      </w:r>
      <w:r w:rsidR="0083030D" w:rsidRPr="00E63639">
        <w:t>paper</w:t>
      </w:r>
      <w:r w:rsidR="0083030D">
        <w:t xml:space="preserve"> </w:t>
      </w:r>
      <w:r>
        <w:t>be lodged with</w:t>
      </w:r>
      <w:r w:rsidR="0083030D" w:rsidRPr="00E63639">
        <w:t xml:space="preserve"> the Cabinet Office by </w:t>
      </w:r>
      <w:r w:rsidR="0083030D">
        <w:t>10am Thursday 24 March 2022</w:t>
      </w:r>
      <w:r w:rsidR="0083030D" w:rsidRPr="00E63639">
        <w:t xml:space="preserve"> for consideration by Cabinet Legislation Committee at its meeting on </w:t>
      </w:r>
      <w:r w:rsidR="0083030D">
        <w:t xml:space="preserve">31 March </w:t>
      </w:r>
      <w:proofErr w:type="gramStart"/>
      <w:r w:rsidR="0083030D">
        <w:t>2022;</w:t>
      </w:r>
      <w:proofErr w:type="gramEnd"/>
    </w:p>
    <w:p w14:paraId="35BB095C" w14:textId="32E19C62" w:rsidR="00DD5496" w:rsidRDefault="00C41FC1" w:rsidP="008F2747">
      <w:pPr>
        <w:pStyle w:val="NumberedParagraph"/>
        <w:numPr>
          <w:ilvl w:val="0"/>
          <w:numId w:val="0"/>
        </w:numPr>
        <w:tabs>
          <w:tab w:val="left" w:pos="5670"/>
        </w:tabs>
        <w:ind w:left="709"/>
      </w:pPr>
      <w:r>
        <w:t>A</w:t>
      </w:r>
      <w:r w:rsidR="000B418B">
        <w:t>greed</w:t>
      </w:r>
      <w:r>
        <w:t>/Not a</w:t>
      </w:r>
      <w:r w:rsidR="000B418B">
        <w:t>greed</w:t>
      </w:r>
    </w:p>
    <w:p w14:paraId="6A3F2126" w14:textId="77777777" w:rsidR="000B418B" w:rsidRPr="00E63639" w:rsidRDefault="000B418B" w:rsidP="000B418B">
      <w:pPr>
        <w:pStyle w:val="NumberedParagraph"/>
      </w:pPr>
      <w:r>
        <w:rPr>
          <w:b/>
        </w:rPr>
        <w:t xml:space="preserve">approve </w:t>
      </w:r>
      <w:r w:rsidRPr="00F0421B">
        <w:rPr>
          <w:bCs/>
        </w:rPr>
        <w:t>and</w:t>
      </w:r>
      <w:r>
        <w:rPr>
          <w:b/>
        </w:rPr>
        <w:t xml:space="preserve"> lodge</w:t>
      </w:r>
      <w:r w:rsidRPr="00E63639">
        <w:t xml:space="preserve"> the attached </w:t>
      </w:r>
      <w:r>
        <w:t xml:space="preserve">Cabinet </w:t>
      </w:r>
      <w:r w:rsidRPr="00E63639">
        <w:t>paper</w:t>
      </w:r>
      <w:r>
        <w:t xml:space="preserve"> </w:t>
      </w:r>
      <w:r w:rsidRPr="00E63639">
        <w:t xml:space="preserve">to the Cabinet Office by </w:t>
      </w:r>
      <w:r>
        <w:t>10am Thursday 24 March 2022</w:t>
      </w:r>
      <w:r w:rsidRPr="00E63639">
        <w:t xml:space="preserve"> for consideration by Cabinet Legislation Committee at its meeting on </w:t>
      </w:r>
      <w:r>
        <w:t xml:space="preserve">31 March </w:t>
      </w:r>
      <w:proofErr w:type="gramStart"/>
      <w:r>
        <w:t>2022;</w:t>
      </w:r>
      <w:proofErr w:type="gramEnd"/>
    </w:p>
    <w:p w14:paraId="12E791CA" w14:textId="389FF623" w:rsidR="000B418B" w:rsidRDefault="000B418B" w:rsidP="00450494">
      <w:pPr>
        <w:pStyle w:val="NumberedParagraph"/>
        <w:numPr>
          <w:ilvl w:val="0"/>
          <w:numId w:val="0"/>
        </w:numPr>
        <w:tabs>
          <w:tab w:val="left" w:pos="5387"/>
        </w:tabs>
        <w:ind w:left="709"/>
        <w:jc w:val="left"/>
      </w:pPr>
      <w:r>
        <w:tab/>
        <w:t>Approved and lodged/Not approved</w:t>
      </w:r>
    </w:p>
    <w:p w14:paraId="38D7F05B" w14:textId="5F74D9E3" w:rsidR="00450494" w:rsidRPr="008331C2" w:rsidRDefault="00450494" w:rsidP="008331C2">
      <w:r>
        <w:rPr>
          <w:noProof/>
        </w:rPr>
        <w:drawing>
          <wp:inline distT="0" distB="0" distL="0" distR="0" wp14:anchorId="3460AF67" wp14:editId="7C35E29F">
            <wp:extent cx="124777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inline>
        </w:drawing>
      </w:r>
    </w:p>
    <w:p w14:paraId="01CB111D" w14:textId="54EA5894" w:rsidR="00811AC6" w:rsidRDefault="00A968CA" w:rsidP="006222B9">
      <w:pPr>
        <w:tabs>
          <w:tab w:val="left" w:pos="4536"/>
        </w:tabs>
      </w:pPr>
      <w:r>
        <w:rPr>
          <w:rStyle w:val="Strong"/>
        </w:rPr>
        <w:t>Paul Fulton</w:t>
      </w:r>
    </w:p>
    <w:p w14:paraId="665C3D81" w14:textId="2EECD405" w:rsidR="00811AC6" w:rsidRDefault="00BA558E" w:rsidP="006222B9">
      <w:pPr>
        <w:tabs>
          <w:tab w:val="left" w:pos="4536"/>
        </w:tabs>
      </w:pPr>
      <w:r>
        <w:t>Acting Policy Lead</w:t>
      </w:r>
    </w:p>
    <w:p w14:paraId="7BB07200" w14:textId="77777777" w:rsidR="00811AC6" w:rsidRDefault="00811AC6" w:rsidP="00E94525">
      <w:pPr>
        <w:tabs>
          <w:tab w:val="left" w:pos="4536"/>
        </w:tabs>
      </w:pPr>
      <w:r>
        <w:t>Policy and Strategy</w:t>
      </w:r>
    </w:p>
    <w:p w14:paraId="029285B9" w14:textId="4D01D2A2" w:rsidR="008331C2" w:rsidRDefault="008331C2" w:rsidP="00811AC6"/>
    <w:p w14:paraId="59FA660B" w14:textId="77777777" w:rsidR="00A968CA" w:rsidRDefault="00A968CA" w:rsidP="00811AC6"/>
    <w:p w14:paraId="4A20CD6B" w14:textId="77777777" w:rsidR="008331C2" w:rsidRDefault="008331C2" w:rsidP="00811AC6"/>
    <w:p w14:paraId="67755916" w14:textId="77777777" w:rsidR="008331C2" w:rsidRDefault="008331C2" w:rsidP="00811AC6"/>
    <w:p w14:paraId="1BE7A252" w14:textId="242A56A0" w:rsidR="00811AC6" w:rsidRDefault="00772FD7" w:rsidP="008331C2">
      <w:pPr>
        <w:tabs>
          <w:tab w:val="left" w:pos="4536"/>
        </w:tabs>
      </w:pPr>
      <w:r>
        <w:rPr>
          <w:rStyle w:val="Strong"/>
        </w:rPr>
        <w:t>Hon Grant Robertson</w:t>
      </w:r>
      <w:r>
        <w:rPr>
          <w:rStyle w:val="Strong"/>
        </w:rPr>
        <w:tab/>
      </w:r>
      <w:r w:rsidR="00811AC6" w:rsidRPr="008331C2">
        <w:rPr>
          <w:rStyle w:val="Strong"/>
        </w:rPr>
        <w:t xml:space="preserve">Hon </w:t>
      </w:r>
      <w:r w:rsidR="00A968CA">
        <w:rPr>
          <w:rStyle w:val="Strong"/>
        </w:rPr>
        <w:t>David Parker</w:t>
      </w:r>
    </w:p>
    <w:p w14:paraId="204AEAE6" w14:textId="5CA1200A" w:rsidR="00811AC6" w:rsidRDefault="00772FD7" w:rsidP="008331C2">
      <w:pPr>
        <w:tabs>
          <w:tab w:val="left" w:pos="4536"/>
        </w:tabs>
      </w:pPr>
      <w:r>
        <w:t>Minister of Finance</w:t>
      </w:r>
      <w:r>
        <w:tab/>
      </w:r>
      <w:r w:rsidR="00811AC6">
        <w:t>Minister of Revenue</w:t>
      </w:r>
    </w:p>
    <w:p w14:paraId="75223B7D" w14:textId="6947A8FB" w:rsidR="00811AC6" w:rsidRDefault="00772FD7" w:rsidP="008331C2">
      <w:pPr>
        <w:tabs>
          <w:tab w:val="left" w:pos="4536"/>
        </w:tabs>
      </w:pPr>
      <w:r>
        <w:t xml:space="preserve">       /       /2022</w:t>
      </w:r>
      <w:r>
        <w:tab/>
      </w:r>
      <w:r w:rsidR="008331C2">
        <w:t xml:space="preserve">       </w:t>
      </w:r>
      <w:r w:rsidR="00811AC6">
        <w:t>/       /20</w:t>
      </w:r>
      <w:r w:rsidR="00A968CA">
        <w:t>22</w:t>
      </w:r>
    </w:p>
    <w:p w14:paraId="656BF2F3" w14:textId="620CC4F6" w:rsidR="00811AC6" w:rsidRDefault="00811AC6" w:rsidP="00F0421B"/>
    <w:sectPr w:rsidR="00811AC6" w:rsidSect="00E331E1">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0705" w14:textId="77777777" w:rsidR="003B6650" w:rsidRDefault="003B6650" w:rsidP="002F43C5">
      <w:pPr>
        <w:spacing w:line="240" w:lineRule="auto"/>
      </w:pPr>
      <w:r>
        <w:separator/>
      </w:r>
    </w:p>
  </w:endnote>
  <w:endnote w:type="continuationSeparator" w:id="0">
    <w:p w14:paraId="051D7A56" w14:textId="77777777" w:rsidR="003B6650" w:rsidRDefault="003B6650" w:rsidP="002F43C5">
      <w:pPr>
        <w:spacing w:line="240" w:lineRule="auto"/>
      </w:pPr>
      <w:r>
        <w:continuationSeparator/>
      </w:r>
    </w:p>
  </w:endnote>
  <w:endnote w:type="continuationNotice" w:id="1">
    <w:p w14:paraId="0ECEB6EC" w14:textId="77777777" w:rsidR="003B6650" w:rsidRDefault="003B66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DDD8" w14:textId="5BCB0436" w:rsidR="00C966B3" w:rsidRPr="00E331E1" w:rsidRDefault="00C966B3" w:rsidP="00E331E1">
    <w:pPr>
      <w:pStyle w:val="Footer"/>
      <w:tabs>
        <w:tab w:val="clear" w:pos="4513"/>
      </w:tabs>
    </w:pPr>
    <w:r>
      <w:rPr>
        <w:lang w:val="mi-NZ"/>
      </w:rPr>
      <w:t>IR2022/046: UOMI rates and FBT prescribed rate of interest review</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SECTIONPAGES</w:instrText>
        </w:r>
        <w:r w:rsidRPr="00E331E1">
          <w:rPr>
            <w:b/>
            <w:bCs/>
          </w:rPr>
          <w:instrText xml:space="preserve"> </w:instrText>
        </w:r>
        <w:r w:rsidRPr="00E331E1">
          <w:rPr>
            <w:b/>
            <w:bCs/>
          </w:rPr>
          <w:fldChar w:fldCharType="separate"/>
        </w:r>
        <w:r w:rsidR="00817B17">
          <w:rPr>
            <w:b/>
            <w:bCs/>
            <w:noProof/>
          </w:rPr>
          <w:t>8</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70FE" w14:textId="77777777" w:rsidR="003B6650" w:rsidRDefault="003B6650" w:rsidP="002F43C5">
      <w:pPr>
        <w:spacing w:line="240" w:lineRule="auto"/>
      </w:pPr>
      <w:r>
        <w:separator/>
      </w:r>
    </w:p>
  </w:footnote>
  <w:footnote w:type="continuationSeparator" w:id="0">
    <w:p w14:paraId="6AC00AAC" w14:textId="77777777" w:rsidR="003B6650" w:rsidRDefault="003B6650" w:rsidP="002F43C5">
      <w:pPr>
        <w:spacing w:line="240" w:lineRule="auto"/>
      </w:pPr>
      <w:r>
        <w:continuationSeparator/>
      </w:r>
    </w:p>
  </w:footnote>
  <w:footnote w:type="continuationNotice" w:id="1">
    <w:p w14:paraId="46E7E3D3" w14:textId="77777777" w:rsidR="003B6650" w:rsidRDefault="003B6650">
      <w:pPr>
        <w:spacing w:line="240" w:lineRule="auto"/>
      </w:pPr>
    </w:p>
  </w:footnote>
  <w:footnote w:id="2">
    <w:p w14:paraId="0562492D" w14:textId="78F11771" w:rsidR="00C966B3" w:rsidRDefault="00C966B3">
      <w:pPr>
        <w:pStyle w:val="FootnoteText"/>
      </w:pPr>
      <w:r>
        <w:rPr>
          <w:rStyle w:val="FootnoteReference"/>
        </w:rPr>
        <w:footnoteRef/>
      </w:r>
      <w:r>
        <w:t xml:space="preserve"> </w:t>
      </w:r>
      <w:r w:rsidRPr="000E6E7B">
        <w:t>Regulations that reduce the prescribed rate may apply to a quarter if made at least one month before the end of that quarter; however, this is not relevant because the proposed change increases the prescribed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A459" w14:textId="71FB3C6D" w:rsidR="00C966B3" w:rsidRDefault="00C966B3">
    <w:pPr>
      <w:pStyle w:val="Header"/>
    </w:pPr>
    <w:r>
      <w:rPr>
        <w:noProof/>
      </w:rPr>
      <mc:AlternateContent>
        <mc:Choice Requires="wps">
          <w:drawing>
            <wp:anchor distT="0" distB="0" distL="114300" distR="114300" simplePos="0" relativeHeight="251658240" behindDoc="0" locked="0" layoutInCell="0" allowOverlap="1" wp14:anchorId="4E4A1A28" wp14:editId="7B38A1C1">
              <wp:simplePos x="0" y="0"/>
              <wp:positionH relativeFrom="page">
                <wp:posOffset>0</wp:posOffset>
              </wp:positionH>
              <wp:positionV relativeFrom="page">
                <wp:posOffset>190500</wp:posOffset>
              </wp:positionV>
              <wp:extent cx="7560310" cy="271780"/>
              <wp:effectExtent l="0" t="0" r="0" b="13970"/>
              <wp:wrapNone/>
              <wp:docPr id="4" name="MSIPCM52fb4236b8a2bef31a41034c"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51EDA" w14:textId="57333D36" w:rsidR="00C966B3" w:rsidRPr="00214BE5" w:rsidRDefault="00C966B3" w:rsidP="00214BE5">
                          <w:pPr>
                            <w:jc w:val="center"/>
                            <w:rPr>
                              <w:color w:val="000000"/>
                            </w:rPr>
                          </w:pPr>
                          <w:r w:rsidRPr="00214BE5">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4A1A28" id="_x0000_t202" coordsize="21600,21600" o:spt="202" path="m,l,21600r21600,l21600,xe">
              <v:stroke joinstyle="miter"/>
              <v:path gradientshapeok="t" o:connecttype="rect"/>
            </v:shapetype>
            <v:shape id="MSIPCM52fb4236b8a2bef31a41034c" o:spid="_x0000_s1026"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" o:allowincell="f" filled="f" stroked="f" strokeweight=".5pt">
              <v:textbox inset=",0,,0">
                <w:txbxContent>
                  <w:p w14:paraId="51E51EDA" w14:textId="57333D36" w:rsidR="00C966B3" w:rsidRPr="00214BE5" w:rsidRDefault="00C966B3" w:rsidP="00214BE5">
                    <w:pPr>
                      <w:jc w:val="center"/>
                      <w:rPr>
                        <w:color w:val="000000"/>
                      </w:rPr>
                    </w:pPr>
                    <w:r w:rsidRPr="00214BE5">
                      <w:rPr>
                        <w:color w:val="000000"/>
                      </w:rPr>
                      <w:t xml:space="preserve">[IN CONFIDENCE]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02F2" w14:textId="6A35623D" w:rsidR="00C966B3" w:rsidRDefault="00C966B3" w:rsidP="007C0037">
    <w:pPr>
      <w:pStyle w:val="Header"/>
      <w:jc w:val="right"/>
    </w:pPr>
    <w:r>
      <w:rPr>
        <w:noProof/>
      </w:rPr>
      <mc:AlternateContent>
        <mc:Choice Requires="wps">
          <w:drawing>
            <wp:anchor distT="0" distB="0" distL="114300" distR="114300" simplePos="0" relativeHeight="251658241" behindDoc="0" locked="0" layoutInCell="0" allowOverlap="1" wp14:anchorId="1D06C050" wp14:editId="69C9D225">
              <wp:simplePos x="0" y="0"/>
              <wp:positionH relativeFrom="page">
                <wp:posOffset>0</wp:posOffset>
              </wp:positionH>
              <wp:positionV relativeFrom="page">
                <wp:posOffset>190500</wp:posOffset>
              </wp:positionV>
              <wp:extent cx="7560310" cy="271780"/>
              <wp:effectExtent l="0" t="0" r="0" b="13970"/>
              <wp:wrapNone/>
              <wp:docPr id="5" name="MSIPCM65f847b4bdf9a9b1954f151a"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B4BCE" w14:textId="7725469E" w:rsidR="00C966B3" w:rsidRPr="00214BE5" w:rsidRDefault="00C966B3" w:rsidP="00214BE5">
                          <w:pPr>
                            <w:jc w:val="center"/>
                            <w:rPr>
                              <w:color w:val="000000"/>
                            </w:rPr>
                          </w:pPr>
                          <w:r w:rsidRPr="00214BE5">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06C050" id="_x0000_t202" coordsize="21600,21600" o:spt="202" path="m,l,21600r21600,l21600,xe">
              <v:stroke joinstyle="miter"/>
              <v:path gradientshapeok="t" o:connecttype="rect"/>
            </v:shapetype>
            <v:shape id="MSIPCM65f847b4bdf9a9b1954f151a" o:spid="_x0000_s1027" type="#_x0000_t202" alt="{&quot;HashCode&quot;:1305106702,&quot;Height&quot;:841.0,&quot;Width&quot;:595.0,&quot;Placement&quot;:&quot;Header&quot;,&quot;Index&quot;:&quot;Primary&quot;,&quot;Section&quot;:2,&quot;Top&quot;:0.0,&quot;Left&quot;:0.0}" style="position:absolute;left:0;text-align:left;margin-left:0;margin-top:15pt;width:595.3pt;height:21.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" o:allowincell="f" filled="f" stroked="f" strokeweight=".5pt">
              <v:textbox inset=",0,,0">
                <w:txbxContent>
                  <w:p w14:paraId="4AAB4BCE" w14:textId="7725469E" w:rsidR="00C966B3" w:rsidRPr="00214BE5" w:rsidRDefault="00C966B3" w:rsidP="00214BE5">
                    <w:pPr>
                      <w:jc w:val="center"/>
                      <w:rPr>
                        <w:color w:val="000000"/>
                      </w:rPr>
                    </w:pPr>
                    <w:r w:rsidRPr="00214BE5">
                      <w:rPr>
                        <w:color w:val="000000"/>
                      </w:rPr>
                      <w:t xml:space="preserve">[IN CONFIDENCE] </w:t>
                    </w:r>
                  </w:p>
                </w:txbxContent>
              </v:textbox>
              <w10:wrap anchorx="page" anchory="page"/>
            </v:shape>
          </w:pict>
        </mc:Fallback>
      </mc:AlternateContent>
    </w:r>
  </w:p>
  <w:sdt>
    <w:sdtPr>
      <w:alias w:val="Security Classification"/>
      <w:tag w:val="Security Classification"/>
      <w:id w:val="-603806425"/>
      <w:placeholder>
        <w:docPart w:val="FC3AB21CC19D4D19B7C23923A1D4FB00"/>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75BB69A2" w14:textId="77777777" w:rsidR="00C966B3" w:rsidRDefault="00C966B3"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3170F"/>
    <w:multiLevelType w:val="multilevel"/>
    <w:tmpl w:val="8176F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120134"/>
    <w:multiLevelType w:val="hybridMultilevel"/>
    <w:tmpl w:val="978E8D66"/>
    <w:lvl w:ilvl="0" w:tplc="F0D4AA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4F47715"/>
    <w:multiLevelType w:val="multilevel"/>
    <w:tmpl w:val="87460E7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26C47703"/>
    <w:multiLevelType w:val="multilevel"/>
    <w:tmpl w:val="DBB2CBB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D5217D"/>
    <w:multiLevelType w:val="hybridMultilevel"/>
    <w:tmpl w:val="E2DE1CEE"/>
    <w:lvl w:ilvl="0" w:tplc="D86E829A">
      <w:start w:val="2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7" w15:restartNumberingAfterBreak="0">
    <w:nsid w:val="526C3A87"/>
    <w:multiLevelType w:val="hybridMultilevel"/>
    <w:tmpl w:val="C98CB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D52533"/>
    <w:multiLevelType w:val="multilevel"/>
    <w:tmpl w:val="B76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93153"/>
    <w:multiLevelType w:val="multilevel"/>
    <w:tmpl w:val="6FA44664"/>
    <w:lvl w:ilvl="0">
      <w:start w:val="1"/>
      <w:numFmt w:val="decimal"/>
      <w:pStyle w:val="NumberedParagraph"/>
      <w:lvlText w:val="%1."/>
      <w:lvlJc w:val="left"/>
      <w:pPr>
        <w:tabs>
          <w:tab w:val="num" w:pos="709"/>
        </w:tabs>
        <w:ind w:left="709" w:hanging="709"/>
      </w:pPr>
      <w:rPr>
        <w:rFonts w:ascii="Verdana" w:hAnsi="Verdana" w:hint="default"/>
        <w:b w:val="0"/>
        <w:i w:val="0"/>
        <w:color w:val="auto"/>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0" w15:restartNumberingAfterBreak="0">
    <w:nsid w:val="6E421CE2"/>
    <w:multiLevelType w:val="multilevel"/>
    <w:tmpl w:val="66C877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2"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6"/>
  </w:num>
  <w:num w:numId="14">
    <w:abstractNumId w:val="21"/>
  </w:num>
  <w:num w:numId="15">
    <w:abstractNumId w:val="11"/>
  </w:num>
  <w:num w:numId="16">
    <w:abstractNumId w:val="17"/>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5"/>
  </w:num>
  <w:num w:numId="30">
    <w:abstractNumId w:val="14"/>
  </w:num>
  <w:num w:numId="31">
    <w:abstractNumId w:val="18"/>
  </w:num>
  <w:num w:numId="32">
    <w:abstractNumId w:val="20"/>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90"/>
    <w:rsid w:val="000016AD"/>
    <w:rsid w:val="0000182A"/>
    <w:rsid w:val="00002612"/>
    <w:rsid w:val="00003404"/>
    <w:rsid w:val="0000433A"/>
    <w:rsid w:val="00004B2C"/>
    <w:rsid w:val="000059D1"/>
    <w:rsid w:val="00005DFC"/>
    <w:rsid w:val="0000679C"/>
    <w:rsid w:val="0001036A"/>
    <w:rsid w:val="0001052A"/>
    <w:rsid w:val="00012695"/>
    <w:rsid w:val="00013898"/>
    <w:rsid w:val="000150AF"/>
    <w:rsid w:val="0001525C"/>
    <w:rsid w:val="00016398"/>
    <w:rsid w:val="00025CFD"/>
    <w:rsid w:val="00025D4A"/>
    <w:rsid w:val="00030686"/>
    <w:rsid w:val="0003081D"/>
    <w:rsid w:val="000411E2"/>
    <w:rsid w:val="00041E9B"/>
    <w:rsid w:val="00042384"/>
    <w:rsid w:val="000424D2"/>
    <w:rsid w:val="00044262"/>
    <w:rsid w:val="00045F21"/>
    <w:rsid w:val="0004609D"/>
    <w:rsid w:val="000471AC"/>
    <w:rsid w:val="00047AB7"/>
    <w:rsid w:val="0005144C"/>
    <w:rsid w:val="00056C9E"/>
    <w:rsid w:val="000571D8"/>
    <w:rsid w:val="00062662"/>
    <w:rsid w:val="000654A7"/>
    <w:rsid w:val="00067F95"/>
    <w:rsid w:val="00070236"/>
    <w:rsid w:val="000711C8"/>
    <w:rsid w:val="000718DE"/>
    <w:rsid w:val="00073CF5"/>
    <w:rsid w:val="000750EC"/>
    <w:rsid w:val="000768E0"/>
    <w:rsid w:val="00077B06"/>
    <w:rsid w:val="00080AE0"/>
    <w:rsid w:val="00084418"/>
    <w:rsid w:val="0008476E"/>
    <w:rsid w:val="000858F1"/>
    <w:rsid w:val="00085FED"/>
    <w:rsid w:val="00090B1C"/>
    <w:rsid w:val="00091093"/>
    <w:rsid w:val="0009217D"/>
    <w:rsid w:val="00095C7C"/>
    <w:rsid w:val="00096189"/>
    <w:rsid w:val="00097573"/>
    <w:rsid w:val="000A0DAD"/>
    <w:rsid w:val="000A108B"/>
    <w:rsid w:val="000A12C0"/>
    <w:rsid w:val="000A34B2"/>
    <w:rsid w:val="000A451B"/>
    <w:rsid w:val="000A513B"/>
    <w:rsid w:val="000B02F6"/>
    <w:rsid w:val="000B0E0B"/>
    <w:rsid w:val="000B127D"/>
    <w:rsid w:val="000B148F"/>
    <w:rsid w:val="000B21B2"/>
    <w:rsid w:val="000B21DA"/>
    <w:rsid w:val="000B2ED1"/>
    <w:rsid w:val="000B378B"/>
    <w:rsid w:val="000B418B"/>
    <w:rsid w:val="000B544B"/>
    <w:rsid w:val="000B623A"/>
    <w:rsid w:val="000B6D0D"/>
    <w:rsid w:val="000B745D"/>
    <w:rsid w:val="000C3AAF"/>
    <w:rsid w:val="000C5AE9"/>
    <w:rsid w:val="000C5BDA"/>
    <w:rsid w:val="000C5E14"/>
    <w:rsid w:val="000C6160"/>
    <w:rsid w:val="000C6393"/>
    <w:rsid w:val="000C6758"/>
    <w:rsid w:val="000C6E39"/>
    <w:rsid w:val="000C6FEA"/>
    <w:rsid w:val="000C7BF7"/>
    <w:rsid w:val="000D104C"/>
    <w:rsid w:val="000D12CC"/>
    <w:rsid w:val="000D1A6C"/>
    <w:rsid w:val="000D3887"/>
    <w:rsid w:val="000D4088"/>
    <w:rsid w:val="000D54AA"/>
    <w:rsid w:val="000D5663"/>
    <w:rsid w:val="000D5A9E"/>
    <w:rsid w:val="000D5E16"/>
    <w:rsid w:val="000D657F"/>
    <w:rsid w:val="000D69D9"/>
    <w:rsid w:val="000E057B"/>
    <w:rsid w:val="000E0CC2"/>
    <w:rsid w:val="000E13D7"/>
    <w:rsid w:val="000E146D"/>
    <w:rsid w:val="000E1883"/>
    <w:rsid w:val="000E1BD2"/>
    <w:rsid w:val="000E1EE4"/>
    <w:rsid w:val="000E2E87"/>
    <w:rsid w:val="000E4D11"/>
    <w:rsid w:val="000E5C74"/>
    <w:rsid w:val="000E6E7B"/>
    <w:rsid w:val="000E7382"/>
    <w:rsid w:val="000F0DA2"/>
    <w:rsid w:val="000F2484"/>
    <w:rsid w:val="000F39E3"/>
    <w:rsid w:val="000F5720"/>
    <w:rsid w:val="000F5B2E"/>
    <w:rsid w:val="000F6360"/>
    <w:rsid w:val="000F664D"/>
    <w:rsid w:val="000F6CE4"/>
    <w:rsid w:val="00100915"/>
    <w:rsid w:val="00103B22"/>
    <w:rsid w:val="001054ED"/>
    <w:rsid w:val="00107E12"/>
    <w:rsid w:val="00110949"/>
    <w:rsid w:val="00111E6E"/>
    <w:rsid w:val="001140FA"/>
    <w:rsid w:val="001147DA"/>
    <w:rsid w:val="00114ACB"/>
    <w:rsid w:val="00116371"/>
    <w:rsid w:val="00116B8C"/>
    <w:rsid w:val="00116CE6"/>
    <w:rsid w:val="001170AB"/>
    <w:rsid w:val="00121A1D"/>
    <w:rsid w:val="001232D5"/>
    <w:rsid w:val="00124372"/>
    <w:rsid w:val="00125EBA"/>
    <w:rsid w:val="001275A0"/>
    <w:rsid w:val="00131A5A"/>
    <w:rsid w:val="00131B14"/>
    <w:rsid w:val="0013270D"/>
    <w:rsid w:val="001362B4"/>
    <w:rsid w:val="00136346"/>
    <w:rsid w:val="00136C76"/>
    <w:rsid w:val="0013704E"/>
    <w:rsid w:val="00140066"/>
    <w:rsid w:val="00142451"/>
    <w:rsid w:val="0014373E"/>
    <w:rsid w:val="00144275"/>
    <w:rsid w:val="0014569F"/>
    <w:rsid w:val="00145BD6"/>
    <w:rsid w:val="00145DA5"/>
    <w:rsid w:val="00145E26"/>
    <w:rsid w:val="0014657B"/>
    <w:rsid w:val="00147F4D"/>
    <w:rsid w:val="00152564"/>
    <w:rsid w:val="001539D8"/>
    <w:rsid w:val="001572D9"/>
    <w:rsid w:val="00160E4B"/>
    <w:rsid w:val="00161FF2"/>
    <w:rsid w:val="001623E0"/>
    <w:rsid w:val="001624D3"/>
    <w:rsid w:val="00162C4F"/>
    <w:rsid w:val="001639E1"/>
    <w:rsid w:val="001652D7"/>
    <w:rsid w:val="00166ECC"/>
    <w:rsid w:val="00167F15"/>
    <w:rsid w:val="001714FA"/>
    <w:rsid w:val="00171838"/>
    <w:rsid w:val="00171BF4"/>
    <w:rsid w:val="00172147"/>
    <w:rsid w:val="001724FF"/>
    <w:rsid w:val="0017272F"/>
    <w:rsid w:val="00173262"/>
    <w:rsid w:val="0017399F"/>
    <w:rsid w:val="001758CA"/>
    <w:rsid w:val="001771A6"/>
    <w:rsid w:val="00177DC7"/>
    <w:rsid w:val="00183030"/>
    <w:rsid w:val="001830EA"/>
    <w:rsid w:val="00183257"/>
    <w:rsid w:val="00184366"/>
    <w:rsid w:val="00184948"/>
    <w:rsid w:val="0018558E"/>
    <w:rsid w:val="00185773"/>
    <w:rsid w:val="00190819"/>
    <w:rsid w:val="00192135"/>
    <w:rsid w:val="0019267D"/>
    <w:rsid w:val="00196876"/>
    <w:rsid w:val="00197A49"/>
    <w:rsid w:val="00197F8C"/>
    <w:rsid w:val="001A0353"/>
    <w:rsid w:val="001A19F0"/>
    <w:rsid w:val="001A255C"/>
    <w:rsid w:val="001A5069"/>
    <w:rsid w:val="001A5089"/>
    <w:rsid w:val="001A59DC"/>
    <w:rsid w:val="001A5DF1"/>
    <w:rsid w:val="001A6BAE"/>
    <w:rsid w:val="001B28E4"/>
    <w:rsid w:val="001B3B89"/>
    <w:rsid w:val="001B785B"/>
    <w:rsid w:val="001C0C65"/>
    <w:rsid w:val="001C11E4"/>
    <w:rsid w:val="001C1A90"/>
    <w:rsid w:val="001C2A00"/>
    <w:rsid w:val="001C2B35"/>
    <w:rsid w:val="001C4E7B"/>
    <w:rsid w:val="001C6F2C"/>
    <w:rsid w:val="001C7730"/>
    <w:rsid w:val="001D0013"/>
    <w:rsid w:val="001D04E4"/>
    <w:rsid w:val="001D1417"/>
    <w:rsid w:val="001D14AE"/>
    <w:rsid w:val="001D155B"/>
    <w:rsid w:val="001D1D2A"/>
    <w:rsid w:val="001D429B"/>
    <w:rsid w:val="001D66B5"/>
    <w:rsid w:val="001D68BF"/>
    <w:rsid w:val="001D7ADB"/>
    <w:rsid w:val="001D7C7C"/>
    <w:rsid w:val="001E26FE"/>
    <w:rsid w:val="001E785B"/>
    <w:rsid w:val="001F2C62"/>
    <w:rsid w:val="001F3292"/>
    <w:rsid w:val="001F62BB"/>
    <w:rsid w:val="001F7598"/>
    <w:rsid w:val="001F7FA7"/>
    <w:rsid w:val="001F7FE8"/>
    <w:rsid w:val="00200A8F"/>
    <w:rsid w:val="00200AF1"/>
    <w:rsid w:val="002019EC"/>
    <w:rsid w:val="00201B94"/>
    <w:rsid w:val="002027FB"/>
    <w:rsid w:val="0020313D"/>
    <w:rsid w:val="00203F1B"/>
    <w:rsid w:val="00204710"/>
    <w:rsid w:val="002069AB"/>
    <w:rsid w:val="00210757"/>
    <w:rsid w:val="00210AA4"/>
    <w:rsid w:val="00210B13"/>
    <w:rsid w:val="0021189A"/>
    <w:rsid w:val="0021275C"/>
    <w:rsid w:val="002142FC"/>
    <w:rsid w:val="00214BE5"/>
    <w:rsid w:val="002164EF"/>
    <w:rsid w:val="00221AAE"/>
    <w:rsid w:val="00222325"/>
    <w:rsid w:val="00223733"/>
    <w:rsid w:val="002247C9"/>
    <w:rsid w:val="002250AB"/>
    <w:rsid w:val="00226367"/>
    <w:rsid w:val="002302D2"/>
    <w:rsid w:val="00230894"/>
    <w:rsid w:val="002311D6"/>
    <w:rsid w:val="00231A24"/>
    <w:rsid w:val="00233663"/>
    <w:rsid w:val="002338CD"/>
    <w:rsid w:val="00233C9E"/>
    <w:rsid w:val="00234FAF"/>
    <w:rsid w:val="00237ACB"/>
    <w:rsid w:val="00242A7B"/>
    <w:rsid w:val="00245157"/>
    <w:rsid w:val="00245479"/>
    <w:rsid w:val="002461F6"/>
    <w:rsid w:val="002464A1"/>
    <w:rsid w:val="0024768F"/>
    <w:rsid w:val="00247909"/>
    <w:rsid w:val="00247C86"/>
    <w:rsid w:val="00250852"/>
    <w:rsid w:val="00251852"/>
    <w:rsid w:val="002528A6"/>
    <w:rsid w:val="00254BA7"/>
    <w:rsid w:val="00255333"/>
    <w:rsid w:val="00255756"/>
    <w:rsid w:val="00257BC5"/>
    <w:rsid w:val="00257C33"/>
    <w:rsid w:val="00262912"/>
    <w:rsid w:val="0026331B"/>
    <w:rsid w:val="00265283"/>
    <w:rsid w:val="00271C4A"/>
    <w:rsid w:val="00272CEB"/>
    <w:rsid w:val="00273341"/>
    <w:rsid w:val="00275FD2"/>
    <w:rsid w:val="002760DA"/>
    <w:rsid w:val="00276AD5"/>
    <w:rsid w:val="00280614"/>
    <w:rsid w:val="00281161"/>
    <w:rsid w:val="00282DEC"/>
    <w:rsid w:val="002859BF"/>
    <w:rsid w:val="0029211D"/>
    <w:rsid w:val="0029318F"/>
    <w:rsid w:val="00295F7E"/>
    <w:rsid w:val="002971ED"/>
    <w:rsid w:val="002974A8"/>
    <w:rsid w:val="002A1499"/>
    <w:rsid w:val="002A239C"/>
    <w:rsid w:val="002A3142"/>
    <w:rsid w:val="002A38C2"/>
    <w:rsid w:val="002A52BD"/>
    <w:rsid w:val="002A5BC1"/>
    <w:rsid w:val="002A5C30"/>
    <w:rsid w:val="002A659D"/>
    <w:rsid w:val="002A6D93"/>
    <w:rsid w:val="002A6EB7"/>
    <w:rsid w:val="002A7C93"/>
    <w:rsid w:val="002B0CB6"/>
    <w:rsid w:val="002B2CF5"/>
    <w:rsid w:val="002B4011"/>
    <w:rsid w:val="002B6B7B"/>
    <w:rsid w:val="002C11EC"/>
    <w:rsid w:val="002C43D1"/>
    <w:rsid w:val="002C5088"/>
    <w:rsid w:val="002C5CB8"/>
    <w:rsid w:val="002C6D94"/>
    <w:rsid w:val="002D081C"/>
    <w:rsid w:val="002D26E9"/>
    <w:rsid w:val="002D4593"/>
    <w:rsid w:val="002D5089"/>
    <w:rsid w:val="002D71DF"/>
    <w:rsid w:val="002E1D3E"/>
    <w:rsid w:val="002E1F9A"/>
    <w:rsid w:val="002E3657"/>
    <w:rsid w:val="002E4A8D"/>
    <w:rsid w:val="002E4D06"/>
    <w:rsid w:val="002E79EA"/>
    <w:rsid w:val="002E7CB1"/>
    <w:rsid w:val="002F0BE8"/>
    <w:rsid w:val="002F0F65"/>
    <w:rsid w:val="002F1129"/>
    <w:rsid w:val="002F2CAF"/>
    <w:rsid w:val="002F329A"/>
    <w:rsid w:val="002F3F7C"/>
    <w:rsid w:val="002F43C5"/>
    <w:rsid w:val="002F4481"/>
    <w:rsid w:val="002F5526"/>
    <w:rsid w:val="002F5B19"/>
    <w:rsid w:val="002F65DD"/>
    <w:rsid w:val="00300BA1"/>
    <w:rsid w:val="0030520B"/>
    <w:rsid w:val="00306062"/>
    <w:rsid w:val="003072A2"/>
    <w:rsid w:val="003106EA"/>
    <w:rsid w:val="0031088F"/>
    <w:rsid w:val="003113D3"/>
    <w:rsid w:val="00311B35"/>
    <w:rsid w:val="00313118"/>
    <w:rsid w:val="00314D7C"/>
    <w:rsid w:val="00314F59"/>
    <w:rsid w:val="00321656"/>
    <w:rsid w:val="00321A7B"/>
    <w:rsid w:val="00323A61"/>
    <w:rsid w:val="003247FE"/>
    <w:rsid w:val="00326889"/>
    <w:rsid w:val="00327D0F"/>
    <w:rsid w:val="0033532A"/>
    <w:rsid w:val="0033568B"/>
    <w:rsid w:val="0033592E"/>
    <w:rsid w:val="00336C8A"/>
    <w:rsid w:val="00337654"/>
    <w:rsid w:val="00340F70"/>
    <w:rsid w:val="00342CE4"/>
    <w:rsid w:val="003434C4"/>
    <w:rsid w:val="003444C5"/>
    <w:rsid w:val="003447F1"/>
    <w:rsid w:val="0034616D"/>
    <w:rsid w:val="00347094"/>
    <w:rsid w:val="00347CCF"/>
    <w:rsid w:val="0035132C"/>
    <w:rsid w:val="0035184F"/>
    <w:rsid w:val="00355CB2"/>
    <w:rsid w:val="00360519"/>
    <w:rsid w:val="003634CC"/>
    <w:rsid w:val="003658A0"/>
    <w:rsid w:val="003705D4"/>
    <w:rsid w:val="003707F2"/>
    <w:rsid w:val="00371641"/>
    <w:rsid w:val="00372724"/>
    <w:rsid w:val="00374739"/>
    <w:rsid w:val="00377D85"/>
    <w:rsid w:val="0038258E"/>
    <w:rsid w:val="00382AF8"/>
    <w:rsid w:val="003850C3"/>
    <w:rsid w:val="003852D1"/>
    <w:rsid w:val="003853F2"/>
    <w:rsid w:val="00387AEA"/>
    <w:rsid w:val="00393FA4"/>
    <w:rsid w:val="003941CB"/>
    <w:rsid w:val="00394E20"/>
    <w:rsid w:val="00395CB2"/>
    <w:rsid w:val="00395CF4"/>
    <w:rsid w:val="003975B8"/>
    <w:rsid w:val="00397A84"/>
    <w:rsid w:val="00397F2B"/>
    <w:rsid w:val="003A0B94"/>
    <w:rsid w:val="003A280C"/>
    <w:rsid w:val="003A7FA4"/>
    <w:rsid w:val="003B2C7A"/>
    <w:rsid w:val="003B3352"/>
    <w:rsid w:val="003B42A3"/>
    <w:rsid w:val="003B53D7"/>
    <w:rsid w:val="003B55DE"/>
    <w:rsid w:val="003B6650"/>
    <w:rsid w:val="003C003E"/>
    <w:rsid w:val="003C036E"/>
    <w:rsid w:val="003C1577"/>
    <w:rsid w:val="003C2FA4"/>
    <w:rsid w:val="003C560B"/>
    <w:rsid w:val="003C6091"/>
    <w:rsid w:val="003C6DA8"/>
    <w:rsid w:val="003C727D"/>
    <w:rsid w:val="003C7C79"/>
    <w:rsid w:val="003D07C5"/>
    <w:rsid w:val="003D0D6B"/>
    <w:rsid w:val="003D373E"/>
    <w:rsid w:val="003D5446"/>
    <w:rsid w:val="003D64BA"/>
    <w:rsid w:val="003E14CA"/>
    <w:rsid w:val="003E2C19"/>
    <w:rsid w:val="003E57B3"/>
    <w:rsid w:val="003E596A"/>
    <w:rsid w:val="003E6479"/>
    <w:rsid w:val="003E6691"/>
    <w:rsid w:val="003E732C"/>
    <w:rsid w:val="003F2EC8"/>
    <w:rsid w:val="003F328E"/>
    <w:rsid w:val="003F36B3"/>
    <w:rsid w:val="003F3CA8"/>
    <w:rsid w:val="003F5B36"/>
    <w:rsid w:val="003F7A83"/>
    <w:rsid w:val="00401DDA"/>
    <w:rsid w:val="00402850"/>
    <w:rsid w:val="004048C3"/>
    <w:rsid w:val="00404C68"/>
    <w:rsid w:val="00404E79"/>
    <w:rsid w:val="00405571"/>
    <w:rsid w:val="00405FC3"/>
    <w:rsid w:val="0041054D"/>
    <w:rsid w:val="004105CE"/>
    <w:rsid w:val="00411D7F"/>
    <w:rsid w:val="00413081"/>
    <w:rsid w:val="00413230"/>
    <w:rsid w:val="0041328E"/>
    <w:rsid w:val="00413345"/>
    <w:rsid w:val="00413E07"/>
    <w:rsid w:val="00414AED"/>
    <w:rsid w:val="00420975"/>
    <w:rsid w:val="0042274D"/>
    <w:rsid w:val="00422A8C"/>
    <w:rsid w:val="004257CC"/>
    <w:rsid w:val="00425E5D"/>
    <w:rsid w:val="0042662D"/>
    <w:rsid w:val="00426BFA"/>
    <w:rsid w:val="00431ED0"/>
    <w:rsid w:val="0043561C"/>
    <w:rsid w:val="004356E5"/>
    <w:rsid w:val="004364FA"/>
    <w:rsid w:val="004373DB"/>
    <w:rsid w:val="00440258"/>
    <w:rsid w:val="00440D10"/>
    <w:rsid w:val="00440D1B"/>
    <w:rsid w:val="00441781"/>
    <w:rsid w:val="004418F0"/>
    <w:rsid w:val="00441A44"/>
    <w:rsid w:val="00443967"/>
    <w:rsid w:val="004450A7"/>
    <w:rsid w:val="00445D19"/>
    <w:rsid w:val="00450494"/>
    <w:rsid w:val="0045102D"/>
    <w:rsid w:val="00451B67"/>
    <w:rsid w:val="004521C0"/>
    <w:rsid w:val="004522D6"/>
    <w:rsid w:val="00453819"/>
    <w:rsid w:val="00453D92"/>
    <w:rsid w:val="0045622E"/>
    <w:rsid w:val="004607C9"/>
    <w:rsid w:val="004618A6"/>
    <w:rsid w:val="0046210B"/>
    <w:rsid w:val="00463488"/>
    <w:rsid w:val="004639FB"/>
    <w:rsid w:val="00465547"/>
    <w:rsid w:val="00470849"/>
    <w:rsid w:val="004724A0"/>
    <w:rsid w:val="004726CE"/>
    <w:rsid w:val="0047319B"/>
    <w:rsid w:val="0047356C"/>
    <w:rsid w:val="00476A78"/>
    <w:rsid w:val="004838C9"/>
    <w:rsid w:val="00484A3B"/>
    <w:rsid w:val="00485647"/>
    <w:rsid w:val="00485E81"/>
    <w:rsid w:val="00487124"/>
    <w:rsid w:val="00487196"/>
    <w:rsid w:val="00487C0B"/>
    <w:rsid w:val="004912D7"/>
    <w:rsid w:val="00491C0C"/>
    <w:rsid w:val="00494237"/>
    <w:rsid w:val="004969CA"/>
    <w:rsid w:val="004A07BE"/>
    <w:rsid w:val="004A3555"/>
    <w:rsid w:val="004B3F45"/>
    <w:rsid w:val="004B4027"/>
    <w:rsid w:val="004B75FE"/>
    <w:rsid w:val="004B7730"/>
    <w:rsid w:val="004C1925"/>
    <w:rsid w:val="004C2FD5"/>
    <w:rsid w:val="004C536F"/>
    <w:rsid w:val="004D2EBD"/>
    <w:rsid w:val="004D3F34"/>
    <w:rsid w:val="004D4221"/>
    <w:rsid w:val="004D627C"/>
    <w:rsid w:val="004E29AC"/>
    <w:rsid w:val="004E29C6"/>
    <w:rsid w:val="004E2B2A"/>
    <w:rsid w:val="004E4DAB"/>
    <w:rsid w:val="004E623C"/>
    <w:rsid w:val="004F14A8"/>
    <w:rsid w:val="004F2291"/>
    <w:rsid w:val="004F6C3B"/>
    <w:rsid w:val="004F7E74"/>
    <w:rsid w:val="0050162D"/>
    <w:rsid w:val="00502B33"/>
    <w:rsid w:val="005032C5"/>
    <w:rsid w:val="00503468"/>
    <w:rsid w:val="00503574"/>
    <w:rsid w:val="00503FCD"/>
    <w:rsid w:val="005042DF"/>
    <w:rsid w:val="00510373"/>
    <w:rsid w:val="005107A3"/>
    <w:rsid w:val="005129F7"/>
    <w:rsid w:val="0051391E"/>
    <w:rsid w:val="005147DB"/>
    <w:rsid w:val="005178EA"/>
    <w:rsid w:val="00517EF6"/>
    <w:rsid w:val="005218C5"/>
    <w:rsid w:val="00521F8D"/>
    <w:rsid w:val="005221A8"/>
    <w:rsid w:val="00522347"/>
    <w:rsid w:val="0052312B"/>
    <w:rsid w:val="0052383F"/>
    <w:rsid w:val="00523CA5"/>
    <w:rsid w:val="00523CBD"/>
    <w:rsid w:val="0052552D"/>
    <w:rsid w:val="00526C06"/>
    <w:rsid w:val="00526D46"/>
    <w:rsid w:val="00527824"/>
    <w:rsid w:val="00531A0E"/>
    <w:rsid w:val="00531F1E"/>
    <w:rsid w:val="00532799"/>
    <w:rsid w:val="00533048"/>
    <w:rsid w:val="00533361"/>
    <w:rsid w:val="005336E1"/>
    <w:rsid w:val="005351A3"/>
    <w:rsid w:val="00536B4F"/>
    <w:rsid w:val="00537E7C"/>
    <w:rsid w:val="00537F1F"/>
    <w:rsid w:val="0054501E"/>
    <w:rsid w:val="0054680E"/>
    <w:rsid w:val="00550EBA"/>
    <w:rsid w:val="005520B1"/>
    <w:rsid w:val="00552737"/>
    <w:rsid w:val="005531B0"/>
    <w:rsid w:val="00555D90"/>
    <w:rsid w:val="005560B3"/>
    <w:rsid w:val="00557B17"/>
    <w:rsid w:val="00560517"/>
    <w:rsid w:val="00560A00"/>
    <w:rsid w:val="00564B25"/>
    <w:rsid w:val="00565778"/>
    <w:rsid w:val="00565E2B"/>
    <w:rsid w:val="00567B0F"/>
    <w:rsid w:val="00570C41"/>
    <w:rsid w:val="00573738"/>
    <w:rsid w:val="0057528A"/>
    <w:rsid w:val="00575BDF"/>
    <w:rsid w:val="00577C28"/>
    <w:rsid w:val="00582323"/>
    <w:rsid w:val="0058377D"/>
    <w:rsid w:val="00583BD3"/>
    <w:rsid w:val="0058551F"/>
    <w:rsid w:val="00586C1B"/>
    <w:rsid w:val="005910EC"/>
    <w:rsid w:val="00591632"/>
    <w:rsid w:val="00591CE2"/>
    <w:rsid w:val="00592700"/>
    <w:rsid w:val="00592E32"/>
    <w:rsid w:val="005936DB"/>
    <w:rsid w:val="00595592"/>
    <w:rsid w:val="00595D07"/>
    <w:rsid w:val="005965BE"/>
    <w:rsid w:val="005A0D0D"/>
    <w:rsid w:val="005A2B56"/>
    <w:rsid w:val="005A2F90"/>
    <w:rsid w:val="005A7874"/>
    <w:rsid w:val="005B0297"/>
    <w:rsid w:val="005B1540"/>
    <w:rsid w:val="005B1FE5"/>
    <w:rsid w:val="005B1FEF"/>
    <w:rsid w:val="005B202F"/>
    <w:rsid w:val="005B2DBF"/>
    <w:rsid w:val="005B3084"/>
    <w:rsid w:val="005B381E"/>
    <w:rsid w:val="005B42AE"/>
    <w:rsid w:val="005B4922"/>
    <w:rsid w:val="005B4E34"/>
    <w:rsid w:val="005C4806"/>
    <w:rsid w:val="005C6B70"/>
    <w:rsid w:val="005C6D49"/>
    <w:rsid w:val="005C6DE1"/>
    <w:rsid w:val="005C786A"/>
    <w:rsid w:val="005D050F"/>
    <w:rsid w:val="005D0F4B"/>
    <w:rsid w:val="005D27AD"/>
    <w:rsid w:val="005D2E83"/>
    <w:rsid w:val="005D35E8"/>
    <w:rsid w:val="005D37F5"/>
    <w:rsid w:val="005D608B"/>
    <w:rsid w:val="005D6451"/>
    <w:rsid w:val="005D6AEB"/>
    <w:rsid w:val="005D6F3A"/>
    <w:rsid w:val="005D73C1"/>
    <w:rsid w:val="005E1915"/>
    <w:rsid w:val="005E1CBE"/>
    <w:rsid w:val="005E53F6"/>
    <w:rsid w:val="005E5D1F"/>
    <w:rsid w:val="005F0BFF"/>
    <w:rsid w:val="005F141C"/>
    <w:rsid w:val="005F1DBF"/>
    <w:rsid w:val="005F3285"/>
    <w:rsid w:val="005F3970"/>
    <w:rsid w:val="005F63D1"/>
    <w:rsid w:val="00600BBD"/>
    <w:rsid w:val="0060302C"/>
    <w:rsid w:val="006041A4"/>
    <w:rsid w:val="006112E4"/>
    <w:rsid w:val="006142A1"/>
    <w:rsid w:val="006149F8"/>
    <w:rsid w:val="0061607E"/>
    <w:rsid w:val="00616648"/>
    <w:rsid w:val="00621CA6"/>
    <w:rsid w:val="006222B9"/>
    <w:rsid w:val="006228A9"/>
    <w:rsid w:val="00627123"/>
    <w:rsid w:val="0062746D"/>
    <w:rsid w:val="006303B8"/>
    <w:rsid w:val="00630D2A"/>
    <w:rsid w:val="0063212D"/>
    <w:rsid w:val="00635DEA"/>
    <w:rsid w:val="00636A34"/>
    <w:rsid w:val="00640ABD"/>
    <w:rsid w:val="00640D66"/>
    <w:rsid w:val="00641A72"/>
    <w:rsid w:val="00641F16"/>
    <w:rsid w:val="00642DC8"/>
    <w:rsid w:val="006441D5"/>
    <w:rsid w:val="00645F68"/>
    <w:rsid w:val="00646346"/>
    <w:rsid w:val="00646A67"/>
    <w:rsid w:val="00646D0D"/>
    <w:rsid w:val="006514AF"/>
    <w:rsid w:val="006516D9"/>
    <w:rsid w:val="00653065"/>
    <w:rsid w:val="00653690"/>
    <w:rsid w:val="00653D02"/>
    <w:rsid w:val="0065602A"/>
    <w:rsid w:val="00657A8B"/>
    <w:rsid w:val="00657CD7"/>
    <w:rsid w:val="0066019A"/>
    <w:rsid w:val="00660362"/>
    <w:rsid w:val="00660F5C"/>
    <w:rsid w:val="006619BE"/>
    <w:rsid w:val="0066451C"/>
    <w:rsid w:val="00664AA7"/>
    <w:rsid w:val="006661E2"/>
    <w:rsid w:val="00666E00"/>
    <w:rsid w:val="006672A4"/>
    <w:rsid w:val="00667E91"/>
    <w:rsid w:val="00670455"/>
    <w:rsid w:val="00670CF2"/>
    <w:rsid w:val="00673118"/>
    <w:rsid w:val="006743F1"/>
    <w:rsid w:val="00675732"/>
    <w:rsid w:val="00676E0B"/>
    <w:rsid w:val="00677CD5"/>
    <w:rsid w:val="006838D5"/>
    <w:rsid w:val="00683FDD"/>
    <w:rsid w:val="00684592"/>
    <w:rsid w:val="00684E9F"/>
    <w:rsid w:val="0068544D"/>
    <w:rsid w:val="00687AC6"/>
    <w:rsid w:val="00691C1D"/>
    <w:rsid w:val="0069210E"/>
    <w:rsid w:val="006933D7"/>
    <w:rsid w:val="0069476B"/>
    <w:rsid w:val="006949D8"/>
    <w:rsid w:val="00696C38"/>
    <w:rsid w:val="00697573"/>
    <w:rsid w:val="006A0FF6"/>
    <w:rsid w:val="006A1513"/>
    <w:rsid w:val="006A3346"/>
    <w:rsid w:val="006A33E8"/>
    <w:rsid w:val="006A33F3"/>
    <w:rsid w:val="006A34D0"/>
    <w:rsid w:val="006A353A"/>
    <w:rsid w:val="006A4F98"/>
    <w:rsid w:val="006A6229"/>
    <w:rsid w:val="006A6FB2"/>
    <w:rsid w:val="006A773E"/>
    <w:rsid w:val="006B1597"/>
    <w:rsid w:val="006B2AFD"/>
    <w:rsid w:val="006B4FA3"/>
    <w:rsid w:val="006B5CA9"/>
    <w:rsid w:val="006B635B"/>
    <w:rsid w:val="006B6DC1"/>
    <w:rsid w:val="006C1643"/>
    <w:rsid w:val="006C3C87"/>
    <w:rsid w:val="006C5E69"/>
    <w:rsid w:val="006C7039"/>
    <w:rsid w:val="006C7C31"/>
    <w:rsid w:val="006D013B"/>
    <w:rsid w:val="006D2DEF"/>
    <w:rsid w:val="006D2EC3"/>
    <w:rsid w:val="006D4748"/>
    <w:rsid w:val="006D4E4C"/>
    <w:rsid w:val="006D6396"/>
    <w:rsid w:val="006D65D4"/>
    <w:rsid w:val="006D6B6D"/>
    <w:rsid w:val="006D7BF9"/>
    <w:rsid w:val="006D7C68"/>
    <w:rsid w:val="006E083A"/>
    <w:rsid w:val="006E18C4"/>
    <w:rsid w:val="006E1EDA"/>
    <w:rsid w:val="006E31E0"/>
    <w:rsid w:val="006E4273"/>
    <w:rsid w:val="006E501A"/>
    <w:rsid w:val="006E625F"/>
    <w:rsid w:val="006E701B"/>
    <w:rsid w:val="006E791A"/>
    <w:rsid w:val="006F1669"/>
    <w:rsid w:val="006F2AD0"/>
    <w:rsid w:val="006F3B18"/>
    <w:rsid w:val="006F51CD"/>
    <w:rsid w:val="006F6068"/>
    <w:rsid w:val="006F65F3"/>
    <w:rsid w:val="00702CEB"/>
    <w:rsid w:val="00703D70"/>
    <w:rsid w:val="00705DC2"/>
    <w:rsid w:val="0070630A"/>
    <w:rsid w:val="007066E2"/>
    <w:rsid w:val="0071068F"/>
    <w:rsid w:val="007125BF"/>
    <w:rsid w:val="007146AB"/>
    <w:rsid w:val="00717616"/>
    <w:rsid w:val="00717957"/>
    <w:rsid w:val="00717BA1"/>
    <w:rsid w:val="0072068C"/>
    <w:rsid w:val="007227CB"/>
    <w:rsid w:val="00723908"/>
    <w:rsid w:val="00725CD9"/>
    <w:rsid w:val="00725E3C"/>
    <w:rsid w:val="00725E80"/>
    <w:rsid w:val="0072642C"/>
    <w:rsid w:val="00726644"/>
    <w:rsid w:val="007266C7"/>
    <w:rsid w:val="007276E6"/>
    <w:rsid w:val="00727AE2"/>
    <w:rsid w:val="007308FB"/>
    <w:rsid w:val="00734CF3"/>
    <w:rsid w:val="00736EB0"/>
    <w:rsid w:val="00741490"/>
    <w:rsid w:val="007429BD"/>
    <w:rsid w:val="00745891"/>
    <w:rsid w:val="007459EF"/>
    <w:rsid w:val="00745C4F"/>
    <w:rsid w:val="00745E9A"/>
    <w:rsid w:val="00746AB6"/>
    <w:rsid w:val="00746CE3"/>
    <w:rsid w:val="007473E0"/>
    <w:rsid w:val="00750724"/>
    <w:rsid w:val="0075177E"/>
    <w:rsid w:val="007522D3"/>
    <w:rsid w:val="007531E8"/>
    <w:rsid w:val="00753585"/>
    <w:rsid w:val="0075376D"/>
    <w:rsid w:val="007604CE"/>
    <w:rsid w:val="007607FA"/>
    <w:rsid w:val="007610DA"/>
    <w:rsid w:val="0076145F"/>
    <w:rsid w:val="00761F4E"/>
    <w:rsid w:val="00762EDD"/>
    <w:rsid w:val="00763D82"/>
    <w:rsid w:val="00764490"/>
    <w:rsid w:val="0076654B"/>
    <w:rsid w:val="00766765"/>
    <w:rsid w:val="00766782"/>
    <w:rsid w:val="00766A40"/>
    <w:rsid w:val="00771043"/>
    <w:rsid w:val="00771489"/>
    <w:rsid w:val="0077154F"/>
    <w:rsid w:val="00772FD7"/>
    <w:rsid w:val="00774694"/>
    <w:rsid w:val="007746FB"/>
    <w:rsid w:val="00775D36"/>
    <w:rsid w:val="007804D4"/>
    <w:rsid w:val="00780969"/>
    <w:rsid w:val="00781299"/>
    <w:rsid w:val="00783585"/>
    <w:rsid w:val="0078502C"/>
    <w:rsid w:val="007856EB"/>
    <w:rsid w:val="00785CF3"/>
    <w:rsid w:val="00786FB2"/>
    <w:rsid w:val="00787E40"/>
    <w:rsid w:val="00790F12"/>
    <w:rsid w:val="00793D2D"/>
    <w:rsid w:val="00796A43"/>
    <w:rsid w:val="00797483"/>
    <w:rsid w:val="00797BE4"/>
    <w:rsid w:val="007A2ACD"/>
    <w:rsid w:val="007A4DFB"/>
    <w:rsid w:val="007A5104"/>
    <w:rsid w:val="007A559F"/>
    <w:rsid w:val="007A5CFC"/>
    <w:rsid w:val="007A5D10"/>
    <w:rsid w:val="007A79FF"/>
    <w:rsid w:val="007B328D"/>
    <w:rsid w:val="007B597C"/>
    <w:rsid w:val="007B612E"/>
    <w:rsid w:val="007B7F36"/>
    <w:rsid w:val="007C0037"/>
    <w:rsid w:val="007C1C4C"/>
    <w:rsid w:val="007C5C51"/>
    <w:rsid w:val="007C5E09"/>
    <w:rsid w:val="007C71A4"/>
    <w:rsid w:val="007C79EA"/>
    <w:rsid w:val="007C7FAC"/>
    <w:rsid w:val="007D4607"/>
    <w:rsid w:val="007D4B9C"/>
    <w:rsid w:val="007D4CA2"/>
    <w:rsid w:val="007D4DF7"/>
    <w:rsid w:val="007D6BEB"/>
    <w:rsid w:val="007E04F0"/>
    <w:rsid w:val="007E0AA5"/>
    <w:rsid w:val="007E162C"/>
    <w:rsid w:val="007E2F78"/>
    <w:rsid w:val="007E30E2"/>
    <w:rsid w:val="007E34C4"/>
    <w:rsid w:val="007E38BE"/>
    <w:rsid w:val="007E3A39"/>
    <w:rsid w:val="007E5CD6"/>
    <w:rsid w:val="007E6374"/>
    <w:rsid w:val="007E6F77"/>
    <w:rsid w:val="007F1779"/>
    <w:rsid w:val="007F187F"/>
    <w:rsid w:val="007F1AF0"/>
    <w:rsid w:val="007F2118"/>
    <w:rsid w:val="007F59E6"/>
    <w:rsid w:val="007F5D1F"/>
    <w:rsid w:val="007F6080"/>
    <w:rsid w:val="00800858"/>
    <w:rsid w:val="008008C7"/>
    <w:rsid w:val="0080297A"/>
    <w:rsid w:val="0080303A"/>
    <w:rsid w:val="00804EB4"/>
    <w:rsid w:val="0080515C"/>
    <w:rsid w:val="00805974"/>
    <w:rsid w:val="00806C7D"/>
    <w:rsid w:val="00806DD9"/>
    <w:rsid w:val="008112CC"/>
    <w:rsid w:val="00811AC6"/>
    <w:rsid w:val="00811DAD"/>
    <w:rsid w:val="008123E3"/>
    <w:rsid w:val="008138FF"/>
    <w:rsid w:val="0081414C"/>
    <w:rsid w:val="0081436D"/>
    <w:rsid w:val="00815878"/>
    <w:rsid w:val="008166F9"/>
    <w:rsid w:val="00817B17"/>
    <w:rsid w:val="0082036F"/>
    <w:rsid w:val="00822121"/>
    <w:rsid w:val="0082350D"/>
    <w:rsid w:val="00826094"/>
    <w:rsid w:val="0082797E"/>
    <w:rsid w:val="0083030D"/>
    <w:rsid w:val="00832803"/>
    <w:rsid w:val="00832AB4"/>
    <w:rsid w:val="008331C2"/>
    <w:rsid w:val="008355E2"/>
    <w:rsid w:val="0084007F"/>
    <w:rsid w:val="00841CEF"/>
    <w:rsid w:val="00842B9F"/>
    <w:rsid w:val="00842C06"/>
    <w:rsid w:val="00843734"/>
    <w:rsid w:val="00843F95"/>
    <w:rsid w:val="008443CA"/>
    <w:rsid w:val="008447D0"/>
    <w:rsid w:val="00846EFB"/>
    <w:rsid w:val="00850139"/>
    <w:rsid w:val="00850AA0"/>
    <w:rsid w:val="0085324A"/>
    <w:rsid w:val="00856014"/>
    <w:rsid w:val="00857025"/>
    <w:rsid w:val="00857F93"/>
    <w:rsid w:val="008610BD"/>
    <w:rsid w:val="00863381"/>
    <w:rsid w:val="00872262"/>
    <w:rsid w:val="00873C93"/>
    <w:rsid w:val="008768B1"/>
    <w:rsid w:val="00877482"/>
    <w:rsid w:val="00877708"/>
    <w:rsid w:val="00877F7C"/>
    <w:rsid w:val="008822D3"/>
    <w:rsid w:val="00885F81"/>
    <w:rsid w:val="00886840"/>
    <w:rsid w:val="00890491"/>
    <w:rsid w:val="00891517"/>
    <w:rsid w:val="008918EC"/>
    <w:rsid w:val="00891FB9"/>
    <w:rsid w:val="00892395"/>
    <w:rsid w:val="00893293"/>
    <w:rsid w:val="00897243"/>
    <w:rsid w:val="00897BFA"/>
    <w:rsid w:val="008A05D5"/>
    <w:rsid w:val="008A0BA7"/>
    <w:rsid w:val="008A130A"/>
    <w:rsid w:val="008A134E"/>
    <w:rsid w:val="008A2411"/>
    <w:rsid w:val="008A45BF"/>
    <w:rsid w:val="008A4A09"/>
    <w:rsid w:val="008A4CBE"/>
    <w:rsid w:val="008A61BC"/>
    <w:rsid w:val="008B1058"/>
    <w:rsid w:val="008B13EE"/>
    <w:rsid w:val="008B248F"/>
    <w:rsid w:val="008B3F78"/>
    <w:rsid w:val="008B7ED0"/>
    <w:rsid w:val="008C095D"/>
    <w:rsid w:val="008C1180"/>
    <w:rsid w:val="008C202E"/>
    <w:rsid w:val="008C36F9"/>
    <w:rsid w:val="008C4362"/>
    <w:rsid w:val="008C4F30"/>
    <w:rsid w:val="008C59AF"/>
    <w:rsid w:val="008C6E70"/>
    <w:rsid w:val="008D0ED9"/>
    <w:rsid w:val="008D1883"/>
    <w:rsid w:val="008D48F5"/>
    <w:rsid w:val="008D4C41"/>
    <w:rsid w:val="008D788A"/>
    <w:rsid w:val="008E024A"/>
    <w:rsid w:val="008E11EA"/>
    <w:rsid w:val="008E1828"/>
    <w:rsid w:val="008E1EE1"/>
    <w:rsid w:val="008E38E9"/>
    <w:rsid w:val="008E3C39"/>
    <w:rsid w:val="008E56DA"/>
    <w:rsid w:val="008E6EB2"/>
    <w:rsid w:val="008F05D4"/>
    <w:rsid w:val="008F1EEF"/>
    <w:rsid w:val="008F26DD"/>
    <w:rsid w:val="008F2747"/>
    <w:rsid w:val="008F30E4"/>
    <w:rsid w:val="008F5087"/>
    <w:rsid w:val="008F780B"/>
    <w:rsid w:val="00900BC5"/>
    <w:rsid w:val="00900EC4"/>
    <w:rsid w:val="00901BF8"/>
    <w:rsid w:val="00902765"/>
    <w:rsid w:val="0090345D"/>
    <w:rsid w:val="009039D5"/>
    <w:rsid w:val="0090579D"/>
    <w:rsid w:val="00907114"/>
    <w:rsid w:val="0091209D"/>
    <w:rsid w:val="00912FCE"/>
    <w:rsid w:val="00914577"/>
    <w:rsid w:val="009206D8"/>
    <w:rsid w:val="00925093"/>
    <w:rsid w:val="00925142"/>
    <w:rsid w:val="0093070D"/>
    <w:rsid w:val="0093373C"/>
    <w:rsid w:val="00934C4E"/>
    <w:rsid w:val="00937B67"/>
    <w:rsid w:val="009415DE"/>
    <w:rsid w:val="009447C2"/>
    <w:rsid w:val="00945C27"/>
    <w:rsid w:val="00945DD6"/>
    <w:rsid w:val="009466C2"/>
    <w:rsid w:val="00946713"/>
    <w:rsid w:val="00947E2B"/>
    <w:rsid w:val="00950182"/>
    <w:rsid w:val="009510AC"/>
    <w:rsid w:val="0095361F"/>
    <w:rsid w:val="009570BD"/>
    <w:rsid w:val="009577E7"/>
    <w:rsid w:val="0096093D"/>
    <w:rsid w:val="00961892"/>
    <w:rsid w:val="0096275F"/>
    <w:rsid w:val="00965D10"/>
    <w:rsid w:val="00966477"/>
    <w:rsid w:val="0096683F"/>
    <w:rsid w:val="009679FD"/>
    <w:rsid w:val="009715C0"/>
    <w:rsid w:val="00971E2B"/>
    <w:rsid w:val="00974EB5"/>
    <w:rsid w:val="009754FD"/>
    <w:rsid w:val="00975605"/>
    <w:rsid w:val="00976D7E"/>
    <w:rsid w:val="00977E3F"/>
    <w:rsid w:val="00977E41"/>
    <w:rsid w:val="0098280F"/>
    <w:rsid w:val="00982816"/>
    <w:rsid w:val="00982B1C"/>
    <w:rsid w:val="00984E6A"/>
    <w:rsid w:val="0098656F"/>
    <w:rsid w:val="00987A2D"/>
    <w:rsid w:val="00990E6E"/>
    <w:rsid w:val="00992776"/>
    <w:rsid w:val="00992D2A"/>
    <w:rsid w:val="00992DF0"/>
    <w:rsid w:val="00995271"/>
    <w:rsid w:val="00995348"/>
    <w:rsid w:val="0099541E"/>
    <w:rsid w:val="00995FAF"/>
    <w:rsid w:val="00996795"/>
    <w:rsid w:val="00996D75"/>
    <w:rsid w:val="009A023D"/>
    <w:rsid w:val="009A1E86"/>
    <w:rsid w:val="009A3711"/>
    <w:rsid w:val="009A4D46"/>
    <w:rsid w:val="009A50EA"/>
    <w:rsid w:val="009A5676"/>
    <w:rsid w:val="009A601D"/>
    <w:rsid w:val="009A65B9"/>
    <w:rsid w:val="009B13BF"/>
    <w:rsid w:val="009B154C"/>
    <w:rsid w:val="009B43B8"/>
    <w:rsid w:val="009B5A86"/>
    <w:rsid w:val="009B665D"/>
    <w:rsid w:val="009B71D9"/>
    <w:rsid w:val="009B74FF"/>
    <w:rsid w:val="009B7DA1"/>
    <w:rsid w:val="009C0621"/>
    <w:rsid w:val="009C11E5"/>
    <w:rsid w:val="009C230C"/>
    <w:rsid w:val="009C289E"/>
    <w:rsid w:val="009C30C3"/>
    <w:rsid w:val="009C46DF"/>
    <w:rsid w:val="009C6E78"/>
    <w:rsid w:val="009C754E"/>
    <w:rsid w:val="009D05AB"/>
    <w:rsid w:val="009D2C7D"/>
    <w:rsid w:val="009D305C"/>
    <w:rsid w:val="009D3D77"/>
    <w:rsid w:val="009D6B58"/>
    <w:rsid w:val="009E014C"/>
    <w:rsid w:val="009E096B"/>
    <w:rsid w:val="009E1B23"/>
    <w:rsid w:val="009E3AD8"/>
    <w:rsid w:val="009E519A"/>
    <w:rsid w:val="009E630D"/>
    <w:rsid w:val="009E703E"/>
    <w:rsid w:val="009F145C"/>
    <w:rsid w:val="009F14EB"/>
    <w:rsid w:val="009F23C5"/>
    <w:rsid w:val="009F2493"/>
    <w:rsid w:val="009F2FBE"/>
    <w:rsid w:val="009F3C83"/>
    <w:rsid w:val="009F5108"/>
    <w:rsid w:val="009F5AE8"/>
    <w:rsid w:val="009F7202"/>
    <w:rsid w:val="009F7449"/>
    <w:rsid w:val="00A01072"/>
    <w:rsid w:val="00A0316D"/>
    <w:rsid w:val="00A050F9"/>
    <w:rsid w:val="00A051D9"/>
    <w:rsid w:val="00A06BC8"/>
    <w:rsid w:val="00A07BBC"/>
    <w:rsid w:val="00A10BDD"/>
    <w:rsid w:val="00A12CAE"/>
    <w:rsid w:val="00A13395"/>
    <w:rsid w:val="00A13F0F"/>
    <w:rsid w:val="00A16CB9"/>
    <w:rsid w:val="00A17015"/>
    <w:rsid w:val="00A17508"/>
    <w:rsid w:val="00A17971"/>
    <w:rsid w:val="00A2361F"/>
    <w:rsid w:val="00A2547F"/>
    <w:rsid w:val="00A30F63"/>
    <w:rsid w:val="00A317B9"/>
    <w:rsid w:val="00A31E9A"/>
    <w:rsid w:val="00A3285B"/>
    <w:rsid w:val="00A33410"/>
    <w:rsid w:val="00A3350F"/>
    <w:rsid w:val="00A336D5"/>
    <w:rsid w:val="00A33782"/>
    <w:rsid w:val="00A33E05"/>
    <w:rsid w:val="00A35D33"/>
    <w:rsid w:val="00A364AA"/>
    <w:rsid w:val="00A36B56"/>
    <w:rsid w:val="00A36C7F"/>
    <w:rsid w:val="00A37819"/>
    <w:rsid w:val="00A406E5"/>
    <w:rsid w:val="00A424CF"/>
    <w:rsid w:val="00A4482A"/>
    <w:rsid w:val="00A44DF1"/>
    <w:rsid w:val="00A46EDD"/>
    <w:rsid w:val="00A46FB3"/>
    <w:rsid w:val="00A50102"/>
    <w:rsid w:val="00A52F93"/>
    <w:rsid w:val="00A55E4F"/>
    <w:rsid w:val="00A5708E"/>
    <w:rsid w:val="00A57DAE"/>
    <w:rsid w:val="00A60ACD"/>
    <w:rsid w:val="00A61B02"/>
    <w:rsid w:val="00A61CFB"/>
    <w:rsid w:val="00A61DFA"/>
    <w:rsid w:val="00A7031A"/>
    <w:rsid w:val="00A70552"/>
    <w:rsid w:val="00A7072D"/>
    <w:rsid w:val="00A70E47"/>
    <w:rsid w:val="00A7652F"/>
    <w:rsid w:val="00A815D2"/>
    <w:rsid w:val="00A83B92"/>
    <w:rsid w:val="00A840F5"/>
    <w:rsid w:val="00A84107"/>
    <w:rsid w:val="00A866BC"/>
    <w:rsid w:val="00A86C8E"/>
    <w:rsid w:val="00A923CB"/>
    <w:rsid w:val="00A968CA"/>
    <w:rsid w:val="00A96ABE"/>
    <w:rsid w:val="00A9724F"/>
    <w:rsid w:val="00A9783B"/>
    <w:rsid w:val="00AA2367"/>
    <w:rsid w:val="00AA4B66"/>
    <w:rsid w:val="00AA4F15"/>
    <w:rsid w:val="00AB0581"/>
    <w:rsid w:val="00AB06F8"/>
    <w:rsid w:val="00AB0A89"/>
    <w:rsid w:val="00AB19D1"/>
    <w:rsid w:val="00AB5017"/>
    <w:rsid w:val="00AB5774"/>
    <w:rsid w:val="00AB61FF"/>
    <w:rsid w:val="00AB6446"/>
    <w:rsid w:val="00AB7EAE"/>
    <w:rsid w:val="00AC0E14"/>
    <w:rsid w:val="00AC1582"/>
    <w:rsid w:val="00AC188F"/>
    <w:rsid w:val="00AC1EA0"/>
    <w:rsid w:val="00AC74F1"/>
    <w:rsid w:val="00AD0FCF"/>
    <w:rsid w:val="00AD1D6E"/>
    <w:rsid w:val="00AD2ABE"/>
    <w:rsid w:val="00AD4490"/>
    <w:rsid w:val="00AD5E18"/>
    <w:rsid w:val="00AD7456"/>
    <w:rsid w:val="00AE1A7E"/>
    <w:rsid w:val="00AE2382"/>
    <w:rsid w:val="00AE3C67"/>
    <w:rsid w:val="00AE476E"/>
    <w:rsid w:val="00AE6991"/>
    <w:rsid w:val="00AE75F5"/>
    <w:rsid w:val="00AE7C9F"/>
    <w:rsid w:val="00AF06DC"/>
    <w:rsid w:val="00AF22C7"/>
    <w:rsid w:val="00AF380E"/>
    <w:rsid w:val="00AF4AD9"/>
    <w:rsid w:val="00AF7615"/>
    <w:rsid w:val="00B00AD9"/>
    <w:rsid w:val="00B01218"/>
    <w:rsid w:val="00B0318F"/>
    <w:rsid w:val="00B04D1A"/>
    <w:rsid w:val="00B04DF5"/>
    <w:rsid w:val="00B06A0B"/>
    <w:rsid w:val="00B110CF"/>
    <w:rsid w:val="00B11D34"/>
    <w:rsid w:val="00B165C0"/>
    <w:rsid w:val="00B1662B"/>
    <w:rsid w:val="00B229AD"/>
    <w:rsid w:val="00B257A7"/>
    <w:rsid w:val="00B25CB6"/>
    <w:rsid w:val="00B26B5F"/>
    <w:rsid w:val="00B27053"/>
    <w:rsid w:val="00B276E1"/>
    <w:rsid w:val="00B3061D"/>
    <w:rsid w:val="00B315C1"/>
    <w:rsid w:val="00B318F3"/>
    <w:rsid w:val="00B319F0"/>
    <w:rsid w:val="00B32314"/>
    <w:rsid w:val="00B33565"/>
    <w:rsid w:val="00B3357D"/>
    <w:rsid w:val="00B33760"/>
    <w:rsid w:val="00B33B27"/>
    <w:rsid w:val="00B374D5"/>
    <w:rsid w:val="00B402AE"/>
    <w:rsid w:val="00B41128"/>
    <w:rsid w:val="00B41390"/>
    <w:rsid w:val="00B4269D"/>
    <w:rsid w:val="00B42BEA"/>
    <w:rsid w:val="00B43625"/>
    <w:rsid w:val="00B46042"/>
    <w:rsid w:val="00B463A5"/>
    <w:rsid w:val="00B46A1E"/>
    <w:rsid w:val="00B46DD8"/>
    <w:rsid w:val="00B50AB3"/>
    <w:rsid w:val="00B50E77"/>
    <w:rsid w:val="00B54786"/>
    <w:rsid w:val="00B54F39"/>
    <w:rsid w:val="00B55153"/>
    <w:rsid w:val="00B5616B"/>
    <w:rsid w:val="00B562A2"/>
    <w:rsid w:val="00B62421"/>
    <w:rsid w:val="00B62BB4"/>
    <w:rsid w:val="00B6455C"/>
    <w:rsid w:val="00B64D5C"/>
    <w:rsid w:val="00B65604"/>
    <w:rsid w:val="00B66C6D"/>
    <w:rsid w:val="00B6762D"/>
    <w:rsid w:val="00B7124F"/>
    <w:rsid w:val="00B72B7A"/>
    <w:rsid w:val="00B731B5"/>
    <w:rsid w:val="00B73500"/>
    <w:rsid w:val="00B74A34"/>
    <w:rsid w:val="00B74CFD"/>
    <w:rsid w:val="00B76224"/>
    <w:rsid w:val="00B80284"/>
    <w:rsid w:val="00B803C4"/>
    <w:rsid w:val="00B817E5"/>
    <w:rsid w:val="00B81BF5"/>
    <w:rsid w:val="00B81D02"/>
    <w:rsid w:val="00B8272F"/>
    <w:rsid w:val="00B829EE"/>
    <w:rsid w:val="00B9187E"/>
    <w:rsid w:val="00B92364"/>
    <w:rsid w:val="00B92F48"/>
    <w:rsid w:val="00B92F6F"/>
    <w:rsid w:val="00B9404E"/>
    <w:rsid w:val="00B953F2"/>
    <w:rsid w:val="00B9651F"/>
    <w:rsid w:val="00BA052B"/>
    <w:rsid w:val="00BA1632"/>
    <w:rsid w:val="00BA186C"/>
    <w:rsid w:val="00BA32A6"/>
    <w:rsid w:val="00BA558E"/>
    <w:rsid w:val="00BA55EB"/>
    <w:rsid w:val="00BA5BFA"/>
    <w:rsid w:val="00BA6882"/>
    <w:rsid w:val="00BA6B7F"/>
    <w:rsid w:val="00BA701C"/>
    <w:rsid w:val="00BA7D31"/>
    <w:rsid w:val="00BB152F"/>
    <w:rsid w:val="00BB3DB9"/>
    <w:rsid w:val="00BB4F33"/>
    <w:rsid w:val="00BB5394"/>
    <w:rsid w:val="00BB65CB"/>
    <w:rsid w:val="00BB6BE4"/>
    <w:rsid w:val="00BB6FB3"/>
    <w:rsid w:val="00BC0B21"/>
    <w:rsid w:val="00BC106A"/>
    <w:rsid w:val="00BC2150"/>
    <w:rsid w:val="00BC3F2C"/>
    <w:rsid w:val="00BC56D6"/>
    <w:rsid w:val="00BC73AE"/>
    <w:rsid w:val="00BD2062"/>
    <w:rsid w:val="00BD3127"/>
    <w:rsid w:val="00BD74B2"/>
    <w:rsid w:val="00BD7D88"/>
    <w:rsid w:val="00BE0405"/>
    <w:rsid w:val="00BE18E7"/>
    <w:rsid w:val="00BE25E0"/>
    <w:rsid w:val="00BE2F03"/>
    <w:rsid w:val="00BE6A0F"/>
    <w:rsid w:val="00BE7188"/>
    <w:rsid w:val="00BE73B5"/>
    <w:rsid w:val="00BE7532"/>
    <w:rsid w:val="00BE76D3"/>
    <w:rsid w:val="00BF075D"/>
    <w:rsid w:val="00BF0B3A"/>
    <w:rsid w:val="00BF0D36"/>
    <w:rsid w:val="00BF30D8"/>
    <w:rsid w:val="00BF6E3D"/>
    <w:rsid w:val="00C00F36"/>
    <w:rsid w:val="00C01D2C"/>
    <w:rsid w:val="00C02197"/>
    <w:rsid w:val="00C02DC1"/>
    <w:rsid w:val="00C04565"/>
    <w:rsid w:val="00C04755"/>
    <w:rsid w:val="00C05FE0"/>
    <w:rsid w:val="00C06E55"/>
    <w:rsid w:val="00C06EF0"/>
    <w:rsid w:val="00C1011F"/>
    <w:rsid w:val="00C10651"/>
    <w:rsid w:val="00C10E92"/>
    <w:rsid w:val="00C11E9D"/>
    <w:rsid w:val="00C12074"/>
    <w:rsid w:val="00C1277C"/>
    <w:rsid w:val="00C13149"/>
    <w:rsid w:val="00C14499"/>
    <w:rsid w:val="00C14BBD"/>
    <w:rsid w:val="00C15068"/>
    <w:rsid w:val="00C16387"/>
    <w:rsid w:val="00C20091"/>
    <w:rsid w:val="00C21353"/>
    <w:rsid w:val="00C22E29"/>
    <w:rsid w:val="00C22E33"/>
    <w:rsid w:val="00C23CD3"/>
    <w:rsid w:val="00C271C3"/>
    <w:rsid w:val="00C2749F"/>
    <w:rsid w:val="00C27DA3"/>
    <w:rsid w:val="00C305B3"/>
    <w:rsid w:val="00C31F6E"/>
    <w:rsid w:val="00C3324B"/>
    <w:rsid w:val="00C3368B"/>
    <w:rsid w:val="00C337E6"/>
    <w:rsid w:val="00C35537"/>
    <w:rsid w:val="00C37D91"/>
    <w:rsid w:val="00C41C26"/>
    <w:rsid w:val="00C41FC1"/>
    <w:rsid w:val="00C42669"/>
    <w:rsid w:val="00C44179"/>
    <w:rsid w:val="00C44EDE"/>
    <w:rsid w:val="00C450F9"/>
    <w:rsid w:val="00C45DA0"/>
    <w:rsid w:val="00C4642D"/>
    <w:rsid w:val="00C47573"/>
    <w:rsid w:val="00C50B99"/>
    <w:rsid w:val="00C51072"/>
    <w:rsid w:val="00C51464"/>
    <w:rsid w:val="00C54029"/>
    <w:rsid w:val="00C54EBF"/>
    <w:rsid w:val="00C616F1"/>
    <w:rsid w:val="00C61B51"/>
    <w:rsid w:val="00C668E6"/>
    <w:rsid w:val="00C67329"/>
    <w:rsid w:val="00C67CBC"/>
    <w:rsid w:val="00C7077F"/>
    <w:rsid w:val="00C73F90"/>
    <w:rsid w:val="00C74938"/>
    <w:rsid w:val="00C80393"/>
    <w:rsid w:val="00C81EC6"/>
    <w:rsid w:val="00C82233"/>
    <w:rsid w:val="00C8386C"/>
    <w:rsid w:val="00C83AD2"/>
    <w:rsid w:val="00C83D15"/>
    <w:rsid w:val="00C85740"/>
    <w:rsid w:val="00C866F6"/>
    <w:rsid w:val="00C93C2B"/>
    <w:rsid w:val="00C93D6F"/>
    <w:rsid w:val="00C95038"/>
    <w:rsid w:val="00C966B3"/>
    <w:rsid w:val="00C96B86"/>
    <w:rsid w:val="00CA40DB"/>
    <w:rsid w:val="00CA480A"/>
    <w:rsid w:val="00CA5375"/>
    <w:rsid w:val="00CA59F0"/>
    <w:rsid w:val="00CB6CD7"/>
    <w:rsid w:val="00CB79A5"/>
    <w:rsid w:val="00CC0143"/>
    <w:rsid w:val="00CC0AD9"/>
    <w:rsid w:val="00CC0D29"/>
    <w:rsid w:val="00CC1573"/>
    <w:rsid w:val="00CC19A5"/>
    <w:rsid w:val="00CC1DCE"/>
    <w:rsid w:val="00CC2884"/>
    <w:rsid w:val="00CC32A8"/>
    <w:rsid w:val="00CC36B2"/>
    <w:rsid w:val="00CC4300"/>
    <w:rsid w:val="00CC659E"/>
    <w:rsid w:val="00CC7583"/>
    <w:rsid w:val="00CD0087"/>
    <w:rsid w:val="00CD068E"/>
    <w:rsid w:val="00CD201F"/>
    <w:rsid w:val="00CD3A1F"/>
    <w:rsid w:val="00CD56FA"/>
    <w:rsid w:val="00CD6D88"/>
    <w:rsid w:val="00CE016D"/>
    <w:rsid w:val="00CE02A7"/>
    <w:rsid w:val="00CE5BAB"/>
    <w:rsid w:val="00CF1F22"/>
    <w:rsid w:val="00CF2818"/>
    <w:rsid w:val="00CF2EA7"/>
    <w:rsid w:val="00CF37C1"/>
    <w:rsid w:val="00CF3ABF"/>
    <w:rsid w:val="00CF62D4"/>
    <w:rsid w:val="00CF6B0C"/>
    <w:rsid w:val="00D00D12"/>
    <w:rsid w:val="00D01405"/>
    <w:rsid w:val="00D01C4B"/>
    <w:rsid w:val="00D026DC"/>
    <w:rsid w:val="00D06645"/>
    <w:rsid w:val="00D06ECE"/>
    <w:rsid w:val="00D11A5E"/>
    <w:rsid w:val="00D14C0F"/>
    <w:rsid w:val="00D14C24"/>
    <w:rsid w:val="00D155BE"/>
    <w:rsid w:val="00D170D6"/>
    <w:rsid w:val="00D2113C"/>
    <w:rsid w:val="00D224F1"/>
    <w:rsid w:val="00D2267B"/>
    <w:rsid w:val="00D23B9C"/>
    <w:rsid w:val="00D24403"/>
    <w:rsid w:val="00D24B09"/>
    <w:rsid w:val="00D24C1C"/>
    <w:rsid w:val="00D2730D"/>
    <w:rsid w:val="00D27396"/>
    <w:rsid w:val="00D3043B"/>
    <w:rsid w:val="00D315BC"/>
    <w:rsid w:val="00D3163A"/>
    <w:rsid w:val="00D32509"/>
    <w:rsid w:val="00D32750"/>
    <w:rsid w:val="00D32A37"/>
    <w:rsid w:val="00D3343A"/>
    <w:rsid w:val="00D4103B"/>
    <w:rsid w:val="00D42478"/>
    <w:rsid w:val="00D42A16"/>
    <w:rsid w:val="00D42B8B"/>
    <w:rsid w:val="00D43017"/>
    <w:rsid w:val="00D45E7F"/>
    <w:rsid w:val="00D46E1F"/>
    <w:rsid w:val="00D507C0"/>
    <w:rsid w:val="00D51807"/>
    <w:rsid w:val="00D521C8"/>
    <w:rsid w:val="00D52549"/>
    <w:rsid w:val="00D53B79"/>
    <w:rsid w:val="00D53E04"/>
    <w:rsid w:val="00D56372"/>
    <w:rsid w:val="00D575D9"/>
    <w:rsid w:val="00D57E49"/>
    <w:rsid w:val="00D57F6F"/>
    <w:rsid w:val="00D60698"/>
    <w:rsid w:val="00D6363A"/>
    <w:rsid w:val="00D65605"/>
    <w:rsid w:val="00D66B97"/>
    <w:rsid w:val="00D7176C"/>
    <w:rsid w:val="00D73813"/>
    <w:rsid w:val="00D73ABC"/>
    <w:rsid w:val="00D74704"/>
    <w:rsid w:val="00D76612"/>
    <w:rsid w:val="00D80CDC"/>
    <w:rsid w:val="00D80F48"/>
    <w:rsid w:val="00D81FEC"/>
    <w:rsid w:val="00D832AE"/>
    <w:rsid w:val="00D861DB"/>
    <w:rsid w:val="00D87A84"/>
    <w:rsid w:val="00D91609"/>
    <w:rsid w:val="00D92606"/>
    <w:rsid w:val="00D92AE1"/>
    <w:rsid w:val="00D931FA"/>
    <w:rsid w:val="00D934EC"/>
    <w:rsid w:val="00D9357A"/>
    <w:rsid w:val="00D93C10"/>
    <w:rsid w:val="00D96B4F"/>
    <w:rsid w:val="00DA1289"/>
    <w:rsid w:val="00DA1CE0"/>
    <w:rsid w:val="00DA2E74"/>
    <w:rsid w:val="00DA432C"/>
    <w:rsid w:val="00DA4BB6"/>
    <w:rsid w:val="00DA56B5"/>
    <w:rsid w:val="00DA7EB4"/>
    <w:rsid w:val="00DB1EE4"/>
    <w:rsid w:val="00DB2DE7"/>
    <w:rsid w:val="00DB3176"/>
    <w:rsid w:val="00DB45AE"/>
    <w:rsid w:val="00DB763F"/>
    <w:rsid w:val="00DC0054"/>
    <w:rsid w:val="00DC0067"/>
    <w:rsid w:val="00DC1830"/>
    <w:rsid w:val="00DC2FCC"/>
    <w:rsid w:val="00DC527B"/>
    <w:rsid w:val="00DC5B7E"/>
    <w:rsid w:val="00DC615E"/>
    <w:rsid w:val="00DC627C"/>
    <w:rsid w:val="00DC6622"/>
    <w:rsid w:val="00DC6AD6"/>
    <w:rsid w:val="00DC773E"/>
    <w:rsid w:val="00DD09D9"/>
    <w:rsid w:val="00DD21E7"/>
    <w:rsid w:val="00DD457D"/>
    <w:rsid w:val="00DD4B75"/>
    <w:rsid w:val="00DD4F04"/>
    <w:rsid w:val="00DD5496"/>
    <w:rsid w:val="00DD623A"/>
    <w:rsid w:val="00DD672E"/>
    <w:rsid w:val="00DE0594"/>
    <w:rsid w:val="00DE0D5A"/>
    <w:rsid w:val="00DE2001"/>
    <w:rsid w:val="00DE2D88"/>
    <w:rsid w:val="00DE67CA"/>
    <w:rsid w:val="00DE6F6C"/>
    <w:rsid w:val="00DE737D"/>
    <w:rsid w:val="00DF1491"/>
    <w:rsid w:val="00DF3E50"/>
    <w:rsid w:val="00DF471C"/>
    <w:rsid w:val="00DF6C4B"/>
    <w:rsid w:val="00DF79EE"/>
    <w:rsid w:val="00E00C21"/>
    <w:rsid w:val="00E0138C"/>
    <w:rsid w:val="00E0140C"/>
    <w:rsid w:val="00E01BCF"/>
    <w:rsid w:val="00E02771"/>
    <w:rsid w:val="00E0478E"/>
    <w:rsid w:val="00E047D5"/>
    <w:rsid w:val="00E050C7"/>
    <w:rsid w:val="00E06A64"/>
    <w:rsid w:val="00E0794F"/>
    <w:rsid w:val="00E10F03"/>
    <w:rsid w:val="00E11221"/>
    <w:rsid w:val="00E12411"/>
    <w:rsid w:val="00E12BC3"/>
    <w:rsid w:val="00E131BF"/>
    <w:rsid w:val="00E17909"/>
    <w:rsid w:val="00E23477"/>
    <w:rsid w:val="00E23D51"/>
    <w:rsid w:val="00E24ADA"/>
    <w:rsid w:val="00E262B0"/>
    <w:rsid w:val="00E26CBF"/>
    <w:rsid w:val="00E27349"/>
    <w:rsid w:val="00E27C2C"/>
    <w:rsid w:val="00E300FC"/>
    <w:rsid w:val="00E309E4"/>
    <w:rsid w:val="00E3180F"/>
    <w:rsid w:val="00E31E39"/>
    <w:rsid w:val="00E3214D"/>
    <w:rsid w:val="00E32827"/>
    <w:rsid w:val="00E331E1"/>
    <w:rsid w:val="00E33A43"/>
    <w:rsid w:val="00E347CD"/>
    <w:rsid w:val="00E34DDF"/>
    <w:rsid w:val="00E3592E"/>
    <w:rsid w:val="00E36237"/>
    <w:rsid w:val="00E367BF"/>
    <w:rsid w:val="00E36896"/>
    <w:rsid w:val="00E370AE"/>
    <w:rsid w:val="00E40E06"/>
    <w:rsid w:val="00E41D7D"/>
    <w:rsid w:val="00E42E5A"/>
    <w:rsid w:val="00E4425D"/>
    <w:rsid w:val="00E44E90"/>
    <w:rsid w:val="00E45CD9"/>
    <w:rsid w:val="00E52217"/>
    <w:rsid w:val="00E523FA"/>
    <w:rsid w:val="00E52BD9"/>
    <w:rsid w:val="00E53DEC"/>
    <w:rsid w:val="00E54857"/>
    <w:rsid w:val="00E56F50"/>
    <w:rsid w:val="00E61604"/>
    <w:rsid w:val="00E61F42"/>
    <w:rsid w:val="00E6274D"/>
    <w:rsid w:val="00E6318E"/>
    <w:rsid w:val="00E63336"/>
    <w:rsid w:val="00E63639"/>
    <w:rsid w:val="00E6435E"/>
    <w:rsid w:val="00E64999"/>
    <w:rsid w:val="00E64BFC"/>
    <w:rsid w:val="00E64F87"/>
    <w:rsid w:val="00E65703"/>
    <w:rsid w:val="00E65F49"/>
    <w:rsid w:val="00E66E58"/>
    <w:rsid w:val="00E712EC"/>
    <w:rsid w:val="00E731A6"/>
    <w:rsid w:val="00E73340"/>
    <w:rsid w:val="00E737A4"/>
    <w:rsid w:val="00E738F0"/>
    <w:rsid w:val="00E74241"/>
    <w:rsid w:val="00E7568B"/>
    <w:rsid w:val="00E75739"/>
    <w:rsid w:val="00E76B53"/>
    <w:rsid w:val="00E813CE"/>
    <w:rsid w:val="00E82393"/>
    <w:rsid w:val="00E82F78"/>
    <w:rsid w:val="00E839DD"/>
    <w:rsid w:val="00E83D8C"/>
    <w:rsid w:val="00E858D0"/>
    <w:rsid w:val="00E85F64"/>
    <w:rsid w:val="00E860C2"/>
    <w:rsid w:val="00E87DB4"/>
    <w:rsid w:val="00E87DFB"/>
    <w:rsid w:val="00E908E0"/>
    <w:rsid w:val="00E90F09"/>
    <w:rsid w:val="00E91AC8"/>
    <w:rsid w:val="00E929AE"/>
    <w:rsid w:val="00E93191"/>
    <w:rsid w:val="00E93195"/>
    <w:rsid w:val="00E94525"/>
    <w:rsid w:val="00E97DE3"/>
    <w:rsid w:val="00EA01B3"/>
    <w:rsid w:val="00EA0EAB"/>
    <w:rsid w:val="00EA1FC0"/>
    <w:rsid w:val="00EA20B7"/>
    <w:rsid w:val="00EA3BC4"/>
    <w:rsid w:val="00EA3C4A"/>
    <w:rsid w:val="00EA51FA"/>
    <w:rsid w:val="00EA5DE5"/>
    <w:rsid w:val="00EA6E39"/>
    <w:rsid w:val="00EA7145"/>
    <w:rsid w:val="00EA7907"/>
    <w:rsid w:val="00EB2417"/>
    <w:rsid w:val="00EB2AEB"/>
    <w:rsid w:val="00EB3425"/>
    <w:rsid w:val="00EB3B1E"/>
    <w:rsid w:val="00EB4B09"/>
    <w:rsid w:val="00EB71EE"/>
    <w:rsid w:val="00EB780D"/>
    <w:rsid w:val="00EC1089"/>
    <w:rsid w:val="00EC5709"/>
    <w:rsid w:val="00EC5F9C"/>
    <w:rsid w:val="00EC63B3"/>
    <w:rsid w:val="00ED2310"/>
    <w:rsid w:val="00ED2D40"/>
    <w:rsid w:val="00ED4DF1"/>
    <w:rsid w:val="00ED4DF6"/>
    <w:rsid w:val="00ED518B"/>
    <w:rsid w:val="00ED5D33"/>
    <w:rsid w:val="00ED6522"/>
    <w:rsid w:val="00EE2459"/>
    <w:rsid w:val="00EE4807"/>
    <w:rsid w:val="00EE5B5F"/>
    <w:rsid w:val="00EE6F47"/>
    <w:rsid w:val="00EE72A0"/>
    <w:rsid w:val="00EF0893"/>
    <w:rsid w:val="00EF1C40"/>
    <w:rsid w:val="00EF4AF7"/>
    <w:rsid w:val="00EF7CED"/>
    <w:rsid w:val="00F03480"/>
    <w:rsid w:val="00F0380A"/>
    <w:rsid w:val="00F039FF"/>
    <w:rsid w:val="00F0421B"/>
    <w:rsid w:val="00F06A46"/>
    <w:rsid w:val="00F11C93"/>
    <w:rsid w:val="00F11CC0"/>
    <w:rsid w:val="00F12287"/>
    <w:rsid w:val="00F1350C"/>
    <w:rsid w:val="00F13E25"/>
    <w:rsid w:val="00F16F89"/>
    <w:rsid w:val="00F178E4"/>
    <w:rsid w:val="00F20F45"/>
    <w:rsid w:val="00F23A3C"/>
    <w:rsid w:val="00F25271"/>
    <w:rsid w:val="00F25E4A"/>
    <w:rsid w:val="00F25F8B"/>
    <w:rsid w:val="00F26A0F"/>
    <w:rsid w:val="00F303A6"/>
    <w:rsid w:val="00F3135F"/>
    <w:rsid w:val="00F32D09"/>
    <w:rsid w:val="00F33E82"/>
    <w:rsid w:val="00F33EF9"/>
    <w:rsid w:val="00F34863"/>
    <w:rsid w:val="00F3494A"/>
    <w:rsid w:val="00F3518D"/>
    <w:rsid w:val="00F35A8A"/>
    <w:rsid w:val="00F35F0D"/>
    <w:rsid w:val="00F36AC1"/>
    <w:rsid w:val="00F37C3D"/>
    <w:rsid w:val="00F41795"/>
    <w:rsid w:val="00F436AA"/>
    <w:rsid w:val="00F45C5A"/>
    <w:rsid w:val="00F5085C"/>
    <w:rsid w:val="00F519F1"/>
    <w:rsid w:val="00F5234D"/>
    <w:rsid w:val="00F5427F"/>
    <w:rsid w:val="00F54B09"/>
    <w:rsid w:val="00F54DF0"/>
    <w:rsid w:val="00F550CB"/>
    <w:rsid w:val="00F5528F"/>
    <w:rsid w:val="00F55F1F"/>
    <w:rsid w:val="00F6228A"/>
    <w:rsid w:val="00F62B06"/>
    <w:rsid w:val="00F639AA"/>
    <w:rsid w:val="00F63C21"/>
    <w:rsid w:val="00F70145"/>
    <w:rsid w:val="00F705C4"/>
    <w:rsid w:val="00F71A75"/>
    <w:rsid w:val="00F7265A"/>
    <w:rsid w:val="00F727C4"/>
    <w:rsid w:val="00F7446D"/>
    <w:rsid w:val="00F74F91"/>
    <w:rsid w:val="00F7614C"/>
    <w:rsid w:val="00F80791"/>
    <w:rsid w:val="00F818D3"/>
    <w:rsid w:val="00F81986"/>
    <w:rsid w:val="00F8295E"/>
    <w:rsid w:val="00F83756"/>
    <w:rsid w:val="00F83B35"/>
    <w:rsid w:val="00F84963"/>
    <w:rsid w:val="00F85967"/>
    <w:rsid w:val="00F87541"/>
    <w:rsid w:val="00FA295E"/>
    <w:rsid w:val="00FA46D7"/>
    <w:rsid w:val="00FA48B1"/>
    <w:rsid w:val="00FA4A59"/>
    <w:rsid w:val="00FA6558"/>
    <w:rsid w:val="00FB1006"/>
    <w:rsid w:val="00FB39E9"/>
    <w:rsid w:val="00FB6033"/>
    <w:rsid w:val="00FB6BFB"/>
    <w:rsid w:val="00FB6D03"/>
    <w:rsid w:val="00FB702F"/>
    <w:rsid w:val="00FB7C07"/>
    <w:rsid w:val="00FC0C01"/>
    <w:rsid w:val="00FC5C5A"/>
    <w:rsid w:val="00FC73CD"/>
    <w:rsid w:val="00FD002B"/>
    <w:rsid w:val="00FD216E"/>
    <w:rsid w:val="00FD3373"/>
    <w:rsid w:val="00FD5A59"/>
    <w:rsid w:val="00FD6E2A"/>
    <w:rsid w:val="00FD701D"/>
    <w:rsid w:val="00FD727B"/>
    <w:rsid w:val="00FD77AB"/>
    <w:rsid w:val="00FE0CF2"/>
    <w:rsid w:val="00FE256A"/>
    <w:rsid w:val="00FE5ECE"/>
    <w:rsid w:val="00FF3A69"/>
    <w:rsid w:val="00FF5C01"/>
    <w:rsid w:val="00FF73E9"/>
    <w:rsid w:val="1AA628A4"/>
    <w:rsid w:val="4C4E487F"/>
    <w:rsid w:val="7EE6E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B9E36"/>
  <w15:chartTrackingRefBased/>
  <w15:docId w15:val="{2FCAEA0B-DB66-4C2A-B580-F36E579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E2"/>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BA5BF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26C06"/>
    <w:pPr>
      <w:ind w:left="0" w:firstLine="0"/>
    </w:pPr>
  </w:style>
  <w:style w:type="paragraph" w:customStyle="1" w:styleId="TRNormal">
    <w:name w:val="_TRNormal"/>
    <w:link w:val="TRNormalChar"/>
    <w:rsid w:val="006949D8"/>
    <w:pPr>
      <w:spacing w:after="0" w:line="300" w:lineRule="atLeast"/>
      <w:jc w:val="both"/>
    </w:pPr>
    <w:rPr>
      <w:rFonts w:ascii="Times New Roman" w:eastAsia="Times New Roman" w:hAnsi="Times New Roman" w:cs="Times New Roman"/>
      <w:sz w:val="24"/>
      <w:lang w:eastAsia="en-AU"/>
    </w:rPr>
  </w:style>
  <w:style w:type="character" w:customStyle="1" w:styleId="TRNormalChar">
    <w:name w:val="_TRNormal Char"/>
    <w:basedOn w:val="DefaultParagraphFont"/>
    <w:link w:val="TRNormal"/>
    <w:locked/>
    <w:rsid w:val="006949D8"/>
    <w:rPr>
      <w:rFonts w:ascii="Times New Roman" w:eastAsia="Times New Roman" w:hAnsi="Times New Roman" w:cs="Times New Roman"/>
      <w:sz w:val="24"/>
      <w:lang w:eastAsia="en-AU"/>
    </w:rPr>
  </w:style>
  <w:style w:type="paragraph" w:customStyle="1" w:styleId="TRHeading1">
    <w:name w:val="_TRHeading 1"/>
    <w:next w:val="TRNormal"/>
    <w:rsid w:val="00162C4F"/>
    <w:pPr>
      <w:keepNext/>
      <w:widowControl w:val="0"/>
      <w:pBdr>
        <w:bottom w:val="single" w:sz="4" w:space="1" w:color="auto"/>
      </w:pBdr>
      <w:spacing w:before="720" w:after="360" w:line="240" w:lineRule="auto"/>
    </w:pPr>
    <w:rPr>
      <w:rFonts w:ascii="Times New Roman" w:eastAsia="Times New Roman" w:hAnsi="Times New Roman" w:cs="Times New Roman"/>
      <w:b/>
      <w:sz w:val="28"/>
      <w:lang w:eastAsia="en-AU"/>
    </w:rPr>
  </w:style>
  <w:style w:type="paragraph" w:customStyle="1" w:styleId="TRListBullet">
    <w:name w:val="_TRList Bullet"/>
    <w:basedOn w:val="TRNormal"/>
    <w:rsid w:val="00162C4F"/>
    <w:pPr>
      <w:numPr>
        <w:numId w:val="17"/>
      </w:numPr>
      <w:tabs>
        <w:tab w:val="clear" w:pos="1134"/>
      </w:tabs>
      <w:spacing w:after="200"/>
      <w:ind w:left="539" w:hanging="539"/>
    </w:pPr>
  </w:style>
  <w:style w:type="paragraph" w:customStyle="1" w:styleId="NumberedParagraphCabStandard">
    <w:name w:val="Numbered Paragraph (CabStandard)"/>
    <w:basedOn w:val="Normal"/>
    <w:qFormat/>
    <w:rsid w:val="00E27349"/>
    <w:pPr>
      <w:tabs>
        <w:tab w:val="num" w:pos="709"/>
      </w:tabs>
      <w:spacing w:after="240" w:line="240" w:lineRule="auto"/>
      <w:ind w:left="709" w:hanging="709"/>
    </w:pPr>
    <w:rPr>
      <w:rFonts w:ascii="Arial" w:hAnsi="Arial"/>
      <w:sz w:val="24"/>
      <w:szCs w:val="23"/>
      <w:lang w:eastAsia="en-NZ"/>
    </w:rPr>
  </w:style>
  <w:style w:type="table" w:customStyle="1" w:styleId="TableGrid1">
    <w:name w:val="Table Grid1"/>
    <w:basedOn w:val="TableNormal"/>
    <w:next w:val="TableGrid"/>
    <w:rsid w:val="00E27349"/>
    <w:pPr>
      <w:spacing w:after="0" w:line="240" w:lineRule="auto"/>
    </w:pPr>
    <w:rPr>
      <w:rFonts w:ascii="Arial" w:hAnsi="Arial"/>
      <w:sz w:val="23"/>
      <w:szCs w:val="23"/>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2564"/>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152564"/>
    <w:rPr>
      <w:rFonts w:ascii="Times New Roman" w:eastAsia="Times New Roman" w:hAnsi="Times New Roman" w:cs="Times New Roman"/>
      <w:b/>
      <w:bCs/>
      <w:szCs w:val="20"/>
      <w:lang w:eastAsia="en-AU"/>
    </w:rPr>
  </w:style>
  <w:style w:type="paragraph" w:styleId="ListParagraph">
    <w:name w:val="List Paragraph"/>
    <w:basedOn w:val="Normal"/>
    <w:uiPriority w:val="34"/>
    <w:rsid w:val="00B402AE"/>
    <w:pPr>
      <w:ind w:left="720"/>
      <w:contextualSpacing/>
    </w:pPr>
  </w:style>
  <w:style w:type="paragraph" w:styleId="Revision">
    <w:name w:val="Revision"/>
    <w:hidden/>
    <w:uiPriority w:val="99"/>
    <w:semiHidden/>
    <w:rsid w:val="000D104C"/>
    <w:pPr>
      <w:spacing w:after="0" w:line="240" w:lineRule="auto"/>
    </w:pPr>
  </w:style>
  <w:style w:type="character" w:styleId="Mention">
    <w:name w:val="Mention"/>
    <w:basedOn w:val="DefaultParagraphFont"/>
    <w:uiPriority w:val="99"/>
    <w:unhideWhenUsed/>
    <w:rsid w:val="002464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545145061">
      <w:bodyDiv w:val="1"/>
      <w:marLeft w:val="0"/>
      <w:marRight w:val="0"/>
      <w:marTop w:val="0"/>
      <w:marBottom w:val="0"/>
      <w:divBdr>
        <w:top w:val="none" w:sz="0" w:space="0" w:color="auto"/>
        <w:left w:val="none" w:sz="0" w:space="0" w:color="auto"/>
        <w:bottom w:val="none" w:sz="0" w:space="0" w:color="auto"/>
        <w:right w:val="none" w:sz="0" w:space="0" w:color="auto"/>
      </w:divBdr>
    </w:div>
    <w:div w:id="545222769">
      <w:bodyDiv w:val="1"/>
      <w:marLeft w:val="0"/>
      <w:marRight w:val="0"/>
      <w:marTop w:val="0"/>
      <w:marBottom w:val="0"/>
      <w:divBdr>
        <w:top w:val="none" w:sz="0" w:space="0" w:color="auto"/>
        <w:left w:val="none" w:sz="0" w:space="0" w:color="auto"/>
        <w:bottom w:val="none" w:sz="0" w:space="0" w:color="auto"/>
        <w:right w:val="none" w:sz="0" w:space="0" w:color="auto"/>
      </w:divBdr>
    </w:div>
    <w:div w:id="651256970">
      <w:bodyDiv w:val="1"/>
      <w:marLeft w:val="0"/>
      <w:marRight w:val="0"/>
      <w:marTop w:val="0"/>
      <w:marBottom w:val="0"/>
      <w:divBdr>
        <w:top w:val="none" w:sz="0" w:space="0" w:color="auto"/>
        <w:left w:val="none" w:sz="0" w:space="0" w:color="auto"/>
        <w:bottom w:val="none" w:sz="0" w:space="0" w:color="auto"/>
        <w:right w:val="none" w:sz="0" w:space="0" w:color="auto"/>
      </w:divBdr>
    </w:div>
    <w:div w:id="684358104">
      <w:bodyDiv w:val="1"/>
      <w:marLeft w:val="0"/>
      <w:marRight w:val="0"/>
      <w:marTop w:val="0"/>
      <w:marBottom w:val="0"/>
      <w:divBdr>
        <w:top w:val="none" w:sz="0" w:space="0" w:color="auto"/>
        <w:left w:val="none" w:sz="0" w:space="0" w:color="auto"/>
        <w:bottom w:val="none" w:sz="0" w:space="0" w:color="auto"/>
        <w:right w:val="none" w:sz="0" w:space="0" w:color="auto"/>
      </w:divBdr>
    </w:div>
    <w:div w:id="1033383872">
      <w:bodyDiv w:val="1"/>
      <w:marLeft w:val="0"/>
      <w:marRight w:val="0"/>
      <w:marTop w:val="0"/>
      <w:marBottom w:val="0"/>
      <w:divBdr>
        <w:top w:val="none" w:sz="0" w:space="0" w:color="auto"/>
        <w:left w:val="none" w:sz="0" w:space="0" w:color="auto"/>
        <w:bottom w:val="none" w:sz="0" w:space="0" w:color="auto"/>
        <w:right w:val="none" w:sz="0" w:space="0" w:color="auto"/>
      </w:divBdr>
    </w:div>
    <w:div w:id="1087118941">
      <w:bodyDiv w:val="1"/>
      <w:marLeft w:val="0"/>
      <w:marRight w:val="0"/>
      <w:marTop w:val="0"/>
      <w:marBottom w:val="0"/>
      <w:divBdr>
        <w:top w:val="none" w:sz="0" w:space="0" w:color="auto"/>
        <w:left w:val="none" w:sz="0" w:space="0" w:color="auto"/>
        <w:bottom w:val="none" w:sz="0" w:space="0" w:color="auto"/>
        <w:right w:val="none" w:sz="0" w:space="0" w:color="auto"/>
      </w:divBdr>
      <w:divsChild>
        <w:div w:id="1805929707">
          <w:marLeft w:val="0"/>
          <w:marRight w:val="0"/>
          <w:marTop w:val="0"/>
          <w:marBottom w:val="0"/>
          <w:divBdr>
            <w:top w:val="none" w:sz="0" w:space="0" w:color="auto"/>
            <w:left w:val="none" w:sz="0" w:space="0" w:color="auto"/>
            <w:bottom w:val="none" w:sz="0" w:space="0" w:color="auto"/>
            <w:right w:val="none" w:sz="0" w:space="0" w:color="auto"/>
          </w:divBdr>
        </w:div>
        <w:div w:id="1856112710">
          <w:marLeft w:val="0"/>
          <w:marRight w:val="0"/>
          <w:marTop w:val="0"/>
          <w:marBottom w:val="0"/>
          <w:divBdr>
            <w:top w:val="none" w:sz="0" w:space="0" w:color="auto"/>
            <w:left w:val="none" w:sz="0" w:space="0" w:color="auto"/>
            <w:bottom w:val="none" w:sz="0" w:space="0" w:color="auto"/>
            <w:right w:val="none" w:sz="0" w:space="0" w:color="auto"/>
          </w:divBdr>
        </w:div>
        <w:div w:id="1936091292">
          <w:marLeft w:val="0"/>
          <w:marRight w:val="0"/>
          <w:marTop w:val="0"/>
          <w:marBottom w:val="0"/>
          <w:divBdr>
            <w:top w:val="none" w:sz="0" w:space="0" w:color="auto"/>
            <w:left w:val="none" w:sz="0" w:space="0" w:color="auto"/>
            <w:bottom w:val="none" w:sz="0" w:space="0" w:color="auto"/>
            <w:right w:val="none" w:sz="0" w:space="0" w:color="auto"/>
          </w:divBdr>
        </w:div>
        <w:div w:id="1876574416">
          <w:marLeft w:val="0"/>
          <w:marRight w:val="0"/>
          <w:marTop w:val="0"/>
          <w:marBottom w:val="0"/>
          <w:divBdr>
            <w:top w:val="none" w:sz="0" w:space="0" w:color="auto"/>
            <w:left w:val="none" w:sz="0" w:space="0" w:color="auto"/>
            <w:bottom w:val="none" w:sz="0" w:space="0" w:color="auto"/>
            <w:right w:val="none" w:sz="0" w:space="0" w:color="auto"/>
          </w:divBdr>
        </w:div>
        <w:div w:id="198472994">
          <w:marLeft w:val="0"/>
          <w:marRight w:val="0"/>
          <w:marTop w:val="0"/>
          <w:marBottom w:val="0"/>
          <w:divBdr>
            <w:top w:val="none" w:sz="0" w:space="0" w:color="auto"/>
            <w:left w:val="none" w:sz="0" w:space="0" w:color="auto"/>
            <w:bottom w:val="none" w:sz="0" w:space="0" w:color="auto"/>
            <w:right w:val="none" w:sz="0" w:space="0" w:color="auto"/>
          </w:divBdr>
        </w:div>
      </w:divsChild>
    </w:div>
    <w:div w:id="1257594435">
      <w:bodyDiv w:val="1"/>
      <w:marLeft w:val="0"/>
      <w:marRight w:val="0"/>
      <w:marTop w:val="0"/>
      <w:marBottom w:val="0"/>
      <w:divBdr>
        <w:top w:val="none" w:sz="0" w:space="0" w:color="auto"/>
        <w:left w:val="none" w:sz="0" w:space="0" w:color="auto"/>
        <w:bottom w:val="none" w:sz="0" w:space="0" w:color="auto"/>
        <w:right w:val="none" w:sz="0" w:space="0" w:color="auto"/>
      </w:divBdr>
      <w:divsChild>
        <w:div w:id="342168168">
          <w:marLeft w:val="0"/>
          <w:marRight w:val="0"/>
          <w:marTop w:val="0"/>
          <w:marBottom w:val="0"/>
          <w:divBdr>
            <w:top w:val="none" w:sz="0" w:space="0" w:color="auto"/>
            <w:left w:val="none" w:sz="0" w:space="0" w:color="auto"/>
            <w:bottom w:val="none" w:sz="0" w:space="0" w:color="auto"/>
            <w:right w:val="none" w:sz="0" w:space="0" w:color="auto"/>
          </w:divBdr>
        </w:div>
        <w:div w:id="1168131848">
          <w:marLeft w:val="0"/>
          <w:marRight w:val="0"/>
          <w:marTop w:val="0"/>
          <w:marBottom w:val="0"/>
          <w:divBdr>
            <w:top w:val="none" w:sz="0" w:space="0" w:color="auto"/>
            <w:left w:val="none" w:sz="0" w:space="0" w:color="auto"/>
            <w:bottom w:val="none" w:sz="0" w:space="0" w:color="auto"/>
            <w:right w:val="none" w:sz="0" w:space="0" w:color="auto"/>
          </w:divBdr>
        </w:div>
        <w:div w:id="1673335239">
          <w:marLeft w:val="0"/>
          <w:marRight w:val="0"/>
          <w:marTop w:val="0"/>
          <w:marBottom w:val="0"/>
          <w:divBdr>
            <w:top w:val="none" w:sz="0" w:space="0" w:color="auto"/>
            <w:left w:val="none" w:sz="0" w:space="0" w:color="auto"/>
            <w:bottom w:val="none" w:sz="0" w:space="0" w:color="auto"/>
            <w:right w:val="none" w:sz="0" w:space="0" w:color="auto"/>
          </w:divBdr>
        </w:div>
        <w:div w:id="263996789">
          <w:marLeft w:val="0"/>
          <w:marRight w:val="0"/>
          <w:marTop w:val="0"/>
          <w:marBottom w:val="0"/>
          <w:divBdr>
            <w:top w:val="none" w:sz="0" w:space="0" w:color="auto"/>
            <w:left w:val="none" w:sz="0" w:space="0" w:color="auto"/>
            <w:bottom w:val="none" w:sz="0" w:space="0" w:color="auto"/>
            <w:right w:val="none" w:sz="0" w:space="0" w:color="auto"/>
          </w:divBdr>
        </w:div>
        <w:div w:id="1057775361">
          <w:marLeft w:val="0"/>
          <w:marRight w:val="0"/>
          <w:marTop w:val="0"/>
          <w:marBottom w:val="0"/>
          <w:divBdr>
            <w:top w:val="none" w:sz="0" w:space="0" w:color="auto"/>
            <w:left w:val="none" w:sz="0" w:space="0" w:color="auto"/>
            <w:bottom w:val="none" w:sz="0" w:space="0" w:color="auto"/>
            <w:right w:val="none" w:sz="0" w:space="0" w:color="auto"/>
          </w:divBdr>
        </w:div>
        <w:div w:id="1697193638">
          <w:marLeft w:val="-75"/>
          <w:marRight w:val="0"/>
          <w:marTop w:val="30"/>
          <w:marBottom w:val="30"/>
          <w:divBdr>
            <w:top w:val="none" w:sz="0" w:space="0" w:color="auto"/>
            <w:left w:val="none" w:sz="0" w:space="0" w:color="auto"/>
            <w:bottom w:val="none" w:sz="0" w:space="0" w:color="auto"/>
            <w:right w:val="none" w:sz="0" w:space="0" w:color="auto"/>
          </w:divBdr>
          <w:divsChild>
            <w:div w:id="2024239903">
              <w:marLeft w:val="0"/>
              <w:marRight w:val="0"/>
              <w:marTop w:val="0"/>
              <w:marBottom w:val="0"/>
              <w:divBdr>
                <w:top w:val="none" w:sz="0" w:space="0" w:color="auto"/>
                <w:left w:val="none" w:sz="0" w:space="0" w:color="auto"/>
                <w:bottom w:val="none" w:sz="0" w:space="0" w:color="auto"/>
                <w:right w:val="none" w:sz="0" w:space="0" w:color="auto"/>
              </w:divBdr>
              <w:divsChild>
                <w:div w:id="1134327266">
                  <w:marLeft w:val="0"/>
                  <w:marRight w:val="0"/>
                  <w:marTop w:val="0"/>
                  <w:marBottom w:val="0"/>
                  <w:divBdr>
                    <w:top w:val="none" w:sz="0" w:space="0" w:color="auto"/>
                    <w:left w:val="none" w:sz="0" w:space="0" w:color="auto"/>
                    <w:bottom w:val="none" w:sz="0" w:space="0" w:color="auto"/>
                    <w:right w:val="none" w:sz="0" w:space="0" w:color="auto"/>
                  </w:divBdr>
                </w:div>
              </w:divsChild>
            </w:div>
            <w:div w:id="2102095762">
              <w:marLeft w:val="0"/>
              <w:marRight w:val="0"/>
              <w:marTop w:val="0"/>
              <w:marBottom w:val="0"/>
              <w:divBdr>
                <w:top w:val="none" w:sz="0" w:space="0" w:color="auto"/>
                <w:left w:val="none" w:sz="0" w:space="0" w:color="auto"/>
                <w:bottom w:val="none" w:sz="0" w:space="0" w:color="auto"/>
                <w:right w:val="none" w:sz="0" w:space="0" w:color="auto"/>
              </w:divBdr>
              <w:divsChild>
                <w:div w:id="82841251">
                  <w:marLeft w:val="0"/>
                  <w:marRight w:val="0"/>
                  <w:marTop w:val="0"/>
                  <w:marBottom w:val="0"/>
                  <w:divBdr>
                    <w:top w:val="none" w:sz="0" w:space="0" w:color="auto"/>
                    <w:left w:val="none" w:sz="0" w:space="0" w:color="auto"/>
                    <w:bottom w:val="none" w:sz="0" w:space="0" w:color="auto"/>
                    <w:right w:val="none" w:sz="0" w:space="0" w:color="auto"/>
                  </w:divBdr>
                </w:div>
              </w:divsChild>
            </w:div>
            <w:div w:id="967320143">
              <w:marLeft w:val="0"/>
              <w:marRight w:val="0"/>
              <w:marTop w:val="0"/>
              <w:marBottom w:val="0"/>
              <w:divBdr>
                <w:top w:val="none" w:sz="0" w:space="0" w:color="auto"/>
                <w:left w:val="none" w:sz="0" w:space="0" w:color="auto"/>
                <w:bottom w:val="none" w:sz="0" w:space="0" w:color="auto"/>
                <w:right w:val="none" w:sz="0" w:space="0" w:color="auto"/>
              </w:divBdr>
              <w:divsChild>
                <w:div w:id="1508665853">
                  <w:marLeft w:val="0"/>
                  <w:marRight w:val="0"/>
                  <w:marTop w:val="0"/>
                  <w:marBottom w:val="0"/>
                  <w:divBdr>
                    <w:top w:val="none" w:sz="0" w:space="0" w:color="auto"/>
                    <w:left w:val="none" w:sz="0" w:space="0" w:color="auto"/>
                    <w:bottom w:val="none" w:sz="0" w:space="0" w:color="auto"/>
                    <w:right w:val="none" w:sz="0" w:space="0" w:color="auto"/>
                  </w:divBdr>
                </w:div>
              </w:divsChild>
            </w:div>
            <w:div w:id="1733842464">
              <w:marLeft w:val="0"/>
              <w:marRight w:val="0"/>
              <w:marTop w:val="0"/>
              <w:marBottom w:val="0"/>
              <w:divBdr>
                <w:top w:val="none" w:sz="0" w:space="0" w:color="auto"/>
                <w:left w:val="none" w:sz="0" w:space="0" w:color="auto"/>
                <w:bottom w:val="none" w:sz="0" w:space="0" w:color="auto"/>
                <w:right w:val="none" w:sz="0" w:space="0" w:color="auto"/>
              </w:divBdr>
              <w:divsChild>
                <w:div w:id="1440637972">
                  <w:marLeft w:val="0"/>
                  <w:marRight w:val="0"/>
                  <w:marTop w:val="0"/>
                  <w:marBottom w:val="0"/>
                  <w:divBdr>
                    <w:top w:val="none" w:sz="0" w:space="0" w:color="auto"/>
                    <w:left w:val="none" w:sz="0" w:space="0" w:color="auto"/>
                    <w:bottom w:val="none" w:sz="0" w:space="0" w:color="auto"/>
                    <w:right w:val="none" w:sz="0" w:space="0" w:color="auto"/>
                  </w:divBdr>
                </w:div>
              </w:divsChild>
            </w:div>
            <w:div w:id="172841278">
              <w:marLeft w:val="0"/>
              <w:marRight w:val="0"/>
              <w:marTop w:val="0"/>
              <w:marBottom w:val="0"/>
              <w:divBdr>
                <w:top w:val="none" w:sz="0" w:space="0" w:color="auto"/>
                <w:left w:val="none" w:sz="0" w:space="0" w:color="auto"/>
                <w:bottom w:val="none" w:sz="0" w:space="0" w:color="auto"/>
                <w:right w:val="none" w:sz="0" w:space="0" w:color="auto"/>
              </w:divBdr>
              <w:divsChild>
                <w:div w:id="579947669">
                  <w:marLeft w:val="0"/>
                  <w:marRight w:val="0"/>
                  <w:marTop w:val="0"/>
                  <w:marBottom w:val="0"/>
                  <w:divBdr>
                    <w:top w:val="none" w:sz="0" w:space="0" w:color="auto"/>
                    <w:left w:val="none" w:sz="0" w:space="0" w:color="auto"/>
                    <w:bottom w:val="none" w:sz="0" w:space="0" w:color="auto"/>
                    <w:right w:val="none" w:sz="0" w:space="0" w:color="auto"/>
                  </w:divBdr>
                </w:div>
              </w:divsChild>
            </w:div>
            <w:div w:id="1369718758">
              <w:marLeft w:val="0"/>
              <w:marRight w:val="0"/>
              <w:marTop w:val="0"/>
              <w:marBottom w:val="0"/>
              <w:divBdr>
                <w:top w:val="none" w:sz="0" w:space="0" w:color="auto"/>
                <w:left w:val="none" w:sz="0" w:space="0" w:color="auto"/>
                <w:bottom w:val="none" w:sz="0" w:space="0" w:color="auto"/>
                <w:right w:val="none" w:sz="0" w:space="0" w:color="auto"/>
              </w:divBdr>
              <w:divsChild>
                <w:div w:id="1315451913">
                  <w:marLeft w:val="0"/>
                  <w:marRight w:val="0"/>
                  <w:marTop w:val="0"/>
                  <w:marBottom w:val="0"/>
                  <w:divBdr>
                    <w:top w:val="none" w:sz="0" w:space="0" w:color="auto"/>
                    <w:left w:val="none" w:sz="0" w:space="0" w:color="auto"/>
                    <w:bottom w:val="none" w:sz="0" w:space="0" w:color="auto"/>
                    <w:right w:val="none" w:sz="0" w:space="0" w:color="auto"/>
                  </w:divBdr>
                </w:div>
              </w:divsChild>
            </w:div>
            <w:div w:id="946693015">
              <w:marLeft w:val="0"/>
              <w:marRight w:val="0"/>
              <w:marTop w:val="0"/>
              <w:marBottom w:val="0"/>
              <w:divBdr>
                <w:top w:val="none" w:sz="0" w:space="0" w:color="auto"/>
                <w:left w:val="none" w:sz="0" w:space="0" w:color="auto"/>
                <w:bottom w:val="none" w:sz="0" w:space="0" w:color="auto"/>
                <w:right w:val="none" w:sz="0" w:space="0" w:color="auto"/>
              </w:divBdr>
              <w:divsChild>
                <w:div w:id="23867270">
                  <w:marLeft w:val="0"/>
                  <w:marRight w:val="0"/>
                  <w:marTop w:val="0"/>
                  <w:marBottom w:val="0"/>
                  <w:divBdr>
                    <w:top w:val="none" w:sz="0" w:space="0" w:color="auto"/>
                    <w:left w:val="none" w:sz="0" w:space="0" w:color="auto"/>
                    <w:bottom w:val="none" w:sz="0" w:space="0" w:color="auto"/>
                    <w:right w:val="none" w:sz="0" w:space="0" w:color="auto"/>
                  </w:divBdr>
                </w:div>
              </w:divsChild>
            </w:div>
            <w:div w:id="1188640026">
              <w:marLeft w:val="0"/>
              <w:marRight w:val="0"/>
              <w:marTop w:val="0"/>
              <w:marBottom w:val="0"/>
              <w:divBdr>
                <w:top w:val="none" w:sz="0" w:space="0" w:color="auto"/>
                <w:left w:val="none" w:sz="0" w:space="0" w:color="auto"/>
                <w:bottom w:val="none" w:sz="0" w:space="0" w:color="auto"/>
                <w:right w:val="none" w:sz="0" w:space="0" w:color="auto"/>
              </w:divBdr>
              <w:divsChild>
                <w:div w:id="851651979">
                  <w:marLeft w:val="0"/>
                  <w:marRight w:val="0"/>
                  <w:marTop w:val="0"/>
                  <w:marBottom w:val="0"/>
                  <w:divBdr>
                    <w:top w:val="none" w:sz="0" w:space="0" w:color="auto"/>
                    <w:left w:val="none" w:sz="0" w:space="0" w:color="auto"/>
                    <w:bottom w:val="none" w:sz="0" w:space="0" w:color="auto"/>
                    <w:right w:val="none" w:sz="0" w:space="0" w:color="auto"/>
                  </w:divBdr>
                </w:div>
              </w:divsChild>
            </w:div>
            <w:div w:id="702705506">
              <w:marLeft w:val="0"/>
              <w:marRight w:val="0"/>
              <w:marTop w:val="0"/>
              <w:marBottom w:val="0"/>
              <w:divBdr>
                <w:top w:val="none" w:sz="0" w:space="0" w:color="auto"/>
                <w:left w:val="none" w:sz="0" w:space="0" w:color="auto"/>
                <w:bottom w:val="none" w:sz="0" w:space="0" w:color="auto"/>
                <w:right w:val="none" w:sz="0" w:space="0" w:color="auto"/>
              </w:divBdr>
              <w:divsChild>
                <w:div w:id="1118988954">
                  <w:marLeft w:val="0"/>
                  <w:marRight w:val="0"/>
                  <w:marTop w:val="0"/>
                  <w:marBottom w:val="0"/>
                  <w:divBdr>
                    <w:top w:val="none" w:sz="0" w:space="0" w:color="auto"/>
                    <w:left w:val="none" w:sz="0" w:space="0" w:color="auto"/>
                    <w:bottom w:val="none" w:sz="0" w:space="0" w:color="auto"/>
                    <w:right w:val="none" w:sz="0" w:space="0" w:color="auto"/>
                  </w:divBdr>
                </w:div>
                <w:div w:id="833451287">
                  <w:marLeft w:val="0"/>
                  <w:marRight w:val="0"/>
                  <w:marTop w:val="0"/>
                  <w:marBottom w:val="0"/>
                  <w:divBdr>
                    <w:top w:val="none" w:sz="0" w:space="0" w:color="auto"/>
                    <w:left w:val="none" w:sz="0" w:space="0" w:color="auto"/>
                    <w:bottom w:val="none" w:sz="0" w:space="0" w:color="auto"/>
                    <w:right w:val="none" w:sz="0" w:space="0" w:color="auto"/>
                  </w:divBdr>
                </w:div>
              </w:divsChild>
            </w:div>
            <w:div w:id="1295059982">
              <w:marLeft w:val="0"/>
              <w:marRight w:val="0"/>
              <w:marTop w:val="0"/>
              <w:marBottom w:val="0"/>
              <w:divBdr>
                <w:top w:val="none" w:sz="0" w:space="0" w:color="auto"/>
                <w:left w:val="none" w:sz="0" w:space="0" w:color="auto"/>
                <w:bottom w:val="none" w:sz="0" w:space="0" w:color="auto"/>
                <w:right w:val="none" w:sz="0" w:space="0" w:color="auto"/>
              </w:divBdr>
              <w:divsChild>
                <w:div w:id="1020089128">
                  <w:marLeft w:val="0"/>
                  <w:marRight w:val="0"/>
                  <w:marTop w:val="0"/>
                  <w:marBottom w:val="0"/>
                  <w:divBdr>
                    <w:top w:val="none" w:sz="0" w:space="0" w:color="auto"/>
                    <w:left w:val="none" w:sz="0" w:space="0" w:color="auto"/>
                    <w:bottom w:val="none" w:sz="0" w:space="0" w:color="auto"/>
                    <w:right w:val="none" w:sz="0" w:space="0" w:color="auto"/>
                  </w:divBdr>
                </w:div>
              </w:divsChild>
            </w:div>
            <w:div w:id="2053726358">
              <w:marLeft w:val="0"/>
              <w:marRight w:val="0"/>
              <w:marTop w:val="0"/>
              <w:marBottom w:val="0"/>
              <w:divBdr>
                <w:top w:val="none" w:sz="0" w:space="0" w:color="auto"/>
                <w:left w:val="none" w:sz="0" w:space="0" w:color="auto"/>
                <w:bottom w:val="none" w:sz="0" w:space="0" w:color="auto"/>
                <w:right w:val="none" w:sz="0" w:space="0" w:color="auto"/>
              </w:divBdr>
              <w:divsChild>
                <w:div w:id="1952321280">
                  <w:marLeft w:val="0"/>
                  <w:marRight w:val="0"/>
                  <w:marTop w:val="0"/>
                  <w:marBottom w:val="0"/>
                  <w:divBdr>
                    <w:top w:val="none" w:sz="0" w:space="0" w:color="auto"/>
                    <w:left w:val="none" w:sz="0" w:space="0" w:color="auto"/>
                    <w:bottom w:val="none" w:sz="0" w:space="0" w:color="auto"/>
                    <w:right w:val="none" w:sz="0" w:space="0" w:color="auto"/>
                  </w:divBdr>
                </w:div>
              </w:divsChild>
            </w:div>
            <w:div w:id="982083631">
              <w:marLeft w:val="0"/>
              <w:marRight w:val="0"/>
              <w:marTop w:val="0"/>
              <w:marBottom w:val="0"/>
              <w:divBdr>
                <w:top w:val="none" w:sz="0" w:space="0" w:color="auto"/>
                <w:left w:val="none" w:sz="0" w:space="0" w:color="auto"/>
                <w:bottom w:val="none" w:sz="0" w:space="0" w:color="auto"/>
                <w:right w:val="none" w:sz="0" w:space="0" w:color="auto"/>
              </w:divBdr>
              <w:divsChild>
                <w:div w:id="98187630">
                  <w:marLeft w:val="0"/>
                  <w:marRight w:val="0"/>
                  <w:marTop w:val="0"/>
                  <w:marBottom w:val="0"/>
                  <w:divBdr>
                    <w:top w:val="none" w:sz="0" w:space="0" w:color="auto"/>
                    <w:left w:val="none" w:sz="0" w:space="0" w:color="auto"/>
                    <w:bottom w:val="none" w:sz="0" w:space="0" w:color="auto"/>
                    <w:right w:val="none" w:sz="0" w:space="0" w:color="auto"/>
                  </w:divBdr>
                </w:div>
              </w:divsChild>
            </w:div>
            <w:div w:id="1923220636">
              <w:marLeft w:val="0"/>
              <w:marRight w:val="0"/>
              <w:marTop w:val="0"/>
              <w:marBottom w:val="0"/>
              <w:divBdr>
                <w:top w:val="none" w:sz="0" w:space="0" w:color="auto"/>
                <w:left w:val="none" w:sz="0" w:space="0" w:color="auto"/>
                <w:bottom w:val="none" w:sz="0" w:space="0" w:color="auto"/>
                <w:right w:val="none" w:sz="0" w:space="0" w:color="auto"/>
              </w:divBdr>
              <w:divsChild>
                <w:div w:id="121652916">
                  <w:marLeft w:val="0"/>
                  <w:marRight w:val="0"/>
                  <w:marTop w:val="0"/>
                  <w:marBottom w:val="0"/>
                  <w:divBdr>
                    <w:top w:val="none" w:sz="0" w:space="0" w:color="auto"/>
                    <w:left w:val="none" w:sz="0" w:space="0" w:color="auto"/>
                    <w:bottom w:val="none" w:sz="0" w:space="0" w:color="auto"/>
                    <w:right w:val="none" w:sz="0" w:space="0" w:color="auto"/>
                  </w:divBdr>
                </w:div>
              </w:divsChild>
            </w:div>
            <w:div w:id="516848561">
              <w:marLeft w:val="0"/>
              <w:marRight w:val="0"/>
              <w:marTop w:val="0"/>
              <w:marBottom w:val="0"/>
              <w:divBdr>
                <w:top w:val="none" w:sz="0" w:space="0" w:color="auto"/>
                <w:left w:val="none" w:sz="0" w:space="0" w:color="auto"/>
                <w:bottom w:val="none" w:sz="0" w:space="0" w:color="auto"/>
                <w:right w:val="none" w:sz="0" w:space="0" w:color="auto"/>
              </w:divBdr>
              <w:divsChild>
                <w:div w:id="1819413889">
                  <w:marLeft w:val="0"/>
                  <w:marRight w:val="0"/>
                  <w:marTop w:val="0"/>
                  <w:marBottom w:val="0"/>
                  <w:divBdr>
                    <w:top w:val="none" w:sz="0" w:space="0" w:color="auto"/>
                    <w:left w:val="none" w:sz="0" w:space="0" w:color="auto"/>
                    <w:bottom w:val="none" w:sz="0" w:space="0" w:color="auto"/>
                    <w:right w:val="none" w:sz="0" w:space="0" w:color="auto"/>
                  </w:divBdr>
                </w:div>
              </w:divsChild>
            </w:div>
            <w:div w:id="1062947849">
              <w:marLeft w:val="0"/>
              <w:marRight w:val="0"/>
              <w:marTop w:val="0"/>
              <w:marBottom w:val="0"/>
              <w:divBdr>
                <w:top w:val="none" w:sz="0" w:space="0" w:color="auto"/>
                <w:left w:val="none" w:sz="0" w:space="0" w:color="auto"/>
                <w:bottom w:val="none" w:sz="0" w:space="0" w:color="auto"/>
                <w:right w:val="none" w:sz="0" w:space="0" w:color="auto"/>
              </w:divBdr>
              <w:divsChild>
                <w:div w:id="1501043048">
                  <w:marLeft w:val="0"/>
                  <w:marRight w:val="0"/>
                  <w:marTop w:val="0"/>
                  <w:marBottom w:val="0"/>
                  <w:divBdr>
                    <w:top w:val="none" w:sz="0" w:space="0" w:color="auto"/>
                    <w:left w:val="none" w:sz="0" w:space="0" w:color="auto"/>
                    <w:bottom w:val="none" w:sz="0" w:space="0" w:color="auto"/>
                    <w:right w:val="none" w:sz="0" w:space="0" w:color="auto"/>
                  </w:divBdr>
                </w:div>
              </w:divsChild>
            </w:div>
            <w:div w:id="824975290">
              <w:marLeft w:val="0"/>
              <w:marRight w:val="0"/>
              <w:marTop w:val="0"/>
              <w:marBottom w:val="0"/>
              <w:divBdr>
                <w:top w:val="none" w:sz="0" w:space="0" w:color="auto"/>
                <w:left w:val="none" w:sz="0" w:space="0" w:color="auto"/>
                <w:bottom w:val="none" w:sz="0" w:space="0" w:color="auto"/>
                <w:right w:val="none" w:sz="0" w:space="0" w:color="auto"/>
              </w:divBdr>
              <w:divsChild>
                <w:div w:id="439102715">
                  <w:marLeft w:val="0"/>
                  <w:marRight w:val="0"/>
                  <w:marTop w:val="0"/>
                  <w:marBottom w:val="0"/>
                  <w:divBdr>
                    <w:top w:val="none" w:sz="0" w:space="0" w:color="auto"/>
                    <w:left w:val="none" w:sz="0" w:space="0" w:color="auto"/>
                    <w:bottom w:val="none" w:sz="0" w:space="0" w:color="auto"/>
                    <w:right w:val="none" w:sz="0" w:space="0" w:color="auto"/>
                  </w:divBdr>
                </w:div>
              </w:divsChild>
            </w:div>
            <w:div w:id="1788937109">
              <w:marLeft w:val="0"/>
              <w:marRight w:val="0"/>
              <w:marTop w:val="0"/>
              <w:marBottom w:val="0"/>
              <w:divBdr>
                <w:top w:val="none" w:sz="0" w:space="0" w:color="auto"/>
                <w:left w:val="none" w:sz="0" w:space="0" w:color="auto"/>
                <w:bottom w:val="none" w:sz="0" w:space="0" w:color="auto"/>
                <w:right w:val="none" w:sz="0" w:space="0" w:color="auto"/>
              </w:divBdr>
              <w:divsChild>
                <w:div w:id="868026905">
                  <w:marLeft w:val="0"/>
                  <w:marRight w:val="0"/>
                  <w:marTop w:val="0"/>
                  <w:marBottom w:val="0"/>
                  <w:divBdr>
                    <w:top w:val="none" w:sz="0" w:space="0" w:color="auto"/>
                    <w:left w:val="none" w:sz="0" w:space="0" w:color="auto"/>
                    <w:bottom w:val="none" w:sz="0" w:space="0" w:color="auto"/>
                    <w:right w:val="none" w:sz="0" w:space="0" w:color="auto"/>
                  </w:divBdr>
                </w:div>
              </w:divsChild>
            </w:div>
            <w:div w:id="162624555">
              <w:marLeft w:val="0"/>
              <w:marRight w:val="0"/>
              <w:marTop w:val="0"/>
              <w:marBottom w:val="0"/>
              <w:divBdr>
                <w:top w:val="none" w:sz="0" w:space="0" w:color="auto"/>
                <w:left w:val="none" w:sz="0" w:space="0" w:color="auto"/>
                <w:bottom w:val="none" w:sz="0" w:space="0" w:color="auto"/>
                <w:right w:val="none" w:sz="0" w:space="0" w:color="auto"/>
              </w:divBdr>
              <w:divsChild>
                <w:div w:id="1943223991">
                  <w:marLeft w:val="0"/>
                  <w:marRight w:val="0"/>
                  <w:marTop w:val="0"/>
                  <w:marBottom w:val="0"/>
                  <w:divBdr>
                    <w:top w:val="none" w:sz="0" w:space="0" w:color="auto"/>
                    <w:left w:val="none" w:sz="0" w:space="0" w:color="auto"/>
                    <w:bottom w:val="none" w:sz="0" w:space="0" w:color="auto"/>
                    <w:right w:val="none" w:sz="0" w:space="0" w:color="auto"/>
                  </w:divBdr>
                </w:div>
              </w:divsChild>
            </w:div>
            <w:div w:id="1304236110">
              <w:marLeft w:val="0"/>
              <w:marRight w:val="0"/>
              <w:marTop w:val="0"/>
              <w:marBottom w:val="0"/>
              <w:divBdr>
                <w:top w:val="none" w:sz="0" w:space="0" w:color="auto"/>
                <w:left w:val="none" w:sz="0" w:space="0" w:color="auto"/>
                <w:bottom w:val="none" w:sz="0" w:space="0" w:color="auto"/>
                <w:right w:val="none" w:sz="0" w:space="0" w:color="auto"/>
              </w:divBdr>
              <w:divsChild>
                <w:div w:id="1392267965">
                  <w:marLeft w:val="0"/>
                  <w:marRight w:val="0"/>
                  <w:marTop w:val="0"/>
                  <w:marBottom w:val="0"/>
                  <w:divBdr>
                    <w:top w:val="none" w:sz="0" w:space="0" w:color="auto"/>
                    <w:left w:val="none" w:sz="0" w:space="0" w:color="auto"/>
                    <w:bottom w:val="none" w:sz="0" w:space="0" w:color="auto"/>
                    <w:right w:val="none" w:sz="0" w:space="0" w:color="auto"/>
                  </w:divBdr>
                </w:div>
              </w:divsChild>
            </w:div>
            <w:div w:id="1828741217">
              <w:marLeft w:val="0"/>
              <w:marRight w:val="0"/>
              <w:marTop w:val="0"/>
              <w:marBottom w:val="0"/>
              <w:divBdr>
                <w:top w:val="none" w:sz="0" w:space="0" w:color="auto"/>
                <w:left w:val="none" w:sz="0" w:space="0" w:color="auto"/>
                <w:bottom w:val="none" w:sz="0" w:space="0" w:color="auto"/>
                <w:right w:val="none" w:sz="0" w:space="0" w:color="auto"/>
              </w:divBdr>
              <w:divsChild>
                <w:div w:id="445926922">
                  <w:marLeft w:val="0"/>
                  <w:marRight w:val="0"/>
                  <w:marTop w:val="0"/>
                  <w:marBottom w:val="0"/>
                  <w:divBdr>
                    <w:top w:val="none" w:sz="0" w:space="0" w:color="auto"/>
                    <w:left w:val="none" w:sz="0" w:space="0" w:color="auto"/>
                    <w:bottom w:val="none" w:sz="0" w:space="0" w:color="auto"/>
                    <w:right w:val="none" w:sz="0" w:space="0" w:color="auto"/>
                  </w:divBdr>
                </w:div>
              </w:divsChild>
            </w:div>
            <w:div w:id="822311256">
              <w:marLeft w:val="0"/>
              <w:marRight w:val="0"/>
              <w:marTop w:val="0"/>
              <w:marBottom w:val="0"/>
              <w:divBdr>
                <w:top w:val="none" w:sz="0" w:space="0" w:color="auto"/>
                <w:left w:val="none" w:sz="0" w:space="0" w:color="auto"/>
                <w:bottom w:val="none" w:sz="0" w:space="0" w:color="auto"/>
                <w:right w:val="none" w:sz="0" w:space="0" w:color="auto"/>
              </w:divBdr>
              <w:divsChild>
                <w:div w:id="2127455954">
                  <w:marLeft w:val="0"/>
                  <w:marRight w:val="0"/>
                  <w:marTop w:val="0"/>
                  <w:marBottom w:val="0"/>
                  <w:divBdr>
                    <w:top w:val="none" w:sz="0" w:space="0" w:color="auto"/>
                    <w:left w:val="none" w:sz="0" w:space="0" w:color="auto"/>
                    <w:bottom w:val="none" w:sz="0" w:space="0" w:color="auto"/>
                    <w:right w:val="none" w:sz="0" w:space="0" w:color="auto"/>
                  </w:divBdr>
                </w:div>
              </w:divsChild>
            </w:div>
            <w:div w:id="1845438116">
              <w:marLeft w:val="0"/>
              <w:marRight w:val="0"/>
              <w:marTop w:val="0"/>
              <w:marBottom w:val="0"/>
              <w:divBdr>
                <w:top w:val="none" w:sz="0" w:space="0" w:color="auto"/>
                <w:left w:val="none" w:sz="0" w:space="0" w:color="auto"/>
                <w:bottom w:val="none" w:sz="0" w:space="0" w:color="auto"/>
                <w:right w:val="none" w:sz="0" w:space="0" w:color="auto"/>
              </w:divBdr>
              <w:divsChild>
                <w:div w:id="1434933410">
                  <w:marLeft w:val="0"/>
                  <w:marRight w:val="0"/>
                  <w:marTop w:val="0"/>
                  <w:marBottom w:val="0"/>
                  <w:divBdr>
                    <w:top w:val="none" w:sz="0" w:space="0" w:color="auto"/>
                    <w:left w:val="none" w:sz="0" w:space="0" w:color="auto"/>
                    <w:bottom w:val="none" w:sz="0" w:space="0" w:color="auto"/>
                    <w:right w:val="none" w:sz="0" w:space="0" w:color="auto"/>
                  </w:divBdr>
                </w:div>
              </w:divsChild>
            </w:div>
            <w:div w:id="1125855564">
              <w:marLeft w:val="0"/>
              <w:marRight w:val="0"/>
              <w:marTop w:val="0"/>
              <w:marBottom w:val="0"/>
              <w:divBdr>
                <w:top w:val="none" w:sz="0" w:space="0" w:color="auto"/>
                <w:left w:val="none" w:sz="0" w:space="0" w:color="auto"/>
                <w:bottom w:val="none" w:sz="0" w:space="0" w:color="auto"/>
                <w:right w:val="none" w:sz="0" w:space="0" w:color="auto"/>
              </w:divBdr>
              <w:divsChild>
                <w:div w:id="117573798">
                  <w:marLeft w:val="0"/>
                  <w:marRight w:val="0"/>
                  <w:marTop w:val="0"/>
                  <w:marBottom w:val="0"/>
                  <w:divBdr>
                    <w:top w:val="none" w:sz="0" w:space="0" w:color="auto"/>
                    <w:left w:val="none" w:sz="0" w:space="0" w:color="auto"/>
                    <w:bottom w:val="none" w:sz="0" w:space="0" w:color="auto"/>
                    <w:right w:val="none" w:sz="0" w:space="0" w:color="auto"/>
                  </w:divBdr>
                </w:div>
              </w:divsChild>
            </w:div>
            <w:div w:id="1219584219">
              <w:marLeft w:val="0"/>
              <w:marRight w:val="0"/>
              <w:marTop w:val="0"/>
              <w:marBottom w:val="0"/>
              <w:divBdr>
                <w:top w:val="none" w:sz="0" w:space="0" w:color="auto"/>
                <w:left w:val="none" w:sz="0" w:space="0" w:color="auto"/>
                <w:bottom w:val="none" w:sz="0" w:space="0" w:color="auto"/>
                <w:right w:val="none" w:sz="0" w:space="0" w:color="auto"/>
              </w:divBdr>
              <w:divsChild>
                <w:div w:id="1504854312">
                  <w:marLeft w:val="0"/>
                  <w:marRight w:val="0"/>
                  <w:marTop w:val="0"/>
                  <w:marBottom w:val="0"/>
                  <w:divBdr>
                    <w:top w:val="none" w:sz="0" w:space="0" w:color="auto"/>
                    <w:left w:val="none" w:sz="0" w:space="0" w:color="auto"/>
                    <w:bottom w:val="none" w:sz="0" w:space="0" w:color="auto"/>
                    <w:right w:val="none" w:sz="0" w:space="0" w:color="auto"/>
                  </w:divBdr>
                </w:div>
              </w:divsChild>
            </w:div>
            <w:div w:id="1695955262">
              <w:marLeft w:val="0"/>
              <w:marRight w:val="0"/>
              <w:marTop w:val="0"/>
              <w:marBottom w:val="0"/>
              <w:divBdr>
                <w:top w:val="none" w:sz="0" w:space="0" w:color="auto"/>
                <w:left w:val="none" w:sz="0" w:space="0" w:color="auto"/>
                <w:bottom w:val="none" w:sz="0" w:space="0" w:color="auto"/>
                <w:right w:val="none" w:sz="0" w:space="0" w:color="auto"/>
              </w:divBdr>
              <w:divsChild>
                <w:div w:id="1665627467">
                  <w:marLeft w:val="0"/>
                  <w:marRight w:val="0"/>
                  <w:marTop w:val="0"/>
                  <w:marBottom w:val="0"/>
                  <w:divBdr>
                    <w:top w:val="none" w:sz="0" w:space="0" w:color="auto"/>
                    <w:left w:val="none" w:sz="0" w:space="0" w:color="auto"/>
                    <w:bottom w:val="none" w:sz="0" w:space="0" w:color="auto"/>
                    <w:right w:val="none" w:sz="0" w:space="0" w:color="auto"/>
                  </w:divBdr>
                </w:div>
              </w:divsChild>
            </w:div>
            <w:div w:id="594434651">
              <w:marLeft w:val="0"/>
              <w:marRight w:val="0"/>
              <w:marTop w:val="0"/>
              <w:marBottom w:val="0"/>
              <w:divBdr>
                <w:top w:val="none" w:sz="0" w:space="0" w:color="auto"/>
                <w:left w:val="none" w:sz="0" w:space="0" w:color="auto"/>
                <w:bottom w:val="none" w:sz="0" w:space="0" w:color="auto"/>
                <w:right w:val="none" w:sz="0" w:space="0" w:color="auto"/>
              </w:divBdr>
              <w:divsChild>
                <w:div w:id="64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305114934">
      <w:bodyDiv w:val="1"/>
      <w:marLeft w:val="0"/>
      <w:marRight w:val="0"/>
      <w:marTop w:val="0"/>
      <w:marBottom w:val="0"/>
      <w:divBdr>
        <w:top w:val="none" w:sz="0" w:space="0" w:color="auto"/>
        <w:left w:val="none" w:sz="0" w:space="0" w:color="auto"/>
        <w:bottom w:val="none" w:sz="0" w:space="0" w:color="auto"/>
        <w:right w:val="none" w:sz="0" w:space="0" w:color="auto"/>
      </w:divBdr>
    </w:div>
    <w:div w:id="1354377797">
      <w:bodyDiv w:val="1"/>
      <w:marLeft w:val="0"/>
      <w:marRight w:val="0"/>
      <w:marTop w:val="0"/>
      <w:marBottom w:val="0"/>
      <w:divBdr>
        <w:top w:val="none" w:sz="0" w:space="0" w:color="auto"/>
        <w:left w:val="none" w:sz="0" w:space="0" w:color="auto"/>
        <w:bottom w:val="none" w:sz="0" w:space="0" w:color="auto"/>
        <w:right w:val="none" w:sz="0" w:space="0" w:color="auto"/>
      </w:divBdr>
    </w:div>
    <w:div w:id="1827015203">
      <w:bodyDiv w:val="1"/>
      <w:marLeft w:val="0"/>
      <w:marRight w:val="0"/>
      <w:marTop w:val="0"/>
      <w:marBottom w:val="0"/>
      <w:divBdr>
        <w:top w:val="none" w:sz="0" w:space="0" w:color="auto"/>
        <w:left w:val="none" w:sz="0" w:space="0" w:color="auto"/>
        <w:bottom w:val="none" w:sz="0" w:space="0" w:color="auto"/>
        <w:right w:val="none" w:sz="0" w:space="0" w:color="auto"/>
      </w:divBdr>
      <w:divsChild>
        <w:div w:id="440028351">
          <w:marLeft w:val="0"/>
          <w:marRight w:val="0"/>
          <w:marTop w:val="0"/>
          <w:marBottom w:val="0"/>
          <w:divBdr>
            <w:top w:val="none" w:sz="0" w:space="0" w:color="auto"/>
            <w:left w:val="none" w:sz="0" w:space="0" w:color="auto"/>
            <w:bottom w:val="none" w:sz="0" w:space="0" w:color="auto"/>
            <w:right w:val="none" w:sz="0" w:space="0" w:color="auto"/>
          </w:divBdr>
        </w:div>
        <w:div w:id="586770585">
          <w:marLeft w:val="0"/>
          <w:marRight w:val="0"/>
          <w:marTop w:val="0"/>
          <w:marBottom w:val="0"/>
          <w:divBdr>
            <w:top w:val="none" w:sz="0" w:space="0" w:color="auto"/>
            <w:left w:val="none" w:sz="0" w:space="0" w:color="auto"/>
            <w:bottom w:val="none" w:sz="0" w:space="0" w:color="auto"/>
            <w:right w:val="none" w:sz="0" w:space="0" w:color="auto"/>
          </w:divBdr>
        </w:div>
        <w:div w:id="705521595">
          <w:marLeft w:val="0"/>
          <w:marRight w:val="0"/>
          <w:marTop w:val="0"/>
          <w:marBottom w:val="0"/>
          <w:divBdr>
            <w:top w:val="none" w:sz="0" w:space="0" w:color="auto"/>
            <w:left w:val="none" w:sz="0" w:space="0" w:color="auto"/>
            <w:bottom w:val="none" w:sz="0" w:space="0" w:color="auto"/>
            <w:right w:val="none" w:sz="0" w:space="0" w:color="auto"/>
          </w:divBdr>
        </w:div>
        <w:div w:id="862985082">
          <w:marLeft w:val="0"/>
          <w:marRight w:val="0"/>
          <w:marTop w:val="0"/>
          <w:marBottom w:val="0"/>
          <w:divBdr>
            <w:top w:val="none" w:sz="0" w:space="0" w:color="auto"/>
            <w:left w:val="none" w:sz="0" w:space="0" w:color="auto"/>
            <w:bottom w:val="none" w:sz="0" w:space="0" w:color="auto"/>
            <w:right w:val="none" w:sz="0" w:space="0" w:color="auto"/>
          </w:divBdr>
        </w:div>
        <w:div w:id="46805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FB1533AB34D5D95FC18E68D7A5934"/>
        <w:category>
          <w:name w:val="General"/>
          <w:gallery w:val="placeholder"/>
        </w:category>
        <w:types>
          <w:type w:val="bbPlcHdr"/>
        </w:types>
        <w:behaviors>
          <w:behavior w:val="content"/>
        </w:behaviors>
        <w:guid w:val="{579E44AC-0CE7-4901-86F6-90DAC51CAE7D}"/>
      </w:docPartPr>
      <w:docPartBody>
        <w:p w:rsidR="00E87DFB" w:rsidRDefault="00E87DFB">
          <w:pPr>
            <w:pStyle w:val="473FB1533AB34D5D95FC18E68D7A5934"/>
          </w:pPr>
          <w:r w:rsidRPr="00733356">
            <w:rPr>
              <w:rStyle w:val="PlaceholderText"/>
            </w:rPr>
            <w:t>[</w:t>
          </w:r>
          <w:r>
            <w:rPr>
              <w:rStyle w:val="PlaceholderText"/>
            </w:rPr>
            <w:t>Choose a report priority</w:t>
          </w:r>
          <w:r w:rsidRPr="00733356">
            <w:rPr>
              <w:rStyle w:val="PlaceholderText"/>
            </w:rPr>
            <w:t>]</w:t>
          </w:r>
        </w:p>
      </w:docPartBody>
    </w:docPart>
    <w:docPart>
      <w:docPartPr>
        <w:name w:val="5B60F08359C248A99C38BD234DD32BC5"/>
        <w:category>
          <w:name w:val="General"/>
          <w:gallery w:val="placeholder"/>
        </w:category>
        <w:types>
          <w:type w:val="bbPlcHdr"/>
        </w:types>
        <w:behaviors>
          <w:behavior w:val="content"/>
        </w:behaviors>
        <w:guid w:val="{0696238A-AE1A-4472-8F2D-4A6ECE9A301B}"/>
      </w:docPartPr>
      <w:docPartBody>
        <w:p w:rsidR="00E87DFB" w:rsidRDefault="00E87DFB">
          <w:pPr>
            <w:pStyle w:val="5B60F08359C248A99C38BD234DD32BC5"/>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FC3AB21CC19D4D19B7C23923A1D4FB00"/>
        <w:category>
          <w:name w:val="General"/>
          <w:gallery w:val="placeholder"/>
        </w:category>
        <w:types>
          <w:type w:val="bbPlcHdr"/>
        </w:types>
        <w:behaviors>
          <w:behavior w:val="content"/>
        </w:behaviors>
        <w:guid w:val="{2F5E0A0B-A05F-4F7B-8C99-69D3D0BF3D84}"/>
      </w:docPartPr>
      <w:docPartBody>
        <w:p w:rsidR="00E87DFB" w:rsidRDefault="00E87DFB">
          <w:pPr>
            <w:pStyle w:val="FC3AB21CC19D4D19B7C23923A1D4FB00"/>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FB"/>
    <w:rsid w:val="0000196E"/>
    <w:rsid w:val="00010CDE"/>
    <w:rsid w:val="00073839"/>
    <w:rsid w:val="00137004"/>
    <w:rsid w:val="001B7EEC"/>
    <w:rsid w:val="004C5FBD"/>
    <w:rsid w:val="007414BE"/>
    <w:rsid w:val="00806736"/>
    <w:rsid w:val="008157F9"/>
    <w:rsid w:val="00896023"/>
    <w:rsid w:val="00995E7B"/>
    <w:rsid w:val="00B30957"/>
    <w:rsid w:val="00BA0532"/>
    <w:rsid w:val="00D17966"/>
    <w:rsid w:val="00E4001B"/>
    <w:rsid w:val="00E87DFB"/>
    <w:rsid w:val="00EA4227"/>
    <w:rsid w:val="00ED114B"/>
    <w:rsid w:val="00F074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3FB1533AB34D5D95FC18E68D7A5934">
    <w:name w:val="473FB1533AB34D5D95FC18E68D7A5934"/>
  </w:style>
  <w:style w:type="paragraph" w:customStyle="1" w:styleId="5B60F08359C248A99C38BD234DD32BC5">
    <w:name w:val="5B60F08359C248A99C38BD234DD32BC5"/>
  </w:style>
  <w:style w:type="paragraph" w:customStyle="1" w:styleId="FC3AB21CC19D4D19B7C23923A1D4FB00">
    <w:name w:val="FC3AB21CC19D4D19B7C23923A1D4F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 xmlns="a4a9dc13-bb31-46d7-b689-a0a4d48a0c28">
      <Value>3</Value>
      <Value>2</Value>
      <Value>1</Value>
    </TaxCatchAll>
    <DocumentStatusTaxHTField xmlns="http://schemas.microsoft.com/sharepoint/v3">
      <Terms xmlns="http://schemas.microsoft.com/office/infopath/2007/PartnerControls"/>
    </DocumentStatusTaxHTField>
    <wic_System_Copyright xmlns="http://schemas.microsoft.com/sharepoint/v3/fields">Inland Revenue NZ</wic_System_Copyright>
  </documentManagement>
</p:properties>
</file>

<file path=customXml/itemProps1.xml><?xml version="1.0" encoding="utf-8"?>
<ds:datastoreItem xmlns:ds="http://schemas.openxmlformats.org/officeDocument/2006/customXml" ds:itemID="{B9FBA95B-FC55-43AC-9259-2917039D2A16}"/>
</file>

<file path=customXml/itemProps2.xml><?xml version="1.0" encoding="utf-8"?>
<ds:datastoreItem xmlns:ds="http://schemas.openxmlformats.org/officeDocument/2006/customXml" ds:itemID="{52C681F3-D182-41FC-89D9-BF75D4BCC732}"/>
</file>

<file path=customXml/itemProps3.xml><?xml version="1.0" encoding="utf-8"?>
<ds:datastoreItem xmlns:ds="http://schemas.openxmlformats.org/officeDocument/2006/customXml" ds:itemID="{7A343CA4-CCC1-469D-9349-35CC6DF9172E}"/>
</file>

<file path=docProps/app.xml><?xml version="1.0" encoding="utf-8"?>
<Properties xmlns="http://schemas.openxmlformats.org/officeDocument/2006/extended-properties" xmlns:vt="http://schemas.openxmlformats.org/officeDocument/2006/docPropsVTypes">
  <Template>Normal.dotm</Template>
  <TotalTime>0</TotalTime>
  <Pages>9</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IR2022-046 - Tax policy report: UOMI rates and FBT prescribed rate of interest review (24 February 2022)</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IR2022-046 - Tax policy report: UOMI rates and FBT prescribed rate of interest review (24 February 2022)</dc:title>
  <dc:subject/>
  <dc:creator/>
  <cp:keywords/>
  <dc:description/>
  <dcterms:created xsi:type="dcterms:W3CDTF">2022-05-25T01:23:00Z</dcterms:created>
  <dcterms:modified xsi:type="dcterms:W3CDTF">2022-05-25T01:23:00Z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0x0101000B461733DE48CC4985E239AAFC9C41590100670D0BD9AB7101418FC69E4F42B3A5BC</vt:lpwstr>
  </property>
  <property fmtid="{D5CDD505-2E9C-101B-9397-08002B2CF9AE}" pid="4" name="InformationType">
    <vt:lpwstr/>
  </property>
  <property fmtid="{D5CDD505-2E9C-101B-9397-08002B2CF9AE}" pid="5" name="DocumentStatus">
    <vt:lpwstr/>
  </property>
  <property fmtid="{D5CDD505-2E9C-101B-9397-08002B2CF9AE}" pid="6" name="BusinessUnit">
    <vt:lpwstr>2;#Policy ＆ Regulatory Stewardship|5c6da56c-2219-46c1-9c7b-c15fc3fd45a5</vt:lpwstr>
  </property>
  <property fmtid="{D5CDD505-2E9C-101B-9397-08002B2CF9AE}" pid="7" name="MediaServiceImageTags">
    <vt:lpwstr/>
  </property>
  <property fmtid="{D5CDD505-2E9C-101B-9397-08002B2CF9AE}" pid="8" name="SecurityClassification">
    <vt:lpwstr>3;#In Confidence|5fccf67f-7cb1-4561-8450-fe0d2ea19178</vt:lpwstr>
  </property>
  <property fmtid="{D5CDD505-2E9C-101B-9397-08002B2CF9AE}" pid="9" name="BusinessActivity">
    <vt:lpwstr>1;#Tax policy work|c05dfd7c-a5ba-47bf-969f-3422104229d3</vt:lpwstr>
  </property>
</Properties>
</file>