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AC4" w14:textId="77777777" w:rsidR="00F04313" w:rsidRDefault="00F04313" w:rsidP="00125D95"/>
    <w:p w14:paraId="1D613194" w14:textId="554F0F8D" w:rsidR="00125D95" w:rsidRDefault="004740A4" w:rsidP="00125D95">
      <w:r w:rsidRPr="004740A4">
        <w:t>In Confidence</w:t>
      </w:r>
    </w:p>
    <w:p w14:paraId="34B7C1A6" w14:textId="77777777" w:rsidR="004740A4" w:rsidRDefault="004740A4" w:rsidP="00125D95"/>
    <w:p w14:paraId="088CD0B4" w14:textId="77777777" w:rsidR="00125D95" w:rsidRDefault="00125D95" w:rsidP="00125D95">
      <w:r w:rsidRPr="00053C94">
        <w:t xml:space="preserve">Office of the Minister </w:t>
      </w:r>
      <w:r w:rsidR="00407CF5" w:rsidRPr="00053C94">
        <w:t>of Revenue</w:t>
      </w:r>
    </w:p>
    <w:p w14:paraId="1D2F433D" w14:textId="77777777" w:rsidR="00125D95" w:rsidRDefault="00125D95" w:rsidP="00125D95">
      <w:r>
        <w:t>Chair, Cabinet</w:t>
      </w:r>
      <w:r w:rsidR="00600635">
        <w:t xml:space="preserve"> </w:t>
      </w:r>
      <w:r w:rsidR="00600635" w:rsidRPr="00600635">
        <w:t>Legislation</w:t>
      </w:r>
      <w:r>
        <w:t xml:space="preserve"> Committee</w:t>
      </w:r>
    </w:p>
    <w:p w14:paraId="3372CAD1" w14:textId="77777777" w:rsidR="00BA2656" w:rsidRDefault="00BA2656" w:rsidP="00BA2656">
      <w:pPr>
        <w:rPr>
          <w:b/>
          <w:bCs/>
        </w:rPr>
      </w:pPr>
    </w:p>
    <w:p w14:paraId="3EF54EAB" w14:textId="58893460" w:rsidR="00BA2656" w:rsidRPr="00BA2656" w:rsidRDefault="00BA2656" w:rsidP="00BA2656">
      <w:pPr>
        <w:rPr>
          <w:b/>
          <w:bCs/>
        </w:rPr>
      </w:pPr>
      <w:r w:rsidRPr="00BA2656">
        <w:rPr>
          <w:b/>
          <w:bCs/>
        </w:rPr>
        <w:t xml:space="preserve">Tax </w:t>
      </w:r>
      <w:r w:rsidR="00196F1A">
        <w:rPr>
          <w:b/>
          <w:bCs/>
        </w:rPr>
        <w:t>A</w:t>
      </w:r>
      <w:r w:rsidRPr="00BA2656">
        <w:rPr>
          <w:b/>
          <w:bCs/>
        </w:rPr>
        <w:t>dministration (</w:t>
      </w:r>
      <w:r w:rsidR="00AB16B9">
        <w:rPr>
          <w:b/>
          <w:bCs/>
        </w:rPr>
        <w:t>D</w:t>
      </w:r>
      <w:r w:rsidRPr="00BA2656">
        <w:rPr>
          <w:b/>
          <w:bCs/>
        </w:rPr>
        <w:t xml:space="preserve">irect credit of </w:t>
      </w:r>
      <w:r w:rsidR="0063734A">
        <w:rPr>
          <w:b/>
          <w:bCs/>
        </w:rPr>
        <w:t>T</w:t>
      </w:r>
      <w:r w:rsidRPr="00BA2656">
        <w:rPr>
          <w:b/>
          <w:bCs/>
        </w:rPr>
        <w:t xml:space="preserve">otalisator </w:t>
      </w:r>
      <w:r w:rsidR="0063734A">
        <w:rPr>
          <w:b/>
          <w:bCs/>
        </w:rPr>
        <w:t>D</w:t>
      </w:r>
      <w:r w:rsidRPr="00BA2656">
        <w:rPr>
          <w:b/>
          <w:bCs/>
        </w:rPr>
        <w:t xml:space="preserve">uty, </w:t>
      </w:r>
      <w:r w:rsidR="0063734A">
        <w:rPr>
          <w:b/>
          <w:bCs/>
        </w:rPr>
        <w:t>L</w:t>
      </w:r>
      <w:r w:rsidRPr="00BA2656">
        <w:rPr>
          <w:b/>
          <w:bCs/>
        </w:rPr>
        <w:t xml:space="preserve">ottery </w:t>
      </w:r>
      <w:r w:rsidR="0063734A">
        <w:rPr>
          <w:b/>
          <w:bCs/>
        </w:rPr>
        <w:t>D</w:t>
      </w:r>
      <w:r w:rsidRPr="00BA2656">
        <w:rPr>
          <w:b/>
          <w:bCs/>
        </w:rPr>
        <w:t xml:space="preserve">uty, </w:t>
      </w:r>
      <w:r w:rsidR="0063734A">
        <w:rPr>
          <w:b/>
          <w:bCs/>
        </w:rPr>
        <w:t>C</w:t>
      </w:r>
      <w:r w:rsidRPr="00BA2656">
        <w:rPr>
          <w:b/>
          <w:bCs/>
        </w:rPr>
        <w:t>asino du</w:t>
      </w:r>
      <w:r>
        <w:rPr>
          <w:b/>
          <w:bCs/>
        </w:rPr>
        <w:t>t</w:t>
      </w:r>
      <w:r w:rsidRPr="00BA2656">
        <w:rPr>
          <w:b/>
          <w:bCs/>
        </w:rPr>
        <w:t xml:space="preserve">y, and </w:t>
      </w:r>
      <w:r w:rsidR="0063734A">
        <w:rPr>
          <w:b/>
          <w:bCs/>
        </w:rPr>
        <w:t>U</w:t>
      </w:r>
      <w:r w:rsidRPr="00BA2656">
        <w:rPr>
          <w:b/>
          <w:bCs/>
        </w:rPr>
        <w:t xml:space="preserve">nclaimed </w:t>
      </w:r>
      <w:r w:rsidR="0063734A">
        <w:rPr>
          <w:b/>
          <w:bCs/>
        </w:rPr>
        <w:t>M</w:t>
      </w:r>
      <w:r w:rsidRPr="00BA2656">
        <w:rPr>
          <w:b/>
          <w:bCs/>
        </w:rPr>
        <w:t xml:space="preserve">oney) </w:t>
      </w:r>
      <w:r w:rsidR="00196F1A">
        <w:rPr>
          <w:b/>
          <w:bCs/>
        </w:rPr>
        <w:t>O</w:t>
      </w:r>
      <w:r w:rsidRPr="00BA2656">
        <w:rPr>
          <w:b/>
          <w:bCs/>
        </w:rPr>
        <w:t>rder 2021</w:t>
      </w:r>
    </w:p>
    <w:p w14:paraId="7AF77D2B" w14:textId="77777777" w:rsidR="00125D95" w:rsidRPr="00125D95" w:rsidRDefault="00125D95" w:rsidP="006604F9">
      <w:pPr>
        <w:pStyle w:val="Heading2"/>
      </w:pPr>
      <w:r>
        <w:t>Proposal</w:t>
      </w:r>
    </w:p>
    <w:p w14:paraId="0389D462" w14:textId="09AA0729" w:rsidR="00125D95" w:rsidRDefault="00131E53" w:rsidP="008C2600">
      <w:pPr>
        <w:pStyle w:val="ListParagraph"/>
      </w:pPr>
      <w:r w:rsidRPr="008C2600">
        <w:t xml:space="preserve">This paper seeks the Cabinet </w:t>
      </w:r>
      <w:r w:rsidR="00600635" w:rsidRPr="008C2600">
        <w:t>Legislation</w:t>
      </w:r>
      <w:r w:rsidRPr="008C2600">
        <w:t xml:space="preserve"> Committee’s agreement to submit the </w:t>
      </w:r>
      <w:r w:rsidR="00A535F1" w:rsidRPr="00414E33">
        <w:t>Tax Administration (Direct Credit of Totalisator Duty, Lottery Duty, Casino Duty, and Unclaimed Money) Order 2021</w:t>
      </w:r>
      <w:r w:rsidR="00A535F1" w:rsidRPr="00A535F1">
        <w:t xml:space="preserve"> </w:t>
      </w:r>
      <w:r w:rsidRPr="008C2600">
        <w:t>to the Executive Council.</w:t>
      </w:r>
    </w:p>
    <w:p w14:paraId="276C920E" w14:textId="0D6A470F" w:rsidR="004108D2" w:rsidRPr="008073C2" w:rsidRDefault="004108D2" w:rsidP="008C2600">
      <w:pPr>
        <w:pStyle w:val="ListParagraph"/>
      </w:pPr>
      <w:r w:rsidRPr="008073C2">
        <w:t xml:space="preserve">It is proposed </w:t>
      </w:r>
      <w:r w:rsidR="006016A5" w:rsidRPr="008073C2">
        <w:t xml:space="preserve">that the Order in Council applies to </w:t>
      </w:r>
      <w:r w:rsidR="000E136A">
        <w:t xml:space="preserve">implement </w:t>
      </w:r>
      <w:r w:rsidR="006016A5" w:rsidRPr="008073C2">
        <w:t xml:space="preserve">refunds of </w:t>
      </w:r>
      <w:r w:rsidR="0007378E" w:rsidRPr="008073C2">
        <w:t>totalisator duty, lottery duty, casino duty, and unclaimed money</w:t>
      </w:r>
      <w:r w:rsidR="0063432A">
        <w:t xml:space="preserve"> by direct</w:t>
      </w:r>
      <w:r w:rsidR="00004AE7">
        <w:t xml:space="preserve"> credit from</w:t>
      </w:r>
      <w:r w:rsidR="00C97D61">
        <w:t xml:space="preserve"> 28 days after the gaz</w:t>
      </w:r>
      <w:r w:rsidR="00B0477B">
        <w:t xml:space="preserve">etting </w:t>
      </w:r>
      <w:r w:rsidR="00994B08">
        <w:t>of the Order.</w:t>
      </w:r>
    </w:p>
    <w:p w14:paraId="2D5FD22D" w14:textId="77777777" w:rsidR="00125D95" w:rsidRPr="008073C2" w:rsidRDefault="00407CF5" w:rsidP="006604F9">
      <w:pPr>
        <w:pStyle w:val="Heading2"/>
      </w:pPr>
      <w:r w:rsidRPr="008073C2">
        <w:t>Policy</w:t>
      </w:r>
    </w:p>
    <w:p w14:paraId="262A8CCF" w14:textId="677919BA" w:rsidR="00837D14" w:rsidRDefault="00B038F0" w:rsidP="00CC6F9A">
      <w:pPr>
        <w:pStyle w:val="ListParagraph"/>
      </w:pPr>
      <w:r w:rsidRPr="00B038F0">
        <w:t xml:space="preserve">I recommend that refunds of </w:t>
      </w:r>
      <w:r w:rsidRPr="008073C2">
        <w:t>totalisator duty, lottery duty, casino duty, and unclaimed money</w:t>
      </w:r>
      <w:r w:rsidRPr="00B038F0">
        <w:t xml:space="preserve"> be made by direct credit from </w:t>
      </w:r>
      <w:r w:rsidR="002076C9">
        <w:t>March</w:t>
      </w:r>
      <w:r w:rsidRPr="00B038F0">
        <w:t xml:space="preserve"> 202</w:t>
      </w:r>
      <w:r w:rsidR="002076C9">
        <w:t>1</w:t>
      </w:r>
      <w:r w:rsidRPr="00B038F0">
        <w:t xml:space="preserve">. Refunds </w:t>
      </w:r>
      <w:r w:rsidR="000E136A" w:rsidRPr="00B038F0">
        <w:t>w</w:t>
      </w:r>
      <w:r w:rsidR="000E136A">
        <w:t>ould</w:t>
      </w:r>
      <w:r w:rsidR="000E136A" w:rsidRPr="00B038F0">
        <w:t xml:space="preserve"> </w:t>
      </w:r>
      <w:r w:rsidRPr="00B038F0">
        <w:t xml:space="preserve">be made by direct credit unless </w:t>
      </w:r>
      <w:r w:rsidR="000E136A">
        <w:t>they</w:t>
      </w:r>
      <w:r w:rsidR="000E136A" w:rsidRPr="00B038F0">
        <w:t xml:space="preserve"> </w:t>
      </w:r>
      <w:r w:rsidRPr="00B038F0">
        <w:t xml:space="preserve">would result in undue hardship or </w:t>
      </w:r>
      <w:r w:rsidR="000E136A">
        <w:t>be im</w:t>
      </w:r>
      <w:r w:rsidRPr="00B038F0">
        <w:t xml:space="preserve">practicable (for example, if </w:t>
      </w:r>
      <w:r w:rsidR="000E136A">
        <w:t xml:space="preserve">a taxpayer does not have a New Zealand </w:t>
      </w:r>
      <w:r w:rsidRPr="00B038F0">
        <w:t>bank account</w:t>
      </w:r>
      <w:r w:rsidR="000E136A">
        <w:t xml:space="preserve">, so </w:t>
      </w:r>
      <w:r w:rsidRPr="00B038F0">
        <w:t xml:space="preserve">it is not possible to </w:t>
      </w:r>
      <w:r w:rsidR="000E136A">
        <w:t xml:space="preserve">provide a </w:t>
      </w:r>
      <w:r w:rsidRPr="00B038F0">
        <w:t xml:space="preserve">direct credit). </w:t>
      </w:r>
      <w:r w:rsidR="000E136A">
        <w:t xml:space="preserve">The administration of these tax types </w:t>
      </w:r>
      <w:r w:rsidR="00DC39B1">
        <w:t xml:space="preserve">has </w:t>
      </w:r>
      <w:r w:rsidR="00B80345">
        <w:t xml:space="preserve">moved </w:t>
      </w:r>
      <w:r w:rsidR="000E136A">
        <w:t xml:space="preserve">to a new technology platform from </w:t>
      </w:r>
      <w:r w:rsidR="009E0FB9">
        <w:t xml:space="preserve">1 March </w:t>
      </w:r>
      <w:r w:rsidR="000E136A">
        <w:t>2021</w:t>
      </w:r>
      <w:r w:rsidR="000E0B36">
        <w:t>.</w:t>
      </w:r>
      <w:r w:rsidR="00440026">
        <w:t xml:space="preserve"> </w:t>
      </w:r>
    </w:p>
    <w:p w14:paraId="665AA8F5" w14:textId="5DB5EBAF" w:rsidR="00B42C03" w:rsidRPr="008073C2" w:rsidRDefault="00440026" w:rsidP="008073C2">
      <w:pPr>
        <w:pStyle w:val="ListParagraph"/>
      </w:pPr>
      <w:r>
        <w:t>To implement this proposal, the Parliamentary Council Office ha</w:t>
      </w:r>
      <w:r w:rsidR="00E37332">
        <w:t>s</w:t>
      </w:r>
      <w:r>
        <w:t xml:space="preserve"> drafted the Tax Administration (Direct Credit of Totalisator Duty, Lottery Duty, Casino Duty, and Unclaimed Money) Order 2021. This is in accordance with </w:t>
      </w:r>
      <w:r w:rsidR="000E136A">
        <w:t xml:space="preserve">an </w:t>
      </w:r>
      <w:r w:rsidR="00F73942" w:rsidRPr="008073C2">
        <w:t xml:space="preserve">existing </w:t>
      </w:r>
      <w:r w:rsidR="00B42C03" w:rsidRPr="008073C2">
        <w:t>legislative framework in the Tax Administration Act 1994</w:t>
      </w:r>
      <w:r>
        <w:t>. The framework</w:t>
      </w:r>
      <w:r w:rsidR="00B42C03" w:rsidRPr="008073C2">
        <w:t xml:space="preserve"> provides for </w:t>
      </w:r>
      <w:r w:rsidR="000E136A">
        <w:t xml:space="preserve">the </w:t>
      </w:r>
      <w:r w:rsidR="00B42C03" w:rsidRPr="008073C2">
        <w:t>progressive implementation of compulsory direct crediting for tax types that Inland Revenue administers</w:t>
      </w:r>
      <w:r>
        <w:t xml:space="preserve"> through Orders in </w:t>
      </w:r>
      <w:r w:rsidR="00971540">
        <w:t>Council and</w:t>
      </w:r>
      <w:r w:rsidRPr="008073C2">
        <w:t xml:space="preserve"> </w:t>
      </w:r>
      <w:r w:rsidR="00B42C03" w:rsidRPr="008073C2">
        <w:t>was enacted with effect from 1 April 2000</w:t>
      </w:r>
      <w:r w:rsidR="000E136A">
        <w:t>.</w:t>
      </w:r>
      <w:r w:rsidR="00B42C03" w:rsidRPr="008073C2">
        <w:t xml:space="preserve"> </w:t>
      </w:r>
      <w:r w:rsidR="000E136A">
        <w:t>It</w:t>
      </w:r>
      <w:r>
        <w:t xml:space="preserve"> </w:t>
      </w:r>
      <w:r w:rsidR="00B42C03" w:rsidRPr="008073C2">
        <w:t>benefit</w:t>
      </w:r>
      <w:r w:rsidR="005442C5">
        <w:t>s</w:t>
      </w:r>
      <w:r w:rsidR="00B42C03" w:rsidRPr="008073C2">
        <w:t xml:space="preserve"> taxpayers by eliminating </w:t>
      </w:r>
      <w:r w:rsidR="000E136A">
        <w:t xml:space="preserve">the </w:t>
      </w:r>
      <w:r w:rsidR="00B42C03" w:rsidRPr="008073C2">
        <w:t xml:space="preserve">time delays </w:t>
      </w:r>
      <w:r w:rsidR="000E136A">
        <w:t xml:space="preserve">and costs </w:t>
      </w:r>
      <w:r w:rsidR="00B42C03" w:rsidRPr="008073C2">
        <w:t>associated with post</w:t>
      </w:r>
      <w:r>
        <w:t>ing</w:t>
      </w:r>
      <w:r w:rsidR="00B42C03" w:rsidRPr="008073C2">
        <w:t xml:space="preserve"> cheques</w:t>
      </w:r>
      <w:r w:rsidR="00FB7644">
        <w:t xml:space="preserve"> and reflects </w:t>
      </w:r>
      <w:r w:rsidR="00131342">
        <w:t xml:space="preserve">that </w:t>
      </w:r>
      <w:r w:rsidR="00FB7644">
        <w:t>the process</w:t>
      </w:r>
      <w:r w:rsidR="00DC784A">
        <w:t>ing</w:t>
      </w:r>
      <w:r w:rsidR="00FB7644">
        <w:t xml:space="preserve"> of che</w:t>
      </w:r>
      <w:r w:rsidR="00884D84">
        <w:t xml:space="preserve">ques </w:t>
      </w:r>
      <w:r w:rsidR="00DC784A">
        <w:t xml:space="preserve">is </w:t>
      </w:r>
      <w:r w:rsidR="002C2324">
        <w:t xml:space="preserve">being </w:t>
      </w:r>
      <w:r w:rsidR="00DC784A">
        <w:t>phased</w:t>
      </w:r>
      <w:r w:rsidR="002C2324">
        <w:t xml:space="preserve"> out by the banks.</w:t>
      </w:r>
      <w:r w:rsidR="00B42C03" w:rsidRPr="008073C2">
        <w:t xml:space="preserve"> Inland Revenue also benefits from reduced administration costs. </w:t>
      </w:r>
    </w:p>
    <w:p w14:paraId="4A9A98BB" w14:textId="7DE694CC" w:rsidR="000F0E1F" w:rsidRPr="000F0E1F" w:rsidRDefault="000F0E1F" w:rsidP="000F0E1F">
      <w:pPr>
        <w:pStyle w:val="ListParagraph"/>
      </w:pPr>
      <w:r w:rsidRPr="000F0E1F">
        <w:t>Progressive implementation of compulsory direct crediting of refunds</w:t>
      </w:r>
      <w:r w:rsidR="00440026">
        <w:t xml:space="preserve"> </w:t>
      </w:r>
      <w:r w:rsidRPr="000F0E1F">
        <w:t xml:space="preserve">through Orders in Council </w:t>
      </w:r>
      <w:r w:rsidR="00440026">
        <w:t xml:space="preserve">ensures </w:t>
      </w:r>
      <w:r w:rsidRPr="000F0E1F">
        <w:t xml:space="preserve">Inland Revenue </w:t>
      </w:r>
      <w:r w:rsidR="00440026">
        <w:t xml:space="preserve">has </w:t>
      </w:r>
      <w:r w:rsidRPr="000F0E1F">
        <w:t xml:space="preserve">the necessary flexibility to </w:t>
      </w:r>
      <w:r w:rsidR="00C60C76">
        <w:t xml:space="preserve">prepare </w:t>
      </w:r>
      <w:r w:rsidR="00440026">
        <w:t xml:space="preserve">its </w:t>
      </w:r>
      <w:r w:rsidRPr="000F0E1F">
        <w:t>system</w:t>
      </w:r>
      <w:r w:rsidR="00440026">
        <w:t>s</w:t>
      </w:r>
      <w:r w:rsidRPr="000F0E1F">
        <w:t xml:space="preserve"> </w:t>
      </w:r>
      <w:r w:rsidR="00440026">
        <w:t xml:space="preserve">before </w:t>
      </w:r>
      <w:r w:rsidRPr="000F0E1F">
        <w:t xml:space="preserve">implementing direct crediting. </w:t>
      </w:r>
      <w:r w:rsidR="001462BE">
        <w:t>It also give</w:t>
      </w:r>
      <w:r w:rsidR="00440026">
        <w:t>s</w:t>
      </w:r>
      <w:r w:rsidR="001462BE">
        <w:t xml:space="preserve"> </w:t>
      </w:r>
      <w:r w:rsidR="00440026">
        <w:t xml:space="preserve">affected </w:t>
      </w:r>
      <w:r w:rsidRPr="000F0E1F">
        <w:t>taxpayers time to provide Inland Revenue with up-to-date bank account details and</w:t>
      </w:r>
      <w:r w:rsidR="00440026">
        <w:t xml:space="preserve"> (for</w:t>
      </w:r>
      <w:r w:rsidRPr="000F0E1F">
        <w:t xml:space="preserve"> taxpayers with complex business activities</w:t>
      </w:r>
      <w:r w:rsidR="00440026">
        <w:t>)</w:t>
      </w:r>
      <w:r w:rsidR="003767F2">
        <w:t xml:space="preserve"> more time</w:t>
      </w:r>
      <w:r w:rsidRPr="000F0E1F">
        <w:t xml:space="preserve"> to plan and adapt their processes.</w:t>
      </w:r>
      <w:r w:rsidR="003767F2">
        <w:t xml:space="preserve"> The intent </w:t>
      </w:r>
      <w:r w:rsidR="00440026">
        <w:t xml:space="preserve">is </w:t>
      </w:r>
      <w:r w:rsidR="003767F2">
        <w:t xml:space="preserve">that </w:t>
      </w:r>
      <w:r w:rsidR="00A57928">
        <w:t xml:space="preserve">the Commissioner </w:t>
      </w:r>
      <w:r w:rsidR="00440026">
        <w:t xml:space="preserve">will </w:t>
      </w:r>
      <w:r w:rsidR="00A57928">
        <w:t xml:space="preserve">eventually be </w:t>
      </w:r>
      <w:r w:rsidR="00731F6B">
        <w:t xml:space="preserve">required to direct credit all </w:t>
      </w:r>
      <w:r w:rsidR="000F53D5">
        <w:t>refund</w:t>
      </w:r>
      <w:r w:rsidR="00440026">
        <w:t>s</w:t>
      </w:r>
      <w:r w:rsidR="000F53D5">
        <w:t xml:space="preserve"> into taxpayers</w:t>
      </w:r>
      <w:r w:rsidR="00AC5156">
        <w:t>’ bank accounts.</w:t>
      </w:r>
      <w:r w:rsidRPr="000F0E1F">
        <w:t xml:space="preserve"> </w:t>
      </w:r>
    </w:p>
    <w:p w14:paraId="7CDE63B3" w14:textId="2736960C" w:rsidR="000F0E1F" w:rsidRPr="000F2751" w:rsidRDefault="00452E84" w:rsidP="008C2600">
      <w:pPr>
        <w:pStyle w:val="ListParagraph"/>
      </w:pPr>
      <w:r>
        <w:lastRenderedPageBreak/>
        <w:t xml:space="preserve">Compulsory direct </w:t>
      </w:r>
      <w:r w:rsidR="009743C1">
        <w:t xml:space="preserve">crediting has been implemented for </w:t>
      </w:r>
      <w:r w:rsidR="00F46E53">
        <w:t xml:space="preserve">refunds of </w:t>
      </w:r>
      <w:r w:rsidR="009743C1">
        <w:t>gaming machine duty, income tax</w:t>
      </w:r>
      <w:r w:rsidR="000A5AE0">
        <w:t>, goods and services tax</w:t>
      </w:r>
      <w:r w:rsidR="008C115F">
        <w:t>,</w:t>
      </w:r>
      <w:r w:rsidR="00A72F4C">
        <w:t xml:space="preserve"> </w:t>
      </w:r>
      <w:r w:rsidR="00CB7285">
        <w:t xml:space="preserve">employees’ child support deducted </w:t>
      </w:r>
      <w:r w:rsidR="00255013">
        <w:t>by employers</w:t>
      </w:r>
      <w:r w:rsidR="00F46E53">
        <w:t>,</w:t>
      </w:r>
      <w:r w:rsidR="007243AE">
        <w:t xml:space="preserve"> and student loan</w:t>
      </w:r>
      <w:r w:rsidR="00CF16A9">
        <w:t xml:space="preserve"> deductions</w:t>
      </w:r>
      <w:r w:rsidR="007F7270">
        <w:t>. This implementation has occurred</w:t>
      </w:r>
      <w:r w:rsidR="00D10D8C">
        <w:t xml:space="preserve"> as part of moving the administration </w:t>
      </w:r>
      <w:r w:rsidR="001934DF">
        <w:t xml:space="preserve">of these tax types </w:t>
      </w:r>
      <w:r w:rsidR="0030434E">
        <w:t>to Inland Revenue’s new technology platform.</w:t>
      </w:r>
      <w:r w:rsidR="00D10D8C">
        <w:t xml:space="preserve"> </w:t>
      </w:r>
    </w:p>
    <w:p w14:paraId="4D727491" w14:textId="77777777" w:rsidR="00125D95" w:rsidRPr="00C65945" w:rsidRDefault="00407CF5" w:rsidP="006604F9">
      <w:pPr>
        <w:pStyle w:val="Heading2"/>
      </w:pPr>
      <w:r w:rsidRPr="000F2751">
        <w:t>Timing and 28-</w:t>
      </w:r>
      <w:r w:rsidR="006604F9" w:rsidRPr="000F2751">
        <w:t>D</w:t>
      </w:r>
      <w:r w:rsidRPr="000F2751">
        <w:t xml:space="preserve">ay </w:t>
      </w:r>
      <w:r w:rsidR="006604F9" w:rsidRPr="000F2751">
        <w:t>R</w:t>
      </w:r>
      <w:r w:rsidRPr="000F2751">
        <w:t>ule</w:t>
      </w:r>
    </w:p>
    <w:p w14:paraId="3AEEC687" w14:textId="4579F8D5" w:rsidR="00125D95" w:rsidRDefault="00976349" w:rsidP="008C2600">
      <w:pPr>
        <w:pStyle w:val="ListParagraph"/>
      </w:pPr>
      <w:r>
        <w:t xml:space="preserve">I propose that </w:t>
      </w:r>
      <w:r w:rsidR="00A3364C">
        <w:t xml:space="preserve">direct crediting of </w:t>
      </w:r>
      <w:r w:rsidR="00204222">
        <w:t xml:space="preserve">refunds for </w:t>
      </w:r>
      <w:r w:rsidR="00CC6F9A" w:rsidRPr="008073C2">
        <w:t>totalisator duty, lottery duty, casino duty, and unclaimed money</w:t>
      </w:r>
      <w:r w:rsidR="00CC6F9A" w:rsidRPr="00B038F0">
        <w:t xml:space="preserve"> </w:t>
      </w:r>
      <w:r w:rsidR="00407BAE">
        <w:t>under section 184A of the T</w:t>
      </w:r>
      <w:r w:rsidR="00FB3C7A">
        <w:t xml:space="preserve">ax </w:t>
      </w:r>
      <w:r w:rsidR="00407BAE">
        <w:t>A</w:t>
      </w:r>
      <w:r w:rsidR="00FB3C7A">
        <w:t xml:space="preserve">dministration </w:t>
      </w:r>
      <w:r w:rsidR="00407BAE">
        <w:t>A</w:t>
      </w:r>
      <w:r w:rsidR="00FB3C7A">
        <w:t>ct 1994</w:t>
      </w:r>
      <w:r w:rsidR="00407BAE">
        <w:t xml:space="preserve"> applies to refunds made from</w:t>
      </w:r>
      <w:r w:rsidR="00E43799">
        <w:t xml:space="preserve"> 28 days after the gazetting date</w:t>
      </w:r>
      <w:r w:rsidR="00407CF5" w:rsidRPr="00407CF5">
        <w:t>.</w:t>
      </w:r>
      <w:r w:rsidR="003E5F1F">
        <w:t xml:space="preserve"> The </w:t>
      </w:r>
      <w:r w:rsidR="00D71C94">
        <w:t xml:space="preserve">Order would therefore be in accordance with the rule that regulation must not come into force until at least 28 days after </w:t>
      </w:r>
      <w:r w:rsidR="00C043FC">
        <w:t xml:space="preserve">the public </w:t>
      </w:r>
      <w:r w:rsidR="00D71C94">
        <w:t>have been notified in the New Zeala</w:t>
      </w:r>
      <w:r w:rsidR="00BD5455">
        <w:t>n</w:t>
      </w:r>
      <w:r w:rsidR="00D71C94">
        <w:t>d Gazette</w:t>
      </w:r>
      <w:r w:rsidR="00BD5455">
        <w:t>.</w:t>
      </w:r>
    </w:p>
    <w:p w14:paraId="7542F970" w14:textId="77777777" w:rsidR="00125D95" w:rsidRDefault="00407CF5" w:rsidP="006604F9">
      <w:pPr>
        <w:pStyle w:val="Heading2"/>
      </w:pPr>
      <w:r w:rsidRPr="00407CF5">
        <w:t>Compliance</w:t>
      </w:r>
    </w:p>
    <w:p w14:paraId="25683A12" w14:textId="0C416089" w:rsidR="00407CF5" w:rsidRDefault="00BD5455" w:rsidP="008C2600">
      <w:pPr>
        <w:pStyle w:val="ListParagraph"/>
      </w:pPr>
      <w:r>
        <w:t>The Order complies with</w:t>
      </w:r>
      <w:r w:rsidR="00407CF5">
        <w:t>:</w:t>
      </w:r>
    </w:p>
    <w:p w14:paraId="2A888C19" w14:textId="77777777" w:rsidR="00407CF5" w:rsidRDefault="00407CF5" w:rsidP="008C2600">
      <w:pPr>
        <w:pStyle w:val="ListParagraph"/>
        <w:numPr>
          <w:ilvl w:val="1"/>
          <w:numId w:val="1"/>
        </w:numPr>
      </w:pPr>
      <w:r>
        <w:t xml:space="preserve">the principles of the Treaty of </w:t>
      </w:r>
      <w:proofErr w:type="gramStart"/>
      <w:r>
        <w:t>Waitangi;</w:t>
      </w:r>
      <w:proofErr w:type="gramEnd"/>
    </w:p>
    <w:p w14:paraId="53736077" w14:textId="52CF9F5D" w:rsidR="00407CF5" w:rsidRDefault="00407CF5" w:rsidP="008C2600">
      <w:pPr>
        <w:pStyle w:val="ListParagraph"/>
        <w:numPr>
          <w:ilvl w:val="1"/>
          <w:numId w:val="1"/>
        </w:numPr>
      </w:pPr>
      <w:r>
        <w:t>the rights and freedoms contained in the</w:t>
      </w:r>
      <w:r w:rsidR="00BD5455">
        <w:t xml:space="preserve"> New Zealand </w:t>
      </w:r>
      <w:r w:rsidR="00696AE0">
        <w:t xml:space="preserve">Bill of Rights Act 1990 </w:t>
      </w:r>
      <w:r w:rsidR="00B61864">
        <w:t>and</w:t>
      </w:r>
      <w:r>
        <w:t xml:space="preserve"> the</w:t>
      </w:r>
      <w:r w:rsidR="00696AE0">
        <w:t xml:space="preserve"> Human Rights Act </w:t>
      </w:r>
      <w:proofErr w:type="gramStart"/>
      <w:r w:rsidR="00696AE0">
        <w:t>1993</w:t>
      </w:r>
      <w:r w:rsidR="00BA6184">
        <w:t>;</w:t>
      </w:r>
      <w:proofErr w:type="gramEnd"/>
    </w:p>
    <w:p w14:paraId="0C4896B7" w14:textId="2927BDA2" w:rsidR="00407CF5" w:rsidRDefault="00407CF5" w:rsidP="008C2600">
      <w:pPr>
        <w:pStyle w:val="ListParagraph"/>
        <w:numPr>
          <w:ilvl w:val="1"/>
          <w:numId w:val="1"/>
        </w:numPr>
      </w:pPr>
      <w:r>
        <w:t>the principles and guidelines set out in the</w:t>
      </w:r>
      <w:r w:rsidR="00BA6184">
        <w:t xml:space="preserve"> Privacy Act </w:t>
      </w:r>
      <w:proofErr w:type="gramStart"/>
      <w:r w:rsidR="00BA6184">
        <w:t>1993</w:t>
      </w:r>
      <w:r w:rsidR="00C242D0">
        <w:t>;</w:t>
      </w:r>
      <w:proofErr w:type="gramEnd"/>
    </w:p>
    <w:p w14:paraId="57CAAA05" w14:textId="651975A4" w:rsidR="00407CF5" w:rsidRDefault="00407CF5" w:rsidP="008C2600">
      <w:pPr>
        <w:pStyle w:val="ListParagraph"/>
        <w:numPr>
          <w:ilvl w:val="1"/>
          <w:numId w:val="1"/>
        </w:numPr>
      </w:pPr>
      <w:r>
        <w:t>relevant international standards and obligations;</w:t>
      </w:r>
      <w:r w:rsidR="00EA1B15">
        <w:t xml:space="preserve"> and</w:t>
      </w:r>
    </w:p>
    <w:p w14:paraId="14E95CDB" w14:textId="315564AB" w:rsidR="00407CF5" w:rsidRDefault="00C4585E" w:rsidP="008C2600">
      <w:pPr>
        <w:pStyle w:val="ListParagraph"/>
        <w:numPr>
          <w:ilvl w:val="1"/>
          <w:numId w:val="1"/>
        </w:numPr>
      </w:pPr>
      <w:r>
        <w:t>the</w:t>
      </w:r>
      <w:r w:rsidR="00EA1B15">
        <w:t xml:space="preserve"> Legislation Guidelines</w:t>
      </w:r>
      <w:r>
        <w:t>, which are maintained by the Legislation Design and Advisory Committee</w:t>
      </w:r>
      <w:r w:rsidR="00407CF5">
        <w:t>.</w:t>
      </w:r>
    </w:p>
    <w:p w14:paraId="579C0BA2" w14:textId="064B2C2A" w:rsidR="00125D95" w:rsidRDefault="006067FD" w:rsidP="008C2600">
      <w:pPr>
        <w:pStyle w:val="ListParagraph"/>
      </w:pPr>
      <w:r>
        <w:t xml:space="preserve">No statutory </w:t>
      </w:r>
      <w:r w:rsidR="001207C8">
        <w:t>prerequisite exists for making this Order.</w:t>
      </w:r>
    </w:p>
    <w:p w14:paraId="18772A09" w14:textId="77777777" w:rsidR="00125D95" w:rsidRPr="00C65945" w:rsidRDefault="00407CF5" w:rsidP="006604F9">
      <w:pPr>
        <w:pStyle w:val="Heading2"/>
      </w:pPr>
      <w:r w:rsidRPr="00407CF5">
        <w:t>Regulations Review Committee</w:t>
      </w:r>
    </w:p>
    <w:p w14:paraId="2E944921" w14:textId="4FC56A2B" w:rsidR="00125D95" w:rsidRDefault="009D1420" w:rsidP="008C2600">
      <w:pPr>
        <w:pStyle w:val="ListParagraph"/>
      </w:pPr>
      <w:r>
        <w:t xml:space="preserve">There are no anticipated grounds </w:t>
      </w:r>
      <w:r w:rsidR="00F82BEE">
        <w:t xml:space="preserve">for the Regulations Review Committee </w:t>
      </w:r>
      <w:r w:rsidR="00407CF5" w:rsidRPr="00407CF5">
        <w:t xml:space="preserve">to draw the </w:t>
      </w:r>
      <w:r w:rsidR="009338F5">
        <w:t xml:space="preserve">Order in Council </w:t>
      </w:r>
      <w:r w:rsidR="00407CF5" w:rsidRPr="00407CF5">
        <w:t>to the attention of the House under Standing Order 319.</w:t>
      </w:r>
    </w:p>
    <w:p w14:paraId="09C630C3" w14:textId="77777777" w:rsidR="00125D95" w:rsidRPr="00C65945" w:rsidRDefault="00407CF5" w:rsidP="006604F9">
      <w:pPr>
        <w:pStyle w:val="Heading2"/>
      </w:pPr>
      <w:r w:rsidRPr="00407CF5">
        <w:t>Certification by Parliamentary Counsel</w:t>
      </w:r>
    </w:p>
    <w:p w14:paraId="13495E0B" w14:textId="6BE061F4" w:rsidR="00856988" w:rsidRDefault="009338F5" w:rsidP="008C2600">
      <w:pPr>
        <w:pStyle w:val="ListParagraph"/>
      </w:pPr>
      <w:r>
        <w:t xml:space="preserve">The </w:t>
      </w:r>
      <w:r w:rsidR="00F0228C">
        <w:t xml:space="preserve">Parliamentary Counsel Office has certified that the Order in Council is in order for submission to Cabinet. </w:t>
      </w:r>
    </w:p>
    <w:p w14:paraId="00A97E21" w14:textId="77777777" w:rsidR="00125D95" w:rsidRPr="00C65945" w:rsidRDefault="00125D95" w:rsidP="006604F9">
      <w:pPr>
        <w:pStyle w:val="Heading2"/>
      </w:pPr>
      <w:r w:rsidRPr="00C65945">
        <w:t>Impact Analysis</w:t>
      </w:r>
    </w:p>
    <w:p w14:paraId="015858F6" w14:textId="3B8EC35C" w:rsidR="00407CF5" w:rsidRDefault="00F0228C" w:rsidP="008C2600">
      <w:pPr>
        <w:pStyle w:val="ListParagraph"/>
      </w:pPr>
      <w:r>
        <w:t xml:space="preserve">The Regulatory Quality Team at the Treasury has </w:t>
      </w:r>
      <w:r w:rsidR="00D06A91">
        <w:t xml:space="preserve">determined that the regulatory decisions sought </w:t>
      </w:r>
      <w:r w:rsidR="00F45BDE">
        <w:t xml:space="preserve">in this paper are exempt from the requirement </w:t>
      </w:r>
      <w:r w:rsidR="006C5FD9">
        <w:t>to provide a Regulatory Impact Assessment as they have no or minor impacts on businesses, individual or not for profit ent</w:t>
      </w:r>
      <w:r w:rsidR="00A877FB">
        <w:t>ities</w:t>
      </w:r>
      <w:r w:rsidR="006C5FD9">
        <w:t>.</w:t>
      </w:r>
      <w:r w:rsidR="00A877FB">
        <w:t xml:space="preserve"> </w:t>
      </w:r>
    </w:p>
    <w:p w14:paraId="6E29F32F" w14:textId="17C3E1B7" w:rsidR="00125D95" w:rsidRPr="00C65945" w:rsidRDefault="003274E6" w:rsidP="006604F9">
      <w:pPr>
        <w:pStyle w:val="Heading2"/>
      </w:pPr>
      <w:r>
        <w:t>Publicity</w:t>
      </w:r>
    </w:p>
    <w:p w14:paraId="2F1062D9" w14:textId="15CAE038" w:rsidR="00856988" w:rsidRDefault="002B0A29" w:rsidP="008C2600">
      <w:pPr>
        <w:pStyle w:val="ListParagraph"/>
      </w:pPr>
      <w:r>
        <w:t xml:space="preserve">The new Order in Council </w:t>
      </w:r>
      <w:r w:rsidR="000A29AD">
        <w:t xml:space="preserve">will be published in the New Zealand Gazette and on Inland Revenue’s website. </w:t>
      </w:r>
      <w:r w:rsidR="00856988">
        <w:t xml:space="preserve">Inland Revenue will </w:t>
      </w:r>
      <w:r w:rsidR="000A29AD">
        <w:t xml:space="preserve">also </w:t>
      </w:r>
      <w:r w:rsidR="002B484B">
        <w:t xml:space="preserve">publish an article about these changes </w:t>
      </w:r>
      <w:r w:rsidR="00856988">
        <w:t xml:space="preserve">in </w:t>
      </w:r>
      <w:r w:rsidR="002B484B">
        <w:t>its</w:t>
      </w:r>
      <w:r w:rsidR="00856988">
        <w:t xml:space="preserve"> </w:t>
      </w:r>
      <w:r w:rsidR="00856988" w:rsidRPr="000A29AD">
        <w:rPr>
          <w:iCs/>
        </w:rPr>
        <w:t>Tax Information Bulletin.</w:t>
      </w:r>
    </w:p>
    <w:p w14:paraId="22ACFA19" w14:textId="77777777" w:rsidR="005B44E4" w:rsidRPr="00C65945" w:rsidRDefault="005B44E4" w:rsidP="006604F9">
      <w:pPr>
        <w:pStyle w:val="Heading2"/>
      </w:pPr>
      <w:r w:rsidRPr="00C65945">
        <w:t>P</w:t>
      </w:r>
      <w:r>
        <w:t>roactive Release</w:t>
      </w:r>
    </w:p>
    <w:p w14:paraId="61034DB3" w14:textId="1D33EE4E" w:rsidR="00204391" w:rsidRDefault="00BB2803" w:rsidP="00204391">
      <w:pPr>
        <w:pStyle w:val="ListParagraph"/>
      </w:pPr>
      <w:r>
        <w:t xml:space="preserve">I propose </w:t>
      </w:r>
      <w:r w:rsidR="00BA5EBE">
        <w:t xml:space="preserve">to release this Cabinet paper, and associated Order in Council, in full </w:t>
      </w:r>
      <w:r w:rsidR="00B5437B">
        <w:t>s</w:t>
      </w:r>
      <w:r w:rsidR="00BA5EBE">
        <w:t xml:space="preserve">hortly following the publication </w:t>
      </w:r>
      <w:r w:rsidR="00B5437B">
        <w:t>of the signed Order in Council in the New Zealand Gazette.</w:t>
      </w:r>
    </w:p>
    <w:p w14:paraId="07077D0F" w14:textId="77777777" w:rsidR="00590302" w:rsidRDefault="00590302" w:rsidP="006604F9">
      <w:pPr>
        <w:pStyle w:val="Heading2"/>
      </w:pPr>
      <w:r>
        <w:t>Consultation</w:t>
      </w:r>
    </w:p>
    <w:p w14:paraId="760CBB40" w14:textId="77777777" w:rsidR="00C825D0" w:rsidRDefault="00376AE0" w:rsidP="00C825D0">
      <w:pPr>
        <w:pStyle w:val="ListParagraph"/>
      </w:pPr>
      <w:r>
        <w:t>The Treasury has been informed in the preparation of this paper and the Parliamentary Counsel Office have been consulted in the preparation of this paper</w:t>
      </w:r>
      <w:r w:rsidR="00C825D0">
        <w:t>.</w:t>
      </w:r>
    </w:p>
    <w:p w14:paraId="6348A350" w14:textId="5769C915" w:rsidR="00590302" w:rsidRPr="008F4359" w:rsidRDefault="00125D95" w:rsidP="008F4359">
      <w:pPr>
        <w:rPr>
          <w:b/>
        </w:rPr>
      </w:pPr>
      <w:r w:rsidRPr="008F4359">
        <w:rPr>
          <w:b/>
        </w:rPr>
        <w:t>Recommendations</w:t>
      </w:r>
    </w:p>
    <w:p w14:paraId="74AE2F04" w14:textId="2365B71B" w:rsidR="00590302" w:rsidRDefault="00276254" w:rsidP="00276254">
      <w:r>
        <w:t xml:space="preserve">The Minister of Revenue </w:t>
      </w:r>
      <w:r w:rsidR="00590302" w:rsidRPr="00DC248E">
        <w:t>recommend</w:t>
      </w:r>
      <w:r w:rsidR="00DC248E">
        <w:t>s</w:t>
      </w:r>
      <w:r w:rsidR="00590302">
        <w:t xml:space="preserve"> that the</w:t>
      </w:r>
      <w:r w:rsidR="004B1F50">
        <w:t xml:space="preserve"> </w:t>
      </w:r>
      <w:r w:rsidR="008F4359">
        <w:t xml:space="preserve">Cabinet Legislation </w:t>
      </w:r>
      <w:r w:rsidR="004B1F50">
        <w:t>Committee</w:t>
      </w:r>
      <w:r w:rsidR="00590302">
        <w:t>:</w:t>
      </w:r>
    </w:p>
    <w:p w14:paraId="594EAF6D" w14:textId="43C3E783" w:rsidR="00D713A6" w:rsidRDefault="00ED2A40" w:rsidP="00D713A6">
      <w:pPr>
        <w:pStyle w:val="ListParagraph"/>
        <w:numPr>
          <w:ilvl w:val="0"/>
          <w:numId w:val="16"/>
        </w:numPr>
      </w:pPr>
      <w:r w:rsidRPr="00ED2A40">
        <w:rPr>
          <w:b/>
          <w:bCs/>
        </w:rPr>
        <w:t>a</w:t>
      </w:r>
      <w:r w:rsidR="00745AD4" w:rsidRPr="00ED2A40">
        <w:rPr>
          <w:b/>
          <w:bCs/>
        </w:rPr>
        <w:t>gree</w:t>
      </w:r>
      <w:r w:rsidR="00745AD4">
        <w:t xml:space="preserve"> that Inland Revenue should issue refunds of totalisator duty,</w:t>
      </w:r>
      <w:r w:rsidR="00745AD4" w:rsidRPr="00745AD4">
        <w:t xml:space="preserve"> </w:t>
      </w:r>
      <w:r w:rsidR="00745AD4" w:rsidRPr="00267319">
        <w:t>lottery duty, casino duty, and unclaimed money</w:t>
      </w:r>
      <w:r w:rsidR="00CD7682">
        <w:t xml:space="preserve"> by direct credit, u</w:t>
      </w:r>
      <w:r w:rsidR="00BB32A7">
        <w:t>n</w:t>
      </w:r>
      <w:r w:rsidR="00CD7682">
        <w:t xml:space="preserve">less </w:t>
      </w:r>
      <w:r w:rsidR="00B20DD8">
        <w:t xml:space="preserve">doing so </w:t>
      </w:r>
      <w:r w:rsidR="00CD7682">
        <w:t xml:space="preserve">would result in undue hardship or is not </w:t>
      </w:r>
      <w:proofErr w:type="gramStart"/>
      <w:r w:rsidR="00CD7682">
        <w:t>practicable</w:t>
      </w:r>
      <w:r w:rsidR="00BB32A7">
        <w:t>;</w:t>
      </w:r>
      <w:proofErr w:type="gramEnd"/>
      <w:r w:rsidR="00745AD4">
        <w:t xml:space="preserve"> </w:t>
      </w:r>
    </w:p>
    <w:p w14:paraId="3AACD5EB" w14:textId="6BB8B2D4" w:rsidR="00D713A6" w:rsidRDefault="00D713A6" w:rsidP="00D713A6">
      <w:pPr>
        <w:pStyle w:val="ListParagraph"/>
        <w:numPr>
          <w:ilvl w:val="0"/>
          <w:numId w:val="16"/>
        </w:numPr>
      </w:pPr>
      <w:r w:rsidRPr="00ED2A40">
        <w:rPr>
          <w:b/>
          <w:bCs/>
        </w:rPr>
        <w:t>note</w:t>
      </w:r>
      <w:r>
        <w:t xml:space="preserve"> that the </w:t>
      </w:r>
      <w:r w:rsidR="00BB32A7" w:rsidRPr="00414E33">
        <w:t>Tax Administration (Direct Credit of Totalisator Duty, Lottery Duty, Casino Duty, and Unclaimed Money) Order 2021</w:t>
      </w:r>
      <w:r w:rsidR="00BB32A7" w:rsidRPr="00BB32A7">
        <w:t xml:space="preserve"> </w:t>
      </w:r>
      <w:r>
        <w:t>will give effect to the decision referred to in paragraph 1 above</w:t>
      </w:r>
      <w:r w:rsidR="001417A3">
        <w:t xml:space="preserve">; </w:t>
      </w:r>
      <w:r w:rsidR="00E46AC2">
        <w:t>and</w:t>
      </w:r>
    </w:p>
    <w:p w14:paraId="139772BD" w14:textId="59FCE7FE" w:rsidR="00D713A6" w:rsidRDefault="00D713A6" w:rsidP="00D713A6">
      <w:pPr>
        <w:pStyle w:val="ListParagraph"/>
        <w:numPr>
          <w:ilvl w:val="0"/>
          <w:numId w:val="16"/>
        </w:numPr>
      </w:pPr>
      <w:r w:rsidRPr="00ED2A40">
        <w:rPr>
          <w:b/>
          <w:bCs/>
        </w:rPr>
        <w:t>authorise</w:t>
      </w:r>
      <w:r>
        <w:t xml:space="preserve"> the submission to the Executive Council of the </w:t>
      </w:r>
      <w:r w:rsidR="001417A3" w:rsidRPr="00A535F1">
        <w:t>Tax Administration (Direct Credit of Totalisator Duty, Lottery Duty, Casino Duty, and Unclaimed Money) Order 2021</w:t>
      </w:r>
      <w:r w:rsidR="001417A3">
        <w:t>.</w:t>
      </w:r>
    </w:p>
    <w:p w14:paraId="23A1E1BE" w14:textId="77777777" w:rsidR="00D713A6" w:rsidRPr="00D713A6" w:rsidRDefault="00D713A6" w:rsidP="00D713A6"/>
    <w:p w14:paraId="145DF8B6" w14:textId="77777777" w:rsidR="00125D95" w:rsidRDefault="00125D95" w:rsidP="00C65945">
      <w:pPr>
        <w:ind w:left="720" w:hanging="720"/>
      </w:pPr>
      <w:r>
        <w:t>Authorised for lodgement</w:t>
      </w:r>
    </w:p>
    <w:p w14:paraId="769F30EE" w14:textId="577B42DE" w:rsidR="00C362DE" w:rsidRDefault="00C362DE" w:rsidP="003C12A0">
      <w:pPr>
        <w:spacing w:after="0"/>
        <w:ind w:left="720" w:hanging="720"/>
      </w:pPr>
    </w:p>
    <w:p w14:paraId="2EC12813" w14:textId="432B2A2F" w:rsidR="005E40F1" w:rsidRDefault="005E40F1" w:rsidP="003C12A0">
      <w:pPr>
        <w:spacing w:after="0"/>
        <w:ind w:left="720" w:hanging="720"/>
      </w:pPr>
    </w:p>
    <w:p w14:paraId="69FE1946" w14:textId="541C8837" w:rsidR="005E40F1" w:rsidRDefault="005E40F1" w:rsidP="003C12A0">
      <w:pPr>
        <w:spacing w:after="0"/>
        <w:ind w:left="720" w:hanging="720"/>
      </w:pPr>
    </w:p>
    <w:p w14:paraId="65A2947F" w14:textId="77777777" w:rsidR="005E40F1" w:rsidRDefault="005E40F1" w:rsidP="003C12A0">
      <w:pPr>
        <w:spacing w:after="0"/>
        <w:ind w:left="720" w:hanging="720"/>
      </w:pPr>
    </w:p>
    <w:p w14:paraId="741B2AEA" w14:textId="224CC7F1" w:rsidR="00125D95" w:rsidRDefault="00125D95" w:rsidP="003C12A0">
      <w:pPr>
        <w:spacing w:after="0"/>
        <w:ind w:left="720" w:hanging="720"/>
      </w:pPr>
      <w:r>
        <w:t xml:space="preserve">Hon </w:t>
      </w:r>
      <w:r w:rsidR="00DD1C67">
        <w:t>David Parker</w:t>
      </w:r>
    </w:p>
    <w:p w14:paraId="514A5A2D" w14:textId="58E98281" w:rsidR="00056241" w:rsidRDefault="00125D95" w:rsidP="00590302">
      <w:pPr>
        <w:ind w:left="720" w:hanging="720"/>
      </w:pPr>
      <w:r>
        <w:t xml:space="preserve">Minister </w:t>
      </w:r>
      <w:r w:rsidR="00056241">
        <w:t>of Revenue</w:t>
      </w:r>
    </w:p>
    <w:p w14:paraId="2A54F15D" w14:textId="17BC46E4" w:rsidR="00E46AC2" w:rsidRDefault="00E46AC2" w:rsidP="00590302">
      <w:pPr>
        <w:ind w:left="720" w:hanging="720"/>
      </w:pPr>
    </w:p>
    <w:p w14:paraId="2CF864F5" w14:textId="77777777" w:rsidR="00E46AC2" w:rsidRDefault="00E46AC2" w:rsidP="00590302">
      <w:pPr>
        <w:ind w:left="720" w:hanging="720"/>
      </w:pPr>
    </w:p>
    <w:sectPr w:rsidR="00E46AC2" w:rsidSect="00ED2182">
      <w:headerReference w:type="default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F3ED" w14:textId="77777777" w:rsidR="00171886" w:rsidRDefault="00171886" w:rsidP="00F31991">
      <w:pPr>
        <w:spacing w:after="0"/>
      </w:pPr>
      <w:r>
        <w:separator/>
      </w:r>
    </w:p>
  </w:endnote>
  <w:endnote w:type="continuationSeparator" w:id="0">
    <w:p w14:paraId="1344AEC4" w14:textId="77777777" w:rsidR="00171886" w:rsidRDefault="00171886" w:rsidP="00F31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1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7F2E35" w14:textId="77777777" w:rsidR="00ED2182" w:rsidRDefault="00ED2182" w:rsidP="00ED2182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FFDA" w14:textId="77777777" w:rsidR="00171886" w:rsidRDefault="00171886" w:rsidP="00F31991">
      <w:pPr>
        <w:spacing w:after="0"/>
      </w:pPr>
      <w:r>
        <w:separator/>
      </w:r>
    </w:p>
  </w:footnote>
  <w:footnote w:type="continuationSeparator" w:id="0">
    <w:p w14:paraId="433D9313" w14:textId="77777777" w:rsidR="00171886" w:rsidRDefault="00171886" w:rsidP="00F31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7EE" w14:textId="2F486DB2" w:rsidR="00892FCD" w:rsidRDefault="00892F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A5183D" wp14:editId="71A456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" name="MSIPCM10b642ec81965284b1144f41" descr="{&quot;HashCode&quot;:13051067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E5338" w14:textId="472015DC" w:rsidR="00892FCD" w:rsidRPr="004D6EFF" w:rsidRDefault="004D6EFF" w:rsidP="004D6EF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4D6EFF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5183D" id="_x0000_t202" coordsize="21600,21600" o:spt="202" path="m,l,21600r21600,l21600,xe">
              <v:stroke joinstyle="miter"/>
              <v:path gradientshapeok="t" o:connecttype="rect"/>
            </v:shapetype>
            <v:shape id="MSIPCM10b642ec81965284b1144f41" o:spid="_x0000_s1026" type="#_x0000_t202" alt="{&quot;HashCode&quot;:13051067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nWrAIAAEYFAAAOAAAAZHJzL2Uyb0RvYy54bWysVEtv2zAMvg/YfxB02Gmr7TSvZnWKLEXX&#10;AmkbIB16VmQpNmA9Kim1s2H/fZQsp12307CLTZEUHx8/6vyiFTV6ZsZWSuY4O0kxYpKqopK7HH97&#10;uPo0xcg6IgtSK8lyfGAWX8zfvztv9IwNVKnqghkEQaSdNTrHpXN6liSWlkwQe6I0k2Dkygji4Gh2&#10;SWFIA9FFnQzSdJw0yhTaKMqsBe1lZ8TzEJ9zRt0955Y5VOcYanPha8J367/J/JzMdobosqKxDPIP&#10;VQhSSUh6DHVJHEF7U/0RSlTUKKu4O6FKJIrzirLQA3STpW+62ZREs9ALgGP1ESb7/8LSu+e1QVUB&#10;s8NIEgEjut3crJe3WbodDweMTrOz8WgwHW6zbDjkQ/AqmKWA4I8PT3vlPl8TWy5VwbrTLDtNR1k6&#10;nqSDj9HOql3ponU6BIZEw2NVuDLqR2ejo35dE8oEk/2dPgwBonRyDHAjC9bGAN1vbSpBzOE3rw1Q&#10;ALgZ/bJ490HpqEmPiVeM9zlB+dNTo9F2BghtNGDk2i+q9TBFvQWln3jLjfB/mCUCO5DscCQWax2i&#10;oJyMxulpBiYKtsEkm0wD85KX29pY95UpgbyQYwNVBz6R55V1kBFcexefTKqrqq4DeWuJmhyPT0dp&#10;uHC0wI1awkXfQ1erl1y7bWMDW1UcoC+juqWwml5VkHxFrFsTA1sA9cJmu3v48FpBEhUljEplvv9N&#10;7/2BnGDFqIGtyrF92hPDMKpvJND2DEjk1zAcQDCvtdteK/diqWBhgWxQVRC9r6t7kRslHmHxFz4b&#10;mIikkDPHrheXDk5ggIeDssUiyLBwmriV3GjqQ3sYPaQP7SMxOuLuYGJ3qt87MnsDf+fbDWCxd4pX&#10;YTYe2A7NiDcsaxhZfFj8a/D6HLxenr/5LwAAAP//AwBQSwMEFAAGAAgAAAAhAIgEz4rcAAAABwEA&#10;AA8AAABkcnMvZG93bnJldi54bWxMj8FOwzAMhu9IvENkJG4s2ZDWrTSdEGgXJCS67cIta0xbkThV&#10;k7Xl7fFOcLKs/9fnz8Vu9k6MOMQukIblQoFAqoPtqNFwOu4fNiBiMmSNC4QafjDCrry9KUxuw0QV&#10;jofUCIZQzI2GNqU+lzLWLXoTF6FH4uwrDN4kXodG2sFMDPdOrpRaS2864gut6fGlxfr7cPFM2b6+&#10;zek9+wjRVftp9J+nrOq1vr+bn59AJJzTXxmu+qwOJTudw4VsFE4DP5I0PCqe13S5VWsQZw3ZagOy&#10;LOR///IXAAD//wMAUEsBAi0AFAAGAAgAAAAhALaDOJL+AAAA4QEAABMAAAAAAAAAAAAAAAAAAAAA&#10;AFtDb250ZW50X1R5cGVzXS54bWxQSwECLQAUAAYACAAAACEAOP0h/9YAAACUAQAACwAAAAAAAAAA&#10;AAAAAAAvAQAAX3JlbHMvLnJlbHNQSwECLQAUAAYACAAAACEAgRq51qwCAABGBQAADgAAAAAAAAAA&#10;AAAAAAAuAgAAZHJzL2Uyb0RvYy54bWxQSwECLQAUAAYACAAAACEAiATPitwAAAAHAQAADwAAAAAA&#10;AAAAAAAAAAAGBQAAZHJzL2Rvd25yZXYueG1sUEsFBgAAAAAEAAQA8wAAAA8GAAAAAA==&#10;" o:allowincell="f" filled="f" stroked="f" strokeweight=".5pt">
              <v:textbox inset=",0,,0">
                <w:txbxContent>
                  <w:p w14:paraId="647E5338" w14:textId="472015DC" w:rsidR="00892FCD" w:rsidRPr="004D6EFF" w:rsidRDefault="004D6EFF" w:rsidP="004D6EFF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4D6EFF">
                      <w:rPr>
                        <w:rFonts w:ascii="Verdana" w:hAnsi="Verdana"/>
                        <w:color w:val="000000"/>
                        <w:sz w:val="2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181"/>
    <w:multiLevelType w:val="multilevel"/>
    <w:tmpl w:val="A0901D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3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3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2FE229E"/>
    <w:multiLevelType w:val="hybridMultilevel"/>
    <w:tmpl w:val="67BC2AA0"/>
    <w:lvl w:ilvl="0" w:tplc="E040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00636"/>
    <w:multiLevelType w:val="multilevel"/>
    <w:tmpl w:val="AE98789A"/>
    <w:lvl w:ilvl="0">
      <w:start w:val="1"/>
      <w:numFmt w:val="bullet"/>
      <w:pStyle w:val="BulletedParagraph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993153"/>
    <w:multiLevelType w:val="multilevel"/>
    <w:tmpl w:val="36629E34"/>
    <w:lvl w:ilvl="0">
      <w:start w:val="1"/>
      <w:numFmt w:val="decimal"/>
      <w:pStyle w:val="ListParagraph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num w:numId="1" w16cid:durableId="1834830479">
    <w:abstractNumId w:val="3"/>
  </w:num>
  <w:num w:numId="2" w16cid:durableId="1611625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968858">
    <w:abstractNumId w:val="3"/>
  </w:num>
  <w:num w:numId="4" w16cid:durableId="1015307183">
    <w:abstractNumId w:val="2"/>
  </w:num>
  <w:num w:numId="5" w16cid:durableId="809402031">
    <w:abstractNumId w:val="3"/>
  </w:num>
  <w:num w:numId="6" w16cid:durableId="1448574759">
    <w:abstractNumId w:val="3"/>
  </w:num>
  <w:num w:numId="7" w16cid:durableId="808668933">
    <w:abstractNumId w:val="3"/>
  </w:num>
  <w:num w:numId="8" w16cid:durableId="603608537">
    <w:abstractNumId w:val="1"/>
  </w:num>
  <w:num w:numId="9" w16cid:durableId="106581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860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258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5988021">
    <w:abstractNumId w:val="0"/>
  </w:num>
  <w:num w:numId="13" w16cid:durableId="198824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802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0772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7860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9E"/>
    <w:rsid w:val="00004AE7"/>
    <w:rsid w:val="00041D61"/>
    <w:rsid w:val="00047400"/>
    <w:rsid w:val="00053C94"/>
    <w:rsid w:val="00056241"/>
    <w:rsid w:val="0007378E"/>
    <w:rsid w:val="000816EC"/>
    <w:rsid w:val="000879C9"/>
    <w:rsid w:val="000A29AD"/>
    <w:rsid w:val="000A5AE0"/>
    <w:rsid w:val="000A7DF7"/>
    <w:rsid w:val="000D6953"/>
    <w:rsid w:val="000E0B36"/>
    <w:rsid w:val="000E136A"/>
    <w:rsid w:val="000F0E1F"/>
    <w:rsid w:val="000F2751"/>
    <w:rsid w:val="000F53D5"/>
    <w:rsid w:val="000F60B0"/>
    <w:rsid w:val="0011331D"/>
    <w:rsid w:val="001207C8"/>
    <w:rsid w:val="00125D95"/>
    <w:rsid w:val="00131342"/>
    <w:rsid w:val="00131E53"/>
    <w:rsid w:val="0013353D"/>
    <w:rsid w:val="001417A3"/>
    <w:rsid w:val="001462BE"/>
    <w:rsid w:val="0016507B"/>
    <w:rsid w:val="00171886"/>
    <w:rsid w:val="00190D67"/>
    <w:rsid w:val="001934DF"/>
    <w:rsid w:val="00195CD7"/>
    <w:rsid w:val="00196F1A"/>
    <w:rsid w:val="001A34A8"/>
    <w:rsid w:val="001A63C9"/>
    <w:rsid w:val="001B757B"/>
    <w:rsid w:val="001C4061"/>
    <w:rsid w:val="001C78F1"/>
    <w:rsid w:val="001D6CA1"/>
    <w:rsid w:val="001D6E8D"/>
    <w:rsid w:val="001F6EAC"/>
    <w:rsid w:val="002009DF"/>
    <w:rsid w:val="00201A5B"/>
    <w:rsid w:val="00204222"/>
    <w:rsid w:val="00204391"/>
    <w:rsid w:val="002076C9"/>
    <w:rsid w:val="002112EA"/>
    <w:rsid w:val="00231486"/>
    <w:rsid w:val="00236E6B"/>
    <w:rsid w:val="00255013"/>
    <w:rsid w:val="00267319"/>
    <w:rsid w:val="00276254"/>
    <w:rsid w:val="00277D36"/>
    <w:rsid w:val="002860DE"/>
    <w:rsid w:val="00287953"/>
    <w:rsid w:val="0029161B"/>
    <w:rsid w:val="002B054D"/>
    <w:rsid w:val="002B0A29"/>
    <w:rsid w:val="002B484B"/>
    <w:rsid w:val="002C2324"/>
    <w:rsid w:val="002C2E88"/>
    <w:rsid w:val="002C3131"/>
    <w:rsid w:val="002D7491"/>
    <w:rsid w:val="00301776"/>
    <w:rsid w:val="0030434E"/>
    <w:rsid w:val="0031770D"/>
    <w:rsid w:val="003229B0"/>
    <w:rsid w:val="003274E6"/>
    <w:rsid w:val="00337CDA"/>
    <w:rsid w:val="00364F68"/>
    <w:rsid w:val="00365C05"/>
    <w:rsid w:val="003767F2"/>
    <w:rsid w:val="00376AE0"/>
    <w:rsid w:val="00385FFD"/>
    <w:rsid w:val="003911DB"/>
    <w:rsid w:val="003C12A0"/>
    <w:rsid w:val="003C3795"/>
    <w:rsid w:val="003D6544"/>
    <w:rsid w:val="003E463D"/>
    <w:rsid w:val="003E5F1F"/>
    <w:rsid w:val="003F07F3"/>
    <w:rsid w:val="004017D7"/>
    <w:rsid w:val="00407BAE"/>
    <w:rsid w:val="00407CF5"/>
    <w:rsid w:val="004108D2"/>
    <w:rsid w:val="00414E33"/>
    <w:rsid w:val="00421F15"/>
    <w:rsid w:val="00432F5B"/>
    <w:rsid w:val="0043327C"/>
    <w:rsid w:val="004336E7"/>
    <w:rsid w:val="00440026"/>
    <w:rsid w:val="00452E84"/>
    <w:rsid w:val="004740A4"/>
    <w:rsid w:val="00493D51"/>
    <w:rsid w:val="00495FEA"/>
    <w:rsid w:val="004A678B"/>
    <w:rsid w:val="004B1F50"/>
    <w:rsid w:val="004C2B58"/>
    <w:rsid w:val="004C6B15"/>
    <w:rsid w:val="004D6EFF"/>
    <w:rsid w:val="004E0BF0"/>
    <w:rsid w:val="004E28CD"/>
    <w:rsid w:val="004F3799"/>
    <w:rsid w:val="00505066"/>
    <w:rsid w:val="0051301C"/>
    <w:rsid w:val="00514ACB"/>
    <w:rsid w:val="005167BA"/>
    <w:rsid w:val="00527D9F"/>
    <w:rsid w:val="0053080E"/>
    <w:rsid w:val="0053679B"/>
    <w:rsid w:val="005412BD"/>
    <w:rsid w:val="005442C5"/>
    <w:rsid w:val="00577AF5"/>
    <w:rsid w:val="00590302"/>
    <w:rsid w:val="005A4F5C"/>
    <w:rsid w:val="005B44E4"/>
    <w:rsid w:val="005D4C76"/>
    <w:rsid w:val="005E40F1"/>
    <w:rsid w:val="00600635"/>
    <w:rsid w:val="006016A5"/>
    <w:rsid w:val="00602995"/>
    <w:rsid w:val="006067FD"/>
    <w:rsid w:val="00612EE3"/>
    <w:rsid w:val="0063432A"/>
    <w:rsid w:val="0063734A"/>
    <w:rsid w:val="006604F9"/>
    <w:rsid w:val="00674227"/>
    <w:rsid w:val="00696AE0"/>
    <w:rsid w:val="006A675D"/>
    <w:rsid w:val="006B1974"/>
    <w:rsid w:val="006C19F8"/>
    <w:rsid w:val="006C5FD9"/>
    <w:rsid w:val="006E2230"/>
    <w:rsid w:val="006F3BAC"/>
    <w:rsid w:val="007026AE"/>
    <w:rsid w:val="007043C4"/>
    <w:rsid w:val="00707EE8"/>
    <w:rsid w:val="00710791"/>
    <w:rsid w:val="00717272"/>
    <w:rsid w:val="00720D91"/>
    <w:rsid w:val="007225D6"/>
    <w:rsid w:val="007243AE"/>
    <w:rsid w:val="00731F6B"/>
    <w:rsid w:val="007324E1"/>
    <w:rsid w:val="00733356"/>
    <w:rsid w:val="007423BC"/>
    <w:rsid w:val="00745AD4"/>
    <w:rsid w:val="00772395"/>
    <w:rsid w:val="007747D1"/>
    <w:rsid w:val="0078112B"/>
    <w:rsid w:val="007C09CA"/>
    <w:rsid w:val="007F387B"/>
    <w:rsid w:val="007F7270"/>
    <w:rsid w:val="008073C2"/>
    <w:rsid w:val="00821695"/>
    <w:rsid w:val="00835FB1"/>
    <w:rsid w:val="00837D14"/>
    <w:rsid w:val="008461D3"/>
    <w:rsid w:val="00856988"/>
    <w:rsid w:val="00856CDC"/>
    <w:rsid w:val="00864E0A"/>
    <w:rsid w:val="00872F83"/>
    <w:rsid w:val="008823F6"/>
    <w:rsid w:val="00884D84"/>
    <w:rsid w:val="00885063"/>
    <w:rsid w:val="008877EE"/>
    <w:rsid w:val="00892FCD"/>
    <w:rsid w:val="008A1D46"/>
    <w:rsid w:val="008A3741"/>
    <w:rsid w:val="008A374C"/>
    <w:rsid w:val="008A654A"/>
    <w:rsid w:val="008B20AE"/>
    <w:rsid w:val="008C115F"/>
    <w:rsid w:val="008C2600"/>
    <w:rsid w:val="008C46FA"/>
    <w:rsid w:val="008F4359"/>
    <w:rsid w:val="00903BC2"/>
    <w:rsid w:val="009052D4"/>
    <w:rsid w:val="009260B1"/>
    <w:rsid w:val="009338F5"/>
    <w:rsid w:val="00966425"/>
    <w:rsid w:val="0097048F"/>
    <w:rsid w:val="00971540"/>
    <w:rsid w:val="009743C1"/>
    <w:rsid w:val="00976349"/>
    <w:rsid w:val="00987BE5"/>
    <w:rsid w:val="00994B08"/>
    <w:rsid w:val="0099551C"/>
    <w:rsid w:val="009963D7"/>
    <w:rsid w:val="009B00DA"/>
    <w:rsid w:val="009B1E5A"/>
    <w:rsid w:val="009B6CEE"/>
    <w:rsid w:val="009D1420"/>
    <w:rsid w:val="009E0FB9"/>
    <w:rsid w:val="009E1F9E"/>
    <w:rsid w:val="009E2638"/>
    <w:rsid w:val="009E2698"/>
    <w:rsid w:val="009E731E"/>
    <w:rsid w:val="00A05A1D"/>
    <w:rsid w:val="00A16343"/>
    <w:rsid w:val="00A209D8"/>
    <w:rsid w:val="00A302D7"/>
    <w:rsid w:val="00A3364C"/>
    <w:rsid w:val="00A535F1"/>
    <w:rsid w:val="00A57928"/>
    <w:rsid w:val="00A72F4C"/>
    <w:rsid w:val="00A745F1"/>
    <w:rsid w:val="00A7535B"/>
    <w:rsid w:val="00A877FB"/>
    <w:rsid w:val="00A97DFA"/>
    <w:rsid w:val="00AA6D7B"/>
    <w:rsid w:val="00AB16B9"/>
    <w:rsid w:val="00AC5156"/>
    <w:rsid w:val="00AD36F0"/>
    <w:rsid w:val="00AD4D5B"/>
    <w:rsid w:val="00AF2010"/>
    <w:rsid w:val="00B038F0"/>
    <w:rsid w:val="00B0477B"/>
    <w:rsid w:val="00B156C1"/>
    <w:rsid w:val="00B157C1"/>
    <w:rsid w:val="00B20DD8"/>
    <w:rsid w:val="00B23F03"/>
    <w:rsid w:val="00B34835"/>
    <w:rsid w:val="00B41190"/>
    <w:rsid w:val="00B42C03"/>
    <w:rsid w:val="00B50774"/>
    <w:rsid w:val="00B508E7"/>
    <w:rsid w:val="00B5437B"/>
    <w:rsid w:val="00B61864"/>
    <w:rsid w:val="00B6449F"/>
    <w:rsid w:val="00B7359B"/>
    <w:rsid w:val="00B778E7"/>
    <w:rsid w:val="00B80345"/>
    <w:rsid w:val="00B9551B"/>
    <w:rsid w:val="00BA2656"/>
    <w:rsid w:val="00BA5EBE"/>
    <w:rsid w:val="00BA6184"/>
    <w:rsid w:val="00BB15D9"/>
    <w:rsid w:val="00BB2803"/>
    <w:rsid w:val="00BB32A7"/>
    <w:rsid w:val="00BC081D"/>
    <w:rsid w:val="00BD5455"/>
    <w:rsid w:val="00BE16AB"/>
    <w:rsid w:val="00BE2739"/>
    <w:rsid w:val="00C033F9"/>
    <w:rsid w:val="00C043FC"/>
    <w:rsid w:val="00C242D0"/>
    <w:rsid w:val="00C3270D"/>
    <w:rsid w:val="00C33ABD"/>
    <w:rsid w:val="00C362DE"/>
    <w:rsid w:val="00C373E4"/>
    <w:rsid w:val="00C43376"/>
    <w:rsid w:val="00C4585E"/>
    <w:rsid w:val="00C60C76"/>
    <w:rsid w:val="00C65945"/>
    <w:rsid w:val="00C757C9"/>
    <w:rsid w:val="00C825D0"/>
    <w:rsid w:val="00C82D7A"/>
    <w:rsid w:val="00C90971"/>
    <w:rsid w:val="00C97D61"/>
    <w:rsid w:val="00CA0289"/>
    <w:rsid w:val="00CA2ACC"/>
    <w:rsid w:val="00CA49F3"/>
    <w:rsid w:val="00CA622F"/>
    <w:rsid w:val="00CB0D9E"/>
    <w:rsid w:val="00CB2267"/>
    <w:rsid w:val="00CB7285"/>
    <w:rsid w:val="00CC6F9A"/>
    <w:rsid w:val="00CD189F"/>
    <w:rsid w:val="00CD7682"/>
    <w:rsid w:val="00CE4CE5"/>
    <w:rsid w:val="00CF16A9"/>
    <w:rsid w:val="00CF267B"/>
    <w:rsid w:val="00CF787A"/>
    <w:rsid w:val="00D04385"/>
    <w:rsid w:val="00D0668E"/>
    <w:rsid w:val="00D06A91"/>
    <w:rsid w:val="00D10D8C"/>
    <w:rsid w:val="00D15BA4"/>
    <w:rsid w:val="00D20857"/>
    <w:rsid w:val="00D37A6C"/>
    <w:rsid w:val="00D53D10"/>
    <w:rsid w:val="00D60E4C"/>
    <w:rsid w:val="00D633D8"/>
    <w:rsid w:val="00D713A6"/>
    <w:rsid w:val="00D71C94"/>
    <w:rsid w:val="00D8013D"/>
    <w:rsid w:val="00DA30FC"/>
    <w:rsid w:val="00DB2DB1"/>
    <w:rsid w:val="00DB3798"/>
    <w:rsid w:val="00DC248E"/>
    <w:rsid w:val="00DC39B1"/>
    <w:rsid w:val="00DC5713"/>
    <w:rsid w:val="00DC784A"/>
    <w:rsid w:val="00DD1C67"/>
    <w:rsid w:val="00DD2177"/>
    <w:rsid w:val="00DE6E0F"/>
    <w:rsid w:val="00DF3942"/>
    <w:rsid w:val="00E37332"/>
    <w:rsid w:val="00E405AB"/>
    <w:rsid w:val="00E43799"/>
    <w:rsid w:val="00E4537E"/>
    <w:rsid w:val="00E46AC2"/>
    <w:rsid w:val="00E50D09"/>
    <w:rsid w:val="00E62F6B"/>
    <w:rsid w:val="00E65297"/>
    <w:rsid w:val="00E66DB2"/>
    <w:rsid w:val="00EA1B15"/>
    <w:rsid w:val="00EB017C"/>
    <w:rsid w:val="00EC0FC4"/>
    <w:rsid w:val="00ED2182"/>
    <w:rsid w:val="00ED2742"/>
    <w:rsid w:val="00ED2A40"/>
    <w:rsid w:val="00ED5632"/>
    <w:rsid w:val="00F0228C"/>
    <w:rsid w:val="00F04313"/>
    <w:rsid w:val="00F2349E"/>
    <w:rsid w:val="00F279E0"/>
    <w:rsid w:val="00F31991"/>
    <w:rsid w:val="00F45BDE"/>
    <w:rsid w:val="00F46E53"/>
    <w:rsid w:val="00F51205"/>
    <w:rsid w:val="00F62EAA"/>
    <w:rsid w:val="00F63FA3"/>
    <w:rsid w:val="00F73942"/>
    <w:rsid w:val="00F815F2"/>
    <w:rsid w:val="00F82BEE"/>
    <w:rsid w:val="00F848DE"/>
    <w:rsid w:val="00FB02F8"/>
    <w:rsid w:val="00FB3C7A"/>
    <w:rsid w:val="00FB6A04"/>
    <w:rsid w:val="00FB7644"/>
    <w:rsid w:val="00FC3C1C"/>
    <w:rsid w:val="00FE4F91"/>
    <w:rsid w:val="00FF2562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E4D3"/>
  <w15:docId w15:val="{F051ECF4-DE49-4FD5-B9AE-A105D75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3"/>
        <w:szCs w:val="23"/>
        <w:lang w:val="en-NZ" w:eastAsia="en-N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0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uiPriority="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56988"/>
    <w:pPr>
      <w:jc w:val="both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2"/>
    <w:qFormat/>
    <w:rsid w:val="008C2600"/>
    <w:pPr>
      <w:keepNext/>
      <w:jc w:val="left"/>
      <w:outlineLvl w:val="0"/>
    </w:pPr>
    <w:rPr>
      <w:sz w:val="28"/>
    </w:rPr>
  </w:style>
  <w:style w:type="paragraph" w:styleId="Heading2">
    <w:name w:val="heading 2"/>
    <w:basedOn w:val="Heading1"/>
    <w:next w:val="ListParagraph"/>
    <w:link w:val="Heading2Char"/>
    <w:uiPriority w:val="2"/>
    <w:qFormat/>
    <w:rsid w:val="006604F9"/>
    <w:pPr>
      <w:outlineLvl w:val="1"/>
    </w:pPr>
    <w:rPr>
      <w:caps w:val="0"/>
      <w:sz w:val="24"/>
    </w:rPr>
  </w:style>
  <w:style w:type="paragraph" w:styleId="Heading3">
    <w:name w:val="heading 3"/>
    <w:basedOn w:val="Heading2"/>
    <w:next w:val="ListParagraph"/>
    <w:link w:val="Heading3Char"/>
    <w:uiPriority w:val="2"/>
    <w:qFormat/>
    <w:rsid w:val="006604F9"/>
    <w:pPr>
      <w:outlineLvl w:val="2"/>
    </w:pPr>
    <w:rPr>
      <w:sz w:val="20"/>
    </w:rPr>
  </w:style>
  <w:style w:type="paragraph" w:styleId="Heading4">
    <w:name w:val="heading 4"/>
    <w:basedOn w:val="Heading3"/>
    <w:next w:val="ListParagraph"/>
    <w:link w:val="Heading4Char"/>
    <w:uiPriority w:val="2"/>
    <w:rsid w:val="000816EC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2600"/>
    <w:rPr>
      <w:b/>
      <w:caps/>
      <w:sz w:val="28"/>
    </w:rPr>
  </w:style>
  <w:style w:type="paragraph" w:styleId="NoSpacing">
    <w:name w:val="No Spacing"/>
    <w:uiPriority w:val="1"/>
    <w:semiHidden/>
    <w:rsid w:val="00D04385"/>
    <w:pPr>
      <w:spacing w:after="0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3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2"/>
    <w:rsid w:val="006604F9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2"/>
    <w:rsid w:val="006604F9"/>
    <w:rPr>
      <w:b/>
      <w:sz w:val="20"/>
    </w:rPr>
  </w:style>
  <w:style w:type="character" w:customStyle="1" w:styleId="Heading4Char">
    <w:name w:val="Heading 4 Char"/>
    <w:basedOn w:val="DefaultParagraphFont"/>
    <w:link w:val="Heading4"/>
    <w:uiPriority w:val="2"/>
    <w:rsid w:val="009052D4"/>
    <w:rPr>
      <w:rFonts w:eastAsiaTheme="majorEastAsia" w:cstheme="majorBidi"/>
      <w:bCs/>
      <w:szCs w:val="28"/>
    </w:rPr>
  </w:style>
  <w:style w:type="paragraph" w:styleId="Title">
    <w:name w:val="Title"/>
    <w:basedOn w:val="Normal"/>
    <w:next w:val="Normal"/>
    <w:link w:val="TitleChar"/>
    <w:uiPriority w:val="2"/>
    <w:rsid w:val="00E50D09"/>
    <w:rPr>
      <w:b/>
      <w:caps/>
    </w:rPr>
  </w:style>
  <w:style w:type="character" w:customStyle="1" w:styleId="TitleChar">
    <w:name w:val="Title Char"/>
    <w:basedOn w:val="DefaultParagraphFont"/>
    <w:link w:val="Title"/>
    <w:uiPriority w:val="2"/>
    <w:rsid w:val="00E50D09"/>
    <w:rPr>
      <w:b/>
      <w:caps/>
      <w:sz w:val="24"/>
    </w:rPr>
  </w:style>
  <w:style w:type="character" w:styleId="Strong">
    <w:name w:val="Strong"/>
    <w:basedOn w:val="DefaultParagraphFont"/>
    <w:uiPriority w:val="22"/>
    <w:semiHidden/>
    <w:qFormat/>
    <w:rsid w:val="00C65945"/>
    <w:rPr>
      <w:b/>
      <w:bCs/>
    </w:rPr>
  </w:style>
  <w:style w:type="paragraph" w:styleId="Header">
    <w:name w:val="header"/>
    <w:basedOn w:val="Normal"/>
    <w:link w:val="HeaderChar"/>
    <w:uiPriority w:val="99"/>
    <w:rsid w:val="001B757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757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F319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2D4"/>
  </w:style>
  <w:style w:type="paragraph" w:customStyle="1" w:styleId="BulletedParagraph">
    <w:name w:val="Bulleted Paragraph"/>
    <w:basedOn w:val="Normal"/>
    <w:uiPriority w:val="1"/>
    <w:qFormat/>
    <w:rsid w:val="00856CDC"/>
    <w:pPr>
      <w:numPr>
        <w:numId w:val="4"/>
      </w:numPr>
    </w:pPr>
  </w:style>
  <w:style w:type="paragraph" w:styleId="Quote">
    <w:name w:val="Quote"/>
    <w:basedOn w:val="Normal"/>
    <w:link w:val="QuoteChar"/>
    <w:uiPriority w:val="7"/>
    <w:qFormat/>
    <w:rsid w:val="008C2600"/>
    <w:pPr>
      <w:tabs>
        <w:tab w:val="left" w:pos="709"/>
      </w:tabs>
      <w:ind w:left="1440" w:right="720"/>
    </w:pPr>
  </w:style>
  <w:style w:type="character" w:customStyle="1" w:styleId="QuoteChar">
    <w:name w:val="Quote Char"/>
    <w:basedOn w:val="DefaultParagraphFont"/>
    <w:link w:val="Quote"/>
    <w:uiPriority w:val="7"/>
    <w:rsid w:val="001D6CA1"/>
  </w:style>
  <w:style w:type="character" w:customStyle="1" w:styleId="Emphasis-Bold">
    <w:name w:val="Emphasis - Bold"/>
    <w:basedOn w:val="DefaultParagraphFont"/>
    <w:uiPriority w:val="3"/>
    <w:qFormat/>
    <w:rsid w:val="009052D4"/>
    <w:rPr>
      <w:b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131"/>
    <w:rPr>
      <w:color w:val="808080"/>
    </w:rPr>
  </w:style>
  <w:style w:type="character" w:customStyle="1" w:styleId="Emphasis-Italic">
    <w:name w:val="Emphasis - Italic"/>
    <w:basedOn w:val="DefaultParagraphFont"/>
    <w:uiPriority w:val="4"/>
    <w:qFormat/>
    <w:rsid w:val="002C2E88"/>
    <w:rPr>
      <w:i/>
    </w:rPr>
  </w:style>
  <w:style w:type="character" w:customStyle="1" w:styleId="Emphasis-BoldItalic">
    <w:name w:val="Emphasis - Bold + Italic"/>
    <w:basedOn w:val="DefaultParagraphFont"/>
    <w:uiPriority w:val="5"/>
    <w:qFormat/>
    <w:rsid w:val="009052D4"/>
    <w:rPr>
      <w:b/>
      <w:i/>
    </w:rPr>
  </w:style>
  <w:style w:type="paragraph" w:styleId="FootnoteText">
    <w:name w:val="footnote text"/>
    <w:basedOn w:val="Normal"/>
    <w:link w:val="FootnoteTextChar"/>
    <w:uiPriority w:val="10"/>
    <w:rsid w:val="001B757B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1B757B"/>
    <w:rPr>
      <w:sz w:val="18"/>
      <w:szCs w:val="20"/>
    </w:rPr>
  </w:style>
  <w:style w:type="character" w:styleId="FootnoteReference">
    <w:name w:val="footnote reference"/>
    <w:basedOn w:val="DefaultParagraphFont"/>
    <w:uiPriority w:val="9"/>
    <w:rsid w:val="00A97DFA"/>
    <w:rPr>
      <w:rFonts w:ascii="Arial" w:hAnsi="Arial"/>
      <w:sz w:val="20"/>
      <w:vertAlign w:val="superscript"/>
    </w:rPr>
  </w:style>
  <w:style w:type="paragraph" w:customStyle="1" w:styleId="Quote-Italic">
    <w:name w:val="Quote - Italic"/>
    <w:basedOn w:val="Quote"/>
    <w:uiPriority w:val="8"/>
    <w:qFormat/>
    <w:rsid w:val="00DC5713"/>
    <w:rPr>
      <w:i/>
    </w:rPr>
  </w:style>
  <w:style w:type="paragraph" w:styleId="Caption">
    <w:name w:val="caption"/>
    <w:basedOn w:val="Normal"/>
    <w:next w:val="Normal"/>
    <w:uiPriority w:val="35"/>
    <w:qFormat/>
    <w:rsid w:val="005D4C76"/>
    <w:pPr>
      <w:keepNext/>
      <w:spacing w:after="120"/>
      <w:jc w:val="center"/>
    </w:pPr>
    <w:rPr>
      <w:b/>
      <w:bCs/>
      <w:sz w:val="20"/>
      <w:szCs w:val="20"/>
    </w:rPr>
  </w:style>
  <w:style w:type="paragraph" w:customStyle="1" w:styleId="Figure">
    <w:name w:val="Figure"/>
    <w:basedOn w:val="Normal"/>
    <w:next w:val="Normal"/>
    <w:uiPriority w:val="36"/>
    <w:qFormat/>
    <w:rsid w:val="008A1D46"/>
    <w:pPr>
      <w:jc w:val="center"/>
    </w:pPr>
  </w:style>
  <w:style w:type="table" w:styleId="TableGrid">
    <w:name w:val="Table Grid"/>
    <w:basedOn w:val="TableNormal"/>
    <w:uiPriority w:val="59"/>
    <w:rsid w:val="00433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 Row"/>
    <w:basedOn w:val="Normal"/>
    <w:uiPriority w:val="10"/>
    <w:qFormat/>
    <w:rsid w:val="008C2600"/>
    <w:pPr>
      <w:tabs>
        <w:tab w:val="left" w:pos="709"/>
      </w:tabs>
      <w:spacing w:before="80" w:after="80"/>
    </w:pPr>
    <w:rPr>
      <w:sz w:val="20"/>
      <w:szCs w:val="20"/>
    </w:rPr>
  </w:style>
  <w:style w:type="paragraph" w:customStyle="1" w:styleId="TableHeading">
    <w:name w:val="Table Heading"/>
    <w:basedOn w:val="Normal"/>
    <w:uiPriority w:val="10"/>
    <w:qFormat/>
    <w:rsid w:val="008C2600"/>
    <w:pPr>
      <w:tabs>
        <w:tab w:val="left" w:pos="709"/>
      </w:tabs>
      <w:spacing w:before="80" w:after="80"/>
    </w:pPr>
    <w:rPr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4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600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0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D07D8E4C-C8F4-4F8E-B112-78C0960872AC}"/>
</file>

<file path=customXml/itemProps2.xml><?xml version="1.0" encoding="utf-8"?>
<ds:datastoreItem xmlns:ds="http://schemas.openxmlformats.org/officeDocument/2006/customXml" ds:itemID="{FE475332-F21D-413B-A6EB-8090FC1C9792}"/>
</file>

<file path=customXml/itemProps3.xml><?xml version="1.0" encoding="utf-8"?>
<ds:datastoreItem xmlns:ds="http://schemas.openxmlformats.org/officeDocument/2006/customXml" ds:itemID="{7049D404-5817-4AE2-A6C2-18FD5C353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LEG-21-SUB-0027 – Cabinet paper: Tax Administration (Direct Credit of Totalisator Duty, Lottery Duty, Casino Duty, and Unclaimed Money) Order 2021 (18 March 2021)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LEG-21-SUB-0027 – Cabinet paper: Tax Administration (Direct Credit of Totalisator Duty, Lottery Duty, Casino Duty, and Unclaimed Money) Order 2021 (18 March 2021)</dc:title>
  <dc:subject/>
  <dc:creator/>
  <cp:keywords/>
  <dc:description/>
  <dcterms:created xsi:type="dcterms:W3CDTF">2022-03-22T08:42:00Z</dcterms:created>
  <dcterms:modified xsi:type="dcterms:W3CDTF">2022-03-22T08:42:00Z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2022-03-22T08:42:39Z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8843be55-c40a-4fa6-9717-da146649079f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