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B3DE" w14:textId="77777777" w:rsidR="00125D95" w:rsidRDefault="00F56C1F" w:rsidP="00125D95">
      <w:r w:rsidRPr="00F56C1F">
        <w:t>In Confidence</w:t>
      </w:r>
    </w:p>
    <w:p w14:paraId="465515E7" w14:textId="77777777" w:rsidR="00F56C1F" w:rsidRDefault="00F56C1F" w:rsidP="00125D95"/>
    <w:p w14:paraId="493618FB" w14:textId="264288F7" w:rsidR="00125D95" w:rsidRDefault="00125D95" w:rsidP="00125D95">
      <w:r>
        <w:t xml:space="preserve">Office of the Minister </w:t>
      </w:r>
      <w:r w:rsidR="003E441A">
        <w:t>of Revenue</w:t>
      </w:r>
    </w:p>
    <w:p w14:paraId="3B693BC3" w14:textId="2454C301" w:rsidR="00125D95" w:rsidRDefault="00125D95" w:rsidP="00F56C1F">
      <w:pPr>
        <w:jc w:val="left"/>
      </w:pPr>
      <w:r>
        <w:t xml:space="preserve">Chair, Cabinet </w:t>
      </w:r>
      <w:r w:rsidR="003E441A">
        <w:t>Economic Development</w:t>
      </w:r>
      <w:r>
        <w:t xml:space="preserve"> Committee</w:t>
      </w:r>
    </w:p>
    <w:p w14:paraId="4F2674DE" w14:textId="0331A285" w:rsidR="00125D95" w:rsidRPr="00797E7A" w:rsidRDefault="00125D95" w:rsidP="00125D95">
      <w:pPr>
        <w:rPr>
          <w:b/>
        </w:rPr>
      </w:pPr>
    </w:p>
    <w:p w14:paraId="115E3800" w14:textId="3ADEC6DC" w:rsidR="00125D95" w:rsidRPr="008959E6" w:rsidRDefault="003E441A" w:rsidP="008959E6">
      <w:r>
        <w:rPr>
          <w:rStyle w:val="Heading1Char"/>
        </w:rPr>
        <w:t>GST Apportionment: an officials’ issues Paper</w:t>
      </w:r>
    </w:p>
    <w:p w14:paraId="66971930" w14:textId="77777777" w:rsidR="00125D95" w:rsidRPr="00125D95" w:rsidRDefault="00125D95" w:rsidP="00F56C1F">
      <w:pPr>
        <w:pStyle w:val="Heading2"/>
      </w:pPr>
      <w:r>
        <w:t>Proposal</w:t>
      </w:r>
    </w:p>
    <w:p w14:paraId="730CB954" w14:textId="401DDC8C" w:rsidR="00C42C18" w:rsidRDefault="00856988" w:rsidP="00DF7755">
      <w:pPr>
        <w:pStyle w:val="ListParagraph"/>
      </w:pPr>
      <w:r w:rsidRPr="00856988">
        <w:t xml:space="preserve">This paper seeks the Cabinet </w:t>
      </w:r>
      <w:r w:rsidR="003A65CE">
        <w:t>Economic Development</w:t>
      </w:r>
      <w:r w:rsidRPr="00856988">
        <w:t xml:space="preserve"> Committee’s agreement to </w:t>
      </w:r>
      <w:r w:rsidR="003A65CE">
        <w:t xml:space="preserve">the release of an officials’ issues paper </w:t>
      </w:r>
      <w:r w:rsidR="00662267" w:rsidRPr="00ED6B43">
        <w:rPr>
          <w:i/>
          <w:iCs/>
        </w:rPr>
        <w:t>GST apportionment and adjustment rules</w:t>
      </w:r>
      <w:r w:rsidR="003A65CE">
        <w:t>, which is attached.</w:t>
      </w:r>
      <w:r w:rsidR="00BA5F69">
        <w:t xml:space="preserve"> The </w:t>
      </w:r>
      <w:r w:rsidR="00797A28">
        <w:t xml:space="preserve">consultation document </w:t>
      </w:r>
      <w:r w:rsidR="00BA5F69">
        <w:t xml:space="preserve">discusses policy issues </w:t>
      </w:r>
      <w:r w:rsidR="00320D29">
        <w:t>with the</w:t>
      </w:r>
      <w:r w:rsidR="005C3207">
        <w:t xml:space="preserve"> existing goods and services </w:t>
      </w:r>
      <w:r w:rsidR="00534B1F">
        <w:t xml:space="preserve">tax </w:t>
      </w:r>
      <w:r w:rsidR="005C3207">
        <w:t>(GST)</w:t>
      </w:r>
      <w:r w:rsidR="00C42C18">
        <w:t xml:space="preserve"> </w:t>
      </w:r>
      <w:r w:rsidR="005C3207">
        <w:t xml:space="preserve">apportionment </w:t>
      </w:r>
      <w:r w:rsidR="00534B1F">
        <w:t xml:space="preserve">and adjustment </w:t>
      </w:r>
      <w:r w:rsidR="005C3207">
        <w:t xml:space="preserve">rules </w:t>
      </w:r>
      <w:r w:rsidR="00C42C18">
        <w:t>and suggests potential solutions.</w:t>
      </w:r>
    </w:p>
    <w:p w14:paraId="4DAE2153" w14:textId="7BDC0C74" w:rsidR="00125D95" w:rsidRDefault="00C42C18" w:rsidP="00DF7755">
      <w:pPr>
        <w:pStyle w:val="ListParagraph"/>
      </w:pPr>
      <w:r>
        <w:t xml:space="preserve">I seek Cabinet’s approval for the </w:t>
      </w:r>
      <w:r w:rsidR="00EA22ED">
        <w:t xml:space="preserve">officials’ </w:t>
      </w:r>
      <w:r w:rsidR="00B4543C">
        <w:t xml:space="preserve">issues </w:t>
      </w:r>
      <w:r>
        <w:t xml:space="preserve">paper to be finalised and publicly released for consultation. Subject to Cabinet’s approval, I plan to direct officials as to when the officials’ issues paper should be released for consultation. </w:t>
      </w:r>
    </w:p>
    <w:p w14:paraId="2C4153A8" w14:textId="77777777" w:rsidR="00F332C4" w:rsidRPr="003143EC" w:rsidRDefault="00F332C4" w:rsidP="00F56C1F">
      <w:pPr>
        <w:pStyle w:val="Heading2"/>
      </w:pPr>
      <w:bookmarkStart w:id="0" w:name="_Hlk35179302"/>
      <w:r w:rsidRPr="003143EC">
        <w:t>Relation to Government Priorities</w:t>
      </w:r>
    </w:p>
    <w:bookmarkEnd w:id="0"/>
    <w:p w14:paraId="746362B9" w14:textId="3D22D9C8" w:rsidR="006F5A1C" w:rsidRDefault="00F332C4" w:rsidP="00457755">
      <w:pPr>
        <w:pStyle w:val="ListParagraph"/>
      </w:pPr>
      <w:r w:rsidRPr="003143EC">
        <w:t xml:space="preserve">This proposal supports the Government’s </w:t>
      </w:r>
      <w:r w:rsidR="00BC699D" w:rsidRPr="003143EC">
        <w:t>Fiscal</w:t>
      </w:r>
      <w:r w:rsidRPr="003143EC">
        <w:t xml:space="preserve"> Strategy</w:t>
      </w:r>
      <w:r w:rsidR="00BC699D" w:rsidRPr="003143EC">
        <w:rPr>
          <w:rStyle w:val="FootnoteReference"/>
        </w:rPr>
        <w:footnoteReference w:id="2"/>
      </w:r>
      <w:r w:rsidRPr="003143EC">
        <w:t xml:space="preserve"> and </w:t>
      </w:r>
      <w:r w:rsidR="00905B99">
        <w:t xml:space="preserve">the following workstream </w:t>
      </w:r>
      <w:r w:rsidR="00F64BE7">
        <w:t>in</w:t>
      </w:r>
      <w:r w:rsidRPr="003143EC">
        <w:t xml:space="preserve"> the </w:t>
      </w:r>
      <w:r w:rsidR="00D95FF5" w:rsidRPr="003143EC">
        <w:t xml:space="preserve">Government’s </w:t>
      </w:r>
      <w:r w:rsidRPr="003143EC">
        <w:t>20</w:t>
      </w:r>
      <w:r w:rsidR="00074AE1">
        <w:t>21</w:t>
      </w:r>
      <w:r w:rsidRPr="003143EC">
        <w:rPr>
          <w:rFonts w:ascii="Times New Roman" w:hAnsi="Times New Roman" w:cs="Times New Roman"/>
        </w:rPr>
        <w:t>–</w:t>
      </w:r>
      <w:r w:rsidRPr="003143EC">
        <w:t>2</w:t>
      </w:r>
      <w:r w:rsidR="00074AE1">
        <w:t>2</w:t>
      </w:r>
      <w:r w:rsidRPr="003143EC">
        <w:t xml:space="preserve"> tax policy work programme:</w:t>
      </w:r>
      <w:r w:rsidR="003E772E">
        <w:t xml:space="preserve"> </w:t>
      </w:r>
      <w:r w:rsidR="0089102B">
        <w:t xml:space="preserve">Maintaining the tax system: </w:t>
      </w:r>
      <w:r w:rsidR="00466D53">
        <w:t>tax legislation needs to be regularly maintained and updated in response to changing technology</w:t>
      </w:r>
      <w:r w:rsidR="00D53960">
        <w:t xml:space="preserve"> and</w:t>
      </w:r>
      <w:r w:rsidR="00466D53">
        <w:t xml:space="preserve"> business practices</w:t>
      </w:r>
      <w:r w:rsidR="00D53960">
        <w:t xml:space="preserve">. </w:t>
      </w:r>
      <w:r w:rsidR="00734853">
        <w:t xml:space="preserve">It is important that the tax </w:t>
      </w:r>
      <w:r w:rsidR="002D289C">
        <w:t xml:space="preserve">legislation reflects </w:t>
      </w:r>
      <w:r w:rsidR="00FE00F4">
        <w:t xml:space="preserve">the principles of fairness and </w:t>
      </w:r>
      <w:r w:rsidR="006F5A1C">
        <w:t>certainty</w:t>
      </w:r>
      <w:r w:rsidR="006A147E">
        <w:t>.</w:t>
      </w:r>
      <w:r w:rsidR="006F5A1C">
        <w:t xml:space="preserve"> </w:t>
      </w:r>
    </w:p>
    <w:p w14:paraId="777ECA21" w14:textId="1EA9B684" w:rsidR="006F5A1C" w:rsidRDefault="006F5A1C" w:rsidP="00063B9D">
      <w:pPr>
        <w:pStyle w:val="ListParagraph"/>
      </w:pPr>
      <w:r>
        <w:t>The</w:t>
      </w:r>
      <w:r w:rsidR="003C112A">
        <w:t xml:space="preserve"> attached</w:t>
      </w:r>
      <w:r>
        <w:t xml:space="preserve"> </w:t>
      </w:r>
      <w:r w:rsidR="00744BF0">
        <w:t>officials’ issues paper</w:t>
      </w:r>
      <w:r w:rsidR="00D12A16">
        <w:t xml:space="preserve"> </w:t>
      </w:r>
      <w:r w:rsidR="007A6B8E">
        <w:t>support</w:t>
      </w:r>
      <w:r w:rsidR="003C112A">
        <w:t>s</w:t>
      </w:r>
      <w:r w:rsidR="00D12A16">
        <w:t xml:space="preserve"> this workstream </w:t>
      </w:r>
      <w:r w:rsidR="00174403">
        <w:t xml:space="preserve">as the proposed </w:t>
      </w:r>
      <w:r w:rsidR="002E42C8">
        <w:t>policy options</w:t>
      </w:r>
      <w:r w:rsidR="00174403">
        <w:t xml:space="preserve"> </w:t>
      </w:r>
      <w:r w:rsidR="003C112A">
        <w:t xml:space="preserve">it consults on </w:t>
      </w:r>
      <w:r w:rsidR="00174403">
        <w:t xml:space="preserve">seek to </w:t>
      </w:r>
      <w:r w:rsidR="002864F3">
        <w:t xml:space="preserve">update the existing GST rules </w:t>
      </w:r>
      <w:r w:rsidR="002056D1">
        <w:t>to</w:t>
      </w:r>
      <w:r w:rsidR="004B369E">
        <w:t xml:space="preserve"> improve fairness,</w:t>
      </w:r>
      <w:r w:rsidR="002056D1">
        <w:t xml:space="preserve"> </w:t>
      </w:r>
      <w:r w:rsidR="00255A5D">
        <w:t xml:space="preserve">reduce compliance costs and </w:t>
      </w:r>
      <w:r w:rsidR="002056D1">
        <w:t>better reflect</w:t>
      </w:r>
      <w:r w:rsidR="00255A5D">
        <w:t xml:space="preserve"> commercial practices.  </w:t>
      </w:r>
    </w:p>
    <w:p w14:paraId="58A041BD" w14:textId="77777777" w:rsidR="00125D95" w:rsidRPr="00C65945" w:rsidRDefault="00C65945" w:rsidP="00F56C1F">
      <w:pPr>
        <w:pStyle w:val="Heading2"/>
      </w:pPr>
      <w:r>
        <w:t>Executive Summary</w:t>
      </w:r>
    </w:p>
    <w:p w14:paraId="6B74CAA4" w14:textId="137736BF" w:rsidR="00FC152A" w:rsidRDefault="00FC152A" w:rsidP="00FC152A">
      <w:pPr>
        <w:pStyle w:val="ListParagraph"/>
      </w:pPr>
      <w:r>
        <w:t>Goods and Services Tax is a consumption tax on most goods and services which are supplied by registered persons (such as businesses), at a single rate of 15%</w:t>
      </w:r>
      <w:r w:rsidR="00150B90">
        <w:t>, under the Goods and Services Act 198</w:t>
      </w:r>
      <w:r w:rsidR="0091053E">
        <w:t>5</w:t>
      </w:r>
      <w:r w:rsidR="00150B90">
        <w:t xml:space="preserve"> (“GST Act”)</w:t>
      </w:r>
      <w:r>
        <w:t xml:space="preserve">. A GST registered taxpayer can claim GST input tax deductions on purchases of assets (such as buildings and vehicles) that they intend to use in their business. </w:t>
      </w:r>
    </w:p>
    <w:p w14:paraId="7A8EDD93" w14:textId="7085328C" w:rsidR="00FC152A" w:rsidRPr="00C02704" w:rsidRDefault="00FC152A" w:rsidP="00FC152A">
      <w:pPr>
        <w:pStyle w:val="ListParagraph"/>
      </w:pPr>
      <w:r>
        <w:t xml:space="preserve">Where the asset is used both for business use and for private use (or making exempt supplies), then the taxpayer can only deduct a percentage of the total deduction, based on their estimate of the percentage of business use. This is known as </w:t>
      </w:r>
      <w:r w:rsidRPr="00C02704">
        <w:t xml:space="preserve">apportionment. </w:t>
      </w:r>
    </w:p>
    <w:p w14:paraId="2296DA73" w14:textId="55D75519" w:rsidR="000024C1" w:rsidRDefault="00FC152A" w:rsidP="00FC152A">
      <w:pPr>
        <w:pStyle w:val="ListParagraph"/>
      </w:pPr>
      <w:r w:rsidRPr="00C02704">
        <w:t xml:space="preserve">Once the taxpayer has apportioned their </w:t>
      </w:r>
      <w:r>
        <w:t>input tax</w:t>
      </w:r>
      <w:r w:rsidRPr="00C02704">
        <w:t xml:space="preserve"> deduction based on their estimated business use, they are required to monitor their actual use of the asset</w:t>
      </w:r>
      <w:r>
        <w:t xml:space="preserve"> over time</w:t>
      </w:r>
      <w:r w:rsidRPr="00C02704">
        <w:t xml:space="preserve">, and </w:t>
      </w:r>
      <w:r w:rsidRPr="00C02704">
        <w:lastRenderedPageBreak/>
        <w:t xml:space="preserve">if </w:t>
      </w:r>
      <w:r>
        <w:t>their estimate is inaccurate</w:t>
      </w:r>
      <w:r w:rsidRPr="00C02704">
        <w:t>, then the taxpayer must account for this difference in their GST return</w:t>
      </w:r>
      <w:r>
        <w:t>, annually</w:t>
      </w:r>
      <w:r w:rsidRPr="00C02704">
        <w:t xml:space="preserve">. This is known as </w:t>
      </w:r>
      <w:r>
        <w:t xml:space="preserve">an </w:t>
      </w:r>
      <w:r w:rsidRPr="00C02704">
        <w:t>adjustment</w:t>
      </w:r>
      <w:r>
        <w:t xml:space="preserve"> or change in use</w:t>
      </w:r>
      <w:r w:rsidRPr="00C02704">
        <w:t>.</w:t>
      </w:r>
    </w:p>
    <w:p w14:paraId="3492DD2E" w14:textId="20082229" w:rsidR="00432D9E" w:rsidRDefault="00432D9E" w:rsidP="00432D9E">
      <w:pPr>
        <w:pStyle w:val="ListParagraph"/>
      </w:pPr>
      <w:r w:rsidRPr="00074BC3">
        <w:t xml:space="preserve">The current GST apportionment and adjustment rules are complex and have high compliance costs. Submissions on the February 2020 </w:t>
      </w:r>
      <w:r w:rsidRPr="00074BC3">
        <w:rPr>
          <w:i/>
        </w:rPr>
        <w:t>GST policy issues paper</w:t>
      </w:r>
      <w:r w:rsidRPr="00074BC3">
        <w:t xml:space="preserve"> </w:t>
      </w:r>
      <w:r w:rsidRPr="00797E7A">
        <w:t>suggested the current apportionment rules should be replaced with simpler rules.</w:t>
      </w:r>
      <w:r w:rsidR="00FE4200" w:rsidRPr="00797E7A">
        <w:t xml:space="preserve"> Additionally, the recent stewardship review </w:t>
      </w:r>
      <w:r w:rsidR="00F47CE0" w:rsidRPr="00797E7A">
        <w:t xml:space="preserve">of the GST system </w:t>
      </w:r>
      <w:r w:rsidR="004B583C" w:rsidRPr="00797E7A">
        <w:t xml:space="preserve">identified the apportionment and adjustment rules as the number one issue that needed </w:t>
      </w:r>
      <w:r w:rsidR="005F2D29" w:rsidRPr="00797E7A">
        <w:t>revision</w:t>
      </w:r>
      <w:r w:rsidR="004B583C" w:rsidRPr="00797E7A">
        <w:t>.</w:t>
      </w:r>
      <w:r w:rsidR="004B583C">
        <w:t xml:space="preserve"> </w:t>
      </w:r>
    </w:p>
    <w:p w14:paraId="7392D747" w14:textId="4892EBEA" w:rsidR="00962DF4" w:rsidRDefault="00962DF4" w:rsidP="00DF7755">
      <w:pPr>
        <w:pStyle w:val="ListParagraph"/>
      </w:pPr>
      <w:r>
        <w:t xml:space="preserve">In recent months, my officials have met with key stakeholders such as private sector GST advisors to </w:t>
      </w:r>
      <w:r w:rsidR="00D847D2">
        <w:t xml:space="preserve">discuss what practical </w:t>
      </w:r>
      <w:r w:rsidR="0099368E">
        <w:t xml:space="preserve">reform </w:t>
      </w:r>
      <w:r w:rsidR="00D847D2">
        <w:t xml:space="preserve">options are available, for inclusion into an officials’ issues paper. </w:t>
      </w:r>
    </w:p>
    <w:p w14:paraId="147BC996" w14:textId="7D099609" w:rsidR="00D847D2" w:rsidRDefault="00001519" w:rsidP="00EA287E">
      <w:pPr>
        <w:pStyle w:val="ListParagraph"/>
      </w:pPr>
      <w:r>
        <w:t>Th</w:t>
      </w:r>
      <w:r w:rsidR="004B369E">
        <w:t>e attached</w:t>
      </w:r>
      <w:r>
        <w:t xml:space="preserve"> officials’ issues paper consult</w:t>
      </w:r>
      <w:r w:rsidR="00B836E5">
        <w:t>s</w:t>
      </w:r>
      <w:r>
        <w:t xml:space="preserve"> on </w:t>
      </w:r>
      <w:r w:rsidR="00BB2C1F">
        <w:t>options for simplifying the rules</w:t>
      </w:r>
      <w:r w:rsidR="009E2D18">
        <w:t xml:space="preserve">. </w:t>
      </w:r>
      <w:r w:rsidR="00BF19B3">
        <w:t>To address some of the gaps and weaknesses</w:t>
      </w:r>
      <w:r w:rsidR="00BC5593">
        <w:t xml:space="preserve"> of each option</w:t>
      </w:r>
      <w:r w:rsidR="00BF19B3">
        <w:t xml:space="preserve">, it is likely that a combination of potential solutions will </w:t>
      </w:r>
      <w:r w:rsidR="0070204B">
        <w:t>be required</w:t>
      </w:r>
      <w:r w:rsidR="00881311">
        <w:t>,</w:t>
      </w:r>
      <w:r w:rsidR="00A124E8">
        <w:t xml:space="preserve"> as a </w:t>
      </w:r>
      <w:r w:rsidR="009A48B3">
        <w:t xml:space="preserve">reform </w:t>
      </w:r>
      <w:r w:rsidR="00A124E8">
        <w:t xml:space="preserve">package. </w:t>
      </w:r>
      <w:r w:rsidR="00302AD7">
        <w:t>The</w:t>
      </w:r>
      <w:r w:rsidR="007C3678">
        <w:t xml:space="preserve"> policy options in the officials’ issues paper </w:t>
      </w:r>
      <w:r w:rsidR="00665A3C">
        <w:t>include:</w:t>
      </w:r>
    </w:p>
    <w:p w14:paraId="6BF137E9" w14:textId="77777777" w:rsidR="00302AD7" w:rsidRDefault="00302AD7" w:rsidP="00302AD7">
      <w:pPr>
        <w:pStyle w:val="ListParagraph"/>
        <w:numPr>
          <w:ilvl w:val="1"/>
          <w:numId w:val="1"/>
        </w:numPr>
      </w:pPr>
      <w:r w:rsidRPr="0044053A">
        <w:t>Allowing GST registered businesses to elect that their capital assets not be subject to GST on sale, by not claiming input tax deductions when the asset is purchased</w:t>
      </w:r>
      <w:r>
        <w:t xml:space="preserve"> (</w:t>
      </w:r>
      <w:r w:rsidRPr="002B561C">
        <w:rPr>
          <w:b/>
          <w:bCs/>
        </w:rPr>
        <w:t>the election method</w:t>
      </w:r>
      <w:r>
        <w:t>)</w:t>
      </w:r>
      <w:r w:rsidRPr="0044053A">
        <w:t xml:space="preserve">. </w:t>
      </w:r>
    </w:p>
    <w:p w14:paraId="1FFADD3B" w14:textId="13D21270" w:rsidR="00302AD7" w:rsidRDefault="00302AD7" w:rsidP="00302AD7">
      <w:pPr>
        <w:pStyle w:val="ListParagraph"/>
        <w:numPr>
          <w:ilvl w:val="1"/>
          <w:numId w:val="1"/>
        </w:numPr>
      </w:pPr>
      <w:r>
        <w:t xml:space="preserve">Introducing a simple </w:t>
      </w:r>
      <w:r w:rsidRPr="00526295">
        <w:rPr>
          <w:b/>
          <w:bCs/>
        </w:rPr>
        <w:t>principal purpose test</w:t>
      </w:r>
      <w:r>
        <w:t xml:space="preserve"> for assets purchased for less than $5,000 (GST exclusive), where </w:t>
      </w:r>
      <w:r w:rsidR="0047225C">
        <w:t xml:space="preserve">for </w:t>
      </w:r>
      <w:r w:rsidR="004063BD">
        <w:t>ass</w:t>
      </w:r>
      <w:r w:rsidR="00C30E69">
        <w:t>e</w:t>
      </w:r>
      <w:r w:rsidR="004063BD">
        <w:t>ts which are</w:t>
      </w:r>
      <w:r>
        <w:t xml:space="preserve"> principally acquired for business purposes the business would claim a full GST input tax deduction (rather than </w:t>
      </w:r>
      <w:r w:rsidR="004063BD">
        <w:t>applying</w:t>
      </w:r>
      <w:r>
        <w:t xml:space="preserve"> the apportionment rules).</w:t>
      </w:r>
    </w:p>
    <w:p w14:paraId="0091F5FB" w14:textId="52FAF0A6" w:rsidR="002D5ED0" w:rsidRDefault="002D5ED0" w:rsidP="002D5ED0">
      <w:pPr>
        <w:pStyle w:val="ListParagraph"/>
        <w:numPr>
          <w:ilvl w:val="1"/>
          <w:numId w:val="1"/>
        </w:numPr>
      </w:pPr>
      <w:r>
        <w:t xml:space="preserve">A </w:t>
      </w:r>
      <w:r w:rsidRPr="00A73623">
        <w:rPr>
          <w:b/>
          <w:bCs/>
        </w:rPr>
        <w:t>20% margin rule</w:t>
      </w:r>
      <w:r>
        <w:t>, whereby GST registered businesses would no longer be required to make annual adjustments unless their business use of the asset has significantly changed (by more than 2</w:t>
      </w:r>
      <w:r w:rsidR="00711AE0">
        <w:t>0 percent</w:t>
      </w:r>
      <w:r>
        <w:t>).</w:t>
      </w:r>
    </w:p>
    <w:p w14:paraId="7605F660" w14:textId="68F9CB27" w:rsidR="00302AD7" w:rsidRDefault="00302AD7" w:rsidP="00302AD7">
      <w:pPr>
        <w:pStyle w:val="ListParagraph"/>
        <w:numPr>
          <w:ilvl w:val="1"/>
          <w:numId w:val="1"/>
        </w:numPr>
      </w:pPr>
      <w:r>
        <w:t xml:space="preserve">Introducing </w:t>
      </w:r>
      <w:r w:rsidRPr="009872A0">
        <w:rPr>
          <w:b/>
          <w:bCs/>
        </w:rPr>
        <w:t>rounding-based rules</w:t>
      </w:r>
      <w:r>
        <w:t xml:space="preserve"> for assets purchased for $5,000 </w:t>
      </w:r>
      <w:r w:rsidR="00336150">
        <w:t xml:space="preserve">or more </w:t>
      </w:r>
      <w:r>
        <w:t>(GST exclusive)</w:t>
      </w:r>
      <w:r w:rsidR="00641802">
        <w:t>,</w:t>
      </w:r>
      <w:r>
        <w:t xml:space="preserve"> that seek to remove most assets from the apportionment and adjustment rules:</w:t>
      </w:r>
    </w:p>
    <w:p w14:paraId="5DC9A7D3" w14:textId="77777777" w:rsidR="00302AD7" w:rsidRDefault="00302AD7" w:rsidP="00302AD7">
      <w:pPr>
        <w:pStyle w:val="ListParagraph"/>
        <w:numPr>
          <w:ilvl w:val="2"/>
          <w:numId w:val="1"/>
        </w:numPr>
      </w:pPr>
      <w:r>
        <w:t>Assets with 80% or more of business use would be deemed to have 100% business use, allowing the taxpayer to claim full input tax deductions while having a small amount of private or exempt use.</w:t>
      </w:r>
    </w:p>
    <w:p w14:paraId="1C3839AC" w14:textId="38FF1C0F" w:rsidR="00302AD7" w:rsidRDefault="00302AD7" w:rsidP="00302AD7">
      <w:pPr>
        <w:pStyle w:val="ListParagraph"/>
        <w:numPr>
          <w:ilvl w:val="2"/>
          <w:numId w:val="1"/>
        </w:numPr>
      </w:pPr>
      <w:r>
        <w:t xml:space="preserve"> Likewise, assets with 20% or less of business use would be deemed to have 0% business use and consequently the asset is treated like a private asset. </w:t>
      </w:r>
    </w:p>
    <w:p w14:paraId="20C0BB71" w14:textId="0F6E9648" w:rsidR="001203CB" w:rsidRPr="001C2B94" w:rsidRDefault="008C2349" w:rsidP="001203CB">
      <w:pPr>
        <w:pStyle w:val="ListParagraph"/>
        <w:numPr>
          <w:ilvl w:val="1"/>
          <w:numId w:val="1"/>
        </w:numPr>
      </w:pPr>
      <w:r>
        <w:t xml:space="preserve">Several </w:t>
      </w:r>
      <w:r w:rsidR="00DA7547">
        <w:t>potential</w:t>
      </w:r>
      <w:r w:rsidR="00C75B8D">
        <w:t>, technical</w:t>
      </w:r>
      <w:r w:rsidR="00DA7547">
        <w:t xml:space="preserve"> changes </w:t>
      </w:r>
      <w:r w:rsidR="001203CB" w:rsidRPr="00086AD9">
        <w:t xml:space="preserve">to the </w:t>
      </w:r>
      <w:r w:rsidR="001203CB" w:rsidRPr="00086AD9">
        <w:rPr>
          <w:b/>
          <w:bCs/>
        </w:rPr>
        <w:t>definition</w:t>
      </w:r>
      <w:r w:rsidR="00C2213A" w:rsidRPr="00086AD9">
        <w:rPr>
          <w:b/>
          <w:bCs/>
        </w:rPr>
        <w:t>s</w:t>
      </w:r>
      <w:r w:rsidR="001203CB" w:rsidRPr="00086AD9">
        <w:rPr>
          <w:b/>
          <w:bCs/>
        </w:rPr>
        <w:t xml:space="preserve"> of residential and commercial accommodation services</w:t>
      </w:r>
      <w:r w:rsidR="001203CB">
        <w:t xml:space="preserve">, </w:t>
      </w:r>
      <w:r w:rsidR="00C2213A">
        <w:t xml:space="preserve">which are more certain and easier to apply </w:t>
      </w:r>
      <w:r w:rsidR="005B4E68">
        <w:t xml:space="preserve">to various commercial situations, </w:t>
      </w:r>
      <w:r w:rsidR="00C2213A">
        <w:t>than the existing definitions</w:t>
      </w:r>
      <w:r w:rsidR="00086AD9">
        <w:t xml:space="preserve">. </w:t>
      </w:r>
    </w:p>
    <w:p w14:paraId="6288E070" w14:textId="51C635A6" w:rsidR="001C2B94" w:rsidRDefault="00F8768A" w:rsidP="001C2B94">
      <w:pPr>
        <w:pStyle w:val="ListParagraph"/>
        <w:numPr>
          <w:ilvl w:val="1"/>
          <w:numId w:val="1"/>
        </w:numPr>
      </w:pPr>
      <w:r>
        <w:rPr>
          <w:b/>
        </w:rPr>
        <w:t>Discussing if s</w:t>
      </w:r>
      <w:r w:rsidR="001C2B94" w:rsidRPr="00D71B1A">
        <w:rPr>
          <w:b/>
        </w:rPr>
        <w:t xml:space="preserve">pecial </w:t>
      </w:r>
      <w:r>
        <w:rPr>
          <w:b/>
        </w:rPr>
        <w:t xml:space="preserve">GST </w:t>
      </w:r>
      <w:r w:rsidR="001C2B94" w:rsidRPr="00D71B1A">
        <w:rPr>
          <w:b/>
        </w:rPr>
        <w:t xml:space="preserve">rules </w:t>
      </w:r>
      <w:r>
        <w:rPr>
          <w:b/>
        </w:rPr>
        <w:t xml:space="preserve">should apply to </w:t>
      </w:r>
      <w:r w:rsidR="001C2B94" w:rsidRPr="00D71B1A">
        <w:rPr>
          <w:b/>
        </w:rPr>
        <w:t>the sale of houses</w:t>
      </w:r>
      <w:r w:rsidR="001C2B94" w:rsidRPr="001C2B94">
        <w:t xml:space="preserve"> (and other types of dwellings),</w:t>
      </w:r>
      <w:r w:rsidR="003F0431">
        <w:t xml:space="preserve"> whereby these could be</w:t>
      </w:r>
      <w:r w:rsidR="001C2B94" w:rsidRPr="001C2B94">
        <w:t xml:space="preserve"> </w:t>
      </w:r>
      <w:r w:rsidR="003F0431">
        <w:t xml:space="preserve">treated as fully private assets and GST exempt on sale, </w:t>
      </w:r>
      <w:r w:rsidR="003F0431" w:rsidRPr="00DF4C1F">
        <w:t>unless the house has been built or developed by a property developer for sale.</w:t>
      </w:r>
    </w:p>
    <w:p w14:paraId="38171915" w14:textId="3BF674D1" w:rsidR="00302AD7" w:rsidRDefault="00302AD7" w:rsidP="00302AD7">
      <w:pPr>
        <w:pStyle w:val="ListParagraph"/>
        <w:numPr>
          <w:ilvl w:val="1"/>
          <w:numId w:val="1"/>
        </w:numPr>
      </w:pPr>
      <w:r>
        <w:t xml:space="preserve">Several </w:t>
      </w:r>
      <w:r w:rsidRPr="00D92786">
        <w:t xml:space="preserve">proposals </w:t>
      </w:r>
      <w:r>
        <w:t xml:space="preserve">aimed at simplifying the </w:t>
      </w:r>
      <w:r w:rsidRPr="002B1844">
        <w:rPr>
          <w:b/>
          <w:bCs/>
        </w:rPr>
        <w:t>rules for</w:t>
      </w:r>
      <w:r>
        <w:t xml:space="preserve"> </w:t>
      </w:r>
      <w:r w:rsidRPr="002B1844">
        <w:rPr>
          <w:b/>
          <w:bCs/>
        </w:rPr>
        <w:t>residential property developers</w:t>
      </w:r>
      <w:r>
        <w:t xml:space="preserve">, whilst also </w:t>
      </w:r>
      <w:r w:rsidRPr="00D92786">
        <w:t>encourag</w:t>
      </w:r>
      <w:r>
        <w:t>ing</w:t>
      </w:r>
      <w:r w:rsidRPr="00D92786">
        <w:t xml:space="preserve"> land to be developed and sold </w:t>
      </w:r>
      <w:r w:rsidR="006E56A7">
        <w:t xml:space="preserve">sooner (generally </w:t>
      </w:r>
      <w:r>
        <w:t>within 36 months</w:t>
      </w:r>
      <w:r w:rsidR="006E56A7">
        <w:t>)</w:t>
      </w:r>
      <w:r w:rsidRPr="00D92786">
        <w:t xml:space="preserve">.  </w:t>
      </w:r>
    </w:p>
    <w:p w14:paraId="09EBF979" w14:textId="73CDC2F0" w:rsidR="00C86D80" w:rsidRDefault="00C86D80" w:rsidP="00C86D80">
      <w:pPr>
        <w:pStyle w:val="ListParagraph"/>
        <w:numPr>
          <w:ilvl w:val="1"/>
          <w:numId w:val="1"/>
        </w:numPr>
      </w:pPr>
      <w:r>
        <w:t xml:space="preserve">As well, the paper also contains </w:t>
      </w:r>
      <w:r w:rsidRPr="0030740E">
        <w:rPr>
          <w:b/>
          <w:bCs/>
        </w:rPr>
        <w:t xml:space="preserve">several </w:t>
      </w:r>
      <w:r w:rsidR="0030740E" w:rsidRPr="0030740E">
        <w:rPr>
          <w:b/>
          <w:bCs/>
        </w:rPr>
        <w:t>minor</w:t>
      </w:r>
      <w:r w:rsidRPr="0030740E">
        <w:rPr>
          <w:b/>
          <w:bCs/>
        </w:rPr>
        <w:t xml:space="preserve"> changes to the apportionment </w:t>
      </w:r>
      <w:r w:rsidR="00840751">
        <w:rPr>
          <w:b/>
          <w:bCs/>
        </w:rPr>
        <w:t xml:space="preserve">and adjustment </w:t>
      </w:r>
      <w:r w:rsidRPr="0030740E">
        <w:rPr>
          <w:b/>
          <w:bCs/>
        </w:rPr>
        <w:t>rules</w:t>
      </w:r>
      <w:r>
        <w:t xml:space="preserve"> that seek to reduce compliance costs for GST</w:t>
      </w:r>
      <w:r w:rsidR="003D4377">
        <w:t xml:space="preserve"> </w:t>
      </w:r>
      <w:r>
        <w:t xml:space="preserve">registered businesses. </w:t>
      </w:r>
    </w:p>
    <w:p w14:paraId="2393A606" w14:textId="6419C07C" w:rsidR="00A1134F" w:rsidRDefault="00D21B00" w:rsidP="00A1134F">
      <w:pPr>
        <w:pStyle w:val="ListParagraph"/>
      </w:pPr>
      <w:r>
        <w:t xml:space="preserve">The estimated overall fiscal impact of the potential </w:t>
      </w:r>
      <w:r w:rsidR="006733C8">
        <w:t xml:space="preserve">solutions </w:t>
      </w:r>
      <w:r w:rsidR="005E2E0A">
        <w:t>is uncertain</w:t>
      </w:r>
      <w:r w:rsidR="005A0DAD">
        <w:t xml:space="preserve"> as it depends on which options are progressed and how they compare to current taxpayer practices. </w:t>
      </w:r>
      <w:r>
        <w:t xml:space="preserve"> </w:t>
      </w:r>
    </w:p>
    <w:p w14:paraId="48CF0FAF" w14:textId="37BC7224" w:rsidR="00791A75" w:rsidRDefault="00C16B0E" w:rsidP="00BC1098">
      <w:pPr>
        <w:pStyle w:val="ListParagraph"/>
      </w:pPr>
      <w:r>
        <w:t xml:space="preserve">Subject to </w:t>
      </w:r>
      <w:r w:rsidR="00DC6901">
        <w:t>C</w:t>
      </w:r>
      <w:r>
        <w:t xml:space="preserve">abinet’s approval, </w:t>
      </w:r>
      <w:r w:rsidR="0019361F">
        <w:t>officials</w:t>
      </w:r>
      <w:r>
        <w:t xml:space="preserve"> will release the issues paper to seek feedback on these</w:t>
      </w:r>
      <w:r w:rsidR="000134DD">
        <w:t xml:space="preserve"> potential solutions. </w:t>
      </w:r>
      <w:r w:rsidR="00454F69">
        <w:t>Following public consultation, I will report back to Cabinet with recommended policy decisions</w:t>
      </w:r>
      <w:r w:rsidR="00283CB9">
        <w:t xml:space="preserve"> and their </w:t>
      </w:r>
      <w:r w:rsidR="00041A45">
        <w:t xml:space="preserve">estimated </w:t>
      </w:r>
      <w:r w:rsidR="00283CB9">
        <w:t>fiscal implications. These decisions could</w:t>
      </w:r>
      <w:r w:rsidR="00454F69">
        <w:t xml:space="preserve"> </w:t>
      </w:r>
      <w:r w:rsidR="006D7137">
        <w:t xml:space="preserve">apply from the </w:t>
      </w:r>
      <w:r w:rsidR="0099553C" w:rsidRPr="006D7137">
        <w:t>2022/23 fiscal year onwards</w:t>
      </w:r>
      <w:r w:rsidR="0099553C">
        <w:t>.</w:t>
      </w:r>
      <w:r w:rsidR="008F15A9">
        <w:t xml:space="preserve"> </w:t>
      </w:r>
    </w:p>
    <w:p w14:paraId="6C74FDAD" w14:textId="77777777" w:rsidR="00125D95" w:rsidRPr="00C65945" w:rsidRDefault="00C65945" w:rsidP="00F56C1F">
      <w:pPr>
        <w:pStyle w:val="Heading2"/>
      </w:pPr>
      <w:r>
        <w:t>Background</w:t>
      </w:r>
    </w:p>
    <w:p w14:paraId="2754A11B" w14:textId="13D3BBB6" w:rsidR="002A0084" w:rsidRDefault="00D14CC4" w:rsidP="00C34852">
      <w:pPr>
        <w:pStyle w:val="ListParagraph"/>
      </w:pPr>
      <w:r>
        <w:t xml:space="preserve">Goods and Services Tax is a </w:t>
      </w:r>
      <w:r w:rsidR="006014E4">
        <w:t xml:space="preserve">15% </w:t>
      </w:r>
      <w:r>
        <w:t xml:space="preserve">consumption tax on </w:t>
      </w:r>
      <w:r w:rsidR="00E17A82">
        <w:t xml:space="preserve">most </w:t>
      </w:r>
      <w:r>
        <w:t xml:space="preserve">goods and services </w:t>
      </w:r>
      <w:r w:rsidR="00E17A82">
        <w:t>supplied to New Zealand consumers</w:t>
      </w:r>
      <w:r w:rsidR="00D579C5">
        <w:t xml:space="preserve"> </w:t>
      </w:r>
      <w:r w:rsidR="00DA7E1E">
        <w:t>by registered persons (such as businesses).</w:t>
      </w:r>
      <w:r w:rsidR="007A281C">
        <w:t xml:space="preserve"> To </w:t>
      </w:r>
      <w:r w:rsidR="002F04C6">
        <w:t>ensure</w:t>
      </w:r>
      <w:r w:rsidR="007A281C">
        <w:t xml:space="preserve"> GST</w:t>
      </w:r>
      <w:r w:rsidR="008F4B31">
        <w:t xml:space="preserve"> </w:t>
      </w:r>
      <w:r w:rsidR="002F04C6">
        <w:t xml:space="preserve">is not a cost on business production, </w:t>
      </w:r>
      <w:r w:rsidR="00B2764E">
        <w:t xml:space="preserve">businesses </w:t>
      </w:r>
      <w:r w:rsidR="002223F7">
        <w:t xml:space="preserve">can </w:t>
      </w:r>
      <w:r w:rsidR="006D7137">
        <w:t xml:space="preserve">claim </w:t>
      </w:r>
      <w:r w:rsidR="007A281C">
        <w:t xml:space="preserve">back </w:t>
      </w:r>
      <w:r w:rsidR="004137E9">
        <w:t xml:space="preserve">GST input tax deductions </w:t>
      </w:r>
      <w:r w:rsidR="002223F7">
        <w:t>on purchases</w:t>
      </w:r>
      <w:r w:rsidR="00B2764E">
        <w:t xml:space="preserve"> of goods and services they use</w:t>
      </w:r>
      <w:r w:rsidR="002223F7">
        <w:t xml:space="preserve"> in their business. </w:t>
      </w:r>
    </w:p>
    <w:p w14:paraId="7CF9410D" w14:textId="14DF6B2B" w:rsidR="00046D91" w:rsidRDefault="0064556D" w:rsidP="00BC1098">
      <w:pPr>
        <w:pStyle w:val="ListParagraph"/>
      </w:pPr>
      <w:r>
        <w:t>However, where the asset is used both for business use (known as taxable use)</w:t>
      </w:r>
      <w:r w:rsidR="00F06F18">
        <w:t>, such as a van</w:t>
      </w:r>
      <w:r w:rsidR="004D22A0">
        <w:t xml:space="preserve"> delivering packages during the week</w:t>
      </w:r>
      <w:r w:rsidR="00F06F18">
        <w:t>,</w:t>
      </w:r>
      <w:r>
        <w:t xml:space="preserve"> and for private </w:t>
      </w:r>
      <w:r w:rsidR="005E23E8">
        <w:t>use</w:t>
      </w:r>
      <w:r w:rsidR="004D22A0">
        <w:t xml:space="preserve">, </w:t>
      </w:r>
      <w:r w:rsidR="00C560AB">
        <w:t xml:space="preserve">such as </w:t>
      </w:r>
      <w:r w:rsidR="004D22A0">
        <w:t xml:space="preserve">recreational use </w:t>
      </w:r>
      <w:r w:rsidR="00902DFB">
        <w:t xml:space="preserve">of the van </w:t>
      </w:r>
      <w:r w:rsidR="004D22A0">
        <w:t>in the wee</w:t>
      </w:r>
      <w:r w:rsidR="00902DFB">
        <w:t>kend</w:t>
      </w:r>
      <w:r w:rsidR="004D22A0">
        <w:t xml:space="preserve"> </w:t>
      </w:r>
      <w:r w:rsidR="005E23E8">
        <w:t>(</w:t>
      </w:r>
      <w:r w:rsidR="008028BD">
        <w:t xml:space="preserve">or </w:t>
      </w:r>
      <w:r w:rsidR="005E23E8">
        <w:t xml:space="preserve">making </w:t>
      </w:r>
      <w:r w:rsidR="008028BD">
        <w:t xml:space="preserve">exempt </w:t>
      </w:r>
      <w:r w:rsidR="005E23E8">
        <w:t>supplies)</w:t>
      </w:r>
      <w:r w:rsidR="008028BD">
        <w:t xml:space="preserve">, then the taxpayer </w:t>
      </w:r>
      <w:r w:rsidR="00F66EC2">
        <w:t xml:space="preserve">must apportion </w:t>
      </w:r>
      <w:r w:rsidR="005F2A8A">
        <w:t xml:space="preserve">(by way of a percentage) the total deduction, based on their estimate of the percentage of taxable use. </w:t>
      </w:r>
      <w:r w:rsidR="00046D91" w:rsidRPr="00383E65">
        <w:t xml:space="preserve">This is to ensure </w:t>
      </w:r>
      <w:r w:rsidR="00046D91">
        <w:t xml:space="preserve">GST is collected on </w:t>
      </w:r>
      <w:r w:rsidR="00046D91" w:rsidRPr="00383E65">
        <w:t xml:space="preserve">the </w:t>
      </w:r>
      <w:r w:rsidR="00046D91">
        <w:t xml:space="preserve">portion of the </w:t>
      </w:r>
      <w:r w:rsidR="00C7108A">
        <w:t xml:space="preserve">asset’s </w:t>
      </w:r>
      <w:r w:rsidR="00383BBB">
        <w:t xml:space="preserve">private </w:t>
      </w:r>
      <w:r w:rsidR="009F64D0">
        <w:t>use</w:t>
      </w:r>
      <w:r w:rsidR="00046D91">
        <w:t xml:space="preserve">, </w:t>
      </w:r>
      <w:r w:rsidR="00046D91" w:rsidRPr="00383E65">
        <w:t xml:space="preserve">as </w:t>
      </w:r>
      <w:r w:rsidR="00046D91">
        <w:t xml:space="preserve">would be the </w:t>
      </w:r>
      <w:r w:rsidR="000D21B0">
        <w:t>outcome</w:t>
      </w:r>
      <w:r w:rsidR="00046D91">
        <w:t xml:space="preserve"> </w:t>
      </w:r>
      <w:r w:rsidR="00046D91" w:rsidRPr="00383E65">
        <w:t xml:space="preserve">if it was bought outright for </w:t>
      </w:r>
      <w:r w:rsidR="00B21214">
        <w:t xml:space="preserve">non-business </w:t>
      </w:r>
      <w:r w:rsidR="00046D91" w:rsidRPr="00383E65">
        <w:t>use.</w:t>
      </w:r>
    </w:p>
    <w:p w14:paraId="5E13F78B" w14:textId="6DBCBBF4" w:rsidR="0061442C" w:rsidRDefault="004B47E1" w:rsidP="00BC1098">
      <w:pPr>
        <w:pStyle w:val="ListParagraph"/>
      </w:pPr>
      <w:r w:rsidRPr="00C02704">
        <w:t xml:space="preserve">Once the taxpayer has apportioned their </w:t>
      </w:r>
      <w:r w:rsidR="00764C59">
        <w:t>input tax</w:t>
      </w:r>
      <w:r w:rsidRPr="00C02704">
        <w:t xml:space="preserve"> deduction based on their estimated business use</w:t>
      </w:r>
      <w:r w:rsidR="003D3827">
        <w:t xml:space="preserve"> of the asset</w:t>
      </w:r>
      <w:r w:rsidRPr="00C02704">
        <w:t>, they are required to monitor</w:t>
      </w:r>
      <w:r w:rsidR="006D1A76" w:rsidRPr="00C02704">
        <w:t xml:space="preserve"> their </w:t>
      </w:r>
      <w:r w:rsidR="00560642" w:rsidRPr="00C02704">
        <w:t xml:space="preserve">actual </w:t>
      </w:r>
      <w:r w:rsidR="006D1A76" w:rsidRPr="00C02704">
        <w:t>use</w:t>
      </w:r>
      <w:r w:rsidR="00560642" w:rsidRPr="00C02704">
        <w:t xml:space="preserve"> </w:t>
      </w:r>
      <w:r w:rsidR="00764C59">
        <w:t>over time</w:t>
      </w:r>
      <w:r w:rsidR="004819C1">
        <w:t>. I</w:t>
      </w:r>
      <w:r w:rsidR="006D1A76" w:rsidRPr="00C02704">
        <w:t>f the</w:t>
      </w:r>
      <w:r w:rsidR="0053389C">
        <w:t xml:space="preserve">re is a difference in the </w:t>
      </w:r>
      <w:r w:rsidR="006D1A76" w:rsidRPr="00C02704">
        <w:t xml:space="preserve">actual use, then </w:t>
      </w:r>
      <w:r w:rsidR="0053389C">
        <w:t xml:space="preserve">an adjustment </w:t>
      </w:r>
      <w:r w:rsidR="001908C0">
        <w:t>to the original apportionment per</w:t>
      </w:r>
      <w:r w:rsidR="004819C1">
        <w:t xml:space="preserve">centage </w:t>
      </w:r>
      <w:r w:rsidR="0053389C">
        <w:t xml:space="preserve">is required </w:t>
      </w:r>
      <w:r w:rsidR="004819C1">
        <w:t xml:space="preserve">and the </w:t>
      </w:r>
      <w:r w:rsidR="00AD1C7B">
        <w:t>change</w:t>
      </w:r>
      <w:r w:rsidR="004819C1">
        <w:t xml:space="preserve"> included in their GST return. </w:t>
      </w:r>
    </w:p>
    <w:p w14:paraId="58B3AF93" w14:textId="138DDBD6" w:rsidR="000523C9" w:rsidRPr="00C02704" w:rsidRDefault="003A734D" w:rsidP="00BC1098">
      <w:pPr>
        <w:pStyle w:val="ListParagraph"/>
      </w:pPr>
      <w:r w:rsidRPr="00C02704">
        <w:t xml:space="preserve">Public submissions received on the February 2020 </w:t>
      </w:r>
      <w:r w:rsidRPr="00BF022E">
        <w:rPr>
          <w:i/>
          <w:iCs/>
        </w:rPr>
        <w:t>GST Policy Issues: an officials’ issues paper</w:t>
      </w:r>
      <w:r w:rsidRPr="00C02704">
        <w:t xml:space="preserve"> </w:t>
      </w:r>
      <w:r w:rsidR="00454AF9">
        <w:t>explained that</w:t>
      </w:r>
      <w:r w:rsidR="002904F9">
        <w:t xml:space="preserve"> </w:t>
      </w:r>
      <w:r w:rsidR="006E40C8">
        <w:t xml:space="preserve">in many situations, </w:t>
      </w:r>
      <w:r w:rsidR="002904F9">
        <w:t xml:space="preserve">the current rules are complex and impose unreasonable compliance costs. </w:t>
      </w:r>
      <w:r w:rsidR="003270BA">
        <w:t>T</w:t>
      </w:r>
      <w:r w:rsidR="001D61C7" w:rsidRPr="00797E7A">
        <w:t>he recent stewardship review of the GST system identified the apportionment and adjustment rules as the number one issue that needed revision.</w:t>
      </w:r>
      <w:r w:rsidR="001D61C7">
        <w:t xml:space="preserve"> </w:t>
      </w:r>
      <w:r w:rsidR="002904F9">
        <w:t xml:space="preserve">Stakeholders </w:t>
      </w:r>
      <w:r w:rsidR="005E164A">
        <w:t>were clear that</w:t>
      </w:r>
      <w:r w:rsidR="006E40C8">
        <w:t xml:space="preserve"> </w:t>
      </w:r>
      <w:r w:rsidRPr="00C02704">
        <w:t xml:space="preserve">the existing apportionment rules </w:t>
      </w:r>
      <w:r w:rsidR="002904F9">
        <w:t xml:space="preserve">needed to </w:t>
      </w:r>
      <w:r w:rsidR="006E40C8">
        <w:t>change</w:t>
      </w:r>
      <w:r w:rsidRPr="00C02704">
        <w:t xml:space="preserve">. </w:t>
      </w:r>
      <w:r w:rsidR="00424A41">
        <w:t>A</w:t>
      </w:r>
      <w:r w:rsidR="000523C9">
        <w:t xml:space="preserve"> redesign </w:t>
      </w:r>
      <w:r w:rsidR="00BF022E">
        <w:t xml:space="preserve">of the existing rules </w:t>
      </w:r>
      <w:r w:rsidR="000523C9">
        <w:t xml:space="preserve">is required to ensure </w:t>
      </w:r>
      <w:r w:rsidR="00BF022E">
        <w:t xml:space="preserve">they </w:t>
      </w:r>
      <w:r w:rsidR="00DE02D0">
        <w:t xml:space="preserve">support </w:t>
      </w:r>
      <w:r w:rsidR="000523C9">
        <w:t xml:space="preserve">emerging commercial practices, such as the </w:t>
      </w:r>
      <w:r w:rsidR="00BE0BF8">
        <w:t xml:space="preserve">gig and sharing </w:t>
      </w:r>
      <w:r w:rsidR="000523C9">
        <w:t xml:space="preserve">economy. </w:t>
      </w:r>
    </w:p>
    <w:p w14:paraId="5B8BDEE1" w14:textId="2AADD305" w:rsidR="00DA7E1E" w:rsidRDefault="0079625C" w:rsidP="00EA287E">
      <w:pPr>
        <w:pStyle w:val="ListParagraph"/>
      </w:pPr>
      <w:r>
        <w:t>Last</w:t>
      </w:r>
      <w:r w:rsidR="00C45926">
        <w:t xml:space="preserve"> year, </w:t>
      </w:r>
      <w:r w:rsidR="002D3039">
        <w:t xml:space="preserve">my officials met with key stakeholders such as private sector GST advisors to discuss what </w:t>
      </w:r>
      <w:r w:rsidR="00DC1C29">
        <w:t xml:space="preserve">simpler, </w:t>
      </w:r>
      <w:r w:rsidR="002D3039">
        <w:t xml:space="preserve">practical options </w:t>
      </w:r>
      <w:r w:rsidR="00DC1C29">
        <w:t>could be further explored</w:t>
      </w:r>
      <w:r w:rsidR="002D3039">
        <w:t xml:space="preserve">, for inclusion into an officials’ issues paper. </w:t>
      </w:r>
    </w:p>
    <w:p w14:paraId="4239E223" w14:textId="69851F89" w:rsidR="00071F5C" w:rsidRDefault="009B26FE" w:rsidP="00421DEA">
      <w:pPr>
        <w:pStyle w:val="ListParagraph"/>
      </w:pPr>
      <w:r>
        <w:t>Several reform options have been identified</w:t>
      </w:r>
      <w:r w:rsidR="00E7109A">
        <w:t xml:space="preserve"> and are </w:t>
      </w:r>
      <w:r w:rsidR="007608CB">
        <w:t xml:space="preserve">further </w:t>
      </w:r>
      <w:r w:rsidR="009E7705">
        <w:t xml:space="preserve">explained </w:t>
      </w:r>
      <w:r w:rsidR="00E7109A">
        <w:t xml:space="preserve">below. Many of the </w:t>
      </w:r>
      <w:r w:rsidR="00421DEA">
        <w:t xml:space="preserve">proposed options </w:t>
      </w:r>
      <w:r w:rsidR="00071F5C">
        <w:t>seek to remove most assets from the apportionment rules and reduce the need for annual monitoring</w:t>
      </w:r>
      <w:r w:rsidR="00036269">
        <w:t xml:space="preserve"> by GST</w:t>
      </w:r>
      <w:r w:rsidR="00D71340">
        <w:t xml:space="preserve"> </w:t>
      </w:r>
      <w:r w:rsidR="00036269">
        <w:t xml:space="preserve">registered businesses. </w:t>
      </w:r>
    </w:p>
    <w:p w14:paraId="33EC6C1D" w14:textId="3317B7DE" w:rsidR="00994F01" w:rsidRDefault="00287641" w:rsidP="00320ED3">
      <w:pPr>
        <w:pStyle w:val="ListParagraph"/>
      </w:pPr>
      <w:r>
        <w:t xml:space="preserve">These policy options have been included </w:t>
      </w:r>
      <w:r w:rsidR="001F3875">
        <w:t xml:space="preserve">in the </w:t>
      </w:r>
      <w:r w:rsidR="00443B41">
        <w:t xml:space="preserve">attached officials’ issues paper, </w:t>
      </w:r>
      <w:r w:rsidR="00662267" w:rsidRPr="00ED6B43">
        <w:rPr>
          <w:i/>
          <w:iCs/>
        </w:rPr>
        <w:t>GST apportionment and adjustment rules</w:t>
      </w:r>
      <w:r w:rsidR="00DA5394">
        <w:t xml:space="preserve">. Resolving these issues would reduce compliance costs for taxpayers while ensuring </w:t>
      </w:r>
      <w:r w:rsidR="00227692">
        <w:t xml:space="preserve">GST is </w:t>
      </w:r>
      <w:r w:rsidR="00973D23">
        <w:t>continue</w:t>
      </w:r>
      <w:r w:rsidR="00760C6A">
        <w:t>s</w:t>
      </w:r>
      <w:r w:rsidR="00973D23">
        <w:t xml:space="preserve"> </w:t>
      </w:r>
      <w:r w:rsidR="00D40A45">
        <w:t xml:space="preserve">to be </w:t>
      </w:r>
      <w:r w:rsidR="00227692">
        <w:t xml:space="preserve">collected on the private consumption of </w:t>
      </w:r>
      <w:r w:rsidR="00973D23">
        <w:t>goods and services</w:t>
      </w:r>
      <w:r w:rsidR="00227692">
        <w:t xml:space="preserve">. </w:t>
      </w:r>
    </w:p>
    <w:p w14:paraId="05612C60" w14:textId="5D0EFA09" w:rsidR="00125D95" w:rsidRDefault="007F319D" w:rsidP="00F56C1F">
      <w:pPr>
        <w:pStyle w:val="Heading2"/>
      </w:pPr>
      <w:r>
        <w:t xml:space="preserve">GST apportionment and adjustment </w:t>
      </w:r>
      <w:r w:rsidR="00D363F1">
        <w:t xml:space="preserve">rules: An officials’ </w:t>
      </w:r>
      <w:r>
        <w:t>issues paper</w:t>
      </w:r>
    </w:p>
    <w:p w14:paraId="3FCBC308" w14:textId="12300DC6" w:rsidR="005F3BB4" w:rsidRDefault="008122D3" w:rsidP="005F3BB4">
      <w:pPr>
        <w:pStyle w:val="Heading3"/>
      </w:pPr>
      <w:r>
        <w:t>The</w:t>
      </w:r>
      <w:r w:rsidR="005F3BB4">
        <w:t xml:space="preserve"> election method</w:t>
      </w:r>
    </w:p>
    <w:p w14:paraId="120A91B2" w14:textId="1E6BCD52" w:rsidR="00334F22" w:rsidRDefault="00050608" w:rsidP="00DF7755">
      <w:pPr>
        <w:pStyle w:val="ListParagraph"/>
      </w:pPr>
      <w:r>
        <w:t>The UK and Singapore’s GST rules allow taxpayers to</w:t>
      </w:r>
      <w:r w:rsidR="00045E78" w:rsidRPr="00045E78">
        <w:t xml:space="preserve"> exclude assets from being </w:t>
      </w:r>
      <w:r w:rsidR="00A70C03">
        <w:t xml:space="preserve">subject to </w:t>
      </w:r>
      <w:r w:rsidR="00742C82">
        <w:t xml:space="preserve">the apportionment rules, and </w:t>
      </w:r>
      <w:r w:rsidR="00A70C03">
        <w:t xml:space="preserve">GST </w:t>
      </w:r>
      <w:r w:rsidR="00742C82">
        <w:t xml:space="preserve">on sale, </w:t>
      </w:r>
      <w:r w:rsidR="00045E78" w:rsidRPr="00045E78">
        <w:t xml:space="preserve">by </w:t>
      </w:r>
      <w:r w:rsidR="00417395">
        <w:t xml:space="preserve">choosing </w:t>
      </w:r>
      <w:r w:rsidR="00045E78" w:rsidRPr="00045E78">
        <w:t xml:space="preserve">not </w:t>
      </w:r>
      <w:r w:rsidR="00417395">
        <w:t xml:space="preserve">to </w:t>
      </w:r>
      <w:r w:rsidR="00045E78" w:rsidRPr="00045E78">
        <w:t xml:space="preserve">claim an input tax deduction </w:t>
      </w:r>
      <w:r w:rsidR="00B13740">
        <w:t>at the time of</w:t>
      </w:r>
      <w:r w:rsidR="00045E78" w:rsidRPr="00045E78">
        <w:t xml:space="preserve"> purchase.</w:t>
      </w:r>
      <w:r>
        <w:t xml:space="preserve"> The issues paper </w:t>
      </w:r>
      <w:r w:rsidR="007B39B5">
        <w:t xml:space="preserve">proposes a similar election </w:t>
      </w:r>
      <w:r w:rsidR="004E749D">
        <w:t xml:space="preserve">method </w:t>
      </w:r>
      <w:r w:rsidR="007B39B5">
        <w:t>could be introduced in New Zealand.</w:t>
      </w:r>
      <w:r w:rsidR="00045E78" w:rsidRPr="00045E78">
        <w:t xml:space="preserve"> </w:t>
      </w:r>
      <w:r w:rsidR="000A187D">
        <w:t>Taxpayers</w:t>
      </w:r>
      <w:r w:rsidR="00334F22">
        <w:t xml:space="preserve"> would be electing to be taxed on the asset as if it only had private use</w:t>
      </w:r>
      <w:r w:rsidR="000A187D">
        <w:t xml:space="preserve">. </w:t>
      </w:r>
    </w:p>
    <w:p w14:paraId="5FE50DF5" w14:textId="05BB9D84" w:rsidR="005F3BB4" w:rsidRDefault="009642E9" w:rsidP="001A34CF">
      <w:pPr>
        <w:pStyle w:val="ListParagraph"/>
      </w:pPr>
      <w:r>
        <w:t>O</w:t>
      </w:r>
      <w:r w:rsidR="00417395">
        <w:t xml:space="preserve">fficials </w:t>
      </w:r>
      <w:r w:rsidR="00045E78" w:rsidRPr="00045E78">
        <w:t xml:space="preserve">anticipate </w:t>
      </w:r>
      <w:r w:rsidR="00417395">
        <w:t xml:space="preserve">the method </w:t>
      </w:r>
      <w:r w:rsidR="00045E78" w:rsidRPr="00045E78">
        <w:t xml:space="preserve">would mainly be </w:t>
      </w:r>
      <w:r w:rsidR="00CD0CCF">
        <w:t xml:space="preserve">applied to </w:t>
      </w:r>
      <w:r w:rsidR="00045E78" w:rsidRPr="00045E78">
        <w:t xml:space="preserve">residential land and dwellings </w:t>
      </w:r>
      <w:r w:rsidR="00F40198">
        <w:t>which may have some minor business use (</w:t>
      </w:r>
      <w:proofErr w:type="gramStart"/>
      <w:r w:rsidR="00F40198">
        <w:t>e.g.</w:t>
      </w:r>
      <w:proofErr w:type="gramEnd"/>
      <w:r w:rsidR="00F40198">
        <w:t xml:space="preserve"> a home office or workshop). </w:t>
      </w:r>
      <w:r w:rsidR="00EA358A">
        <w:t>This would ensure GST registered sole traders are not disadvantaged compared to other types of ownership structures where houses and other private assets are usually held by a different person to the entity which is GST registered.</w:t>
      </w:r>
    </w:p>
    <w:p w14:paraId="5EF33301" w14:textId="522E82B7" w:rsidR="000D4ED7" w:rsidRDefault="000D4ED7" w:rsidP="00DF7755">
      <w:pPr>
        <w:pStyle w:val="ListParagraph"/>
      </w:pPr>
      <w:r>
        <w:t xml:space="preserve">It is </w:t>
      </w:r>
      <w:r w:rsidR="00F61579">
        <w:t>anticipated</w:t>
      </w:r>
      <w:r>
        <w:t xml:space="preserve"> that historically, many </w:t>
      </w:r>
      <w:r w:rsidR="001A34CF">
        <w:t xml:space="preserve">of the affected </w:t>
      </w:r>
      <w:r>
        <w:t xml:space="preserve">taxpayers </w:t>
      </w:r>
      <w:r w:rsidR="001A34CF">
        <w:t>(</w:t>
      </w:r>
      <w:proofErr w:type="gramStart"/>
      <w:r w:rsidR="001A34CF">
        <w:t>e.g.</w:t>
      </w:r>
      <w:proofErr w:type="gramEnd"/>
      <w:r w:rsidR="001A34CF">
        <w:t xml:space="preserve"> GST registered sole traders) </w:t>
      </w:r>
      <w:r>
        <w:t>have not claimed input tax deductions on assets</w:t>
      </w:r>
      <w:r w:rsidR="00B92D92">
        <w:t xml:space="preserve"> that are predominantly private (e.g. the family home with a home office)</w:t>
      </w:r>
      <w:r>
        <w:t xml:space="preserve">, and so this method could be applied </w:t>
      </w:r>
      <w:r w:rsidR="00D14537">
        <w:t>retrospectively</w:t>
      </w:r>
      <w:r>
        <w:t xml:space="preserve">, that is, </w:t>
      </w:r>
      <w:r w:rsidR="00AC4ED7">
        <w:t xml:space="preserve">where no input tax deductions have been claimed on </w:t>
      </w:r>
      <w:r w:rsidR="00D14537">
        <w:t>existing assets</w:t>
      </w:r>
      <w:r w:rsidR="00AC4ED7">
        <w:t xml:space="preserve">, then these assets </w:t>
      </w:r>
      <w:r w:rsidR="00D14537">
        <w:t xml:space="preserve">would not be subject to GST on sale. </w:t>
      </w:r>
      <w:r w:rsidR="00E71E8D">
        <w:t xml:space="preserve">This </w:t>
      </w:r>
      <w:r w:rsidR="001A34CF">
        <w:t>sh</w:t>
      </w:r>
      <w:r w:rsidR="00E71E8D">
        <w:t xml:space="preserve">ould be positively received by taxpayers that </w:t>
      </w:r>
      <w:r w:rsidR="005471DC">
        <w:t>c</w:t>
      </w:r>
      <w:r w:rsidR="00E71E8D">
        <w:t xml:space="preserve">ould otherwise, under the existing rules, be subject to GST on sale despite not previously claiming input tax deductions. </w:t>
      </w:r>
    </w:p>
    <w:p w14:paraId="0125EEFB" w14:textId="4801342D" w:rsidR="00553DE7" w:rsidRDefault="006D5A95" w:rsidP="00DF7755">
      <w:pPr>
        <w:pStyle w:val="ListParagraph"/>
      </w:pPr>
      <w:r>
        <w:t xml:space="preserve">The issues paper also proposes an option whereby taxpayers that have previously claimed input tax deductions </w:t>
      </w:r>
      <w:r w:rsidR="00072B5D">
        <w:t xml:space="preserve">on their assets could repay these input tax deductions </w:t>
      </w:r>
      <w:r w:rsidR="00553DE7">
        <w:t xml:space="preserve">within 12 months of the reforms taking effect, </w:t>
      </w:r>
      <w:r w:rsidR="00072B5D">
        <w:t>and in return, their existing assets would not be subject to GST on sale in the future.</w:t>
      </w:r>
    </w:p>
    <w:p w14:paraId="5EA15C4E" w14:textId="5406453E" w:rsidR="005F3BB4" w:rsidRDefault="00F46EBE" w:rsidP="00F7716A">
      <w:pPr>
        <w:pStyle w:val="Heading3"/>
      </w:pPr>
      <w:r>
        <w:t xml:space="preserve">Principal purpose test for assets </w:t>
      </w:r>
      <w:r w:rsidR="009D495D">
        <w:t xml:space="preserve">less than </w:t>
      </w:r>
      <w:r>
        <w:t>$</w:t>
      </w:r>
      <w:r w:rsidR="00E83A16">
        <w:t>5</w:t>
      </w:r>
      <w:r>
        <w:t>,000</w:t>
      </w:r>
    </w:p>
    <w:p w14:paraId="67E651DB" w14:textId="670C7994" w:rsidR="00B66AE9" w:rsidRDefault="006F57FF" w:rsidP="008A2805">
      <w:pPr>
        <w:pStyle w:val="ListParagraph"/>
      </w:pPr>
      <w:r>
        <w:t>Another</w:t>
      </w:r>
      <w:r w:rsidR="00E425F3">
        <w:t xml:space="preserve"> proposed</w:t>
      </w:r>
      <w:r w:rsidR="008174C0">
        <w:t xml:space="preserve"> option</w:t>
      </w:r>
      <w:r>
        <w:t xml:space="preserve"> consulted on in the issues paper is</w:t>
      </w:r>
      <w:r w:rsidR="00E425F3">
        <w:t xml:space="preserve"> that </w:t>
      </w:r>
      <w:r w:rsidR="008174C0">
        <w:t xml:space="preserve">businesses </w:t>
      </w:r>
      <w:r w:rsidR="00E425F3">
        <w:t>c</w:t>
      </w:r>
      <w:r w:rsidR="008174C0">
        <w:t xml:space="preserve">ould claim a full GST input tax deduction </w:t>
      </w:r>
      <w:r w:rsidR="00140D7A">
        <w:t xml:space="preserve">(rather than apportioning the </w:t>
      </w:r>
      <w:r w:rsidR="0068203C">
        <w:t>deduction) for any asset costing less than $</w:t>
      </w:r>
      <w:r w:rsidR="00E83A16">
        <w:t>5</w:t>
      </w:r>
      <w:r w:rsidR="0068203C">
        <w:t xml:space="preserve">,000 </w:t>
      </w:r>
      <w:r w:rsidR="00B66AE9">
        <w:t xml:space="preserve">(GST exclusive) </w:t>
      </w:r>
      <w:r w:rsidR="0068203C">
        <w:t xml:space="preserve">which they </w:t>
      </w:r>
      <w:r w:rsidR="000312BE">
        <w:t xml:space="preserve">principally acquired for business </w:t>
      </w:r>
      <w:r w:rsidR="0033642F">
        <w:t>p</w:t>
      </w:r>
      <w:r w:rsidR="00B73A87">
        <w:t>urposes.</w:t>
      </w:r>
    </w:p>
    <w:p w14:paraId="015A25C4" w14:textId="09DF3EEA" w:rsidR="00B65745" w:rsidRPr="00B65745" w:rsidRDefault="00E6360E" w:rsidP="008A2805">
      <w:pPr>
        <w:pStyle w:val="ListParagraph"/>
      </w:pPr>
      <w:r>
        <w:t xml:space="preserve">This </w:t>
      </w:r>
      <w:r w:rsidR="00B02381">
        <w:t xml:space="preserve">test </w:t>
      </w:r>
      <w:r>
        <w:t>would reduce compliance costs for taxpayers</w:t>
      </w:r>
      <w:r w:rsidR="0058792E">
        <w:t xml:space="preserve"> </w:t>
      </w:r>
      <w:r w:rsidR="00052618">
        <w:t>by greatly reducing the number of assets subject to the apportionment and adjustment rules.</w:t>
      </w:r>
      <w:r w:rsidR="008A2805">
        <w:t xml:space="preserve"> Instead, a</w:t>
      </w:r>
      <w:r w:rsidR="00B65745" w:rsidRPr="00B65745">
        <w:t xml:space="preserve"> GST adjustment would only be </w:t>
      </w:r>
      <w:r w:rsidR="000F4843">
        <w:t>made</w:t>
      </w:r>
      <w:r w:rsidR="00B65745" w:rsidRPr="00B65745">
        <w:t xml:space="preserve"> if the principal purpose that the asset was acquired for changed</w:t>
      </w:r>
      <w:r w:rsidR="008A2805">
        <w:t xml:space="preserve"> (which would be uncommon).</w:t>
      </w:r>
    </w:p>
    <w:p w14:paraId="198FF8BF" w14:textId="49142568" w:rsidR="0000241F" w:rsidRPr="002518B4" w:rsidRDefault="00403BD5" w:rsidP="00DF7755">
      <w:pPr>
        <w:pStyle w:val="ListParagraph"/>
      </w:pPr>
      <w:r w:rsidRPr="002518B4">
        <w:t xml:space="preserve">It is anticipated that many </w:t>
      </w:r>
      <w:r w:rsidR="0011562F">
        <w:t>GST registered businesses</w:t>
      </w:r>
      <w:r w:rsidRPr="002518B4">
        <w:t xml:space="preserve"> may already be claiming full input tax deductions on low-value</w:t>
      </w:r>
      <w:r w:rsidR="00162825">
        <w:t xml:space="preserve"> business</w:t>
      </w:r>
      <w:r w:rsidRPr="002518B4">
        <w:t xml:space="preserve"> assets</w:t>
      </w:r>
      <w:r w:rsidR="0012624F">
        <w:t xml:space="preserve"> (on the basis that these assets have no or very little private use)</w:t>
      </w:r>
      <w:r w:rsidR="00615D4A" w:rsidRPr="002518B4">
        <w:t xml:space="preserve">, rather than applying the existing apportionment and adjustment rules. </w:t>
      </w:r>
    </w:p>
    <w:p w14:paraId="3A2DB621" w14:textId="60C4152B" w:rsidR="007B4BE7" w:rsidRDefault="007B4BE7" w:rsidP="007B4BE7">
      <w:pPr>
        <w:pStyle w:val="Heading3"/>
      </w:pPr>
      <w:r>
        <w:t xml:space="preserve">20% </w:t>
      </w:r>
      <w:r w:rsidR="00913673">
        <w:t>margin</w:t>
      </w:r>
      <w:r>
        <w:t xml:space="preserve"> for assets above $5,000</w:t>
      </w:r>
    </w:p>
    <w:p w14:paraId="06B0D0F4" w14:textId="06D2E772" w:rsidR="007B4BE7" w:rsidRDefault="00ED7E32" w:rsidP="007B4BE7">
      <w:pPr>
        <w:pStyle w:val="ListParagraph"/>
      </w:pPr>
      <w:r>
        <w:t>For higher value assets it is</w:t>
      </w:r>
      <w:r w:rsidR="007B4BE7">
        <w:t xml:space="preserve"> </w:t>
      </w:r>
      <w:r w:rsidR="00CC4811">
        <w:t>proposed</w:t>
      </w:r>
      <w:r w:rsidR="007B4BE7">
        <w:t xml:space="preserve"> that rather than being required to make annual GST adjustments if there is any increase or decrease in business use, the taxpayer would only make an adjustment if the change in use of the asset was greater than 20%. </w:t>
      </w:r>
    </w:p>
    <w:p w14:paraId="484CE6A0" w14:textId="77777777" w:rsidR="007B4BE7" w:rsidRDefault="007B4BE7" w:rsidP="007B4BE7">
      <w:pPr>
        <w:pStyle w:val="ListParagraph"/>
      </w:pPr>
      <w:r>
        <w:t>For example, if an asset had an initial apportionment of 66% business use, then an adjustment would only be made if the business use dropped below 46% (-20%) or increased above 86% (+20%).</w:t>
      </w:r>
    </w:p>
    <w:p w14:paraId="493854A0" w14:textId="20B1BA27" w:rsidR="007B4BE7" w:rsidRDefault="007B4BE7" w:rsidP="007B4BE7">
      <w:pPr>
        <w:pStyle w:val="ListParagraph"/>
      </w:pPr>
      <w:r>
        <w:t>A 20% threshold has been proposed as it is understood that for a</w:t>
      </w:r>
      <w:r w:rsidR="00C82E0F">
        <w:t>n asset</w:t>
      </w:r>
      <w:r>
        <w:t xml:space="preserve"> to experience a 20% change in use, then </w:t>
      </w:r>
      <w:r w:rsidR="00FE2B4F">
        <w:t xml:space="preserve">it is likely </w:t>
      </w:r>
      <w:r>
        <w:t xml:space="preserve">a deliberate change in use of the asset has occurred, rather than an unintended change. Consequently, a 20% threshold should remove most compliance costs associated with closely monitoring </w:t>
      </w:r>
      <w:r w:rsidR="00F01462">
        <w:t>the use of each asset</w:t>
      </w:r>
      <w:r w:rsidR="006E7C8E">
        <w:t>,</w:t>
      </w:r>
      <w:r>
        <w:t xml:space="preserve"> and from being required to </w:t>
      </w:r>
      <w:r w:rsidR="00005F52">
        <w:t xml:space="preserve">file </w:t>
      </w:r>
      <w:r>
        <w:t xml:space="preserve">adjustments each year. </w:t>
      </w:r>
    </w:p>
    <w:p w14:paraId="368C6052" w14:textId="77777777" w:rsidR="002D5ED0" w:rsidRDefault="002D5ED0" w:rsidP="002D5ED0">
      <w:pPr>
        <w:pStyle w:val="Heading3"/>
      </w:pPr>
      <w:r>
        <w:t xml:space="preserve">Deeming rules for assets that are almost exclusively taxable or private </w:t>
      </w:r>
    </w:p>
    <w:p w14:paraId="4257F8B0" w14:textId="5A702409" w:rsidR="002D5ED0" w:rsidRDefault="00CC4811" w:rsidP="002D5ED0">
      <w:pPr>
        <w:pStyle w:val="ListParagraph"/>
      </w:pPr>
      <w:r>
        <w:t xml:space="preserve">Another simplification option proposed is </w:t>
      </w:r>
      <w:r w:rsidR="002D5ED0">
        <w:t>that where an asset that cost more $5,000 (GST exclusive) that has at least an 80% taxable use</w:t>
      </w:r>
      <w:r w:rsidR="007F366B">
        <w:t>,</w:t>
      </w:r>
      <w:r w:rsidR="002D5ED0">
        <w:t xml:space="preserve"> it could be rounded up and deemed to have 100% taxable use. </w:t>
      </w:r>
    </w:p>
    <w:p w14:paraId="43EC5C0B" w14:textId="4A9D6F1E" w:rsidR="002D5ED0" w:rsidRDefault="002D5ED0" w:rsidP="002D5ED0">
      <w:pPr>
        <w:pStyle w:val="ListParagraph"/>
      </w:pPr>
      <w:r>
        <w:t xml:space="preserve">This would be a taxpayer-friendly rule because </w:t>
      </w:r>
      <w:r w:rsidR="00254216">
        <w:t>businesses</w:t>
      </w:r>
      <w:r>
        <w:t xml:space="preserve"> </w:t>
      </w:r>
      <w:r w:rsidR="00254216">
        <w:t>c</w:t>
      </w:r>
      <w:r>
        <w:t xml:space="preserve">ould receive full input tax deductions, whilst allowing a limited amount of private use (such as for most work-related vehicles). </w:t>
      </w:r>
    </w:p>
    <w:p w14:paraId="5D93DF3F" w14:textId="07127D88" w:rsidR="002D5ED0" w:rsidRDefault="002D5ED0" w:rsidP="002D5ED0">
      <w:pPr>
        <w:pStyle w:val="ListParagraph"/>
      </w:pPr>
      <w:r>
        <w:t xml:space="preserve">Likewise, where an asset has 20% or less taxable use, then the asset would be deemed to have no taxable use (0%) and therefore treated like a private asset (GST is collected on purchase, but not when the asset is subsequently sold). </w:t>
      </w:r>
    </w:p>
    <w:p w14:paraId="1182E5D1" w14:textId="4C30756D" w:rsidR="002D5ED0" w:rsidRDefault="002D5ED0" w:rsidP="002D5ED0">
      <w:pPr>
        <w:pStyle w:val="ListParagraph"/>
      </w:pPr>
      <w:r>
        <w:t xml:space="preserve">Essentially, under both of these rules, qualifying assets would be effectively removed from the </w:t>
      </w:r>
      <w:r w:rsidR="00351C90">
        <w:t xml:space="preserve">GST </w:t>
      </w:r>
      <w:r>
        <w:t>apportionment and adjustment rules entirely.</w:t>
      </w:r>
    </w:p>
    <w:p w14:paraId="2648D1D0" w14:textId="7C587BBA" w:rsidR="007B4BE7" w:rsidRDefault="00F16526" w:rsidP="00F16526">
      <w:pPr>
        <w:pStyle w:val="Heading3"/>
      </w:pPr>
      <w:r>
        <w:t xml:space="preserve">Changes to the definition of residential and commercial accommodation services </w:t>
      </w:r>
    </w:p>
    <w:p w14:paraId="698F9597" w14:textId="7499DA5E" w:rsidR="00F16526" w:rsidRDefault="00CB32D5" w:rsidP="00DF7755">
      <w:pPr>
        <w:pStyle w:val="ListParagraph"/>
      </w:pPr>
      <w:r>
        <w:t>GST apportionment issues can arise when the same pr</w:t>
      </w:r>
      <w:r w:rsidR="00E836F5">
        <w:t xml:space="preserve">emises </w:t>
      </w:r>
      <w:r>
        <w:t xml:space="preserve">is used to make both taxable supplies of commercial accommodation </w:t>
      </w:r>
      <w:r w:rsidR="003B69FE">
        <w:t>(</w:t>
      </w:r>
      <w:proofErr w:type="gramStart"/>
      <w:r w:rsidR="003B69FE">
        <w:t>e.g.</w:t>
      </w:r>
      <w:proofErr w:type="gramEnd"/>
      <w:r w:rsidR="003B69FE">
        <w:t xml:space="preserve"> </w:t>
      </w:r>
      <w:r w:rsidR="00FA4276">
        <w:t xml:space="preserve">a </w:t>
      </w:r>
      <w:r w:rsidR="003B69FE">
        <w:t xml:space="preserve">hotel) </w:t>
      </w:r>
      <w:r>
        <w:t xml:space="preserve">and non-taxable </w:t>
      </w:r>
      <w:r w:rsidR="003B69FE">
        <w:t>supplies</w:t>
      </w:r>
      <w:r>
        <w:t xml:space="preserve"> </w:t>
      </w:r>
      <w:r w:rsidR="00BC038C">
        <w:t xml:space="preserve">such as private use or exempt supplies </w:t>
      </w:r>
      <w:r w:rsidR="000C4ADC">
        <w:t xml:space="preserve">(e.g. a </w:t>
      </w:r>
      <w:r w:rsidR="00EA63DD">
        <w:t xml:space="preserve">live-in </w:t>
      </w:r>
      <w:r w:rsidR="000C4ADC">
        <w:t>hotel manager)</w:t>
      </w:r>
      <w:r w:rsidR="00BC038C">
        <w:t xml:space="preserve">. </w:t>
      </w:r>
    </w:p>
    <w:p w14:paraId="03A80D31" w14:textId="1075537C" w:rsidR="00D94AFD" w:rsidRDefault="00D94AFD" w:rsidP="00DF7755">
      <w:pPr>
        <w:pStyle w:val="ListParagraph"/>
      </w:pPr>
      <w:r>
        <w:t>The GST treatment in such cases depends on the definitions of “dwelling” and “commercial dwelling” which can overlap and be uncertain.</w:t>
      </w:r>
    </w:p>
    <w:p w14:paraId="6AC9A768" w14:textId="597E9922" w:rsidR="00E836F5" w:rsidRDefault="00AC215B" w:rsidP="00D94AFD">
      <w:pPr>
        <w:pStyle w:val="ListParagraph"/>
      </w:pPr>
      <w:r>
        <w:t xml:space="preserve">The issues paper </w:t>
      </w:r>
      <w:r w:rsidR="00F86B91">
        <w:t>outlines</w:t>
      </w:r>
      <w:r w:rsidR="000242D9">
        <w:t xml:space="preserve"> </w:t>
      </w:r>
      <w:r w:rsidR="00023588">
        <w:t xml:space="preserve">several </w:t>
      </w:r>
      <w:r w:rsidR="00997214">
        <w:t>potential</w:t>
      </w:r>
      <w:r w:rsidR="00F86B91">
        <w:t xml:space="preserve">, </w:t>
      </w:r>
      <w:r w:rsidR="00023588">
        <w:t>technical</w:t>
      </w:r>
      <w:r w:rsidR="00F86B91">
        <w:t>-based amendments to the existing definitions</w:t>
      </w:r>
      <w:r w:rsidR="00E405BD">
        <w:t>,</w:t>
      </w:r>
      <w:r w:rsidR="00F86B91">
        <w:t xml:space="preserve"> </w:t>
      </w:r>
      <w:r w:rsidR="003F6C66">
        <w:t xml:space="preserve">as well as seeking submissions on </w:t>
      </w:r>
      <w:r w:rsidR="00A90CC0">
        <w:t xml:space="preserve">whether </w:t>
      </w:r>
      <w:r w:rsidR="00912A77">
        <w:t xml:space="preserve">any alternative </w:t>
      </w:r>
      <w:r w:rsidR="00472BBD">
        <w:t xml:space="preserve">definitions could be developed </w:t>
      </w:r>
      <w:r w:rsidR="00A90CC0">
        <w:t>which could</w:t>
      </w:r>
      <w:r w:rsidR="00472BBD">
        <w:t xml:space="preserve"> provide more certainty </w:t>
      </w:r>
      <w:r w:rsidR="008A68FF">
        <w:t>or be</w:t>
      </w:r>
      <w:r w:rsidR="00472BBD">
        <w:t xml:space="preserve"> easier to apply than the existing definitions. </w:t>
      </w:r>
    </w:p>
    <w:p w14:paraId="5365F813" w14:textId="4F4EF6D3" w:rsidR="00F7716A" w:rsidRDefault="00F7716A" w:rsidP="00F7716A">
      <w:pPr>
        <w:pStyle w:val="Heading3"/>
      </w:pPr>
      <w:r>
        <w:t xml:space="preserve">Special </w:t>
      </w:r>
      <w:r w:rsidR="00F71343">
        <w:t xml:space="preserve">GST </w:t>
      </w:r>
      <w:r>
        <w:t xml:space="preserve">rules for </w:t>
      </w:r>
      <w:r w:rsidR="00B3068E">
        <w:t>sales of houses</w:t>
      </w:r>
    </w:p>
    <w:p w14:paraId="42DDC54A" w14:textId="0357FE10" w:rsidR="007C3289" w:rsidRDefault="007C3289" w:rsidP="00AC6BD1">
      <w:pPr>
        <w:pStyle w:val="ListParagraph"/>
      </w:pPr>
      <w:r w:rsidRPr="007C3289">
        <w:t xml:space="preserve">The GST system does not tax most private assets such as </w:t>
      </w:r>
      <w:r>
        <w:t xml:space="preserve">houses and </w:t>
      </w:r>
      <w:r w:rsidRPr="007C3289">
        <w:t>dwelling</w:t>
      </w:r>
      <w:r>
        <w:t>s</w:t>
      </w:r>
      <w:r w:rsidRPr="007C3289">
        <w:t xml:space="preserve">. This is because they are not </w:t>
      </w:r>
      <w:r w:rsidR="00E95659">
        <w:t>usually used by a GST registered business to conduct their business.</w:t>
      </w:r>
      <w:r w:rsidR="0034363E">
        <w:t xml:space="preserve"> However, </w:t>
      </w:r>
      <w:r w:rsidR="000A3F00">
        <w:t>some GST registered sole traders may use part of their home such as a home office or workshop to conduct their business</w:t>
      </w:r>
      <w:r w:rsidR="00560285">
        <w:t xml:space="preserve"> which can cause the sale of that home to be</w:t>
      </w:r>
      <w:r w:rsidR="00A55ABA">
        <w:t>come</w:t>
      </w:r>
      <w:r w:rsidR="00560285">
        <w:t xml:space="preserve"> subject to GST</w:t>
      </w:r>
      <w:r w:rsidR="00FD24E5">
        <w:t xml:space="preserve">, even though it is mostly used for private </w:t>
      </w:r>
      <w:r w:rsidR="00A55ABA">
        <w:t>purposes.</w:t>
      </w:r>
    </w:p>
    <w:p w14:paraId="095D85F2" w14:textId="3060660D" w:rsidR="00AC6BD1" w:rsidRDefault="003740AE" w:rsidP="00AC6BD1">
      <w:pPr>
        <w:pStyle w:val="ListParagraph"/>
      </w:pPr>
      <w:r>
        <w:t>One way that other countries have addressed this is by</w:t>
      </w:r>
      <w:r w:rsidR="00AC6BD1" w:rsidRPr="00ED3DB5">
        <w:t xml:space="preserve"> mak</w:t>
      </w:r>
      <w:r w:rsidR="00AC6BD1">
        <w:t xml:space="preserve">ing the </w:t>
      </w:r>
      <w:r w:rsidR="00AC6BD1" w:rsidRPr="00ED3DB5">
        <w:t>sale</w:t>
      </w:r>
      <w:r w:rsidR="00AC6BD1">
        <w:t xml:space="preserve"> of houses</w:t>
      </w:r>
      <w:r>
        <w:t xml:space="preserve"> (and other types of dwellings)</w:t>
      </w:r>
      <w:r w:rsidR="00AC6BD1" w:rsidRPr="00ED3DB5">
        <w:t xml:space="preserve"> </w:t>
      </w:r>
      <w:r w:rsidR="00E90561" w:rsidRPr="00ED3DB5">
        <w:t xml:space="preserve">an exempt </w:t>
      </w:r>
      <w:proofErr w:type="gramStart"/>
      <w:r w:rsidR="00E90561" w:rsidRPr="00ED3DB5">
        <w:t>supply</w:t>
      </w:r>
      <w:r w:rsidR="00E7109A">
        <w:t>,</w:t>
      </w:r>
      <w:r w:rsidR="00E90561">
        <w:t xml:space="preserve"> </w:t>
      </w:r>
      <w:r w:rsidR="0087512C">
        <w:t>unless</w:t>
      </w:r>
      <w:proofErr w:type="gramEnd"/>
      <w:r w:rsidR="0087512C">
        <w:t xml:space="preserve"> the house has been</w:t>
      </w:r>
      <w:r w:rsidR="00DF4C1F">
        <w:t xml:space="preserve"> built or</w:t>
      </w:r>
      <w:r w:rsidR="0087512C">
        <w:t xml:space="preserve"> developed </w:t>
      </w:r>
      <w:r w:rsidR="00DF4C1F">
        <w:t xml:space="preserve">by a property developer </w:t>
      </w:r>
      <w:r w:rsidR="0087512C">
        <w:t>for sale</w:t>
      </w:r>
      <w:r w:rsidR="00DF4C1F">
        <w:t>.</w:t>
      </w:r>
      <w:r w:rsidR="00AC6BD1" w:rsidRPr="00ED3DB5">
        <w:t xml:space="preserve"> </w:t>
      </w:r>
    </w:p>
    <w:p w14:paraId="63E844F1" w14:textId="730C7EB2" w:rsidR="00AC6BD1" w:rsidRDefault="00AC6BD1" w:rsidP="00AC6BD1">
      <w:pPr>
        <w:pStyle w:val="ListParagraph"/>
      </w:pPr>
      <w:r>
        <w:t xml:space="preserve">The issues paper </w:t>
      </w:r>
      <w:r w:rsidR="0007603C">
        <w:t xml:space="preserve">discusses a potential exemption </w:t>
      </w:r>
      <w:r w:rsidR="00D35A7D">
        <w:t xml:space="preserve">and </w:t>
      </w:r>
      <w:r>
        <w:t>notes that the other reform options discussed above may be a simpler way to remove GST compliance costs and liabilities on private houses</w:t>
      </w:r>
      <w:r w:rsidR="00B35C79">
        <w:t xml:space="preserve"> which have some business use</w:t>
      </w:r>
      <w:r>
        <w:t xml:space="preserve">. </w:t>
      </w:r>
      <w:r w:rsidR="00D22C3E">
        <w:t>T</w:t>
      </w:r>
      <w:r>
        <w:t xml:space="preserve">he </w:t>
      </w:r>
      <w:r w:rsidR="00D22C3E">
        <w:t xml:space="preserve">feedback </w:t>
      </w:r>
      <w:r w:rsidR="009665A8">
        <w:t xml:space="preserve">received </w:t>
      </w:r>
      <w:r w:rsidR="00F03350">
        <w:t xml:space="preserve">from </w:t>
      </w:r>
      <w:r>
        <w:t>a small group of tax advisors, was that developing a specific exemption for houses may not be necessary and</w:t>
      </w:r>
      <w:r w:rsidRPr="00052175">
        <w:t xml:space="preserve"> </w:t>
      </w:r>
      <w:r>
        <w:t>would require some new definitions to be developed which would add complexity and uncertainty to the GST rules for land.</w:t>
      </w:r>
      <w:r w:rsidR="001A4D3A">
        <w:t xml:space="preserve"> </w:t>
      </w:r>
    </w:p>
    <w:p w14:paraId="60A9BBF3" w14:textId="77777777" w:rsidR="00AC6BD1" w:rsidRDefault="00AC6BD1" w:rsidP="00AC6BD1">
      <w:pPr>
        <w:pStyle w:val="Heading3"/>
      </w:pPr>
      <w:r>
        <w:t>Land which is developed and sold by property developers</w:t>
      </w:r>
    </w:p>
    <w:p w14:paraId="6A9C306B" w14:textId="4C1B8594" w:rsidR="00AC6BD1" w:rsidRDefault="00597443" w:rsidP="00AC6BD1">
      <w:pPr>
        <w:pStyle w:val="ListParagraph"/>
      </w:pPr>
      <w:r>
        <w:t>L</w:t>
      </w:r>
      <w:r w:rsidR="00AC6BD1" w:rsidRPr="004102BD">
        <w:t xml:space="preserve">and that </w:t>
      </w:r>
      <w:r>
        <w:t xml:space="preserve">is </w:t>
      </w:r>
      <w:r w:rsidR="00AC6BD1" w:rsidRPr="004102BD">
        <w:t xml:space="preserve">developed and sold by a GST registered property developer would remain </w:t>
      </w:r>
      <w:r w:rsidR="00AC6BD1">
        <w:t>subject to GST to ensure the GST system correctly taxes the value-added from this activity.</w:t>
      </w:r>
      <w:r w:rsidR="000F5B28">
        <w:t xml:space="preserve"> This rule would</w:t>
      </w:r>
      <w:r w:rsidR="00A838B8">
        <w:t xml:space="preserve"> apply regardless of any </w:t>
      </w:r>
      <w:r w:rsidR="00A838B8" w:rsidRPr="004102BD">
        <w:t xml:space="preserve">of the </w:t>
      </w:r>
      <w:r w:rsidR="00A838B8">
        <w:t xml:space="preserve">other </w:t>
      </w:r>
      <w:r w:rsidR="00A838B8" w:rsidRPr="004102BD">
        <w:t xml:space="preserve">proposals </w:t>
      </w:r>
      <w:r w:rsidR="00A838B8">
        <w:t>discussed in the issues paper.</w:t>
      </w:r>
    </w:p>
    <w:p w14:paraId="67575F6E" w14:textId="68C594E7" w:rsidR="00975CCC" w:rsidRPr="00975CCC" w:rsidRDefault="00D35A7D" w:rsidP="00975CCC">
      <w:pPr>
        <w:pStyle w:val="ListParagraph"/>
        <w:rPr>
          <w:sz w:val="22"/>
        </w:rPr>
      </w:pPr>
      <w:r>
        <w:t>However, t</w:t>
      </w:r>
      <w:r w:rsidR="00975CCC">
        <w:t xml:space="preserve">he current GST apportionment rules are complex to apply if land </w:t>
      </w:r>
      <w:r w:rsidR="006C1554">
        <w:t xml:space="preserve">that </w:t>
      </w:r>
      <w:r w:rsidR="00975CCC">
        <w:t xml:space="preserve">is being developed to be sold by a GST registered </w:t>
      </w:r>
      <w:r w:rsidR="00C30477">
        <w:t xml:space="preserve">residential </w:t>
      </w:r>
      <w:r w:rsidR="00975CCC">
        <w:t>property developer</w:t>
      </w:r>
      <w:r w:rsidR="006C1554">
        <w:t>,</w:t>
      </w:r>
      <w:r w:rsidR="00975CCC">
        <w:t xml:space="preserve"> also has some non-taxable use (such as owner-occupation </w:t>
      </w:r>
      <w:r w:rsidR="00CC495E">
        <w:t xml:space="preserve">of the existing dwelling </w:t>
      </w:r>
      <w:r w:rsidR="00975CCC">
        <w:t>or a</w:t>
      </w:r>
      <w:r w:rsidR="00CC495E">
        <w:t xml:space="preserve">n on-going </w:t>
      </w:r>
      <w:r w:rsidR="00975CCC">
        <w:t>residential tenancy)</w:t>
      </w:r>
      <w:r w:rsidR="00975CCC" w:rsidRPr="00A27E58">
        <w:t xml:space="preserve"> </w:t>
      </w:r>
      <w:r w:rsidR="00975CCC">
        <w:t>during the period of the registered person’s ownership.</w:t>
      </w:r>
    </w:p>
    <w:p w14:paraId="41119A5D" w14:textId="2D2788A2" w:rsidR="00072E05" w:rsidRDefault="00975CCC" w:rsidP="00072E05">
      <w:pPr>
        <w:pStyle w:val="ListParagraph"/>
        <w:rPr>
          <w:sz w:val="22"/>
        </w:rPr>
      </w:pPr>
      <w:r>
        <w:t>The issues paper consults on a proposed simplification,</w:t>
      </w:r>
      <w:r w:rsidR="00072E05">
        <w:t xml:space="preserve"> whereby</w:t>
      </w:r>
      <w:r>
        <w:t xml:space="preserve"> </w:t>
      </w:r>
      <w:r w:rsidR="00072E05">
        <w:t>GST registered property developers would claim a full input tax deduction for the purchase the</w:t>
      </w:r>
      <w:r w:rsidR="00072E05" w:rsidRPr="00A27E58">
        <w:t xml:space="preserve"> land and </w:t>
      </w:r>
      <w:r w:rsidR="00072E05">
        <w:t xml:space="preserve">for </w:t>
      </w:r>
      <w:r w:rsidR="00072E05" w:rsidRPr="00A27E58">
        <w:t xml:space="preserve">other </w:t>
      </w:r>
      <w:r w:rsidR="00072E05">
        <w:t xml:space="preserve">capital </w:t>
      </w:r>
      <w:r w:rsidR="00072E05" w:rsidRPr="00A27E58">
        <w:t>development costs once the</w:t>
      </w:r>
      <w:r w:rsidR="00072E05">
        <w:t>ir</w:t>
      </w:r>
      <w:r w:rsidR="00072E05" w:rsidRPr="00A27E58">
        <w:t xml:space="preserve"> development activity had commenced</w:t>
      </w:r>
      <w:r w:rsidR="00072E05">
        <w:t>, instead of applying the apportionment rules.</w:t>
      </w:r>
    </w:p>
    <w:p w14:paraId="69C1F162" w14:textId="5F1F70D1" w:rsidR="00975CCC" w:rsidRDefault="00975CCC" w:rsidP="00975CCC">
      <w:pPr>
        <w:pStyle w:val="ListParagraph"/>
      </w:pPr>
      <w:r>
        <w:t>This</w:t>
      </w:r>
      <w:r w:rsidRPr="00A27E58">
        <w:t xml:space="preserve"> </w:t>
      </w:r>
      <w:r>
        <w:t xml:space="preserve">proposal </w:t>
      </w:r>
      <w:r w:rsidRPr="00A27E58">
        <w:t xml:space="preserve">could </w:t>
      </w:r>
      <w:r>
        <w:t>encourage more efficient use of housing. For example, property developers may currently</w:t>
      </w:r>
      <w:r w:rsidRPr="0006690E">
        <w:t xml:space="preserve"> prefer</w:t>
      </w:r>
      <w:r>
        <w:t xml:space="preserve"> </w:t>
      </w:r>
      <w:r w:rsidRPr="0006690E">
        <w:t xml:space="preserve">vacant properties </w:t>
      </w:r>
      <w:r>
        <w:t>(</w:t>
      </w:r>
      <w:r w:rsidRPr="0006690E">
        <w:t>to</w:t>
      </w:r>
      <w:r>
        <w:t xml:space="preserve"> get a full input tax deduction and simpler GST compliance)</w:t>
      </w:r>
      <w:r w:rsidRPr="0006690E">
        <w:t xml:space="preserve"> </w:t>
      </w:r>
      <w:r>
        <w:t>than letting the house to a</w:t>
      </w:r>
      <w:r w:rsidRPr="0006690E">
        <w:t xml:space="preserve"> </w:t>
      </w:r>
      <w:r>
        <w:t xml:space="preserve">residential </w:t>
      </w:r>
      <w:r w:rsidRPr="0006690E">
        <w:t>tenan</w:t>
      </w:r>
      <w:r>
        <w:t>t</w:t>
      </w:r>
      <w:r w:rsidRPr="0006690E">
        <w:t xml:space="preserve"> </w:t>
      </w:r>
      <w:r>
        <w:t>(</w:t>
      </w:r>
      <w:proofErr w:type="gramStart"/>
      <w:r>
        <w:t>e.g.</w:t>
      </w:r>
      <w:proofErr w:type="gramEnd"/>
      <w:r>
        <w:t xml:space="preserve"> by maintaining an existing tenancy or entering a new one) until the house is ready to be developed or sold (as this non-taxable use would mean GST apportionment would apply to the land). </w:t>
      </w:r>
    </w:p>
    <w:p w14:paraId="04FA5C3B" w14:textId="00D48744" w:rsidR="00AC6BD1" w:rsidRDefault="004C2CB5" w:rsidP="00AC6BD1">
      <w:pPr>
        <w:pStyle w:val="ListParagraph"/>
      </w:pPr>
      <w:r>
        <w:t>Another issue is that under the</w:t>
      </w:r>
      <w:r w:rsidR="00AC6BD1">
        <w:t xml:space="preserve"> current GST rules, </w:t>
      </w:r>
      <w:r w:rsidR="00AC6BD1" w:rsidRPr="004102BD">
        <w:t xml:space="preserve">Inland Revenue can have difficulty distinguishing between registered persons who are </w:t>
      </w:r>
      <w:r w:rsidR="00AC6BD1" w:rsidRPr="00CF3052">
        <w:rPr>
          <w:i/>
          <w:iCs/>
        </w:rPr>
        <w:t>bona fide</w:t>
      </w:r>
      <w:r w:rsidR="00AC6BD1" w:rsidRPr="004102BD">
        <w:t xml:space="preserve"> property developers and those who intend to develop land</w:t>
      </w:r>
      <w:r w:rsidR="00EA2258">
        <w:t>. Both groups</w:t>
      </w:r>
      <w:r w:rsidR="00AC6BD1" w:rsidRPr="004102BD">
        <w:t xml:space="preserve"> claim input tax deductions when purchasing the </w:t>
      </w:r>
      <w:proofErr w:type="gramStart"/>
      <w:r w:rsidR="00AC6BD1" w:rsidRPr="004102BD">
        <w:t>land</w:t>
      </w:r>
      <w:proofErr w:type="gramEnd"/>
      <w:r w:rsidR="00AC6BD1" w:rsidRPr="004102BD">
        <w:t xml:space="preserve"> but </w:t>
      </w:r>
      <w:r w:rsidR="00EA2258">
        <w:t xml:space="preserve">some </w:t>
      </w:r>
      <w:r w:rsidR="00AC6BD1" w:rsidRPr="004102BD">
        <w:t>ultimately don’t commence the development or don’t sell the land.</w:t>
      </w:r>
      <w:r w:rsidR="00AC6BD1">
        <w:t xml:space="preserve"> This represents a fiscal risk as large GST deductions / refunds are </w:t>
      </w:r>
      <w:r w:rsidR="00AD3AD1">
        <w:t>claimed</w:t>
      </w:r>
      <w:r w:rsidR="00AC6BD1">
        <w:t xml:space="preserve"> on purchase, but no subsequent GST is collected as the land is not </w:t>
      </w:r>
      <w:r w:rsidR="000C66E1">
        <w:t xml:space="preserve">ultimately </w:t>
      </w:r>
      <w:r w:rsidR="00AC6BD1">
        <w:t>developed or sold.</w:t>
      </w:r>
    </w:p>
    <w:p w14:paraId="13B0F15E" w14:textId="22F72B4A" w:rsidR="00AC6BD1" w:rsidRDefault="00AC6BD1" w:rsidP="00AC6BD1">
      <w:pPr>
        <w:pStyle w:val="ListParagraph"/>
      </w:pPr>
      <w:r>
        <w:t xml:space="preserve">The issues paper consults on some </w:t>
      </w:r>
      <w:r w:rsidR="00AD253B">
        <w:t xml:space="preserve">potential </w:t>
      </w:r>
      <w:r>
        <w:t xml:space="preserve">timing </w:t>
      </w:r>
      <w:r w:rsidR="00AD253B">
        <w:t xml:space="preserve">and information </w:t>
      </w:r>
      <w:r>
        <w:t xml:space="preserve">changes which could </w:t>
      </w:r>
      <w:r w:rsidR="00866AF6">
        <w:t>reduce this risk</w:t>
      </w:r>
      <w:r>
        <w:t xml:space="preserve">, whilst </w:t>
      </w:r>
      <w:r w:rsidR="00F64005">
        <w:t xml:space="preserve">also </w:t>
      </w:r>
      <w:r>
        <w:t xml:space="preserve">encouraging land to be developed and sold </w:t>
      </w:r>
      <w:r w:rsidR="00BD1908">
        <w:t>in a reasonable timeframe</w:t>
      </w:r>
      <w:r>
        <w:t xml:space="preserve">. </w:t>
      </w:r>
      <w:r w:rsidRPr="00D1642E">
        <w:t xml:space="preserve"> </w:t>
      </w:r>
    </w:p>
    <w:p w14:paraId="0B809D70" w14:textId="77777777" w:rsidR="00C92296" w:rsidRDefault="00AC6BD1" w:rsidP="00AC6BD1">
      <w:pPr>
        <w:pStyle w:val="ListParagraph"/>
      </w:pPr>
      <w:r>
        <w:t>Currently, a GST registered person can claim an input tax deduction at the time they</w:t>
      </w:r>
      <w:r w:rsidRPr="00D1642E">
        <w:t xml:space="preserve"> purchase land</w:t>
      </w:r>
      <w:r>
        <w:t>. Under the proposed option, if</w:t>
      </w:r>
      <w:r w:rsidRPr="00D1642E">
        <w:t xml:space="preserve"> </w:t>
      </w:r>
      <w:r w:rsidR="00C92296">
        <w:t xml:space="preserve">a GST registered person had an existing business of developing land for </w:t>
      </w:r>
      <w:proofErr w:type="gramStart"/>
      <w:r w:rsidR="00C92296">
        <w:t>sale</w:t>
      </w:r>
      <w:proofErr w:type="gramEnd"/>
      <w:r w:rsidR="00C92296">
        <w:t xml:space="preserve"> </w:t>
      </w:r>
      <w:r w:rsidRPr="00D1642E">
        <w:t>they</w:t>
      </w:r>
      <w:r w:rsidR="00C92296">
        <w:t xml:space="preserve"> would still be able to claim an input tax deduction at the time of purchase. </w:t>
      </w:r>
    </w:p>
    <w:p w14:paraId="062863E4" w14:textId="44F3F33C" w:rsidR="00AC6BD1" w:rsidRDefault="00C92296" w:rsidP="00AC6BD1">
      <w:pPr>
        <w:pStyle w:val="ListParagraph"/>
      </w:pPr>
      <w:r>
        <w:t>However, if they</w:t>
      </w:r>
      <w:r w:rsidR="00AC6BD1" w:rsidRPr="00D1642E">
        <w:t xml:space="preserve"> </w:t>
      </w:r>
      <w:r>
        <w:t>did not have an existing land development business (</w:t>
      </w:r>
      <w:proofErr w:type="gramStart"/>
      <w:r>
        <w:t>e.g.</w:t>
      </w:r>
      <w:proofErr w:type="gramEnd"/>
      <w:r>
        <w:t xml:space="preserve"> a first time developer)</w:t>
      </w:r>
      <w:r w:rsidR="00AC6BD1" w:rsidRPr="00D1642E">
        <w:t xml:space="preserve"> they would not initially be able to claim an input tax deduction for the cost of the land. </w:t>
      </w:r>
      <w:r>
        <w:t>O</w:t>
      </w:r>
      <w:r w:rsidR="00AC6BD1" w:rsidRPr="00D1642E">
        <w:t xml:space="preserve">nce they </w:t>
      </w:r>
      <w:r w:rsidR="00746662">
        <w:t>begin</w:t>
      </w:r>
      <w:r w:rsidR="00AC6BD1" w:rsidRPr="00D1642E">
        <w:t xml:space="preserve"> developing the property and have an intention to sell the property when they finish this development, they would then be able to claim a full input tax deduction on the purchase price of the property in their next GST return</w:t>
      </w:r>
      <w:r w:rsidR="00AC6BD1">
        <w:t xml:space="preserve"> (rather than apportioning the deduction)</w:t>
      </w:r>
      <w:r w:rsidR="00AC6BD1" w:rsidRPr="00D1642E">
        <w:t>.</w:t>
      </w:r>
      <w:r w:rsidR="00AC6BD1">
        <w:t xml:space="preserve"> </w:t>
      </w:r>
    </w:p>
    <w:p w14:paraId="568CD2E8" w14:textId="6B1D6758" w:rsidR="00AC6BD1" w:rsidRDefault="00AC6BD1" w:rsidP="00AC6BD1">
      <w:pPr>
        <w:pStyle w:val="ListParagraph"/>
      </w:pPr>
      <w:r>
        <w:t xml:space="preserve">This proposed change </w:t>
      </w:r>
      <w:r w:rsidR="00D35A7D">
        <w:t>c</w:t>
      </w:r>
      <w:r>
        <w:t xml:space="preserve">ould have negative cashflow implications for </w:t>
      </w:r>
      <w:r w:rsidR="00AF52FA">
        <w:t>some</w:t>
      </w:r>
      <w:r w:rsidR="00CB3312">
        <w:t xml:space="preserve"> smaller or first-time</w:t>
      </w:r>
      <w:r w:rsidR="00AF52FA">
        <w:t xml:space="preserve"> </w:t>
      </w:r>
      <w:r>
        <w:t xml:space="preserve">property developers as it would delay when they are able to claim a GST deduction </w:t>
      </w:r>
      <w:r w:rsidR="00196E8A">
        <w:t xml:space="preserve">from the date of purchase to the date </w:t>
      </w:r>
      <w:r w:rsidR="006F4389">
        <w:t>development commenced</w:t>
      </w:r>
      <w:r>
        <w:t xml:space="preserve">. However, it could </w:t>
      </w:r>
      <w:r w:rsidR="00A459C1">
        <w:t xml:space="preserve">also </w:t>
      </w:r>
      <w:r>
        <w:t xml:space="preserve">encourage </w:t>
      </w:r>
      <w:r w:rsidR="00A459C1">
        <w:t xml:space="preserve">the </w:t>
      </w:r>
      <w:r>
        <w:t>development to commence sooner</w:t>
      </w:r>
      <w:r w:rsidR="00A459C1">
        <w:t xml:space="preserve"> (rather than </w:t>
      </w:r>
      <w:r w:rsidR="00D271A8">
        <w:t>simply holding the land</w:t>
      </w:r>
      <w:r w:rsidR="00A459C1">
        <w:t>).</w:t>
      </w:r>
      <w:r w:rsidR="002D46C9">
        <w:t xml:space="preserve"> </w:t>
      </w:r>
    </w:p>
    <w:p w14:paraId="7383E725" w14:textId="68D5C475" w:rsidR="00AC6BD1" w:rsidRDefault="00AC6BD1" w:rsidP="00C51564">
      <w:pPr>
        <w:pStyle w:val="ListParagraph"/>
      </w:pPr>
      <w:r w:rsidRPr="00ED6003">
        <w:t>The issues paper also proposes a time limit could be introduced</w:t>
      </w:r>
      <w:r>
        <w:t xml:space="preserve"> </w:t>
      </w:r>
      <w:r w:rsidR="004C2DD5">
        <w:t xml:space="preserve">so if a registered person claims a full input tax </w:t>
      </w:r>
      <w:r w:rsidR="004C2DD5" w:rsidRPr="00383902">
        <w:t xml:space="preserve">deduction for land under the proposed new </w:t>
      </w:r>
      <w:r w:rsidR="00982C09">
        <w:t xml:space="preserve">residential </w:t>
      </w:r>
      <w:r w:rsidR="004C2DD5" w:rsidRPr="00383902">
        <w:t xml:space="preserve">property development rules, </w:t>
      </w:r>
      <w:r w:rsidR="0041668D">
        <w:t xml:space="preserve">they </w:t>
      </w:r>
      <w:r w:rsidR="003F6DC0">
        <w:t>will</w:t>
      </w:r>
      <w:r w:rsidR="0041668D">
        <w:t xml:space="preserve"> </w:t>
      </w:r>
      <w:r w:rsidR="009755B5">
        <w:t xml:space="preserve">generally </w:t>
      </w:r>
      <w:r w:rsidR="0041668D">
        <w:t xml:space="preserve">need to </w:t>
      </w:r>
      <w:r w:rsidR="003F6DC0">
        <w:t>sell the land</w:t>
      </w:r>
      <w:r w:rsidR="0041668D">
        <w:t xml:space="preserve"> </w:t>
      </w:r>
      <w:r w:rsidR="00114AD0">
        <w:t xml:space="preserve">within </w:t>
      </w:r>
      <w:r w:rsidR="003B3A53">
        <w:t>36</w:t>
      </w:r>
      <w:r w:rsidR="00114AD0">
        <w:t xml:space="preserve"> months of the deduction being claimed</w:t>
      </w:r>
      <w:r w:rsidR="004C2DD5" w:rsidRPr="00383902">
        <w:t>.</w:t>
      </w:r>
      <w:r w:rsidR="007A34F7">
        <w:t xml:space="preserve"> </w:t>
      </w:r>
      <w:r w:rsidRPr="00ED6003">
        <w:t xml:space="preserve">The GST registered </w:t>
      </w:r>
      <w:r>
        <w:t>developer</w:t>
      </w:r>
      <w:r w:rsidRPr="00ED6003">
        <w:t xml:space="preserve"> could apply to Inland Revenue for an ex</w:t>
      </w:r>
      <w:r>
        <w:t>tension to th</w:t>
      </w:r>
      <w:r w:rsidR="00B4525E">
        <w:t>is</w:t>
      </w:r>
      <w:r>
        <w:t xml:space="preserve"> time limit</w:t>
      </w:r>
      <w:r w:rsidRPr="00ED6003">
        <w:t xml:space="preserve"> if they can provide evidence that they have actually developed the property (or are continuing to develop it) and intend to sell the property within a certain timeframe.</w:t>
      </w:r>
    </w:p>
    <w:p w14:paraId="62F5F33A" w14:textId="004C4F66" w:rsidR="00AC6BD1" w:rsidRDefault="00AC6BD1" w:rsidP="00AC6BD1">
      <w:pPr>
        <w:pStyle w:val="ListParagraph"/>
      </w:pPr>
      <w:r>
        <w:t xml:space="preserve">To support compliance with the new rules, the issues paper also proposes that GST registered taxpayers would be required to </w:t>
      </w:r>
      <w:r w:rsidR="00C43053">
        <w:t xml:space="preserve">provide certain information to </w:t>
      </w:r>
      <w:r>
        <w:t xml:space="preserve">Inland Revenue when they have claimed input tax deductions on land (as well as </w:t>
      </w:r>
      <w:r w:rsidR="005C25CA">
        <w:t xml:space="preserve">luxury </w:t>
      </w:r>
      <w:r>
        <w:t xml:space="preserve">yachts or aircraft) as this </w:t>
      </w:r>
      <w:r w:rsidR="00872B12">
        <w:t xml:space="preserve">information </w:t>
      </w:r>
      <w:r>
        <w:t xml:space="preserve">will assist Inland Revenue to monitor if these </w:t>
      </w:r>
      <w:r w:rsidR="001A7F64">
        <w:t xml:space="preserve">taxpayers account for GST on any subsequent </w:t>
      </w:r>
      <w:r w:rsidR="004C2CB5">
        <w:t xml:space="preserve">non-taxable </w:t>
      </w:r>
      <w:r w:rsidR="001A7F64">
        <w:t xml:space="preserve">use, or when the asset is sold. </w:t>
      </w:r>
    </w:p>
    <w:p w14:paraId="1781FA9A" w14:textId="51514112" w:rsidR="00653480" w:rsidRDefault="00653480" w:rsidP="00AC6BD1">
      <w:pPr>
        <w:pStyle w:val="ListParagraph"/>
      </w:pPr>
      <w:r>
        <w:t xml:space="preserve">Stakeholders may raise concerns with some of these proposals. The consultation process will allow </w:t>
      </w:r>
      <w:r w:rsidR="006033C4">
        <w:t>officials</w:t>
      </w:r>
      <w:r>
        <w:t xml:space="preserve"> to better refine the proposals towards areas of concern, while mitigating unintended consequences.</w:t>
      </w:r>
    </w:p>
    <w:p w14:paraId="0C233CB2" w14:textId="77777777" w:rsidR="00DF2E1D" w:rsidRDefault="00DF2E1D" w:rsidP="00DF2E1D">
      <w:pPr>
        <w:pStyle w:val="Heading3"/>
      </w:pPr>
      <w:r>
        <w:t>Other potential simplification changes to the existing rules</w:t>
      </w:r>
    </w:p>
    <w:p w14:paraId="3EDC331C" w14:textId="450B3944" w:rsidR="00DF2E1D" w:rsidRDefault="009C71CF" w:rsidP="00DF2E1D">
      <w:pPr>
        <w:pStyle w:val="ListParagraph"/>
      </w:pPr>
      <w:r>
        <w:t>Finally</w:t>
      </w:r>
      <w:r w:rsidR="00DF2E1D">
        <w:t>, the issues paper contains several minor and incremental improvements to the existing apportionment rules</w:t>
      </w:r>
      <w:r>
        <w:t>. These</w:t>
      </w:r>
      <w:r w:rsidR="00DF2E1D">
        <w:t xml:space="preserve"> includ</w:t>
      </w:r>
      <w:r>
        <w:t>e</w:t>
      </w:r>
      <w:r w:rsidR="00DF2E1D">
        <w:t xml:space="preserve"> allowing taxpayers to </w:t>
      </w:r>
      <w:r w:rsidR="001859F5">
        <w:t>make</w:t>
      </w:r>
      <w:r w:rsidR="00DF2E1D">
        <w:t xml:space="preserve"> an adjustment for a permanent change in use </w:t>
      </w:r>
      <w:r w:rsidR="00C20A59">
        <w:t xml:space="preserve">in a wider range of circumstances and </w:t>
      </w:r>
      <w:r w:rsidR="008879DC">
        <w:t xml:space="preserve">12 months earlier than </w:t>
      </w:r>
      <w:r w:rsidR="00C20A59">
        <w:t xml:space="preserve">the </w:t>
      </w:r>
      <w:r w:rsidR="008879DC">
        <w:t>current</w:t>
      </w:r>
      <w:r w:rsidR="00C20A59">
        <w:t xml:space="preserve"> rules</w:t>
      </w:r>
      <w:r w:rsidR="00DF2E1D">
        <w:t>; and repealing certain special rules for land and mixed-use assets because the policy solutions contained in the officials’ issues paper would supersede them.</w:t>
      </w:r>
    </w:p>
    <w:p w14:paraId="3C720709" w14:textId="0C447FDE" w:rsidR="008C6269" w:rsidRPr="000379B2" w:rsidRDefault="008C6269" w:rsidP="00F56C1F">
      <w:pPr>
        <w:pStyle w:val="Heading2"/>
      </w:pPr>
      <w:r w:rsidRPr="000379B2">
        <w:t>Implementation</w:t>
      </w:r>
    </w:p>
    <w:p w14:paraId="06FEA4FB" w14:textId="5DD819F4" w:rsidR="00EA1C80" w:rsidRPr="000379B2" w:rsidRDefault="00EA1C80" w:rsidP="008C6269">
      <w:pPr>
        <w:pStyle w:val="ListParagraph"/>
      </w:pPr>
      <w:r w:rsidRPr="000379B2">
        <w:t xml:space="preserve">The proposals in the officials’ issues paper would require legislative amendments </w:t>
      </w:r>
      <w:r w:rsidR="00D425E5" w:rsidRPr="000379B2">
        <w:t xml:space="preserve">to the Inland Revenue Acts. </w:t>
      </w:r>
      <w:r w:rsidR="00C70C9D" w:rsidRPr="000379B2">
        <w:t>Several</w:t>
      </w:r>
      <w:r w:rsidR="00E40E5D" w:rsidRPr="000379B2">
        <w:t xml:space="preserve"> proposals</w:t>
      </w:r>
      <w:r w:rsidR="00721D88">
        <w:t xml:space="preserve"> would also require the affected GST registered persons to </w:t>
      </w:r>
      <w:r w:rsidR="00015DC4">
        <w:t>d</w:t>
      </w:r>
      <w:r w:rsidR="006925FD" w:rsidRPr="000379B2">
        <w:t>isclose</w:t>
      </w:r>
      <w:r w:rsidR="00015DC4">
        <w:t xml:space="preserve"> information to Inland Revenue</w:t>
      </w:r>
      <w:r w:rsidR="006925FD" w:rsidRPr="000379B2">
        <w:t xml:space="preserve"> </w:t>
      </w:r>
      <w:r w:rsidR="00015DC4">
        <w:t>on</w:t>
      </w:r>
      <w:r w:rsidR="006925FD" w:rsidRPr="000379B2">
        <w:t xml:space="preserve"> certain </w:t>
      </w:r>
      <w:r w:rsidR="005A6742">
        <w:t>purchases of land</w:t>
      </w:r>
      <w:r w:rsidR="000379B2" w:rsidRPr="000379B2">
        <w:t>.</w:t>
      </w:r>
    </w:p>
    <w:p w14:paraId="0B034B73" w14:textId="2FF406B4" w:rsidR="006925FD" w:rsidRPr="000379B2" w:rsidRDefault="006925FD" w:rsidP="008C6269">
      <w:pPr>
        <w:pStyle w:val="ListParagraph"/>
      </w:pPr>
      <w:r w:rsidRPr="000379B2">
        <w:t xml:space="preserve">The purpose of the issues paper is </w:t>
      </w:r>
      <w:r w:rsidR="00B071CD" w:rsidRPr="000379B2">
        <w:t xml:space="preserve">to seek feedback on the proposals, including implementation implications, which will be reported back to </w:t>
      </w:r>
      <w:r w:rsidR="00D97A88" w:rsidRPr="000379B2">
        <w:t xml:space="preserve">Cabinet when final policy decisions are sought. </w:t>
      </w:r>
    </w:p>
    <w:p w14:paraId="428DC11C" w14:textId="77777777" w:rsidR="00125D95" w:rsidRPr="00C65945" w:rsidRDefault="00C65945" w:rsidP="00F56C1F">
      <w:pPr>
        <w:pStyle w:val="Heading2"/>
      </w:pPr>
      <w:r>
        <w:t>Financial Implications</w:t>
      </w:r>
    </w:p>
    <w:p w14:paraId="6CA0E4FA" w14:textId="77DD0227" w:rsidR="002C2D25" w:rsidRPr="002C2D25" w:rsidRDefault="00F547FF" w:rsidP="002C2D25">
      <w:pPr>
        <w:pStyle w:val="ListParagraph"/>
      </w:pPr>
      <w:r w:rsidRPr="00F547FF">
        <w:t>There are no financial implications associated with releasing the GST apportionment and adjustment rules, officials’ issues paper. However, if following public consultation certain policy options are progressed, then their introduction will likely have an impact on forecast Crown revenue. If these options have a net fiscal cost, then consideration will be given to funding the changes through the Tax Policy Scorecard. Any final policy decisions are likely to be effective from the 2022/23 fiscal year onwards at the earliest.</w:t>
      </w:r>
    </w:p>
    <w:p w14:paraId="5E6E99AB" w14:textId="77777777" w:rsidR="00125D95" w:rsidRPr="00C65945" w:rsidRDefault="00125D95" w:rsidP="00F56C1F">
      <w:pPr>
        <w:pStyle w:val="Heading2"/>
      </w:pPr>
      <w:r w:rsidRPr="00C65945">
        <w:t>Legislative Implications</w:t>
      </w:r>
    </w:p>
    <w:p w14:paraId="446A0349" w14:textId="77777777" w:rsidR="00585AB5" w:rsidRDefault="005F4F0A" w:rsidP="00CB0DAC">
      <w:pPr>
        <w:pStyle w:val="ListParagraph"/>
      </w:pPr>
      <w:r>
        <w:t>The decision to consult on the</w:t>
      </w:r>
      <w:r w:rsidR="00674133">
        <w:t xml:space="preserve"> various GST </w:t>
      </w:r>
      <w:r w:rsidR="00E315CB">
        <w:t xml:space="preserve">proposals </w:t>
      </w:r>
      <w:r w:rsidR="00674133">
        <w:t xml:space="preserve">do not give rise to any immediate legislative implications. If, following consultation, Cabinet decides to implement the changes </w:t>
      </w:r>
      <w:r w:rsidR="00723D60">
        <w:t>contained</w:t>
      </w:r>
      <w:r w:rsidR="00674133">
        <w:t xml:space="preserve"> in the officials’ issues paper, enabling legislation will be required. </w:t>
      </w:r>
      <w:r w:rsidR="00CB0DAC">
        <w:t xml:space="preserve">Proposals could be included in an omnibus tax bill in late 2022. </w:t>
      </w:r>
    </w:p>
    <w:p w14:paraId="0685FB4B" w14:textId="50CC3069" w:rsidR="00125D95" w:rsidRDefault="00125D95" w:rsidP="00457755">
      <w:pPr>
        <w:pStyle w:val="Heading2"/>
      </w:pPr>
      <w:r w:rsidRPr="00C65945">
        <w:t>Impact Analysis</w:t>
      </w:r>
    </w:p>
    <w:p w14:paraId="5D06268A" w14:textId="77777777" w:rsidR="00F56C1F" w:rsidRPr="00F56C1F" w:rsidRDefault="00F56C1F" w:rsidP="00F56C1F">
      <w:pPr>
        <w:pStyle w:val="Heading3"/>
      </w:pPr>
      <w:r w:rsidRPr="00F56C1F">
        <w:t>Regulatory Impact Assessment</w:t>
      </w:r>
    </w:p>
    <w:p w14:paraId="0FE43251" w14:textId="3AEA15F4" w:rsidR="00A05224" w:rsidRPr="00FD5411" w:rsidRDefault="00FD5411" w:rsidP="001515E4">
      <w:pPr>
        <w:pStyle w:val="ListParagraph"/>
      </w:pPr>
      <w:r w:rsidRPr="00FD5411">
        <w:t xml:space="preserve">The Regulatory Impact Analysis panel at Inland Revenue has reviewed and confirmed that the </w:t>
      </w:r>
      <w:r w:rsidR="00FF344D" w:rsidRPr="00ED6B43">
        <w:rPr>
          <w:i/>
          <w:iCs/>
        </w:rPr>
        <w:t>GST apportionment and adjustment rules</w:t>
      </w:r>
      <w:r w:rsidR="00FF344D">
        <w:t xml:space="preserve"> </w:t>
      </w:r>
      <w:r w:rsidR="001424D4">
        <w:t xml:space="preserve">officials’ </w:t>
      </w:r>
      <w:r w:rsidR="004F46DC">
        <w:t>issues paper</w:t>
      </w:r>
      <w:r w:rsidRPr="00FD5411">
        <w:t xml:space="preserve"> can substitute for an interim Regulatory Impact Statement. It will lead to effective consultation and support the eventual development of a quality Regulatory Impact Statement</w:t>
      </w:r>
      <w:r w:rsidR="001515E4" w:rsidRPr="00FD5411">
        <w:t xml:space="preserve">. </w:t>
      </w:r>
      <w:bookmarkStart w:id="1" w:name="_Hlk35185440"/>
    </w:p>
    <w:bookmarkEnd w:id="1"/>
    <w:p w14:paraId="406AF7E9" w14:textId="00B84A0E" w:rsidR="00F56C1F" w:rsidRDefault="00F56C1F" w:rsidP="00F56C1F">
      <w:pPr>
        <w:pStyle w:val="Heading3"/>
      </w:pPr>
      <w:r w:rsidRPr="00F56C1F">
        <w:t>Climate Implications of Policy Assessment</w:t>
      </w:r>
    </w:p>
    <w:p w14:paraId="09078C60" w14:textId="77777777" w:rsidR="002D148C" w:rsidRPr="002D148C" w:rsidRDefault="002D148C" w:rsidP="002D148C">
      <w:pPr>
        <w:pStyle w:val="ListParagraph"/>
      </w:pPr>
      <w:r w:rsidRPr="002D148C">
        <w:t xml:space="preserve">The Climate Implications of Policy Assessment (CIPA) team has been consulted and confirms that the CIPA requirements do not apply to this proposal as the threshold for significance is not met. </w:t>
      </w:r>
    </w:p>
    <w:p w14:paraId="17DC85F7" w14:textId="399AF721" w:rsidR="006C47C6" w:rsidRPr="00A41D1C" w:rsidRDefault="006C47C6" w:rsidP="006C47C6">
      <w:pPr>
        <w:pStyle w:val="Heading2"/>
      </w:pPr>
      <w:r w:rsidRPr="00A41D1C">
        <w:t>Population Implications</w:t>
      </w:r>
    </w:p>
    <w:p w14:paraId="53A2AB1E" w14:textId="4F2192FA" w:rsidR="000147BD" w:rsidRPr="00A41D1C" w:rsidRDefault="000147BD" w:rsidP="00DF7755">
      <w:pPr>
        <w:pStyle w:val="ListParagraph"/>
      </w:pPr>
      <w:r w:rsidRPr="00A41D1C">
        <w:t>Releasing the issues paper does not have any population implications.</w:t>
      </w:r>
      <w:r w:rsidR="00401C1A">
        <w:t xml:space="preserve"> Any populations implications resulting from the proposals will be included in final policy advice to Cabinet following consultation.</w:t>
      </w:r>
    </w:p>
    <w:p w14:paraId="48B2B87D" w14:textId="77777777" w:rsidR="001A34A8" w:rsidRPr="00C65945" w:rsidRDefault="001A34A8" w:rsidP="00F56C1F">
      <w:pPr>
        <w:pStyle w:val="Heading2"/>
      </w:pPr>
      <w:r w:rsidRPr="00C65945">
        <w:t xml:space="preserve">Human </w:t>
      </w:r>
      <w:r>
        <w:t>Rights</w:t>
      </w:r>
    </w:p>
    <w:p w14:paraId="0B5C64AC" w14:textId="5CD92CE4" w:rsidR="001A34A8" w:rsidRDefault="004B19AF" w:rsidP="00DF7755">
      <w:pPr>
        <w:pStyle w:val="ListParagraph"/>
      </w:pPr>
      <w:r>
        <w:t>The issues contain</w:t>
      </w:r>
      <w:r w:rsidR="00FE3E9B">
        <w:t xml:space="preserve">ed in the </w:t>
      </w:r>
      <w:r w:rsidR="00723D60">
        <w:t>officials’</w:t>
      </w:r>
      <w:r w:rsidR="00FE3E9B">
        <w:t xml:space="preserve"> issues paper and their policy </w:t>
      </w:r>
      <w:r w:rsidR="00723D60">
        <w:t xml:space="preserve">solutions </w:t>
      </w:r>
      <w:r w:rsidR="00FE3E9B">
        <w:t>do not give rise to any human rights implications.</w:t>
      </w:r>
    </w:p>
    <w:p w14:paraId="728EE0C4" w14:textId="77777777" w:rsidR="00DF2482" w:rsidRPr="00C65945" w:rsidRDefault="00DF2482" w:rsidP="00DF2482">
      <w:pPr>
        <w:pStyle w:val="Heading2"/>
      </w:pPr>
      <w:r w:rsidRPr="00C65945">
        <w:t>Consultation</w:t>
      </w:r>
    </w:p>
    <w:p w14:paraId="6E51A793" w14:textId="7B6F194F" w:rsidR="00DF2482" w:rsidRDefault="00FE3E9B" w:rsidP="00DF2482">
      <w:pPr>
        <w:pStyle w:val="ListParagraph"/>
      </w:pPr>
      <w:r>
        <w:t>The attached officials’ issues paper has been prepared by Inland Revenue.</w:t>
      </w:r>
    </w:p>
    <w:p w14:paraId="7C155E2A" w14:textId="2B4F0C00" w:rsidR="00FE3E9B" w:rsidRPr="00C60AD5" w:rsidRDefault="00FE3E9B" w:rsidP="00DF2482">
      <w:pPr>
        <w:pStyle w:val="ListParagraph"/>
      </w:pPr>
      <w:r w:rsidRPr="00C60AD5">
        <w:t>The</w:t>
      </w:r>
      <w:r w:rsidR="002042DC">
        <w:t xml:space="preserve"> Treasury and the</w:t>
      </w:r>
      <w:r w:rsidRPr="00C60AD5">
        <w:t xml:space="preserve"> </w:t>
      </w:r>
      <w:r w:rsidR="00F02C9D" w:rsidRPr="00C60AD5">
        <w:t>Ministry of Housing and Urban Development have been consulted about the policy options in this cabinet paper and</w:t>
      </w:r>
      <w:r w:rsidR="008631D8">
        <w:t xml:space="preserve"> the</w:t>
      </w:r>
      <w:r w:rsidR="00F02C9D" w:rsidRPr="00C60AD5">
        <w:t xml:space="preserve"> attached officials’ issues paper. </w:t>
      </w:r>
    </w:p>
    <w:p w14:paraId="4D96B3A7" w14:textId="77777777" w:rsidR="00125D95" w:rsidRPr="00C65945" w:rsidRDefault="00DF2482" w:rsidP="00F56C1F">
      <w:pPr>
        <w:pStyle w:val="Heading2"/>
      </w:pPr>
      <w:r>
        <w:t>Communications</w:t>
      </w:r>
    </w:p>
    <w:p w14:paraId="2976F43F" w14:textId="59BF253C" w:rsidR="00856988" w:rsidRPr="00DF7755" w:rsidRDefault="00286E0D" w:rsidP="00DF7755">
      <w:pPr>
        <w:pStyle w:val="ListParagraph"/>
      </w:pPr>
      <w:r>
        <w:t>Subject to Cabinet’s approval, I will direct officials as to when the officials’ issues paper should be published for consultation on Inland Revenue’s website.</w:t>
      </w:r>
    </w:p>
    <w:p w14:paraId="5384E1EA" w14:textId="77777777" w:rsidR="005B44E4" w:rsidRPr="00C65945" w:rsidRDefault="005B44E4" w:rsidP="00F56C1F">
      <w:pPr>
        <w:pStyle w:val="Heading2"/>
      </w:pPr>
      <w:r w:rsidRPr="00C65945">
        <w:t>P</w:t>
      </w:r>
      <w:r>
        <w:t>roactive Release</w:t>
      </w:r>
    </w:p>
    <w:p w14:paraId="2BDB9D5C" w14:textId="1A1E9A82" w:rsidR="001A63C9" w:rsidRDefault="001A63C9" w:rsidP="00DF7755">
      <w:pPr>
        <w:pStyle w:val="ListParagraph"/>
      </w:pPr>
      <w:r>
        <w:t>I propose to proactively release this Cabinet paper, associated minutes, and key advice papers</w:t>
      </w:r>
      <w:r w:rsidR="004C5057">
        <w:t>,</w:t>
      </w:r>
      <w:r>
        <w:t xml:space="preserve"> </w:t>
      </w:r>
      <w:r w:rsidR="001A0E4F">
        <w:t>with appropriate redactions</w:t>
      </w:r>
      <w:r w:rsidR="004C5057">
        <w:t>,</w:t>
      </w:r>
      <w:r>
        <w:t xml:space="preserve"> within 30 working days of </w:t>
      </w:r>
      <w:r w:rsidR="008E101B">
        <w:t>the release of the officials’ issues paper.</w:t>
      </w:r>
    </w:p>
    <w:p w14:paraId="5D8B1E00" w14:textId="77777777" w:rsidR="00125D95" w:rsidRPr="00C65945" w:rsidRDefault="00125D95" w:rsidP="00F56C1F">
      <w:pPr>
        <w:pStyle w:val="Heading2"/>
      </w:pPr>
      <w:r w:rsidRPr="00C65945">
        <w:t>Recommendations</w:t>
      </w:r>
    </w:p>
    <w:p w14:paraId="3D0ABDE4" w14:textId="77777777" w:rsidR="00125D95" w:rsidRDefault="00125D95" w:rsidP="00BC1350">
      <w:r>
        <w:t xml:space="preserve">The Minister </w:t>
      </w:r>
      <w:r w:rsidR="00056241">
        <w:t>of Revenue</w:t>
      </w:r>
      <w:r>
        <w:t xml:space="preserve"> recommends that the </w:t>
      </w:r>
      <w:r w:rsidR="00DA4E93">
        <w:t>Committee</w:t>
      </w:r>
      <w:r>
        <w:t>:</w:t>
      </w:r>
    </w:p>
    <w:p w14:paraId="6023B023" w14:textId="62565454" w:rsidR="00125D95" w:rsidRDefault="004C5057" w:rsidP="00C24496">
      <w:pPr>
        <w:pStyle w:val="ListParagraph"/>
        <w:numPr>
          <w:ilvl w:val="0"/>
          <w:numId w:val="16"/>
        </w:numPr>
      </w:pPr>
      <w:r w:rsidRPr="00FE786C">
        <w:rPr>
          <w:rStyle w:val="Emphasis-Bold"/>
          <w:bCs/>
        </w:rPr>
        <w:t>N</w:t>
      </w:r>
      <w:r w:rsidR="00125D95" w:rsidRPr="00FE786C">
        <w:rPr>
          <w:rStyle w:val="Emphasis-Bold"/>
          <w:bCs/>
        </w:rPr>
        <w:t>ote</w:t>
      </w:r>
      <w:r w:rsidR="00C0601A">
        <w:rPr>
          <w:rStyle w:val="Emphasis-Bold"/>
          <w:b w:val="0"/>
        </w:rPr>
        <w:t xml:space="preserve"> that a number of policy issues have been identified with the existing GST apportionment and adjustment </w:t>
      </w:r>
      <w:proofErr w:type="gramStart"/>
      <w:r w:rsidR="00C0601A">
        <w:rPr>
          <w:rStyle w:val="Emphasis-Bold"/>
          <w:b w:val="0"/>
        </w:rPr>
        <w:t>rules</w:t>
      </w:r>
      <w:r w:rsidR="00E8450F">
        <w:t>;</w:t>
      </w:r>
      <w:proofErr w:type="gramEnd"/>
    </w:p>
    <w:p w14:paraId="24EE019E" w14:textId="336F3911" w:rsidR="00C0601A" w:rsidRDefault="00C0601A" w:rsidP="00C24496">
      <w:pPr>
        <w:pStyle w:val="ListParagraph"/>
        <w:numPr>
          <w:ilvl w:val="0"/>
          <w:numId w:val="16"/>
        </w:numPr>
      </w:pPr>
      <w:r w:rsidRPr="00FE786C">
        <w:rPr>
          <w:b/>
          <w:bCs/>
        </w:rPr>
        <w:t>Note</w:t>
      </w:r>
      <w:r>
        <w:t xml:space="preserve"> that the attached officials’ issues paper,</w:t>
      </w:r>
      <w:r w:rsidR="00BF58FC">
        <w:t xml:space="preserve"> consults on a range of options for simplifying </w:t>
      </w:r>
      <w:r w:rsidR="005C2298">
        <w:t>the existing apportionment and adjustment rules</w:t>
      </w:r>
      <w:r w:rsidR="00AE193A">
        <w:t>,</w:t>
      </w:r>
      <w:r w:rsidR="0081339D">
        <w:t xml:space="preserve"> includ</w:t>
      </w:r>
      <w:r w:rsidR="00BF58FC">
        <w:t>ing</w:t>
      </w:r>
      <w:r>
        <w:t xml:space="preserve">: </w:t>
      </w:r>
    </w:p>
    <w:p w14:paraId="7BF9E899" w14:textId="1CB8F522" w:rsidR="00C4448E" w:rsidRDefault="00FA7DCE" w:rsidP="00C4448E">
      <w:pPr>
        <w:pStyle w:val="ListParagraph"/>
        <w:numPr>
          <w:ilvl w:val="1"/>
          <w:numId w:val="16"/>
        </w:numPr>
      </w:pPr>
      <w:r>
        <w:t xml:space="preserve">Allowing GST registered businesses to elect capital assets not be subject to GST on </w:t>
      </w:r>
      <w:r w:rsidR="00E639BA">
        <w:t xml:space="preserve">purchase or </w:t>
      </w:r>
      <w:r>
        <w:t>sale (</w:t>
      </w:r>
      <w:r w:rsidRPr="000379B2">
        <w:rPr>
          <w:b/>
          <w:bCs/>
        </w:rPr>
        <w:t>the election method</w:t>
      </w:r>
      <w:r>
        <w:t>)</w:t>
      </w:r>
    </w:p>
    <w:p w14:paraId="497BE209" w14:textId="29D648F0" w:rsidR="00C4448E" w:rsidRDefault="00D70269" w:rsidP="00C4448E">
      <w:pPr>
        <w:pStyle w:val="ListParagraph"/>
        <w:numPr>
          <w:ilvl w:val="1"/>
          <w:numId w:val="16"/>
        </w:numPr>
      </w:pPr>
      <w:r>
        <w:t>Introducing a</w:t>
      </w:r>
      <w:r w:rsidR="00C4448E">
        <w:t xml:space="preserve"> </w:t>
      </w:r>
      <w:r w:rsidR="00260776" w:rsidRPr="000379B2">
        <w:rPr>
          <w:b/>
          <w:bCs/>
        </w:rPr>
        <w:t xml:space="preserve">principal purpose </w:t>
      </w:r>
      <w:r w:rsidR="00C4448E" w:rsidRPr="000379B2">
        <w:rPr>
          <w:b/>
          <w:bCs/>
        </w:rPr>
        <w:t xml:space="preserve">test </w:t>
      </w:r>
      <w:r w:rsidR="00C4448E">
        <w:t xml:space="preserve">for assets purchased for less than $5,000 (GST exclusive), </w:t>
      </w:r>
      <w:r w:rsidR="009C102F">
        <w:t>where an asset that is principally acquired for business purposes would claim a full GST input tax deduction</w:t>
      </w:r>
    </w:p>
    <w:p w14:paraId="1D017194" w14:textId="7CD59C33" w:rsidR="00A34EB7" w:rsidRDefault="00D70269" w:rsidP="00A34EB7">
      <w:pPr>
        <w:pStyle w:val="ListParagraph"/>
        <w:numPr>
          <w:ilvl w:val="1"/>
          <w:numId w:val="16"/>
        </w:numPr>
      </w:pPr>
      <w:r>
        <w:t>Introducing a</w:t>
      </w:r>
      <w:r w:rsidR="00A34EB7" w:rsidRPr="00A34EB7">
        <w:t xml:space="preserve"> </w:t>
      </w:r>
      <w:r w:rsidR="00A34EB7" w:rsidRPr="000379B2">
        <w:rPr>
          <w:b/>
          <w:bCs/>
        </w:rPr>
        <w:t xml:space="preserve">20% </w:t>
      </w:r>
      <w:r w:rsidR="00F3433C" w:rsidRPr="000379B2">
        <w:rPr>
          <w:b/>
          <w:bCs/>
        </w:rPr>
        <w:t>margin rule</w:t>
      </w:r>
      <w:r w:rsidR="00A34EB7" w:rsidRPr="00A34EB7">
        <w:t xml:space="preserve">, whereby GST registered businesses would no longer make annual adjustments unless their business or private use of the asset has significantly changed (by more than 20%)  </w:t>
      </w:r>
    </w:p>
    <w:p w14:paraId="22D9929E" w14:textId="0F7B00AD" w:rsidR="0085717D" w:rsidRDefault="00D70269" w:rsidP="0085717D">
      <w:pPr>
        <w:pStyle w:val="ListParagraph"/>
        <w:numPr>
          <w:ilvl w:val="1"/>
          <w:numId w:val="16"/>
        </w:numPr>
      </w:pPr>
      <w:r w:rsidRPr="000379B2">
        <w:t>Introducing</w:t>
      </w:r>
      <w:r>
        <w:rPr>
          <w:b/>
          <w:bCs/>
        </w:rPr>
        <w:t xml:space="preserve"> r</w:t>
      </w:r>
      <w:r w:rsidR="00075025" w:rsidRPr="000379B2">
        <w:rPr>
          <w:b/>
          <w:bCs/>
        </w:rPr>
        <w:t>ounding-based rules</w:t>
      </w:r>
      <w:r w:rsidR="00075025">
        <w:t xml:space="preserve"> </w:t>
      </w:r>
      <w:r w:rsidR="0085717D">
        <w:t xml:space="preserve">for assets that are close to being either fully taxable </w:t>
      </w:r>
      <w:r w:rsidR="00075025">
        <w:t>(80% or more</w:t>
      </w:r>
      <w:r w:rsidR="00ED238A">
        <w:t xml:space="preserve"> taxable use</w:t>
      </w:r>
      <w:r w:rsidR="00075025">
        <w:t xml:space="preserve">) </w:t>
      </w:r>
      <w:r w:rsidR="0085717D">
        <w:t>or fully non-taxable</w:t>
      </w:r>
      <w:r w:rsidR="00075025">
        <w:t xml:space="preserve"> (20% or less</w:t>
      </w:r>
      <w:r w:rsidR="00007007">
        <w:t xml:space="preserve"> taxable</w:t>
      </w:r>
      <w:r w:rsidR="00ED238A">
        <w:t xml:space="preserve"> use</w:t>
      </w:r>
      <w:r w:rsidR="00075025">
        <w:t>)</w:t>
      </w:r>
    </w:p>
    <w:p w14:paraId="6DFE6E6B" w14:textId="1FFEDD42" w:rsidR="0016703E" w:rsidRDefault="0016703E" w:rsidP="00C0601A">
      <w:pPr>
        <w:pStyle w:val="ListParagraph"/>
        <w:numPr>
          <w:ilvl w:val="1"/>
          <w:numId w:val="16"/>
        </w:numPr>
      </w:pPr>
      <w:r>
        <w:t xml:space="preserve">Potential options for improving the </w:t>
      </w:r>
      <w:r w:rsidRPr="000379B2">
        <w:rPr>
          <w:b/>
          <w:bCs/>
        </w:rPr>
        <w:t xml:space="preserve">definitions of </w:t>
      </w:r>
      <w:r w:rsidR="009127B2" w:rsidRPr="000379B2">
        <w:rPr>
          <w:b/>
          <w:bCs/>
        </w:rPr>
        <w:t xml:space="preserve">residential </w:t>
      </w:r>
      <w:r w:rsidRPr="000379B2">
        <w:rPr>
          <w:b/>
          <w:bCs/>
        </w:rPr>
        <w:t xml:space="preserve">and commercial </w:t>
      </w:r>
      <w:r w:rsidR="009127B2" w:rsidRPr="000379B2">
        <w:rPr>
          <w:b/>
          <w:bCs/>
        </w:rPr>
        <w:t>accommodation services</w:t>
      </w:r>
    </w:p>
    <w:p w14:paraId="64946ABC" w14:textId="6CDE1CAC" w:rsidR="00E83A16" w:rsidRDefault="006344F8" w:rsidP="00E83A16">
      <w:pPr>
        <w:pStyle w:val="ListParagraph"/>
        <w:numPr>
          <w:ilvl w:val="1"/>
          <w:numId w:val="16"/>
        </w:numPr>
      </w:pPr>
      <w:r>
        <w:t xml:space="preserve">Discussing if </w:t>
      </w:r>
      <w:r w:rsidR="00580C41" w:rsidRPr="000379B2">
        <w:rPr>
          <w:b/>
          <w:bCs/>
        </w:rPr>
        <w:t xml:space="preserve">special rules </w:t>
      </w:r>
      <w:r w:rsidR="00AF2517">
        <w:rPr>
          <w:b/>
          <w:bCs/>
        </w:rPr>
        <w:t>should apply to</w:t>
      </w:r>
      <w:r w:rsidR="00580C41" w:rsidRPr="000379B2">
        <w:rPr>
          <w:b/>
          <w:bCs/>
        </w:rPr>
        <w:t xml:space="preserve"> the sale of houses</w:t>
      </w:r>
      <w:r w:rsidR="00580C41">
        <w:t xml:space="preserve"> and other types of dwellings, </w:t>
      </w:r>
      <w:r w:rsidR="000236A7">
        <w:t xml:space="preserve">where they are treated as fully private assets and GST exempt on sale </w:t>
      </w:r>
      <w:r w:rsidR="00E83A16" w:rsidRPr="00ED3DB5">
        <w:t xml:space="preserve">by a registered person </w:t>
      </w:r>
      <w:r w:rsidR="000236A7">
        <w:t xml:space="preserve">other than </w:t>
      </w:r>
      <w:r w:rsidR="00E83A16" w:rsidRPr="00ED3DB5">
        <w:t>a property developer</w:t>
      </w:r>
    </w:p>
    <w:p w14:paraId="2CCFACA1" w14:textId="2EF69064" w:rsidR="00E83A16" w:rsidRDefault="00B24EC2" w:rsidP="00E83A16">
      <w:pPr>
        <w:pStyle w:val="ListParagraph"/>
        <w:numPr>
          <w:ilvl w:val="1"/>
          <w:numId w:val="16"/>
        </w:numPr>
      </w:pPr>
      <w:r w:rsidRPr="00CB0656">
        <w:t>Potential options for</w:t>
      </w:r>
      <w:r>
        <w:rPr>
          <w:b/>
          <w:bCs/>
        </w:rPr>
        <w:t xml:space="preserve"> s</w:t>
      </w:r>
      <w:r w:rsidR="009C4709" w:rsidRPr="000379B2">
        <w:rPr>
          <w:b/>
          <w:bCs/>
        </w:rPr>
        <w:t>implify</w:t>
      </w:r>
      <w:r w:rsidR="00C02585" w:rsidRPr="000379B2">
        <w:rPr>
          <w:b/>
          <w:bCs/>
        </w:rPr>
        <w:t>ing</w:t>
      </w:r>
      <w:r w:rsidR="009C4709" w:rsidRPr="000379B2">
        <w:rPr>
          <w:b/>
          <w:bCs/>
        </w:rPr>
        <w:t xml:space="preserve"> </w:t>
      </w:r>
      <w:r w:rsidR="0032707F" w:rsidRPr="000379B2">
        <w:rPr>
          <w:b/>
          <w:bCs/>
        </w:rPr>
        <w:t>the</w:t>
      </w:r>
      <w:r w:rsidR="00CB0656">
        <w:rPr>
          <w:b/>
          <w:bCs/>
        </w:rPr>
        <w:t xml:space="preserve"> GST</w:t>
      </w:r>
      <w:r w:rsidR="0032707F" w:rsidRPr="000379B2">
        <w:rPr>
          <w:b/>
          <w:bCs/>
        </w:rPr>
        <w:t xml:space="preserve"> </w:t>
      </w:r>
      <w:r w:rsidR="00CB0656">
        <w:rPr>
          <w:b/>
          <w:bCs/>
        </w:rPr>
        <w:t xml:space="preserve">apportionment </w:t>
      </w:r>
      <w:r w:rsidR="0032707F" w:rsidRPr="000379B2">
        <w:rPr>
          <w:b/>
          <w:bCs/>
        </w:rPr>
        <w:t xml:space="preserve">rules </w:t>
      </w:r>
      <w:r w:rsidR="009C4709" w:rsidRPr="000379B2">
        <w:rPr>
          <w:b/>
          <w:bCs/>
        </w:rPr>
        <w:t>for residential property developers</w:t>
      </w:r>
      <w:r w:rsidR="009C4709" w:rsidRPr="009C4709">
        <w:t xml:space="preserve"> whilst also encouraging land to be developed and sold </w:t>
      </w:r>
      <w:r w:rsidR="009A187D">
        <w:t>sooner</w:t>
      </w:r>
    </w:p>
    <w:p w14:paraId="3F0FB496" w14:textId="5CA1318B" w:rsidR="00554BE6" w:rsidRDefault="00554BE6" w:rsidP="00C0601A">
      <w:pPr>
        <w:pStyle w:val="ListParagraph"/>
        <w:numPr>
          <w:ilvl w:val="1"/>
          <w:numId w:val="16"/>
        </w:numPr>
      </w:pPr>
      <w:r>
        <w:t xml:space="preserve">Other </w:t>
      </w:r>
      <w:r w:rsidRPr="000379B2">
        <w:rPr>
          <w:b/>
          <w:bCs/>
        </w:rPr>
        <w:t xml:space="preserve">minor and </w:t>
      </w:r>
      <w:r w:rsidR="00FE786C" w:rsidRPr="000379B2">
        <w:rPr>
          <w:b/>
          <w:bCs/>
        </w:rPr>
        <w:t>incremental</w:t>
      </w:r>
      <w:r w:rsidRPr="000379B2">
        <w:rPr>
          <w:b/>
          <w:bCs/>
        </w:rPr>
        <w:t xml:space="preserve"> improvements</w:t>
      </w:r>
      <w:r>
        <w:t xml:space="preserve"> </w:t>
      </w:r>
      <w:r w:rsidR="00FE786C">
        <w:t xml:space="preserve">that seek to reduce compliance costs for </w:t>
      </w:r>
      <w:r w:rsidR="00FE1E3D">
        <w:t xml:space="preserve">GST registered businesses </w:t>
      </w:r>
      <w:r w:rsidR="00FE786C">
        <w:t xml:space="preserve">and remove rules that are superseded by policy options outlined in the officials’ issues </w:t>
      </w:r>
      <w:proofErr w:type="gramStart"/>
      <w:r w:rsidR="00FE786C">
        <w:t>paper</w:t>
      </w:r>
      <w:r w:rsidR="00254FBB">
        <w:t>;</w:t>
      </w:r>
      <w:proofErr w:type="gramEnd"/>
    </w:p>
    <w:p w14:paraId="54292686" w14:textId="243ED073" w:rsidR="00125D95" w:rsidRDefault="00FE786C" w:rsidP="00C24496">
      <w:pPr>
        <w:pStyle w:val="ListParagraph"/>
        <w:numPr>
          <w:ilvl w:val="0"/>
          <w:numId w:val="16"/>
        </w:numPr>
      </w:pPr>
      <w:r w:rsidRPr="00FE786C">
        <w:rPr>
          <w:b/>
          <w:bCs/>
        </w:rPr>
        <w:t>A</w:t>
      </w:r>
      <w:r w:rsidR="00491458">
        <w:rPr>
          <w:b/>
          <w:bCs/>
        </w:rPr>
        <w:t>pprove</w:t>
      </w:r>
      <w:r w:rsidR="00125D95" w:rsidRPr="00DF7755">
        <w:t xml:space="preserve"> that</w:t>
      </w:r>
      <w:r>
        <w:t xml:space="preserve">, subject to minor editorial changes, the attached officials’ issues paper </w:t>
      </w:r>
      <w:r w:rsidR="00ED6B43" w:rsidRPr="00ED6B43">
        <w:rPr>
          <w:i/>
          <w:iCs/>
        </w:rPr>
        <w:t>GST apportionment and adjustment rules</w:t>
      </w:r>
      <w:r>
        <w:t xml:space="preserve">, be approved to be released on Inland Revenue’s website for public </w:t>
      </w:r>
      <w:proofErr w:type="gramStart"/>
      <w:r>
        <w:t>consultation;</w:t>
      </w:r>
      <w:proofErr w:type="gramEnd"/>
      <w:r>
        <w:t xml:space="preserve"> </w:t>
      </w:r>
    </w:p>
    <w:p w14:paraId="7870B974" w14:textId="03FC9EF9" w:rsidR="00FE786C" w:rsidRDefault="00FE786C" w:rsidP="00C24496">
      <w:pPr>
        <w:pStyle w:val="ListParagraph"/>
        <w:numPr>
          <w:ilvl w:val="0"/>
          <w:numId w:val="16"/>
        </w:numPr>
      </w:pPr>
      <w:r w:rsidRPr="00FE786C">
        <w:rPr>
          <w:b/>
          <w:bCs/>
        </w:rPr>
        <w:t>Authorise</w:t>
      </w:r>
      <w:r>
        <w:t xml:space="preserve"> the Minister of Revenue to approve minor changes to the officials’ issues paper prior to its </w:t>
      </w:r>
      <w:proofErr w:type="gramStart"/>
      <w:r>
        <w:t>release;</w:t>
      </w:r>
      <w:proofErr w:type="gramEnd"/>
    </w:p>
    <w:p w14:paraId="797F7B3D" w14:textId="610FA368" w:rsidR="00FE786C" w:rsidRDefault="00FE786C" w:rsidP="00C24496">
      <w:pPr>
        <w:pStyle w:val="ListParagraph"/>
        <w:numPr>
          <w:ilvl w:val="0"/>
          <w:numId w:val="16"/>
        </w:numPr>
      </w:pPr>
      <w:r w:rsidRPr="00FE786C">
        <w:rPr>
          <w:b/>
          <w:bCs/>
        </w:rPr>
        <w:t>Authorise</w:t>
      </w:r>
      <w:r>
        <w:t xml:space="preserve"> the Minister of Revenue to prescribe the date for when the officials’ issues paper will be released</w:t>
      </w:r>
      <w:r w:rsidR="004823C8">
        <w:t>.</w:t>
      </w:r>
    </w:p>
    <w:p w14:paraId="0328F7B8" w14:textId="77777777" w:rsidR="00F56C1F" w:rsidRPr="00DF7755" w:rsidRDefault="00F56C1F" w:rsidP="00DF7755"/>
    <w:p w14:paraId="55B3F1F5" w14:textId="77777777" w:rsidR="00125D95" w:rsidRPr="00DF7755" w:rsidRDefault="00125D95" w:rsidP="00DF7755">
      <w:r w:rsidRPr="00DF7755">
        <w:t>Authorised for lodgement</w:t>
      </w:r>
    </w:p>
    <w:p w14:paraId="735632F9" w14:textId="77777777" w:rsidR="00125D95" w:rsidRPr="00DF7755" w:rsidRDefault="00125D95" w:rsidP="00DF7755">
      <w:pPr>
        <w:spacing w:after="0"/>
      </w:pPr>
      <w:r w:rsidRPr="00DF7755">
        <w:t xml:space="preserve">Hon </w:t>
      </w:r>
      <w:r w:rsidR="00622439">
        <w:t>David Parker</w:t>
      </w:r>
    </w:p>
    <w:p w14:paraId="4CEE6BAC" w14:textId="77777777" w:rsidR="00CF787A" w:rsidRPr="00DF7755" w:rsidRDefault="00125D95" w:rsidP="00DF7755">
      <w:r w:rsidRPr="00DF7755">
        <w:t xml:space="preserve">Minister </w:t>
      </w:r>
      <w:r w:rsidR="00056241" w:rsidRPr="00DF7755">
        <w:t>of Revenue</w:t>
      </w:r>
    </w:p>
    <w:sectPr w:rsidR="00CF787A" w:rsidRPr="00DF7755" w:rsidSect="00A80350">
      <w:headerReference w:type="default" r:id="rId7"/>
      <w:footerReference w:type="default" r:id="rId8"/>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F67D" w14:textId="77777777" w:rsidR="00DC6509" w:rsidRDefault="00DC6509" w:rsidP="00F31991">
      <w:pPr>
        <w:spacing w:after="0"/>
      </w:pPr>
      <w:r>
        <w:separator/>
      </w:r>
    </w:p>
  </w:endnote>
  <w:endnote w:type="continuationSeparator" w:id="0">
    <w:p w14:paraId="79054944" w14:textId="77777777" w:rsidR="00DC6509" w:rsidRDefault="00DC6509" w:rsidP="00F31991">
      <w:pPr>
        <w:spacing w:after="0"/>
      </w:pPr>
      <w:r>
        <w:continuationSeparator/>
      </w:r>
    </w:p>
  </w:endnote>
  <w:endnote w:type="continuationNotice" w:id="1">
    <w:p w14:paraId="470C53ED" w14:textId="77777777" w:rsidR="00DC6509" w:rsidRDefault="00DC65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11066"/>
      <w:docPartObj>
        <w:docPartGallery w:val="Page Numbers (Top of Page)"/>
        <w:docPartUnique/>
      </w:docPartObj>
    </w:sdtPr>
    <w:sdtEndPr>
      <w:rPr>
        <w:noProof/>
      </w:rPr>
    </w:sdtEndPr>
    <w:sdtContent>
      <w:p w14:paraId="1ECD9297" w14:textId="4EA03938" w:rsidR="00A80350" w:rsidRDefault="00A80350" w:rsidP="00A80350">
        <w:pPr>
          <w:pStyle w:val="Header"/>
          <w:jc w:val="center"/>
        </w:pPr>
        <w:r>
          <w:fldChar w:fldCharType="begin"/>
        </w:r>
        <w:r>
          <w:instrText xml:space="preserve"> PAGE   \* MERGEFORMAT </w:instrText>
        </w:r>
        <w:r>
          <w:fldChar w:fldCharType="separate"/>
        </w:r>
        <w:r w:rsidR="0098593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820D" w14:textId="77777777" w:rsidR="00DC6509" w:rsidRDefault="00DC6509" w:rsidP="00F31991">
      <w:pPr>
        <w:spacing w:after="0"/>
      </w:pPr>
      <w:r>
        <w:separator/>
      </w:r>
    </w:p>
  </w:footnote>
  <w:footnote w:type="continuationSeparator" w:id="0">
    <w:p w14:paraId="64A3E7F5" w14:textId="77777777" w:rsidR="00DC6509" w:rsidRDefault="00DC6509" w:rsidP="00F31991">
      <w:pPr>
        <w:spacing w:after="0"/>
      </w:pPr>
      <w:r>
        <w:continuationSeparator/>
      </w:r>
    </w:p>
  </w:footnote>
  <w:footnote w:type="continuationNotice" w:id="1">
    <w:p w14:paraId="36C6FF45" w14:textId="77777777" w:rsidR="00DC6509" w:rsidRDefault="00DC6509">
      <w:pPr>
        <w:spacing w:after="0"/>
      </w:pPr>
    </w:p>
  </w:footnote>
  <w:footnote w:id="2">
    <w:p w14:paraId="6B9FBBDD" w14:textId="77777777" w:rsidR="00BC699D" w:rsidRDefault="00BC699D">
      <w:pPr>
        <w:pStyle w:val="FootnoteText"/>
      </w:pPr>
      <w:r>
        <w:rPr>
          <w:rStyle w:val="FootnoteReference"/>
        </w:rPr>
        <w:footnoteRef/>
      </w:r>
      <w:r>
        <w:t xml:space="preserve"> See </w:t>
      </w:r>
      <w:hyperlink r:id="rId1" w:anchor="section-13" w:history="1">
        <w:r w:rsidRPr="00BA5463">
          <w:rPr>
            <w:rStyle w:val="Hyperlink"/>
          </w:rPr>
          <w:t>https://treasury.govt.nz/publications/wellbeing-budget/wellbeing-budget-2019-html#section-13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BC60" w14:textId="047F8289" w:rsidR="00F85911" w:rsidRDefault="006D6D3D">
    <w:pPr>
      <w:pStyle w:val="Header"/>
    </w:pPr>
    <w:r>
      <w:rPr>
        <w:noProof/>
      </w:rPr>
      <mc:AlternateContent>
        <mc:Choice Requires="wps">
          <w:drawing>
            <wp:anchor distT="0" distB="0" distL="114300" distR="114300" simplePos="0" relativeHeight="251659264" behindDoc="0" locked="0" layoutInCell="0" allowOverlap="1" wp14:anchorId="2ABF6570" wp14:editId="7D5993B4">
              <wp:simplePos x="0" y="0"/>
              <wp:positionH relativeFrom="page">
                <wp:posOffset>0</wp:posOffset>
              </wp:positionH>
              <wp:positionV relativeFrom="page">
                <wp:posOffset>190500</wp:posOffset>
              </wp:positionV>
              <wp:extent cx="7560310" cy="271780"/>
              <wp:effectExtent l="0" t="0" r="0" b="13970"/>
              <wp:wrapNone/>
              <wp:docPr id="2" name="MSIPCMc2f240268347fd92f7f4bed6"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AED769" w14:textId="47D94AED" w:rsidR="006D6D3D" w:rsidRPr="006D6D3D" w:rsidRDefault="006D6D3D" w:rsidP="006D6D3D">
                          <w:pPr>
                            <w:spacing w:after="0"/>
                            <w:jc w:val="center"/>
                            <w:rPr>
                              <w:rFonts w:ascii="Verdana" w:hAnsi="Verdana"/>
                              <w:color w:val="000000"/>
                              <w:sz w:val="20"/>
                            </w:rPr>
                          </w:pPr>
                          <w:r w:rsidRPr="006D6D3D">
                            <w:rPr>
                              <w:rFonts w:ascii="Verdana" w:hAnsi="Verdana"/>
                              <w:color w:val="000000"/>
                              <w:sz w:val="2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ABF6570" id="_x0000_t202" coordsize="21600,21600" o:spt="202" path="m,l,21600r21600,l21600,xe">
              <v:stroke joinstyle="miter"/>
              <v:path gradientshapeok="t" o:connecttype="rect"/>
            </v:shapetype>
            <v:shape id="MSIPCMc2f240268347fd92f7f4bed6" o:spid="_x0000_s1026" type="#_x0000_t202" alt="{&quot;HashCode&quot;:-1751313585,&quot;Height&quot;:841.0,&quot;Width&quot;:595.0,&quot;Placement&quot;:&quot;Header&quot;,&quot;Index&quot;:&quot;Primary&quot;,&quot;Section&quot;:1,&quot;Top&quot;:0.0,&quot;Left&quot;:0.0}" style="position:absolute;left:0;text-align:left;margin-left:0;margin-top:15pt;width:595.3pt;height:21.4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" o:allowincell="f" filled="f" stroked="f" strokeweight=".5pt">
              <v:fill o:detectmouseclick="t"/>
              <v:textbox inset=",0,,0">
                <w:txbxContent>
                  <w:p w14:paraId="10AED769" w14:textId="47D94AED" w:rsidR="006D6D3D" w:rsidRPr="006D6D3D" w:rsidRDefault="006D6D3D" w:rsidP="006D6D3D">
                    <w:pPr>
                      <w:spacing w:after="0"/>
                      <w:jc w:val="center"/>
                      <w:rPr>
                        <w:rFonts w:ascii="Verdana" w:hAnsi="Verdana"/>
                        <w:color w:val="000000"/>
                        <w:sz w:val="20"/>
                      </w:rPr>
                    </w:pPr>
                    <w:r w:rsidRPr="006D6D3D">
                      <w:rPr>
                        <w:rFonts w:ascii="Verdana" w:hAnsi="Verdana"/>
                        <w:color w:val="000000"/>
                        <w:sz w:val="20"/>
                      </w:rPr>
                      <w:t xml:space="preserve">[IN CONFIDENCE]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B4B"/>
    <w:multiLevelType w:val="hybridMultilevel"/>
    <w:tmpl w:val="4412C58E"/>
    <w:lvl w:ilvl="0" w:tplc="7478A526">
      <w:start w:val="1"/>
      <w:numFmt w:val="decimal"/>
      <w:lvlText w:val="%1."/>
      <w:lvlJc w:val="left"/>
      <w:pPr>
        <w:ind w:left="360" w:hanging="360"/>
      </w:pPr>
      <w:rPr>
        <w:rFonts w:ascii="Verdana" w:hAnsi="Verdana" w:hint="default"/>
        <w:color w:val="auto"/>
        <w:sz w:val="20"/>
        <w:szCs w:val="2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FB80181"/>
    <w:multiLevelType w:val="multilevel"/>
    <w:tmpl w:val="A0901D50"/>
    <w:lvl w:ilvl="0">
      <w:start w:val="1"/>
      <w:numFmt w:val="decimal"/>
      <w:lvlText w:val="%1"/>
      <w:lvlJc w:val="left"/>
      <w:pPr>
        <w:tabs>
          <w:tab w:val="num" w:pos="720"/>
        </w:tabs>
        <w:ind w:left="720" w:hanging="720"/>
      </w:pPr>
      <w:rPr>
        <w:rFonts w:ascii="Arial" w:hAnsi="Arial" w:hint="default"/>
        <w:sz w:val="23"/>
      </w:rPr>
    </w:lvl>
    <w:lvl w:ilvl="1">
      <w:start w:val="1"/>
      <w:numFmt w:val="decimal"/>
      <w:lvlText w:val="%1.%2"/>
      <w:lvlJc w:val="left"/>
      <w:pPr>
        <w:tabs>
          <w:tab w:val="num" w:pos="1440"/>
        </w:tabs>
        <w:ind w:left="1440" w:hanging="720"/>
      </w:pPr>
      <w:rPr>
        <w:rFonts w:ascii="Arial" w:hAnsi="Arial" w:hint="default"/>
        <w:sz w:val="23"/>
      </w:rPr>
    </w:lvl>
    <w:lvl w:ilvl="2">
      <w:start w:val="1"/>
      <w:numFmt w:val="decimal"/>
      <w:lvlText w:val="%1.%2.%3"/>
      <w:lvlJc w:val="left"/>
      <w:pPr>
        <w:tabs>
          <w:tab w:val="num" w:pos="2160"/>
        </w:tabs>
        <w:ind w:left="2160" w:hanging="720"/>
      </w:pPr>
      <w:rPr>
        <w:rFonts w:ascii="Arial" w:hAnsi="Arial" w:hint="default"/>
        <w:sz w:val="23"/>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22FE229E"/>
    <w:multiLevelType w:val="hybridMultilevel"/>
    <w:tmpl w:val="67BC2AA0"/>
    <w:lvl w:ilvl="0" w:tplc="E040930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34B00636"/>
    <w:multiLevelType w:val="multilevel"/>
    <w:tmpl w:val="AE98789A"/>
    <w:lvl w:ilvl="0">
      <w:start w:val="1"/>
      <w:numFmt w:val="bullet"/>
      <w:pStyle w:val="BulletedParagraph"/>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4" w15:restartNumberingAfterBreak="0">
    <w:nsid w:val="3D2E4A21"/>
    <w:multiLevelType w:val="multilevel"/>
    <w:tmpl w:val="494697A6"/>
    <w:lvl w:ilvl="0">
      <w:start w:val="1"/>
      <w:numFmt w:val="decimal"/>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5" w15:restartNumberingAfterBreak="0">
    <w:nsid w:val="63993153"/>
    <w:multiLevelType w:val="multilevel"/>
    <w:tmpl w:val="494697A6"/>
    <w:lvl w:ilvl="0">
      <w:start w:val="1"/>
      <w:numFmt w:val="decimal"/>
      <w:pStyle w:val="ListParagraph"/>
      <w:lvlText w:val="%1."/>
      <w:lvlJc w:val="left"/>
      <w:pPr>
        <w:tabs>
          <w:tab w:val="num" w:pos="709"/>
        </w:tabs>
        <w:ind w:left="709" w:hanging="709"/>
      </w:pPr>
      <w:rPr>
        <w:rFonts w:ascii="Arial" w:hAnsi="Arial" w:hint="default"/>
        <w:sz w:val="24"/>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5"/>
  </w:num>
  <w:num w:numId="6">
    <w:abstractNumId w:val="5"/>
  </w:num>
  <w:num w:numId="7">
    <w:abstractNumId w:val="5"/>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0"/>
  </w:num>
  <w:num w:numId="18">
    <w:abstractNumId w:val="5"/>
  </w:num>
  <w:num w:numId="19">
    <w:abstractNumId w:val="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11"/>
    <w:rsid w:val="00001519"/>
    <w:rsid w:val="0000226F"/>
    <w:rsid w:val="0000241F"/>
    <w:rsid w:val="000024C1"/>
    <w:rsid w:val="00003E38"/>
    <w:rsid w:val="00005F52"/>
    <w:rsid w:val="00006F31"/>
    <w:rsid w:val="00007007"/>
    <w:rsid w:val="000126F8"/>
    <w:rsid w:val="0001278F"/>
    <w:rsid w:val="00012D6F"/>
    <w:rsid w:val="000134DD"/>
    <w:rsid w:val="000147BD"/>
    <w:rsid w:val="00015DC4"/>
    <w:rsid w:val="00016988"/>
    <w:rsid w:val="00020835"/>
    <w:rsid w:val="00020EE9"/>
    <w:rsid w:val="00023588"/>
    <w:rsid w:val="000236A7"/>
    <w:rsid w:val="000242D9"/>
    <w:rsid w:val="00025CC7"/>
    <w:rsid w:val="000266D3"/>
    <w:rsid w:val="000312BE"/>
    <w:rsid w:val="00031B47"/>
    <w:rsid w:val="00032A67"/>
    <w:rsid w:val="00033191"/>
    <w:rsid w:val="00033990"/>
    <w:rsid w:val="00035EDD"/>
    <w:rsid w:val="00036269"/>
    <w:rsid w:val="000379B2"/>
    <w:rsid w:val="000406AA"/>
    <w:rsid w:val="00040C2D"/>
    <w:rsid w:val="00041A45"/>
    <w:rsid w:val="00041D61"/>
    <w:rsid w:val="00045E78"/>
    <w:rsid w:val="00046D91"/>
    <w:rsid w:val="00050608"/>
    <w:rsid w:val="00051407"/>
    <w:rsid w:val="000523C9"/>
    <w:rsid w:val="00052618"/>
    <w:rsid w:val="00052D0B"/>
    <w:rsid w:val="00053819"/>
    <w:rsid w:val="000550FD"/>
    <w:rsid w:val="00056241"/>
    <w:rsid w:val="00056250"/>
    <w:rsid w:val="00056E0B"/>
    <w:rsid w:val="0005776A"/>
    <w:rsid w:val="00063B9D"/>
    <w:rsid w:val="00065F81"/>
    <w:rsid w:val="000664B9"/>
    <w:rsid w:val="00071F5C"/>
    <w:rsid w:val="00072A32"/>
    <w:rsid w:val="00072B5D"/>
    <w:rsid w:val="00072E05"/>
    <w:rsid w:val="00072FE0"/>
    <w:rsid w:val="00073CD2"/>
    <w:rsid w:val="00074AE1"/>
    <w:rsid w:val="00075025"/>
    <w:rsid w:val="0007603C"/>
    <w:rsid w:val="000816EC"/>
    <w:rsid w:val="00083822"/>
    <w:rsid w:val="00086AD9"/>
    <w:rsid w:val="00086C64"/>
    <w:rsid w:val="00091B1C"/>
    <w:rsid w:val="000922E6"/>
    <w:rsid w:val="0009256C"/>
    <w:rsid w:val="00092832"/>
    <w:rsid w:val="00093F7B"/>
    <w:rsid w:val="0009720B"/>
    <w:rsid w:val="000978C8"/>
    <w:rsid w:val="000A187D"/>
    <w:rsid w:val="000A3F00"/>
    <w:rsid w:val="000A5677"/>
    <w:rsid w:val="000A5C93"/>
    <w:rsid w:val="000A69A7"/>
    <w:rsid w:val="000A7DF7"/>
    <w:rsid w:val="000B0F15"/>
    <w:rsid w:val="000B1698"/>
    <w:rsid w:val="000B16A5"/>
    <w:rsid w:val="000B1752"/>
    <w:rsid w:val="000B6A8C"/>
    <w:rsid w:val="000C10EA"/>
    <w:rsid w:val="000C4273"/>
    <w:rsid w:val="000C4ADC"/>
    <w:rsid w:val="000C66E1"/>
    <w:rsid w:val="000C6F33"/>
    <w:rsid w:val="000D0EA0"/>
    <w:rsid w:val="000D215A"/>
    <w:rsid w:val="000D21B0"/>
    <w:rsid w:val="000D4ED7"/>
    <w:rsid w:val="000D50C9"/>
    <w:rsid w:val="000D5D18"/>
    <w:rsid w:val="000D6069"/>
    <w:rsid w:val="000D6665"/>
    <w:rsid w:val="000D6953"/>
    <w:rsid w:val="000D7199"/>
    <w:rsid w:val="000D7A0A"/>
    <w:rsid w:val="000E338D"/>
    <w:rsid w:val="000E3863"/>
    <w:rsid w:val="000E4238"/>
    <w:rsid w:val="000E5AAC"/>
    <w:rsid w:val="000E6AF1"/>
    <w:rsid w:val="000E70C8"/>
    <w:rsid w:val="000F2CEF"/>
    <w:rsid w:val="000F3838"/>
    <w:rsid w:val="000F4843"/>
    <w:rsid w:val="000F4E01"/>
    <w:rsid w:val="000F5B28"/>
    <w:rsid w:val="00100145"/>
    <w:rsid w:val="0010286B"/>
    <w:rsid w:val="00104A28"/>
    <w:rsid w:val="00106029"/>
    <w:rsid w:val="00106F97"/>
    <w:rsid w:val="00107C4C"/>
    <w:rsid w:val="00112E77"/>
    <w:rsid w:val="00114AD0"/>
    <w:rsid w:val="001150CE"/>
    <w:rsid w:val="0011562F"/>
    <w:rsid w:val="001203CB"/>
    <w:rsid w:val="00122E00"/>
    <w:rsid w:val="001237B3"/>
    <w:rsid w:val="00123C7B"/>
    <w:rsid w:val="00123F34"/>
    <w:rsid w:val="00125D95"/>
    <w:rsid w:val="0012624F"/>
    <w:rsid w:val="0013353D"/>
    <w:rsid w:val="00134275"/>
    <w:rsid w:val="00134B27"/>
    <w:rsid w:val="00135812"/>
    <w:rsid w:val="0014060F"/>
    <w:rsid w:val="00140A54"/>
    <w:rsid w:val="00140D7A"/>
    <w:rsid w:val="001424D4"/>
    <w:rsid w:val="00145CC1"/>
    <w:rsid w:val="00145F6E"/>
    <w:rsid w:val="0014618B"/>
    <w:rsid w:val="0014765D"/>
    <w:rsid w:val="00150B90"/>
    <w:rsid w:val="001515E4"/>
    <w:rsid w:val="001526A7"/>
    <w:rsid w:val="00160467"/>
    <w:rsid w:val="00161809"/>
    <w:rsid w:val="00162825"/>
    <w:rsid w:val="00163B38"/>
    <w:rsid w:val="00163E34"/>
    <w:rsid w:val="00166532"/>
    <w:rsid w:val="0016703E"/>
    <w:rsid w:val="00167C6C"/>
    <w:rsid w:val="00171135"/>
    <w:rsid w:val="00171D76"/>
    <w:rsid w:val="00173D2D"/>
    <w:rsid w:val="00174403"/>
    <w:rsid w:val="00174F5C"/>
    <w:rsid w:val="001753B2"/>
    <w:rsid w:val="00176A86"/>
    <w:rsid w:val="00180957"/>
    <w:rsid w:val="0018378A"/>
    <w:rsid w:val="001859F5"/>
    <w:rsid w:val="001863DF"/>
    <w:rsid w:val="001869B6"/>
    <w:rsid w:val="001908C0"/>
    <w:rsid w:val="00190CB0"/>
    <w:rsid w:val="00191B95"/>
    <w:rsid w:val="00192429"/>
    <w:rsid w:val="0019361F"/>
    <w:rsid w:val="00194121"/>
    <w:rsid w:val="001949C0"/>
    <w:rsid w:val="0019582F"/>
    <w:rsid w:val="00195D1F"/>
    <w:rsid w:val="00196E8A"/>
    <w:rsid w:val="0019734B"/>
    <w:rsid w:val="001A0E4F"/>
    <w:rsid w:val="001A1389"/>
    <w:rsid w:val="001A34A8"/>
    <w:rsid w:val="001A34CF"/>
    <w:rsid w:val="001A3F0C"/>
    <w:rsid w:val="001A4D3A"/>
    <w:rsid w:val="001A63C9"/>
    <w:rsid w:val="001A7F64"/>
    <w:rsid w:val="001B23D7"/>
    <w:rsid w:val="001B311F"/>
    <w:rsid w:val="001B757B"/>
    <w:rsid w:val="001C2B94"/>
    <w:rsid w:val="001C4061"/>
    <w:rsid w:val="001C4BD4"/>
    <w:rsid w:val="001C6A4E"/>
    <w:rsid w:val="001C6AB8"/>
    <w:rsid w:val="001C6D81"/>
    <w:rsid w:val="001D2F38"/>
    <w:rsid w:val="001D4C79"/>
    <w:rsid w:val="001D61C7"/>
    <w:rsid w:val="001D6CA1"/>
    <w:rsid w:val="001D6E8D"/>
    <w:rsid w:val="001E0AA1"/>
    <w:rsid w:val="001E0E26"/>
    <w:rsid w:val="001E1B0E"/>
    <w:rsid w:val="001E39C0"/>
    <w:rsid w:val="001E4D25"/>
    <w:rsid w:val="001F3875"/>
    <w:rsid w:val="001F3B28"/>
    <w:rsid w:val="001F3F76"/>
    <w:rsid w:val="001F4307"/>
    <w:rsid w:val="001F4FC1"/>
    <w:rsid w:val="001F6EAC"/>
    <w:rsid w:val="001F6FA4"/>
    <w:rsid w:val="0020165C"/>
    <w:rsid w:val="00201A5B"/>
    <w:rsid w:val="002042DC"/>
    <w:rsid w:val="00204DDD"/>
    <w:rsid w:val="0020563B"/>
    <w:rsid w:val="002056D1"/>
    <w:rsid w:val="00210747"/>
    <w:rsid w:val="002112EA"/>
    <w:rsid w:val="00211E14"/>
    <w:rsid w:val="00211E30"/>
    <w:rsid w:val="00211E4F"/>
    <w:rsid w:val="00213A53"/>
    <w:rsid w:val="00214590"/>
    <w:rsid w:val="00216E51"/>
    <w:rsid w:val="002203DD"/>
    <w:rsid w:val="00220513"/>
    <w:rsid w:val="00222117"/>
    <w:rsid w:val="002223F7"/>
    <w:rsid w:val="002239D4"/>
    <w:rsid w:val="00223BF4"/>
    <w:rsid w:val="00227692"/>
    <w:rsid w:val="002276B7"/>
    <w:rsid w:val="00230B69"/>
    <w:rsid w:val="00231486"/>
    <w:rsid w:val="00231ABD"/>
    <w:rsid w:val="002335DA"/>
    <w:rsid w:val="0023383D"/>
    <w:rsid w:val="00233BAB"/>
    <w:rsid w:val="00234A0E"/>
    <w:rsid w:val="0023705A"/>
    <w:rsid w:val="00237881"/>
    <w:rsid w:val="00237F0F"/>
    <w:rsid w:val="002434A1"/>
    <w:rsid w:val="0024476A"/>
    <w:rsid w:val="00244EA9"/>
    <w:rsid w:val="00244F81"/>
    <w:rsid w:val="00245EAC"/>
    <w:rsid w:val="00246113"/>
    <w:rsid w:val="00246532"/>
    <w:rsid w:val="002518B4"/>
    <w:rsid w:val="00254216"/>
    <w:rsid w:val="00254FBB"/>
    <w:rsid w:val="00255A5D"/>
    <w:rsid w:val="00256513"/>
    <w:rsid w:val="00257E2D"/>
    <w:rsid w:val="00260776"/>
    <w:rsid w:val="00260D93"/>
    <w:rsid w:val="00264688"/>
    <w:rsid w:val="002646AF"/>
    <w:rsid w:val="002673BD"/>
    <w:rsid w:val="002706DB"/>
    <w:rsid w:val="00274143"/>
    <w:rsid w:val="00274D3A"/>
    <w:rsid w:val="00281C3F"/>
    <w:rsid w:val="00283CB9"/>
    <w:rsid w:val="00284D2A"/>
    <w:rsid w:val="00284EA4"/>
    <w:rsid w:val="00285D0D"/>
    <w:rsid w:val="00285E31"/>
    <w:rsid w:val="002860DE"/>
    <w:rsid w:val="002864F3"/>
    <w:rsid w:val="00286E0D"/>
    <w:rsid w:val="00287641"/>
    <w:rsid w:val="00287953"/>
    <w:rsid w:val="002904F9"/>
    <w:rsid w:val="0029161B"/>
    <w:rsid w:val="00291BAC"/>
    <w:rsid w:val="00292ABA"/>
    <w:rsid w:val="0029331B"/>
    <w:rsid w:val="00294687"/>
    <w:rsid w:val="00295EF9"/>
    <w:rsid w:val="00295F69"/>
    <w:rsid w:val="002A0084"/>
    <w:rsid w:val="002A06C8"/>
    <w:rsid w:val="002A0D11"/>
    <w:rsid w:val="002A24FF"/>
    <w:rsid w:val="002A3414"/>
    <w:rsid w:val="002A3D4B"/>
    <w:rsid w:val="002A53AF"/>
    <w:rsid w:val="002A6C0E"/>
    <w:rsid w:val="002B17C1"/>
    <w:rsid w:val="002B1896"/>
    <w:rsid w:val="002B3403"/>
    <w:rsid w:val="002B382E"/>
    <w:rsid w:val="002B38F0"/>
    <w:rsid w:val="002B3B4C"/>
    <w:rsid w:val="002B41E8"/>
    <w:rsid w:val="002B4952"/>
    <w:rsid w:val="002B4DA8"/>
    <w:rsid w:val="002C0F4D"/>
    <w:rsid w:val="002C1BB9"/>
    <w:rsid w:val="002C2D25"/>
    <w:rsid w:val="002C2E88"/>
    <w:rsid w:val="002C3131"/>
    <w:rsid w:val="002C5E53"/>
    <w:rsid w:val="002D0210"/>
    <w:rsid w:val="002D0659"/>
    <w:rsid w:val="002D148C"/>
    <w:rsid w:val="002D289C"/>
    <w:rsid w:val="002D3039"/>
    <w:rsid w:val="002D309C"/>
    <w:rsid w:val="002D46C9"/>
    <w:rsid w:val="002D5B65"/>
    <w:rsid w:val="002D5ED0"/>
    <w:rsid w:val="002D637E"/>
    <w:rsid w:val="002D7491"/>
    <w:rsid w:val="002D7F99"/>
    <w:rsid w:val="002E0BD5"/>
    <w:rsid w:val="002E1A10"/>
    <w:rsid w:val="002E1B54"/>
    <w:rsid w:val="002E42C8"/>
    <w:rsid w:val="002E5C63"/>
    <w:rsid w:val="002E7D3F"/>
    <w:rsid w:val="002F04C6"/>
    <w:rsid w:val="002F1626"/>
    <w:rsid w:val="002F317E"/>
    <w:rsid w:val="002F5576"/>
    <w:rsid w:val="002F79A7"/>
    <w:rsid w:val="00302AD7"/>
    <w:rsid w:val="00304DD5"/>
    <w:rsid w:val="0030740E"/>
    <w:rsid w:val="003106A5"/>
    <w:rsid w:val="00314017"/>
    <w:rsid w:val="003143EC"/>
    <w:rsid w:val="0031530B"/>
    <w:rsid w:val="00315CAE"/>
    <w:rsid w:val="003204C9"/>
    <w:rsid w:val="0032055A"/>
    <w:rsid w:val="00320D29"/>
    <w:rsid w:val="00320ED3"/>
    <w:rsid w:val="00321CA0"/>
    <w:rsid w:val="003229B0"/>
    <w:rsid w:val="0032707F"/>
    <w:rsid w:val="003270BA"/>
    <w:rsid w:val="00327184"/>
    <w:rsid w:val="00327ADF"/>
    <w:rsid w:val="003319F5"/>
    <w:rsid w:val="00334F22"/>
    <w:rsid w:val="003351B5"/>
    <w:rsid w:val="003351F3"/>
    <w:rsid w:val="003359BD"/>
    <w:rsid w:val="00335D02"/>
    <w:rsid w:val="00336150"/>
    <w:rsid w:val="0033642F"/>
    <w:rsid w:val="003420E4"/>
    <w:rsid w:val="0034363E"/>
    <w:rsid w:val="003444FC"/>
    <w:rsid w:val="003476B2"/>
    <w:rsid w:val="00351C90"/>
    <w:rsid w:val="00353DB1"/>
    <w:rsid w:val="00353DB3"/>
    <w:rsid w:val="00356FE0"/>
    <w:rsid w:val="00360F3C"/>
    <w:rsid w:val="0036155F"/>
    <w:rsid w:val="00362D17"/>
    <w:rsid w:val="003655BF"/>
    <w:rsid w:val="0036680D"/>
    <w:rsid w:val="00370A0F"/>
    <w:rsid w:val="00371C62"/>
    <w:rsid w:val="003722D5"/>
    <w:rsid w:val="00372CFD"/>
    <w:rsid w:val="00373C66"/>
    <w:rsid w:val="00373ECA"/>
    <w:rsid w:val="003740AE"/>
    <w:rsid w:val="00375638"/>
    <w:rsid w:val="00377A71"/>
    <w:rsid w:val="00380B03"/>
    <w:rsid w:val="00383279"/>
    <w:rsid w:val="00383BBB"/>
    <w:rsid w:val="00383E65"/>
    <w:rsid w:val="00385847"/>
    <w:rsid w:val="00386F43"/>
    <w:rsid w:val="00390C0C"/>
    <w:rsid w:val="00391EF0"/>
    <w:rsid w:val="00393305"/>
    <w:rsid w:val="003946AD"/>
    <w:rsid w:val="003966F5"/>
    <w:rsid w:val="00397DC4"/>
    <w:rsid w:val="003A00D7"/>
    <w:rsid w:val="003A2051"/>
    <w:rsid w:val="003A2215"/>
    <w:rsid w:val="003A65CE"/>
    <w:rsid w:val="003A6699"/>
    <w:rsid w:val="003A734D"/>
    <w:rsid w:val="003B05EC"/>
    <w:rsid w:val="003B3811"/>
    <w:rsid w:val="003B3A53"/>
    <w:rsid w:val="003B464E"/>
    <w:rsid w:val="003B69FE"/>
    <w:rsid w:val="003B6D1C"/>
    <w:rsid w:val="003C04A1"/>
    <w:rsid w:val="003C1120"/>
    <w:rsid w:val="003C112A"/>
    <w:rsid w:val="003C12A0"/>
    <w:rsid w:val="003C14CD"/>
    <w:rsid w:val="003C3242"/>
    <w:rsid w:val="003C3795"/>
    <w:rsid w:val="003C4F6D"/>
    <w:rsid w:val="003D15EF"/>
    <w:rsid w:val="003D27C1"/>
    <w:rsid w:val="003D3817"/>
    <w:rsid w:val="003D3827"/>
    <w:rsid w:val="003D3908"/>
    <w:rsid w:val="003D4377"/>
    <w:rsid w:val="003D6D63"/>
    <w:rsid w:val="003E05E7"/>
    <w:rsid w:val="003E0B80"/>
    <w:rsid w:val="003E27B8"/>
    <w:rsid w:val="003E441A"/>
    <w:rsid w:val="003E772E"/>
    <w:rsid w:val="003F0431"/>
    <w:rsid w:val="003F10FD"/>
    <w:rsid w:val="003F59B5"/>
    <w:rsid w:val="003F6C66"/>
    <w:rsid w:val="003F6DC0"/>
    <w:rsid w:val="003F7AED"/>
    <w:rsid w:val="003F7DF3"/>
    <w:rsid w:val="00400E8C"/>
    <w:rsid w:val="004017D7"/>
    <w:rsid w:val="00401BCC"/>
    <w:rsid w:val="00401C1A"/>
    <w:rsid w:val="00401F8A"/>
    <w:rsid w:val="00402D06"/>
    <w:rsid w:val="00403BD5"/>
    <w:rsid w:val="0040402E"/>
    <w:rsid w:val="004045CF"/>
    <w:rsid w:val="00404C7A"/>
    <w:rsid w:val="0040539A"/>
    <w:rsid w:val="004063BD"/>
    <w:rsid w:val="00410A3B"/>
    <w:rsid w:val="0041131C"/>
    <w:rsid w:val="004137E9"/>
    <w:rsid w:val="004140B1"/>
    <w:rsid w:val="00414D88"/>
    <w:rsid w:val="00416625"/>
    <w:rsid w:val="0041668D"/>
    <w:rsid w:val="004168ED"/>
    <w:rsid w:val="0041695B"/>
    <w:rsid w:val="00417395"/>
    <w:rsid w:val="00417860"/>
    <w:rsid w:val="004179B9"/>
    <w:rsid w:val="00421DEA"/>
    <w:rsid w:val="00421F3F"/>
    <w:rsid w:val="00422920"/>
    <w:rsid w:val="00424A41"/>
    <w:rsid w:val="00426DFA"/>
    <w:rsid w:val="004305C6"/>
    <w:rsid w:val="00432D9E"/>
    <w:rsid w:val="0043327C"/>
    <w:rsid w:val="0043404E"/>
    <w:rsid w:val="00434EB8"/>
    <w:rsid w:val="00434EB9"/>
    <w:rsid w:val="0044053A"/>
    <w:rsid w:val="00443B41"/>
    <w:rsid w:val="00443D06"/>
    <w:rsid w:val="0044458A"/>
    <w:rsid w:val="00444B22"/>
    <w:rsid w:val="004458D2"/>
    <w:rsid w:val="004459B6"/>
    <w:rsid w:val="004468D2"/>
    <w:rsid w:val="00447E6C"/>
    <w:rsid w:val="004503D3"/>
    <w:rsid w:val="004516D9"/>
    <w:rsid w:val="00454AF9"/>
    <w:rsid w:val="00454F69"/>
    <w:rsid w:val="00455E0D"/>
    <w:rsid w:val="00457755"/>
    <w:rsid w:val="004579AF"/>
    <w:rsid w:val="00460E5D"/>
    <w:rsid w:val="00461E4E"/>
    <w:rsid w:val="004632F2"/>
    <w:rsid w:val="004637B2"/>
    <w:rsid w:val="004639F3"/>
    <w:rsid w:val="00465B8D"/>
    <w:rsid w:val="00466D53"/>
    <w:rsid w:val="00467BE7"/>
    <w:rsid w:val="0047225C"/>
    <w:rsid w:val="00472BBD"/>
    <w:rsid w:val="00472D9B"/>
    <w:rsid w:val="004731D5"/>
    <w:rsid w:val="004738F3"/>
    <w:rsid w:val="00473BC8"/>
    <w:rsid w:val="004809D1"/>
    <w:rsid w:val="0048160A"/>
    <w:rsid w:val="004819C1"/>
    <w:rsid w:val="004823C8"/>
    <w:rsid w:val="004855CC"/>
    <w:rsid w:val="0048616B"/>
    <w:rsid w:val="00486A3C"/>
    <w:rsid w:val="00487CFB"/>
    <w:rsid w:val="00491458"/>
    <w:rsid w:val="00493BAF"/>
    <w:rsid w:val="00493C1E"/>
    <w:rsid w:val="004963A8"/>
    <w:rsid w:val="004965A3"/>
    <w:rsid w:val="004A11F4"/>
    <w:rsid w:val="004A408B"/>
    <w:rsid w:val="004A531A"/>
    <w:rsid w:val="004A678B"/>
    <w:rsid w:val="004B03FF"/>
    <w:rsid w:val="004B0B70"/>
    <w:rsid w:val="004B19AF"/>
    <w:rsid w:val="004B27D0"/>
    <w:rsid w:val="004B369E"/>
    <w:rsid w:val="004B47E1"/>
    <w:rsid w:val="004B583C"/>
    <w:rsid w:val="004C0417"/>
    <w:rsid w:val="004C2988"/>
    <w:rsid w:val="004C2CB5"/>
    <w:rsid w:val="004C2DD5"/>
    <w:rsid w:val="004C3BD7"/>
    <w:rsid w:val="004C5057"/>
    <w:rsid w:val="004C6E7F"/>
    <w:rsid w:val="004C7AF5"/>
    <w:rsid w:val="004D0809"/>
    <w:rsid w:val="004D1FF5"/>
    <w:rsid w:val="004D22A0"/>
    <w:rsid w:val="004D2B79"/>
    <w:rsid w:val="004D2CAC"/>
    <w:rsid w:val="004D3125"/>
    <w:rsid w:val="004D376A"/>
    <w:rsid w:val="004D57B2"/>
    <w:rsid w:val="004D5A1B"/>
    <w:rsid w:val="004D5C0F"/>
    <w:rsid w:val="004E16FF"/>
    <w:rsid w:val="004E223D"/>
    <w:rsid w:val="004E2B2F"/>
    <w:rsid w:val="004E31E1"/>
    <w:rsid w:val="004E749D"/>
    <w:rsid w:val="004F10BD"/>
    <w:rsid w:val="004F1407"/>
    <w:rsid w:val="004F1897"/>
    <w:rsid w:val="004F1C80"/>
    <w:rsid w:val="004F3799"/>
    <w:rsid w:val="004F46DC"/>
    <w:rsid w:val="004F5A9A"/>
    <w:rsid w:val="005004A6"/>
    <w:rsid w:val="00500D26"/>
    <w:rsid w:val="005172DE"/>
    <w:rsid w:val="0052241A"/>
    <w:rsid w:val="00522E70"/>
    <w:rsid w:val="00525629"/>
    <w:rsid w:val="00525A60"/>
    <w:rsid w:val="00527185"/>
    <w:rsid w:val="0053080E"/>
    <w:rsid w:val="0053091C"/>
    <w:rsid w:val="00531000"/>
    <w:rsid w:val="00531BF0"/>
    <w:rsid w:val="00532F34"/>
    <w:rsid w:val="00533386"/>
    <w:rsid w:val="00533635"/>
    <w:rsid w:val="0053389C"/>
    <w:rsid w:val="00534B1F"/>
    <w:rsid w:val="00534BE2"/>
    <w:rsid w:val="00536361"/>
    <w:rsid w:val="0053679B"/>
    <w:rsid w:val="005412BD"/>
    <w:rsid w:val="00542EA0"/>
    <w:rsid w:val="00543A39"/>
    <w:rsid w:val="005471DC"/>
    <w:rsid w:val="00552245"/>
    <w:rsid w:val="00552DC5"/>
    <w:rsid w:val="00553DE7"/>
    <w:rsid w:val="00554BE6"/>
    <w:rsid w:val="00554E63"/>
    <w:rsid w:val="005564AA"/>
    <w:rsid w:val="00557A34"/>
    <w:rsid w:val="00560285"/>
    <w:rsid w:val="00560642"/>
    <w:rsid w:val="0056078E"/>
    <w:rsid w:val="00561305"/>
    <w:rsid w:val="005627F3"/>
    <w:rsid w:val="00562E99"/>
    <w:rsid w:val="0056617E"/>
    <w:rsid w:val="005667E6"/>
    <w:rsid w:val="00566D79"/>
    <w:rsid w:val="00571871"/>
    <w:rsid w:val="00571C78"/>
    <w:rsid w:val="0057207A"/>
    <w:rsid w:val="0057290F"/>
    <w:rsid w:val="005733C2"/>
    <w:rsid w:val="00575809"/>
    <w:rsid w:val="00577AF5"/>
    <w:rsid w:val="00577C63"/>
    <w:rsid w:val="00580C41"/>
    <w:rsid w:val="005814AB"/>
    <w:rsid w:val="00584004"/>
    <w:rsid w:val="005845B9"/>
    <w:rsid w:val="00584911"/>
    <w:rsid w:val="00584C7F"/>
    <w:rsid w:val="00584E71"/>
    <w:rsid w:val="00585AB5"/>
    <w:rsid w:val="0058792E"/>
    <w:rsid w:val="00591B3D"/>
    <w:rsid w:val="00594735"/>
    <w:rsid w:val="00594B85"/>
    <w:rsid w:val="00594C3D"/>
    <w:rsid w:val="0059554F"/>
    <w:rsid w:val="00596E22"/>
    <w:rsid w:val="00596FCE"/>
    <w:rsid w:val="00597443"/>
    <w:rsid w:val="005A04D9"/>
    <w:rsid w:val="005A0D7D"/>
    <w:rsid w:val="005A0DAD"/>
    <w:rsid w:val="005A13D2"/>
    <w:rsid w:val="005A1B94"/>
    <w:rsid w:val="005A3E39"/>
    <w:rsid w:val="005A4F5C"/>
    <w:rsid w:val="005A6191"/>
    <w:rsid w:val="005A6742"/>
    <w:rsid w:val="005B0361"/>
    <w:rsid w:val="005B0525"/>
    <w:rsid w:val="005B2D45"/>
    <w:rsid w:val="005B439B"/>
    <w:rsid w:val="005B44E4"/>
    <w:rsid w:val="005B4E68"/>
    <w:rsid w:val="005C0A31"/>
    <w:rsid w:val="005C1E37"/>
    <w:rsid w:val="005C1E3B"/>
    <w:rsid w:val="005C2298"/>
    <w:rsid w:val="005C25CA"/>
    <w:rsid w:val="005C2C71"/>
    <w:rsid w:val="005C3207"/>
    <w:rsid w:val="005C4658"/>
    <w:rsid w:val="005C57AF"/>
    <w:rsid w:val="005C62D7"/>
    <w:rsid w:val="005D06EB"/>
    <w:rsid w:val="005D4A36"/>
    <w:rsid w:val="005D4C76"/>
    <w:rsid w:val="005D72FC"/>
    <w:rsid w:val="005D7CEF"/>
    <w:rsid w:val="005E164A"/>
    <w:rsid w:val="005E23E8"/>
    <w:rsid w:val="005E2E0A"/>
    <w:rsid w:val="005E76CB"/>
    <w:rsid w:val="005E77D4"/>
    <w:rsid w:val="005E7E66"/>
    <w:rsid w:val="005F03D0"/>
    <w:rsid w:val="005F1018"/>
    <w:rsid w:val="005F2A8A"/>
    <w:rsid w:val="005F2D29"/>
    <w:rsid w:val="005F2DC7"/>
    <w:rsid w:val="005F3BB4"/>
    <w:rsid w:val="005F4F0A"/>
    <w:rsid w:val="005F5462"/>
    <w:rsid w:val="005F65DC"/>
    <w:rsid w:val="006014E4"/>
    <w:rsid w:val="00602E39"/>
    <w:rsid w:val="006033C4"/>
    <w:rsid w:val="00605ACA"/>
    <w:rsid w:val="00605D62"/>
    <w:rsid w:val="006069C1"/>
    <w:rsid w:val="00613D24"/>
    <w:rsid w:val="0061442C"/>
    <w:rsid w:val="00615D4A"/>
    <w:rsid w:val="006163BD"/>
    <w:rsid w:val="00620098"/>
    <w:rsid w:val="00622439"/>
    <w:rsid w:val="006246A0"/>
    <w:rsid w:val="00624C85"/>
    <w:rsid w:val="00626337"/>
    <w:rsid w:val="0062663A"/>
    <w:rsid w:val="006316F1"/>
    <w:rsid w:val="00633232"/>
    <w:rsid w:val="006344F8"/>
    <w:rsid w:val="00641802"/>
    <w:rsid w:val="0064217F"/>
    <w:rsid w:val="00642F29"/>
    <w:rsid w:val="006441E9"/>
    <w:rsid w:val="0064556D"/>
    <w:rsid w:val="006475F3"/>
    <w:rsid w:val="00650913"/>
    <w:rsid w:val="00652989"/>
    <w:rsid w:val="006529D4"/>
    <w:rsid w:val="006531E3"/>
    <w:rsid w:val="00653480"/>
    <w:rsid w:val="00654F36"/>
    <w:rsid w:val="006568C4"/>
    <w:rsid w:val="006569F9"/>
    <w:rsid w:val="00656D53"/>
    <w:rsid w:val="00656FF8"/>
    <w:rsid w:val="006618E6"/>
    <w:rsid w:val="00662267"/>
    <w:rsid w:val="0066317D"/>
    <w:rsid w:val="00663346"/>
    <w:rsid w:val="00665A3C"/>
    <w:rsid w:val="00670B2A"/>
    <w:rsid w:val="00671AA5"/>
    <w:rsid w:val="00672192"/>
    <w:rsid w:val="00672950"/>
    <w:rsid w:val="006733C8"/>
    <w:rsid w:val="00673CDD"/>
    <w:rsid w:val="00674133"/>
    <w:rsid w:val="00674227"/>
    <w:rsid w:val="0068001C"/>
    <w:rsid w:val="0068203C"/>
    <w:rsid w:val="00682826"/>
    <w:rsid w:val="0068325A"/>
    <w:rsid w:val="0068459D"/>
    <w:rsid w:val="00687840"/>
    <w:rsid w:val="00691089"/>
    <w:rsid w:val="006925FD"/>
    <w:rsid w:val="006931A8"/>
    <w:rsid w:val="00693740"/>
    <w:rsid w:val="00693F73"/>
    <w:rsid w:val="006A147E"/>
    <w:rsid w:val="006A3CB1"/>
    <w:rsid w:val="006A6C02"/>
    <w:rsid w:val="006A7616"/>
    <w:rsid w:val="006B03A4"/>
    <w:rsid w:val="006B5328"/>
    <w:rsid w:val="006B6830"/>
    <w:rsid w:val="006B7294"/>
    <w:rsid w:val="006C1554"/>
    <w:rsid w:val="006C17B8"/>
    <w:rsid w:val="006C19F8"/>
    <w:rsid w:val="006C47C6"/>
    <w:rsid w:val="006C6A48"/>
    <w:rsid w:val="006C6CF1"/>
    <w:rsid w:val="006C701A"/>
    <w:rsid w:val="006D0158"/>
    <w:rsid w:val="006D1A76"/>
    <w:rsid w:val="006D2420"/>
    <w:rsid w:val="006D5A95"/>
    <w:rsid w:val="006D6D3D"/>
    <w:rsid w:val="006D7137"/>
    <w:rsid w:val="006D744F"/>
    <w:rsid w:val="006E18F2"/>
    <w:rsid w:val="006E1EA0"/>
    <w:rsid w:val="006E2E8E"/>
    <w:rsid w:val="006E40C8"/>
    <w:rsid w:val="006E56A7"/>
    <w:rsid w:val="006E6198"/>
    <w:rsid w:val="006E7000"/>
    <w:rsid w:val="006E7C8E"/>
    <w:rsid w:val="006F0713"/>
    <w:rsid w:val="006F1181"/>
    <w:rsid w:val="006F2546"/>
    <w:rsid w:val="006F3BAC"/>
    <w:rsid w:val="006F4389"/>
    <w:rsid w:val="006F5408"/>
    <w:rsid w:val="006F57FF"/>
    <w:rsid w:val="006F5A1C"/>
    <w:rsid w:val="006F5AD7"/>
    <w:rsid w:val="006F644E"/>
    <w:rsid w:val="007000E2"/>
    <w:rsid w:val="0070035E"/>
    <w:rsid w:val="0070204B"/>
    <w:rsid w:val="007026AE"/>
    <w:rsid w:val="007043C4"/>
    <w:rsid w:val="007057FE"/>
    <w:rsid w:val="007063FE"/>
    <w:rsid w:val="00706CFB"/>
    <w:rsid w:val="00711071"/>
    <w:rsid w:val="007117C2"/>
    <w:rsid w:val="00711AE0"/>
    <w:rsid w:val="0071260B"/>
    <w:rsid w:val="007126AA"/>
    <w:rsid w:val="00713E28"/>
    <w:rsid w:val="00714483"/>
    <w:rsid w:val="0071632D"/>
    <w:rsid w:val="0071634B"/>
    <w:rsid w:val="00720D91"/>
    <w:rsid w:val="00721D88"/>
    <w:rsid w:val="00722A5E"/>
    <w:rsid w:val="00723D60"/>
    <w:rsid w:val="007255EE"/>
    <w:rsid w:val="00725C37"/>
    <w:rsid w:val="00727D0A"/>
    <w:rsid w:val="007327BA"/>
    <w:rsid w:val="00733356"/>
    <w:rsid w:val="00734853"/>
    <w:rsid w:val="007358E2"/>
    <w:rsid w:val="00735D22"/>
    <w:rsid w:val="00735F57"/>
    <w:rsid w:val="00735FB7"/>
    <w:rsid w:val="00736727"/>
    <w:rsid w:val="007403B5"/>
    <w:rsid w:val="0074048F"/>
    <w:rsid w:val="00740CD9"/>
    <w:rsid w:val="00740DCB"/>
    <w:rsid w:val="00741CB7"/>
    <w:rsid w:val="00742C82"/>
    <w:rsid w:val="007443A1"/>
    <w:rsid w:val="00744743"/>
    <w:rsid w:val="00744BF0"/>
    <w:rsid w:val="00746662"/>
    <w:rsid w:val="0074677D"/>
    <w:rsid w:val="0075276F"/>
    <w:rsid w:val="007547A8"/>
    <w:rsid w:val="007608CB"/>
    <w:rsid w:val="00760C6A"/>
    <w:rsid w:val="00764C59"/>
    <w:rsid w:val="00766CB2"/>
    <w:rsid w:val="007720FC"/>
    <w:rsid w:val="00772395"/>
    <w:rsid w:val="00775E89"/>
    <w:rsid w:val="007770BD"/>
    <w:rsid w:val="007803C7"/>
    <w:rsid w:val="0078045F"/>
    <w:rsid w:val="00783136"/>
    <w:rsid w:val="0078532B"/>
    <w:rsid w:val="00791793"/>
    <w:rsid w:val="00791A75"/>
    <w:rsid w:val="00795869"/>
    <w:rsid w:val="00795CC2"/>
    <w:rsid w:val="00795DF2"/>
    <w:rsid w:val="00796228"/>
    <w:rsid w:val="0079625C"/>
    <w:rsid w:val="00796963"/>
    <w:rsid w:val="00796C26"/>
    <w:rsid w:val="00797A28"/>
    <w:rsid w:val="00797E7A"/>
    <w:rsid w:val="00797EA2"/>
    <w:rsid w:val="007A0597"/>
    <w:rsid w:val="007A0B11"/>
    <w:rsid w:val="007A109A"/>
    <w:rsid w:val="007A281C"/>
    <w:rsid w:val="007A34F7"/>
    <w:rsid w:val="007A3C78"/>
    <w:rsid w:val="007A488C"/>
    <w:rsid w:val="007A6B8E"/>
    <w:rsid w:val="007A6EF6"/>
    <w:rsid w:val="007B06F7"/>
    <w:rsid w:val="007B3489"/>
    <w:rsid w:val="007B39B5"/>
    <w:rsid w:val="007B39EE"/>
    <w:rsid w:val="007B3FC3"/>
    <w:rsid w:val="007B4BE7"/>
    <w:rsid w:val="007B52A8"/>
    <w:rsid w:val="007B557E"/>
    <w:rsid w:val="007C3289"/>
    <w:rsid w:val="007C3512"/>
    <w:rsid w:val="007C3678"/>
    <w:rsid w:val="007C7965"/>
    <w:rsid w:val="007D32CB"/>
    <w:rsid w:val="007D74B8"/>
    <w:rsid w:val="007E016C"/>
    <w:rsid w:val="007E1C64"/>
    <w:rsid w:val="007E698B"/>
    <w:rsid w:val="007F319D"/>
    <w:rsid w:val="007F366B"/>
    <w:rsid w:val="007F4AC6"/>
    <w:rsid w:val="007F65C7"/>
    <w:rsid w:val="00801F6C"/>
    <w:rsid w:val="008022CB"/>
    <w:rsid w:val="008028BD"/>
    <w:rsid w:val="00802D56"/>
    <w:rsid w:val="008060CB"/>
    <w:rsid w:val="00810F77"/>
    <w:rsid w:val="008116BA"/>
    <w:rsid w:val="008122D3"/>
    <w:rsid w:val="0081339D"/>
    <w:rsid w:val="00814A34"/>
    <w:rsid w:val="00816753"/>
    <w:rsid w:val="008174C0"/>
    <w:rsid w:val="00821368"/>
    <w:rsid w:val="00821695"/>
    <w:rsid w:val="00822155"/>
    <w:rsid w:val="00822372"/>
    <w:rsid w:val="00822B68"/>
    <w:rsid w:val="00823372"/>
    <w:rsid w:val="008246D2"/>
    <w:rsid w:val="008268B0"/>
    <w:rsid w:val="00827B40"/>
    <w:rsid w:val="00830EE1"/>
    <w:rsid w:val="008316D5"/>
    <w:rsid w:val="00832D81"/>
    <w:rsid w:val="00832EE0"/>
    <w:rsid w:val="00835797"/>
    <w:rsid w:val="0083748B"/>
    <w:rsid w:val="00840751"/>
    <w:rsid w:val="00842521"/>
    <w:rsid w:val="00842A84"/>
    <w:rsid w:val="00844C02"/>
    <w:rsid w:val="00846A2B"/>
    <w:rsid w:val="00853082"/>
    <w:rsid w:val="00856988"/>
    <w:rsid w:val="00856CDC"/>
    <w:rsid w:val="0085717D"/>
    <w:rsid w:val="00857706"/>
    <w:rsid w:val="00860393"/>
    <w:rsid w:val="00860A79"/>
    <w:rsid w:val="00862984"/>
    <w:rsid w:val="008631D8"/>
    <w:rsid w:val="008650C6"/>
    <w:rsid w:val="00866AF6"/>
    <w:rsid w:val="00867C90"/>
    <w:rsid w:val="00867E55"/>
    <w:rsid w:val="00867EA0"/>
    <w:rsid w:val="0087154C"/>
    <w:rsid w:val="00871592"/>
    <w:rsid w:val="008726F4"/>
    <w:rsid w:val="00872B12"/>
    <w:rsid w:val="0087512C"/>
    <w:rsid w:val="00876580"/>
    <w:rsid w:val="00881311"/>
    <w:rsid w:val="008877EE"/>
    <w:rsid w:val="008879DC"/>
    <w:rsid w:val="008904D9"/>
    <w:rsid w:val="0089062C"/>
    <w:rsid w:val="0089102B"/>
    <w:rsid w:val="008930E9"/>
    <w:rsid w:val="008933AE"/>
    <w:rsid w:val="008959E6"/>
    <w:rsid w:val="008A0B41"/>
    <w:rsid w:val="008A1D46"/>
    <w:rsid w:val="008A2805"/>
    <w:rsid w:val="008A3741"/>
    <w:rsid w:val="008A68FF"/>
    <w:rsid w:val="008A6D94"/>
    <w:rsid w:val="008A7C36"/>
    <w:rsid w:val="008A7EA1"/>
    <w:rsid w:val="008B2EF8"/>
    <w:rsid w:val="008B2FF2"/>
    <w:rsid w:val="008B3B2D"/>
    <w:rsid w:val="008B4B24"/>
    <w:rsid w:val="008B5DA2"/>
    <w:rsid w:val="008C0E25"/>
    <w:rsid w:val="008C2349"/>
    <w:rsid w:val="008C3D16"/>
    <w:rsid w:val="008C4212"/>
    <w:rsid w:val="008C46FA"/>
    <w:rsid w:val="008C6269"/>
    <w:rsid w:val="008C7C06"/>
    <w:rsid w:val="008C7FB8"/>
    <w:rsid w:val="008D0E40"/>
    <w:rsid w:val="008D0E99"/>
    <w:rsid w:val="008D1E90"/>
    <w:rsid w:val="008D297B"/>
    <w:rsid w:val="008D3888"/>
    <w:rsid w:val="008D55B1"/>
    <w:rsid w:val="008D6543"/>
    <w:rsid w:val="008D6AAF"/>
    <w:rsid w:val="008D7928"/>
    <w:rsid w:val="008E101B"/>
    <w:rsid w:val="008E1FFF"/>
    <w:rsid w:val="008E2B8B"/>
    <w:rsid w:val="008E497E"/>
    <w:rsid w:val="008E626E"/>
    <w:rsid w:val="008E77CB"/>
    <w:rsid w:val="008E7D2E"/>
    <w:rsid w:val="008F0F98"/>
    <w:rsid w:val="008F15A9"/>
    <w:rsid w:val="008F1D00"/>
    <w:rsid w:val="008F4B31"/>
    <w:rsid w:val="008F5D51"/>
    <w:rsid w:val="008F5EF3"/>
    <w:rsid w:val="008F7D99"/>
    <w:rsid w:val="00900AE3"/>
    <w:rsid w:val="00901373"/>
    <w:rsid w:val="00902DFB"/>
    <w:rsid w:val="00903574"/>
    <w:rsid w:val="009052D4"/>
    <w:rsid w:val="00905488"/>
    <w:rsid w:val="00905B99"/>
    <w:rsid w:val="00906601"/>
    <w:rsid w:val="00906A20"/>
    <w:rsid w:val="009078CA"/>
    <w:rsid w:val="0091041F"/>
    <w:rsid w:val="0091053E"/>
    <w:rsid w:val="009127B2"/>
    <w:rsid w:val="00912A77"/>
    <w:rsid w:val="00912E30"/>
    <w:rsid w:val="00913673"/>
    <w:rsid w:val="009164E6"/>
    <w:rsid w:val="00917D31"/>
    <w:rsid w:val="009206EE"/>
    <w:rsid w:val="009225E2"/>
    <w:rsid w:val="009239B9"/>
    <w:rsid w:val="00925EDE"/>
    <w:rsid w:val="0092633B"/>
    <w:rsid w:val="00931E94"/>
    <w:rsid w:val="00932E33"/>
    <w:rsid w:val="00933407"/>
    <w:rsid w:val="00933D4D"/>
    <w:rsid w:val="00934BD1"/>
    <w:rsid w:val="0093770D"/>
    <w:rsid w:val="00942AAE"/>
    <w:rsid w:val="00950446"/>
    <w:rsid w:val="00951EBD"/>
    <w:rsid w:val="00954E35"/>
    <w:rsid w:val="00956A9A"/>
    <w:rsid w:val="00960164"/>
    <w:rsid w:val="009601C0"/>
    <w:rsid w:val="00961AC9"/>
    <w:rsid w:val="00962DF4"/>
    <w:rsid w:val="00963215"/>
    <w:rsid w:val="009642E9"/>
    <w:rsid w:val="00964A60"/>
    <w:rsid w:val="009652FC"/>
    <w:rsid w:val="00966425"/>
    <w:rsid w:val="009665A8"/>
    <w:rsid w:val="00966688"/>
    <w:rsid w:val="009677B2"/>
    <w:rsid w:val="0097025C"/>
    <w:rsid w:val="0097048F"/>
    <w:rsid w:val="00971992"/>
    <w:rsid w:val="00973159"/>
    <w:rsid w:val="00973D23"/>
    <w:rsid w:val="009755B5"/>
    <w:rsid w:val="00975C61"/>
    <w:rsid w:val="00975CCC"/>
    <w:rsid w:val="00976921"/>
    <w:rsid w:val="00981905"/>
    <w:rsid w:val="0098241B"/>
    <w:rsid w:val="00982A1D"/>
    <w:rsid w:val="00982C09"/>
    <w:rsid w:val="0098593C"/>
    <w:rsid w:val="00990E1F"/>
    <w:rsid w:val="0099177B"/>
    <w:rsid w:val="0099368E"/>
    <w:rsid w:val="0099379D"/>
    <w:rsid w:val="00994F01"/>
    <w:rsid w:val="0099553C"/>
    <w:rsid w:val="009958E6"/>
    <w:rsid w:val="009963D7"/>
    <w:rsid w:val="00997214"/>
    <w:rsid w:val="00997E84"/>
    <w:rsid w:val="009A0A8E"/>
    <w:rsid w:val="009A187D"/>
    <w:rsid w:val="009A207D"/>
    <w:rsid w:val="009A2EDC"/>
    <w:rsid w:val="009A48B3"/>
    <w:rsid w:val="009B1E5A"/>
    <w:rsid w:val="009B26FE"/>
    <w:rsid w:val="009B357F"/>
    <w:rsid w:val="009B4065"/>
    <w:rsid w:val="009B6CEE"/>
    <w:rsid w:val="009C102F"/>
    <w:rsid w:val="009C2FC7"/>
    <w:rsid w:val="009C4709"/>
    <w:rsid w:val="009C5A4B"/>
    <w:rsid w:val="009C6976"/>
    <w:rsid w:val="009C71CF"/>
    <w:rsid w:val="009D1CF2"/>
    <w:rsid w:val="009D2B34"/>
    <w:rsid w:val="009D2F5B"/>
    <w:rsid w:val="009D495D"/>
    <w:rsid w:val="009D699B"/>
    <w:rsid w:val="009E0B74"/>
    <w:rsid w:val="009E1D3F"/>
    <w:rsid w:val="009E1D83"/>
    <w:rsid w:val="009E2D18"/>
    <w:rsid w:val="009E2DE6"/>
    <w:rsid w:val="009E4F70"/>
    <w:rsid w:val="009E7705"/>
    <w:rsid w:val="009F039B"/>
    <w:rsid w:val="009F5C4B"/>
    <w:rsid w:val="009F64D0"/>
    <w:rsid w:val="00A00503"/>
    <w:rsid w:val="00A00A15"/>
    <w:rsid w:val="00A00A53"/>
    <w:rsid w:val="00A00C4C"/>
    <w:rsid w:val="00A00CE9"/>
    <w:rsid w:val="00A03636"/>
    <w:rsid w:val="00A03BA6"/>
    <w:rsid w:val="00A05224"/>
    <w:rsid w:val="00A1134F"/>
    <w:rsid w:val="00A124E8"/>
    <w:rsid w:val="00A136FB"/>
    <w:rsid w:val="00A144A2"/>
    <w:rsid w:val="00A14C5F"/>
    <w:rsid w:val="00A14D8D"/>
    <w:rsid w:val="00A17C89"/>
    <w:rsid w:val="00A209D8"/>
    <w:rsid w:val="00A22CD1"/>
    <w:rsid w:val="00A2439D"/>
    <w:rsid w:val="00A27367"/>
    <w:rsid w:val="00A302D7"/>
    <w:rsid w:val="00A31047"/>
    <w:rsid w:val="00A34041"/>
    <w:rsid w:val="00A34EB7"/>
    <w:rsid w:val="00A414A7"/>
    <w:rsid w:val="00A41D1C"/>
    <w:rsid w:val="00A4466B"/>
    <w:rsid w:val="00A44A5F"/>
    <w:rsid w:val="00A459C1"/>
    <w:rsid w:val="00A4673E"/>
    <w:rsid w:val="00A47723"/>
    <w:rsid w:val="00A502E9"/>
    <w:rsid w:val="00A51508"/>
    <w:rsid w:val="00A51E2F"/>
    <w:rsid w:val="00A53346"/>
    <w:rsid w:val="00A53F3E"/>
    <w:rsid w:val="00A55ABA"/>
    <w:rsid w:val="00A65CD2"/>
    <w:rsid w:val="00A70C03"/>
    <w:rsid w:val="00A71B68"/>
    <w:rsid w:val="00A71C52"/>
    <w:rsid w:val="00A71D13"/>
    <w:rsid w:val="00A7244D"/>
    <w:rsid w:val="00A72C44"/>
    <w:rsid w:val="00A74395"/>
    <w:rsid w:val="00A755D6"/>
    <w:rsid w:val="00A76F7E"/>
    <w:rsid w:val="00A80350"/>
    <w:rsid w:val="00A838B8"/>
    <w:rsid w:val="00A842D5"/>
    <w:rsid w:val="00A8473E"/>
    <w:rsid w:val="00A870F5"/>
    <w:rsid w:val="00A87D71"/>
    <w:rsid w:val="00A90CC0"/>
    <w:rsid w:val="00A92E6E"/>
    <w:rsid w:val="00A9481D"/>
    <w:rsid w:val="00A95B42"/>
    <w:rsid w:val="00A960A9"/>
    <w:rsid w:val="00A96CFB"/>
    <w:rsid w:val="00A97DFA"/>
    <w:rsid w:val="00AA06BC"/>
    <w:rsid w:val="00AA264E"/>
    <w:rsid w:val="00AA4019"/>
    <w:rsid w:val="00AA49CA"/>
    <w:rsid w:val="00AA654A"/>
    <w:rsid w:val="00AA703C"/>
    <w:rsid w:val="00AA7737"/>
    <w:rsid w:val="00AB0A21"/>
    <w:rsid w:val="00AB31E7"/>
    <w:rsid w:val="00AB6288"/>
    <w:rsid w:val="00AB7205"/>
    <w:rsid w:val="00AB7D76"/>
    <w:rsid w:val="00AC215B"/>
    <w:rsid w:val="00AC217C"/>
    <w:rsid w:val="00AC3961"/>
    <w:rsid w:val="00AC4ED7"/>
    <w:rsid w:val="00AC5A2E"/>
    <w:rsid w:val="00AC6BD1"/>
    <w:rsid w:val="00AD1C7B"/>
    <w:rsid w:val="00AD253B"/>
    <w:rsid w:val="00AD2BA3"/>
    <w:rsid w:val="00AD3AD1"/>
    <w:rsid w:val="00AD3F8D"/>
    <w:rsid w:val="00AD4D5B"/>
    <w:rsid w:val="00AD51C5"/>
    <w:rsid w:val="00AD6623"/>
    <w:rsid w:val="00AE193A"/>
    <w:rsid w:val="00AE1ACE"/>
    <w:rsid w:val="00AE25AB"/>
    <w:rsid w:val="00AE3012"/>
    <w:rsid w:val="00AE3FAE"/>
    <w:rsid w:val="00AE630C"/>
    <w:rsid w:val="00AE7595"/>
    <w:rsid w:val="00AF0DBF"/>
    <w:rsid w:val="00AF1B78"/>
    <w:rsid w:val="00AF2010"/>
    <w:rsid w:val="00AF2517"/>
    <w:rsid w:val="00AF4413"/>
    <w:rsid w:val="00AF52FA"/>
    <w:rsid w:val="00AF6241"/>
    <w:rsid w:val="00AF685A"/>
    <w:rsid w:val="00B01115"/>
    <w:rsid w:val="00B02381"/>
    <w:rsid w:val="00B027B9"/>
    <w:rsid w:val="00B0567B"/>
    <w:rsid w:val="00B05B1A"/>
    <w:rsid w:val="00B071CD"/>
    <w:rsid w:val="00B12218"/>
    <w:rsid w:val="00B129E2"/>
    <w:rsid w:val="00B13740"/>
    <w:rsid w:val="00B20F0D"/>
    <w:rsid w:val="00B21214"/>
    <w:rsid w:val="00B24EC2"/>
    <w:rsid w:val="00B25E3E"/>
    <w:rsid w:val="00B2764E"/>
    <w:rsid w:val="00B3068E"/>
    <w:rsid w:val="00B30A1E"/>
    <w:rsid w:val="00B31FD7"/>
    <w:rsid w:val="00B32234"/>
    <w:rsid w:val="00B34835"/>
    <w:rsid w:val="00B34E41"/>
    <w:rsid w:val="00B354C9"/>
    <w:rsid w:val="00B35C79"/>
    <w:rsid w:val="00B37743"/>
    <w:rsid w:val="00B37D8E"/>
    <w:rsid w:val="00B4094F"/>
    <w:rsid w:val="00B40D6D"/>
    <w:rsid w:val="00B41190"/>
    <w:rsid w:val="00B4271C"/>
    <w:rsid w:val="00B4525E"/>
    <w:rsid w:val="00B4543C"/>
    <w:rsid w:val="00B45FEF"/>
    <w:rsid w:val="00B46AC0"/>
    <w:rsid w:val="00B46D4A"/>
    <w:rsid w:val="00B47AA7"/>
    <w:rsid w:val="00B5063F"/>
    <w:rsid w:val="00B50774"/>
    <w:rsid w:val="00B508E7"/>
    <w:rsid w:val="00B52607"/>
    <w:rsid w:val="00B5353A"/>
    <w:rsid w:val="00B54FB6"/>
    <w:rsid w:val="00B577F1"/>
    <w:rsid w:val="00B57C1D"/>
    <w:rsid w:val="00B601DC"/>
    <w:rsid w:val="00B618E4"/>
    <w:rsid w:val="00B6259F"/>
    <w:rsid w:val="00B626DF"/>
    <w:rsid w:val="00B65745"/>
    <w:rsid w:val="00B66AE9"/>
    <w:rsid w:val="00B6720D"/>
    <w:rsid w:val="00B73A87"/>
    <w:rsid w:val="00B75F1A"/>
    <w:rsid w:val="00B77227"/>
    <w:rsid w:val="00B77BF9"/>
    <w:rsid w:val="00B836E5"/>
    <w:rsid w:val="00B84C78"/>
    <w:rsid w:val="00B916BC"/>
    <w:rsid w:val="00B92D92"/>
    <w:rsid w:val="00B92FBD"/>
    <w:rsid w:val="00B95257"/>
    <w:rsid w:val="00BA1110"/>
    <w:rsid w:val="00BA2DCB"/>
    <w:rsid w:val="00BA3D60"/>
    <w:rsid w:val="00BA4F17"/>
    <w:rsid w:val="00BA5F69"/>
    <w:rsid w:val="00BB2C1F"/>
    <w:rsid w:val="00BB3F7A"/>
    <w:rsid w:val="00BB4AC0"/>
    <w:rsid w:val="00BB639C"/>
    <w:rsid w:val="00BC038C"/>
    <w:rsid w:val="00BC1098"/>
    <w:rsid w:val="00BC1350"/>
    <w:rsid w:val="00BC1676"/>
    <w:rsid w:val="00BC17A3"/>
    <w:rsid w:val="00BC220C"/>
    <w:rsid w:val="00BC250A"/>
    <w:rsid w:val="00BC49CF"/>
    <w:rsid w:val="00BC5593"/>
    <w:rsid w:val="00BC5FE1"/>
    <w:rsid w:val="00BC699D"/>
    <w:rsid w:val="00BD069A"/>
    <w:rsid w:val="00BD1908"/>
    <w:rsid w:val="00BD1DB1"/>
    <w:rsid w:val="00BD427F"/>
    <w:rsid w:val="00BD6A5A"/>
    <w:rsid w:val="00BE0BF8"/>
    <w:rsid w:val="00BE16AB"/>
    <w:rsid w:val="00BE2739"/>
    <w:rsid w:val="00BE275E"/>
    <w:rsid w:val="00BE2C12"/>
    <w:rsid w:val="00BE3247"/>
    <w:rsid w:val="00BE5140"/>
    <w:rsid w:val="00BE7247"/>
    <w:rsid w:val="00BF022E"/>
    <w:rsid w:val="00BF0540"/>
    <w:rsid w:val="00BF0E72"/>
    <w:rsid w:val="00BF1436"/>
    <w:rsid w:val="00BF19B3"/>
    <w:rsid w:val="00BF22D6"/>
    <w:rsid w:val="00BF43EA"/>
    <w:rsid w:val="00BF58FC"/>
    <w:rsid w:val="00BF6A6D"/>
    <w:rsid w:val="00BF6EE9"/>
    <w:rsid w:val="00BF79CD"/>
    <w:rsid w:val="00C00CA9"/>
    <w:rsid w:val="00C02585"/>
    <w:rsid w:val="00C02704"/>
    <w:rsid w:val="00C05ADF"/>
    <w:rsid w:val="00C0601A"/>
    <w:rsid w:val="00C06EE6"/>
    <w:rsid w:val="00C1004B"/>
    <w:rsid w:val="00C11462"/>
    <w:rsid w:val="00C117EA"/>
    <w:rsid w:val="00C1644D"/>
    <w:rsid w:val="00C16B0E"/>
    <w:rsid w:val="00C2000A"/>
    <w:rsid w:val="00C20A59"/>
    <w:rsid w:val="00C215F6"/>
    <w:rsid w:val="00C2213A"/>
    <w:rsid w:val="00C23B83"/>
    <w:rsid w:val="00C24496"/>
    <w:rsid w:val="00C2454E"/>
    <w:rsid w:val="00C2611C"/>
    <w:rsid w:val="00C30477"/>
    <w:rsid w:val="00C30E69"/>
    <w:rsid w:val="00C31566"/>
    <w:rsid w:val="00C3184A"/>
    <w:rsid w:val="00C3270D"/>
    <w:rsid w:val="00C33028"/>
    <w:rsid w:val="00C336CD"/>
    <w:rsid w:val="00C33ABD"/>
    <w:rsid w:val="00C34852"/>
    <w:rsid w:val="00C34DE2"/>
    <w:rsid w:val="00C400A5"/>
    <w:rsid w:val="00C41457"/>
    <w:rsid w:val="00C42624"/>
    <w:rsid w:val="00C42C18"/>
    <w:rsid w:val="00C43053"/>
    <w:rsid w:val="00C43173"/>
    <w:rsid w:val="00C438B5"/>
    <w:rsid w:val="00C4448E"/>
    <w:rsid w:val="00C444CF"/>
    <w:rsid w:val="00C45059"/>
    <w:rsid w:val="00C4514D"/>
    <w:rsid w:val="00C45926"/>
    <w:rsid w:val="00C45F3E"/>
    <w:rsid w:val="00C462D7"/>
    <w:rsid w:val="00C46A2D"/>
    <w:rsid w:val="00C51564"/>
    <w:rsid w:val="00C5175F"/>
    <w:rsid w:val="00C520AF"/>
    <w:rsid w:val="00C560AB"/>
    <w:rsid w:val="00C57844"/>
    <w:rsid w:val="00C60AD5"/>
    <w:rsid w:val="00C6177A"/>
    <w:rsid w:val="00C63900"/>
    <w:rsid w:val="00C63E63"/>
    <w:rsid w:val="00C64351"/>
    <w:rsid w:val="00C65945"/>
    <w:rsid w:val="00C667BE"/>
    <w:rsid w:val="00C70C9D"/>
    <w:rsid w:val="00C7108A"/>
    <w:rsid w:val="00C71D78"/>
    <w:rsid w:val="00C72CD0"/>
    <w:rsid w:val="00C737A4"/>
    <w:rsid w:val="00C739B6"/>
    <w:rsid w:val="00C74B82"/>
    <w:rsid w:val="00C75B8D"/>
    <w:rsid w:val="00C765E2"/>
    <w:rsid w:val="00C76C5F"/>
    <w:rsid w:val="00C828F3"/>
    <w:rsid w:val="00C82D7A"/>
    <w:rsid w:val="00C82E0F"/>
    <w:rsid w:val="00C854CB"/>
    <w:rsid w:val="00C86BEC"/>
    <w:rsid w:val="00C86D80"/>
    <w:rsid w:val="00C8774B"/>
    <w:rsid w:val="00C9028B"/>
    <w:rsid w:val="00C92296"/>
    <w:rsid w:val="00C93EF2"/>
    <w:rsid w:val="00C94FA6"/>
    <w:rsid w:val="00CA0791"/>
    <w:rsid w:val="00CA2960"/>
    <w:rsid w:val="00CA2ACC"/>
    <w:rsid w:val="00CA35B2"/>
    <w:rsid w:val="00CA3650"/>
    <w:rsid w:val="00CA3B5A"/>
    <w:rsid w:val="00CA622F"/>
    <w:rsid w:val="00CB0656"/>
    <w:rsid w:val="00CB0D9E"/>
    <w:rsid w:val="00CB0DAC"/>
    <w:rsid w:val="00CB2555"/>
    <w:rsid w:val="00CB32D5"/>
    <w:rsid w:val="00CB3312"/>
    <w:rsid w:val="00CB3831"/>
    <w:rsid w:val="00CB3AC5"/>
    <w:rsid w:val="00CB4C94"/>
    <w:rsid w:val="00CB540A"/>
    <w:rsid w:val="00CB55D8"/>
    <w:rsid w:val="00CB68AB"/>
    <w:rsid w:val="00CB7336"/>
    <w:rsid w:val="00CB7FC6"/>
    <w:rsid w:val="00CC028A"/>
    <w:rsid w:val="00CC4811"/>
    <w:rsid w:val="00CC495E"/>
    <w:rsid w:val="00CC4EF9"/>
    <w:rsid w:val="00CD0CCF"/>
    <w:rsid w:val="00CD11EA"/>
    <w:rsid w:val="00CD4B7C"/>
    <w:rsid w:val="00CD62C3"/>
    <w:rsid w:val="00CD7E01"/>
    <w:rsid w:val="00CE0D96"/>
    <w:rsid w:val="00CE4CE5"/>
    <w:rsid w:val="00CE6206"/>
    <w:rsid w:val="00CF0703"/>
    <w:rsid w:val="00CF0A3C"/>
    <w:rsid w:val="00CF4760"/>
    <w:rsid w:val="00CF53D7"/>
    <w:rsid w:val="00CF641D"/>
    <w:rsid w:val="00CF6691"/>
    <w:rsid w:val="00CF787A"/>
    <w:rsid w:val="00CF7CA1"/>
    <w:rsid w:val="00D01173"/>
    <w:rsid w:val="00D029A6"/>
    <w:rsid w:val="00D0418E"/>
    <w:rsid w:val="00D04385"/>
    <w:rsid w:val="00D12A16"/>
    <w:rsid w:val="00D14537"/>
    <w:rsid w:val="00D14CC4"/>
    <w:rsid w:val="00D14F7E"/>
    <w:rsid w:val="00D15DD1"/>
    <w:rsid w:val="00D16B66"/>
    <w:rsid w:val="00D20857"/>
    <w:rsid w:val="00D218A9"/>
    <w:rsid w:val="00D219D7"/>
    <w:rsid w:val="00D21B00"/>
    <w:rsid w:val="00D22C3E"/>
    <w:rsid w:val="00D23CD6"/>
    <w:rsid w:val="00D24708"/>
    <w:rsid w:val="00D24EC5"/>
    <w:rsid w:val="00D271A8"/>
    <w:rsid w:val="00D30846"/>
    <w:rsid w:val="00D35A7D"/>
    <w:rsid w:val="00D35B6C"/>
    <w:rsid w:val="00D363F1"/>
    <w:rsid w:val="00D365CC"/>
    <w:rsid w:val="00D36764"/>
    <w:rsid w:val="00D40A45"/>
    <w:rsid w:val="00D425E5"/>
    <w:rsid w:val="00D426FB"/>
    <w:rsid w:val="00D42920"/>
    <w:rsid w:val="00D434A9"/>
    <w:rsid w:val="00D441E6"/>
    <w:rsid w:val="00D45A46"/>
    <w:rsid w:val="00D46DDE"/>
    <w:rsid w:val="00D47093"/>
    <w:rsid w:val="00D53960"/>
    <w:rsid w:val="00D53D10"/>
    <w:rsid w:val="00D564CB"/>
    <w:rsid w:val="00D579C5"/>
    <w:rsid w:val="00D60E4C"/>
    <w:rsid w:val="00D625EE"/>
    <w:rsid w:val="00D6274C"/>
    <w:rsid w:val="00D63348"/>
    <w:rsid w:val="00D633D8"/>
    <w:rsid w:val="00D65AF7"/>
    <w:rsid w:val="00D70269"/>
    <w:rsid w:val="00D71340"/>
    <w:rsid w:val="00D73F70"/>
    <w:rsid w:val="00D7405D"/>
    <w:rsid w:val="00D7670C"/>
    <w:rsid w:val="00D77C7A"/>
    <w:rsid w:val="00D8013D"/>
    <w:rsid w:val="00D80FFA"/>
    <w:rsid w:val="00D81414"/>
    <w:rsid w:val="00D847D2"/>
    <w:rsid w:val="00D850FB"/>
    <w:rsid w:val="00D85900"/>
    <w:rsid w:val="00D85DF9"/>
    <w:rsid w:val="00D85EBE"/>
    <w:rsid w:val="00D905BB"/>
    <w:rsid w:val="00D90BC0"/>
    <w:rsid w:val="00D90F44"/>
    <w:rsid w:val="00D92786"/>
    <w:rsid w:val="00D949F1"/>
    <w:rsid w:val="00D94AFD"/>
    <w:rsid w:val="00D94DA9"/>
    <w:rsid w:val="00D954A7"/>
    <w:rsid w:val="00D95A9B"/>
    <w:rsid w:val="00D95FF5"/>
    <w:rsid w:val="00D96D41"/>
    <w:rsid w:val="00D97473"/>
    <w:rsid w:val="00D97A88"/>
    <w:rsid w:val="00DA4E93"/>
    <w:rsid w:val="00DA5394"/>
    <w:rsid w:val="00DA7547"/>
    <w:rsid w:val="00DA7E1E"/>
    <w:rsid w:val="00DB2AD7"/>
    <w:rsid w:val="00DB2B40"/>
    <w:rsid w:val="00DB2DB1"/>
    <w:rsid w:val="00DB4147"/>
    <w:rsid w:val="00DB4AD0"/>
    <w:rsid w:val="00DB7688"/>
    <w:rsid w:val="00DC01B5"/>
    <w:rsid w:val="00DC0CCC"/>
    <w:rsid w:val="00DC1A4F"/>
    <w:rsid w:val="00DC1C29"/>
    <w:rsid w:val="00DC43A8"/>
    <w:rsid w:val="00DC5713"/>
    <w:rsid w:val="00DC5BAB"/>
    <w:rsid w:val="00DC6509"/>
    <w:rsid w:val="00DC6651"/>
    <w:rsid w:val="00DC6901"/>
    <w:rsid w:val="00DD2177"/>
    <w:rsid w:val="00DD23D6"/>
    <w:rsid w:val="00DD504B"/>
    <w:rsid w:val="00DD63BB"/>
    <w:rsid w:val="00DE02D0"/>
    <w:rsid w:val="00DE159D"/>
    <w:rsid w:val="00DE419F"/>
    <w:rsid w:val="00DE5484"/>
    <w:rsid w:val="00DE5C60"/>
    <w:rsid w:val="00DE6243"/>
    <w:rsid w:val="00DE71CD"/>
    <w:rsid w:val="00DF0DEA"/>
    <w:rsid w:val="00DF17EC"/>
    <w:rsid w:val="00DF19BD"/>
    <w:rsid w:val="00DF2482"/>
    <w:rsid w:val="00DF2B2C"/>
    <w:rsid w:val="00DF2E1D"/>
    <w:rsid w:val="00DF3942"/>
    <w:rsid w:val="00DF4C1F"/>
    <w:rsid w:val="00DF7755"/>
    <w:rsid w:val="00DF7A57"/>
    <w:rsid w:val="00E02F35"/>
    <w:rsid w:val="00E03A40"/>
    <w:rsid w:val="00E1170C"/>
    <w:rsid w:val="00E12084"/>
    <w:rsid w:val="00E13342"/>
    <w:rsid w:val="00E17A82"/>
    <w:rsid w:val="00E20785"/>
    <w:rsid w:val="00E2143A"/>
    <w:rsid w:val="00E22602"/>
    <w:rsid w:val="00E23DF6"/>
    <w:rsid w:val="00E25370"/>
    <w:rsid w:val="00E26209"/>
    <w:rsid w:val="00E27B8A"/>
    <w:rsid w:val="00E315CB"/>
    <w:rsid w:val="00E33F48"/>
    <w:rsid w:val="00E3503A"/>
    <w:rsid w:val="00E3677A"/>
    <w:rsid w:val="00E405AB"/>
    <w:rsid w:val="00E405BD"/>
    <w:rsid w:val="00E4086C"/>
    <w:rsid w:val="00E40B2A"/>
    <w:rsid w:val="00E40E5D"/>
    <w:rsid w:val="00E410DE"/>
    <w:rsid w:val="00E418CE"/>
    <w:rsid w:val="00E425F3"/>
    <w:rsid w:val="00E4275E"/>
    <w:rsid w:val="00E44195"/>
    <w:rsid w:val="00E50D09"/>
    <w:rsid w:val="00E52822"/>
    <w:rsid w:val="00E52FC3"/>
    <w:rsid w:val="00E6058E"/>
    <w:rsid w:val="00E6360E"/>
    <w:rsid w:val="00E63716"/>
    <w:rsid w:val="00E639BA"/>
    <w:rsid w:val="00E6427A"/>
    <w:rsid w:val="00E66B93"/>
    <w:rsid w:val="00E66DB2"/>
    <w:rsid w:val="00E7109A"/>
    <w:rsid w:val="00E71E8D"/>
    <w:rsid w:val="00E72A9F"/>
    <w:rsid w:val="00E72EE5"/>
    <w:rsid w:val="00E737A2"/>
    <w:rsid w:val="00E7546E"/>
    <w:rsid w:val="00E80666"/>
    <w:rsid w:val="00E836F5"/>
    <w:rsid w:val="00E83A16"/>
    <w:rsid w:val="00E840FB"/>
    <w:rsid w:val="00E84194"/>
    <w:rsid w:val="00E84223"/>
    <w:rsid w:val="00E8450F"/>
    <w:rsid w:val="00E85EBD"/>
    <w:rsid w:val="00E90561"/>
    <w:rsid w:val="00E9235C"/>
    <w:rsid w:val="00E929A7"/>
    <w:rsid w:val="00E946DA"/>
    <w:rsid w:val="00E95659"/>
    <w:rsid w:val="00E95710"/>
    <w:rsid w:val="00E975D0"/>
    <w:rsid w:val="00EA1C80"/>
    <w:rsid w:val="00EA2258"/>
    <w:rsid w:val="00EA22ED"/>
    <w:rsid w:val="00EA287E"/>
    <w:rsid w:val="00EA2A7C"/>
    <w:rsid w:val="00EA34D4"/>
    <w:rsid w:val="00EA358A"/>
    <w:rsid w:val="00EA63DD"/>
    <w:rsid w:val="00EA6EC8"/>
    <w:rsid w:val="00EB017C"/>
    <w:rsid w:val="00EB2149"/>
    <w:rsid w:val="00EB29D1"/>
    <w:rsid w:val="00EB2ABB"/>
    <w:rsid w:val="00EB3A0C"/>
    <w:rsid w:val="00EB7498"/>
    <w:rsid w:val="00EB756A"/>
    <w:rsid w:val="00EC0FC4"/>
    <w:rsid w:val="00EC1474"/>
    <w:rsid w:val="00EC22C7"/>
    <w:rsid w:val="00EC485E"/>
    <w:rsid w:val="00EC636F"/>
    <w:rsid w:val="00ED0B6C"/>
    <w:rsid w:val="00ED148F"/>
    <w:rsid w:val="00ED238A"/>
    <w:rsid w:val="00ED2742"/>
    <w:rsid w:val="00ED3A28"/>
    <w:rsid w:val="00ED5175"/>
    <w:rsid w:val="00ED5B14"/>
    <w:rsid w:val="00ED64AC"/>
    <w:rsid w:val="00ED6B43"/>
    <w:rsid w:val="00ED7E32"/>
    <w:rsid w:val="00EE1761"/>
    <w:rsid w:val="00EE21A3"/>
    <w:rsid w:val="00EE7A4F"/>
    <w:rsid w:val="00EE7FB9"/>
    <w:rsid w:val="00EF0643"/>
    <w:rsid w:val="00EF1797"/>
    <w:rsid w:val="00EF1EBF"/>
    <w:rsid w:val="00EF2640"/>
    <w:rsid w:val="00EF44BB"/>
    <w:rsid w:val="00F006CB"/>
    <w:rsid w:val="00F00B06"/>
    <w:rsid w:val="00F01462"/>
    <w:rsid w:val="00F017A7"/>
    <w:rsid w:val="00F02853"/>
    <w:rsid w:val="00F02C9D"/>
    <w:rsid w:val="00F03350"/>
    <w:rsid w:val="00F04F47"/>
    <w:rsid w:val="00F06F18"/>
    <w:rsid w:val="00F10D28"/>
    <w:rsid w:val="00F11025"/>
    <w:rsid w:val="00F11896"/>
    <w:rsid w:val="00F1251B"/>
    <w:rsid w:val="00F14EA1"/>
    <w:rsid w:val="00F15B07"/>
    <w:rsid w:val="00F16526"/>
    <w:rsid w:val="00F179CA"/>
    <w:rsid w:val="00F239CF"/>
    <w:rsid w:val="00F279E0"/>
    <w:rsid w:val="00F27EEC"/>
    <w:rsid w:val="00F31991"/>
    <w:rsid w:val="00F332C4"/>
    <w:rsid w:val="00F341B6"/>
    <w:rsid w:val="00F3433C"/>
    <w:rsid w:val="00F34C4C"/>
    <w:rsid w:val="00F400BD"/>
    <w:rsid w:val="00F40198"/>
    <w:rsid w:val="00F402A0"/>
    <w:rsid w:val="00F456F9"/>
    <w:rsid w:val="00F46A46"/>
    <w:rsid w:val="00F46EBE"/>
    <w:rsid w:val="00F47CE0"/>
    <w:rsid w:val="00F50E94"/>
    <w:rsid w:val="00F51205"/>
    <w:rsid w:val="00F521CB"/>
    <w:rsid w:val="00F53496"/>
    <w:rsid w:val="00F5349D"/>
    <w:rsid w:val="00F53B17"/>
    <w:rsid w:val="00F547FF"/>
    <w:rsid w:val="00F56C1F"/>
    <w:rsid w:val="00F61579"/>
    <w:rsid w:val="00F6249B"/>
    <w:rsid w:val="00F62B40"/>
    <w:rsid w:val="00F62EAA"/>
    <w:rsid w:val="00F638BD"/>
    <w:rsid w:val="00F64005"/>
    <w:rsid w:val="00F643D5"/>
    <w:rsid w:val="00F6483E"/>
    <w:rsid w:val="00F64BE7"/>
    <w:rsid w:val="00F66EC2"/>
    <w:rsid w:val="00F7010B"/>
    <w:rsid w:val="00F71343"/>
    <w:rsid w:val="00F74FC0"/>
    <w:rsid w:val="00F7716A"/>
    <w:rsid w:val="00F8061D"/>
    <w:rsid w:val="00F815F2"/>
    <w:rsid w:val="00F848DE"/>
    <w:rsid w:val="00F84A6F"/>
    <w:rsid w:val="00F85911"/>
    <w:rsid w:val="00F869CF"/>
    <w:rsid w:val="00F869E3"/>
    <w:rsid w:val="00F86B91"/>
    <w:rsid w:val="00F8768A"/>
    <w:rsid w:val="00F950E2"/>
    <w:rsid w:val="00F97FB9"/>
    <w:rsid w:val="00FA1B6C"/>
    <w:rsid w:val="00FA3170"/>
    <w:rsid w:val="00FA4276"/>
    <w:rsid w:val="00FA5C77"/>
    <w:rsid w:val="00FA7159"/>
    <w:rsid w:val="00FA746C"/>
    <w:rsid w:val="00FA7DCE"/>
    <w:rsid w:val="00FB011E"/>
    <w:rsid w:val="00FB2D4C"/>
    <w:rsid w:val="00FB5DD3"/>
    <w:rsid w:val="00FB6A04"/>
    <w:rsid w:val="00FB7C39"/>
    <w:rsid w:val="00FC0214"/>
    <w:rsid w:val="00FC152A"/>
    <w:rsid w:val="00FC1AED"/>
    <w:rsid w:val="00FC3C1C"/>
    <w:rsid w:val="00FC44E9"/>
    <w:rsid w:val="00FC5478"/>
    <w:rsid w:val="00FC5506"/>
    <w:rsid w:val="00FC5E79"/>
    <w:rsid w:val="00FD05FF"/>
    <w:rsid w:val="00FD24E5"/>
    <w:rsid w:val="00FD50AB"/>
    <w:rsid w:val="00FD5411"/>
    <w:rsid w:val="00FE00F4"/>
    <w:rsid w:val="00FE0A37"/>
    <w:rsid w:val="00FE167B"/>
    <w:rsid w:val="00FE1E3D"/>
    <w:rsid w:val="00FE2371"/>
    <w:rsid w:val="00FE2B4F"/>
    <w:rsid w:val="00FE3E97"/>
    <w:rsid w:val="00FE3E9B"/>
    <w:rsid w:val="00FE4200"/>
    <w:rsid w:val="00FE4F91"/>
    <w:rsid w:val="00FE786C"/>
    <w:rsid w:val="00FF0BB8"/>
    <w:rsid w:val="00FF207F"/>
    <w:rsid w:val="00FF24CC"/>
    <w:rsid w:val="00FF344D"/>
    <w:rsid w:val="00FF3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116B"/>
  <w15:docId w15:val="{969DFAF7-DC1E-41D7-B1E4-9E6A95BE7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3"/>
        <w:szCs w:val="23"/>
        <w:lang w:val="en-NZ" w:eastAsia="en-NZ"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10"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unhideWhenUsed="1"/>
    <w:lsdException w:name="envelope return" w:semiHidden="1" w:unhideWhenUsed="1"/>
    <w:lsdException w:name="footnote reference" w:uiPriority="8"/>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rsid w:val="00856988"/>
    <w:pPr>
      <w:jc w:val="both"/>
    </w:pPr>
    <w:rPr>
      <w:sz w:val="24"/>
    </w:rPr>
  </w:style>
  <w:style w:type="paragraph" w:styleId="Heading1">
    <w:name w:val="heading 1"/>
    <w:basedOn w:val="Title"/>
    <w:next w:val="Normal"/>
    <w:link w:val="Heading1Char"/>
    <w:uiPriority w:val="2"/>
    <w:qFormat/>
    <w:rsid w:val="00B25E3E"/>
    <w:pPr>
      <w:outlineLvl w:val="0"/>
    </w:pPr>
    <w:rPr>
      <w:sz w:val="28"/>
    </w:rPr>
  </w:style>
  <w:style w:type="paragraph" w:styleId="Heading2">
    <w:name w:val="heading 2"/>
    <w:basedOn w:val="Heading1"/>
    <w:next w:val="ListParagraph"/>
    <w:link w:val="Heading2Char"/>
    <w:uiPriority w:val="9"/>
    <w:qFormat/>
    <w:rsid w:val="00B25E3E"/>
    <w:pPr>
      <w:keepNext/>
      <w:jc w:val="left"/>
      <w:outlineLvl w:val="1"/>
    </w:pPr>
    <w:rPr>
      <w:caps w:val="0"/>
      <w:sz w:val="24"/>
    </w:rPr>
  </w:style>
  <w:style w:type="paragraph" w:styleId="Heading3">
    <w:name w:val="heading 3"/>
    <w:basedOn w:val="Heading2"/>
    <w:next w:val="ListParagraph"/>
    <w:link w:val="Heading3Char"/>
    <w:uiPriority w:val="2"/>
    <w:qFormat/>
    <w:rsid w:val="00AE3012"/>
    <w:pPr>
      <w:outlineLvl w:val="2"/>
    </w:pPr>
    <w:rPr>
      <w:sz w:val="20"/>
    </w:rPr>
  </w:style>
  <w:style w:type="paragraph" w:styleId="Heading4">
    <w:name w:val="heading 4"/>
    <w:basedOn w:val="Heading3"/>
    <w:next w:val="ListParagraph"/>
    <w:link w:val="Heading4Char"/>
    <w:uiPriority w:val="2"/>
    <w:rsid w:val="00795CC2"/>
    <w:pPr>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5E3E"/>
    <w:rPr>
      <w:b/>
      <w:caps/>
      <w:sz w:val="28"/>
    </w:rPr>
  </w:style>
  <w:style w:type="paragraph" w:styleId="NoSpacing">
    <w:name w:val="No Spacing"/>
    <w:uiPriority w:val="1"/>
    <w:semiHidden/>
    <w:rsid w:val="00D04385"/>
    <w:pPr>
      <w:spacing w:after="0"/>
    </w:pPr>
    <w:rPr>
      <w:rFonts w:ascii="Verdana" w:hAnsi="Verdana"/>
      <w:sz w:val="20"/>
    </w:rPr>
  </w:style>
  <w:style w:type="paragraph" w:customStyle="1" w:styleId="Table-Text">
    <w:name w:val="Table - Text"/>
    <w:basedOn w:val="Normal"/>
    <w:qFormat/>
    <w:rsid w:val="004579AF"/>
    <w:pPr>
      <w:spacing w:before="60" w:after="60" w:line="276" w:lineRule="auto"/>
      <w:jc w:val="left"/>
    </w:pPr>
    <w:rPr>
      <w:sz w:val="20"/>
      <w:szCs w:val="20"/>
      <w:lang w:eastAsia="en-US"/>
    </w:rPr>
  </w:style>
  <w:style w:type="character" w:customStyle="1" w:styleId="Heading2Char">
    <w:name w:val="Heading 2 Char"/>
    <w:basedOn w:val="DefaultParagraphFont"/>
    <w:link w:val="Heading2"/>
    <w:uiPriority w:val="9"/>
    <w:rsid w:val="00B25E3E"/>
    <w:rPr>
      <w:b/>
      <w:sz w:val="24"/>
    </w:rPr>
  </w:style>
  <w:style w:type="character" w:customStyle="1" w:styleId="Heading3Char">
    <w:name w:val="Heading 3 Char"/>
    <w:basedOn w:val="DefaultParagraphFont"/>
    <w:link w:val="Heading3"/>
    <w:uiPriority w:val="2"/>
    <w:rsid w:val="00AE3012"/>
    <w:rPr>
      <w:b/>
      <w:sz w:val="20"/>
    </w:rPr>
  </w:style>
  <w:style w:type="character" w:customStyle="1" w:styleId="Heading4Char">
    <w:name w:val="Heading 4 Char"/>
    <w:basedOn w:val="DefaultParagraphFont"/>
    <w:link w:val="Heading4"/>
    <w:uiPriority w:val="2"/>
    <w:rsid w:val="00795CC2"/>
    <w:rPr>
      <w:b/>
      <w:i/>
      <w:sz w:val="20"/>
    </w:rPr>
  </w:style>
  <w:style w:type="paragraph" w:styleId="Title">
    <w:name w:val="Title"/>
    <w:basedOn w:val="Normal"/>
    <w:next w:val="Normal"/>
    <w:link w:val="TitleChar"/>
    <w:uiPriority w:val="2"/>
    <w:rsid w:val="00E50D09"/>
    <w:rPr>
      <w:b/>
      <w:caps/>
    </w:rPr>
  </w:style>
  <w:style w:type="character" w:customStyle="1" w:styleId="TitleChar">
    <w:name w:val="Title Char"/>
    <w:basedOn w:val="DefaultParagraphFont"/>
    <w:link w:val="Title"/>
    <w:uiPriority w:val="2"/>
    <w:rsid w:val="00E50D09"/>
    <w:rPr>
      <w:b/>
      <w:caps/>
      <w:sz w:val="24"/>
    </w:rPr>
  </w:style>
  <w:style w:type="character" w:styleId="Strong">
    <w:name w:val="Strong"/>
    <w:basedOn w:val="DefaultParagraphFont"/>
    <w:uiPriority w:val="22"/>
    <w:qFormat/>
    <w:rsid w:val="00C65945"/>
    <w:rPr>
      <w:b/>
      <w:bCs/>
    </w:rPr>
  </w:style>
  <w:style w:type="paragraph" w:styleId="Header">
    <w:name w:val="header"/>
    <w:basedOn w:val="Normal"/>
    <w:link w:val="HeaderChar"/>
    <w:uiPriority w:val="99"/>
    <w:rsid w:val="001B757B"/>
    <w:pPr>
      <w:tabs>
        <w:tab w:val="center" w:pos="4513"/>
        <w:tab w:val="right" w:pos="9026"/>
      </w:tabs>
      <w:spacing w:after="0"/>
    </w:pPr>
    <w:rPr>
      <w:sz w:val="20"/>
    </w:rPr>
  </w:style>
  <w:style w:type="character" w:customStyle="1" w:styleId="HeaderChar">
    <w:name w:val="Header Char"/>
    <w:basedOn w:val="DefaultParagraphFont"/>
    <w:link w:val="Header"/>
    <w:uiPriority w:val="99"/>
    <w:rsid w:val="001B757B"/>
    <w:rPr>
      <w:sz w:val="20"/>
    </w:rPr>
  </w:style>
  <w:style w:type="paragraph" w:styleId="Footer">
    <w:name w:val="footer"/>
    <w:basedOn w:val="Normal"/>
    <w:link w:val="FooterChar"/>
    <w:uiPriority w:val="99"/>
    <w:semiHidden/>
    <w:rsid w:val="00F31991"/>
    <w:pPr>
      <w:tabs>
        <w:tab w:val="center" w:pos="4513"/>
        <w:tab w:val="right" w:pos="9026"/>
      </w:tabs>
      <w:spacing w:after="0"/>
    </w:pPr>
  </w:style>
  <w:style w:type="character" w:customStyle="1" w:styleId="FooterChar">
    <w:name w:val="Footer Char"/>
    <w:basedOn w:val="DefaultParagraphFont"/>
    <w:link w:val="Footer"/>
    <w:uiPriority w:val="99"/>
    <w:semiHidden/>
    <w:rsid w:val="009052D4"/>
  </w:style>
  <w:style w:type="paragraph" w:customStyle="1" w:styleId="BulletedParagraph">
    <w:name w:val="Bulleted Paragraph"/>
    <w:basedOn w:val="Normal"/>
    <w:uiPriority w:val="1"/>
    <w:qFormat/>
    <w:rsid w:val="00856CDC"/>
    <w:pPr>
      <w:numPr>
        <w:numId w:val="4"/>
      </w:numPr>
    </w:pPr>
  </w:style>
  <w:style w:type="paragraph" w:styleId="Quote">
    <w:name w:val="Quote"/>
    <w:basedOn w:val="Normal"/>
    <w:link w:val="QuoteChar"/>
    <w:uiPriority w:val="7"/>
    <w:qFormat/>
    <w:rsid w:val="00C24496"/>
    <w:pPr>
      <w:tabs>
        <w:tab w:val="left" w:pos="709"/>
      </w:tabs>
      <w:ind w:left="1440" w:right="720"/>
    </w:pPr>
  </w:style>
  <w:style w:type="character" w:customStyle="1" w:styleId="QuoteChar">
    <w:name w:val="Quote Char"/>
    <w:basedOn w:val="DefaultParagraphFont"/>
    <w:link w:val="Quote"/>
    <w:uiPriority w:val="7"/>
    <w:rsid w:val="001D6CA1"/>
  </w:style>
  <w:style w:type="character" w:customStyle="1" w:styleId="Emphasis-Bold">
    <w:name w:val="Emphasis - Bold"/>
    <w:basedOn w:val="DefaultParagraphFont"/>
    <w:uiPriority w:val="3"/>
    <w:qFormat/>
    <w:rsid w:val="009052D4"/>
    <w:rPr>
      <w:b/>
      <w:i w:val="0"/>
    </w:rPr>
  </w:style>
  <w:style w:type="paragraph" w:styleId="BalloonText">
    <w:name w:val="Balloon Text"/>
    <w:basedOn w:val="Normal"/>
    <w:link w:val="BalloonTextChar"/>
    <w:uiPriority w:val="99"/>
    <w:semiHidden/>
    <w:unhideWhenUsed/>
    <w:rsid w:val="007026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6AE"/>
    <w:rPr>
      <w:rFonts w:ascii="Tahoma" w:hAnsi="Tahoma" w:cs="Tahoma"/>
      <w:sz w:val="16"/>
      <w:szCs w:val="16"/>
    </w:rPr>
  </w:style>
  <w:style w:type="character" w:styleId="PlaceholderText">
    <w:name w:val="Placeholder Text"/>
    <w:basedOn w:val="DefaultParagraphFont"/>
    <w:uiPriority w:val="99"/>
    <w:semiHidden/>
    <w:rsid w:val="002C3131"/>
    <w:rPr>
      <w:color w:val="808080"/>
    </w:rPr>
  </w:style>
  <w:style w:type="character" w:customStyle="1" w:styleId="Emphasis-Italic">
    <w:name w:val="Emphasis - Italic"/>
    <w:basedOn w:val="DefaultParagraphFont"/>
    <w:uiPriority w:val="4"/>
    <w:qFormat/>
    <w:rsid w:val="002C2E88"/>
    <w:rPr>
      <w:i/>
    </w:rPr>
  </w:style>
  <w:style w:type="character" w:customStyle="1" w:styleId="Emphasis-BoldItalic">
    <w:name w:val="Emphasis - Bold + Italic"/>
    <w:basedOn w:val="DefaultParagraphFont"/>
    <w:uiPriority w:val="5"/>
    <w:qFormat/>
    <w:rsid w:val="009052D4"/>
    <w:rPr>
      <w:b/>
      <w:i/>
    </w:rPr>
  </w:style>
  <w:style w:type="paragraph" w:styleId="FootnoteText">
    <w:name w:val="footnote text"/>
    <w:basedOn w:val="Normal"/>
    <w:link w:val="FootnoteTextChar"/>
    <w:uiPriority w:val="10"/>
    <w:rsid w:val="001B757B"/>
    <w:pPr>
      <w:spacing w:after="0"/>
    </w:pPr>
    <w:rPr>
      <w:sz w:val="18"/>
      <w:szCs w:val="20"/>
    </w:rPr>
  </w:style>
  <w:style w:type="character" w:customStyle="1" w:styleId="FootnoteTextChar">
    <w:name w:val="Footnote Text Char"/>
    <w:basedOn w:val="DefaultParagraphFont"/>
    <w:link w:val="FootnoteText"/>
    <w:uiPriority w:val="10"/>
    <w:rsid w:val="001B757B"/>
    <w:rPr>
      <w:sz w:val="18"/>
      <w:szCs w:val="20"/>
    </w:rPr>
  </w:style>
  <w:style w:type="character" w:styleId="FootnoteReference">
    <w:name w:val="footnote reference"/>
    <w:basedOn w:val="DefaultParagraphFont"/>
    <w:uiPriority w:val="9"/>
    <w:rsid w:val="00A97DFA"/>
    <w:rPr>
      <w:rFonts w:ascii="Arial" w:hAnsi="Arial"/>
      <w:sz w:val="20"/>
      <w:vertAlign w:val="superscript"/>
    </w:rPr>
  </w:style>
  <w:style w:type="paragraph" w:customStyle="1" w:styleId="Quote-Italic">
    <w:name w:val="Quote - Italic"/>
    <w:basedOn w:val="Quote"/>
    <w:uiPriority w:val="8"/>
    <w:qFormat/>
    <w:rsid w:val="00DC5713"/>
    <w:rPr>
      <w:i/>
    </w:rPr>
  </w:style>
  <w:style w:type="paragraph" w:styleId="Caption">
    <w:name w:val="caption"/>
    <w:basedOn w:val="Normal"/>
    <w:next w:val="Normal"/>
    <w:uiPriority w:val="35"/>
    <w:qFormat/>
    <w:rsid w:val="005D4C76"/>
    <w:pPr>
      <w:keepNext/>
      <w:spacing w:after="120"/>
      <w:jc w:val="center"/>
    </w:pPr>
    <w:rPr>
      <w:b/>
      <w:bCs/>
      <w:sz w:val="20"/>
      <w:szCs w:val="20"/>
    </w:rPr>
  </w:style>
  <w:style w:type="paragraph" w:customStyle="1" w:styleId="Figure">
    <w:name w:val="Figure"/>
    <w:basedOn w:val="Normal"/>
    <w:next w:val="Normal"/>
    <w:uiPriority w:val="36"/>
    <w:qFormat/>
    <w:rsid w:val="008A1D46"/>
    <w:pPr>
      <w:jc w:val="center"/>
    </w:pPr>
  </w:style>
  <w:style w:type="table" w:styleId="TableGrid">
    <w:name w:val="Table Grid"/>
    <w:basedOn w:val="TableNormal"/>
    <w:rsid w:val="0043327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Row">
    <w:name w:val="Table Row"/>
    <w:basedOn w:val="Normal"/>
    <w:uiPriority w:val="10"/>
    <w:qFormat/>
    <w:rsid w:val="00C24496"/>
    <w:pPr>
      <w:tabs>
        <w:tab w:val="left" w:pos="709"/>
      </w:tabs>
      <w:spacing w:before="80" w:after="80"/>
    </w:pPr>
    <w:rPr>
      <w:sz w:val="20"/>
      <w:szCs w:val="20"/>
    </w:rPr>
  </w:style>
  <w:style w:type="paragraph" w:customStyle="1" w:styleId="TableHeading">
    <w:name w:val="Table Heading"/>
    <w:basedOn w:val="Normal"/>
    <w:uiPriority w:val="10"/>
    <w:qFormat/>
    <w:rsid w:val="00C24496"/>
    <w:pPr>
      <w:tabs>
        <w:tab w:val="left" w:pos="709"/>
      </w:tabs>
      <w:spacing w:before="80" w:after="80"/>
    </w:pPr>
    <w:rPr>
      <w:b/>
      <w:sz w:val="20"/>
      <w:szCs w:val="20"/>
    </w:rPr>
  </w:style>
  <w:style w:type="character" w:styleId="Hyperlink">
    <w:name w:val="Hyperlink"/>
    <w:basedOn w:val="DefaultParagraphFont"/>
    <w:uiPriority w:val="99"/>
    <w:unhideWhenUsed/>
    <w:rsid w:val="00056241"/>
    <w:rPr>
      <w:color w:val="0000FF" w:themeColor="hyperlink"/>
      <w:u w:val="single"/>
    </w:rPr>
  </w:style>
  <w:style w:type="character" w:styleId="FollowedHyperlink">
    <w:name w:val="FollowedHyperlink"/>
    <w:basedOn w:val="DefaultParagraphFont"/>
    <w:uiPriority w:val="99"/>
    <w:semiHidden/>
    <w:unhideWhenUsed/>
    <w:rsid w:val="005B44E4"/>
    <w:rPr>
      <w:color w:val="800080" w:themeColor="followedHyperlink"/>
      <w:u w:val="single"/>
    </w:rPr>
  </w:style>
  <w:style w:type="character" w:styleId="UnresolvedMention">
    <w:name w:val="Unresolved Mention"/>
    <w:basedOn w:val="DefaultParagraphFont"/>
    <w:uiPriority w:val="99"/>
    <w:semiHidden/>
    <w:unhideWhenUsed/>
    <w:rsid w:val="0043404E"/>
    <w:rPr>
      <w:color w:val="605E5C"/>
      <w:shd w:val="clear" w:color="auto" w:fill="E1DFDD"/>
    </w:rPr>
  </w:style>
  <w:style w:type="paragraph" w:styleId="ListParagraph">
    <w:name w:val="List Paragraph"/>
    <w:basedOn w:val="Normal"/>
    <w:uiPriority w:val="34"/>
    <w:qFormat/>
    <w:rsid w:val="00C24496"/>
    <w:pPr>
      <w:numPr>
        <w:numId w:val="1"/>
      </w:numPr>
    </w:pPr>
  </w:style>
  <w:style w:type="paragraph" w:customStyle="1" w:styleId="Table-Heading">
    <w:name w:val="Table - Heading"/>
    <w:basedOn w:val="Table-Text"/>
    <w:next w:val="Table-Text"/>
    <w:qFormat/>
    <w:rsid w:val="004579AF"/>
    <w:rPr>
      <w:b/>
    </w:rPr>
  </w:style>
  <w:style w:type="paragraph" w:customStyle="1" w:styleId="StyleTable-TextRightalignedBold">
    <w:name w:val="Style Table - Text + Right aligned + Bold"/>
    <w:basedOn w:val="Table-Text"/>
    <w:rsid w:val="004579AF"/>
    <w:pPr>
      <w:ind w:right="96"/>
      <w:jc w:val="right"/>
    </w:pPr>
    <w:rPr>
      <w:rFonts w:eastAsia="Times New Roman" w:cs="Times New Roman"/>
      <w:b/>
      <w:bCs/>
      <w:sz w:val="18"/>
    </w:rPr>
  </w:style>
  <w:style w:type="table" w:customStyle="1" w:styleId="TableGrid1">
    <w:name w:val="Table Grid1"/>
    <w:basedOn w:val="TableNormal"/>
    <w:next w:val="TableGrid"/>
    <w:rsid w:val="008D297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graph">
    <w:name w:val="Numbered Paragraph"/>
    <w:basedOn w:val="Normal"/>
    <w:qFormat/>
    <w:rsid w:val="00432D9E"/>
    <w:pPr>
      <w:tabs>
        <w:tab w:val="num" w:pos="851"/>
      </w:tabs>
      <w:spacing w:before="240" w:after="0"/>
      <w:ind w:left="851" w:hanging="851"/>
    </w:pPr>
    <w:rPr>
      <w:rFonts w:ascii="Times New Roman" w:eastAsia="Times New Roman" w:hAnsi="Times New Roman" w:cs="Times New Roman"/>
      <w:szCs w:val="24"/>
    </w:rPr>
  </w:style>
  <w:style w:type="character" w:styleId="CommentReference">
    <w:name w:val="annotation reference"/>
    <w:basedOn w:val="DefaultParagraphFont"/>
    <w:uiPriority w:val="99"/>
    <w:semiHidden/>
    <w:unhideWhenUsed/>
    <w:rsid w:val="00335D02"/>
    <w:rPr>
      <w:sz w:val="16"/>
      <w:szCs w:val="16"/>
    </w:rPr>
  </w:style>
  <w:style w:type="paragraph" w:styleId="CommentText">
    <w:name w:val="annotation text"/>
    <w:basedOn w:val="Normal"/>
    <w:link w:val="CommentTextChar"/>
    <w:uiPriority w:val="99"/>
    <w:semiHidden/>
    <w:unhideWhenUsed/>
    <w:rsid w:val="00335D02"/>
    <w:rPr>
      <w:sz w:val="20"/>
      <w:szCs w:val="20"/>
    </w:rPr>
  </w:style>
  <w:style w:type="character" w:customStyle="1" w:styleId="CommentTextChar">
    <w:name w:val="Comment Text Char"/>
    <w:basedOn w:val="DefaultParagraphFont"/>
    <w:link w:val="CommentText"/>
    <w:uiPriority w:val="99"/>
    <w:semiHidden/>
    <w:rsid w:val="00335D02"/>
    <w:rPr>
      <w:sz w:val="20"/>
      <w:szCs w:val="20"/>
    </w:rPr>
  </w:style>
  <w:style w:type="paragraph" w:styleId="CommentSubject">
    <w:name w:val="annotation subject"/>
    <w:basedOn w:val="CommentText"/>
    <w:next w:val="CommentText"/>
    <w:link w:val="CommentSubjectChar"/>
    <w:uiPriority w:val="99"/>
    <w:semiHidden/>
    <w:unhideWhenUsed/>
    <w:rsid w:val="00335D02"/>
    <w:rPr>
      <w:b/>
      <w:bCs/>
    </w:rPr>
  </w:style>
  <w:style w:type="character" w:customStyle="1" w:styleId="CommentSubjectChar">
    <w:name w:val="Comment Subject Char"/>
    <w:basedOn w:val="CommentTextChar"/>
    <w:link w:val="CommentSubject"/>
    <w:uiPriority w:val="99"/>
    <w:semiHidden/>
    <w:rsid w:val="00335D02"/>
    <w:rPr>
      <w:b/>
      <w:bCs/>
      <w:sz w:val="20"/>
      <w:szCs w:val="20"/>
    </w:rPr>
  </w:style>
  <w:style w:type="paragraph" w:styleId="Revision">
    <w:name w:val="Revision"/>
    <w:hidden/>
    <w:uiPriority w:val="99"/>
    <w:semiHidden/>
    <w:rsid w:val="00A51508"/>
    <w:pPr>
      <w:spacing w:after="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422569">
      <w:bodyDiv w:val="1"/>
      <w:marLeft w:val="0"/>
      <w:marRight w:val="0"/>
      <w:marTop w:val="0"/>
      <w:marBottom w:val="0"/>
      <w:divBdr>
        <w:top w:val="none" w:sz="0" w:space="0" w:color="auto"/>
        <w:left w:val="none" w:sz="0" w:space="0" w:color="auto"/>
        <w:bottom w:val="none" w:sz="0" w:space="0" w:color="auto"/>
        <w:right w:val="none" w:sz="0" w:space="0" w:color="auto"/>
      </w:divBdr>
    </w:div>
    <w:div w:id="881556541">
      <w:bodyDiv w:val="1"/>
      <w:marLeft w:val="0"/>
      <w:marRight w:val="0"/>
      <w:marTop w:val="0"/>
      <w:marBottom w:val="0"/>
      <w:divBdr>
        <w:top w:val="none" w:sz="0" w:space="0" w:color="auto"/>
        <w:left w:val="none" w:sz="0" w:space="0" w:color="auto"/>
        <w:bottom w:val="none" w:sz="0" w:space="0" w:color="auto"/>
        <w:right w:val="none" w:sz="0" w:space="0" w:color="auto"/>
      </w:divBdr>
    </w:div>
    <w:div w:id="1169752185">
      <w:bodyDiv w:val="1"/>
      <w:marLeft w:val="0"/>
      <w:marRight w:val="0"/>
      <w:marTop w:val="0"/>
      <w:marBottom w:val="0"/>
      <w:divBdr>
        <w:top w:val="none" w:sz="0" w:space="0" w:color="auto"/>
        <w:left w:val="none" w:sz="0" w:space="0" w:color="auto"/>
        <w:bottom w:val="none" w:sz="0" w:space="0" w:color="auto"/>
        <w:right w:val="none" w:sz="0" w:space="0" w:color="auto"/>
      </w:divBdr>
    </w:div>
    <w:div w:id="1407799972">
      <w:bodyDiv w:val="1"/>
      <w:marLeft w:val="0"/>
      <w:marRight w:val="0"/>
      <w:marTop w:val="0"/>
      <w:marBottom w:val="0"/>
      <w:divBdr>
        <w:top w:val="none" w:sz="0" w:space="0" w:color="auto"/>
        <w:left w:val="none" w:sz="0" w:space="0" w:color="auto"/>
        <w:bottom w:val="none" w:sz="0" w:space="0" w:color="auto"/>
        <w:right w:val="none" w:sz="0" w:space="0" w:color="auto"/>
      </w:divBdr>
    </w:div>
    <w:div w:id="1839147481">
      <w:bodyDiv w:val="1"/>
      <w:marLeft w:val="0"/>
      <w:marRight w:val="0"/>
      <w:marTop w:val="0"/>
      <w:marBottom w:val="0"/>
      <w:divBdr>
        <w:top w:val="none" w:sz="0" w:space="0" w:color="auto"/>
        <w:left w:val="none" w:sz="0" w:space="0" w:color="auto"/>
        <w:bottom w:val="none" w:sz="0" w:space="0" w:color="auto"/>
        <w:right w:val="none" w:sz="0" w:space="0" w:color="auto"/>
      </w:divBdr>
    </w:div>
    <w:div w:id="1881554107">
      <w:bodyDiv w:val="1"/>
      <w:marLeft w:val="0"/>
      <w:marRight w:val="0"/>
      <w:marTop w:val="0"/>
      <w:marBottom w:val="0"/>
      <w:divBdr>
        <w:top w:val="none" w:sz="0" w:space="0" w:color="auto"/>
        <w:left w:val="none" w:sz="0" w:space="0" w:color="auto"/>
        <w:bottom w:val="none" w:sz="0" w:space="0" w:color="auto"/>
        <w:right w:val="none" w:sz="0" w:space="0" w:color="auto"/>
      </w:divBdr>
    </w:div>
    <w:div w:id="2031102656">
      <w:bodyDiv w:val="1"/>
      <w:marLeft w:val="0"/>
      <w:marRight w:val="0"/>
      <w:marTop w:val="0"/>
      <w:marBottom w:val="0"/>
      <w:divBdr>
        <w:top w:val="none" w:sz="0" w:space="0" w:color="auto"/>
        <w:left w:val="none" w:sz="0" w:space="0" w:color="auto"/>
        <w:bottom w:val="none" w:sz="0" w:space="0" w:color="auto"/>
        <w:right w:val="none" w:sz="0" w:space="0" w:color="auto"/>
      </w:divBdr>
    </w:div>
    <w:div w:id="214573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easury.govt.nz/publications/wellbeing-budget/wellbeing-budget-201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19" ma:contentTypeDescription="Inland Revenue NZ Document" ma:contentTypeScope="" ma:versionID="a08b23e5e65b377d8ba59208d0e3ef32">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fe668fbfb2b1bbe055ef84fa0169edfc"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ActivityTaxHTField xmlns="http://schemas.microsoft.com/sharepoint/v3">
      <Terms xmlns="http://schemas.microsoft.com/office/infopath/2007/PartnerControls"/>
    </BusinessActivityTaxHTField>
    <wic_System_Copyright xmlns="http://schemas.microsoft.com/sharepoint/v3/fields" xsi:nil="true"/>
    <_Version xmlns="http://schemas.microsoft.com/sharepoint/v3/fields" xsi:nil="true"/>
    <lcf76f155ced4ddcb4097134ff3c332f xmlns="86f2116b-51b8-4a6f-8648-0c472a1911ee">
      <Terms xmlns="http://schemas.microsoft.com/office/infopath/2007/PartnerControls"/>
    </lcf76f155ced4ddcb4097134ff3c332f>
    <TaxCatchAll xmlns="a4a9dc13-bb31-46d7-b689-a0a4d48a0c28">
      <Value>5</Value>
    </TaxCatchAll>
    <InformationTypeTaxHTField xmlns="http://schemas.microsoft.com/sharepoint/v3">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07b2358e-9dfa-4224-9507-68d25cdb2d6b</TermId>
        </TermInfo>
      </Terms>
    </InformationTypeTaxHTField>
    <DocumentStatusTaxHTField xmlns="http://schemas.microsoft.com/sharepoint/v3">
      <Terms xmlns="http://schemas.microsoft.com/office/infopath/2007/PartnerControls"/>
    </DocumentStatusTaxHTField>
    <BusinessUnitTaxHTField xmlns="http://schemas.microsoft.com/sharepoint/v3">
      <Terms xmlns="http://schemas.microsoft.com/office/infopath/2007/PartnerControls"/>
    </BusinessUnitTaxHTField>
    <TaxCatchAllLabel xmlns="a4a9dc13-bb31-46d7-b689-a0a4d48a0c28" xsi:nil="true"/>
    <SecurityClassificationTaxHTField xmlns="http://schemas.microsoft.com/sharepoint/v3">
      <Terms xmlns="http://schemas.microsoft.com/office/infopath/2007/PartnerControls"/>
    </SecurityClassificationTaxHTField>
  </documentManagement>
</p:properties>
</file>

<file path=customXml/itemProps1.xml><?xml version="1.0" encoding="utf-8"?>
<ds:datastoreItem xmlns:ds="http://schemas.openxmlformats.org/officeDocument/2006/customXml" ds:itemID="{9EF9FAC0-E040-4E16-AACA-A794899FE9C3}"/>
</file>

<file path=customXml/itemProps2.xml><?xml version="1.0" encoding="utf-8"?>
<ds:datastoreItem xmlns:ds="http://schemas.openxmlformats.org/officeDocument/2006/customXml" ds:itemID="{7AFE0403-C079-4D7E-B0CE-813095A1B6CB}"/>
</file>

<file path=customXml/itemProps3.xml><?xml version="1.0" encoding="utf-8"?>
<ds:datastoreItem xmlns:ds="http://schemas.openxmlformats.org/officeDocument/2006/customXml" ds:itemID="{6791B1F0-4111-4DD3-ADDF-6754957FED2B}"/>
</file>

<file path=docProps/app.xml><?xml version="1.0" encoding="utf-8"?>
<Properties xmlns="http://schemas.openxmlformats.org/officeDocument/2006/extended-properties" xmlns:vt="http://schemas.openxmlformats.org/officeDocument/2006/docPropsVTypes">
  <Template>Normal.dotm</Template>
  <TotalTime>1</TotalTime>
  <Pages>10</Pages>
  <Words>3661</Words>
  <Characters>20871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DEV-22-SUB-0017 – Cabinet paper: GST apportionment: an officials’ issues paper (2 March 2022)</vt:lpstr>
    </vt:vector>
  </TitlesOfParts>
  <Company/>
  <LinksUpToDate>false</LinksUpToDate>
  <CharactersWithSpaces>24484</CharactersWithSpaces>
  <SharedDoc>false</SharedDoc>
  <HLinks>
    <vt:vector size="6" baseType="variant">
      <vt:variant>
        <vt:i4>6619192</vt:i4>
      </vt:variant>
      <vt:variant>
        <vt:i4>0</vt:i4>
      </vt:variant>
      <vt:variant>
        <vt:i4>0</vt:i4>
      </vt:variant>
      <vt:variant>
        <vt:i4>5</vt:i4>
      </vt:variant>
      <vt:variant>
        <vt:lpwstr>https://treasury.govt.nz/publications/wellbeing-budget/wellbeing-budget-2019-html</vt:lpwstr>
      </vt:variant>
      <vt:variant>
        <vt:lpwstr>section-13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DEV-22-SUB-0017 – Cabinet paper: GST apportionment: an officials’ issues paper (2 March 2022)</dc:title>
  <dc:subject/>
  <dc:creator/>
  <cp:keywords/>
  <dc:description/>
  <dcterms:created xsi:type="dcterms:W3CDTF">2022-03-11T00:46:00Z</dcterms:created>
  <dcterms:modified xsi:type="dcterms:W3CDTF">2022-03-11T00:47:00Z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Type">
    <vt:lpwstr>5;#Template|07b2358e-9dfa-4224-9507-68d25cdb2d6b</vt:lpwstr>
  </property>
  <property fmtid="{D5CDD505-2E9C-101B-9397-08002B2CF9AE}" pid="3" name="MSIP_Label_665369cb-4b57-4918-891b-be45ced60474_Name">
    <vt:lpwstr>665369cb-4b57-4918-891b-be45ced60474</vt:lpwstr>
  </property>
  <property fmtid="{D5CDD505-2E9C-101B-9397-08002B2CF9AE}" pid="4" name="DocumentStatus">
    <vt:lpwstr/>
  </property>
  <property fmtid="{D5CDD505-2E9C-101B-9397-08002B2CF9AE}" pid="5" name="BusinessUnit">
    <vt:lpwstr/>
  </property>
  <property fmtid="{D5CDD505-2E9C-101B-9397-08002B2CF9AE}" pid="6" name="ContentTypeId">
    <vt:lpwstr>0x0101000B461733DE48CC4985E239AAFC9C41590100670D0BD9AB7101418FC69E4F42B3A5BC</vt:lpwstr>
  </property>
  <property fmtid="{D5CDD505-2E9C-101B-9397-08002B2CF9AE}" pid="7" name="SecurityClassification">
    <vt:lpwstr/>
  </property>
  <property fmtid="{D5CDD505-2E9C-101B-9397-08002B2CF9AE}" pid="8" name="MSIP_Label_665369cb-4b57-4918-891b-be45ced60474_SiteId">
    <vt:lpwstr>fb39e3e9-23a9-404e-93a2-b42a87d94f35</vt:lpwstr>
  </property>
  <property fmtid="{D5CDD505-2E9C-101B-9397-08002B2CF9AE}" pid="9" name="MSIP_Label_665369cb-4b57-4918-891b-be45ced60474_Method">
    <vt:lpwstr>Privileged</vt:lpwstr>
  </property>
  <property fmtid="{D5CDD505-2E9C-101B-9397-08002B2CF9AE}" pid="10" name="MSIP_Label_665369cb-4b57-4918-891b-be45ced60474_Enabled">
    <vt:lpwstr>true</vt:lpwstr>
  </property>
  <property fmtid="{D5CDD505-2E9C-101B-9397-08002B2CF9AE}" pid="11" name="MSIP_Label_665369cb-4b57-4918-891b-be45ced60474_SetDate">
    <vt:lpwstr>2022-02-01T22:25:08Z</vt:lpwstr>
  </property>
  <property fmtid="{D5CDD505-2E9C-101B-9397-08002B2CF9AE}" pid="12" name="_docset_NoMedatataSyncRequired">
    <vt:lpwstr>False</vt:lpwstr>
  </property>
  <property fmtid="{D5CDD505-2E9C-101B-9397-08002B2CF9AE}" pid="13" name="MSIP_Label_665369cb-4b57-4918-891b-be45ced60474_ContentBits">
    <vt:lpwstr>1</vt:lpwstr>
  </property>
  <property fmtid="{D5CDD505-2E9C-101B-9397-08002B2CF9AE}" pid="14" name="BusinessActivity">
    <vt:lpwstr/>
  </property>
  <property fmtid="{D5CDD505-2E9C-101B-9397-08002B2CF9AE}" pid="15" name="MSIP_Label_665369cb-4b57-4918-891b-be45ced60474_ActionId">
    <vt:lpwstr>9b5d5900-1f23-4908-aad5-0154b878ae66</vt:lpwstr>
  </property>
  <property fmtid="{D5CDD505-2E9C-101B-9397-08002B2CF9AE}" pid="16" name="MediaServiceImageTags">
    <vt:lpwstr/>
  </property>
</Properties>
</file>