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3C94" w14:textId="77777777" w:rsidR="004F18A8" w:rsidRPr="00850F5E" w:rsidRDefault="004F18A8" w:rsidP="004F18A8">
      <w:pPr>
        <w:spacing w:before="120" w:after="120"/>
        <w:rPr>
          <w:b/>
        </w:rPr>
      </w:pPr>
      <w:r w:rsidRPr="00850F5E">
        <w:rPr>
          <w:b/>
        </w:rPr>
        <w:t>In Confidence</w:t>
      </w:r>
    </w:p>
    <w:p w14:paraId="2F92EB82" w14:textId="77777777" w:rsidR="004F18A8" w:rsidRPr="00850F5E" w:rsidRDefault="004F18A8" w:rsidP="004F18A8">
      <w:pPr>
        <w:spacing w:before="120" w:after="120"/>
        <w:rPr>
          <w:sz w:val="24"/>
        </w:rPr>
      </w:pPr>
    </w:p>
    <w:p w14:paraId="3261A9BA" w14:textId="0158A4F5" w:rsidR="004F18A8" w:rsidRPr="00850F5E" w:rsidRDefault="004F18A8" w:rsidP="004F18A8">
      <w:pPr>
        <w:spacing w:before="120" w:after="120"/>
      </w:pPr>
      <w:r w:rsidRPr="00850F5E">
        <w:t xml:space="preserve">Office of the Minister of </w:t>
      </w:r>
      <w:r w:rsidR="004847B7">
        <w:t>Revenue</w:t>
      </w:r>
    </w:p>
    <w:p w14:paraId="67B913B1" w14:textId="268335FC" w:rsidR="004F18A8" w:rsidRPr="00850F5E" w:rsidRDefault="004F18A8" w:rsidP="004F18A8">
      <w:pPr>
        <w:spacing w:before="120" w:after="120"/>
      </w:pPr>
      <w:r w:rsidRPr="00850F5E">
        <w:t xml:space="preserve">Chair, </w:t>
      </w:r>
      <w:r>
        <w:t>Cabinet</w:t>
      </w:r>
    </w:p>
    <w:p w14:paraId="4235664F" w14:textId="77777777" w:rsidR="004F18A8" w:rsidRPr="00850F5E" w:rsidRDefault="004F18A8" w:rsidP="004F18A8">
      <w:pPr>
        <w:spacing w:before="120" w:after="120"/>
        <w:rPr>
          <w:sz w:val="24"/>
        </w:rPr>
      </w:pPr>
    </w:p>
    <w:p w14:paraId="33689BCA" w14:textId="3AC3A408" w:rsidR="00CF4F76" w:rsidRDefault="00CF4F76" w:rsidP="004F18A8">
      <w:pPr>
        <w:spacing w:before="140" w:after="140"/>
        <w:rPr>
          <w:b/>
          <w:sz w:val="28"/>
          <w:szCs w:val="28"/>
        </w:rPr>
      </w:pPr>
      <w:r w:rsidRPr="00502B62">
        <w:rPr>
          <w:b/>
          <w:sz w:val="28"/>
          <w:szCs w:val="28"/>
        </w:rPr>
        <w:t>Tax Administration (Extension of Due Date</w:t>
      </w:r>
      <w:r w:rsidR="00502B62" w:rsidRPr="00502B62">
        <w:rPr>
          <w:b/>
          <w:sz w:val="28"/>
          <w:szCs w:val="28"/>
        </w:rPr>
        <w:t>s</w:t>
      </w:r>
      <w:r w:rsidRPr="00502B62">
        <w:rPr>
          <w:b/>
          <w:sz w:val="28"/>
          <w:szCs w:val="28"/>
        </w:rPr>
        <w:t>) Order 2021</w:t>
      </w:r>
    </w:p>
    <w:p w14:paraId="21770EA8" w14:textId="4333C064" w:rsidR="004F18A8" w:rsidRPr="00850F5E" w:rsidRDefault="004F18A8" w:rsidP="004F18A8">
      <w:pPr>
        <w:spacing w:before="140" w:after="140"/>
        <w:rPr>
          <w:b/>
        </w:rPr>
      </w:pPr>
      <w:r w:rsidRPr="00850F5E">
        <w:rPr>
          <w:b/>
        </w:rPr>
        <w:t>Proposal</w:t>
      </w:r>
    </w:p>
    <w:p w14:paraId="6F7A13A7" w14:textId="0A32479E" w:rsidR="004F18A8" w:rsidRDefault="004F18A8" w:rsidP="002C5D82">
      <w:pPr>
        <w:pStyle w:val="ListParagraph"/>
        <w:numPr>
          <w:ilvl w:val="0"/>
          <w:numId w:val="2"/>
        </w:numPr>
        <w:tabs>
          <w:tab w:val="left" w:pos="567"/>
        </w:tabs>
        <w:spacing w:before="140" w:after="140"/>
        <w:ind w:left="567" w:hanging="567"/>
        <w:contextualSpacing w:val="0"/>
      </w:pPr>
      <w:r w:rsidRPr="00850F5E">
        <w:t xml:space="preserve">This paper seeks agreement to </w:t>
      </w:r>
      <w:r w:rsidR="00124D67">
        <w:t>extend the due da</w:t>
      </w:r>
      <w:r w:rsidR="00597A89">
        <w:t>te</w:t>
      </w:r>
      <w:r w:rsidR="00124D67">
        <w:t xml:space="preserve"> for the payment of tax and the filing of tax returns </w:t>
      </w:r>
      <w:r w:rsidR="00DB175E">
        <w:t xml:space="preserve">required under the Tax Administration Act 1994, Income Tax Act 2007 and the Goods and Services Tax Act 1985 </w:t>
      </w:r>
      <w:r w:rsidR="00B20423">
        <w:t>from</w:t>
      </w:r>
      <w:r w:rsidR="00282F4A">
        <w:t xml:space="preserve"> </w:t>
      </w:r>
      <w:r w:rsidR="002D75A3">
        <w:t>the 28</w:t>
      </w:r>
      <w:r w:rsidR="002D75A3" w:rsidRPr="00597A89">
        <w:rPr>
          <w:vertAlign w:val="superscript"/>
        </w:rPr>
        <w:t>th</w:t>
      </w:r>
      <w:r w:rsidR="002D75A3">
        <w:t xml:space="preserve"> of October 2021 to the 4</w:t>
      </w:r>
      <w:r w:rsidR="002D75A3" w:rsidRPr="00597A89">
        <w:rPr>
          <w:vertAlign w:val="superscript"/>
        </w:rPr>
        <w:t>th</w:t>
      </w:r>
      <w:r w:rsidR="002D75A3">
        <w:t xml:space="preserve"> of November 2021</w:t>
      </w:r>
      <w:r>
        <w:t>.</w:t>
      </w:r>
    </w:p>
    <w:p w14:paraId="6C50EFE6" w14:textId="2D8F6343" w:rsidR="009C48EA" w:rsidRPr="00850F5E" w:rsidRDefault="004B63F8" w:rsidP="002C5D82">
      <w:pPr>
        <w:pStyle w:val="ListParagraph"/>
        <w:numPr>
          <w:ilvl w:val="0"/>
          <w:numId w:val="2"/>
        </w:numPr>
        <w:tabs>
          <w:tab w:val="left" w:pos="567"/>
        </w:tabs>
        <w:spacing w:before="140" w:after="140"/>
        <w:ind w:left="567" w:hanging="567"/>
        <w:contextualSpacing w:val="0"/>
      </w:pPr>
      <w:r>
        <w:t xml:space="preserve">This paper seeks agreement to submit </w:t>
      </w:r>
      <w:r w:rsidR="00D12F10">
        <w:t>the</w:t>
      </w:r>
      <w:r>
        <w:t xml:space="preserve"> </w:t>
      </w:r>
      <w:r w:rsidR="000048A8" w:rsidRPr="00502B62">
        <w:t>Tax Administration (Extension of Due Date</w:t>
      </w:r>
      <w:r w:rsidR="00502B62" w:rsidRPr="00502B62">
        <w:t>s</w:t>
      </w:r>
      <w:r w:rsidR="000048A8" w:rsidRPr="00502B62">
        <w:t>) Order 2021</w:t>
      </w:r>
      <w:r w:rsidR="006668A6">
        <w:t xml:space="preserve"> </w:t>
      </w:r>
      <w:r w:rsidR="00D12F10">
        <w:t xml:space="preserve">to </w:t>
      </w:r>
      <w:r>
        <w:t>the Executive Council</w:t>
      </w:r>
      <w:r w:rsidR="008873F3">
        <w:t xml:space="preserve"> extending th</w:t>
      </w:r>
      <w:r w:rsidR="004A7517">
        <w:t>i</w:t>
      </w:r>
      <w:r w:rsidR="008873F3">
        <w:t>s due date</w:t>
      </w:r>
      <w:r>
        <w:t>.</w:t>
      </w:r>
    </w:p>
    <w:p w14:paraId="3950D897" w14:textId="2593DFB0" w:rsidR="004F18A8" w:rsidRPr="00850F5E" w:rsidRDefault="00471E68" w:rsidP="004F18A8">
      <w:pPr>
        <w:spacing w:before="140" w:after="140"/>
        <w:rPr>
          <w:b/>
        </w:rPr>
      </w:pPr>
      <w:r>
        <w:rPr>
          <w:b/>
        </w:rPr>
        <w:t>Background</w:t>
      </w:r>
    </w:p>
    <w:p w14:paraId="00107D48" w14:textId="25DC67AF" w:rsidR="00F65465" w:rsidRPr="00F65465" w:rsidRDefault="00F65465" w:rsidP="00F65465">
      <w:pPr>
        <w:pStyle w:val="NumberedParagraph"/>
        <w:numPr>
          <w:ilvl w:val="0"/>
          <w:numId w:val="2"/>
        </w:numPr>
        <w:ind w:left="567" w:hanging="567"/>
        <w:rPr>
          <w:rFonts w:ascii="Arial" w:eastAsiaTheme="minorEastAsia" w:hAnsi="Arial" w:cs="Arial"/>
          <w:sz w:val="22"/>
          <w:szCs w:val="22"/>
          <w:lang w:eastAsia="en-US"/>
        </w:rPr>
      </w:pPr>
      <w:r w:rsidRPr="00F65465">
        <w:rPr>
          <w:rFonts w:ascii="Arial" w:eastAsiaTheme="minorEastAsia" w:hAnsi="Arial" w:cs="Arial"/>
          <w:sz w:val="22"/>
          <w:szCs w:val="22"/>
          <w:lang w:eastAsia="en-US"/>
        </w:rPr>
        <w:t>The second release of Stage 4 of Inland Revenue’s START</w:t>
      </w:r>
      <w:r w:rsidR="00D4671F">
        <w:rPr>
          <w:rStyle w:val="FootnoteReference"/>
        </w:rPr>
        <w:footnoteReference w:id="2"/>
      </w:r>
      <w:r w:rsidRPr="00F65465">
        <w:rPr>
          <w:rFonts w:ascii="Arial" w:eastAsiaTheme="minorEastAsia" w:hAnsi="Arial" w:cs="Arial"/>
          <w:sz w:val="22"/>
          <w:szCs w:val="22"/>
          <w:lang w:eastAsia="en-US"/>
        </w:rPr>
        <w:t xml:space="preserve"> system is due to “go live” on the 28</w:t>
      </w:r>
      <w:r w:rsidR="00FC4524" w:rsidRPr="00FC4524">
        <w:rPr>
          <w:rFonts w:ascii="Arial" w:eastAsiaTheme="minorEastAsia" w:hAnsi="Arial" w:cs="Arial"/>
          <w:sz w:val="22"/>
          <w:szCs w:val="22"/>
          <w:vertAlign w:val="superscript"/>
          <w:lang w:eastAsia="en-US"/>
        </w:rPr>
        <w:t>th</w:t>
      </w:r>
      <w:r w:rsidR="00FC4524">
        <w:rPr>
          <w:rFonts w:ascii="Arial" w:eastAsiaTheme="minorEastAsia" w:hAnsi="Arial" w:cs="Arial"/>
          <w:sz w:val="22"/>
          <w:szCs w:val="22"/>
          <w:lang w:eastAsia="en-US"/>
        </w:rPr>
        <w:t xml:space="preserve"> </w:t>
      </w:r>
      <w:r w:rsidRPr="00F65465">
        <w:rPr>
          <w:rFonts w:ascii="Arial" w:eastAsiaTheme="minorEastAsia" w:hAnsi="Arial" w:cs="Arial"/>
          <w:sz w:val="22"/>
          <w:szCs w:val="22"/>
          <w:lang w:eastAsia="en-US"/>
        </w:rPr>
        <w:t>of October</w:t>
      </w:r>
      <w:r w:rsidR="004A7517">
        <w:rPr>
          <w:rFonts w:ascii="Arial" w:eastAsiaTheme="minorEastAsia" w:hAnsi="Arial" w:cs="Arial"/>
          <w:sz w:val="22"/>
          <w:szCs w:val="22"/>
          <w:lang w:eastAsia="en-US"/>
        </w:rPr>
        <w:t xml:space="preserve"> 2021</w:t>
      </w:r>
      <w:r w:rsidRPr="00F65465">
        <w:rPr>
          <w:rFonts w:ascii="Arial" w:eastAsiaTheme="minorEastAsia" w:hAnsi="Arial" w:cs="Arial"/>
          <w:sz w:val="22"/>
          <w:szCs w:val="22"/>
          <w:lang w:eastAsia="en-US"/>
        </w:rPr>
        <w:t>. This process will involve the shutdown of Inland Revenue’s computer systems from the afternoon of the 21</w:t>
      </w:r>
      <w:r w:rsidR="00FC4524" w:rsidRPr="00FC4524">
        <w:rPr>
          <w:rFonts w:ascii="Arial" w:eastAsiaTheme="minorEastAsia" w:hAnsi="Arial" w:cs="Arial"/>
          <w:sz w:val="22"/>
          <w:szCs w:val="22"/>
          <w:vertAlign w:val="superscript"/>
          <w:lang w:eastAsia="en-US"/>
        </w:rPr>
        <w:t>st</w:t>
      </w:r>
      <w:r w:rsidR="00FC4524">
        <w:rPr>
          <w:rFonts w:ascii="Arial" w:eastAsiaTheme="minorEastAsia" w:hAnsi="Arial" w:cs="Arial"/>
          <w:sz w:val="22"/>
          <w:szCs w:val="22"/>
          <w:lang w:eastAsia="en-US"/>
        </w:rPr>
        <w:t xml:space="preserve"> </w:t>
      </w:r>
      <w:r w:rsidRPr="00F65465">
        <w:rPr>
          <w:rFonts w:ascii="Arial" w:eastAsiaTheme="minorEastAsia" w:hAnsi="Arial" w:cs="Arial"/>
          <w:sz w:val="22"/>
          <w:szCs w:val="22"/>
          <w:lang w:eastAsia="en-US"/>
        </w:rPr>
        <w:t>of October to the morning of the 28</w:t>
      </w:r>
      <w:r w:rsidR="00FC4524" w:rsidRPr="00FC4524">
        <w:rPr>
          <w:rFonts w:ascii="Arial" w:eastAsiaTheme="minorEastAsia" w:hAnsi="Arial" w:cs="Arial"/>
          <w:sz w:val="22"/>
          <w:szCs w:val="22"/>
          <w:vertAlign w:val="superscript"/>
          <w:lang w:eastAsia="en-US"/>
        </w:rPr>
        <w:t>th</w:t>
      </w:r>
      <w:r w:rsidR="00FC4524">
        <w:rPr>
          <w:rFonts w:ascii="Arial" w:eastAsiaTheme="minorEastAsia" w:hAnsi="Arial" w:cs="Arial"/>
          <w:sz w:val="22"/>
          <w:szCs w:val="22"/>
          <w:lang w:eastAsia="en-US"/>
        </w:rPr>
        <w:t xml:space="preserve"> </w:t>
      </w:r>
      <w:r w:rsidRPr="00F65465">
        <w:rPr>
          <w:rFonts w:ascii="Arial" w:eastAsiaTheme="minorEastAsia" w:hAnsi="Arial" w:cs="Arial"/>
          <w:sz w:val="22"/>
          <w:szCs w:val="22"/>
          <w:lang w:eastAsia="en-US"/>
        </w:rPr>
        <w:t xml:space="preserve">of October. During this period, </w:t>
      </w:r>
      <w:r w:rsidR="00561506">
        <w:rPr>
          <w:rFonts w:ascii="Arial" w:eastAsiaTheme="minorEastAsia" w:hAnsi="Arial" w:cs="Arial"/>
          <w:sz w:val="22"/>
          <w:szCs w:val="22"/>
          <w:lang w:eastAsia="en-US"/>
        </w:rPr>
        <w:t>taxpayers</w:t>
      </w:r>
      <w:r w:rsidRPr="00F65465">
        <w:rPr>
          <w:rFonts w:ascii="Arial" w:eastAsiaTheme="minorEastAsia" w:hAnsi="Arial" w:cs="Arial"/>
          <w:sz w:val="22"/>
          <w:szCs w:val="22"/>
          <w:lang w:eastAsia="en-US"/>
        </w:rPr>
        <w:t xml:space="preserve"> will not be able to access those systems to file their </w:t>
      </w:r>
      <w:r w:rsidR="000376EE">
        <w:rPr>
          <w:rFonts w:ascii="Arial" w:eastAsiaTheme="minorEastAsia" w:hAnsi="Arial" w:cs="Arial"/>
          <w:sz w:val="22"/>
          <w:szCs w:val="22"/>
          <w:lang w:eastAsia="en-US"/>
        </w:rPr>
        <w:t>Goods and Services Tax (</w:t>
      </w:r>
      <w:r w:rsidRPr="00F65465">
        <w:rPr>
          <w:rFonts w:ascii="Arial" w:eastAsiaTheme="minorEastAsia" w:hAnsi="Arial" w:cs="Arial"/>
          <w:sz w:val="22"/>
          <w:szCs w:val="22"/>
          <w:lang w:eastAsia="en-US"/>
        </w:rPr>
        <w:t>GST</w:t>
      </w:r>
      <w:r w:rsidR="000376EE">
        <w:rPr>
          <w:rFonts w:ascii="Arial" w:eastAsiaTheme="minorEastAsia" w:hAnsi="Arial" w:cs="Arial"/>
          <w:sz w:val="22"/>
          <w:szCs w:val="22"/>
          <w:lang w:eastAsia="en-US"/>
        </w:rPr>
        <w:t>)</w:t>
      </w:r>
      <w:r w:rsidRPr="00F65465">
        <w:rPr>
          <w:rFonts w:ascii="Arial" w:eastAsiaTheme="minorEastAsia" w:hAnsi="Arial" w:cs="Arial"/>
          <w:sz w:val="22"/>
          <w:szCs w:val="22"/>
          <w:lang w:eastAsia="en-US"/>
        </w:rPr>
        <w:t xml:space="preserve"> returns before the due date.</w:t>
      </w:r>
    </w:p>
    <w:p w14:paraId="14F063C8" w14:textId="307795ED" w:rsidR="004200D6" w:rsidRDefault="004200D6" w:rsidP="00F65465">
      <w:pPr>
        <w:pStyle w:val="ListParagraph"/>
        <w:numPr>
          <w:ilvl w:val="0"/>
          <w:numId w:val="2"/>
        </w:numPr>
        <w:spacing w:before="140" w:after="140"/>
        <w:ind w:left="567" w:hanging="567"/>
        <w:contextualSpacing w:val="0"/>
        <w:rPr>
          <w:rFonts w:eastAsiaTheme="minorEastAsia"/>
        </w:rPr>
      </w:pPr>
      <w:r>
        <w:t>The 28</w:t>
      </w:r>
      <w:r w:rsidRPr="002C638D">
        <w:rPr>
          <w:vertAlign w:val="superscript"/>
        </w:rPr>
        <w:t>th</w:t>
      </w:r>
      <w:r>
        <w:t xml:space="preserve"> of October is a major due date for GST</w:t>
      </w:r>
      <w:r w:rsidR="006A24B7">
        <w:rPr>
          <w:rStyle w:val="FootnoteReference"/>
        </w:rPr>
        <w:footnoteReference w:id="3"/>
      </w:r>
      <w:r>
        <w:t xml:space="preserve"> and </w:t>
      </w:r>
      <w:r w:rsidR="00F2480C">
        <w:t xml:space="preserve">a lesser </w:t>
      </w:r>
      <w:r w:rsidRPr="00FD108E">
        <w:t>due date for income tax (including provisional tax). Although</w:t>
      </w:r>
      <w:r>
        <w:t xml:space="preserve"> many </w:t>
      </w:r>
      <w:r w:rsidR="00F2480C">
        <w:t>taxpayers</w:t>
      </w:r>
      <w:r>
        <w:t xml:space="preserve"> file their returns early, the </w:t>
      </w:r>
      <w:r w:rsidR="00376061">
        <w:t xml:space="preserve">shutdown </w:t>
      </w:r>
      <w:r>
        <w:t>of Inland Revenue systems may be problematic for some customers who would usually file their GST returns and make their GST payments. While Inland Revenue will still be able to accept most payments</w:t>
      </w:r>
      <w:r w:rsidR="00424773" w:rsidRPr="00D4671F">
        <w:rPr>
          <w:rStyle w:val="FootnoteReference"/>
          <w:rFonts w:ascii="Verdana" w:eastAsiaTheme="minorHAnsi" w:hAnsi="Verdana" w:cstheme="minorBidi"/>
          <w:sz w:val="20"/>
          <w:szCs w:val="23"/>
          <w:lang w:eastAsia="en-NZ"/>
        </w:rPr>
        <w:footnoteReference w:id="4"/>
      </w:r>
      <w:r>
        <w:t xml:space="preserve">, </w:t>
      </w:r>
      <w:r w:rsidR="00A87CE8">
        <w:t>taxpayers</w:t>
      </w:r>
      <w:r>
        <w:t xml:space="preserve"> may need system access to calculate their liability to pay</w:t>
      </w:r>
      <w:r w:rsidR="00A87CE8">
        <w:t>.</w:t>
      </w:r>
    </w:p>
    <w:p w14:paraId="24B18470" w14:textId="05E4F0B5" w:rsidR="00316B9E" w:rsidRPr="00316B9E" w:rsidRDefault="00316B9E" w:rsidP="00F65465">
      <w:pPr>
        <w:pStyle w:val="ListParagraph"/>
        <w:numPr>
          <w:ilvl w:val="0"/>
          <w:numId w:val="2"/>
        </w:numPr>
        <w:spacing w:before="140" w:after="140"/>
        <w:ind w:left="567" w:hanging="567"/>
        <w:contextualSpacing w:val="0"/>
        <w:rPr>
          <w:rFonts w:eastAsiaTheme="minorEastAsia"/>
        </w:rPr>
      </w:pPr>
      <w:r>
        <w:t xml:space="preserve">This </w:t>
      </w:r>
      <w:r w:rsidR="00EC190F">
        <w:t>shutdown</w:t>
      </w:r>
      <w:r>
        <w:t xml:space="preserve"> period was chosen because the timing of Labour weekend means Inland Revenue systems would only be unavailable for three working days. </w:t>
      </w:r>
      <w:r w:rsidR="00EC190F">
        <w:t>Shutting down</w:t>
      </w:r>
      <w:r>
        <w:t xml:space="preserve"> without the long weekend would mean a minimum of four working days without customer access to the systems.</w:t>
      </w:r>
    </w:p>
    <w:p w14:paraId="20ACE654" w14:textId="73F1BE7C" w:rsidR="00316B9E" w:rsidRDefault="006913A9" w:rsidP="00F65465">
      <w:pPr>
        <w:pStyle w:val="ListParagraph"/>
        <w:numPr>
          <w:ilvl w:val="0"/>
          <w:numId w:val="2"/>
        </w:numPr>
        <w:spacing w:before="140" w:after="140"/>
        <w:ind w:left="567" w:hanging="567"/>
        <w:contextualSpacing w:val="0"/>
        <w:rPr>
          <w:rFonts w:eastAsiaTheme="minorEastAsia"/>
        </w:rPr>
      </w:pPr>
      <w:r>
        <w:t xml:space="preserve">In addition, this release migrates child support into START. Having a later </w:t>
      </w:r>
      <w:r w:rsidR="008E4036">
        <w:t xml:space="preserve">shutdown </w:t>
      </w:r>
      <w:r>
        <w:t>date might have affected when child support customers received their first payment under the START system.</w:t>
      </w:r>
    </w:p>
    <w:p w14:paraId="2BF6929F" w14:textId="1BEB3817" w:rsidR="00F65465" w:rsidRDefault="00F65465" w:rsidP="00F65465">
      <w:pPr>
        <w:pStyle w:val="ListParagraph"/>
        <w:numPr>
          <w:ilvl w:val="0"/>
          <w:numId w:val="2"/>
        </w:numPr>
        <w:spacing w:before="140" w:after="140"/>
        <w:ind w:left="567" w:hanging="567"/>
        <w:contextualSpacing w:val="0"/>
        <w:rPr>
          <w:rFonts w:eastAsiaTheme="minorEastAsia"/>
        </w:rPr>
      </w:pPr>
      <w:r w:rsidRPr="00F65465">
        <w:rPr>
          <w:rFonts w:eastAsiaTheme="minorEastAsia"/>
        </w:rPr>
        <w:t xml:space="preserve">Before the COVID-19 outbreak, Inland Revenue considered </w:t>
      </w:r>
      <w:r w:rsidR="0044026D">
        <w:rPr>
          <w:rFonts w:eastAsiaTheme="minorEastAsia"/>
        </w:rPr>
        <w:t>it</w:t>
      </w:r>
      <w:r w:rsidRPr="00F65465">
        <w:rPr>
          <w:rFonts w:eastAsiaTheme="minorEastAsia"/>
        </w:rPr>
        <w:t xml:space="preserve"> could manage any concerns of </w:t>
      </w:r>
      <w:r w:rsidR="0044026D">
        <w:rPr>
          <w:rFonts w:eastAsiaTheme="minorEastAsia"/>
        </w:rPr>
        <w:t xml:space="preserve">taxpayers </w:t>
      </w:r>
      <w:r w:rsidR="00DE4443">
        <w:rPr>
          <w:rFonts w:eastAsiaTheme="minorEastAsia"/>
        </w:rPr>
        <w:t xml:space="preserve">around the cutover period </w:t>
      </w:r>
      <w:r w:rsidRPr="00F65465">
        <w:rPr>
          <w:rFonts w:eastAsiaTheme="minorEastAsia"/>
        </w:rPr>
        <w:t xml:space="preserve">on an exception basis. </w:t>
      </w:r>
      <w:r w:rsidR="00361195">
        <w:rPr>
          <w:rFonts w:eastAsiaTheme="minorEastAsia"/>
        </w:rPr>
        <w:t>H</w:t>
      </w:r>
      <w:r w:rsidRPr="00F65465">
        <w:rPr>
          <w:rFonts w:eastAsiaTheme="minorEastAsia"/>
        </w:rPr>
        <w:t>owever, this has now changed with the pressure on both businesses and Inland Revenue.</w:t>
      </w:r>
    </w:p>
    <w:p w14:paraId="58D74D75" w14:textId="073E8BB8" w:rsidR="00471E68" w:rsidRPr="00471E68" w:rsidRDefault="009D439C" w:rsidP="00F65465">
      <w:pPr>
        <w:pStyle w:val="ListParagraph"/>
        <w:numPr>
          <w:ilvl w:val="0"/>
          <w:numId w:val="2"/>
        </w:numPr>
        <w:spacing w:before="140" w:after="140"/>
        <w:ind w:left="567" w:hanging="567"/>
        <w:contextualSpacing w:val="0"/>
        <w:rPr>
          <w:rFonts w:eastAsiaTheme="minorEastAsia"/>
        </w:rPr>
      </w:pPr>
      <w:r>
        <w:t xml:space="preserve">Taxpayers may struggle to meet the existing due date because of a combination of COVID-19 impacts across the country, the extended higher alert level in the </w:t>
      </w:r>
      <w:r>
        <w:lastRenderedPageBreak/>
        <w:t xml:space="preserve">Auckland region and the </w:t>
      </w:r>
      <w:r w:rsidR="00406BDE">
        <w:t xml:space="preserve">shutdown </w:t>
      </w:r>
      <w:r>
        <w:t xml:space="preserve">of </w:t>
      </w:r>
      <w:r w:rsidR="00AC4B2E">
        <w:t>Inland Revenue’s systems</w:t>
      </w:r>
      <w:r>
        <w:t xml:space="preserve">. </w:t>
      </w:r>
      <w:r w:rsidR="00131F76">
        <w:t xml:space="preserve">Should they miss that date they may become liable to use of money interest, </w:t>
      </w:r>
      <w:r w:rsidR="00224586">
        <w:t xml:space="preserve">penalties for </w:t>
      </w:r>
      <w:r w:rsidR="00131F76">
        <w:t xml:space="preserve">late payment </w:t>
      </w:r>
      <w:r w:rsidR="00224586">
        <w:t xml:space="preserve">and </w:t>
      </w:r>
      <w:r w:rsidR="00131F76">
        <w:t>filing</w:t>
      </w:r>
      <w:r w:rsidR="00224586">
        <w:t>.</w:t>
      </w:r>
      <w:r w:rsidR="00131F76">
        <w:t xml:space="preserve"> </w:t>
      </w:r>
    </w:p>
    <w:p w14:paraId="1ECEF5EC" w14:textId="0C3A68D4" w:rsidR="00370E66" w:rsidRPr="00370E66" w:rsidRDefault="004A7517" w:rsidP="00370E66">
      <w:pPr>
        <w:pStyle w:val="ListParagraph"/>
        <w:numPr>
          <w:ilvl w:val="0"/>
          <w:numId w:val="2"/>
        </w:numPr>
        <w:spacing w:before="140" w:after="140"/>
        <w:ind w:left="567" w:hanging="567"/>
        <w:contextualSpacing w:val="0"/>
        <w:rPr>
          <w:rFonts w:eastAsiaTheme="minorEastAsia"/>
        </w:rPr>
      </w:pPr>
      <w:r>
        <w:t xml:space="preserve">Extending </w:t>
      </w:r>
      <w:r w:rsidR="00E11222">
        <w:t xml:space="preserve">the due </w:t>
      </w:r>
      <w:r w:rsidR="009D439C">
        <w:t xml:space="preserve">date </w:t>
      </w:r>
      <w:r w:rsidR="00E11222">
        <w:t>for payments and the filling of tax returns from the 28</w:t>
      </w:r>
      <w:r w:rsidR="00E11222" w:rsidRPr="00E11222">
        <w:rPr>
          <w:vertAlign w:val="superscript"/>
        </w:rPr>
        <w:t>th</w:t>
      </w:r>
      <w:r w:rsidR="00E11222">
        <w:t xml:space="preserve"> of October </w:t>
      </w:r>
      <w:r w:rsidR="007A1ACD">
        <w:t xml:space="preserve">2021 </w:t>
      </w:r>
      <w:r w:rsidR="00E11222">
        <w:t xml:space="preserve">to the </w:t>
      </w:r>
      <w:r w:rsidR="007A1ACD">
        <w:t>4</w:t>
      </w:r>
      <w:r w:rsidR="007A1ACD" w:rsidRPr="007A1ACD">
        <w:rPr>
          <w:vertAlign w:val="superscript"/>
        </w:rPr>
        <w:t>th</w:t>
      </w:r>
      <w:r w:rsidR="007A1ACD">
        <w:t xml:space="preserve"> of November 2021 </w:t>
      </w:r>
      <w:r w:rsidR="009D439C">
        <w:t>will allow taxpayers more time to meet their compliance requirements</w:t>
      </w:r>
      <w:r w:rsidR="007A1ACD">
        <w:t xml:space="preserve"> and reduce stress </w:t>
      </w:r>
      <w:r w:rsidR="00A5640B">
        <w:t xml:space="preserve">to taxpayers at an already </w:t>
      </w:r>
      <w:r w:rsidR="00C845CA">
        <w:t>difficult time.</w:t>
      </w:r>
      <w:r w:rsidR="00343C36" w:rsidRPr="00343C36">
        <w:rPr>
          <w:rFonts w:eastAsiaTheme="minorEastAsia"/>
        </w:rPr>
        <w:t xml:space="preserve"> </w:t>
      </w:r>
    </w:p>
    <w:p w14:paraId="5F231570" w14:textId="77777777" w:rsidR="00E6157F" w:rsidRPr="00C65945" w:rsidRDefault="00E6157F" w:rsidP="00E6157F">
      <w:pPr>
        <w:pStyle w:val="Heading2"/>
      </w:pPr>
      <w:r>
        <w:t>Order in Council</w:t>
      </w:r>
    </w:p>
    <w:p w14:paraId="34459494" w14:textId="1A21805C" w:rsidR="00C76C32" w:rsidRDefault="00343C36" w:rsidP="00D334C9">
      <w:pPr>
        <w:pStyle w:val="ListParagraph"/>
        <w:numPr>
          <w:ilvl w:val="0"/>
          <w:numId w:val="2"/>
        </w:numPr>
        <w:spacing w:before="140" w:after="140"/>
        <w:ind w:left="567" w:hanging="567"/>
        <w:contextualSpacing w:val="0"/>
        <w:rPr>
          <w:rFonts w:eastAsiaTheme="minorEastAsia"/>
        </w:rPr>
      </w:pPr>
      <w:r w:rsidRPr="002C6383">
        <w:rPr>
          <w:rFonts w:eastAsiaTheme="minorEastAsia"/>
        </w:rPr>
        <w:t>Section 226 of the Tax Administration Act 1994 gives the Governor-General, by Order in Council, the power to extend the time for anything required under the Tax Administration Act 1994, the Income Tax Act 2007 or the Goods and Services Tax Act 1985</w:t>
      </w:r>
      <w:r w:rsidR="00B65890">
        <w:rPr>
          <w:rFonts w:eastAsiaTheme="minorEastAsia"/>
        </w:rPr>
        <w:t xml:space="preserve"> (Revenue Acts)</w:t>
      </w:r>
      <w:r w:rsidRPr="002C6383">
        <w:rPr>
          <w:rFonts w:eastAsiaTheme="minorEastAsia"/>
        </w:rPr>
        <w:t xml:space="preserve">. </w:t>
      </w:r>
      <w:r w:rsidR="00792579" w:rsidRPr="002C6383">
        <w:rPr>
          <w:rFonts w:eastAsiaTheme="minorEastAsia"/>
        </w:rPr>
        <w:t>This includes the due dates for the filing of tax returns and payments required under th</w:t>
      </w:r>
      <w:r w:rsidR="002C6383" w:rsidRPr="002C6383">
        <w:rPr>
          <w:rFonts w:eastAsiaTheme="minorEastAsia"/>
        </w:rPr>
        <w:t xml:space="preserve">e </w:t>
      </w:r>
      <w:r w:rsidR="00B65890">
        <w:rPr>
          <w:rFonts w:eastAsiaTheme="minorEastAsia"/>
        </w:rPr>
        <w:t xml:space="preserve">Revenue </w:t>
      </w:r>
      <w:r w:rsidR="002C6383" w:rsidRPr="002C6383">
        <w:rPr>
          <w:rFonts w:eastAsiaTheme="minorEastAsia"/>
        </w:rPr>
        <w:t>Acts.</w:t>
      </w:r>
    </w:p>
    <w:p w14:paraId="7D4B4023" w14:textId="67A371F3" w:rsidR="00D87285" w:rsidRPr="002C6383" w:rsidRDefault="00E6157F" w:rsidP="00D334C9">
      <w:pPr>
        <w:pStyle w:val="ListParagraph"/>
        <w:numPr>
          <w:ilvl w:val="0"/>
          <w:numId w:val="2"/>
        </w:numPr>
        <w:spacing w:before="140" w:after="140"/>
        <w:ind w:left="567" w:hanging="567"/>
        <w:contextualSpacing w:val="0"/>
        <w:rPr>
          <w:rFonts w:eastAsiaTheme="minorEastAsia"/>
        </w:rPr>
      </w:pPr>
      <w:r>
        <w:t>T</w:t>
      </w:r>
      <w:r w:rsidR="00D87285">
        <w:t xml:space="preserve">he </w:t>
      </w:r>
      <w:r w:rsidR="00E57DAE">
        <w:t xml:space="preserve">Order in Council, </w:t>
      </w:r>
      <w:r w:rsidR="00D87285" w:rsidRPr="00502B62">
        <w:t>Tax Administration (Extension of Due Date</w:t>
      </w:r>
      <w:r w:rsidR="00502B62" w:rsidRPr="00502B62">
        <w:t>s</w:t>
      </w:r>
      <w:r w:rsidR="00D87285" w:rsidRPr="00502B62">
        <w:t>) Order 2021</w:t>
      </w:r>
      <w:r w:rsidR="00282F4A">
        <w:t>,</w:t>
      </w:r>
      <w:r w:rsidR="00801C1A">
        <w:t xml:space="preserve"> </w:t>
      </w:r>
      <w:r w:rsidR="00220B4D">
        <w:t xml:space="preserve">extends </w:t>
      </w:r>
      <w:r w:rsidR="00801C1A">
        <w:t xml:space="preserve">the due date for payments and the filling of tax returns </w:t>
      </w:r>
      <w:r w:rsidR="00220B4D">
        <w:t xml:space="preserve">required under the Revenue Acts </w:t>
      </w:r>
      <w:r w:rsidR="00801C1A">
        <w:t>from the 28</w:t>
      </w:r>
      <w:r w:rsidR="00801C1A" w:rsidRPr="00E11222">
        <w:rPr>
          <w:vertAlign w:val="superscript"/>
        </w:rPr>
        <w:t>th</w:t>
      </w:r>
      <w:r w:rsidR="00801C1A">
        <w:t xml:space="preserve"> of October 2021 to the 4</w:t>
      </w:r>
      <w:r w:rsidR="00801C1A" w:rsidRPr="007A1ACD">
        <w:rPr>
          <w:vertAlign w:val="superscript"/>
        </w:rPr>
        <w:t>th</w:t>
      </w:r>
      <w:r w:rsidR="00801C1A">
        <w:t xml:space="preserve"> of November 2021. </w:t>
      </w:r>
    </w:p>
    <w:p w14:paraId="2EB1FA4A" w14:textId="77777777" w:rsidR="004F18A8" w:rsidRPr="00850F5E" w:rsidRDefault="004F18A8" w:rsidP="004F18A8">
      <w:pPr>
        <w:spacing w:before="140" w:after="140"/>
        <w:rPr>
          <w:b/>
        </w:rPr>
      </w:pPr>
      <w:r w:rsidRPr="00850F5E">
        <w:rPr>
          <w:b/>
        </w:rPr>
        <w:t>Financial Implications</w:t>
      </w:r>
    </w:p>
    <w:p w14:paraId="1A163892" w14:textId="72C2A4F0" w:rsidR="00435743" w:rsidRPr="00850F5E" w:rsidRDefault="00614A0C" w:rsidP="002C5D82">
      <w:pPr>
        <w:pStyle w:val="ListParagraph"/>
        <w:numPr>
          <w:ilvl w:val="0"/>
          <w:numId w:val="2"/>
        </w:numPr>
        <w:tabs>
          <w:tab w:val="left" w:pos="567"/>
        </w:tabs>
        <w:spacing w:before="140" w:after="140"/>
        <w:ind w:left="567" w:hanging="567"/>
        <w:contextualSpacing w:val="0"/>
      </w:pPr>
      <w:r>
        <w:t>Due to the seven-day delay in receiving payments, there is a fiscal cost</w:t>
      </w:r>
      <w:r w:rsidR="00E45B77">
        <w:t xml:space="preserve"> to this proposal</w:t>
      </w:r>
      <w:r>
        <w:t xml:space="preserve">. On the assumption that </w:t>
      </w:r>
      <w:r w:rsidR="00B22929">
        <w:t>most</w:t>
      </w:r>
      <w:r>
        <w:t xml:space="preserve"> </w:t>
      </w:r>
      <w:r w:rsidR="00DF4F47">
        <w:t>taxpayer</w:t>
      </w:r>
      <w:r w:rsidR="00B22929">
        <w:t>s</w:t>
      </w:r>
      <w:r>
        <w:t xml:space="preserve"> delay their </w:t>
      </w:r>
      <w:r w:rsidR="00AD629A">
        <w:t xml:space="preserve">tax and </w:t>
      </w:r>
      <w:r>
        <w:t>GST payments until the 4</w:t>
      </w:r>
      <w:r w:rsidRPr="00A84FC7">
        <w:rPr>
          <w:vertAlign w:val="superscript"/>
        </w:rPr>
        <w:t>th</w:t>
      </w:r>
      <w:r>
        <w:t xml:space="preserve"> of November, the approximate fiscal cost will be $1.</w:t>
      </w:r>
      <w:r w:rsidR="00502B62">
        <w:t>4</w:t>
      </w:r>
      <w:r>
        <w:t xml:space="preserve">0 million, which </w:t>
      </w:r>
      <w:r w:rsidR="00AD629A">
        <w:t xml:space="preserve">will be </w:t>
      </w:r>
      <w:r>
        <w:t xml:space="preserve">charged to the </w:t>
      </w:r>
      <w:r w:rsidR="006A1B2D">
        <w:t xml:space="preserve">tax policy </w:t>
      </w:r>
      <w:r>
        <w:t>scorecard</w:t>
      </w:r>
      <w:r w:rsidR="00435743" w:rsidRPr="0092039F">
        <w:t xml:space="preserve">. </w:t>
      </w:r>
    </w:p>
    <w:p w14:paraId="45BCBB3E" w14:textId="1590128B" w:rsidR="00435743" w:rsidRDefault="00435743" w:rsidP="002C5D82">
      <w:pPr>
        <w:pStyle w:val="ListParagraph"/>
        <w:numPr>
          <w:ilvl w:val="0"/>
          <w:numId w:val="2"/>
        </w:numPr>
        <w:tabs>
          <w:tab w:val="left" w:pos="567"/>
        </w:tabs>
        <w:spacing w:before="140" w:after="140"/>
        <w:ind w:left="567" w:hanging="567"/>
        <w:contextualSpacing w:val="0"/>
      </w:pPr>
      <w:r w:rsidRPr="00850F5E">
        <w:t xml:space="preserve">The table below provides the </w:t>
      </w:r>
      <w:r>
        <w:t xml:space="preserve">indicative </w:t>
      </w:r>
      <w:r w:rsidRPr="00850F5E">
        <w:t xml:space="preserve">estimates of the cost of </w:t>
      </w:r>
      <w:r w:rsidR="00AD629A">
        <w:t xml:space="preserve">extending the </w:t>
      </w:r>
      <w:r w:rsidR="00EC135B">
        <w:t>due date for payment from 28</w:t>
      </w:r>
      <w:r w:rsidR="00EC135B" w:rsidRPr="00EC135B">
        <w:rPr>
          <w:vertAlign w:val="superscript"/>
        </w:rPr>
        <w:t>th</w:t>
      </w:r>
      <w:r w:rsidR="00EC135B">
        <w:t xml:space="preserve"> October 2021 to 4</w:t>
      </w:r>
      <w:r w:rsidR="00EC135B" w:rsidRPr="00EC135B">
        <w:rPr>
          <w:vertAlign w:val="superscript"/>
        </w:rPr>
        <w:t>th</w:t>
      </w:r>
      <w:r w:rsidR="00EC135B">
        <w:t xml:space="preserve"> November 2021</w:t>
      </w:r>
      <w:r w:rsidRPr="00850F5E">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666"/>
        <w:gridCol w:w="1457"/>
        <w:gridCol w:w="1457"/>
        <w:gridCol w:w="1457"/>
        <w:gridCol w:w="1457"/>
      </w:tblGrid>
      <w:tr w:rsidR="00461C8E" w14:paraId="1091BBFA" w14:textId="77777777" w:rsidTr="00D334C9">
        <w:tc>
          <w:tcPr>
            <w:tcW w:w="2666" w:type="dxa"/>
            <w:tcBorders>
              <w:top w:val="nil"/>
              <w:left w:val="nil"/>
              <w:bottom w:val="single" w:sz="8" w:space="0" w:color="auto"/>
              <w:right w:val="single" w:sz="8" w:space="0" w:color="auto"/>
            </w:tcBorders>
            <w:tcMar>
              <w:top w:w="0" w:type="dxa"/>
              <w:left w:w="108" w:type="dxa"/>
              <w:bottom w:w="0" w:type="dxa"/>
              <w:right w:w="108" w:type="dxa"/>
            </w:tcMar>
          </w:tcPr>
          <w:p w14:paraId="2651C002" w14:textId="77777777" w:rsidR="00461C8E" w:rsidRDefault="00461C8E" w:rsidP="00D334C9">
            <w:pPr>
              <w:rPr>
                <w:b/>
                <w:bCs/>
              </w:rPr>
            </w:pPr>
          </w:p>
        </w:tc>
        <w:tc>
          <w:tcPr>
            <w:tcW w:w="582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FD316" w14:textId="77777777" w:rsidR="00461C8E" w:rsidRDefault="00461C8E" w:rsidP="00D334C9">
            <w:pPr>
              <w:jc w:val="center"/>
              <w:rPr>
                <w:rFonts w:ascii="Calibri" w:hAnsi="Calibri" w:cs="Calibri"/>
              </w:rPr>
            </w:pPr>
            <w:r>
              <w:t>$m – increase/(decrease)</w:t>
            </w:r>
          </w:p>
        </w:tc>
      </w:tr>
      <w:tr w:rsidR="00461C8E" w14:paraId="1F646DE9" w14:textId="77777777" w:rsidTr="00D334C9">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51626" w14:textId="77777777" w:rsidR="00461C8E" w:rsidRDefault="00461C8E" w:rsidP="00D334C9">
            <w:pPr>
              <w:rPr>
                <w:b/>
                <w:bCs/>
              </w:rPr>
            </w:pPr>
            <w:r>
              <w:rPr>
                <w:b/>
                <w:bCs/>
              </w:rPr>
              <w:t>Vote Revenue</w:t>
            </w:r>
          </w:p>
          <w:p w14:paraId="0C8F8FB7" w14:textId="77777777" w:rsidR="00461C8E" w:rsidRDefault="00461C8E" w:rsidP="00D334C9">
            <w:pPr>
              <w:rPr>
                <w:b/>
                <w:bCs/>
              </w:rPr>
            </w:pPr>
            <w:r>
              <w:rPr>
                <w:b/>
                <w:bCs/>
              </w:rPr>
              <w:t>Minister of Revenue</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7A892622" w14:textId="77777777" w:rsidR="00461C8E" w:rsidRDefault="00461C8E" w:rsidP="00D334C9">
            <w:pPr>
              <w:rPr>
                <w:b/>
                <w:bCs/>
              </w:rPr>
            </w:pPr>
            <w:r>
              <w:rPr>
                <w:b/>
                <w:bCs/>
              </w:rPr>
              <w:t>2021/22</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7A88F191" w14:textId="77777777" w:rsidR="00461C8E" w:rsidRDefault="00461C8E" w:rsidP="00D334C9">
            <w:pPr>
              <w:rPr>
                <w:b/>
                <w:bCs/>
              </w:rPr>
            </w:pPr>
            <w:r>
              <w:rPr>
                <w:b/>
                <w:bCs/>
              </w:rPr>
              <w:t>2022/23</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72A83465" w14:textId="77777777" w:rsidR="00461C8E" w:rsidRDefault="00461C8E" w:rsidP="00D334C9">
            <w:pPr>
              <w:rPr>
                <w:b/>
                <w:bCs/>
              </w:rPr>
            </w:pPr>
            <w:r>
              <w:rPr>
                <w:b/>
                <w:bCs/>
              </w:rPr>
              <w:t>2023/24</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39EEF61C" w14:textId="77777777" w:rsidR="00461C8E" w:rsidRDefault="00461C8E" w:rsidP="00D334C9">
            <w:pPr>
              <w:rPr>
                <w:b/>
                <w:bCs/>
              </w:rPr>
            </w:pPr>
            <w:r>
              <w:rPr>
                <w:b/>
                <w:bCs/>
              </w:rPr>
              <w:t>2024/25</w:t>
            </w:r>
          </w:p>
        </w:tc>
      </w:tr>
      <w:tr w:rsidR="00461C8E" w14:paraId="2C33C406" w14:textId="77777777" w:rsidTr="00D334C9">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94009" w14:textId="77777777" w:rsidR="00461C8E" w:rsidRDefault="00461C8E" w:rsidP="00D334C9">
            <w:r>
              <w:t>Tax Revenue</w:t>
            </w:r>
          </w:p>
          <w:p w14:paraId="2B7A828C" w14:textId="77777777" w:rsidR="00461C8E" w:rsidRDefault="00461C8E" w:rsidP="00D334C9"/>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15EEF048" w14:textId="4E58C195" w:rsidR="00461C8E" w:rsidRDefault="00461C8E" w:rsidP="00D334C9">
            <w:pPr>
              <w:jc w:val="right"/>
            </w:pPr>
            <w:r>
              <w:t>(1.</w:t>
            </w:r>
            <w:r w:rsidR="00502B62">
              <w:t>4</w:t>
            </w:r>
            <w:r>
              <w:t>00)</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0A84AF36" w14:textId="77777777" w:rsidR="00461C8E" w:rsidRDefault="00461C8E" w:rsidP="00D334C9">
            <w:pPr>
              <w:jc w:val="right"/>
            </w:pPr>
            <w:r>
              <w:t>-</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1F424ECF" w14:textId="77777777" w:rsidR="00461C8E" w:rsidRDefault="00461C8E" w:rsidP="00D334C9">
            <w:pPr>
              <w:jc w:val="right"/>
            </w:pPr>
            <w:r>
              <w:t>-</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4DD62AC6" w14:textId="77777777" w:rsidR="00461C8E" w:rsidRDefault="00461C8E" w:rsidP="00D334C9">
            <w:pPr>
              <w:jc w:val="right"/>
            </w:pPr>
            <w:r>
              <w:t>-</w:t>
            </w:r>
          </w:p>
        </w:tc>
      </w:tr>
      <w:tr w:rsidR="00461C8E" w14:paraId="4A7D12C3" w14:textId="77777777" w:rsidTr="00D334C9">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3E8B4" w14:textId="77777777" w:rsidR="00461C8E" w:rsidRDefault="00461C8E" w:rsidP="00D334C9">
            <w:pPr>
              <w:rPr>
                <w:b/>
                <w:bCs/>
              </w:rPr>
            </w:pPr>
            <w:r>
              <w:rPr>
                <w:b/>
                <w:bCs/>
              </w:rPr>
              <w:t xml:space="preserve">Total Operating </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20332905" w14:textId="3B99DDD3" w:rsidR="00461C8E" w:rsidRDefault="00461C8E" w:rsidP="00D334C9">
            <w:pPr>
              <w:jc w:val="right"/>
            </w:pPr>
            <w:r>
              <w:t>1.</w:t>
            </w:r>
            <w:r w:rsidR="00502B62">
              <w:t>4</w:t>
            </w:r>
            <w:r>
              <w:t>00</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65B9604F" w14:textId="77777777" w:rsidR="00461C8E" w:rsidRDefault="00461C8E" w:rsidP="00D334C9">
            <w:pPr>
              <w:jc w:val="right"/>
            </w:pP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13B09915" w14:textId="77777777" w:rsidR="00461C8E" w:rsidRDefault="00461C8E" w:rsidP="00D334C9">
            <w:pPr>
              <w:jc w:val="right"/>
            </w:pP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78ED810F" w14:textId="77777777" w:rsidR="00461C8E" w:rsidRDefault="00461C8E" w:rsidP="00D334C9">
            <w:pPr>
              <w:jc w:val="right"/>
            </w:pPr>
          </w:p>
        </w:tc>
      </w:tr>
    </w:tbl>
    <w:p w14:paraId="149DBEC5" w14:textId="55A11C7C" w:rsidR="00F7415C" w:rsidRPr="00387FC5" w:rsidRDefault="00F97AAA" w:rsidP="002C5D82">
      <w:pPr>
        <w:pStyle w:val="ListParagraph"/>
        <w:numPr>
          <w:ilvl w:val="0"/>
          <w:numId w:val="2"/>
        </w:numPr>
        <w:tabs>
          <w:tab w:val="left" w:pos="567"/>
        </w:tabs>
        <w:spacing w:before="140" w:after="140"/>
        <w:ind w:left="567" w:hanging="567"/>
        <w:contextualSpacing w:val="0"/>
      </w:pPr>
      <w:r w:rsidRPr="00D334C9">
        <w:t xml:space="preserve">I have the delegated </w:t>
      </w:r>
      <w:r w:rsidR="002C7142" w:rsidRPr="00D334C9">
        <w:t xml:space="preserve">authority to approve this fiscal cost and charge this against the </w:t>
      </w:r>
      <w:r w:rsidR="00282F4A">
        <w:t xml:space="preserve">tax policy </w:t>
      </w:r>
      <w:r w:rsidR="002C7142" w:rsidRPr="00D334C9">
        <w:t>scorecard.</w:t>
      </w:r>
    </w:p>
    <w:p w14:paraId="05A6FAD9" w14:textId="78529EA9" w:rsidR="00D57DD9" w:rsidRPr="00D57DD9" w:rsidRDefault="00D57DD9" w:rsidP="002C5D82">
      <w:pPr>
        <w:pStyle w:val="ListParagraph"/>
        <w:numPr>
          <w:ilvl w:val="0"/>
          <w:numId w:val="2"/>
        </w:numPr>
        <w:tabs>
          <w:tab w:val="left" w:pos="567"/>
        </w:tabs>
        <w:spacing w:before="140" w:after="140"/>
        <w:ind w:left="567" w:hanging="567"/>
        <w:contextualSpacing w:val="0"/>
        <w:rPr>
          <w:rFonts w:asciiTheme="minorHAnsi" w:eastAsiaTheme="minorEastAsia" w:hAnsiTheme="minorHAnsi" w:cstheme="minorBidi"/>
          <w:b/>
        </w:rPr>
      </w:pPr>
      <w:r>
        <w:t>There is no additional administrative cost from the extension of the due date.</w:t>
      </w:r>
    </w:p>
    <w:p w14:paraId="7D999202" w14:textId="228DE2A3" w:rsidR="004F18A8" w:rsidRPr="00850F5E" w:rsidRDefault="00CE644C" w:rsidP="004F18A8">
      <w:pPr>
        <w:spacing w:before="140" w:after="140"/>
        <w:rPr>
          <w:b/>
        </w:rPr>
      </w:pPr>
      <w:r>
        <w:rPr>
          <w:b/>
        </w:rPr>
        <w:t>Impact Analysis</w:t>
      </w:r>
    </w:p>
    <w:p w14:paraId="30F33FE1" w14:textId="626C126D" w:rsidR="00CE644C" w:rsidRDefault="00DC7FE1" w:rsidP="002C5D82">
      <w:pPr>
        <w:pStyle w:val="ListParagraph"/>
        <w:numPr>
          <w:ilvl w:val="0"/>
          <w:numId w:val="2"/>
        </w:numPr>
        <w:tabs>
          <w:tab w:val="left" w:pos="567"/>
        </w:tabs>
        <w:spacing w:before="140" w:after="140"/>
        <w:ind w:left="567" w:hanging="567"/>
        <w:contextualSpacing w:val="0"/>
      </w:pPr>
      <w:r w:rsidRPr="007B2997">
        <w:t>Treasury's Regulatory Impact Analysis team has determined that the proposal to extend the due date for the payment of tax and the filing of returns is exempt from the requirement to provide a Regulatory Impact Statement on the grounds that it has no or only minor impacts on businesses, individuals, and not-for-profit entities.</w:t>
      </w:r>
    </w:p>
    <w:p w14:paraId="5BE31F57" w14:textId="7D55197E" w:rsidR="00CE644C" w:rsidRDefault="00CE644C" w:rsidP="00CE644C">
      <w:pPr>
        <w:tabs>
          <w:tab w:val="left" w:pos="567"/>
        </w:tabs>
        <w:spacing w:before="140" w:after="140"/>
      </w:pPr>
      <w:r w:rsidRPr="00850F5E">
        <w:rPr>
          <w:b/>
        </w:rPr>
        <w:t>Consultatio</w:t>
      </w:r>
      <w:r>
        <w:rPr>
          <w:b/>
        </w:rPr>
        <w:t>n</w:t>
      </w:r>
    </w:p>
    <w:p w14:paraId="07834360" w14:textId="39D92EBF" w:rsidR="004F18A8" w:rsidRPr="00850F5E" w:rsidRDefault="002C3A38" w:rsidP="002C5D82">
      <w:pPr>
        <w:pStyle w:val="ListParagraph"/>
        <w:numPr>
          <w:ilvl w:val="0"/>
          <w:numId w:val="2"/>
        </w:numPr>
        <w:tabs>
          <w:tab w:val="left" w:pos="567"/>
        </w:tabs>
        <w:spacing w:before="140" w:after="140"/>
        <w:ind w:left="567" w:hanging="567"/>
        <w:contextualSpacing w:val="0"/>
      </w:pPr>
      <w:r>
        <w:t>The Treasury have been consulted on the extension. The Treasury and the Parliamentary Counsel Office have been informed of the contents of this paper.</w:t>
      </w:r>
    </w:p>
    <w:p w14:paraId="1D80501B" w14:textId="7D30467F" w:rsidR="00FB0619" w:rsidRDefault="00FB0619" w:rsidP="004F18A8">
      <w:pPr>
        <w:spacing w:before="140" w:after="140"/>
        <w:rPr>
          <w:b/>
        </w:rPr>
      </w:pPr>
    </w:p>
    <w:p w14:paraId="400D8014" w14:textId="77777777" w:rsidR="008318C6" w:rsidRDefault="008318C6" w:rsidP="004F18A8">
      <w:pPr>
        <w:spacing w:before="140" w:after="140"/>
        <w:rPr>
          <w:b/>
        </w:rPr>
      </w:pPr>
    </w:p>
    <w:p w14:paraId="51BC7C09" w14:textId="2F34F3F8" w:rsidR="004F18A8" w:rsidRPr="00850F5E" w:rsidRDefault="004F18A8" w:rsidP="004F18A8">
      <w:pPr>
        <w:spacing w:before="140" w:after="140"/>
        <w:rPr>
          <w:b/>
        </w:rPr>
      </w:pPr>
      <w:r w:rsidRPr="00850F5E">
        <w:rPr>
          <w:b/>
        </w:rPr>
        <w:t>Communications</w:t>
      </w:r>
    </w:p>
    <w:p w14:paraId="43F40D6B" w14:textId="25C41294" w:rsidR="00E72200" w:rsidRDefault="004F18A8" w:rsidP="002C5D82">
      <w:pPr>
        <w:pStyle w:val="ListParagraph"/>
        <w:numPr>
          <w:ilvl w:val="0"/>
          <w:numId w:val="2"/>
        </w:numPr>
        <w:tabs>
          <w:tab w:val="left" w:pos="567"/>
        </w:tabs>
        <w:spacing w:before="140" w:after="140"/>
        <w:ind w:left="567" w:hanging="567"/>
        <w:contextualSpacing w:val="0"/>
      </w:pPr>
      <w:r w:rsidRPr="00850F5E">
        <w:t xml:space="preserve">Inland Revenue </w:t>
      </w:r>
      <w:r w:rsidR="002D0AE1">
        <w:t xml:space="preserve">have </w:t>
      </w:r>
      <w:r w:rsidR="00ED20A3">
        <w:t>communicate</w:t>
      </w:r>
      <w:r w:rsidR="002D0AE1">
        <w:t>d</w:t>
      </w:r>
      <w:r w:rsidR="00ED20A3">
        <w:t xml:space="preserve"> </w:t>
      </w:r>
      <w:r w:rsidR="002C3A38">
        <w:t>this change to taxpayers</w:t>
      </w:r>
      <w:r w:rsidR="008339AA">
        <w:t xml:space="preserve"> to give them time to plan for the </w:t>
      </w:r>
      <w:r w:rsidR="00F5534E">
        <w:t>extension</w:t>
      </w:r>
      <w:r w:rsidR="00A6027A">
        <w:t xml:space="preserve"> since Ministers </w:t>
      </w:r>
      <w:r w:rsidR="00EB093C">
        <w:t>agreed to</w:t>
      </w:r>
      <w:r w:rsidR="00A6027A">
        <w:t xml:space="preserve"> </w:t>
      </w:r>
      <w:r w:rsidR="00EB093C">
        <w:t>the extension</w:t>
      </w:r>
      <w:r w:rsidRPr="00850F5E">
        <w:t>.</w:t>
      </w:r>
    </w:p>
    <w:p w14:paraId="48468B95" w14:textId="77777777" w:rsidR="00CC40E1" w:rsidRPr="00F817F1" w:rsidRDefault="00CC40E1" w:rsidP="00CC40E1">
      <w:pPr>
        <w:pStyle w:val="Heading2"/>
        <w:rPr>
          <w:rFonts w:cs="Arial"/>
          <w:b w:val="0"/>
        </w:rPr>
      </w:pPr>
      <w:r w:rsidRPr="00F817F1">
        <w:rPr>
          <w:szCs w:val="24"/>
        </w:rPr>
        <w:t>Timing and 28-day rule</w:t>
      </w:r>
      <w:r w:rsidRPr="00F817F1">
        <w:t xml:space="preserve"> </w:t>
      </w:r>
    </w:p>
    <w:p w14:paraId="246AB42E" w14:textId="652E56C6" w:rsidR="00050293" w:rsidRPr="00F817F1" w:rsidRDefault="008763FF" w:rsidP="00021629">
      <w:pPr>
        <w:pStyle w:val="ListParagraph"/>
        <w:numPr>
          <w:ilvl w:val="0"/>
          <w:numId w:val="2"/>
        </w:numPr>
        <w:tabs>
          <w:tab w:val="left" w:pos="567"/>
        </w:tabs>
        <w:spacing w:before="140" w:after="140"/>
        <w:ind w:left="567" w:hanging="567"/>
        <w:contextualSpacing w:val="0"/>
      </w:pPr>
      <w:r w:rsidRPr="00F817F1">
        <w:t xml:space="preserve">The </w:t>
      </w:r>
      <w:r w:rsidR="004873BF" w:rsidRPr="00F817F1">
        <w:t>Order</w:t>
      </w:r>
      <w:r w:rsidR="00E333D1" w:rsidRPr="00F817F1">
        <w:t xml:space="preserve"> in Council </w:t>
      </w:r>
      <w:r w:rsidR="004873BF" w:rsidRPr="00F817F1">
        <w:t>will come into force</w:t>
      </w:r>
      <w:r w:rsidR="00E333D1" w:rsidRPr="00F817F1">
        <w:t xml:space="preserve"> on the 21</w:t>
      </w:r>
      <w:r w:rsidR="00E333D1" w:rsidRPr="00F817F1">
        <w:rPr>
          <w:vertAlign w:val="superscript"/>
        </w:rPr>
        <w:t>st</w:t>
      </w:r>
      <w:r w:rsidR="00E333D1" w:rsidRPr="00F817F1">
        <w:t xml:space="preserve"> of October 2021. A waiver of the 28-day rule is sought due to the short timeframe between the making of the order and the </w:t>
      </w:r>
      <w:r w:rsidR="00442204" w:rsidRPr="00F817F1">
        <w:t xml:space="preserve">original due date for filing of returns and payment of tax. </w:t>
      </w:r>
      <w:r w:rsidR="002D0AE1" w:rsidRPr="00F817F1">
        <w:t>The order must be in force prior to the original due date.</w:t>
      </w:r>
      <w:r w:rsidR="00442204" w:rsidRPr="00F817F1">
        <w:t xml:space="preserve"> </w:t>
      </w:r>
    </w:p>
    <w:p w14:paraId="0F4AE8BD" w14:textId="74FA20CC" w:rsidR="008F14DA" w:rsidRPr="00F817F1" w:rsidRDefault="00442204" w:rsidP="00021629">
      <w:pPr>
        <w:pStyle w:val="ListParagraph"/>
        <w:numPr>
          <w:ilvl w:val="0"/>
          <w:numId w:val="2"/>
        </w:numPr>
        <w:tabs>
          <w:tab w:val="left" w:pos="567"/>
        </w:tabs>
        <w:spacing w:before="140" w:after="140"/>
        <w:ind w:left="567" w:hanging="567"/>
        <w:contextualSpacing w:val="0"/>
      </w:pPr>
      <w:r w:rsidRPr="00F817F1">
        <w:t xml:space="preserve">A waiver is </w:t>
      </w:r>
      <w:r w:rsidR="005860C2" w:rsidRPr="00F817F1">
        <w:t xml:space="preserve">appropriate in this circumstance as the Order in Council </w:t>
      </w:r>
      <w:r w:rsidR="004931C7" w:rsidRPr="00F817F1">
        <w:t xml:space="preserve">will confer </w:t>
      </w:r>
      <w:r w:rsidR="00050293" w:rsidRPr="00F817F1">
        <w:t xml:space="preserve">only </w:t>
      </w:r>
      <w:r w:rsidR="004931C7" w:rsidRPr="00F817F1">
        <w:t xml:space="preserve">benefits on taxpayers by allowing them to defer </w:t>
      </w:r>
      <w:r w:rsidR="005401A8" w:rsidRPr="00F817F1">
        <w:t xml:space="preserve">the filing and payment of tax </w:t>
      </w:r>
      <w:r w:rsidR="00554C8A" w:rsidRPr="00F817F1">
        <w:t xml:space="preserve">without penalty </w:t>
      </w:r>
      <w:r w:rsidR="005401A8" w:rsidRPr="00F817F1">
        <w:t>where many of them may still be struggling with the extended lockdown due to COVID-19.</w:t>
      </w:r>
    </w:p>
    <w:p w14:paraId="6590ED1B" w14:textId="77777777" w:rsidR="004F18A8" w:rsidRPr="00850F5E" w:rsidRDefault="004F18A8" w:rsidP="004F18A8">
      <w:pPr>
        <w:spacing w:before="140" w:after="140"/>
        <w:rPr>
          <w:b/>
        </w:rPr>
      </w:pPr>
      <w:r w:rsidRPr="00850F5E">
        <w:rPr>
          <w:b/>
        </w:rPr>
        <w:t>Proactive Release</w:t>
      </w:r>
    </w:p>
    <w:p w14:paraId="03E5161B" w14:textId="77777777" w:rsidR="004F18A8" w:rsidRPr="00850F5E" w:rsidRDefault="004F18A8" w:rsidP="002C5D82">
      <w:pPr>
        <w:pStyle w:val="ListParagraph"/>
        <w:numPr>
          <w:ilvl w:val="0"/>
          <w:numId w:val="2"/>
        </w:numPr>
        <w:tabs>
          <w:tab w:val="left" w:pos="567"/>
        </w:tabs>
        <w:spacing w:before="140" w:after="140"/>
        <w:ind w:left="567" w:hanging="567"/>
        <w:contextualSpacing w:val="0"/>
      </w:pPr>
      <w:r w:rsidRPr="00850F5E">
        <w:t xml:space="preserve">This paper will be proactively released with any appropriate withholdings within 30 business days of final decisions being taken by Cabinet.  </w:t>
      </w:r>
    </w:p>
    <w:p w14:paraId="068DAF80" w14:textId="77777777" w:rsidR="004F18A8" w:rsidRPr="00850F5E" w:rsidRDefault="004F18A8" w:rsidP="004F18A8">
      <w:pPr>
        <w:spacing w:before="140" w:after="140"/>
        <w:rPr>
          <w:b/>
        </w:rPr>
      </w:pPr>
      <w:r w:rsidRPr="00850F5E">
        <w:rPr>
          <w:b/>
        </w:rPr>
        <w:t>Recommendations</w:t>
      </w:r>
    </w:p>
    <w:p w14:paraId="049282FE" w14:textId="2FBFBB8C" w:rsidR="004F18A8" w:rsidRPr="00850F5E" w:rsidRDefault="004F18A8" w:rsidP="004F18A8">
      <w:pPr>
        <w:spacing w:before="140" w:after="140"/>
      </w:pPr>
      <w:r w:rsidRPr="00850F5E">
        <w:t xml:space="preserve">I recommend that </w:t>
      </w:r>
      <w:r w:rsidR="00310A8F">
        <w:t>Cabinet</w:t>
      </w:r>
      <w:r w:rsidRPr="00850F5E">
        <w:t>:</w:t>
      </w:r>
    </w:p>
    <w:p w14:paraId="5A878421" w14:textId="42FCF0AA" w:rsidR="00B65174" w:rsidRPr="00250ECD" w:rsidRDefault="00B65174" w:rsidP="002C5D82">
      <w:pPr>
        <w:pStyle w:val="ListParagraph"/>
        <w:numPr>
          <w:ilvl w:val="0"/>
          <w:numId w:val="19"/>
        </w:numPr>
        <w:tabs>
          <w:tab w:val="left" w:pos="567"/>
        </w:tabs>
        <w:spacing w:before="140" w:after="140"/>
        <w:ind w:left="567" w:hanging="567"/>
        <w:contextualSpacing w:val="0"/>
        <w:rPr>
          <w:lang w:val="en-GB"/>
        </w:rPr>
      </w:pPr>
      <w:r w:rsidRPr="00B65174">
        <w:rPr>
          <w:b/>
          <w:bCs/>
        </w:rPr>
        <w:t>agree</w:t>
      </w:r>
      <w:r>
        <w:t xml:space="preserve"> to extend by Order in Council </w:t>
      </w:r>
      <w:r w:rsidR="008246B5">
        <w:t xml:space="preserve">the due date for the payment of tax and the filing of tax returns required under the Tax Administration Act 1994, Income Tax Act 2007 and the Goods and Services Tax Act 1985 </w:t>
      </w:r>
      <w:r w:rsidR="00282F4A">
        <w:t xml:space="preserve">from </w:t>
      </w:r>
      <w:r w:rsidR="008246B5">
        <w:t>the 28</w:t>
      </w:r>
      <w:r w:rsidR="008246B5" w:rsidRPr="00597A89">
        <w:rPr>
          <w:vertAlign w:val="superscript"/>
        </w:rPr>
        <w:t>th</w:t>
      </w:r>
      <w:r w:rsidR="008246B5">
        <w:t xml:space="preserve"> of October 2021 to the 4</w:t>
      </w:r>
      <w:r w:rsidR="008246B5" w:rsidRPr="00597A89">
        <w:rPr>
          <w:vertAlign w:val="superscript"/>
        </w:rPr>
        <w:t>th</w:t>
      </w:r>
      <w:r w:rsidR="008246B5">
        <w:t xml:space="preserve"> of November 2021</w:t>
      </w:r>
      <w:r>
        <w:t>.</w:t>
      </w:r>
    </w:p>
    <w:p w14:paraId="6FC5BDD5" w14:textId="67B26D6A" w:rsidR="00250ECD" w:rsidRPr="00D334C9" w:rsidRDefault="00250ECD" w:rsidP="002C5D82">
      <w:pPr>
        <w:pStyle w:val="ListParagraph"/>
        <w:numPr>
          <w:ilvl w:val="0"/>
          <w:numId w:val="19"/>
        </w:numPr>
        <w:tabs>
          <w:tab w:val="left" w:pos="567"/>
        </w:tabs>
        <w:spacing w:before="140" w:after="140"/>
        <w:ind w:left="567" w:hanging="567"/>
        <w:contextualSpacing w:val="0"/>
        <w:rPr>
          <w:lang w:val="en-GB"/>
        </w:rPr>
      </w:pPr>
      <w:r>
        <w:rPr>
          <w:rStyle w:val="Strong"/>
        </w:rPr>
        <w:t>agree</w:t>
      </w:r>
      <w:r>
        <w:rPr>
          <w:rStyle w:val="Strong"/>
          <w:b w:val="0"/>
        </w:rPr>
        <w:t xml:space="preserve"> to a waiver of the 28-day rule for the coming into force of the Order in Council</w:t>
      </w:r>
      <w:r w:rsidR="00D77AFD">
        <w:rPr>
          <w:rStyle w:val="Strong"/>
          <w:b w:val="0"/>
        </w:rPr>
        <w:t>.</w:t>
      </w:r>
    </w:p>
    <w:p w14:paraId="63B35E8B" w14:textId="3FD596EB" w:rsidR="009A3C2C" w:rsidRPr="00B65174" w:rsidRDefault="000B1972" w:rsidP="002C5D82">
      <w:pPr>
        <w:pStyle w:val="ListParagraph"/>
        <w:numPr>
          <w:ilvl w:val="0"/>
          <w:numId w:val="19"/>
        </w:numPr>
        <w:tabs>
          <w:tab w:val="left" w:pos="567"/>
        </w:tabs>
        <w:spacing w:before="140" w:after="140"/>
        <w:ind w:left="567" w:hanging="567"/>
        <w:contextualSpacing w:val="0"/>
        <w:rPr>
          <w:lang w:val="en-GB"/>
        </w:rPr>
      </w:pPr>
      <w:r>
        <w:rPr>
          <w:b/>
          <w:bCs/>
          <w:lang w:val="en-GB"/>
        </w:rPr>
        <w:t>note</w:t>
      </w:r>
      <w:r>
        <w:rPr>
          <w:lang w:val="en-GB"/>
        </w:rPr>
        <w:t xml:space="preserve"> that the fiscal cost </w:t>
      </w:r>
      <w:r w:rsidR="004A7BDD">
        <w:rPr>
          <w:lang w:val="en-GB"/>
        </w:rPr>
        <w:t xml:space="preserve">of </w:t>
      </w:r>
      <w:r w:rsidR="007F7D34">
        <w:rPr>
          <w:lang w:val="en-GB"/>
        </w:rPr>
        <w:t>recommendation 1</w:t>
      </w:r>
      <w:r w:rsidR="00983356">
        <w:rPr>
          <w:lang w:val="en-GB"/>
        </w:rPr>
        <w:t xml:space="preserve"> </w:t>
      </w:r>
      <w:r w:rsidR="006F1614">
        <w:rPr>
          <w:lang w:val="en-GB"/>
        </w:rPr>
        <w:t>is approximately $1.</w:t>
      </w:r>
      <w:r w:rsidR="00502B62">
        <w:rPr>
          <w:lang w:val="en-GB"/>
        </w:rPr>
        <w:t>4</w:t>
      </w:r>
      <w:r w:rsidR="004A7BDD">
        <w:rPr>
          <w:lang w:val="en-GB"/>
        </w:rPr>
        <w:t xml:space="preserve"> </w:t>
      </w:r>
      <w:r w:rsidR="006F1614">
        <w:rPr>
          <w:lang w:val="en-GB"/>
        </w:rPr>
        <w:t>m</w:t>
      </w:r>
      <w:r w:rsidR="004A7BDD">
        <w:rPr>
          <w:lang w:val="en-GB"/>
        </w:rPr>
        <w:t>illion</w:t>
      </w:r>
      <w:r w:rsidR="006F1614">
        <w:rPr>
          <w:lang w:val="en-GB"/>
        </w:rPr>
        <w:t xml:space="preserve"> which will be charged to the </w:t>
      </w:r>
      <w:r w:rsidR="004A7BDD">
        <w:rPr>
          <w:lang w:val="en-GB"/>
        </w:rPr>
        <w:t xml:space="preserve">tax policy </w:t>
      </w:r>
      <w:r w:rsidR="006F1614">
        <w:rPr>
          <w:lang w:val="en-GB"/>
        </w:rPr>
        <w:t>scorecard</w:t>
      </w:r>
      <w:r w:rsidR="00276F73">
        <w:rPr>
          <w:lang w:val="en-GB"/>
        </w:rPr>
        <w:t>.</w:t>
      </w:r>
    </w:p>
    <w:p w14:paraId="78C5A379" w14:textId="77777777" w:rsidR="00D15798" w:rsidRPr="00D15798" w:rsidRDefault="00A436BC" w:rsidP="002C5D82">
      <w:pPr>
        <w:pStyle w:val="ListParagraph"/>
        <w:numPr>
          <w:ilvl w:val="0"/>
          <w:numId w:val="19"/>
        </w:numPr>
        <w:tabs>
          <w:tab w:val="left" w:pos="567"/>
        </w:tabs>
        <w:spacing w:before="140" w:after="140"/>
        <w:ind w:left="567" w:hanging="567"/>
        <w:contextualSpacing w:val="0"/>
        <w:rPr>
          <w:lang w:val="en-GB"/>
        </w:rPr>
      </w:pPr>
      <w:r>
        <w:rPr>
          <w:b/>
          <w:bCs/>
        </w:rPr>
        <w:t>n</w:t>
      </w:r>
      <w:r w:rsidRPr="00CC457A">
        <w:rPr>
          <w:b/>
          <w:bCs/>
        </w:rPr>
        <w:t>ote</w:t>
      </w:r>
      <w:r>
        <w:t xml:space="preserve"> that the </w:t>
      </w:r>
      <w:r w:rsidRPr="00502B62">
        <w:t xml:space="preserve">Tax Administration (Extension of </w:t>
      </w:r>
      <w:r w:rsidR="00B8397F">
        <w:t>D</w:t>
      </w:r>
      <w:r w:rsidRPr="00502B62">
        <w:t xml:space="preserve">ue </w:t>
      </w:r>
      <w:r w:rsidR="00B8397F">
        <w:t>D</w:t>
      </w:r>
      <w:r w:rsidRPr="00502B62">
        <w:t>ate</w:t>
      </w:r>
      <w:r w:rsidR="00502B62" w:rsidRPr="00502B62">
        <w:t>s</w:t>
      </w:r>
      <w:r w:rsidRPr="00502B62">
        <w:t>) Order 2021</w:t>
      </w:r>
      <w:r>
        <w:t xml:space="preserve"> will give effect to the decision referred to in recommendation 1 </w:t>
      </w:r>
      <w:proofErr w:type="gramStart"/>
      <w:r>
        <w:t>above;</w:t>
      </w:r>
      <w:proofErr w:type="gramEnd"/>
      <w:r>
        <w:t xml:space="preserve"> </w:t>
      </w:r>
    </w:p>
    <w:p w14:paraId="74697F1B" w14:textId="0627B58E" w:rsidR="00A436BC" w:rsidRPr="00A436BC" w:rsidRDefault="00D15798" w:rsidP="002C5D82">
      <w:pPr>
        <w:pStyle w:val="ListParagraph"/>
        <w:numPr>
          <w:ilvl w:val="0"/>
          <w:numId w:val="19"/>
        </w:numPr>
        <w:tabs>
          <w:tab w:val="left" w:pos="567"/>
        </w:tabs>
        <w:spacing w:before="140" w:after="140"/>
        <w:ind w:left="567" w:hanging="567"/>
        <w:contextualSpacing w:val="0"/>
        <w:rPr>
          <w:lang w:val="en-GB"/>
        </w:rPr>
      </w:pPr>
      <w:r w:rsidRPr="00A745F1">
        <w:rPr>
          <w:rStyle w:val="Emphasis-Bold"/>
        </w:rPr>
        <w:t>note</w:t>
      </w:r>
      <w:r>
        <w:t xml:space="preserve"> that the </w:t>
      </w:r>
      <w:r w:rsidRPr="00502B62">
        <w:t xml:space="preserve">Tax Administration (Extension of </w:t>
      </w:r>
      <w:r>
        <w:t>D</w:t>
      </w:r>
      <w:r w:rsidRPr="00502B62">
        <w:t xml:space="preserve">ue </w:t>
      </w:r>
      <w:r>
        <w:t>D</w:t>
      </w:r>
      <w:r w:rsidRPr="00502B62">
        <w:t>ates) Order 2021</w:t>
      </w:r>
      <w:r>
        <w:t xml:space="preserve"> will come into force on 21</w:t>
      </w:r>
      <w:r w:rsidRPr="00D15798">
        <w:rPr>
          <w:vertAlign w:val="superscript"/>
        </w:rPr>
        <w:t>st</w:t>
      </w:r>
      <w:r>
        <w:t xml:space="preserve"> October 2021; </w:t>
      </w:r>
      <w:r w:rsidR="00A436BC">
        <w:t>and</w:t>
      </w:r>
    </w:p>
    <w:p w14:paraId="1F168C50" w14:textId="7116CA2E" w:rsidR="00436968" w:rsidRPr="00436968" w:rsidRDefault="00436968" w:rsidP="002C5D82">
      <w:pPr>
        <w:pStyle w:val="ListParagraph"/>
        <w:numPr>
          <w:ilvl w:val="0"/>
          <w:numId w:val="19"/>
        </w:numPr>
        <w:tabs>
          <w:tab w:val="left" w:pos="567"/>
        </w:tabs>
        <w:spacing w:before="140" w:after="140"/>
        <w:ind w:left="567" w:hanging="567"/>
        <w:contextualSpacing w:val="0"/>
        <w:rPr>
          <w:lang w:val="en-GB"/>
        </w:rPr>
      </w:pPr>
      <w:r w:rsidRPr="00CC457A">
        <w:rPr>
          <w:b/>
          <w:bCs/>
        </w:rPr>
        <w:t>authorise</w:t>
      </w:r>
      <w:r>
        <w:t xml:space="preserve"> the submission to the Executive Council of </w:t>
      </w:r>
      <w:r w:rsidRPr="00502B62">
        <w:t>the Tax Administration (</w:t>
      </w:r>
      <w:r w:rsidR="00F52487" w:rsidRPr="00502B62">
        <w:t xml:space="preserve">Extension of </w:t>
      </w:r>
      <w:r w:rsidR="00B8397F">
        <w:t>D</w:t>
      </w:r>
      <w:r w:rsidR="00F52487" w:rsidRPr="00502B62">
        <w:t xml:space="preserve">ue </w:t>
      </w:r>
      <w:r w:rsidR="00B8397F">
        <w:t>D</w:t>
      </w:r>
      <w:r w:rsidR="00F52487" w:rsidRPr="00502B62">
        <w:t>ate</w:t>
      </w:r>
      <w:r w:rsidR="00502B62" w:rsidRPr="00502B62">
        <w:t>s</w:t>
      </w:r>
      <w:r w:rsidRPr="00502B62">
        <w:t>) Order 2021</w:t>
      </w:r>
      <w:r>
        <w:t>.</w:t>
      </w:r>
    </w:p>
    <w:p w14:paraId="577F93F3" w14:textId="77777777" w:rsidR="006C7C9E" w:rsidRDefault="006C7C9E" w:rsidP="004F18A8">
      <w:pPr>
        <w:spacing w:before="120" w:after="120"/>
        <w:rPr>
          <w:b/>
        </w:rPr>
      </w:pPr>
    </w:p>
    <w:p w14:paraId="65695AAD" w14:textId="1A4155A6" w:rsidR="004F18A8" w:rsidRPr="00850F5E" w:rsidRDefault="004F18A8" w:rsidP="004F18A8">
      <w:pPr>
        <w:spacing w:before="120" w:after="120"/>
        <w:rPr>
          <w:b/>
        </w:rPr>
      </w:pPr>
      <w:r w:rsidRPr="00850F5E">
        <w:rPr>
          <w:b/>
        </w:rPr>
        <w:t>Authorised for lodgement</w:t>
      </w:r>
    </w:p>
    <w:p w14:paraId="7CD88A5F" w14:textId="3F06B837" w:rsidR="006C7C9E" w:rsidRDefault="006C7C9E" w:rsidP="004F18A8">
      <w:pPr>
        <w:spacing w:before="120" w:after="120"/>
      </w:pPr>
    </w:p>
    <w:p w14:paraId="7FD5E5DA" w14:textId="4BDFCE29" w:rsidR="00E3698B" w:rsidRDefault="00E3698B" w:rsidP="004F18A8">
      <w:pPr>
        <w:spacing w:before="120" w:after="120"/>
      </w:pPr>
    </w:p>
    <w:p w14:paraId="63F4DF5F" w14:textId="77777777" w:rsidR="00E3698B" w:rsidRDefault="00E3698B" w:rsidP="004F18A8">
      <w:pPr>
        <w:spacing w:before="120" w:after="120"/>
      </w:pPr>
    </w:p>
    <w:p w14:paraId="15C8831B" w14:textId="5BBDC846" w:rsidR="004F18A8" w:rsidRPr="00850F5E" w:rsidRDefault="004F18A8" w:rsidP="004F18A8">
      <w:pPr>
        <w:spacing w:before="120" w:after="120"/>
      </w:pPr>
      <w:r w:rsidRPr="00850F5E">
        <w:t xml:space="preserve">Hon </w:t>
      </w:r>
      <w:r w:rsidR="00436968">
        <w:t>David Parker</w:t>
      </w:r>
    </w:p>
    <w:p w14:paraId="09EAC9E8" w14:textId="4C7C3CAD" w:rsidR="00DA24B8" w:rsidRPr="00355D83" w:rsidRDefault="004F18A8" w:rsidP="006C7C9E">
      <w:pPr>
        <w:spacing w:before="120" w:after="120"/>
      </w:pPr>
      <w:r w:rsidRPr="00850F5E">
        <w:t xml:space="preserve">Minister of </w:t>
      </w:r>
      <w:r w:rsidR="00436968">
        <w:t>Revenue</w:t>
      </w:r>
    </w:p>
    <w:sectPr w:rsidR="00DA24B8" w:rsidRPr="00355D83" w:rsidSect="003A09B1">
      <w:headerReference w:type="default" r:id="rId7"/>
      <w:footerReference w:type="default" r:id="rId8"/>
      <w:pgSz w:w="11906" w:h="16838"/>
      <w:pgMar w:top="1276"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99FC" w14:textId="77777777" w:rsidR="00D46190" w:rsidRDefault="00D46190" w:rsidP="00DA24B8">
      <w:r>
        <w:separator/>
      </w:r>
    </w:p>
  </w:endnote>
  <w:endnote w:type="continuationSeparator" w:id="0">
    <w:p w14:paraId="44F73A5C" w14:textId="77777777" w:rsidR="00D46190" w:rsidRDefault="00D46190" w:rsidP="00DA24B8">
      <w:r>
        <w:continuationSeparator/>
      </w:r>
    </w:p>
  </w:endnote>
  <w:endnote w:type="continuationNotice" w:id="1">
    <w:p w14:paraId="57EAB3C6" w14:textId="77777777" w:rsidR="00D46190" w:rsidRDefault="00D461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D7A6" w14:textId="5531B2A0" w:rsidR="00D0596E" w:rsidRPr="00A00454" w:rsidRDefault="00D46190" w:rsidP="00A00454">
    <w:pPr>
      <w:jc w:val="right"/>
      <w:rPr>
        <w:sz w:val="18"/>
        <w:szCs w:val="18"/>
      </w:rPr>
    </w:pPr>
    <w:r>
      <w:fldChar w:fldCharType="begin"/>
    </w:r>
    <w:r>
      <w:instrText xml:space="preserve"> DOCPROPERTY  TsyDisplayedDocNumVer  \* MERGEFORMAT </w:instrText>
    </w:r>
    <w:r>
      <w:fldChar w:fldCharType="separate"/>
    </w:r>
    <w:r w:rsidR="004439C5">
      <w:t xml:space="preserve"> </w:t>
    </w:r>
    <w:r>
      <w:fldChar w:fldCharType="end"/>
    </w:r>
    <w:r w:rsidR="00D0596E" w:rsidRPr="00CE5191">
      <w:tab/>
    </w:r>
    <w:r w:rsidR="00D0596E">
      <w:rPr>
        <w:b/>
        <w:color w:val="2B579A"/>
        <w:shd w:val="clear" w:color="auto" w:fill="E6E6E6"/>
      </w:rPr>
      <w:fldChar w:fldCharType="begin"/>
    </w:r>
    <w:r w:rsidR="00D0596E">
      <w:rPr>
        <w:b/>
      </w:rPr>
      <w:instrText xml:space="preserve"> DOCPROPERTY  TsyDisplayedSecurityClassification  \* MERGEFORMAT </w:instrText>
    </w:r>
    <w:r w:rsidR="00D0596E">
      <w:rPr>
        <w:b/>
        <w:color w:val="2B579A"/>
        <w:shd w:val="clear" w:color="auto" w:fill="E6E6E6"/>
      </w:rPr>
      <w:fldChar w:fldCharType="separate"/>
    </w:r>
    <w:r w:rsidR="004439C5">
      <w:rPr>
        <w:b/>
      </w:rPr>
      <w:t xml:space="preserve"> </w:t>
    </w:r>
    <w:r w:rsidR="00D0596E">
      <w:rPr>
        <w:b/>
        <w:color w:val="2B579A"/>
        <w:shd w:val="clear" w:color="auto" w:fill="E6E6E6"/>
      </w:rPr>
      <w:fldChar w:fldCharType="end"/>
    </w:r>
    <w:r w:rsidR="00D0596E" w:rsidRPr="00CE5191">
      <w:tab/>
    </w:r>
    <w:r w:rsidR="00D0596E" w:rsidRPr="00A00454">
      <w:rPr>
        <w:sz w:val="18"/>
        <w:szCs w:val="18"/>
      </w:rPr>
      <w:fldChar w:fldCharType="begin"/>
    </w:r>
    <w:r w:rsidR="00D0596E" w:rsidRPr="00A00454">
      <w:rPr>
        <w:sz w:val="18"/>
        <w:szCs w:val="18"/>
      </w:rPr>
      <w:instrText xml:space="preserve"> PAGE   \* MERGEFORMAT </w:instrText>
    </w:r>
    <w:r w:rsidR="00D0596E" w:rsidRPr="00A00454">
      <w:rPr>
        <w:sz w:val="18"/>
        <w:szCs w:val="18"/>
      </w:rPr>
      <w:fldChar w:fldCharType="separate"/>
    </w:r>
    <w:r w:rsidR="00AD0128" w:rsidRPr="00A00454">
      <w:rPr>
        <w:sz w:val="18"/>
        <w:szCs w:val="18"/>
      </w:rPr>
      <w:t>9</w:t>
    </w:r>
    <w:r w:rsidR="00D0596E" w:rsidRPr="00A0045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161E" w14:textId="77777777" w:rsidR="00D46190" w:rsidRDefault="00D46190" w:rsidP="00DA24B8">
      <w:r>
        <w:separator/>
      </w:r>
    </w:p>
  </w:footnote>
  <w:footnote w:type="continuationSeparator" w:id="0">
    <w:p w14:paraId="1F90411D" w14:textId="77777777" w:rsidR="00D46190" w:rsidRDefault="00D46190" w:rsidP="00DA24B8">
      <w:r>
        <w:continuationSeparator/>
      </w:r>
    </w:p>
  </w:footnote>
  <w:footnote w:type="continuationNotice" w:id="1">
    <w:p w14:paraId="42770509" w14:textId="77777777" w:rsidR="00D46190" w:rsidRDefault="00D46190">
      <w:pPr>
        <w:spacing w:line="240" w:lineRule="auto"/>
      </w:pPr>
    </w:p>
  </w:footnote>
  <w:footnote w:id="2">
    <w:p w14:paraId="42AC3057" w14:textId="77777777" w:rsidR="00D4671F" w:rsidRDefault="00D4671F" w:rsidP="00D4671F">
      <w:pPr>
        <w:pStyle w:val="FootnoteText"/>
      </w:pPr>
      <w:r>
        <w:rPr>
          <w:rStyle w:val="FootnoteReference"/>
        </w:rPr>
        <w:footnoteRef/>
      </w:r>
      <w:r>
        <w:t xml:space="preserve"> START – Simplified Tax and Revenue Technology – Inland Revenue’s new technology platform.</w:t>
      </w:r>
    </w:p>
  </w:footnote>
  <w:footnote w:id="3">
    <w:p w14:paraId="3E8BB4CB" w14:textId="2A3C41B8" w:rsidR="006A24B7" w:rsidRPr="006A24B7" w:rsidRDefault="006A24B7">
      <w:pPr>
        <w:pStyle w:val="FootnoteText"/>
        <w:rPr>
          <w:lang w:val="en-NZ"/>
        </w:rPr>
      </w:pPr>
      <w:r>
        <w:rPr>
          <w:rStyle w:val="FootnoteReference"/>
        </w:rPr>
        <w:footnoteRef/>
      </w:r>
      <w:r>
        <w:t xml:space="preserve"> The 28</w:t>
      </w:r>
      <w:r w:rsidRPr="00F362DF">
        <w:rPr>
          <w:vertAlign w:val="superscript"/>
        </w:rPr>
        <w:t>th</w:t>
      </w:r>
      <w:r>
        <w:t xml:space="preserve"> of October is the due date for the filing and payment of GST returns for the period to 30 September 2021 and includes </w:t>
      </w:r>
      <w:r w:rsidR="00C245FE">
        <w:t>taxpayers</w:t>
      </w:r>
      <w:r>
        <w:t xml:space="preserve"> who file monthly, two-</w:t>
      </w:r>
      <w:proofErr w:type="gramStart"/>
      <w:r>
        <w:t>monthly</w:t>
      </w:r>
      <w:proofErr w:type="gramEnd"/>
      <w:r>
        <w:t xml:space="preserve"> and six-monthly</w:t>
      </w:r>
      <w:r w:rsidRPr="00FD108E">
        <w:t>.</w:t>
      </w:r>
    </w:p>
  </w:footnote>
  <w:footnote w:id="4">
    <w:p w14:paraId="1D2578C2" w14:textId="77777777" w:rsidR="00424773" w:rsidRDefault="00424773" w:rsidP="00424773">
      <w:pPr>
        <w:pStyle w:val="FootnoteText"/>
      </w:pPr>
      <w:r>
        <w:rPr>
          <w:rStyle w:val="FootnoteReference"/>
        </w:rPr>
        <w:footnoteRef/>
      </w:r>
      <w:r>
        <w:t xml:space="preserve"> The exceptions being payments made by direct debit or credit card.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D99" w14:textId="4D20AC1E" w:rsidR="00D0596E" w:rsidRPr="00EB1B21" w:rsidRDefault="00D0596E" w:rsidP="008B30D7">
    <w:pPr>
      <w:tabs>
        <w:tab w:val="center" w:pos="4253"/>
      </w:tabs>
      <w:rPr>
        <w:b/>
      </w:rPr>
    </w:pPr>
    <w:r>
      <w:tab/>
    </w:r>
    <w:r>
      <w:rPr>
        <w:b/>
        <w:color w:val="2B579A"/>
        <w:shd w:val="clear" w:color="auto" w:fill="E6E6E6"/>
      </w:rPr>
      <w:fldChar w:fldCharType="begin"/>
    </w:r>
    <w:r>
      <w:rPr>
        <w:b/>
      </w:rPr>
      <w:instrText xml:space="preserve"> DOCPROPERTY  TsyDisplayedSecurityClassification  \* MERGEFORMAT </w:instrText>
    </w:r>
    <w:r>
      <w:rPr>
        <w:b/>
        <w:color w:val="2B579A"/>
        <w:shd w:val="clear" w:color="auto" w:fill="E6E6E6"/>
      </w:rPr>
      <w:fldChar w:fldCharType="separate"/>
    </w:r>
    <w:r w:rsidR="004439C5">
      <w:rPr>
        <w:b/>
      </w:rPr>
      <w:t xml:space="preserve"> </w:t>
    </w:r>
    <w:r>
      <w:rPr>
        <w:b/>
        <w:color w:val="2B579A"/>
        <w:shd w:val="clear" w:color="auto" w:fill="E6E6E6"/>
      </w:rPr>
      <w:fldChar w:fldCharType="end"/>
    </w:r>
  </w:p>
</w:hdr>
</file>

<file path=word/intelligence.xml><?xml version="1.0" encoding="utf-8"?>
<int:Intelligence xmlns:int="http://schemas.microsoft.com/office/intelligence/2019/intelligence">
  <int:IntelligenceSettings/>
  <int:Manifest>
    <int:ParagraphRange paragraphId="225390648" textId="193285997" start="157" length="13" invalidationStart="157" invalidationLength="13" id="EqS8sCkY"/>
    <int:ParagraphRange paragraphId="1697643513" textId="718697774" start="115" length="9" invalidationStart="115" invalidationLength="9" id="LTlBrQqd"/>
  </int:Manifest>
  <int:Observations>
    <int:Content id="EqS8sCkY">
      <int:Rejection type="LegacyProofing"/>
    </int:Content>
    <int:Content id="LTlBrQq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02EF5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D11F69"/>
    <w:multiLevelType w:val="hybridMultilevel"/>
    <w:tmpl w:val="828A7AC0"/>
    <w:styleLink w:val="Recommendations"/>
    <w:lvl w:ilvl="0" w:tplc="99C8F704">
      <w:start w:val="1"/>
      <w:numFmt w:val="bullet"/>
      <w:pStyle w:val="BodyText1"/>
      <w:lvlText w:val=""/>
      <w:lvlJc w:val="left"/>
      <w:pPr>
        <w:ind w:left="92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FA75BB"/>
    <w:multiLevelType w:val="multilevel"/>
    <w:tmpl w:val="5C3A778A"/>
    <w:lvl w:ilvl="0">
      <w:start w:val="1"/>
      <w:numFmt w:val="decimal"/>
      <w:lvlText w:val="%1"/>
      <w:lvlJc w:val="left"/>
      <w:pPr>
        <w:ind w:left="720" w:hanging="360"/>
      </w:pPr>
      <w:rPr>
        <w:rFonts w:hint="default"/>
        <w:b w:val="0"/>
        <w:bCs/>
        <w:i w:val="0"/>
        <w:iCs w:val="0"/>
        <w:strike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9201C3"/>
    <w:multiLevelType w:val="multilevel"/>
    <w:tmpl w:val="9162F4D2"/>
    <w:lvl w:ilvl="0">
      <w:start w:val="1"/>
      <w:numFmt w:val="decimal"/>
      <w:pStyle w:val="TSYList"/>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B0CF4"/>
    <w:multiLevelType w:val="multilevel"/>
    <w:tmpl w:val="828A7AC0"/>
    <w:numStyleLink w:val="Recommendations"/>
  </w:abstractNum>
  <w:abstractNum w:abstractNumId="6" w15:restartNumberingAfterBreak="0">
    <w:nsid w:val="212F399A"/>
    <w:multiLevelType w:val="multilevel"/>
    <w:tmpl w:val="5BCE40AC"/>
    <w:lvl w:ilvl="0">
      <w:start w:val="1"/>
      <w:numFmt w:val="decimal"/>
      <w:lvlText w:val="%1"/>
      <w:lvlJc w:val="left"/>
      <w:pPr>
        <w:ind w:left="720" w:hanging="360"/>
      </w:pPr>
      <w:rPr>
        <w:rFonts w:ascii="Arial" w:hAnsi="Arial" w:cs="Arial" w:hint="default"/>
        <w:b w:val="0"/>
        <w:color w:val="auto"/>
        <w:sz w:val="22"/>
        <w:szCs w:val="22"/>
      </w:rPr>
    </w:lvl>
    <w:lvl w:ilvl="1">
      <w:start w:val="1"/>
      <w:numFmt w:val="lowerRoman"/>
      <w:lvlText w:val="%2."/>
      <w:lvlJc w:val="right"/>
      <w:pPr>
        <w:ind w:left="1440" w:hanging="360"/>
      </w:pPr>
      <w:rPr>
        <w:rFonts w:ascii="Arial" w:hAnsi="Arial" w:cs="Arial"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4A2720"/>
    <w:multiLevelType w:val="hybridMultilevel"/>
    <w:tmpl w:val="5D24A9F2"/>
    <w:lvl w:ilvl="0" w:tplc="171A86E2">
      <w:start w:val="1"/>
      <w:numFmt w:val="decimal"/>
      <w:lvlText w:val="%1."/>
      <w:lvlJc w:val="left"/>
      <w:pPr>
        <w:ind w:left="720" w:hanging="360"/>
      </w:pPr>
    </w:lvl>
    <w:lvl w:ilvl="1" w:tplc="0B14678E">
      <w:start w:val="1"/>
      <w:numFmt w:val="lowerLetter"/>
      <w:lvlText w:val="%2."/>
      <w:lvlJc w:val="left"/>
      <w:pPr>
        <w:ind w:left="1440" w:hanging="360"/>
      </w:pPr>
    </w:lvl>
    <w:lvl w:ilvl="2" w:tplc="226046E2">
      <w:start w:val="1"/>
      <w:numFmt w:val="lowerRoman"/>
      <w:lvlText w:val="%3."/>
      <w:lvlJc w:val="right"/>
      <w:pPr>
        <w:ind w:left="2160" w:hanging="180"/>
      </w:pPr>
    </w:lvl>
    <w:lvl w:ilvl="3" w:tplc="D6A65C74">
      <w:start w:val="1"/>
      <w:numFmt w:val="decimal"/>
      <w:lvlText w:val="%4."/>
      <w:lvlJc w:val="left"/>
      <w:pPr>
        <w:ind w:left="2880" w:hanging="360"/>
      </w:pPr>
    </w:lvl>
    <w:lvl w:ilvl="4" w:tplc="5C00FAD2">
      <w:start w:val="1"/>
      <w:numFmt w:val="lowerLetter"/>
      <w:lvlText w:val="%5."/>
      <w:lvlJc w:val="left"/>
      <w:pPr>
        <w:ind w:left="3600" w:hanging="360"/>
      </w:pPr>
    </w:lvl>
    <w:lvl w:ilvl="5" w:tplc="CDFE394C">
      <w:start w:val="1"/>
      <w:numFmt w:val="lowerRoman"/>
      <w:lvlText w:val="%6."/>
      <w:lvlJc w:val="right"/>
      <w:pPr>
        <w:ind w:left="4320" w:hanging="180"/>
      </w:pPr>
    </w:lvl>
    <w:lvl w:ilvl="6" w:tplc="8CC4C474">
      <w:start w:val="1"/>
      <w:numFmt w:val="decimal"/>
      <w:lvlText w:val="%7."/>
      <w:lvlJc w:val="left"/>
      <w:pPr>
        <w:ind w:left="5040" w:hanging="360"/>
      </w:pPr>
    </w:lvl>
    <w:lvl w:ilvl="7" w:tplc="421EE428">
      <w:start w:val="1"/>
      <w:numFmt w:val="lowerLetter"/>
      <w:lvlText w:val="%8."/>
      <w:lvlJc w:val="left"/>
      <w:pPr>
        <w:ind w:left="5760" w:hanging="360"/>
      </w:pPr>
    </w:lvl>
    <w:lvl w:ilvl="8" w:tplc="8CF06674">
      <w:start w:val="1"/>
      <w:numFmt w:val="lowerRoman"/>
      <w:lvlText w:val="%9."/>
      <w:lvlJc w:val="right"/>
      <w:pPr>
        <w:ind w:left="6480" w:hanging="180"/>
      </w:pPr>
    </w:lvl>
  </w:abstractNum>
  <w:abstractNum w:abstractNumId="8" w15:restartNumberingAfterBreak="0">
    <w:nsid w:val="257125EA"/>
    <w:multiLevelType w:val="multilevel"/>
    <w:tmpl w:val="DA7C8128"/>
    <w:lvl w:ilvl="0">
      <w:start w:val="1"/>
      <w:numFmt w:val="decimal"/>
      <w:lvlText w:val="%1"/>
      <w:lvlJc w:val="left"/>
      <w:pPr>
        <w:ind w:left="720" w:hanging="360"/>
      </w:pPr>
      <w:rPr>
        <w:rFonts w:ascii="Arial" w:hAnsi="Arial" w:cs="Arial" w:hint="default"/>
        <w:b w:val="0"/>
        <w:bCs/>
        <w:i w:val="0"/>
        <w:iCs w:val="0"/>
        <w:strike w:val="0"/>
        <w:sz w:val="22"/>
        <w:szCs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874D93"/>
    <w:multiLevelType w:val="hybridMultilevel"/>
    <w:tmpl w:val="CDAE3CD4"/>
    <w:lvl w:ilvl="0" w:tplc="C4D24DAA">
      <w:start w:val="1"/>
      <w:numFmt w:val="bullet"/>
      <w:pStyle w:val="TSYBullet"/>
      <w:lvlText w:val=""/>
      <w:lvlJc w:val="left"/>
      <w:pPr>
        <w:tabs>
          <w:tab w:val="num" w:pos="1134"/>
        </w:tabs>
        <w:ind w:left="1134" w:hanging="567"/>
      </w:pPr>
      <w:rPr>
        <w:rFonts w:ascii="Symbol" w:hAnsi="Symbol" w:hint="default"/>
      </w:rPr>
    </w:lvl>
    <w:lvl w:ilvl="1" w:tplc="C824913A" w:tentative="1">
      <w:start w:val="1"/>
      <w:numFmt w:val="bullet"/>
      <w:lvlText w:val="o"/>
      <w:lvlJc w:val="left"/>
      <w:pPr>
        <w:ind w:left="2007" w:hanging="360"/>
      </w:pPr>
      <w:rPr>
        <w:rFonts w:ascii="Courier New" w:hAnsi="Courier New" w:cs="Courier New" w:hint="default"/>
      </w:rPr>
    </w:lvl>
    <w:lvl w:ilvl="2" w:tplc="FB7E9AE6" w:tentative="1">
      <w:start w:val="1"/>
      <w:numFmt w:val="bullet"/>
      <w:lvlText w:val=""/>
      <w:lvlJc w:val="left"/>
      <w:pPr>
        <w:ind w:left="2727" w:hanging="360"/>
      </w:pPr>
      <w:rPr>
        <w:rFonts w:ascii="Wingdings" w:hAnsi="Wingdings" w:hint="default"/>
      </w:rPr>
    </w:lvl>
    <w:lvl w:ilvl="3" w:tplc="174E487E" w:tentative="1">
      <w:start w:val="1"/>
      <w:numFmt w:val="bullet"/>
      <w:lvlText w:val=""/>
      <w:lvlJc w:val="left"/>
      <w:pPr>
        <w:ind w:left="3447" w:hanging="360"/>
      </w:pPr>
      <w:rPr>
        <w:rFonts w:ascii="Symbol" w:hAnsi="Symbol" w:hint="default"/>
      </w:rPr>
    </w:lvl>
    <w:lvl w:ilvl="4" w:tplc="6CD0094E" w:tentative="1">
      <w:start w:val="1"/>
      <w:numFmt w:val="bullet"/>
      <w:lvlText w:val="o"/>
      <w:lvlJc w:val="left"/>
      <w:pPr>
        <w:ind w:left="4167" w:hanging="360"/>
      </w:pPr>
      <w:rPr>
        <w:rFonts w:ascii="Courier New" w:hAnsi="Courier New" w:cs="Courier New" w:hint="default"/>
      </w:rPr>
    </w:lvl>
    <w:lvl w:ilvl="5" w:tplc="663A272E" w:tentative="1">
      <w:start w:val="1"/>
      <w:numFmt w:val="bullet"/>
      <w:lvlText w:val=""/>
      <w:lvlJc w:val="left"/>
      <w:pPr>
        <w:ind w:left="4887" w:hanging="360"/>
      </w:pPr>
      <w:rPr>
        <w:rFonts w:ascii="Wingdings" w:hAnsi="Wingdings" w:hint="default"/>
      </w:rPr>
    </w:lvl>
    <w:lvl w:ilvl="6" w:tplc="759C7CC6" w:tentative="1">
      <w:start w:val="1"/>
      <w:numFmt w:val="bullet"/>
      <w:lvlText w:val=""/>
      <w:lvlJc w:val="left"/>
      <w:pPr>
        <w:ind w:left="5607" w:hanging="360"/>
      </w:pPr>
      <w:rPr>
        <w:rFonts w:ascii="Symbol" w:hAnsi="Symbol" w:hint="default"/>
      </w:rPr>
    </w:lvl>
    <w:lvl w:ilvl="7" w:tplc="23D8672C" w:tentative="1">
      <w:start w:val="1"/>
      <w:numFmt w:val="bullet"/>
      <w:lvlText w:val="o"/>
      <w:lvlJc w:val="left"/>
      <w:pPr>
        <w:ind w:left="6327" w:hanging="360"/>
      </w:pPr>
      <w:rPr>
        <w:rFonts w:ascii="Courier New" w:hAnsi="Courier New" w:cs="Courier New" w:hint="default"/>
      </w:rPr>
    </w:lvl>
    <w:lvl w:ilvl="8" w:tplc="8C6801CC" w:tentative="1">
      <w:start w:val="1"/>
      <w:numFmt w:val="bullet"/>
      <w:lvlText w:val=""/>
      <w:lvlJc w:val="left"/>
      <w:pPr>
        <w:ind w:left="7047" w:hanging="360"/>
      </w:pPr>
      <w:rPr>
        <w:rFonts w:ascii="Wingdings" w:hAnsi="Wingdings" w:hint="default"/>
      </w:rPr>
    </w:lvl>
  </w:abstractNum>
  <w:abstractNum w:abstractNumId="10" w15:restartNumberingAfterBreak="0">
    <w:nsid w:val="35913BA3"/>
    <w:multiLevelType w:val="multilevel"/>
    <w:tmpl w:val="1166CAD0"/>
    <w:lvl w:ilvl="0">
      <w:start w:val="1"/>
      <w:numFmt w:val="decimal"/>
      <w:lvlText w:val="%1"/>
      <w:lvlJc w:val="left"/>
      <w:pPr>
        <w:ind w:left="720" w:hanging="360"/>
      </w:pPr>
      <w:rPr>
        <w:rFonts w:ascii="Arial" w:hAnsi="Arial" w:cs="Arial" w:hint="default"/>
        <w:b w:val="0"/>
        <w:color w:val="auto"/>
        <w:sz w:val="22"/>
        <w:szCs w:val="22"/>
      </w:rPr>
    </w:lvl>
    <w:lvl w:ilvl="1">
      <w:start w:val="1"/>
      <w:numFmt w:val="decimal"/>
      <w:lvlText w:val="%1.%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784C32"/>
    <w:multiLevelType w:val="multilevel"/>
    <w:tmpl w:val="C73CD6C2"/>
    <w:lvl w:ilvl="0">
      <w:start w:val="1"/>
      <w:numFmt w:val="decimal"/>
      <w:lvlText w:val="%1"/>
      <w:lvlJc w:val="left"/>
      <w:pPr>
        <w:ind w:left="720" w:hanging="360"/>
      </w:pPr>
      <w:rPr>
        <w:rFonts w:ascii="Arial" w:hAnsi="Arial" w:cs="Arial" w:hint="default"/>
        <w:b w:val="0"/>
        <w:bCs/>
        <w:i w:val="0"/>
        <w:iCs w:val="0"/>
        <w:strike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703E2A"/>
    <w:multiLevelType w:val="hybridMultilevel"/>
    <w:tmpl w:val="42E25A12"/>
    <w:lvl w:ilvl="0" w:tplc="1409000F">
      <w:start w:val="1"/>
      <w:numFmt w:val="lowerRoman"/>
      <w:lvlText w:val="%1."/>
      <w:lvlJc w:val="righ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51BF41A6"/>
    <w:multiLevelType w:val="hybridMultilevel"/>
    <w:tmpl w:val="88629780"/>
    <w:lvl w:ilvl="0" w:tplc="9C4A5ADE">
      <w:start w:val="1"/>
      <w:numFmt w:val="decimal"/>
      <w:lvlText w:val="%1"/>
      <w:lvlJc w:val="left"/>
      <w:pPr>
        <w:ind w:left="720" w:hanging="360"/>
      </w:pPr>
    </w:lvl>
    <w:lvl w:ilvl="1" w:tplc="9296E6D4">
      <w:start w:val="1"/>
      <w:numFmt w:val="lowerLetter"/>
      <w:lvlText w:val="%2."/>
      <w:lvlJc w:val="left"/>
      <w:pPr>
        <w:ind w:left="1440" w:hanging="360"/>
      </w:pPr>
    </w:lvl>
    <w:lvl w:ilvl="2" w:tplc="E0DCDED6">
      <w:start w:val="1"/>
      <w:numFmt w:val="lowerRoman"/>
      <w:lvlText w:val="%3."/>
      <w:lvlJc w:val="right"/>
      <w:pPr>
        <w:ind w:left="2160" w:hanging="180"/>
      </w:pPr>
    </w:lvl>
    <w:lvl w:ilvl="3" w:tplc="7566691E">
      <w:start w:val="1"/>
      <w:numFmt w:val="decimal"/>
      <w:lvlText w:val="%4."/>
      <w:lvlJc w:val="left"/>
      <w:pPr>
        <w:ind w:left="2880" w:hanging="360"/>
      </w:pPr>
    </w:lvl>
    <w:lvl w:ilvl="4" w:tplc="00EA6CBA">
      <w:start w:val="1"/>
      <w:numFmt w:val="lowerLetter"/>
      <w:lvlText w:val="%5."/>
      <w:lvlJc w:val="left"/>
      <w:pPr>
        <w:ind w:left="3600" w:hanging="360"/>
      </w:pPr>
    </w:lvl>
    <w:lvl w:ilvl="5" w:tplc="880E01C2">
      <w:start w:val="1"/>
      <w:numFmt w:val="lowerRoman"/>
      <w:lvlText w:val="%6."/>
      <w:lvlJc w:val="right"/>
      <w:pPr>
        <w:ind w:left="4320" w:hanging="180"/>
      </w:pPr>
    </w:lvl>
    <w:lvl w:ilvl="6" w:tplc="B50C37A6">
      <w:start w:val="1"/>
      <w:numFmt w:val="decimal"/>
      <w:lvlText w:val="%7."/>
      <w:lvlJc w:val="left"/>
      <w:pPr>
        <w:ind w:left="5040" w:hanging="360"/>
      </w:pPr>
    </w:lvl>
    <w:lvl w:ilvl="7" w:tplc="39F24B46">
      <w:start w:val="1"/>
      <w:numFmt w:val="lowerLetter"/>
      <w:lvlText w:val="%8."/>
      <w:lvlJc w:val="left"/>
      <w:pPr>
        <w:ind w:left="5760" w:hanging="360"/>
      </w:pPr>
    </w:lvl>
    <w:lvl w:ilvl="8" w:tplc="122C8FC6">
      <w:start w:val="1"/>
      <w:numFmt w:val="lowerRoman"/>
      <w:lvlText w:val="%9."/>
      <w:lvlJc w:val="right"/>
      <w:pPr>
        <w:ind w:left="6480" w:hanging="180"/>
      </w:pPr>
    </w:lvl>
  </w:abstractNum>
  <w:abstractNum w:abstractNumId="14" w15:restartNumberingAfterBreak="0">
    <w:nsid w:val="52CC1FC4"/>
    <w:multiLevelType w:val="hybridMultilevel"/>
    <w:tmpl w:val="B60C8AC2"/>
    <w:lvl w:ilvl="0" w:tplc="1409000F">
      <w:start w:val="1"/>
      <w:numFmt w:val="lowerRoman"/>
      <w:lvlText w:val="%1."/>
      <w:lvlJc w:val="righ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536D4572"/>
    <w:multiLevelType w:val="multilevel"/>
    <w:tmpl w:val="89C6F73A"/>
    <w:lvl w:ilvl="0">
      <w:start w:val="12"/>
      <w:numFmt w:val="decimal"/>
      <w:lvlText w:val="%1"/>
      <w:lvlJc w:val="left"/>
      <w:pPr>
        <w:ind w:left="360" w:hanging="360"/>
      </w:pPr>
      <w:rPr>
        <w:rFonts w:ascii="Arial" w:hAnsi="Arial" w:cs="Arial" w:hint="default"/>
        <w:b w:val="0"/>
        <w:bCs/>
        <w:i w:val="0"/>
        <w:iCs w:val="0"/>
        <w:strike w:val="0"/>
        <w:sz w:val="22"/>
        <w:szCs w:val="22"/>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8102014"/>
    <w:multiLevelType w:val="hybridMultilevel"/>
    <w:tmpl w:val="AC34B448"/>
    <w:lvl w:ilvl="0" w:tplc="B9BE3FDE">
      <w:start w:val="1"/>
      <w:numFmt w:val="decimal"/>
      <w:lvlText w:val="%1"/>
      <w:lvlJc w:val="left"/>
      <w:pPr>
        <w:ind w:left="720" w:hanging="360"/>
      </w:pPr>
    </w:lvl>
    <w:lvl w:ilvl="1" w:tplc="BA70F3BA">
      <w:start w:val="1"/>
      <w:numFmt w:val="lowerLetter"/>
      <w:lvlText w:val="%2."/>
      <w:lvlJc w:val="left"/>
      <w:pPr>
        <w:ind w:left="1440" w:hanging="360"/>
      </w:pPr>
    </w:lvl>
    <w:lvl w:ilvl="2" w:tplc="CA466398">
      <w:start w:val="1"/>
      <w:numFmt w:val="lowerRoman"/>
      <w:lvlText w:val="%3."/>
      <w:lvlJc w:val="right"/>
      <w:pPr>
        <w:ind w:left="2160" w:hanging="180"/>
      </w:pPr>
    </w:lvl>
    <w:lvl w:ilvl="3" w:tplc="36F82220">
      <w:start w:val="1"/>
      <w:numFmt w:val="decimal"/>
      <w:lvlText w:val="%4."/>
      <w:lvlJc w:val="left"/>
      <w:pPr>
        <w:ind w:left="2880" w:hanging="360"/>
      </w:pPr>
    </w:lvl>
    <w:lvl w:ilvl="4" w:tplc="7F48801E">
      <w:start w:val="1"/>
      <w:numFmt w:val="lowerLetter"/>
      <w:lvlText w:val="%5."/>
      <w:lvlJc w:val="left"/>
      <w:pPr>
        <w:ind w:left="3600" w:hanging="360"/>
      </w:pPr>
    </w:lvl>
    <w:lvl w:ilvl="5" w:tplc="9FF4D87C">
      <w:start w:val="1"/>
      <w:numFmt w:val="lowerRoman"/>
      <w:lvlText w:val="%6."/>
      <w:lvlJc w:val="right"/>
      <w:pPr>
        <w:ind w:left="4320" w:hanging="180"/>
      </w:pPr>
    </w:lvl>
    <w:lvl w:ilvl="6" w:tplc="BD2A8EF2">
      <w:start w:val="1"/>
      <w:numFmt w:val="decimal"/>
      <w:lvlText w:val="%7."/>
      <w:lvlJc w:val="left"/>
      <w:pPr>
        <w:ind w:left="5040" w:hanging="360"/>
      </w:pPr>
    </w:lvl>
    <w:lvl w:ilvl="7" w:tplc="66B82190">
      <w:start w:val="1"/>
      <w:numFmt w:val="lowerLetter"/>
      <w:lvlText w:val="%8."/>
      <w:lvlJc w:val="left"/>
      <w:pPr>
        <w:ind w:left="5760" w:hanging="360"/>
      </w:pPr>
    </w:lvl>
    <w:lvl w:ilvl="8" w:tplc="115070FA">
      <w:start w:val="1"/>
      <w:numFmt w:val="lowerRoman"/>
      <w:lvlText w:val="%9."/>
      <w:lvlJc w:val="right"/>
      <w:pPr>
        <w:ind w:left="6480" w:hanging="180"/>
      </w:pPr>
    </w:lvl>
  </w:abstractNum>
  <w:abstractNum w:abstractNumId="17" w15:restartNumberingAfterBreak="0">
    <w:nsid w:val="63993153"/>
    <w:multiLevelType w:val="multilevel"/>
    <w:tmpl w:val="0B9CAB38"/>
    <w:lvl w:ilvl="0">
      <w:start w:val="1"/>
      <w:numFmt w:val="decimal"/>
      <w:pStyle w:val="NumberedParagraph"/>
      <w:lvlText w:val="%1."/>
      <w:lvlJc w:val="left"/>
      <w:pPr>
        <w:tabs>
          <w:tab w:val="num" w:pos="709"/>
        </w:tabs>
        <w:ind w:left="709" w:hanging="709"/>
      </w:pPr>
      <w:rPr>
        <w:rFonts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8"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C021FC"/>
    <w:multiLevelType w:val="hybridMultilevel"/>
    <w:tmpl w:val="D4B6FDAA"/>
    <w:lvl w:ilvl="0" w:tplc="0A70E3FC">
      <w:start w:val="1"/>
      <w:numFmt w:val="decimal"/>
      <w:lvlText w:val="%1"/>
      <w:lvlJc w:val="left"/>
      <w:pPr>
        <w:ind w:left="720" w:hanging="360"/>
      </w:pPr>
    </w:lvl>
    <w:lvl w:ilvl="1" w:tplc="FD2663EC">
      <w:start w:val="1"/>
      <w:numFmt w:val="lowerLetter"/>
      <w:lvlText w:val="%2."/>
      <w:lvlJc w:val="left"/>
      <w:pPr>
        <w:ind w:left="1440" w:hanging="360"/>
      </w:pPr>
    </w:lvl>
    <w:lvl w:ilvl="2" w:tplc="F4C28234">
      <w:start w:val="1"/>
      <w:numFmt w:val="lowerRoman"/>
      <w:lvlText w:val="%3."/>
      <w:lvlJc w:val="right"/>
      <w:pPr>
        <w:ind w:left="2160" w:hanging="180"/>
      </w:pPr>
    </w:lvl>
    <w:lvl w:ilvl="3" w:tplc="973C5406">
      <w:start w:val="1"/>
      <w:numFmt w:val="decimal"/>
      <w:lvlText w:val="%4."/>
      <w:lvlJc w:val="left"/>
      <w:pPr>
        <w:ind w:left="2880" w:hanging="360"/>
      </w:pPr>
    </w:lvl>
    <w:lvl w:ilvl="4" w:tplc="D85E06F6">
      <w:start w:val="1"/>
      <w:numFmt w:val="lowerLetter"/>
      <w:lvlText w:val="%5."/>
      <w:lvlJc w:val="left"/>
      <w:pPr>
        <w:ind w:left="3600" w:hanging="360"/>
      </w:pPr>
    </w:lvl>
    <w:lvl w:ilvl="5" w:tplc="635C1928">
      <w:start w:val="1"/>
      <w:numFmt w:val="lowerRoman"/>
      <w:lvlText w:val="%6."/>
      <w:lvlJc w:val="right"/>
      <w:pPr>
        <w:ind w:left="4320" w:hanging="180"/>
      </w:pPr>
    </w:lvl>
    <w:lvl w:ilvl="6" w:tplc="6D62D2CE">
      <w:start w:val="1"/>
      <w:numFmt w:val="decimal"/>
      <w:lvlText w:val="%7."/>
      <w:lvlJc w:val="left"/>
      <w:pPr>
        <w:ind w:left="5040" w:hanging="360"/>
      </w:pPr>
    </w:lvl>
    <w:lvl w:ilvl="7" w:tplc="C3EA87B8">
      <w:start w:val="1"/>
      <w:numFmt w:val="lowerLetter"/>
      <w:lvlText w:val="%8."/>
      <w:lvlJc w:val="left"/>
      <w:pPr>
        <w:ind w:left="5760" w:hanging="360"/>
      </w:pPr>
    </w:lvl>
    <w:lvl w:ilvl="8" w:tplc="33A816A2">
      <w:start w:val="1"/>
      <w:numFmt w:val="lowerRoman"/>
      <w:lvlText w:val="%9."/>
      <w:lvlJc w:val="right"/>
      <w:pPr>
        <w:ind w:left="6480" w:hanging="180"/>
      </w:pPr>
    </w:lvl>
  </w:abstractNum>
  <w:abstractNum w:abstractNumId="20" w15:restartNumberingAfterBreak="0">
    <w:nsid w:val="7BA7125C"/>
    <w:multiLevelType w:val="hybridMultilevel"/>
    <w:tmpl w:val="03DECA54"/>
    <w:lvl w:ilvl="0" w:tplc="7612EAE0">
      <w:start w:val="1"/>
      <w:numFmt w:val="decimal"/>
      <w:lvlText w:val="%1"/>
      <w:lvlJc w:val="left"/>
      <w:pPr>
        <w:ind w:left="720" w:hanging="360"/>
      </w:pPr>
    </w:lvl>
    <w:lvl w:ilvl="1" w:tplc="24567296">
      <w:start w:val="1"/>
      <w:numFmt w:val="lowerLetter"/>
      <w:lvlText w:val="%2."/>
      <w:lvlJc w:val="left"/>
      <w:pPr>
        <w:ind w:left="1440" w:hanging="360"/>
      </w:pPr>
    </w:lvl>
    <w:lvl w:ilvl="2" w:tplc="5C349E1E">
      <w:start w:val="1"/>
      <w:numFmt w:val="lowerRoman"/>
      <w:lvlText w:val="%3."/>
      <w:lvlJc w:val="right"/>
      <w:pPr>
        <w:ind w:left="2160" w:hanging="180"/>
      </w:pPr>
    </w:lvl>
    <w:lvl w:ilvl="3" w:tplc="78E6A118">
      <w:start w:val="1"/>
      <w:numFmt w:val="decimal"/>
      <w:lvlText w:val="%4."/>
      <w:lvlJc w:val="left"/>
      <w:pPr>
        <w:ind w:left="2880" w:hanging="360"/>
      </w:pPr>
    </w:lvl>
    <w:lvl w:ilvl="4" w:tplc="A75AAADC">
      <w:start w:val="1"/>
      <w:numFmt w:val="lowerLetter"/>
      <w:lvlText w:val="%5."/>
      <w:lvlJc w:val="left"/>
      <w:pPr>
        <w:ind w:left="3600" w:hanging="360"/>
      </w:pPr>
    </w:lvl>
    <w:lvl w:ilvl="5" w:tplc="4F640BC4">
      <w:start w:val="1"/>
      <w:numFmt w:val="lowerRoman"/>
      <w:lvlText w:val="%6."/>
      <w:lvlJc w:val="right"/>
      <w:pPr>
        <w:ind w:left="4320" w:hanging="180"/>
      </w:pPr>
    </w:lvl>
    <w:lvl w:ilvl="6" w:tplc="B308E034">
      <w:start w:val="1"/>
      <w:numFmt w:val="decimal"/>
      <w:lvlText w:val="%7."/>
      <w:lvlJc w:val="left"/>
      <w:pPr>
        <w:ind w:left="5040" w:hanging="360"/>
      </w:pPr>
    </w:lvl>
    <w:lvl w:ilvl="7" w:tplc="CA6C11EE">
      <w:start w:val="1"/>
      <w:numFmt w:val="lowerLetter"/>
      <w:lvlText w:val="%8."/>
      <w:lvlJc w:val="left"/>
      <w:pPr>
        <w:ind w:left="5760" w:hanging="360"/>
      </w:pPr>
    </w:lvl>
    <w:lvl w:ilvl="8" w:tplc="5A828FB6">
      <w:start w:val="1"/>
      <w:numFmt w:val="lowerRoman"/>
      <w:lvlText w:val="%9."/>
      <w:lvlJc w:val="right"/>
      <w:pPr>
        <w:ind w:left="6480" w:hanging="180"/>
      </w:pPr>
    </w:lvl>
  </w:abstractNum>
  <w:num w:numId="1">
    <w:abstractNumId w:val="18"/>
  </w:num>
  <w:num w:numId="2">
    <w:abstractNumId w:val="8"/>
  </w:num>
  <w:num w:numId="3">
    <w:abstractNumId w:val="10"/>
  </w:num>
  <w:num w:numId="4">
    <w:abstractNumId w:val="2"/>
  </w:num>
  <w:num w:numId="5">
    <w:abstractNumId w:val="5"/>
    <w:lvlOverride w:ilvl="0">
      <w:lvl w:ilvl="0">
        <w:start w:val="1"/>
        <w:numFmt w:val="decimal"/>
        <w:pStyle w:val="BodyText1"/>
        <w:lvlText w:val="%1"/>
        <w:lvlJc w:val="left"/>
        <w:pPr>
          <w:tabs>
            <w:tab w:val="num" w:pos="720"/>
          </w:tabs>
          <w:ind w:left="720" w:hanging="720"/>
        </w:pPr>
        <w:rPr>
          <w:rFonts w:ascii="Arial" w:hAnsi="Arial" w:cs="Arial" w:hint="default"/>
          <w:b w:val="0"/>
          <w:i w:val="0"/>
          <w:iCs w:val="0"/>
          <w:sz w:val="24"/>
          <w:szCs w:val="24"/>
        </w:rPr>
      </w:lvl>
    </w:lvlOverride>
    <w:lvlOverride w:ilvl="1">
      <w:lvl w:ilvl="1">
        <w:start w:val="1"/>
        <w:numFmt w:val="decimal"/>
        <w:lvlText w:val="%1.%2"/>
        <w:lvlJc w:val="left"/>
        <w:pPr>
          <w:tabs>
            <w:tab w:val="num" w:pos="1440"/>
          </w:tabs>
          <w:ind w:left="1440" w:hanging="720"/>
        </w:pPr>
        <w:rPr>
          <w:rFonts w:ascii="Arial" w:hAnsi="Arial" w:cs="Arial" w:hint="default"/>
        </w:rPr>
      </w:lvl>
    </w:lvlOverride>
    <w:lvlOverride w:ilvl="2">
      <w:lvl w:ilvl="2">
        <w:start w:val="1"/>
        <w:numFmt w:val="decimal"/>
        <w:lvlText w:val="%1.%2.%3"/>
        <w:lvlJc w:val="left"/>
        <w:pPr>
          <w:tabs>
            <w:tab w:val="num" w:pos="2410"/>
          </w:tabs>
          <w:ind w:left="2410" w:hanging="970"/>
        </w:pPr>
        <w:rPr>
          <w:rFonts w:hint="default"/>
        </w:rPr>
      </w:lvl>
    </w:lvlOverride>
    <w:lvlOverride w:ilvl="3">
      <w:lvl w:ilvl="3">
        <w:start w:val="1"/>
        <w:numFmt w:val="decimal"/>
        <w:lvlText w:val="%1.%2.%3.%4"/>
        <w:lvlJc w:val="left"/>
        <w:pPr>
          <w:tabs>
            <w:tab w:val="num" w:pos="3572"/>
          </w:tabs>
          <w:ind w:left="3572" w:hanging="1162"/>
        </w:pPr>
        <w:rPr>
          <w:rFonts w:hint="default"/>
        </w:rPr>
      </w:lvl>
    </w:lvlOverride>
    <w:lvlOverride w:ilvl="4">
      <w:lvl w:ilvl="4">
        <w:start w:val="1"/>
        <w:numFmt w:val="decimal"/>
        <w:lvlText w:val="%1.%2.%3.%4.%5"/>
        <w:lvlJc w:val="left"/>
        <w:pPr>
          <w:tabs>
            <w:tab w:val="num" w:pos="4876"/>
          </w:tabs>
          <w:ind w:left="4876" w:hanging="1304"/>
        </w:pPr>
        <w:rPr>
          <w:rFonts w:hint="default"/>
        </w:rPr>
      </w:lvl>
    </w:lvlOverride>
    <w:lvlOverride w:ilvl="5">
      <w:lvl w:ilvl="5">
        <w:start w:val="1"/>
        <w:numFmt w:val="decimal"/>
        <w:lvlText w:val="(%6)"/>
        <w:lvlJc w:val="left"/>
        <w:pPr>
          <w:tabs>
            <w:tab w:val="num" w:pos="2160"/>
          </w:tabs>
          <w:ind w:left="2160" w:hanging="363"/>
        </w:pPr>
        <w:rPr>
          <w:rFonts w:hint="default"/>
        </w:rPr>
      </w:lvl>
    </w:lvlOverride>
    <w:lvlOverride w:ilvl="6">
      <w:lvl w:ilvl="6">
        <w:start w:val="1"/>
        <w:numFmt w:val="lowerRoman"/>
        <w:lvlText w:val="%7)"/>
        <w:lvlJc w:val="left"/>
        <w:pPr>
          <w:tabs>
            <w:tab w:val="num" w:pos="2880"/>
          </w:tabs>
          <w:ind w:left="2517" w:hanging="357"/>
        </w:pPr>
        <w:rPr>
          <w:rFonts w:hint="default"/>
        </w:rPr>
      </w:lvl>
    </w:lvlOverride>
    <w:lvlOverride w:ilvl="7">
      <w:lvl w:ilvl="7">
        <w:start w:val="1"/>
        <w:numFmt w:val="lowerLetter"/>
        <w:lvlText w:val="%8)"/>
        <w:lvlJc w:val="left"/>
        <w:pPr>
          <w:tabs>
            <w:tab w:val="num" w:pos="2880"/>
          </w:tabs>
          <w:ind w:left="2880" w:hanging="363"/>
        </w:pPr>
        <w:rPr>
          <w:rFonts w:hint="default"/>
        </w:rPr>
      </w:lvl>
    </w:lvlOverride>
    <w:lvlOverride w:ilvl="8">
      <w:lvl w:ilvl="8">
        <w:start w:val="1"/>
        <w:numFmt w:val="lowerRoman"/>
        <w:lvlText w:val="%9."/>
        <w:lvlJc w:val="left"/>
        <w:pPr>
          <w:tabs>
            <w:tab w:val="num" w:pos="3237"/>
          </w:tabs>
          <w:ind w:left="3237" w:hanging="357"/>
        </w:pPr>
        <w:rPr>
          <w:rFonts w:hint="default"/>
        </w:rPr>
      </w:lvl>
    </w:lvlOverride>
  </w:num>
  <w:num w:numId="6">
    <w:abstractNumId w:val="6"/>
  </w:num>
  <w:num w:numId="7">
    <w:abstractNumId w:val="4"/>
  </w:num>
  <w:num w:numId="8">
    <w:abstractNumId w:val="12"/>
  </w:num>
  <w:num w:numId="9">
    <w:abstractNumId w:val="14"/>
  </w:num>
  <w:num w:numId="10">
    <w:abstractNumId w:val="1"/>
  </w:num>
  <w:num w:numId="11">
    <w:abstractNumId w:val="15"/>
  </w:num>
  <w:num w:numId="12">
    <w:abstractNumId w:val="20"/>
  </w:num>
  <w:num w:numId="13">
    <w:abstractNumId w:val="19"/>
  </w:num>
  <w:num w:numId="14">
    <w:abstractNumId w:val="16"/>
  </w:num>
  <w:num w:numId="15">
    <w:abstractNumId w:val="13"/>
  </w:num>
  <w:num w:numId="16">
    <w:abstractNumId w:val="7"/>
  </w:num>
  <w:num w:numId="17">
    <w:abstractNumId w:val="9"/>
  </w:num>
  <w:num w:numId="18">
    <w:abstractNumId w:val="3"/>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A8"/>
    <w:rsid w:val="000048A8"/>
    <w:rsid w:val="000069D5"/>
    <w:rsid w:val="0000747C"/>
    <w:rsid w:val="00007C61"/>
    <w:rsid w:val="00011727"/>
    <w:rsid w:val="000170CA"/>
    <w:rsid w:val="00021E7F"/>
    <w:rsid w:val="00022423"/>
    <w:rsid w:val="00023764"/>
    <w:rsid w:val="000239F0"/>
    <w:rsid w:val="000376EE"/>
    <w:rsid w:val="000409D3"/>
    <w:rsid w:val="00040EBB"/>
    <w:rsid w:val="000447B5"/>
    <w:rsid w:val="000472C1"/>
    <w:rsid w:val="00050293"/>
    <w:rsid w:val="00051A00"/>
    <w:rsid w:val="00051E2B"/>
    <w:rsid w:val="0005392C"/>
    <w:rsid w:val="00054C57"/>
    <w:rsid w:val="00060918"/>
    <w:rsid w:val="000621EE"/>
    <w:rsid w:val="0006491E"/>
    <w:rsid w:val="000651EC"/>
    <w:rsid w:val="00070CA8"/>
    <w:rsid w:val="000800B6"/>
    <w:rsid w:val="00082117"/>
    <w:rsid w:val="00083E36"/>
    <w:rsid w:val="00084D84"/>
    <w:rsid w:val="00086196"/>
    <w:rsid w:val="0009131A"/>
    <w:rsid w:val="00094AF8"/>
    <w:rsid w:val="00096C53"/>
    <w:rsid w:val="00097FA4"/>
    <w:rsid w:val="000A1D7C"/>
    <w:rsid w:val="000A2793"/>
    <w:rsid w:val="000A37AE"/>
    <w:rsid w:val="000A4F17"/>
    <w:rsid w:val="000A7772"/>
    <w:rsid w:val="000B18F1"/>
    <w:rsid w:val="000B1972"/>
    <w:rsid w:val="000B6618"/>
    <w:rsid w:val="000C16A4"/>
    <w:rsid w:val="000C3826"/>
    <w:rsid w:val="000C38A0"/>
    <w:rsid w:val="000C4542"/>
    <w:rsid w:val="000C5C85"/>
    <w:rsid w:val="000D015B"/>
    <w:rsid w:val="000D2BEE"/>
    <w:rsid w:val="000D4C67"/>
    <w:rsid w:val="000D6705"/>
    <w:rsid w:val="000D73A6"/>
    <w:rsid w:val="000E13F1"/>
    <w:rsid w:val="000E186C"/>
    <w:rsid w:val="000E340B"/>
    <w:rsid w:val="000F21AD"/>
    <w:rsid w:val="000F4AC8"/>
    <w:rsid w:val="000F597F"/>
    <w:rsid w:val="00100AE5"/>
    <w:rsid w:val="00101305"/>
    <w:rsid w:val="00102366"/>
    <w:rsid w:val="00103F1B"/>
    <w:rsid w:val="00106E04"/>
    <w:rsid w:val="0011385D"/>
    <w:rsid w:val="001175BA"/>
    <w:rsid w:val="00121252"/>
    <w:rsid w:val="001234B5"/>
    <w:rsid w:val="00124D67"/>
    <w:rsid w:val="00131F76"/>
    <w:rsid w:val="0013300D"/>
    <w:rsid w:val="00136ABB"/>
    <w:rsid w:val="001471D3"/>
    <w:rsid w:val="00157433"/>
    <w:rsid w:val="00160408"/>
    <w:rsid w:val="001612FD"/>
    <w:rsid w:val="00161359"/>
    <w:rsid w:val="00164701"/>
    <w:rsid w:val="00167846"/>
    <w:rsid w:val="0017085B"/>
    <w:rsid w:val="00170B3C"/>
    <w:rsid w:val="00172A45"/>
    <w:rsid w:val="001743F2"/>
    <w:rsid w:val="00175D3C"/>
    <w:rsid w:val="00175E4A"/>
    <w:rsid w:val="00177CCE"/>
    <w:rsid w:val="00180499"/>
    <w:rsid w:val="00185183"/>
    <w:rsid w:val="00186C36"/>
    <w:rsid w:val="00191414"/>
    <w:rsid w:val="00194BC7"/>
    <w:rsid w:val="001A3028"/>
    <w:rsid w:val="001A459A"/>
    <w:rsid w:val="001A76FF"/>
    <w:rsid w:val="001A7A1F"/>
    <w:rsid w:val="001B0A4F"/>
    <w:rsid w:val="001B230E"/>
    <w:rsid w:val="001B2A85"/>
    <w:rsid w:val="001C6078"/>
    <w:rsid w:val="001C7640"/>
    <w:rsid w:val="001D27B9"/>
    <w:rsid w:val="001E2375"/>
    <w:rsid w:val="001E413C"/>
    <w:rsid w:val="001E4AF9"/>
    <w:rsid w:val="001F1384"/>
    <w:rsid w:val="001F3FC0"/>
    <w:rsid w:val="001F67E8"/>
    <w:rsid w:val="002003A3"/>
    <w:rsid w:val="00200A52"/>
    <w:rsid w:val="00201BEB"/>
    <w:rsid w:val="0021271E"/>
    <w:rsid w:val="00213E8C"/>
    <w:rsid w:val="002143E6"/>
    <w:rsid w:val="002161D7"/>
    <w:rsid w:val="002165C0"/>
    <w:rsid w:val="00216F52"/>
    <w:rsid w:val="0021769E"/>
    <w:rsid w:val="00220262"/>
    <w:rsid w:val="00220B4D"/>
    <w:rsid w:val="00221B5C"/>
    <w:rsid w:val="002239CA"/>
    <w:rsid w:val="00224586"/>
    <w:rsid w:val="002259DB"/>
    <w:rsid w:val="00234061"/>
    <w:rsid w:val="00241BDA"/>
    <w:rsid w:val="00242B3F"/>
    <w:rsid w:val="002502F2"/>
    <w:rsid w:val="00250ECD"/>
    <w:rsid w:val="0025B5CD"/>
    <w:rsid w:val="0026125D"/>
    <w:rsid w:val="00265983"/>
    <w:rsid w:val="00270407"/>
    <w:rsid w:val="002759C2"/>
    <w:rsid w:val="00276F73"/>
    <w:rsid w:val="00277839"/>
    <w:rsid w:val="002809B3"/>
    <w:rsid w:val="00281D8F"/>
    <w:rsid w:val="00282F4A"/>
    <w:rsid w:val="00285667"/>
    <w:rsid w:val="00286D86"/>
    <w:rsid w:val="00286F53"/>
    <w:rsid w:val="002928C2"/>
    <w:rsid w:val="00294CFB"/>
    <w:rsid w:val="00295BF9"/>
    <w:rsid w:val="002A6315"/>
    <w:rsid w:val="002A78EF"/>
    <w:rsid w:val="002B2347"/>
    <w:rsid w:val="002B283B"/>
    <w:rsid w:val="002B54A1"/>
    <w:rsid w:val="002B5980"/>
    <w:rsid w:val="002C165F"/>
    <w:rsid w:val="002C3A38"/>
    <w:rsid w:val="002C40F6"/>
    <w:rsid w:val="002C49DA"/>
    <w:rsid w:val="002C4E0F"/>
    <w:rsid w:val="002C5D82"/>
    <w:rsid w:val="002C6383"/>
    <w:rsid w:val="002C7142"/>
    <w:rsid w:val="002D0AE1"/>
    <w:rsid w:val="002D75A3"/>
    <w:rsid w:val="002E1C5B"/>
    <w:rsid w:val="002F14E4"/>
    <w:rsid w:val="002F41A1"/>
    <w:rsid w:val="002F5981"/>
    <w:rsid w:val="00304685"/>
    <w:rsid w:val="0030641F"/>
    <w:rsid w:val="003102B6"/>
    <w:rsid w:val="00310A8F"/>
    <w:rsid w:val="0031636F"/>
    <w:rsid w:val="00316B9E"/>
    <w:rsid w:val="003174DF"/>
    <w:rsid w:val="003300AF"/>
    <w:rsid w:val="00333D3C"/>
    <w:rsid w:val="0033795B"/>
    <w:rsid w:val="0034013D"/>
    <w:rsid w:val="00343C36"/>
    <w:rsid w:val="003551B8"/>
    <w:rsid w:val="00355D83"/>
    <w:rsid w:val="00361195"/>
    <w:rsid w:val="00364DCF"/>
    <w:rsid w:val="003677B5"/>
    <w:rsid w:val="00370E66"/>
    <w:rsid w:val="00376061"/>
    <w:rsid w:val="0037671E"/>
    <w:rsid w:val="00380D5A"/>
    <w:rsid w:val="00381E03"/>
    <w:rsid w:val="0038777B"/>
    <w:rsid w:val="00387FC5"/>
    <w:rsid w:val="0039101F"/>
    <w:rsid w:val="00391CEC"/>
    <w:rsid w:val="0039455B"/>
    <w:rsid w:val="00395AB5"/>
    <w:rsid w:val="003A09B1"/>
    <w:rsid w:val="003A1074"/>
    <w:rsid w:val="003A53C7"/>
    <w:rsid w:val="003B38FB"/>
    <w:rsid w:val="003B4029"/>
    <w:rsid w:val="003B6118"/>
    <w:rsid w:val="003B7308"/>
    <w:rsid w:val="003C320D"/>
    <w:rsid w:val="003C38EA"/>
    <w:rsid w:val="003C4858"/>
    <w:rsid w:val="003C7C44"/>
    <w:rsid w:val="003D1232"/>
    <w:rsid w:val="003D2E6E"/>
    <w:rsid w:val="003D32F0"/>
    <w:rsid w:val="003D457A"/>
    <w:rsid w:val="003D6FF2"/>
    <w:rsid w:val="003D7B1B"/>
    <w:rsid w:val="003E1FA8"/>
    <w:rsid w:val="003E30E6"/>
    <w:rsid w:val="003E3B71"/>
    <w:rsid w:val="003F29DB"/>
    <w:rsid w:val="003F31F5"/>
    <w:rsid w:val="003F484D"/>
    <w:rsid w:val="00403091"/>
    <w:rsid w:val="00403D28"/>
    <w:rsid w:val="00405454"/>
    <w:rsid w:val="00405EFC"/>
    <w:rsid w:val="00406BDE"/>
    <w:rsid w:val="00407FD0"/>
    <w:rsid w:val="00417683"/>
    <w:rsid w:val="004200D6"/>
    <w:rsid w:val="00420305"/>
    <w:rsid w:val="004203F4"/>
    <w:rsid w:val="004206D8"/>
    <w:rsid w:val="00421638"/>
    <w:rsid w:val="00423EC2"/>
    <w:rsid w:val="00424773"/>
    <w:rsid w:val="0043323A"/>
    <w:rsid w:val="00435743"/>
    <w:rsid w:val="00436968"/>
    <w:rsid w:val="00437EC9"/>
    <w:rsid w:val="0044026D"/>
    <w:rsid w:val="00442204"/>
    <w:rsid w:val="004439C5"/>
    <w:rsid w:val="00443D67"/>
    <w:rsid w:val="00444515"/>
    <w:rsid w:val="0045057A"/>
    <w:rsid w:val="00452181"/>
    <w:rsid w:val="00452E35"/>
    <w:rsid w:val="004534F1"/>
    <w:rsid w:val="004550F4"/>
    <w:rsid w:val="00455E2B"/>
    <w:rsid w:val="00457765"/>
    <w:rsid w:val="00460EC7"/>
    <w:rsid w:val="00461C8E"/>
    <w:rsid w:val="004625CC"/>
    <w:rsid w:val="00464330"/>
    <w:rsid w:val="0046551D"/>
    <w:rsid w:val="00465FC5"/>
    <w:rsid w:val="00471E68"/>
    <w:rsid w:val="00473378"/>
    <w:rsid w:val="0048053C"/>
    <w:rsid w:val="00481ECF"/>
    <w:rsid w:val="004844B4"/>
    <w:rsid w:val="004847B7"/>
    <w:rsid w:val="004873BF"/>
    <w:rsid w:val="00490D0C"/>
    <w:rsid w:val="00491B5F"/>
    <w:rsid w:val="004931C7"/>
    <w:rsid w:val="00495998"/>
    <w:rsid w:val="004A7517"/>
    <w:rsid w:val="004A7BDD"/>
    <w:rsid w:val="004B18D2"/>
    <w:rsid w:val="004B63F8"/>
    <w:rsid w:val="004D7848"/>
    <w:rsid w:val="004E3584"/>
    <w:rsid w:val="004E5B64"/>
    <w:rsid w:val="004F18A8"/>
    <w:rsid w:val="004F2187"/>
    <w:rsid w:val="004F293B"/>
    <w:rsid w:val="005026D8"/>
    <w:rsid w:val="00502B62"/>
    <w:rsid w:val="00502EBB"/>
    <w:rsid w:val="00503F41"/>
    <w:rsid w:val="0050791C"/>
    <w:rsid w:val="005102D1"/>
    <w:rsid w:val="00514A97"/>
    <w:rsid w:val="005168EB"/>
    <w:rsid w:val="00517755"/>
    <w:rsid w:val="00526D4E"/>
    <w:rsid w:val="005401A8"/>
    <w:rsid w:val="00551BFC"/>
    <w:rsid w:val="005525D4"/>
    <w:rsid w:val="005547EC"/>
    <w:rsid w:val="00554C8A"/>
    <w:rsid w:val="00556991"/>
    <w:rsid w:val="00557C1E"/>
    <w:rsid w:val="00561506"/>
    <w:rsid w:val="005617D1"/>
    <w:rsid w:val="00563DFD"/>
    <w:rsid w:val="00564710"/>
    <w:rsid w:val="005663A9"/>
    <w:rsid w:val="005667B9"/>
    <w:rsid w:val="005742E0"/>
    <w:rsid w:val="005753F2"/>
    <w:rsid w:val="00577E8C"/>
    <w:rsid w:val="0058451F"/>
    <w:rsid w:val="005852F0"/>
    <w:rsid w:val="005860C2"/>
    <w:rsid w:val="0058786D"/>
    <w:rsid w:val="00591B61"/>
    <w:rsid w:val="00597A89"/>
    <w:rsid w:val="005A06C2"/>
    <w:rsid w:val="005A5885"/>
    <w:rsid w:val="005A7938"/>
    <w:rsid w:val="005B0915"/>
    <w:rsid w:val="005B573A"/>
    <w:rsid w:val="005B73C8"/>
    <w:rsid w:val="005C2880"/>
    <w:rsid w:val="005C300F"/>
    <w:rsid w:val="005D0336"/>
    <w:rsid w:val="005D2073"/>
    <w:rsid w:val="005D5305"/>
    <w:rsid w:val="005E5BAC"/>
    <w:rsid w:val="005F4DDF"/>
    <w:rsid w:val="005F5170"/>
    <w:rsid w:val="005F6B50"/>
    <w:rsid w:val="00602447"/>
    <w:rsid w:val="00605FAE"/>
    <w:rsid w:val="00613A4C"/>
    <w:rsid w:val="00614A0C"/>
    <w:rsid w:val="00615E0E"/>
    <w:rsid w:val="0061705E"/>
    <w:rsid w:val="00620D25"/>
    <w:rsid w:val="00623E33"/>
    <w:rsid w:val="00626999"/>
    <w:rsid w:val="00630BB3"/>
    <w:rsid w:val="00635055"/>
    <w:rsid w:val="00636D9A"/>
    <w:rsid w:val="006377B7"/>
    <w:rsid w:val="00645176"/>
    <w:rsid w:val="00646850"/>
    <w:rsid w:val="00647A59"/>
    <w:rsid w:val="0065090C"/>
    <w:rsid w:val="00651987"/>
    <w:rsid w:val="00662788"/>
    <w:rsid w:val="00665803"/>
    <w:rsid w:val="006668A6"/>
    <w:rsid w:val="00667168"/>
    <w:rsid w:val="00675E8B"/>
    <w:rsid w:val="00677908"/>
    <w:rsid w:val="00677A8C"/>
    <w:rsid w:val="00681005"/>
    <w:rsid w:val="00683B60"/>
    <w:rsid w:val="00684218"/>
    <w:rsid w:val="006862B1"/>
    <w:rsid w:val="006913A9"/>
    <w:rsid w:val="00692B77"/>
    <w:rsid w:val="0069491C"/>
    <w:rsid w:val="006A1448"/>
    <w:rsid w:val="006A1B2D"/>
    <w:rsid w:val="006A24B7"/>
    <w:rsid w:val="006B54EF"/>
    <w:rsid w:val="006B705A"/>
    <w:rsid w:val="006C66F8"/>
    <w:rsid w:val="006C7C9E"/>
    <w:rsid w:val="006D0CE0"/>
    <w:rsid w:val="006D2877"/>
    <w:rsid w:val="006D39A3"/>
    <w:rsid w:val="006D784A"/>
    <w:rsid w:val="006E2E28"/>
    <w:rsid w:val="006E49DB"/>
    <w:rsid w:val="006F1614"/>
    <w:rsid w:val="006F63BB"/>
    <w:rsid w:val="006F7CE7"/>
    <w:rsid w:val="00701FFF"/>
    <w:rsid w:val="00705179"/>
    <w:rsid w:val="00715940"/>
    <w:rsid w:val="007172E3"/>
    <w:rsid w:val="0072292D"/>
    <w:rsid w:val="00722B81"/>
    <w:rsid w:val="007307AF"/>
    <w:rsid w:val="00734CDB"/>
    <w:rsid w:val="00737C67"/>
    <w:rsid w:val="00745103"/>
    <w:rsid w:val="007458C6"/>
    <w:rsid w:val="00750F0C"/>
    <w:rsid w:val="007523CC"/>
    <w:rsid w:val="0075595A"/>
    <w:rsid w:val="007606E1"/>
    <w:rsid w:val="007658C7"/>
    <w:rsid w:val="00766F4A"/>
    <w:rsid w:val="00770F40"/>
    <w:rsid w:val="007726E0"/>
    <w:rsid w:val="0077459C"/>
    <w:rsid w:val="00777A67"/>
    <w:rsid w:val="00782B6F"/>
    <w:rsid w:val="0078562C"/>
    <w:rsid w:val="00792579"/>
    <w:rsid w:val="00796466"/>
    <w:rsid w:val="00796C58"/>
    <w:rsid w:val="00796CF0"/>
    <w:rsid w:val="007A1ACD"/>
    <w:rsid w:val="007A37F7"/>
    <w:rsid w:val="007A5403"/>
    <w:rsid w:val="007A59A7"/>
    <w:rsid w:val="007B0838"/>
    <w:rsid w:val="007B2997"/>
    <w:rsid w:val="007B433B"/>
    <w:rsid w:val="007B6267"/>
    <w:rsid w:val="007B6588"/>
    <w:rsid w:val="007C0E6E"/>
    <w:rsid w:val="007C0F7C"/>
    <w:rsid w:val="007C219F"/>
    <w:rsid w:val="007C370B"/>
    <w:rsid w:val="007C627A"/>
    <w:rsid w:val="007D06FD"/>
    <w:rsid w:val="007D3DCD"/>
    <w:rsid w:val="007D6152"/>
    <w:rsid w:val="007E1027"/>
    <w:rsid w:val="007E2626"/>
    <w:rsid w:val="007E348B"/>
    <w:rsid w:val="007E4EBD"/>
    <w:rsid w:val="007F2D03"/>
    <w:rsid w:val="007F5C5E"/>
    <w:rsid w:val="007F676C"/>
    <w:rsid w:val="007F7D34"/>
    <w:rsid w:val="00801C1A"/>
    <w:rsid w:val="0080442C"/>
    <w:rsid w:val="00805913"/>
    <w:rsid w:val="0081459F"/>
    <w:rsid w:val="0081724A"/>
    <w:rsid w:val="008246B5"/>
    <w:rsid w:val="00825EFE"/>
    <w:rsid w:val="008318C6"/>
    <w:rsid w:val="008331F6"/>
    <w:rsid w:val="008339AA"/>
    <w:rsid w:val="00834075"/>
    <w:rsid w:val="00842C1A"/>
    <w:rsid w:val="00843DF6"/>
    <w:rsid w:val="0084480E"/>
    <w:rsid w:val="008459A5"/>
    <w:rsid w:val="00847188"/>
    <w:rsid w:val="00850FAC"/>
    <w:rsid w:val="00855979"/>
    <w:rsid w:val="00857D7B"/>
    <w:rsid w:val="00861A92"/>
    <w:rsid w:val="00865206"/>
    <w:rsid w:val="00867765"/>
    <w:rsid w:val="00867B43"/>
    <w:rsid w:val="00867D26"/>
    <w:rsid w:val="00871849"/>
    <w:rsid w:val="00875988"/>
    <w:rsid w:val="008763FF"/>
    <w:rsid w:val="00884D3E"/>
    <w:rsid w:val="00885DD6"/>
    <w:rsid w:val="008873F3"/>
    <w:rsid w:val="0089357E"/>
    <w:rsid w:val="008A4559"/>
    <w:rsid w:val="008A512B"/>
    <w:rsid w:val="008B28B9"/>
    <w:rsid w:val="008B3020"/>
    <w:rsid w:val="008B30D7"/>
    <w:rsid w:val="008B588C"/>
    <w:rsid w:val="008B5FA5"/>
    <w:rsid w:val="008C06F5"/>
    <w:rsid w:val="008C4F26"/>
    <w:rsid w:val="008D15DD"/>
    <w:rsid w:val="008D2646"/>
    <w:rsid w:val="008D4542"/>
    <w:rsid w:val="008D4D27"/>
    <w:rsid w:val="008D7930"/>
    <w:rsid w:val="008D7B88"/>
    <w:rsid w:val="008E0A16"/>
    <w:rsid w:val="008E4036"/>
    <w:rsid w:val="008E5E98"/>
    <w:rsid w:val="008F14DA"/>
    <w:rsid w:val="008F21F0"/>
    <w:rsid w:val="009040FA"/>
    <w:rsid w:val="00905C95"/>
    <w:rsid w:val="00911C52"/>
    <w:rsid w:val="0091347C"/>
    <w:rsid w:val="00915A9B"/>
    <w:rsid w:val="00915CA2"/>
    <w:rsid w:val="009170EA"/>
    <w:rsid w:val="00920525"/>
    <w:rsid w:val="009210FC"/>
    <w:rsid w:val="009215E4"/>
    <w:rsid w:val="0092278F"/>
    <w:rsid w:val="00924258"/>
    <w:rsid w:val="00924B0F"/>
    <w:rsid w:val="00927799"/>
    <w:rsid w:val="00927BD7"/>
    <w:rsid w:val="009330C7"/>
    <w:rsid w:val="00933268"/>
    <w:rsid w:val="00933388"/>
    <w:rsid w:val="00935E76"/>
    <w:rsid w:val="00943823"/>
    <w:rsid w:val="00945CD1"/>
    <w:rsid w:val="009624C1"/>
    <w:rsid w:val="00963470"/>
    <w:rsid w:val="009654B6"/>
    <w:rsid w:val="00966303"/>
    <w:rsid w:val="00967F39"/>
    <w:rsid w:val="00973D5B"/>
    <w:rsid w:val="0097671E"/>
    <w:rsid w:val="00981F53"/>
    <w:rsid w:val="009828E2"/>
    <w:rsid w:val="00983356"/>
    <w:rsid w:val="009835DA"/>
    <w:rsid w:val="00985181"/>
    <w:rsid w:val="00985D51"/>
    <w:rsid w:val="009867FE"/>
    <w:rsid w:val="0099272F"/>
    <w:rsid w:val="009933DB"/>
    <w:rsid w:val="0099516B"/>
    <w:rsid w:val="00996315"/>
    <w:rsid w:val="00996ABF"/>
    <w:rsid w:val="009A1C54"/>
    <w:rsid w:val="009A3C2C"/>
    <w:rsid w:val="009A4D44"/>
    <w:rsid w:val="009A4F28"/>
    <w:rsid w:val="009A63B7"/>
    <w:rsid w:val="009B1614"/>
    <w:rsid w:val="009B38F3"/>
    <w:rsid w:val="009B4EF8"/>
    <w:rsid w:val="009B5E55"/>
    <w:rsid w:val="009C0103"/>
    <w:rsid w:val="009C054B"/>
    <w:rsid w:val="009C1957"/>
    <w:rsid w:val="009C1A6D"/>
    <w:rsid w:val="009C48EA"/>
    <w:rsid w:val="009C6F52"/>
    <w:rsid w:val="009C71DF"/>
    <w:rsid w:val="009D439C"/>
    <w:rsid w:val="009D7043"/>
    <w:rsid w:val="009E141F"/>
    <w:rsid w:val="009F0C2E"/>
    <w:rsid w:val="009F1593"/>
    <w:rsid w:val="009F4289"/>
    <w:rsid w:val="009F533A"/>
    <w:rsid w:val="009F5F0B"/>
    <w:rsid w:val="009F725A"/>
    <w:rsid w:val="009F767B"/>
    <w:rsid w:val="00A00454"/>
    <w:rsid w:val="00A01436"/>
    <w:rsid w:val="00A01CF9"/>
    <w:rsid w:val="00A03910"/>
    <w:rsid w:val="00A071DB"/>
    <w:rsid w:val="00A167BE"/>
    <w:rsid w:val="00A2093B"/>
    <w:rsid w:val="00A23A7C"/>
    <w:rsid w:val="00A23D38"/>
    <w:rsid w:val="00A26B4A"/>
    <w:rsid w:val="00A34152"/>
    <w:rsid w:val="00A36C3E"/>
    <w:rsid w:val="00A42F25"/>
    <w:rsid w:val="00A436BC"/>
    <w:rsid w:val="00A45C8F"/>
    <w:rsid w:val="00A47E4B"/>
    <w:rsid w:val="00A5227A"/>
    <w:rsid w:val="00A553D5"/>
    <w:rsid w:val="00A55B25"/>
    <w:rsid w:val="00A5640B"/>
    <w:rsid w:val="00A6027A"/>
    <w:rsid w:val="00A63909"/>
    <w:rsid w:val="00A64AEE"/>
    <w:rsid w:val="00A65A56"/>
    <w:rsid w:val="00A67695"/>
    <w:rsid w:val="00A67CD3"/>
    <w:rsid w:val="00A71006"/>
    <w:rsid w:val="00A7518F"/>
    <w:rsid w:val="00A7591F"/>
    <w:rsid w:val="00A8138B"/>
    <w:rsid w:val="00A82BF9"/>
    <w:rsid w:val="00A87CE8"/>
    <w:rsid w:val="00A95EEA"/>
    <w:rsid w:val="00AA2C29"/>
    <w:rsid w:val="00AA57FB"/>
    <w:rsid w:val="00AA584A"/>
    <w:rsid w:val="00AA642D"/>
    <w:rsid w:val="00AA6E97"/>
    <w:rsid w:val="00AA756E"/>
    <w:rsid w:val="00AA7CAA"/>
    <w:rsid w:val="00AB0648"/>
    <w:rsid w:val="00AB181B"/>
    <w:rsid w:val="00AB20AF"/>
    <w:rsid w:val="00AB50D4"/>
    <w:rsid w:val="00AB764C"/>
    <w:rsid w:val="00AC1FF9"/>
    <w:rsid w:val="00AC2CDC"/>
    <w:rsid w:val="00AC4B2E"/>
    <w:rsid w:val="00AC7EA2"/>
    <w:rsid w:val="00AD0128"/>
    <w:rsid w:val="00AD19C6"/>
    <w:rsid w:val="00AD50DE"/>
    <w:rsid w:val="00AD629A"/>
    <w:rsid w:val="00AE00DD"/>
    <w:rsid w:val="00AE0216"/>
    <w:rsid w:val="00AE3AD7"/>
    <w:rsid w:val="00AE44EF"/>
    <w:rsid w:val="00AF19A0"/>
    <w:rsid w:val="00AF2BC9"/>
    <w:rsid w:val="00AF510B"/>
    <w:rsid w:val="00AF5FDF"/>
    <w:rsid w:val="00AF63EA"/>
    <w:rsid w:val="00AF720D"/>
    <w:rsid w:val="00B03A95"/>
    <w:rsid w:val="00B042E8"/>
    <w:rsid w:val="00B055E8"/>
    <w:rsid w:val="00B07A64"/>
    <w:rsid w:val="00B11C47"/>
    <w:rsid w:val="00B12632"/>
    <w:rsid w:val="00B16DE2"/>
    <w:rsid w:val="00B20423"/>
    <w:rsid w:val="00B21AC2"/>
    <w:rsid w:val="00B22929"/>
    <w:rsid w:val="00B22CF2"/>
    <w:rsid w:val="00B233EE"/>
    <w:rsid w:val="00B25AE1"/>
    <w:rsid w:val="00B27BD5"/>
    <w:rsid w:val="00B31544"/>
    <w:rsid w:val="00B321B4"/>
    <w:rsid w:val="00B342DB"/>
    <w:rsid w:val="00B40198"/>
    <w:rsid w:val="00B407C4"/>
    <w:rsid w:val="00B40CD5"/>
    <w:rsid w:val="00B41885"/>
    <w:rsid w:val="00B41E0A"/>
    <w:rsid w:val="00B4341E"/>
    <w:rsid w:val="00B4602A"/>
    <w:rsid w:val="00B62137"/>
    <w:rsid w:val="00B65174"/>
    <w:rsid w:val="00B6526A"/>
    <w:rsid w:val="00B65890"/>
    <w:rsid w:val="00B66CA0"/>
    <w:rsid w:val="00B67E2D"/>
    <w:rsid w:val="00B7045E"/>
    <w:rsid w:val="00B70EE6"/>
    <w:rsid w:val="00B71FBC"/>
    <w:rsid w:val="00B72179"/>
    <w:rsid w:val="00B73C9C"/>
    <w:rsid w:val="00B779F6"/>
    <w:rsid w:val="00B807AB"/>
    <w:rsid w:val="00B81EEA"/>
    <w:rsid w:val="00B8397F"/>
    <w:rsid w:val="00B91C58"/>
    <w:rsid w:val="00B957CC"/>
    <w:rsid w:val="00BA331E"/>
    <w:rsid w:val="00BA606A"/>
    <w:rsid w:val="00BA7AD2"/>
    <w:rsid w:val="00BB19F4"/>
    <w:rsid w:val="00BB29F2"/>
    <w:rsid w:val="00BB3C93"/>
    <w:rsid w:val="00BB3DFA"/>
    <w:rsid w:val="00BB680F"/>
    <w:rsid w:val="00BB70AA"/>
    <w:rsid w:val="00BB775B"/>
    <w:rsid w:val="00BC1728"/>
    <w:rsid w:val="00BC2FBD"/>
    <w:rsid w:val="00BD28BC"/>
    <w:rsid w:val="00BE383E"/>
    <w:rsid w:val="00C0493B"/>
    <w:rsid w:val="00C11BB6"/>
    <w:rsid w:val="00C11C2D"/>
    <w:rsid w:val="00C1225A"/>
    <w:rsid w:val="00C1327E"/>
    <w:rsid w:val="00C1728A"/>
    <w:rsid w:val="00C22F54"/>
    <w:rsid w:val="00C245FE"/>
    <w:rsid w:val="00C30198"/>
    <w:rsid w:val="00C34059"/>
    <w:rsid w:val="00C37446"/>
    <w:rsid w:val="00C4454D"/>
    <w:rsid w:val="00C47821"/>
    <w:rsid w:val="00C63C99"/>
    <w:rsid w:val="00C73135"/>
    <w:rsid w:val="00C75275"/>
    <w:rsid w:val="00C76C32"/>
    <w:rsid w:val="00C7752E"/>
    <w:rsid w:val="00C77739"/>
    <w:rsid w:val="00C8370A"/>
    <w:rsid w:val="00C845CA"/>
    <w:rsid w:val="00C87EF7"/>
    <w:rsid w:val="00C912AB"/>
    <w:rsid w:val="00C930D4"/>
    <w:rsid w:val="00C9365F"/>
    <w:rsid w:val="00C951E5"/>
    <w:rsid w:val="00C95B93"/>
    <w:rsid w:val="00C95FA3"/>
    <w:rsid w:val="00C9620A"/>
    <w:rsid w:val="00C964CE"/>
    <w:rsid w:val="00CA2CFD"/>
    <w:rsid w:val="00CA557E"/>
    <w:rsid w:val="00CA7394"/>
    <w:rsid w:val="00CB0230"/>
    <w:rsid w:val="00CB1F8A"/>
    <w:rsid w:val="00CB38B5"/>
    <w:rsid w:val="00CB5C54"/>
    <w:rsid w:val="00CB5DFF"/>
    <w:rsid w:val="00CB6898"/>
    <w:rsid w:val="00CC129D"/>
    <w:rsid w:val="00CC40E1"/>
    <w:rsid w:val="00CC423F"/>
    <w:rsid w:val="00CC5E9D"/>
    <w:rsid w:val="00CD2051"/>
    <w:rsid w:val="00CD566A"/>
    <w:rsid w:val="00CD69C1"/>
    <w:rsid w:val="00CD7201"/>
    <w:rsid w:val="00CD7C20"/>
    <w:rsid w:val="00CE4CA9"/>
    <w:rsid w:val="00CE5191"/>
    <w:rsid w:val="00CE644C"/>
    <w:rsid w:val="00CE6E93"/>
    <w:rsid w:val="00CE7129"/>
    <w:rsid w:val="00CE7336"/>
    <w:rsid w:val="00CF0ED4"/>
    <w:rsid w:val="00CF272D"/>
    <w:rsid w:val="00CF480E"/>
    <w:rsid w:val="00CF4F76"/>
    <w:rsid w:val="00CF5859"/>
    <w:rsid w:val="00D003AF"/>
    <w:rsid w:val="00D00E55"/>
    <w:rsid w:val="00D01147"/>
    <w:rsid w:val="00D04D05"/>
    <w:rsid w:val="00D0596E"/>
    <w:rsid w:val="00D12F10"/>
    <w:rsid w:val="00D132B3"/>
    <w:rsid w:val="00D143CD"/>
    <w:rsid w:val="00D14994"/>
    <w:rsid w:val="00D15798"/>
    <w:rsid w:val="00D16237"/>
    <w:rsid w:val="00D176E6"/>
    <w:rsid w:val="00D17A18"/>
    <w:rsid w:val="00D17E6F"/>
    <w:rsid w:val="00D202B1"/>
    <w:rsid w:val="00D242D8"/>
    <w:rsid w:val="00D334C9"/>
    <w:rsid w:val="00D36050"/>
    <w:rsid w:val="00D3683A"/>
    <w:rsid w:val="00D3796D"/>
    <w:rsid w:val="00D44D62"/>
    <w:rsid w:val="00D46190"/>
    <w:rsid w:val="00D4671F"/>
    <w:rsid w:val="00D517F8"/>
    <w:rsid w:val="00D52E6E"/>
    <w:rsid w:val="00D52F13"/>
    <w:rsid w:val="00D54DA9"/>
    <w:rsid w:val="00D56B09"/>
    <w:rsid w:val="00D56F1E"/>
    <w:rsid w:val="00D57DD9"/>
    <w:rsid w:val="00D61804"/>
    <w:rsid w:val="00D720B5"/>
    <w:rsid w:val="00D77AFD"/>
    <w:rsid w:val="00D800CD"/>
    <w:rsid w:val="00D80351"/>
    <w:rsid w:val="00D87285"/>
    <w:rsid w:val="00D95DB4"/>
    <w:rsid w:val="00D96C72"/>
    <w:rsid w:val="00DA24B8"/>
    <w:rsid w:val="00DA594B"/>
    <w:rsid w:val="00DA59D1"/>
    <w:rsid w:val="00DB175E"/>
    <w:rsid w:val="00DB4B05"/>
    <w:rsid w:val="00DB5899"/>
    <w:rsid w:val="00DB58E9"/>
    <w:rsid w:val="00DC06DE"/>
    <w:rsid w:val="00DC22CD"/>
    <w:rsid w:val="00DC6CC1"/>
    <w:rsid w:val="00DC7FE1"/>
    <w:rsid w:val="00DD018A"/>
    <w:rsid w:val="00DD060A"/>
    <w:rsid w:val="00DD2F40"/>
    <w:rsid w:val="00DD3A44"/>
    <w:rsid w:val="00DD6751"/>
    <w:rsid w:val="00DE0D7C"/>
    <w:rsid w:val="00DE199F"/>
    <w:rsid w:val="00DE2B40"/>
    <w:rsid w:val="00DE4443"/>
    <w:rsid w:val="00DE4CBA"/>
    <w:rsid w:val="00DE6DEC"/>
    <w:rsid w:val="00DF2480"/>
    <w:rsid w:val="00DF4F47"/>
    <w:rsid w:val="00DF59AC"/>
    <w:rsid w:val="00DF6F4A"/>
    <w:rsid w:val="00DF77B4"/>
    <w:rsid w:val="00E0381D"/>
    <w:rsid w:val="00E10120"/>
    <w:rsid w:val="00E11222"/>
    <w:rsid w:val="00E11C89"/>
    <w:rsid w:val="00E13203"/>
    <w:rsid w:val="00E1386E"/>
    <w:rsid w:val="00E14A15"/>
    <w:rsid w:val="00E20AAD"/>
    <w:rsid w:val="00E20E28"/>
    <w:rsid w:val="00E21D84"/>
    <w:rsid w:val="00E2366B"/>
    <w:rsid w:val="00E308DE"/>
    <w:rsid w:val="00E3253C"/>
    <w:rsid w:val="00E333D1"/>
    <w:rsid w:val="00E33AC3"/>
    <w:rsid w:val="00E3698B"/>
    <w:rsid w:val="00E37C5F"/>
    <w:rsid w:val="00E41802"/>
    <w:rsid w:val="00E42592"/>
    <w:rsid w:val="00E426DB"/>
    <w:rsid w:val="00E4435F"/>
    <w:rsid w:val="00E45B77"/>
    <w:rsid w:val="00E57C9D"/>
    <w:rsid w:val="00E57DAE"/>
    <w:rsid w:val="00E57F94"/>
    <w:rsid w:val="00E6157F"/>
    <w:rsid w:val="00E622F7"/>
    <w:rsid w:val="00E62C69"/>
    <w:rsid w:val="00E6391A"/>
    <w:rsid w:val="00E6451F"/>
    <w:rsid w:val="00E656FD"/>
    <w:rsid w:val="00E72200"/>
    <w:rsid w:val="00E81695"/>
    <w:rsid w:val="00E85704"/>
    <w:rsid w:val="00E85A26"/>
    <w:rsid w:val="00E8624E"/>
    <w:rsid w:val="00E929C9"/>
    <w:rsid w:val="00E95E10"/>
    <w:rsid w:val="00E97847"/>
    <w:rsid w:val="00EA2655"/>
    <w:rsid w:val="00EA3822"/>
    <w:rsid w:val="00EA3C88"/>
    <w:rsid w:val="00EA7181"/>
    <w:rsid w:val="00EB093C"/>
    <w:rsid w:val="00EB1B21"/>
    <w:rsid w:val="00EB3620"/>
    <w:rsid w:val="00EB3A91"/>
    <w:rsid w:val="00EB3CC8"/>
    <w:rsid w:val="00EB4DA6"/>
    <w:rsid w:val="00EB597F"/>
    <w:rsid w:val="00EB67C7"/>
    <w:rsid w:val="00EB74A2"/>
    <w:rsid w:val="00EB77CF"/>
    <w:rsid w:val="00EC135B"/>
    <w:rsid w:val="00EC190F"/>
    <w:rsid w:val="00EC3BAF"/>
    <w:rsid w:val="00EC5FF9"/>
    <w:rsid w:val="00ED20A3"/>
    <w:rsid w:val="00EE6A4D"/>
    <w:rsid w:val="00EF005A"/>
    <w:rsid w:val="00EF0BDB"/>
    <w:rsid w:val="00EF373C"/>
    <w:rsid w:val="00EF5DBE"/>
    <w:rsid w:val="00EF721F"/>
    <w:rsid w:val="00F002EF"/>
    <w:rsid w:val="00F102F4"/>
    <w:rsid w:val="00F136D1"/>
    <w:rsid w:val="00F14C66"/>
    <w:rsid w:val="00F173B8"/>
    <w:rsid w:val="00F17892"/>
    <w:rsid w:val="00F2480C"/>
    <w:rsid w:val="00F26426"/>
    <w:rsid w:val="00F27C42"/>
    <w:rsid w:val="00F3158E"/>
    <w:rsid w:val="00F32417"/>
    <w:rsid w:val="00F359A6"/>
    <w:rsid w:val="00F3696E"/>
    <w:rsid w:val="00F37219"/>
    <w:rsid w:val="00F42E6A"/>
    <w:rsid w:val="00F44FE6"/>
    <w:rsid w:val="00F458AA"/>
    <w:rsid w:val="00F468B9"/>
    <w:rsid w:val="00F5180D"/>
    <w:rsid w:val="00F51D0F"/>
    <w:rsid w:val="00F52487"/>
    <w:rsid w:val="00F54E9E"/>
    <w:rsid w:val="00F5534E"/>
    <w:rsid w:val="00F64EAB"/>
    <w:rsid w:val="00F65465"/>
    <w:rsid w:val="00F65B34"/>
    <w:rsid w:val="00F73B78"/>
    <w:rsid w:val="00F7415C"/>
    <w:rsid w:val="00F755CD"/>
    <w:rsid w:val="00F817F1"/>
    <w:rsid w:val="00F820E1"/>
    <w:rsid w:val="00F84704"/>
    <w:rsid w:val="00F9719C"/>
    <w:rsid w:val="00F97AAA"/>
    <w:rsid w:val="00FA1137"/>
    <w:rsid w:val="00FA7D3D"/>
    <w:rsid w:val="00FB0619"/>
    <w:rsid w:val="00FB3AE9"/>
    <w:rsid w:val="00FB5D5B"/>
    <w:rsid w:val="00FC11CE"/>
    <w:rsid w:val="00FC18AB"/>
    <w:rsid w:val="00FC4524"/>
    <w:rsid w:val="00FC4BC7"/>
    <w:rsid w:val="00FC5716"/>
    <w:rsid w:val="00FC5DB2"/>
    <w:rsid w:val="00FD1CE1"/>
    <w:rsid w:val="00FD2325"/>
    <w:rsid w:val="00FD31BF"/>
    <w:rsid w:val="00FD4039"/>
    <w:rsid w:val="00FD4829"/>
    <w:rsid w:val="00FE0F69"/>
    <w:rsid w:val="00FE236B"/>
    <w:rsid w:val="00FE53DA"/>
    <w:rsid w:val="00FE6239"/>
    <w:rsid w:val="00FF32BD"/>
    <w:rsid w:val="00FF5CA4"/>
    <w:rsid w:val="00FF5D36"/>
    <w:rsid w:val="00FF6D86"/>
    <w:rsid w:val="00FF7F03"/>
    <w:rsid w:val="0101EC4D"/>
    <w:rsid w:val="01B5061C"/>
    <w:rsid w:val="04B85BA0"/>
    <w:rsid w:val="05310655"/>
    <w:rsid w:val="05DD4AF6"/>
    <w:rsid w:val="06867F01"/>
    <w:rsid w:val="070ADD39"/>
    <w:rsid w:val="074CA180"/>
    <w:rsid w:val="0A1A5420"/>
    <w:rsid w:val="0B92DBF2"/>
    <w:rsid w:val="0C4AE143"/>
    <w:rsid w:val="0D1BBCFD"/>
    <w:rsid w:val="0D333827"/>
    <w:rsid w:val="0DEF397A"/>
    <w:rsid w:val="0F0A9D1A"/>
    <w:rsid w:val="1038656F"/>
    <w:rsid w:val="12AF58CD"/>
    <w:rsid w:val="12B657FD"/>
    <w:rsid w:val="146ABA57"/>
    <w:rsid w:val="14E71295"/>
    <w:rsid w:val="15537760"/>
    <w:rsid w:val="16C1D5BB"/>
    <w:rsid w:val="198E1DAE"/>
    <w:rsid w:val="1A0A5C8A"/>
    <w:rsid w:val="1A89D037"/>
    <w:rsid w:val="1BCC1B42"/>
    <w:rsid w:val="1D149B23"/>
    <w:rsid w:val="1E3862E0"/>
    <w:rsid w:val="1F9E9F03"/>
    <w:rsid w:val="210E2057"/>
    <w:rsid w:val="2247D119"/>
    <w:rsid w:val="22B8C96B"/>
    <w:rsid w:val="2377CBD4"/>
    <w:rsid w:val="24295A5F"/>
    <w:rsid w:val="247B423C"/>
    <w:rsid w:val="24D296BD"/>
    <w:rsid w:val="257C15D9"/>
    <w:rsid w:val="257F71DB"/>
    <w:rsid w:val="25910A01"/>
    <w:rsid w:val="26E42D20"/>
    <w:rsid w:val="2A1BCDE2"/>
    <w:rsid w:val="2AC96AF6"/>
    <w:rsid w:val="2C756642"/>
    <w:rsid w:val="2C786619"/>
    <w:rsid w:val="2EAA2032"/>
    <w:rsid w:val="2ED616A8"/>
    <w:rsid w:val="2FD01E73"/>
    <w:rsid w:val="30CB80AC"/>
    <w:rsid w:val="3156F064"/>
    <w:rsid w:val="31EDF158"/>
    <w:rsid w:val="3226DFC7"/>
    <w:rsid w:val="3244F704"/>
    <w:rsid w:val="325CB321"/>
    <w:rsid w:val="32D6DABB"/>
    <w:rsid w:val="3317B7DC"/>
    <w:rsid w:val="33CCA081"/>
    <w:rsid w:val="35FD6D16"/>
    <w:rsid w:val="362C683C"/>
    <w:rsid w:val="37467E53"/>
    <w:rsid w:val="37912381"/>
    <w:rsid w:val="38A5C038"/>
    <w:rsid w:val="4098D21A"/>
    <w:rsid w:val="40A87571"/>
    <w:rsid w:val="417FF4A8"/>
    <w:rsid w:val="4194F623"/>
    <w:rsid w:val="42E1D34F"/>
    <w:rsid w:val="4458FB10"/>
    <w:rsid w:val="46151DF4"/>
    <w:rsid w:val="4BD53263"/>
    <w:rsid w:val="4BE9F928"/>
    <w:rsid w:val="4C05727B"/>
    <w:rsid w:val="4C678D72"/>
    <w:rsid w:val="4E5EF962"/>
    <w:rsid w:val="5115075D"/>
    <w:rsid w:val="51CB58A0"/>
    <w:rsid w:val="51D13636"/>
    <w:rsid w:val="51E6B2F4"/>
    <w:rsid w:val="52B98EA4"/>
    <w:rsid w:val="55D67454"/>
    <w:rsid w:val="5628457D"/>
    <w:rsid w:val="59FE9F56"/>
    <w:rsid w:val="5B2BB3F9"/>
    <w:rsid w:val="5B40C15C"/>
    <w:rsid w:val="5BB057ED"/>
    <w:rsid w:val="5CB64983"/>
    <w:rsid w:val="5E34BA2B"/>
    <w:rsid w:val="5E807927"/>
    <w:rsid w:val="5E9D69C7"/>
    <w:rsid w:val="5F1675FB"/>
    <w:rsid w:val="5F53BDAF"/>
    <w:rsid w:val="60619DCF"/>
    <w:rsid w:val="61207D09"/>
    <w:rsid w:val="617C57FB"/>
    <w:rsid w:val="6196DA83"/>
    <w:rsid w:val="61C59173"/>
    <w:rsid w:val="63493A3D"/>
    <w:rsid w:val="63B8C731"/>
    <w:rsid w:val="648C0BB9"/>
    <w:rsid w:val="65D9748C"/>
    <w:rsid w:val="66267B54"/>
    <w:rsid w:val="670B561D"/>
    <w:rsid w:val="68548AC5"/>
    <w:rsid w:val="68AE7B4A"/>
    <w:rsid w:val="68F3AF89"/>
    <w:rsid w:val="6ACD866D"/>
    <w:rsid w:val="6BD812E2"/>
    <w:rsid w:val="6D087A97"/>
    <w:rsid w:val="6D20917D"/>
    <w:rsid w:val="6E05C86C"/>
    <w:rsid w:val="6E7C6666"/>
    <w:rsid w:val="70E3EBF2"/>
    <w:rsid w:val="71748770"/>
    <w:rsid w:val="71EF9034"/>
    <w:rsid w:val="731057D1"/>
    <w:rsid w:val="74236944"/>
    <w:rsid w:val="755D7B99"/>
    <w:rsid w:val="77745790"/>
    <w:rsid w:val="7867525C"/>
    <w:rsid w:val="79DEB7C0"/>
    <w:rsid w:val="7AAA9068"/>
    <w:rsid w:val="7B9B8F9E"/>
    <w:rsid w:val="7FF8B8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C31D"/>
  <w15:chartTrackingRefBased/>
  <w15:docId w15:val="{7C0C840D-6CED-47FA-A4B3-B6DA8319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A8"/>
    <w:pPr>
      <w:spacing w:after="0" w:line="280" w:lineRule="atLeast"/>
    </w:pPr>
    <w:rPr>
      <w:rFonts w:ascii="Arial" w:hAnsi="Arial" w:cs="Arial"/>
    </w:rPr>
  </w:style>
  <w:style w:type="paragraph" w:styleId="Heading1">
    <w:name w:val="heading 1"/>
    <w:next w:val="Normal"/>
    <w:link w:val="Heading1Char"/>
    <w:qFormat/>
    <w:rsid w:val="00865206"/>
    <w:pPr>
      <w:keepNext/>
      <w:spacing w:before="60" w:after="240" w:line="300" w:lineRule="atLeast"/>
      <w:outlineLvl w:val="0"/>
    </w:pPr>
    <w:rPr>
      <w:rFonts w:ascii="Arial Bold" w:hAnsi="Arial Bold" w:cs="Times New Roman"/>
      <w:b/>
      <w:sz w:val="28"/>
      <w:szCs w:val="20"/>
      <w:lang w:val="en-AU"/>
    </w:rPr>
  </w:style>
  <w:style w:type="paragraph" w:styleId="Heading2">
    <w:name w:val="heading 2"/>
    <w:next w:val="Normal"/>
    <w:link w:val="Heading2Char"/>
    <w:qFormat/>
    <w:rsid w:val="00865206"/>
    <w:pPr>
      <w:keepNext/>
      <w:spacing w:before="60" w:after="240" w:line="300" w:lineRule="atLeast"/>
      <w:outlineLvl w:val="1"/>
    </w:pPr>
    <w:rPr>
      <w:rFonts w:ascii="Arial" w:hAnsi="Arial" w:cs="Times New Roman"/>
      <w:b/>
      <w:sz w:val="24"/>
      <w:szCs w:val="20"/>
      <w:lang w:val="en-AU"/>
    </w:rPr>
  </w:style>
  <w:style w:type="paragraph" w:styleId="Heading3">
    <w:name w:val="heading 3"/>
    <w:next w:val="Normal"/>
    <w:link w:val="Heading3Char"/>
    <w:qFormat/>
    <w:rsid w:val="00865206"/>
    <w:pPr>
      <w:keepNext/>
      <w:spacing w:before="60" w:after="120" w:line="280" w:lineRule="atLeast"/>
      <w:outlineLvl w:val="2"/>
    </w:pPr>
    <w:rPr>
      <w:rFonts w:ascii="Arial" w:hAnsi="Arial" w:cs="Times New Roman"/>
      <w:b/>
      <w:i/>
      <w:szCs w:val="20"/>
    </w:rPr>
  </w:style>
  <w:style w:type="paragraph" w:styleId="Heading4">
    <w:name w:val="heading 4"/>
    <w:next w:val="Normal"/>
    <w:link w:val="Heading4Char"/>
    <w:rsid w:val="00865206"/>
    <w:pPr>
      <w:keepNext/>
      <w:spacing w:before="60" w:after="120" w:line="280" w:lineRule="atLeast"/>
      <w:outlineLvl w:val="3"/>
    </w:pPr>
    <w:rPr>
      <w:rFonts w:ascii="Arial" w:hAnsi="Arial" w:cs="Times New Roman"/>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206"/>
    <w:pPr>
      <w:tabs>
        <w:tab w:val="center" w:pos="4153"/>
        <w:tab w:val="right" w:pos="8306"/>
      </w:tabs>
    </w:pPr>
  </w:style>
  <w:style w:type="character" w:customStyle="1" w:styleId="FooterChar">
    <w:name w:val="Footer Char"/>
    <w:basedOn w:val="DefaultParagraphFont"/>
    <w:link w:val="Footer"/>
    <w:rsid w:val="00DA24B8"/>
    <w:rPr>
      <w:rFonts w:ascii="Arial" w:hAnsi="Arial" w:cs="Arial"/>
    </w:rPr>
  </w:style>
  <w:style w:type="paragraph" w:styleId="Header">
    <w:name w:val="header"/>
    <w:basedOn w:val="Normal"/>
    <w:link w:val="HeaderChar"/>
    <w:rsid w:val="00865206"/>
    <w:pPr>
      <w:tabs>
        <w:tab w:val="center" w:pos="4153"/>
        <w:tab w:val="right" w:pos="8306"/>
      </w:tabs>
    </w:pPr>
  </w:style>
  <w:style w:type="character" w:customStyle="1" w:styleId="HeaderChar">
    <w:name w:val="Header Char"/>
    <w:basedOn w:val="DefaultParagraphFont"/>
    <w:link w:val="Header"/>
    <w:rsid w:val="00DA24B8"/>
    <w:rPr>
      <w:rFonts w:ascii="Arial" w:hAnsi="Arial" w:cs="Arial"/>
    </w:rPr>
  </w:style>
  <w:style w:type="character" w:customStyle="1" w:styleId="Heading1Char">
    <w:name w:val="Heading 1 Char"/>
    <w:basedOn w:val="DefaultParagraphFont"/>
    <w:link w:val="Heading1"/>
    <w:rsid w:val="00DA24B8"/>
    <w:rPr>
      <w:rFonts w:ascii="Arial Bold" w:hAnsi="Arial Bold" w:cs="Times New Roman"/>
      <w:b/>
      <w:sz w:val="28"/>
      <w:szCs w:val="20"/>
      <w:lang w:val="en-AU"/>
    </w:rPr>
  </w:style>
  <w:style w:type="character" w:customStyle="1" w:styleId="Heading2Char">
    <w:name w:val="Heading 2 Char"/>
    <w:basedOn w:val="DefaultParagraphFont"/>
    <w:link w:val="Heading2"/>
    <w:rsid w:val="00DA24B8"/>
    <w:rPr>
      <w:rFonts w:ascii="Arial" w:hAnsi="Arial" w:cs="Times New Roman"/>
      <w:b/>
      <w:sz w:val="24"/>
      <w:szCs w:val="20"/>
      <w:lang w:val="en-AU"/>
    </w:rPr>
  </w:style>
  <w:style w:type="character" w:customStyle="1" w:styleId="Heading3Char">
    <w:name w:val="Heading 3 Char"/>
    <w:basedOn w:val="DefaultParagraphFont"/>
    <w:link w:val="Heading3"/>
    <w:rsid w:val="00DA24B8"/>
    <w:rPr>
      <w:rFonts w:ascii="Arial" w:hAnsi="Arial" w:cs="Times New Roman"/>
      <w:b/>
      <w:i/>
      <w:szCs w:val="20"/>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aliases w:val="IR Bullet,PEP Bullets,List Item,Keystone Numbered List,lp1,List Paragraph1,List Paragraph.List 1.0,List Paragraph.List 1.01,List Paragraph.List 1.011,List Paragraph.List 1.02,Colorful List - Accent 11,List Paragraph.List 1.03,Bullets,Dot"/>
    <w:basedOn w:val="Normal"/>
    <w:link w:val="ListParagraphChar"/>
    <w:uiPriority w:val="34"/>
    <w:qFormat/>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99"/>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99"/>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ascii="Arial" w:hAnsi="Arial" w:cs="GillSans"/>
      <w:sz w:val="18"/>
      <w:szCs w:val="18"/>
      <w:lang w:val="en-GB" w:eastAsia="en-AU"/>
    </w:rPr>
  </w:style>
  <w:style w:type="paragraph" w:styleId="Title">
    <w:name w:val="Title"/>
    <w:basedOn w:val="Heading1"/>
    <w:next w:val="Normal"/>
    <w:link w:val="TitleChar"/>
    <w:uiPriority w:val="10"/>
    <w:unhideWhenUsed/>
    <w:rsid w:val="00865206"/>
    <w:rPr>
      <w:sz w:val="56"/>
      <w:szCs w:val="56"/>
      <w:lang w:val="en-NZ"/>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character" w:customStyle="1" w:styleId="BodytextChar">
    <w:name w:val="Body text Char"/>
    <w:basedOn w:val="DefaultParagraphFont"/>
    <w:link w:val="BodyText1"/>
    <w:locked/>
    <w:rsid w:val="004F18A8"/>
    <w:rPr>
      <w:rFonts w:ascii="Arial" w:hAnsi="Arial" w:cs="Arial"/>
      <w:sz w:val="24"/>
      <w:szCs w:val="20"/>
      <w:lang w:val="en-GB" w:eastAsia="ja-JP"/>
    </w:rPr>
  </w:style>
  <w:style w:type="paragraph" w:customStyle="1" w:styleId="BodyText1">
    <w:name w:val="Body Text1"/>
    <w:basedOn w:val="Normal"/>
    <w:link w:val="BodytextChar"/>
    <w:qFormat/>
    <w:rsid w:val="004F18A8"/>
    <w:pPr>
      <w:numPr>
        <w:numId w:val="5"/>
      </w:numPr>
      <w:spacing w:after="240" w:line="240" w:lineRule="auto"/>
      <w:jc w:val="both"/>
    </w:pPr>
    <w:rPr>
      <w:sz w:val="24"/>
      <w:szCs w:val="20"/>
      <w:lang w:val="en-GB" w:eastAsia="ja-JP"/>
    </w:rPr>
  </w:style>
  <w:style w:type="numbering" w:customStyle="1" w:styleId="Recommendations">
    <w:name w:val="Recommendations"/>
    <w:uiPriority w:val="99"/>
    <w:rsid w:val="004F18A8"/>
    <w:pPr>
      <w:numPr>
        <w:numId w:val="4"/>
      </w:numPr>
    </w:pPr>
  </w:style>
  <w:style w:type="character" w:customStyle="1" w:styleId="ListParagraphChar">
    <w:name w:val="List Paragraph Char"/>
    <w:aliases w:val="IR Bullet Char,PEP Bullets Char,List Item Char,Keystone Numbered List Char,lp1 Char,List Paragraph1 Char,List Paragraph.List 1.0 Char,List Paragraph.List 1.01 Char,List Paragraph.List 1.011 Char,List Paragraph.List 1.02 Char,Dot Char"/>
    <w:basedOn w:val="DefaultParagraphFont"/>
    <w:link w:val="ListParagraph"/>
    <w:uiPriority w:val="34"/>
    <w:qFormat/>
    <w:locked/>
    <w:rsid w:val="004F18A8"/>
    <w:rPr>
      <w:rFonts w:ascii="Arial" w:hAnsi="Arial" w:cs="Arial"/>
    </w:rPr>
  </w:style>
  <w:style w:type="paragraph" w:customStyle="1" w:styleId="TSYList">
    <w:name w:val="TSY List"/>
    <w:basedOn w:val="Normal"/>
    <w:qFormat/>
    <w:rsid w:val="004F18A8"/>
    <w:pPr>
      <w:numPr>
        <w:numId w:val="7"/>
      </w:numPr>
      <w:spacing w:before="100" w:after="100" w:line="240" w:lineRule="auto"/>
    </w:pPr>
    <w:rPr>
      <w:rFonts w:cs="Times New Roman"/>
      <w:szCs w:val="20"/>
    </w:rPr>
  </w:style>
  <w:style w:type="paragraph" w:styleId="BalloonText">
    <w:name w:val="Balloon Text"/>
    <w:basedOn w:val="Normal"/>
    <w:link w:val="BalloonTextChar"/>
    <w:uiPriority w:val="99"/>
    <w:semiHidden/>
    <w:unhideWhenUsed/>
    <w:rsid w:val="004F18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A8"/>
    <w:rPr>
      <w:rFonts w:ascii="Segoe UI" w:hAnsi="Segoe UI" w:cs="Segoe UI"/>
      <w:sz w:val="18"/>
      <w:szCs w:val="18"/>
    </w:rPr>
  </w:style>
  <w:style w:type="paragraph" w:styleId="ListBullet">
    <w:name w:val="List Bullet"/>
    <w:basedOn w:val="Normal"/>
    <w:autoRedefine/>
    <w:rsid w:val="00911C52"/>
    <w:pPr>
      <w:numPr>
        <w:numId w:val="10"/>
      </w:numPr>
      <w:spacing w:line="240" w:lineRule="auto"/>
      <w:ind w:left="567" w:hanging="567"/>
      <w:jc w:val="both"/>
    </w:pPr>
    <w:rPr>
      <w:rFonts w:cs="Times New Roman"/>
      <w:szCs w:val="20"/>
    </w:rPr>
  </w:style>
  <w:style w:type="character" w:styleId="CommentReference">
    <w:name w:val="annotation reference"/>
    <w:basedOn w:val="DefaultParagraphFont"/>
    <w:uiPriority w:val="99"/>
    <w:semiHidden/>
    <w:unhideWhenUsed/>
    <w:rsid w:val="00452E35"/>
    <w:rPr>
      <w:sz w:val="16"/>
      <w:szCs w:val="16"/>
    </w:rPr>
  </w:style>
  <w:style w:type="paragraph" w:styleId="CommentText">
    <w:name w:val="annotation text"/>
    <w:basedOn w:val="Normal"/>
    <w:link w:val="CommentTextChar"/>
    <w:uiPriority w:val="99"/>
    <w:semiHidden/>
    <w:unhideWhenUsed/>
    <w:rsid w:val="00452E35"/>
    <w:pPr>
      <w:spacing w:line="240" w:lineRule="auto"/>
    </w:pPr>
    <w:rPr>
      <w:sz w:val="20"/>
      <w:szCs w:val="20"/>
    </w:rPr>
  </w:style>
  <w:style w:type="character" w:customStyle="1" w:styleId="CommentTextChar">
    <w:name w:val="Comment Text Char"/>
    <w:basedOn w:val="DefaultParagraphFont"/>
    <w:link w:val="CommentText"/>
    <w:uiPriority w:val="99"/>
    <w:semiHidden/>
    <w:rsid w:val="00452E3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52E35"/>
    <w:rPr>
      <w:b/>
      <w:bCs/>
    </w:rPr>
  </w:style>
  <w:style w:type="character" w:customStyle="1" w:styleId="CommentSubjectChar">
    <w:name w:val="Comment Subject Char"/>
    <w:basedOn w:val="CommentTextChar"/>
    <w:link w:val="CommentSubject"/>
    <w:uiPriority w:val="99"/>
    <w:semiHidden/>
    <w:rsid w:val="00452E35"/>
    <w:rPr>
      <w:rFonts w:ascii="Arial" w:hAnsi="Arial" w:cs="Arial"/>
      <w:b/>
      <w:bCs/>
      <w:sz w:val="20"/>
      <w:szCs w:val="20"/>
    </w:rPr>
  </w:style>
  <w:style w:type="character" w:customStyle="1" w:styleId="Mention1">
    <w:name w:val="Mention1"/>
    <w:basedOn w:val="DefaultParagraphFont"/>
    <w:uiPriority w:val="99"/>
    <w:unhideWhenUsed/>
    <w:rsid w:val="003B4029"/>
    <w:rPr>
      <w:color w:val="2B579A"/>
      <w:shd w:val="clear" w:color="auto" w:fill="E6E6E6"/>
    </w:rPr>
  </w:style>
  <w:style w:type="table" w:styleId="TableGrid">
    <w:name w:val="Table Grid"/>
    <w:basedOn w:val="TableNormal"/>
    <w:uiPriority w:val="59"/>
    <w:rsid w:val="003B4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SYBullet">
    <w:name w:val="TSY Bullet"/>
    <w:basedOn w:val="Normal"/>
    <w:qFormat/>
    <w:rsid w:val="00435743"/>
    <w:pPr>
      <w:numPr>
        <w:numId w:val="17"/>
      </w:numPr>
      <w:spacing w:before="100" w:after="100" w:line="240" w:lineRule="auto"/>
    </w:pPr>
    <w:rPr>
      <w:rFonts w:cs="Times New Roman"/>
      <w:szCs w:val="20"/>
    </w:rPr>
  </w:style>
  <w:style w:type="paragraph" w:customStyle="1" w:styleId="ReportCover-Heading">
    <w:name w:val="Report Cover - Heading"/>
    <w:basedOn w:val="Normal"/>
    <w:next w:val="Normal"/>
    <w:rsid w:val="00F65465"/>
    <w:pPr>
      <w:pBdr>
        <w:bottom w:val="single" w:sz="4" w:space="1" w:color="auto"/>
      </w:pBdr>
      <w:spacing w:before="720" w:after="360" w:line="276" w:lineRule="auto"/>
    </w:pPr>
    <w:rPr>
      <w:rFonts w:ascii="Verdana" w:hAnsi="Verdana" w:cs="Times New Roman"/>
      <w:b/>
      <w:bCs/>
      <w:sz w:val="20"/>
      <w:szCs w:val="20"/>
    </w:rPr>
  </w:style>
  <w:style w:type="paragraph" w:customStyle="1" w:styleId="NumberedParagraph">
    <w:name w:val="Numbered Paragraph"/>
    <w:basedOn w:val="Normal"/>
    <w:qFormat/>
    <w:rsid w:val="00F65465"/>
    <w:pPr>
      <w:numPr>
        <w:numId w:val="21"/>
      </w:numPr>
      <w:spacing w:after="200" w:line="240" w:lineRule="auto"/>
      <w:jc w:val="both"/>
    </w:pPr>
    <w:rPr>
      <w:rFonts w:ascii="Verdana" w:eastAsiaTheme="minorHAnsi" w:hAnsi="Verdana" w:cstheme="minorBidi"/>
      <w:sz w:val="20"/>
      <w:szCs w:val="23"/>
      <w:lang w:eastAsia="en-NZ"/>
    </w:rPr>
  </w:style>
  <w:style w:type="character" w:styleId="FootnoteReference">
    <w:name w:val="footnote reference"/>
    <w:basedOn w:val="DefaultParagraphFont"/>
    <w:uiPriority w:val="99"/>
    <w:semiHidden/>
    <w:unhideWhenUsed/>
    <w:rsid w:val="00F65465"/>
    <w:rPr>
      <w:vertAlign w:val="superscript"/>
    </w:rPr>
  </w:style>
  <w:style w:type="character" w:styleId="Strong">
    <w:name w:val="Strong"/>
    <w:basedOn w:val="DefaultParagraphFont"/>
    <w:uiPriority w:val="22"/>
    <w:qFormat/>
    <w:rsid w:val="00B65174"/>
    <w:rPr>
      <w:b/>
      <w:bCs/>
    </w:rPr>
  </w:style>
  <w:style w:type="character" w:customStyle="1" w:styleId="Emphasis-Bold">
    <w:name w:val="Emphasis - Bold"/>
    <w:basedOn w:val="DefaultParagraphFont"/>
    <w:uiPriority w:val="3"/>
    <w:qFormat/>
    <w:rsid w:val="00D15798"/>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429">
      <w:bodyDiv w:val="1"/>
      <w:marLeft w:val="0"/>
      <w:marRight w:val="0"/>
      <w:marTop w:val="0"/>
      <w:marBottom w:val="0"/>
      <w:divBdr>
        <w:top w:val="none" w:sz="0" w:space="0" w:color="auto"/>
        <w:left w:val="none" w:sz="0" w:space="0" w:color="auto"/>
        <w:bottom w:val="none" w:sz="0" w:space="0" w:color="auto"/>
        <w:right w:val="none" w:sz="0" w:space="0" w:color="auto"/>
      </w:divBdr>
    </w:div>
    <w:div w:id="624582813">
      <w:bodyDiv w:val="1"/>
      <w:marLeft w:val="0"/>
      <w:marRight w:val="0"/>
      <w:marTop w:val="0"/>
      <w:marBottom w:val="0"/>
      <w:divBdr>
        <w:top w:val="none" w:sz="0" w:space="0" w:color="auto"/>
        <w:left w:val="none" w:sz="0" w:space="0" w:color="auto"/>
        <w:bottom w:val="none" w:sz="0" w:space="0" w:color="auto"/>
        <w:right w:val="none" w:sz="0" w:space="0" w:color="auto"/>
      </w:divBdr>
    </w:div>
    <w:div w:id="735470261">
      <w:bodyDiv w:val="1"/>
      <w:marLeft w:val="0"/>
      <w:marRight w:val="0"/>
      <w:marTop w:val="0"/>
      <w:marBottom w:val="0"/>
      <w:divBdr>
        <w:top w:val="none" w:sz="0" w:space="0" w:color="auto"/>
        <w:left w:val="none" w:sz="0" w:space="0" w:color="auto"/>
        <w:bottom w:val="none" w:sz="0" w:space="0" w:color="auto"/>
        <w:right w:val="none" w:sz="0" w:space="0" w:color="auto"/>
      </w:divBdr>
    </w:div>
    <w:div w:id="849174021">
      <w:bodyDiv w:val="1"/>
      <w:marLeft w:val="0"/>
      <w:marRight w:val="0"/>
      <w:marTop w:val="0"/>
      <w:marBottom w:val="0"/>
      <w:divBdr>
        <w:top w:val="none" w:sz="0" w:space="0" w:color="auto"/>
        <w:left w:val="none" w:sz="0" w:space="0" w:color="auto"/>
        <w:bottom w:val="none" w:sz="0" w:space="0" w:color="auto"/>
        <w:right w:val="none" w:sz="0" w:space="0" w:color="auto"/>
      </w:divBdr>
    </w:div>
    <w:div w:id="1597404154">
      <w:bodyDiv w:val="1"/>
      <w:marLeft w:val="0"/>
      <w:marRight w:val="0"/>
      <w:marTop w:val="0"/>
      <w:marBottom w:val="0"/>
      <w:divBdr>
        <w:top w:val="none" w:sz="0" w:space="0" w:color="auto"/>
        <w:left w:val="none" w:sz="0" w:space="0" w:color="auto"/>
        <w:bottom w:val="none" w:sz="0" w:space="0" w:color="auto"/>
        <w:right w:val="none" w:sz="0" w:space="0" w:color="auto"/>
      </w:divBdr>
    </w:div>
    <w:div w:id="1820421103">
      <w:bodyDiv w:val="1"/>
      <w:marLeft w:val="0"/>
      <w:marRight w:val="0"/>
      <w:marTop w:val="0"/>
      <w:marBottom w:val="0"/>
      <w:divBdr>
        <w:top w:val="none" w:sz="0" w:space="0" w:color="auto"/>
        <w:left w:val="none" w:sz="0" w:space="0" w:color="auto"/>
        <w:bottom w:val="none" w:sz="0" w:space="0" w:color="auto"/>
        <w:right w:val="none" w:sz="0" w:space="0" w:color="auto"/>
      </w:divBdr>
    </w:div>
    <w:div w:id="2128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99e3016949144c0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CAB-21-SUB-0418 – Cabinet paper: Tax Administration (Extension of Due Dates) Order 2021 (18 October 2021)</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CAB-21-SUB-0418 – Cabinet paper: Tax Administration (Extension of Due Dates) Order 2021 (18 October 2021)</dc:title>
  <dc:subject/>
  <dc:creator/>
  <cp:keywords/>
  <dc:description/>
  <cp:lastModifiedBy>David Nind</cp:lastModifiedBy>
  <cp:revision>2</cp:revision>
  <dcterms:created xsi:type="dcterms:W3CDTF">2021-12-13T01:30:00Z</dcterms:created>
  <dcterms:modified xsi:type="dcterms:W3CDTF">2021-12-13T01:30:00Z</dcterms:modified>
</cp:coreProperties>
</file>