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DAEE" w14:textId="77777777" w:rsidR="004B41C4" w:rsidRDefault="004B41C4" w:rsidP="00DD623A">
      <w:pPr>
        <w:jc w:val="center"/>
      </w:pPr>
      <w:r>
        <w:rPr>
          <w:noProof/>
        </w:rPr>
        <w:drawing>
          <wp:inline distT="0" distB="0" distL="0" distR="0" wp14:anchorId="337C165F" wp14:editId="4EBEE019">
            <wp:extent cx="2381250" cy="666750"/>
            <wp:effectExtent l="0" t="0" r="0" b="0"/>
            <wp:docPr id="1" name="Picture 1" descr="black_smal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AA76" w14:textId="77777777" w:rsidR="004B41C4" w:rsidRPr="00221AAE" w:rsidRDefault="004B41C4" w:rsidP="00AE0642">
      <w:pPr>
        <w:pStyle w:val="PAS-Groupname"/>
        <w:spacing w:after="720"/>
      </w:pPr>
      <w:r w:rsidRPr="00221AAE">
        <w:t xml:space="preserve">POLICY AND </w:t>
      </w:r>
      <w:r w:rsidR="004F0745">
        <w:t>REGULATORY STEWARDSHIP</w:t>
      </w:r>
    </w:p>
    <w:p w14:paraId="2A194E14" w14:textId="29C39E02" w:rsidR="00DD623A" w:rsidRPr="001D0013" w:rsidRDefault="00DD623A" w:rsidP="007D1E82">
      <w:pPr>
        <w:pStyle w:val="Report-Title"/>
        <w:ind w:left="2880" w:hanging="2880"/>
      </w:pPr>
      <w:r w:rsidRPr="001D0013">
        <w:t>Tax policy report:</w:t>
      </w:r>
      <w:r w:rsidRPr="001D0013">
        <w:tab/>
      </w:r>
      <w:bookmarkStart w:id="0" w:name="Subject"/>
      <w:bookmarkEnd w:id="0"/>
      <w:r w:rsidR="008D6937">
        <w:t xml:space="preserve">Extending the </w:t>
      </w:r>
      <w:r w:rsidR="00C51709">
        <w:t xml:space="preserve">tax </w:t>
      </w:r>
      <w:r w:rsidR="008D6937">
        <w:t xml:space="preserve">due date </w:t>
      </w:r>
      <w:r w:rsidR="007D1E82">
        <w:t xml:space="preserve">on </w:t>
      </w:r>
      <w:r w:rsidR="008D6937">
        <w:t xml:space="preserve">28 October 2021 to </w:t>
      </w:r>
      <w:r w:rsidR="00CC17D5">
        <w:t>4</w:t>
      </w:r>
      <w:r w:rsidR="008D6937">
        <w:t xml:space="preserve"> </w:t>
      </w:r>
      <w:r w:rsidR="00CC17D5">
        <w:t>November</w:t>
      </w:r>
      <w:r w:rsidR="008D6937">
        <w:t xml:space="preserve"> 2021</w:t>
      </w:r>
    </w:p>
    <w:tbl>
      <w:tblPr>
        <w:tblW w:w="97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1985"/>
        <w:gridCol w:w="2485"/>
      </w:tblGrid>
      <w:tr w:rsidR="00DD623A" w:rsidRPr="00DD623A" w14:paraId="5FA2CD5C" w14:textId="77777777" w:rsidTr="4C3AE0AB">
        <w:tc>
          <w:tcPr>
            <w:tcW w:w="2689" w:type="dxa"/>
          </w:tcPr>
          <w:p w14:paraId="27D52D9C" w14:textId="77777777" w:rsidR="00DD623A" w:rsidRPr="000B2ED1" w:rsidRDefault="00DD623A" w:rsidP="000B2ED1">
            <w:pPr>
              <w:pStyle w:val="Table-Heading"/>
            </w:pPr>
            <w:r w:rsidRPr="000B2ED1">
              <w:t>Date:</w:t>
            </w:r>
          </w:p>
        </w:tc>
        <w:tc>
          <w:tcPr>
            <w:tcW w:w="2551" w:type="dxa"/>
          </w:tcPr>
          <w:p w14:paraId="38437311" w14:textId="345DD628" w:rsidR="00DD623A" w:rsidRPr="00705DC2" w:rsidRDefault="008507A8" w:rsidP="00705DC2">
            <w:pPr>
              <w:pStyle w:val="Table-Text"/>
            </w:pPr>
            <w:bookmarkStart w:id="1" w:name="Date"/>
            <w:bookmarkEnd w:id="1"/>
            <w:r>
              <w:t>2</w:t>
            </w:r>
            <w:r w:rsidR="00CC17D5">
              <w:t>7</w:t>
            </w:r>
            <w:r>
              <w:t xml:space="preserve"> September 2021</w:t>
            </w:r>
          </w:p>
        </w:tc>
        <w:tc>
          <w:tcPr>
            <w:tcW w:w="1985" w:type="dxa"/>
          </w:tcPr>
          <w:p w14:paraId="0EA23243" w14:textId="77777777" w:rsidR="00DD623A" w:rsidRPr="000B2ED1" w:rsidRDefault="00DD623A" w:rsidP="000B2ED1">
            <w:pPr>
              <w:pStyle w:val="Table-Heading"/>
            </w:pPr>
            <w:r w:rsidRPr="000B2ED1">
              <w:t>Priority:</w:t>
            </w:r>
          </w:p>
        </w:tc>
        <w:tc>
          <w:tcPr>
            <w:tcW w:w="2485" w:type="dxa"/>
          </w:tcPr>
          <w:sdt>
            <w:sdtPr>
              <w:alias w:val="Report Priority"/>
              <w:tag w:val="Report Priority"/>
              <w:id w:val="1092055404"/>
              <w:placeholder>
                <w:docPart w:val="EBB70FE133684A149C5CADF6988ACB24"/>
              </w:placeholder>
              <w:dropDownList>
                <w:listItem w:value="[Choose a report priority]"/>
                <w:listItem w:displayText="Low" w:value="Low"/>
                <w:listItem w:displayText="Medium" w:value="Medium"/>
                <w:listItem w:displayText="High" w:value="High"/>
              </w:dropDownList>
            </w:sdtPr>
            <w:sdtEndPr/>
            <w:sdtContent>
              <w:p w14:paraId="7F6EFB12" w14:textId="22D5038D" w:rsidR="00DD623A" w:rsidRPr="00705DC2" w:rsidRDefault="008507A8" w:rsidP="00C44EDE">
                <w:pPr>
                  <w:pStyle w:val="Table-Text"/>
                </w:pPr>
                <w:r>
                  <w:t>High</w:t>
                </w:r>
              </w:p>
            </w:sdtContent>
          </w:sdt>
          <w:p w14:paraId="612C631E" w14:textId="77777777" w:rsidR="007E49B5" w:rsidRDefault="007E49B5" w:rsidP="00C44EDE">
            <w:pPr>
              <w:pStyle w:val="Table-Text"/>
            </w:pPr>
          </w:p>
        </w:tc>
        <w:bookmarkStart w:id="2" w:name="Priority"/>
        <w:bookmarkEnd w:id="2"/>
      </w:tr>
      <w:tr w:rsidR="00DD623A" w:rsidRPr="00DD623A" w14:paraId="4C0C3AB8" w14:textId="77777777" w:rsidTr="000B2ED1">
        <w:tc>
          <w:tcPr>
            <w:tcW w:w="2689" w:type="dxa"/>
          </w:tcPr>
          <w:p w14:paraId="03AD2AF3" w14:textId="77777777" w:rsidR="00DD623A" w:rsidRPr="000B2ED1" w:rsidRDefault="00DD623A" w:rsidP="000B2ED1">
            <w:pPr>
              <w:pStyle w:val="Table-Heading"/>
            </w:pPr>
            <w:r w:rsidRPr="000B2ED1">
              <w:t>Security level:</w:t>
            </w:r>
          </w:p>
        </w:tc>
        <w:bookmarkStart w:id="3" w:name="Security"/>
        <w:bookmarkEnd w:id="3"/>
        <w:tc>
          <w:tcPr>
            <w:tcW w:w="2551" w:type="dxa"/>
          </w:tcPr>
          <w:p w14:paraId="25556EAA" w14:textId="7E50C5B4" w:rsidR="009B5A86" w:rsidRPr="00DD623A" w:rsidRDefault="00E02ABD" w:rsidP="00C44EDE">
            <w:pPr>
              <w:pStyle w:val="Table-Text"/>
            </w:pPr>
            <w:sdt>
              <w:sdtPr>
                <w:alias w:val="Security Classification"/>
                <w:tag w:val="Security Classification"/>
                <w:id w:val="1617165177"/>
                <w:placeholder>
                  <w:docPart w:val="2102A2A4647440BD84C7C593D639FB8C"/>
                </w:placeholder>
                <w:dropDownList>
                  <w:listItem w:value="[Choose a security classification]"/>
                  <w:listItem w:displayText="In Confidence" w:value="In Confidence"/>
                  <w:listItem w:displayText="Sensitive" w:value="Sensitive"/>
                  <w:listItem w:displayText="Sensitive - Budget" w:value="Sensitive - Budget"/>
                  <w:listItem w:displayText="Restricted" w:value="Restricted"/>
                </w:dropDownList>
              </w:sdtPr>
              <w:sdtEndPr/>
              <w:sdtContent>
                <w:r w:rsidR="007D3F18">
                  <w:t>In Confidence</w:t>
                </w:r>
              </w:sdtContent>
            </w:sdt>
            <w:r w:rsidR="000E4A89">
              <w:t xml:space="preserve"> </w:t>
            </w:r>
          </w:p>
        </w:tc>
        <w:tc>
          <w:tcPr>
            <w:tcW w:w="1985" w:type="dxa"/>
          </w:tcPr>
          <w:p w14:paraId="5983470C" w14:textId="77777777" w:rsidR="00DD623A" w:rsidRPr="000B2ED1" w:rsidRDefault="00DD623A" w:rsidP="000B2ED1">
            <w:pPr>
              <w:pStyle w:val="Table-Heading"/>
            </w:pPr>
            <w:r w:rsidRPr="000B2ED1">
              <w:t>Report number:</w:t>
            </w:r>
          </w:p>
        </w:tc>
        <w:tc>
          <w:tcPr>
            <w:tcW w:w="2485" w:type="dxa"/>
          </w:tcPr>
          <w:p w14:paraId="1C4988A7" w14:textId="6967D221" w:rsidR="00B3357D" w:rsidRPr="00705DC2" w:rsidRDefault="00DD623A" w:rsidP="00705DC2">
            <w:pPr>
              <w:pStyle w:val="Table-Text"/>
            </w:pPr>
            <w:bookmarkStart w:id="4" w:name="ReportPad"/>
            <w:bookmarkEnd w:id="4"/>
            <w:r w:rsidRPr="00705DC2">
              <w:t>IR20</w:t>
            </w:r>
            <w:r w:rsidR="00CE29EF">
              <w:t>21</w:t>
            </w:r>
            <w:r w:rsidR="008507A8">
              <w:t>/</w:t>
            </w:r>
            <w:r w:rsidR="00A37027">
              <w:t>415</w:t>
            </w:r>
          </w:p>
        </w:tc>
      </w:tr>
    </w:tbl>
    <w:p w14:paraId="77D0B368" w14:textId="63F47423" w:rsidR="4C3AE0AB" w:rsidRDefault="4C3AE0AB"/>
    <w:p w14:paraId="0C358CB3" w14:textId="77777777" w:rsidR="00DD623A" w:rsidRPr="00DD623A" w:rsidRDefault="00DD623A" w:rsidP="00A364AA">
      <w:pPr>
        <w:pStyle w:val="ReportCover-Heading"/>
        <w:rPr>
          <w:lang w:eastAsia="en-AU"/>
        </w:rPr>
      </w:pPr>
      <w:r w:rsidRPr="00DD623A">
        <w:rPr>
          <w:lang w:eastAsia="en-AU"/>
        </w:rPr>
        <w:t>Action sought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80"/>
      </w:tblGrid>
      <w:tr w:rsidR="00DD623A" w:rsidRPr="000B2ED1" w14:paraId="0AD67693" w14:textId="77777777" w:rsidTr="000B2ED1">
        <w:tc>
          <w:tcPr>
            <w:tcW w:w="2694" w:type="dxa"/>
          </w:tcPr>
          <w:p w14:paraId="7D63590F" w14:textId="77777777" w:rsidR="00DD623A" w:rsidRPr="000B2ED1" w:rsidRDefault="00DD623A" w:rsidP="000B2ED1">
            <w:pPr>
              <w:pStyle w:val="Table-Heading"/>
            </w:pPr>
          </w:p>
        </w:tc>
        <w:tc>
          <w:tcPr>
            <w:tcW w:w="4536" w:type="dxa"/>
            <w:tcBorders>
              <w:left w:val="nil"/>
            </w:tcBorders>
          </w:tcPr>
          <w:p w14:paraId="675C90D4" w14:textId="77777777" w:rsidR="00DD623A" w:rsidRPr="000B2ED1" w:rsidRDefault="00DD623A" w:rsidP="000B2ED1">
            <w:pPr>
              <w:pStyle w:val="Table-Heading"/>
            </w:pPr>
            <w:r w:rsidRPr="000B2ED1">
              <w:t>Action sought</w:t>
            </w:r>
          </w:p>
        </w:tc>
        <w:tc>
          <w:tcPr>
            <w:tcW w:w="2480" w:type="dxa"/>
          </w:tcPr>
          <w:p w14:paraId="652D02EF" w14:textId="77777777" w:rsidR="00DD623A" w:rsidRPr="000B2ED1" w:rsidRDefault="00DD623A" w:rsidP="000B2ED1">
            <w:pPr>
              <w:pStyle w:val="Table-Heading"/>
            </w:pPr>
            <w:r w:rsidRPr="000B2ED1">
              <w:t>Deadline</w:t>
            </w:r>
          </w:p>
        </w:tc>
      </w:tr>
      <w:tr w:rsidR="009A1CAF" w:rsidRPr="00D6363A" w14:paraId="24F71A1E" w14:textId="77777777" w:rsidTr="00435ABF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8064F" w14:textId="18731E39" w:rsidR="009A1CAF" w:rsidRPr="00D6363A" w:rsidRDefault="00E77DDD" w:rsidP="00D6363A">
            <w:pPr>
              <w:pStyle w:val="Table-Text"/>
            </w:pPr>
            <w:r>
              <w:t>Minister of Finance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1765C" w14:textId="0BEE46E5" w:rsidR="00860B03" w:rsidRPr="00860B03" w:rsidRDefault="00860B03" w:rsidP="00D6363A">
            <w:pPr>
              <w:pStyle w:val="Table-Text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Agree</w:t>
            </w:r>
            <w:r>
              <w:rPr>
                <w:rStyle w:val="Strong"/>
                <w:b w:val="0"/>
                <w:bCs w:val="0"/>
              </w:rPr>
              <w:t xml:space="preserve"> to the recommendations</w:t>
            </w:r>
          </w:p>
          <w:p w14:paraId="4956D9D1" w14:textId="0DB37556" w:rsidR="009A1CAF" w:rsidRPr="00E77DDD" w:rsidRDefault="00E77DDD" w:rsidP="00D6363A">
            <w:pPr>
              <w:pStyle w:val="Table-Text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Note </w:t>
            </w:r>
            <w:r>
              <w:rPr>
                <w:rStyle w:val="Strong"/>
                <w:b w:val="0"/>
                <w:bCs w:val="0"/>
              </w:rPr>
              <w:t>the contents of this report</w:t>
            </w: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EF0DF4" w14:textId="1424C74A" w:rsidR="009A1CAF" w:rsidRPr="00162D0E" w:rsidRDefault="00603BB4" w:rsidP="00D6363A">
            <w:pPr>
              <w:pStyle w:val="Table-Text"/>
              <w:rPr>
                <w:highlight w:val="yellow"/>
              </w:rPr>
            </w:pPr>
            <w:r>
              <w:t xml:space="preserve">28 September </w:t>
            </w:r>
            <w:r w:rsidR="00E77DDD" w:rsidRPr="00435ABF">
              <w:t>2021</w:t>
            </w:r>
          </w:p>
        </w:tc>
      </w:tr>
      <w:tr w:rsidR="00CF4F75" w:rsidRPr="00D6363A" w14:paraId="1EECCAE2" w14:textId="77777777" w:rsidTr="00435ABF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D7462" w14:textId="03754ADA" w:rsidR="00CF4F75" w:rsidRDefault="00CF4F75" w:rsidP="00CF4F75">
            <w:pPr>
              <w:pStyle w:val="Table-Text"/>
            </w:pPr>
            <w:r w:rsidRPr="00D6363A">
              <w:t>Minister of Revenue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54158" w14:textId="2842EDC5" w:rsidR="00CF4F75" w:rsidRDefault="00CF4F75" w:rsidP="00CF4F75">
            <w:pPr>
              <w:pStyle w:val="Table-Text"/>
            </w:pPr>
            <w:r w:rsidRPr="00705DC2">
              <w:rPr>
                <w:rStyle w:val="Strong"/>
              </w:rPr>
              <w:t>Agree</w:t>
            </w:r>
            <w:r w:rsidRPr="00D6363A">
              <w:t xml:space="preserve"> to </w:t>
            </w:r>
            <w:r w:rsidR="0017721E">
              <w:t xml:space="preserve">the </w:t>
            </w:r>
            <w:r w:rsidRPr="00D6363A">
              <w:t>recommendations</w:t>
            </w:r>
          </w:p>
          <w:p w14:paraId="6EC6DC7E" w14:textId="3B68B6FE" w:rsidR="00CF4F75" w:rsidRDefault="00CF4F75" w:rsidP="00CF4F75">
            <w:pPr>
              <w:pStyle w:val="Table-Text"/>
              <w:rPr>
                <w:rStyle w:val="Strong"/>
              </w:rPr>
            </w:pPr>
            <w:r>
              <w:rPr>
                <w:b/>
                <w:bCs/>
              </w:rPr>
              <w:t xml:space="preserve">Note </w:t>
            </w:r>
            <w:r>
              <w:t>the contents of this report</w:t>
            </w: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05C894" w14:textId="011758CB" w:rsidR="00CF4F75" w:rsidRDefault="00603BB4" w:rsidP="00CF4F75">
            <w:pPr>
              <w:pStyle w:val="Table-Text"/>
              <w:rPr>
                <w:highlight w:val="yellow"/>
              </w:rPr>
            </w:pPr>
            <w:r>
              <w:t xml:space="preserve">28 September </w:t>
            </w:r>
            <w:r w:rsidR="00CF4F75" w:rsidRPr="00435ABF">
              <w:t>2021</w:t>
            </w:r>
          </w:p>
        </w:tc>
      </w:tr>
    </w:tbl>
    <w:p w14:paraId="28734420" w14:textId="77777777" w:rsidR="00DD623A" w:rsidRPr="00DD623A" w:rsidRDefault="00DD623A" w:rsidP="00A364AA">
      <w:pPr>
        <w:pStyle w:val="ReportCover-Heading"/>
        <w:rPr>
          <w:lang w:eastAsia="en-AU"/>
        </w:rPr>
      </w:pPr>
      <w:r w:rsidRPr="00DD623A">
        <w:rPr>
          <w:lang w:eastAsia="en-AU"/>
        </w:rPr>
        <w:t>Contact for telephone discussion (if required)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3189"/>
      </w:tblGrid>
      <w:tr w:rsidR="00DD623A" w:rsidRPr="000B2ED1" w14:paraId="71D861E8" w14:textId="77777777" w:rsidTr="003252E2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095916" w14:textId="77777777" w:rsidR="00DD623A" w:rsidRPr="000B2ED1" w:rsidRDefault="00DD623A" w:rsidP="000B2ED1">
            <w:pPr>
              <w:pStyle w:val="Table-Heading"/>
            </w:pPr>
            <w:r w:rsidRPr="000B2ED1">
              <w:t>Name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6AB9C8D" w14:textId="77777777" w:rsidR="00DD623A" w:rsidRPr="000B2ED1" w:rsidRDefault="00DD623A" w:rsidP="000B2ED1">
            <w:pPr>
              <w:pStyle w:val="Table-Heading"/>
            </w:pPr>
            <w:r w:rsidRPr="000B2ED1">
              <w:t>Position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20A194DB" w14:textId="77777777" w:rsidR="00DD623A" w:rsidRPr="000B2ED1" w:rsidRDefault="00DD623A" w:rsidP="000B2ED1">
            <w:pPr>
              <w:pStyle w:val="Table-Heading"/>
            </w:pPr>
            <w:r w:rsidRPr="000B2ED1">
              <w:t>Telephone</w:t>
            </w:r>
          </w:p>
        </w:tc>
      </w:tr>
      <w:tr w:rsidR="00DD623A" w:rsidRPr="009B5A86" w14:paraId="708F93C1" w14:textId="77777777" w:rsidTr="003038C8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10502" w14:textId="13981DBC" w:rsidR="00DD623A" w:rsidRPr="009B5A86" w:rsidRDefault="00162D0E" w:rsidP="009B5A86">
            <w:pPr>
              <w:pStyle w:val="Table-Text"/>
            </w:pPr>
            <w:bookmarkStart w:id="5" w:name="Name1"/>
            <w:bookmarkEnd w:id="5"/>
            <w:r>
              <w:t>Bary Hollow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9DDCB" w14:textId="08D50475" w:rsidR="00DD623A" w:rsidRPr="009B5A86" w:rsidRDefault="00DB3C33" w:rsidP="009B5A86">
            <w:pPr>
              <w:pStyle w:val="Table-Text"/>
            </w:pPr>
            <w:bookmarkStart w:id="6" w:name="Pos1"/>
            <w:bookmarkEnd w:id="6"/>
            <w:r>
              <w:t>Policy Lead</w:t>
            </w:r>
            <w:r w:rsidR="00C4281C">
              <w:t xml:space="preserve"> – Tax Administration</w:t>
            </w:r>
            <w:r>
              <w:t xml:space="preserve"> (Acting)</w:t>
            </w:r>
          </w:p>
        </w:tc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14:paraId="71D009DC" w14:textId="77777777" w:rsidR="00D34C2C" w:rsidRDefault="003038C8" w:rsidP="009B5A86">
            <w:pPr>
              <w:pStyle w:val="Table-Text"/>
            </w:pPr>
            <w:bookmarkStart w:id="7" w:name="Direct1"/>
            <w:bookmarkStart w:id="8" w:name="Mobile1"/>
            <w:bookmarkEnd w:id="7"/>
            <w:bookmarkEnd w:id="8"/>
            <w:r>
              <w:t>s 9(2)(a)</w:t>
            </w:r>
          </w:p>
          <w:p w14:paraId="0A0EB056" w14:textId="2AED6F35" w:rsidR="003038C8" w:rsidRPr="009B5A86" w:rsidRDefault="003038C8" w:rsidP="009B5A86">
            <w:pPr>
              <w:pStyle w:val="Table-Text"/>
            </w:pPr>
          </w:p>
        </w:tc>
      </w:tr>
    </w:tbl>
    <w:p w14:paraId="0CFF4B18" w14:textId="77777777" w:rsidR="00D6363A" w:rsidRPr="00891517" w:rsidRDefault="00D6363A" w:rsidP="00891517">
      <w:pPr>
        <w:sectPr w:rsidR="00D6363A" w:rsidRPr="00891517" w:rsidSect="00A364AA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9" w:name="Name2"/>
      <w:bookmarkEnd w:id="9"/>
    </w:p>
    <w:p w14:paraId="2087F7E0" w14:textId="77777777" w:rsidR="004869FB" w:rsidRDefault="004869FB">
      <w:pPr>
        <w:rPr>
          <w:highlight w:val="yellow"/>
        </w:rPr>
      </w:pPr>
    </w:p>
    <w:p w14:paraId="38F08B32" w14:textId="2287724A" w:rsidR="005B202F" w:rsidRDefault="00EC499B">
      <w:r>
        <w:t>2</w:t>
      </w:r>
      <w:r w:rsidR="00CC17D5">
        <w:t>7</w:t>
      </w:r>
      <w:r>
        <w:t xml:space="preserve"> September </w:t>
      </w:r>
      <w:r w:rsidR="00811AC6" w:rsidRPr="003A7E0F">
        <w:t>20</w:t>
      </w:r>
      <w:r w:rsidR="00D14C34" w:rsidRPr="003A7E0F">
        <w:t>21</w:t>
      </w:r>
    </w:p>
    <w:p w14:paraId="7F18CED5" w14:textId="6FFB9055" w:rsidR="00811AC6" w:rsidRDefault="00811AC6"/>
    <w:p w14:paraId="20DCFA34" w14:textId="77777777" w:rsidR="00184DF6" w:rsidRDefault="00184DF6"/>
    <w:p w14:paraId="75C3C121" w14:textId="00F2FADC" w:rsidR="00811AC6" w:rsidRDefault="00811AC6">
      <w:r>
        <w:t xml:space="preserve">Minister of </w:t>
      </w:r>
      <w:r w:rsidR="00CF4F75">
        <w:t>Finance</w:t>
      </w:r>
    </w:p>
    <w:p w14:paraId="2268AED9" w14:textId="5556F05D" w:rsidR="00BA0AD5" w:rsidRDefault="00BA0AD5">
      <w:r>
        <w:t xml:space="preserve">Minister of </w:t>
      </w:r>
      <w:r w:rsidR="00CF4F75">
        <w:t>Revenue</w:t>
      </w:r>
    </w:p>
    <w:p w14:paraId="034FFB6D" w14:textId="77777777" w:rsidR="00184DF6" w:rsidRDefault="00184DF6"/>
    <w:p w14:paraId="13F9F077" w14:textId="250D2C15" w:rsidR="004F0745" w:rsidRDefault="00C51709" w:rsidP="00C51709">
      <w:pPr>
        <w:pStyle w:val="Report-Title"/>
        <w:ind w:left="2880" w:hanging="2880"/>
      </w:pPr>
      <w:r>
        <w:t xml:space="preserve">Extending the tax due date on 28 October 2021 to </w:t>
      </w:r>
      <w:r w:rsidR="00CC17D5">
        <w:t>4 November</w:t>
      </w:r>
      <w:r>
        <w:t xml:space="preserve"> 2021</w:t>
      </w:r>
    </w:p>
    <w:p w14:paraId="5DE81D7B" w14:textId="29CC1841" w:rsidR="00421CA7" w:rsidRDefault="00253425" w:rsidP="00447639">
      <w:pPr>
        <w:pStyle w:val="NumberedParagraph"/>
      </w:pPr>
      <w:r>
        <w:t>This</w:t>
      </w:r>
      <w:r w:rsidR="00394020">
        <w:t xml:space="preserve"> report seeks your agreement</w:t>
      </w:r>
      <w:r w:rsidR="003C0CBF">
        <w:t xml:space="preserve"> </w:t>
      </w:r>
      <w:r w:rsidR="00357FA5">
        <w:t xml:space="preserve">to extend the due date for the </w:t>
      </w:r>
      <w:r w:rsidR="000803C3">
        <w:t xml:space="preserve">filing </w:t>
      </w:r>
      <w:r w:rsidR="008237AD">
        <w:t xml:space="preserve">of returns </w:t>
      </w:r>
      <w:r w:rsidR="000803C3">
        <w:t xml:space="preserve">and </w:t>
      </w:r>
      <w:r w:rsidR="00357FA5">
        <w:t xml:space="preserve">payment of income </w:t>
      </w:r>
      <w:r w:rsidR="009701BA">
        <w:t>tax</w:t>
      </w:r>
      <w:r w:rsidR="00D60AC8">
        <w:t xml:space="preserve"> (including provisional tax)</w:t>
      </w:r>
      <w:r w:rsidR="009701BA">
        <w:t xml:space="preserve"> </w:t>
      </w:r>
      <w:r w:rsidR="00357FA5">
        <w:t>and good</w:t>
      </w:r>
      <w:r w:rsidR="008237AD">
        <w:t>s</w:t>
      </w:r>
      <w:r w:rsidR="00357FA5">
        <w:t xml:space="preserve"> and services tax </w:t>
      </w:r>
      <w:r w:rsidR="007B41E2">
        <w:t>(GST)</w:t>
      </w:r>
      <w:r w:rsidR="00CA3110">
        <w:t xml:space="preserve"> </w:t>
      </w:r>
      <w:r w:rsidR="009F303C">
        <w:t>from</w:t>
      </w:r>
      <w:r w:rsidR="00357FA5">
        <w:t xml:space="preserve"> 28 </w:t>
      </w:r>
      <w:r w:rsidR="00BC476C">
        <w:t xml:space="preserve">October </w:t>
      </w:r>
      <w:r w:rsidR="00357FA5">
        <w:t xml:space="preserve">2021 to </w:t>
      </w:r>
      <w:r w:rsidR="00CC17D5">
        <w:t>4 November</w:t>
      </w:r>
      <w:r w:rsidR="0034136E">
        <w:t xml:space="preserve"> 2021</w:t>
      </w:r>
      <w:r w:rsidR="00B746CC">
        <w:t xml:space="preserve">. </w:t>
      </w:r>
      <w:r w:rsidR="00640D36">
        <w:t xml:space="preserve">This extension </w:t>
      </w:r>
      <w:r w:rsidR="008B6D00">
        <w:t xml:space="preserve">of time </w:t>
      </w:r>
      <w:r w:rsidR="00640D36">
        <w:t>can be achieved by an Order in Council made under section 226 of the Tax Administration Act 1994</w:t>
      </w:r>
      <w:r w:rsidR="008B6D00">
        <w:t xml:space="preserve"> (TAA).</w:t>
      </w:r>
    </w:p>
    <w:p w14:paraId="705129BA" w14:textId="0BAACC9E" w:rsidR="00394020" w:rsidRDefault="006B778D" w:rsidP="00253425">
      <w:pPr>
        <w:pStyle w:val="NumberedParagraph"/>
      </w:pPr>
      <w:r>
        <w:t>C</w:t>
      </w:r>
      <w:r w:rsidR="009F0C2B">
        <w:t>ustomer</w:t>
      </w:r>
      <w:r w:rsidR="00E559BF">
        <w:t>s</w:t>
      </w:r>
      <w:r w:rsidR="00BC476C">
        <w:t xml:space="preserve"> may struggl</w:t>
      </w:r>
      <w:r w:rsidR="008B62F3">
        <w:t>e</w:t>
      </w:r>
      <w:r w:rsidR="00BC476C">
        <w:t xml:space="preserve"> to meet the </w:t>
      </w:r>
      <w:r w:rsidR="00C006F5">
        <w:t xml:space="preserve">existing </w:t>
      </w:r>
      <w:r w:rsidR="00A80CBA">
        <w:t xml:space="preserve">due date because of a combination of </w:t>
      </w:r>
      <w:r w:rsidR="7CA04FA0">
        <w:t>C</w:t>
      </w:r>
      <w:r w:rsidR="00944487">
        <w:t>OVID-19</w:t>
      </w:r>
      <w:r w:rsidR="7CA04FA0">
        <w:t xml:space="preserve"> impacts across the country</w:t>
      </w:r>
      <w:r w:rsidR="00B14001">
        <w:t>,</w:t>
      </w:r>
      <w:r w:rsidR="7CA04FA0">
        <w:t xml:space="preserve"> </w:t>
      </w:r>
      <w:r w:rsidR="001E5B54">
        <w:t xml:space="preserve">the extended higher alert level in the Auckland </w:t>
      </w:r>
      <w:r w:rsidR="00F347F6">
        <w:t xml:space="preserve">region and the cutover of </w:t>
      </w:r>
      <w:r w:rsidR="00B62A48">
        <w:t>t</w:t>
      </w:r>
      <w:r w:rsidR="00B62A48">
        <w:rPr>
          <w:lang w:eastAsia="en-US"/>
        </w:rPr>
        <w:t xml:space="preserve">he second release of Stage 4 </w:t>
      </w:r>
      <w:r w:rsidR="00F347F6">
        <w:t>of START</w:t>
      </w:r>
      <w:r w:rsidR="009F0C2B">
        <w:rPr>
          <w:rStyle w:val="FootnoteReference"/>
        </w:rPr>
        <w:footnoteReference w:id="2"/>
      </w:r>
      <w:r w:rsidR="00C006F5">
        <w:t>.</w:t>
      </w:r>
      <w:r w:rsidR="00F347F6">
        <w:t xml:space="preserve"> </w:t>
      </w:r>
      <w:r w:rsidR="00C006F5">
        <w:t xml:space="preserve">This change of date will allow </w:t>
      </w:r>
      <w:r w:rsidR="00E803DD">
        <w:t>customers</w:t>
      </w:r>
      <w:r w:rsidR="00C006F5">
        <w:t xml:space="preserve"> </w:t>
      </w:r>
      <w:r w:rsidR="00F347F6">
        <w:t xml:space="preserve">more time to </w:t>
      </w:r>
      <w:r w:rsidR="008027BA">
        <w:t>meet the</w:t>
      </w:r>
      <w:r w:rsidR="009F0C2B">
        <w:t>ir</w:t>
      </w:r>
      <w:r w:rsidR="007E523F">
        <w:t xml:space="preserve"> compliance requirements</w:t>
      </w:r>
      <w:r w:rsidR="00F347F6">
        <w:t>.</w:t>
      </w:r>
    </w:p>
    <w:p w14:paraId="1E6EE0DF" w14:textId="778B6497" w:rsidR="00BC7E9D" w:rsidRDefault="000C7261" w:rsidP="00253425">
      <w:pPr>
        <w:pStyle w:val="NumberedParagraph"/>
      </w:pPr>
      <w:r>
        <w:t>Section 226 of the TAA gives the Governor</w:t>
      </w:r>
      <w:r w:rsidR="00377826">
        <w:t>-</w:t>
      </w:r>
      <w:r>
        <w:t>General</w:t>
      </w:r>
      <w:r w:rsidR="00FF65DC">
        <w:t>, by Order in Council,</w:t>
      </w:r>
      <w:r>
        <w:t xml:space="preserve"> the power to extend </w:t>
      </w:r>
      <w:r w:rsidR="00985A3A">
        <w:t xml:space="preserve">the time for a taxpayer to do anything required under </w:t>
      </w:r>
      <w:r w:rsidR="008D61B1">
        <w:t xml:space="preserve">the TAA, </w:t>
      </w:r>
      <w:r w:rsidR="00985A3A">
        <w:t xml:space="preserve">the Income Tax Act 2007 or the Goods and Services Tax Act </w:t>
      </w:r>
      <w:r w:rsidR="008D78ED">
        <w:t>1</w:t>
      </w:r>
      <w:r w:rsidR="00985A3A">
        <w:t>98</w:t>
      </w:r>
      <w:r w:rsidR="00E559BF">
        <w:t>5</w:t>
      </w:r>
      <w:r w:rsidR="00985A3A">
        <w:t>.</w:t>
      </w:r>
      <w:r w:rsidR="00377826">
        <w:t xml:space="preserve"> This includes the </w:t>
      </w:r>
      <w:r w:rsidR="00415177">
        <w:t xml:space="preserve">due </w:t>
      </w:r>
      <w:r w:rsidR="00377826">
        <w:t>date for the filing of tax returns and the payment of tax.</w:t>
      </w:r>
    </w:p>
    <w:p w14:paraId="6ED70A21" w14:textId="6ED411C0" w:rsidR="00161C07" w:rsidRDefault="00443D06" w:rsidP="001347FE">
      <w:pPr>
        <w:pStyle w:val="NumberedParagraph"/>
      </w:pPr>
      <w:r>
        <w:rPr>
          <w:lang w:eastAsia="en-US"/>
        </w:rPr>
        <w:t xml:space="preserve">The second release of Stage 4 </w:t>
      </w:r>
      <w:r w:rsidR="00157806">
        <w:t xml:space="preserve">of </w:t>
      </w:r>
      <w:r w:rsidR="00DC074F">
        <w:t>Inland Revenue’s</w:t>
      </w:r>
      <w:r w:rsidR="00157806">
        <w:t xml:space="preserve"> START system is due to </w:t>
      </w:r>
      <w:r w:rsidR="00884264">
        <w:t>“</w:t>
      </w:r>
      <w:r w:rsidR="00157806">
        <w:t>go live</w:t>
      </w:r>
      <w:r w:rsidR="00884264">
        <w:t>”</w:t>
      </w:r>
      <w:r w:rsidR="00157806">
        <w:t xml:space="preserve"> on the 28</w:t>
      </w:r>
      <w:r w:rsidR="00157806" w:rsidRPr="00182337">
        <w:rPr>
          <w:vertAlign w:val="superscript"/>
        </w:rPr>
        <w:t>th</w:t>
      </w:r>
      <w:r w:rsidR="00157806">
        <w:t xml:space="preserve"> of October</w:t>
      </w:r>
      <w:r w:rsidR="00E50522">
        <w:t xml:space="preserve">. This process will involve </w:t>
      </w:r>
      <w:r w:rsidR="00935DC4">
        <w:t xml:space="preserve">the </w:t>
      </w:r>
      <w:r w:rsidR="00645572">
        <w:t>shutdown</w:t>
      </w:r>
      <w:r w:rsidR="00E50522">
        <w:t xml:space="preserve"> of Inland Revenue’s </w:t>
      </w:r>
      <w:r w:rsidR="00935DC4">
        <w:t xml:space="preserve">computer </w:t>
      </w:r>
      <w:r w:rsidR="00E50522">
        <w:t>system</w:t>
      </w:r>
      <w:r w:rsidR="00935DC4">
        <w:t>s</w:t>
      </w:r>
      <w:r w:rsidR="00E50522">
        <w:t xml:space="preserve"> from the </w:t>
      </w:r>
      <w:r w:rsidR="00AC546C">
        <w:t>afternoon of the 21</w:t>
      </w:r>
      <w:r w:rsidR="00AC546C" w:rsidRPr="00182337">
        <w:rPr>
          <w:vertAlign w:val="superscript"/>
        </w:rPr>
        <w:t>st</w:t>
      </w:r>
      <w:r w:rsidR="00AC546C">
        <w:t xml:space="preserve"> </w:t>
      </w:r>
      <w:r w:rsidR="00E50522">
        <w:t xml:space="preserve">of October to the </w:t>
      </w:r>
      <w:r w:rsidR="004F3745">
        <w:t xml:space="preserve">morning of the </w:t>
      </w:r>
      <w:r w:rsidR="00E50522">
        <w:t>2</w:t>
      </w:r>
      <w:r w:rsidR="004F3745">
        <w:t>8</w:t>
      </w:r>
      <w:r w:rsidR="00E50522" w:rsidRPr="00182337">
        <w:rPr>
          <w:vertAlign w:val="superscript"/>
        </w:rPr>
        <w:t>th</w:t>
      </w:r>
      <w:r w:rsidR="00E50522">
        <w:t xml:space="preserve"> of October</w:t>
      </w:r>
      <w:r w:rsidR="00A27CEC">
        <w:t>.</w:t>
      </w:r>
      <w:r w:rsidR="00E50522">
        <w:t xml:space="preserve"> </w:t>
      </w:r>
      <w:r w:rsidR="00321545">
        <w:t>D</w:t>
      </w:r>
      <w:r w:rsidR="00E50522">
        <w:t xml:space="preserve">uring this </w:t>
      </w:r>
      <w:r w:rsidR="00A36D38">
        <w:t>period</w:t>
      </w:r>
      <w:r w:rsidR="00321545">
        <w:t>,</w:t>
      </w:r>
      <w:r w:rsidR="00E50522">
        <w:t xml:space="preserve"> </w:t>
      </w:r>
      <w:r w:rsidR="00850675">
        <w:t>customers</w:t>
      </w:r>
      <w:r w:rsidR="00E50522">
        <w:t xml:space="preserve"> will not be able to access those </w:t>
      </w:r>
      <w:r w:rsidR="00B076F0">
        <w:t>systems</w:t>
      </w:r>
      <w:r w:rsidR="00E50522">
        <w:t xml:space="preserve"> </w:t>
      </w:r>
      <w:r w:rsidR="0BB292CC">
        <w:t xml:space="preserve">to file their GST </w:t>
      </w:r>
      <w:r w:rsidR="002E40C5">
        <w:t>r</w:t>
      </w:r>
      <w:r w:rsidR="0BB292CC">
        <w:t xml:space="preserve">eturns </w:t>
      </w:r>
      <w:r w:rsidR="00BB7C6B">
        <w:t>before</w:t>
      </w:r>
      <w:r w:rsidR="00170FA3">
        <w:t xml:space="preserve"> the due date</w:t>
      </w:r>
      <w:r w:rsidR="0BB292CC">
        <w:t>. A</w:t>
      </w:r>
      <w:r w:rsidR="00E50522">
        <w:t xml:space="preserve">lthough taxpayers </w:t>
      </w:r>
      <w:r w:rsidR="00FF045D">
        <w:t>will</w:t>
      </w:r>
      <w:r w:rsidR="00E50522">
        <w:t xml:space="preserve"> still </w:t>
      </w:r>
      <w:r w:rsidR="004F3745">
        <w:t xml:space="preserve">generally </w:t>
      </w:r>
      <w:r w:rsidR="00290135">
        <w:t xml:space="preserve">be </w:t>
      </w:r>
      <w:r w:rsidR="00E50522">
        <w:t xml:space="preserve">able to make payments during that cutover </w:t>
      </w:r>
      <w:r w:rsidR="00950D4E">
        <w:t>period</w:t>
      </w:r>
      <w:r w:rsidR="004F3745">
        <w:rPr>
          <w:rStyle w:val="FootnoteReference"/>
        </w:rPr>
        <w:footnoteReference w:id="3"/>
      </w:r>
      <w:r w:rsidR="00950D4E">
        <w:t>,</w:t>
      </w:r>
      <w:r w:rsidR="00E50522">
        <w:t xml:space="preserve"> they will not be able to file returns.</w:t>
      </w:r>
    </w:p>
    <w:p w14:paraId="5AF5680C" w14:textId="6F78A840" w:rsidR="00E50296" w:rsidRDefault="00C433C5" w:rsidP="001347FE">
      <w:pPr>
        <w:pStyle w:val="NumberedParagraph"/>
      </w:pPr>
      <w:r w:rsidRPr="00F75985">
        <w:t>Before</w:t>
      </w:r>
      <w:r w:rsidR="00161C07" w:rsidRPr="00F75985">
        <w:t xml:space="preserve"> the </w:t>
      </w:r>
      <w:r w:rsidR="00815E6E" w:rsidRPr="00F75985">
        <w:t>COVID-19</w:t>
      </w:r>
      <w:r w:rsidR="00161C07" w:rsidRPr="00F75985">
        <w:t xml:space="preserve"> outbreak</w:t>
      </w:r>
      <w:r w:rsidR="008B164F" w:rsidRPr="00F75985">
        <w:t>,</w:t>
      </w:r>
      <w:r w:rsidR="00161C07" w:rsidRPr="00F75985">
        <w:t xml:space="preserve"> Inland Revenue considered we could manage any concerns of customers on an exception basis</w:t>
      </w:r>
      <w:r w:rsidR="008B164F" w:rsidRPr="00F75985">
        <w:t>.</w:t>
      </w:r>
      <w:r w:rsidR="00161C07" w:rsidRPr="00F75985">
        <w:t xml:space="preserve"> </w:t>
      </w:r>
      <w:r w:rsidR="008B164F" w:rsidRPr="00F75985">
        <w:t>H</w:t>
      </w:r>
      <w:r w:rsidR="00161C07" w:rsidRPr="00F75985">
        <w:t>owever</w:t>
      </w:r>
      <w:r w:rsidR="008B164F" w:rsidRPr="00F75985">
        <w:t>,</w:t>
      </w:r>
      <w:r w:rsidR="00161C07" w:rsidRPr="00F75985">
        <w:t xml:space="preserve"> this has now changed with the pressure on </w:t>
      </w:r>
      <w:r w:rsidR="003907C2" w:rsidRPr="00F75985">
        <w:t xml:space="preserve">both </w:t>
      </w:r>
      <w:r w:rsidR="00161C07" w:rsidRPr="00F75985">
        <w:t>businesses and Inland Revenue</w:t>
      </w:r>
      <w:r w:rsidR="00651D78" w:rsidRPr="00F75985">
        <w:t>.</w:t>
      </w:r>
    </w:p>
    <w:p w14:paraId="2089DAAE" w14:textId="4DBA36EB" w:rsidR="001B7D57" w:rsidRDefault="006A3B0C" w:rsidP="001347FE">
      <w:pPr>
        <w:pStyle w:val="NumberedParagraph"/>
      </w:pPr>
      <w:r>
        <w:t>D</w:t>
      </w:r>
      <w:r w:rsidR="001B7D57">
        <w:t xml:space="preserve">elaying the </w:t>
      </w:r>
      <w:r w:rsidR="00A825B5">
        <w:t>due</w:t>
      </w:r>
      <w:r w:rsidR="001B7D57">
        <w:t xml:space="preserve"> date </w:t>
      </w:r>
      <w:r w:rsidR="006D2551">
        <w:t xml:space="preserve">to </w:t>
      </w:r>
      <w:r w:rsidR="00CC17D5">
        <w:t>4 November</w:t>
      </w:r>
      <w:r w:rsidR="006D2551">
        <w:t xml:space="preserve"> </w:t>
      </w:r>
      <w:r w:rsidR="001B7D57">
        <w:t xml:space="preserve">will </w:t>
      </w:r>
      <w:r w:rsidR="00AC7400">
        <w:t xml:space="preserve">largely </w:t>
      </w:r>
      <w:r w:rsidR="00A825B5">
        <w:t xml:space="preserve">restore to </w:t>
      </w:r>
      <w:r w:rsidR="006C7EBB">
        <w:t>customers</w:t>
      </w:r>
      <w:r w:rsidR="00AC7400">
        <w:t xml:space="preserve"> the </w:t>
      </w:r>
      <w:r w:rsidR="00C469EF">
        <w:t xml:space="preserve">business </w:t>
      </w:r>
      <w:r w:rsidR="266D6F1F">
        <w:t>days</w:t>
      </w:r>
      <w:r w:rsidR="004B059A">
        <w:t xml:space="preserve"> whe</w:t>
      </w:r>
      <w:r w:rsidR="009468EC">
        <w:t>n</w:t>
      </w:r>
      <w:r w:rsidR="004B059A">
        <w:t xml:space="preserve"> Inland Revenue’s systems are unavailable</w:t>
      </w:r>
      <w:r w:rsidR="008B4C1C">
        <w:t xml:space="preserve">. </w:t>
      </w:r>
      <w:r w:rsidR="00E241FE">
        <w:t xml:space="preserve"> </w:t>
      </w:r>
      <w:r w:rsidR="002C5EAF">
        <w:t>M</w:t>
      </w:r>
      <w:r w:rsidR="006C7EBB">
        <w:t xml:space="preserve">ore </w:t>
      </w:r>
      <w:r w:rsidR="00E241FE">
        <w:t>generally</w:t>
      </w:r>
      <w:r w:rsidR="002C5EAF">
        <w:t>, it will also</w:t>
      </w:r>
      <w:r w:rsidR="00E241FE">
        <w:t xml:space="preserve"> giv</w:t>
      </w:r>
      <w:r w:rsidR="002C5EAF">
        <w:t>e</w:t>
      </w:r>
      <w:r w:rsidR="004B059A">
        <w:t xml:space="preserve"> </w:t>
      </w:r>
      <w:r w:rsidR="00C45184">
        <w:t>customers</w:t>
      </w:r>
      <w:r w:rsidR="001B7D57">
        <w:t xml:space="preserve"> extra time to meet their obligations</w:t>
      </w:r>
      <w:r w:rsidR="00C835A1">
        <w:t>,</w:t>
      </w:r>
      <w:r w:rsidR="00E241FE">
        <w:t xml:space="preserve"> which may </w:t>
      </w:r>
      <w:r w:rsidR="006C7EBB">
        <w:t xml:space="preserve">not have been top of mind </w:t>
      </w:r>
      <w:r w:rsidR="00640BC1">
        <w:t>during the extended lockdown</w:t>
      </w:r>
      <w:r w:rsidR="0050624D">
        <w:t xml:space="preserve"> period</w:t>
      </w:r>
      <w:r w:rsidR="00D27597">
        <w:t>.</w:t>
      </w:r>
    </w:p>
    <w:p w14:paraId="0FD86A8D" w14:textId="5F24C07A" w:rsidR="008B065A" w:rsidRDefault="008B065A" w:rsidP="00253425">
      <w:pPr>
        <w:pStyle w:val="NumberedParagraph"/>
      </w:pPr>
      <w:r>
        <w:t>The fiscal cost of delaying the due date will</w:t>
      </w:r>
      <w:r w:rsidR="005A63AC">
        <w:t xml:space="preserve"> be a maximum of $</w:t>
      </w:r>
      <w:r w:rsidR="00C469EF">
        <w:t>1.</w:t>
      </w:r>
      <w:r w:rsidR="00142FFA">
        <w:t>8</w:t>
      </w:r>
      <w:r w:rsidR="00C469EF">
        <w:t>0</w:t>
      </w:r>
      <w:r w:rsidR="00CA10C8">
        <w:t xml:space="preserve"> </w:t>
      </w:r>
      <w:r w:rsidR="005A63AC">
        <w:t>million</w:t>
      </w:r>
      <w:r w:rsidR="00CB2662">
        <w:t>,</w:t>
      </w:r>
      <w:r w:rsidR="005A63AC">
        <w:t xml:space="preserve"> which can be met through the scorecard.</w:t>
      </w:r>
    </w:p>
    <w:p w14:paraId="7DA78866" w14:textId="77777777" w:rsidR="00253425" w:rsidRDefault="00253425" w:rsidP="00253425">
      <w:pPr>
        <w:pStyle w:val="Heading2"/>
      </w:pPr>
      <w:r>
        <w:t>Background</w:t>
      </w:r>
    </w:p>
    <w:p w14:paraId="68901AC3" w14:textId="654D7694" w:rsidR="008D07B6" w:rsidRDefault="00332A75" w:rsidP="008D07B6">
      <w:pPr>
        <w:pStyle w:val="NumberedParagraph"/>
      </w:pPr>
      <w:r>
        <w:t>T</w:t>
      </w:r>
      <w:r w:rsidR="009360A8">
        <w:t xml:space="preserve">he final release of </w:t>
      </w:r>
      <w:r w:rsidR="00884264">
        <w:t xml:space="preserve">Inland Revenue’s </w:t>
      </w:r>
      <w:r w:rsidR="009360A8">
        <w:t xml:space="preserve">START </w:t>
      </w:r>
      <w:r w:rsidR="00124E15">
        <w:t xml:space="preserve">system </w:t>
      </w:r>
      <w:r w:rsidR="00884264">
        <w:t xml:space="preserve">is due to “go live” </w:t>
      </w:r>
      <w:r w:rsidR="00124E15">
        <w:t>on the morning of 28</w:t>
      </w:r>
      <w:r w:rsidR="00E50296">
        <w:t xml:space="preserve"> </w:t>
      </w:r>
      <w:r w:rsidR="00B74FA0">
        <w:t xml:space="preserve">October 2021. </w:t>
      </w:r>
      <w:r w:rsidR="00CB2662">
        <w:t>Before</w:t>
      </w:r>
      <w:r w:rsidR="00E2520C">
        <w:t xml:space="preserve"> that</w:t>
      </w:r>
      <w:r w:rsidR="00B52F54">
        <w:t>,</w:t>
      </w:r>
      <w:r w:rsidR="00E2520C">
        <w:t xml:space="preserve"> </w:t>
      </w:r>
      <w:r w:rsidR="006A1ED2">
        <w:t xml:space="preserve">customers will not be able to access </w:t>
      </w:r>
      <w:r w:rsidR="00E2520C">
        <w:t xml:space="preserve">Inland Revenue systems </w:t>
      </w:r>
      <w:r w:rsidR="00A56C95">
        <w:t>from the afternoon of the 21</w:t>
      </w:r>
      <w:r w:rsidR="00A56C95" w:rsidRPr="00A56C95">
        <w:rPr>
          <w:vertAlign w:val="superscript"/>
        </w:rPr>
        <w:t>st</w:t>
      </w:r>
      <w:r w:rsidR="00A56C95">
        <w:t xml:space="preserve"> of October until the morning of the 28</w:t>
      </w:r>
      <w:r w:rsidR="00A56C95" w:rsidRPr="00A56C95">
        <w:rPr>
          <w:vertAlign w:val="superscript"/>
        </w:rPr>
        <w:t>th</w:t>
      </w:r>
      <w:r w:rsidR="00A56C95">
        <w:t xml:space="preserve"> of October</w:t>
      </w:r>
      <w:r w:rsidR="00D803A0">
        <w:t>.</w:t>
      </w:r>
    </w:p>
    <w:p w14:paraId="662F38C2" w14:textId="38818FA5" w:rsidR="008777B8" w:rsidRDefault="00D803A0" w:rsidP="00253425">
      <w:pPr>
        <w:pStyle w:val="NumberedParagraph"/>
      </w:pPr>
      <w:r>
        <w:t xml:space="preserve">This cutover </w:t>
      </w:r>
      <w:r w:rsidR="00E1785E">
        <w:t>period</w:t>
      </w:r>
      <w:r>
        <w:t xml:space="preserve"> was chosen </w:t>
      </w:r>
      <w:r w:rsidR="00082FE6">
        <w:t>because</w:t>
      </w:r>
      <w:r w:rsidR="00C97AD1">
        <w:t xml:space="preserve"> </w:t>
      </w:r>
      <w:r>
        <w:t xml:space="preserve">the timing of Labour weekend means Inland Revenue systems would </w:t>
      </w:r>
      <w:r w:rsidR="00AB1C96">
        <w:t xml:space="preserve">only </w:t>
      </w:r>
      <w:r>
        <w:t xml:space="preserve">be unavailable </w:t>
      </w:r>
      <w:r w:rsidR="003D0832">
        <w:t>for</w:t>
      </w:r>
      <w:r>
        <w:t xml:space="preserve"> </w:t>
      </w:r>
      <w:r w:rsidR="00837DEB">
        <w:t xml:space="preserve">three </w:t>
      </w:r>
      <w:r w:rsidR="003D0832">
        <w:t xml:space="preserve">working </w:t>
      </w:r>
      <w:r w:rsidR="00837DEB">
        <w:t xml:space="preserve">days. Cutting over without the long weekend would </w:t>
      </w:r>
      <w:r w:rsidR="00661E55">
        <w:t xml:space="preserve">mean </w:t>
      </w:r>
      <w:r w:rsidR="00837DEB">
        <w:t xml:space="preserve">a minimum of four </w:t>
      </w:r>
      <w:r w:rsidR="00C97AD1">
        <w:t xml:space="preserve">working </w:t>
      </w:r>
      <w:r w:rsidR="00837DEB">
        <w:t>days</w:t>
      </w:r>
      <w:r w:rsidR="00661E55">
        <w:t xml:space="preserve"> without </w:t>
      </w:r>
      <w:r w:rsidR="0071268C">
        <w:t>customer</w:t>
      </w:r>
      <w:r w:rsidR="007A18AE">
        <w:t xml:space="preserve"> </w:t>
      </w:r>
      <w:r w:rsidR="00661E55">
        <w:t>access to the systems</w:t>
      </w:r>
      <w:r w:rsidR="007A18AE">
        <w:t>.</w:t>
      </w:r>
    </w:p>
    <w:p w14:paraId="2E97B1E1" w14:textId="37EB511C" w:rsidR="007A18AE" w:rsidRDefault="007A18AE" w:rsidP="00253425">
      <w:pPr>
        <w:pStyle w:val="NumberedParagraph"/>
      </w:pPr>
      <w:r>
        <w:t>In addition</w:t>
      </w:r>
      <w:r w:rsidR="002D7A68">
        <w:t>,</w:t>
      </w:r>
      <w:r>
        <w:t xml:space="preserve"> this release of START </w:t>
      </w:r>
      <w:r w:rsidR="00480196">
        <w:t xml:space="preserve">migrates </w:t>
      </w:r>
      <w:r w:rsidR="00327B2B">
        <w:t>child support into START</w:t>
      </w:r>
      <w:r w:rsidR="00A25835">
        <w:t>. Having a later cutover date m</w:t>
      </w:r>
      <w:r w:rsidR="008E25F1">
        <w:t>ight</w:t>
      </w:r>
      <w:r w:rsidR="00A25835">
        <w:t xml:space="preserve"> have affected </w:t>
      </w:r>
      <w:r w:rsidR="00AC448A">
        <w:t>when</w:t>
      </w:r>
      <w:r w:rsidR="000B69FF">
        <w:t xml:space="preserve"> child support customers receive</w:t>
      </w:r>
      <w:r w:rsidR="00AC448A">
        <w:t>d</w:t>
      </w:r>
      <w:r w:rsidR="000B69FF">
        <w:t xml:space="preserve"> their first payment under the START system</w:t>
      </w:r>
      <w:r w:rsidR="003F4172">
        <w:t>.</w:t>
      </w:r>
    </w:p>
    <w:p w14:paraId="790C5D40" w14:textId="74EB92C6" w:rsidR="002D7A68" w:rsidRDefault="002D7A68" w:rsidP="00253425">
      <w:pPr>
        <w:pStyle w:val="NumberedParagraph"/>
      </w:pPr>
      <w:r>
        <w:t xml:space="preserve">System upgrades </w:t>
      </w:r>
      <w:r w:rsidR="00DE68EC">
        <w:t xml:space="preserve">to be </w:t>
      </w:r>
      <w:r w:rsidR="00FA5B5D">
        <w:t>made at the same time</w:t>
      </w:r>
      <w:r w:rsidR="006378CB">
        <w:t xml:space="preserve"> </w:t>
      </w:r>
      <w:r>
        <w:t xml:space="preserve">will also make improvements to </w:t>
      </w:r>
      <w:r w:rsidR="22CC8F13">
        <w:t>m</w:t>
      </w:r>
      <w:r>
        <w:t xml:space="preserve">yIR </w:t>
      </w:r>
      <w:r w:rsidR="00E72ED7">
        <w:t>to</w:t>
      </w:r>
      <w:r>
        <w:t xml:space="preserve"> make it </w:t>
      </w:r>
      <w:r w:rsidR="00103E26">
        <w:t>e</w:t>
      </w:r>
      <w:r>
        <w:t>asier to use and deliver new functionality for customers</w:t>
      </w:r>
      <w:r w:rsidR="006A7AFF">
        <w:t>.</w:t>
      </w:r>
      <w:r w:rsidR="00103E26">
        <w:t xml:space="preserve"> </w:t>
      </w:r>
      <w:r w:rsidR="006A7AFF">
        <w:t>H</w:t>
      </w:r>
      <w:r w:rsidR="00103E26">
        <w:t xml:space="preserve">owever, some customers </w:t>
      </w:r>
      <w:r w:rsidR="00827EF0">
        <w:t xml:space="preserve">may take </w:t>
      </w:r>
      <w:r w:rsidR="00F653A3">
        <w:t xml:space="preserve">a little time to </w:t>
      </w:r>
      <w:r w:rsidR="0036709E">
        <w:t xml:space="preserve">get </w:t>
      </w:r>
      <w:r w:rsidR="00BC0A26">
        <w:t>familiar with</w:t>
      </w:r>
      <w:r w:rsidR="00827EF0">
        <w:t xml:space="preserve"> the new improvements</w:t>
      </w:r>
      <w:r w:rsidR="00881D0E">
        <w:t>.</w:t>
      </w:r>
    </w:p>
    <w:p w14:paraId="7255D467" w14:textId="4F470D80" w:rsidR="002C638D" w:rsidRDefault="002C638D" w:rsidP="00253425">
      <w:pPr>
        <w:pStyle w:val="NumberedParagraph"/>
      </w:pPr>
      <w:r>
        <w:t>The 28</w:t>
      </w:r>
      <w:r w:rsidRPr="002C638D">
        <w:rPr>
          <w:vertAlign w:val="superscript"/>
        </w:rPr>
        <w:t>th</w:t>
      </w:r>
      <w:r>
        <w:t xml:space="preserve"> of October is a major </w:t>
      </w:r>
      <w:r w:rsidR="000A71C6">
        <w:t>due</w:t>
      </w:r>
      <w:r>
        <w:t xml:space="preserve"> date for GST and a </w:t>
      </w:r>
      <w:r w:rsidRPr="00FD108E">
        <w:t xml:space="preserve">minor </w:t>
      </w:r>
      <w:r w:rsidR="0091507B" w:rsidRPr="00FD108E">
        <w:t xml:space="preserve">due </w:t>
      </w:r>
      <w:r w:rsidRPr="00FD108E">
        <w:t>date for income tax</w:t>
      </w:r>
      <w:r w:rsidR="00B9728F" w:rsidRPr="00FD108E">
        <w:t xml:space="preserve"> (including provisional tax)</w:t>
      </w:r>
      <w:r w:rsidR="00F362DF" w:rsidRPr="00FD108E">
        <w:rPr>
          <w:rStyle w:val="FootnoteReference"/>
        </w:rPr>
        <w:footnoteReference w:id="4"/>
      </w:r>
      <w:r w:rsidR="00C2373F" w:rsidRPr="00FD108E">
        <w:t xml:space="preserve"> by volume</w:t>
      </w:r>
      <w:r w:rsidR="004E695A" w:rsidRPr="00FD108E">
        <w:t>. Although</w:t>
      </w:r>
      <w:r w:rsidR="2B37D4E0">
        <w:t xml:space="preserve"> </w:t>
      </w:r>
      <w:r w:rsidR="00156992">
        <w:t>many</w:t>
      </w:r>
      <w:r w:rsidR="004E695A">
        <w:t xml:space="preserve"> customers file their returns early</w:t>
      </w:r>
      <w:r w:rsidR="00023CDC">
        <w:t>,</w:t>
      </w:r>
      <w:r w:rsidR="004E695A">
        <w:t xml:space="preserve"> the </w:t>
      </w:r>
      <w:r w:rsidR="00AB6D0F">
        <w:t xml:space="preserve">inaccessibility of Inland Revenue systems may be problematic for some customers who </w:t>
      </w:r>
      <w:r w:rsidR="004F273C">
        <w:t xml:space="preserve">would </w:t>
      </w:r>
      <w:r w:rsidR="00AB6D0F">
        <w:t xml:space="preserve">usually file their GST returns and make their </w:t>
      </w:r>
      <w:r w:rsidR="0077604D">
        <w:t xml:space="preserve">GST payments during that period </w:t>
      </w:r>
      <w:r w:rsidR="00456BB9">
        <w:t>before</w:t>
      </w:r>
      <w:r w:rsidR="6103F859">
        <w:t xml:space="preserve"> </w:t>
      </w:r>
      <w:r w:rsidR="0077604D">
        <w:t>the due date</w:t>
      </w:r>
      <w:r w:rsidR="00232218">
        <w:t xml:space="preserve"> when</w:t>
      </w:r>
      <w:r w:rsidR="00DC2770">
        <w:t xml:space="preserve"> </w:t>
      </w:r>
      <w:r w:rsidR="00232218">
        <w:t>those systems are inaccessible</w:t>
      </w:r>
      <w:r w:rsidR="0077604D">
        <w:t>.</w:t>
      </w:r>
      <w:r w:rsidR="00EB5669">
        <w:t xml:space="preserve"> </w:t>
      </w:r>
      <w:r w:rsidR="7AE8A8C7">
        <w:t>Whil</w:t>
      </w:r>
      <w:r w:rsidR="009B42C0">
        <w:t>e</w:t>
      </w:r>
      <w:r w:rsidR="00EB5669">
        <w:t xml:space="preserve"> Inland Revenue will still be able to accept most payments</w:t>
      </w:r>
      <w:r w:rsidR="00095E02">
        <w:rPr>
          <w:rStyle w:val="FootnoteReference"/>
        </w:rPr>
        <w:footnoteReference w:id="5"/>
      </w:r>
      <w:r w:rsidR="003D5FD2">
        <w:t>,</w:t>
      </w:r>
      <w:r w:rsidR="00EB5669">
        <w:t xml:space="preserve"> </w:t>
      </w:r>
      <w:r w:rsidR="00C52AED">
        <w:t>customers may need system access to calculate their liability</w:t>
      </w:r>
      <w:r w:rsidR="003D5FD2">
        <w:t xml:space="preserve"> to pay</w:t>
      </w:r>
      <w:r w:rsidR="00C52AED">
        <w:t>.</w:t>
      </w:r>
    </w:p>
    <w:p w14:paraId="5E330E9D" w14:textId="5FA825F1" w:rsidR="0077604D" w:rsidRDefault="0077604D" w:rsidP="00253425">
      <w:pPr>
        <w:pStyle w:val="NumberedParagraph"/>
      </w:pPr>
      <w:r>
        <w:t xml:space="preserve">In addition, many customers </w:t>
      </w:r>
      <w:r w:rsidR="00095E02">
        <w:t>may</w:t>
      </w:r>
      <w:r>
        <w:t xml:space="preserve"> only just be getting back to </w:t>
      </w:r>
      <w:r w:rsidR="005D3989">
        <w:t>semi-normal operations at level 2 by that date</w:t>
      </w:r>
      <w:r w:rsidR="001E1B68">
        <w:t>, due to the extended lockdown in the Auckland region</w:t>
      </w:r>
      <w:r w:rsidR="005D3989">
        <w:t xml:space="preserve">. While Inland Revenue can assist those </w:t>
      </w:r>
      <w:r w:rsidR="001B489F">
        <w:t>customers</w:t>
      </w:r>
      <w:r w:rsidR="005D3989">
        <w:t xml:space="preserve"> who have financial difficulties due to COVID</w:t>
      </w:r>
      <w:r w:rsidR="00071C60">
        <w:t>-19,</w:t>
      </w:r>
      <w:r w:rsidR="005D3989">
        <w:t xml:space="preserve"> a large number of </w:t>
      </w:r>
      <w:r w:rsidR="00183011">
        <w:t xml:space="preserve">customers won’t meet </w:t>
      </w:r>
      <w:r w:rsidR="001B489F">
        <w:t xml:space="preserve">the </w:t>
      </w:r>
      <w:r w:rsidR="00183011">
        <w:t>requirement</w:t>
      </w:r>
      <w:r w:rsidR="001B489F">
        <w:t>s</w:t>
      </w:r>
      <w:r w:rsidR="00183011">
        <w:t xml:space="preserve"> </w:t>
      </w:r>
      <w:r w:rsidR="00301B9F">
        <w:t xml:space="preserve">for that assistance </w:t>
      </w:r>
      <w:r w:rsidR="00183011">
        <w:t xml:space="preserve">but </w:t>
      </w:r>
      <w:r w:rsidR="001B489F">
        <w:t>would benefit from a few extra days to meet their compliance obligations</w:t>
      </w:r>
      <w:r w:rsidR="00736E0C">
        <w:t>.</w:t>
      </w:r>
    </w:p>
    <w:p w14:paraId="6F4F9E8B" w14:textId="19BD57D0" w:rsidR="001444C1" w:rsidRDefault="00BD48D2" w:rsidP="12D88151">
      <w:pPr>
        <w:pStyle w:val="NumberedParagraph"/>
      </w:pPr>
      <w:r>
        <w:t>Another pressure on this period is the</w:t>
      </w:r>
      <w:r w:rsidR="002919AA">
        <w:t xml:space="preserve"> opening of the next tranche of the resurgence support payment </w:t>
      </w:r>
      <w:r w:rsidR="00446C6C">
        <w:t xml:space="preserve">(RSP) </w:t>
      </w:r>
      <w:r w:rsidR="002919AA">
        <w:t>on the 29</w:t>
      </w:r>
      <w:r w:rsidR="002919AA" w:rsidRPr="009D382B">
        <w:rPr>
          <w:vertAlign w:val="superscript"/>
        </w:rPr>
        <w:t>th</w:t>
      </w:r>
      <w:r w:rsidR="002919AA">
        <w:t xml:space="preserve"> of October</w:t>
      </w:r>
      <w:r w:rsidR="00965C6B">
        <w:t>.</w:t>
      </w:r>
      <w:r w:rsidR="002919AA">
        <w:t xml:space="preserve"> </w:t>
      </w:r>
      <w:r w:rsidR="00965C6B">
        <w:t>This</w:t>
      </w:r>
      <w:r w:rsidR="002919AA">
        <w:t xml:space="preserve"> was an additional </w:t>
      </w:r>
      <w:r w:rsidR="003504E8">
        <w:t>measure that was unplanned for this period. Th</w:t>
      </w:r>
      <w:r w:rsidR="00E00BA9">
        <w:t xml:space="preserve">e additional work required to </w:t>
      </w:r>
      <w:r w:rsidR="00446C6C">
        <w:t>support the next tranche of the RSP</w:t>
      </w:r>
      <w:r w:rsidR="00EE68DD">
        <w:t xml:space="preserve"> will </w:t>
      </w:r>
      <w:r w:rsidR="00314A82">
        <w:t xml:space="preserve">use resources that </w:t>
      </w:r>
      <w:r w:rsidR="00AC7206">
        <w:t xml:space="preserve">would otherwise be used to </w:t>
      </w:r>
      <w:r w:rsidR="001444C1">
        <w:t>support customers during the cutover period.</w:t>
      </w:r>
    </w:p>
    <w:p w14:paraId="0C9FFE47" w14:textId="42A8ECC8" w:rsidR="003B3A0F" w:rsidRDefault="00300290" w:rsidP="12D88151">
      <w:pPr>
        <w:pStyle w:val="NumberedParagraph"/>
      </w:pPr>
      <w:r>
        <w:t>Customers will be charged use of money interest and late payment and filing penalties</w:t>
      </w:r>
      <w:r w:rsidR="00097A7B">
        <w:t xml:space="preserve"> i</w:t>
      </w:r>
      <w:r w:rsidR="003B3A0F">
        <w:t xml:space="preserve">f </w:t>
      </w:r>
      <w:r w:rsidR="00C25DDD">
        <w:t>an extension o</w:t>
      </w:r>
      <w:r w:rsidR="007D5C5D">
        <w:t>f</w:t>
      </w:r>
      <w:r w:rsidR="00C25DDD">
        <w:t xml:space="preserve"> the due date </w:t>
      </w:r>
      <w:r w:rsidR="007D5C5D">
        <w:t>is</w:t>
      </w:r>
      <w:r w:rsidR="00C25DDD">
        <w:t xml:space="preserve"> not </w:t>
      </w:r>
      <w:proofErr w:type="gramStart"/>
      <w:r w:rsidR="00C25DDD">
        <w:t>made</w:t>
      </w:r>
      <w:proofErr w:type="gramEnd"/>
      <w:r w:rsidR="00C25DDD">
        <w:t xml:space="preserve"> </w:t>
      </w:r>
      <w:r w:rsidR="00DA05B4">
        <w:t>and they</w:t>
      </w:r>
      <w:r w:rsidR="00C83379">
        <w:t xml:space="preserve"> are unable</w:t>
      </w:r>
      <w:r w:rsidR="00205391">
        <w:t xml:space="preserve"> to</w:t>
      </w:r>
      <w:r w:rsidR="00C25DDD">
        <w:t xml:space="preserve"> complet</w:t>
      </w:r>
      <w:r w:rsidR="00205391">
        <w:t>e</w:t>
      </w:r>
      <w:r w:rsidR="00C25DDD">
        <w:t xml:space="preserve"> their </w:t>
      </w:r>
      <w:r w:rsidR="00605773">
        <w:t>returns or mak</w:t>
      </w:r>
      <w:r w:rsidR="00205391">
        <w:t>e</w:t>
      </w:r>
      <w:r w:rsidR="00605773">
        <w:t xml:space="preserve"> payments on time </w:t>
      </w:r>
      <w:r w:rsidR="008C471A">
        <w:t xml:space="preserve">because of the cutover or the extended lockdown and are not able to claim relief under </w:t>
      </w:r>
      <w:r w:rsidR="005E4CA5">
        <w:t xml:space="preserve">the </w:t>
      </w:r>
      <w:r w:rsidR="00301712">
        <w:t>Commissioner</w:t>
      </w:r>
      <w:r w:rsidR="00995145">
        <w:t>’</w:t>
      </w:r>
      <w:r w:rsidR="00301712">
        <w:t xml:space="preserve">s </w:t>
      </w:r>
      <w:r w:rsidR="005E4CA5">
        <w:t>specific COVID</w:t>
      </w:r>
      <w:r w:rsidR="008A65AE">
        <w:t>-19</w:t>
      </w:r>
      <w:r w:rsidR="005E4CA5">
        <w:t xml:space="preserve"> </w:t>
      </w:r>
      <w:r w:rsidR="00301712">
        <w:t>remission powers</w:t>
      </w:r>
      <w:r w:rsidR="008B41DD">
        <w:t>.</w:t>
      </w:r>
    </w:p>
    <w:p w14:paraId="65462C17" w14:textId="3D65E632" w:rsidR="00314736" w:rsidRDefault="00736E0C" w:rsidP="00253425">
      <w:pPr>
        <w:pStyle w:val="NumberedParagraph"/>
      </w:pPr>
      <w:r>
        <w:t xml:space="preserve">Section 226 of the TAA </w:t>
      </w:r>
      <w:r w:rsidR="005A38A0">
        <w:t xml:space="preserve">gives </w:t>
      </w:r>
      <w:r w:rsidR="00407677">
        <w:t>the Governor-General</w:t>
      </w:r>
      <w:r w:rsidR="00B05751">
        <w:t xml:space="preserve">, by Order in Council, </w:t>
      </w:r>
      <w:r w:rsidR="00D058ED">
        <w:t xml:space="preserve">the power </w:t>
      </w:r>
      <w:r w:rsidR="00203D0D">
        <w:t xml:space="preserve">to </w:t>
      </w:r>
      <w:r w:rsidR="00D451B0">
        <w:t xml:space="preserve">extend the time for anything required under </w:t>
      </w:r>
      <w:r w:rsidR="00FB1DAE">
        <w:t xml:space="preserve">the TAA, </w:t>
      </w:r>
      <w:r w:rsidR="00D451B0">
        <w:t>the Income Tax Act 2007 or the Goods and Services Tax Act 1985</w:t>
      </w:r>
      <w:r w:rsidR="00314736">
        <w:t>.</w:t>
      </w:r>
      <w:r w:rsidR="00D21B8E">
        <w:t xml:space="preserve"> </w:t>
      </w:r>
      <w:r w:rsidR="0059778D">
        <w:t>N</w:t>
      </w:r>
      <w:r w:rsidR="00D21B8E">
        <w:t xml:space="preserve">o other provision within the </w:t>
      </w:r>
      <w:r w:rsidR="0019494F">
        <w:t xml:space="preserve">Inland </w:t>
      </w:r>
      <w:r w:rsidR="000C0BDB">
        <w:t xml:space="preserve">Revenue Acts </w:t>
      </w:r>
      <w:r w:rsidR="00D21B8E">
        <w:t>would allow the Commissioner to extend the due date or otherwise remove the consequences of taxpayers filing or paying late</w:t>
      </w:r>
      <w:r w:rsidR="00D21B8E">
        <w:rPr>
          <w:rStyle w:val="FootnoteReference"/>
        </w:rPr>
        <w:footnoteReference w:id="6"/>
      </w:r>
      <w:r w:rsidR="00FA403E">
        <w:t>.</w:t>
      </w:r>
    </w:p>
    <w:p w14:paraId="2F902831" w14:textId="414C59E1" w:rsidR="00B11C08" w:rsidRDefault="00314736" w:rsidP="00253425">
      <w:pPr>
        <w:pStyle w:val="NumberedParagraph"/>
      </w:pPr>
      <w:r>
        <w:t xml:space="preserve">Officials consider that </w:t>
      </w:r>
      <w:r w:rsidR="0071183D">
        <w:t>giving customers some extra time to meet their compliance obligations for this payment date would be appropriate</w:t>
      </w:r>
      <w:r w:rsidR="00FF0FC0">
        <w:t>,</w:t>
      </w:r>
      <w:r w:rsidR="0071183D">
        <w:t xml:space="preserve"> </w:t>
      </w:r>
      <w:r>
        <w:t>due to</w:t>
      </w:r>
      <w:r w:rsidR="00EC0411">
        <w:t xml:space="preserve"> </w:t>
      </w:r>
      <w:r w:rsidR="004F1032">
        <w:t xml:space="preserve">the combination of </w:t>
      </w:r>
      <w:r w:rsidR="00EC0411">
        <w:t xml:space="preserve">Inland Revenue systems being inaccessible </w:t>
      </w:r>
      <w:r w:rsidR="0077041A">
        <w:t>before</w:t>
      </w:r>
      <w:r w:rsidR="00D01D66">
        <w:t xml:space="preserve"> </w:t>
      </w:r>
      <w:r w:rsidR="00F55B35">
        <w:t>28 October</w:t>
      </w:r>
      <w:r w:rsidR="59779590">
        <w:t xml:space="preserve">, the </w:t>
      </w:r>
      <w:r w:rsidR="005C2DC4">
        <w:t>pressures</w:t>
      </w:r>
      <w:r w:rsidR="59779590">
        <w:t xml:space="preserve"> on </w:t>
      </w:r>
      <w:r w:rsidR="005C2DC4">
        <w:t>I</w:t>
      </w:r>
      <w:r w:rsidR="59779590">
        <w:t xml:space="preserve">nland </w:t>
      </w:r>
      <w:r w:rsidR="005C2DC4">
        <w:t>R</w:t>
      </w:r>
      <w:r w:rsidR="59779590">
        <w:t>evenue to deliver a range of support packages</w:t>
      </w:r>
      <w:r w:rsidR="00820C15">
        <w:t>,</w:t>
      </w:r>
      <w:r w:rsidR="425CEE1E">
        <w:t xml:space="preserve"> </w:t>
      </w:r>
      <w:r w:rsidR="00EC0411">
        <w:t xml:space="preserve">and </w:t>
      </w:r>
      <w:r w:rsidR="00580A08">
        <w:t>businesses recovering from the extended lockdown in the Auckland region</w:t>
      </w:r>
      <w:r w:rsidR="00AD75E5">
        <w:t>.</w:t>
      </w:r>
    </w:p>
    <w:p w14:paraId="4F653EB3" w14:textId="4403A73C" w:rsidR="00736E0C" w:rsidRDefault="00AD75E5" w:rsidP="00253425">
      <w:pPr>
        <w:pStyle w:val="NumberedParagraph"/>
      </w:pPr>
      <w:r>
        <w:t>Officials therefore</w:t>
      </w:r>
      <w:r w:rsidR="000B328A">
        <w:t xml:space="preserve"> recommend using the power in section 226 of the TAA to extend the </w:t>
      </w:r>
      <w:r w:rsidR="006F0B84">
        <w:t xml:space="preserve">28 October </w:t>
      </w:r>
      <w:r w:rsidR="000B328A">
        <w:t xml:space="preserve">filing and payment date to </w:t>
      </w:r>
      <w:r w:rsidR="00CC17D5">
        <w:t>4 November</w:t>
      </w:r>
      <w:r w:rsidR="000B328A">
        <w:t xml:space="preserve"> 2021</w:t>
      </w:r>
      <w:r w:rsidR="00EA0CB4">
        <w:t>.</w:t>
      </w:r>
      <w:r w:rsidR="00D451B0">
        <w:t xml:space="preserve"> </w:t>
      </w:r>
      <w:r w:rsidR="00025A43">
        <w:t xml:space="preserve">The </w:t>
      </w:r>
      <w:r w:rsidR="0044625B">
        <w:t>additional time</w:t>
      </w:r>
      <w:r w:rsidR="00BD2AD9">
        <w:t xml:space="preserve"> given</w:t>
      </w:r>
      <w:r w:rsidR="00025A43">
        <w:t xml:space="preserve"> will largely </w:t>
      </w:r>
      <w:r w:rsidR="3FEE2AF2">
        <w:t>re</w:t>
      </w:r>
      <w:r w:rsidR="00A1797B">
        <w:t>s</w:t>
      </w:r>
      <w:r w:rsidR="3FEE2AF2">
        <w:t>tore</w:t>
      </w:r>
      <w:r w:rsidR="00726043">
        <w:t xml:space="preserve"> to </w:t>
      </w:r>
      <w:r w:rsidR="00025A43">
        <w:t xml:space="preserve">customers </w:t>
      </w:r>
      <w:r w:rsidR="00813920">
        <w:t>the time whe</w:t>
      </w:r>
      <w:r w:rsidR="00391321">
        <w:t>n</w:t>
      </w:r>
      <w:r w:rsidR="00813920">
        <w:t xml:space="preserve"> Inland Revenue systems will be inaccessible.</w:t>
      </w:r>
    </w:p>
    <w:p w14:paraId="7A5066C6" w14:textId="29DBBEA5" w:rsidR="00694369" w:rsidRDefault="00694369" w:rsidP="00253425">
      <w:pPr>
        <w:pStyle w:val="NumberedParagraph"/>
      </w:pPr>
      <w:r>
        <w:t xml:space="preserve">Due to the </w:t>
      </w:r>
      <w:r w:rsidR="00E56161">
        <w:t xml:space="preserve">limited </w:t>
      </w:r>
      <w:r w:rsidR="00C77C95">
        <w:t xml:space="preserve">timeframe </w:t>
      </w:r>
      <w:r w:rsidR="00E56161">
        <w:t xml:space="preserve">before the due </w:t>
      </w:r>
      <w:r w:rsidR="00D1591A">
        <w:t>date,</w:t>
      </w:r>
      <w:r w:rsidR="00E56161">
        <w:t xml:space="preserve"> </w:t>
      </w:r>
      <w:r w:rsidR="00C77C95">
        <w:t>it will also be necessary to seek a waiver of the 28</w:t>
      </w:r>
      <w:r w:rsidR="00F5092F">
        <w:t>-</w:t>
      </w:r>
      <w:r w:rsidR="00C77C95">
        <w:t xml:space="preserve">day </w:t>
      </w:r>
      <w:r w:rsidR="00F5092F">
        <w:t>rule to ensure the Order in Council comes into force before 28 Octob</w:t>
      </w:r>
      <w:r w:rsidR="00514F8E">
        <w:t>er.</w:t>
      </w:r>
    </w:p>
    <w:p w14:paraId="7880D2FF" w14:textId="7D42CA11" w:rsidR="00253425" w:rsidRDefault="00CA428D" w:rsidP="00253425">
      <w:pPr>
        <w:pStyle w:val="Heading2"/>
      </w:pPr>
      <w:r>
        <w:t>Administrative implications</w:t>
      </w:r>
    </w:p>
    <w:p w14:paraId="4A5321CA" w14:textId="2359A685" w:rsidR="0093236E" w:rsidRDefault="0093236E" w:rsidP="00253425">
      <w:pPr>
        <w:pStyle w:val="NumberedParagraph"/>
      </w:pPr>
      <w:r>
        <w:t>There are no significant administrative implications</w:t>
      </w:r>
      <w:r w:rsidR="00813920">
        <w:t xml:space="preserve"> to </w:t>
      </w:r>
      <w:r w:rsidR="00821361">
        <w:t>changing</w:t>
      </w:r>
      <w:r w:rsidR="00813920">
        <w:t xml:space="preserve"> the due date </w:t>
      </w:r>
      <w:r w:rsidR="00390394">
        <w:t xml:space="preserve">from 28 October to </w:t>
      </w:r>
      <w:r w:rsidR="00CC17D5">
        <w:t>4 November</w:t>
      </w:r>
      <w:r w:rsidR="00FC7081">
        <w:t>. Whil</w:t>
      </w:r>
      <w:r w:rsidR="00821361">
        <w:t>e</w:t>
      </w:r>
      <w:r w:rsidR="00FD085A">
        <w:t xml:space="preserve"> some administrative work will be required to reflect the </w:t>
      </w:r>
      <w:r w:rsidR="00626CD6">
        <w:t>changed</w:t>
      </w:r>
      <w:r w:rsidR="00FD085A">
        <w:t xml:space="preserve"> date</w:t>
      </w:r>
      <w:r w:rsidR="00A53BEF">
        <w:t>,</w:t>
      </w:r>
      <w:r w:rsidR="00FD085A">
        <w:t xml:space="preserve"> th</w:t>
      </w:r>
      <w:r w:rsidR="00A53BEF">
        <w:t>is</w:t>
      </w:r>
      <w:r w:rsidR="00FD085A">
        <w:t xml:space="preserve"> </w:t>
      </w:r>
      <w:r w:rsidR="00A53BEF">
        <w:t>is</w:t>
      </w:r>
      <w:r w:rsidR="00FD085A">
        <w:t xml:space="preserve"> manageable</w:t>
      </w:r>
      <w:r w:rsidR="00F94F78">
        <w:t xml:space="preserve"> within existing workloads</w:t>
      </w:r>
      <w:r>
        <w:t>.</w:t>
      </w:r>
    </w:p>
    <w:p w14:paraId="70387511" w14:textId="0E8C9372" w:rsidR="009F17EA" w:rsidRDefault="000F0D24" w:rsidP="00253425">
      <w:pPr>
        <w:pStyle w:val="NumberedParagraph"/>
      </w:pPr>
      <w:r>
        <w:t>U</w:t>
      </w:r>
      <w:r w:rsidR="006854A7">
        <w:t xml:space="preserve">sing an Order in Council to </w:t>
      </w:r>
      <w:r w:rsidR="00E24B05">
        <w:t>change</w:t>
      </w:r>
      <w:r w:rsidR="006854A7">
        <w:t xml:space="preserve"> the due date </w:t>
      </w:r>
      <w:r>
        <w:t xml:space="preserve">allows Inland Revenue to deal with affected customers </w:t>
      </w:r>
      <w:r w:rsidR="003B379C">
        <w:t xml:space="preserve">as a group </w:t>
      </w:r>
      <w:r>
        <w:t>without individual contacts where customers have issues filing and paying on time</w:t>
      </w:r>
      <w:r w:rsidR="001C08A8">
        <w:t>.</w:t>
      </w:r>
      <w:r w:rsidR="00777720">
        <w:t xml:space="preserve"> </w:t>
      </w:r>
      <w:r w:rsidR="001C08A8">
        <w:t>This</w:t>
      </w:r>
      <w:r w:rsidR="00777720">
        <w:t xml:space="preserve"> will improve the </w:t>
      </w:r>
      <w:r w:rsidR="00596033">
        <w:t xml:space="preserve">customer </w:t>
      </w:r>
      <w:r w:rsidR="00EE162C">
        <w:t>experience</w:t>
      </w:r>
      <w:r w:rsidR="00D1591A">
        <w:t xml:space="preserve"> and reduce the need for customers to contact Inland Revenue</w:t>
      </w:r>
      <w:r w:rsidR="00596033">
        <w:t>.</w:t>
      </w:r>
    </w:p>
    <w:p w14:paraId="059A7424" w14:textId="7B2EEAC2" w:rsidR="00CA41BA" w:rsidRDefault="009F17EA" w:rsidP="00253425">
      <w:pPr>
        <w:pStyle w:val="NumberedParagraph"/>
      </w:pPr>
      <w:r>
        <w:t xml:space="preserve">If you agree to extending the due date to </w:t>
      </w:r>
      <w:r w:rsidR="00CC17D5">
        <w:t>4 November</w:t>
      </w:r>
      <w:r w:rsidR="00D1591A">
        <w:t>,</w:t>
      </w:r>
      <w:r w:rsidR="0046329B">
        <w:t xml:space="preserve"> </w:t>
      </w:r>
      <w:r w:rsidR="00862186">
        <w:t xml:space="preserve">we propose </w:t>
      </w:r>
      <w:r w:rsidR="00DB66E6">
        <w:t>communicat</w:t>
      </w:r>
      <w:r w:rsidR="00862186">
        <w:t>ing this extension</w:t>
      </w:r>
      <w:r w:rsidR="00DB66E6">
        <w:t xml:space="preserve"> to customers </w:t>
      </w:r>
      <w:r w:rsidR="0053261A">
        <w:t>to ensure</w:t>
      </w:r>
      <w:r w:rsidR="00DB66E6">
        <w:t xml:space="preserve"> they are fully aware of </w:t>
      </w:r>
      <w:r w:rsidR="00863543">
        <w:t xml:space="preserve">the availability of </w:t>
      </w:r>
      <w:r w:rsidR="00DB66E6">
        <w:t>Inland Revenue systems and when they</w:t>
      </w:r>
      <w:r w:rsidR="00CA41BA">
        <w:t xml:space="preserve"> will need to file and pay</w:t>
      </w:r>
      <w:r w:rsidR="009A0D42">
        <w:t xml:space="preserve"> to give them certainty around the cutover period</w:t>
      </w:r>
      <w:r w:rsidR="00CA41BA">
        <w:t>. The messaging for customers would be:</w:t>
      </w:r>
    </w:p>
    <w:p w14:paraId="060F2F37" w14:textId="16B41C15" w:rsidR="00CA41BA" w:rsidRPr="00D224DC" w:rsidRDefault="007D79D4" w:rsidP="009D382B">
      <w:pPr>
        <w:pStyle w:val="NumberedParagraph"/>
        <w:numPr>
          <w:ilvl w:val="1"/>
          <w:numId w:val="11"/>
        </w:numPr>
      </w:pPr>
      <w:r>
        <w:t>B</w:t>
      </w:r>
      <w:r w:rsidR="00845750">
        <w:t>efore</w:t>
      </w:r>
      <w:r w:rsidR="00CA41BA" w:rsidRPr="00D224DC">
        <w:t xml:space="preserve"> cutover (closing afternoon of 21 October) – please file and pay early</w:t>
      </w:r>
      <w:r>
        <w:t>.</w:t>
      </w:r>
    </w:p>
    <w:p w14:paraId="0F930F06" w14:textId="7D0A0CDA" w:rsidR="00CA41BA" w:rsidRPr="00D224DC" w:rsidRDefault="007D79D4" w:rsidP="009D382B">
      <w:pPr>
        <w:pStyle w:val="NumberedParagraph"/>
        <w:numPr>
          <w:ilvl w:val="1"/>
          <w:numId w:val="11"/>
        </w:numPr>
      </w:pPr>
      <w:r>
        <w:t>D</w:t>
      </w:r>
      <w:r w:rsidR="00CA41BA" w:rsidRPr="00D224DC">
        <w:t xml:space="preserve">uring cutover (afternoon 21 October to morning of 28 October) – </w:t>
      </w:r>
      <w:r w:rsidR="00EF3A6F">
        <w:t xml:space="preserve">customers </w:t>
      </w:r>
      <w:r w:rsidR="00CA41BA" w:rsidRPr="00D224DC">
        <w:t xml:space="preserve">are unable to file but please pay through the </w:t>
      </w:r>
      <w:r w:rsidR="00EF3A6F">
        <w:t>usual</w:t>
      </w:r>
      <w:r w:rsidR="00CA41BA" w:rsidRPr="00D224DC">
        <w:t xml:space="preserve"> payment channels (Direct Debit and Credit Card options will not be available)</w:t>
      </w:r>
      <w:r w:rsidR="00332070">
        <w:t>.</w:t>
      </w:r>
    </w:p>
    <w:p w14:paraId="17B41BF2" w14:textId="25E8483C" w:rsidR="00CA41BA" w:rsidRPr="00D224DC" w:rsidRDefault="00332070" w:rsidP="009D382B">
      <w:pPr>
        <w:pStyle w:val="NumberedParagraph"/>
        <w:numPr>
          <w:ilvl w:val="1"/>
          <w:numId w:val="11"/>
        </w:numPr>
      </w:pPr>
      <w:r>
        <w:t>A</w:t>
      </w:r>
      <w:r w:rsidR="00CA41BA" w:rsidRPr="00D224DC">
        <w:t xml:space="preserve">fter cutover (morning of 28 October) – please file and pay by the new due date of </w:t>
      </w:r>
      <w:r w:rsidR="00CC17D5">
        <w:t>4 November</w:t>
      </w:r>
      <w:r w:rsidR="00CA41BA" w:rsidRPr="00D224DC">
        <w:t xml:space="preserve"> and you </w:t>
      </w:r>
      <w:r w:rsidR="00CA41BA">
        <w:t xml:space="preserve">will not be </w:t>
      </w:r>
      <w:r w:rsidR="00CA41BA" w:rsidRPr="00D224DC">
        <w:t>exposed to UOMI or LPP.</w:t>
      </w:r>
    </w:p>
    <w:p w14:paraId="601DA6A4" w14:textId="181717F4" w:rsidR="00CA428D" w:rsidRDefault="000E2689" w:rsidP="00CA428D">
      <w:pPr>
        <w:pStyle w:val="Heading2"/>
      </w:pPr>
      <w:r>
        <w:t>Fiscal</w:t>
      </w:r>
      <w:r w:rsidR="00CA428D">
        <w:t xml:space="preserve"> implications</w:t>
      </w:r>
    </w:p>
    <w:p w14:paraId="67D76476" w14:textId="68B9EB08" w:rsidR="00DE29A0" w:rsidRDefault="00DE29A0" w:rsidP="00827727">
      <w:pPr>
        <w:pStyle w:val="NumberedParagraph"/>
      </w:pPr>
      <w:r>
        <w:t xml:space="preserve">Due to the </w:t>
      </w:r>
      <w:r w:rsidR="007C272C">
        <w:t xml:space="preserve">three-day </w:t>
      </w:r>
      <w:r>
        <w:t>delay in receiving payments</w:t>
      </w:r>
      <w:r w:rsidR="00133E73">
        <w:t>,</w:t>
      </w:r>
      <w:r w:rsidR="00F112B4">
        <w:t xml:space="preserve"> there is technically a fiscal cost to the extension</w:t>
      </w:r>
      <w:r w:rsidR="004A3F50">
        <w:t xml:space="preserve">. On the assumption that every customer delays their GST payments until the </w:t>
      </w:r>
      <w:r w:rsidR="00A84FC7">
        <w:t>4</w:t>
      </w:r>
      <w:r w:rsidR="00A84FC7" w:rsidRPr="00A84FC7">
        <w:rPr>
          <w:vertAlign w:val="superscript"/>
        </w:rPr>
        <w:t>th</w:t>
      </w:r>
      <w:r w:rsidR="00A84FC7">
        <w:t xml:space="preserve"> of November</w:t>
      </w:r>
      <w:r w:rsidR="0073786C">
        <w:t>,</w:t>
      </w:r>
      <w:r w:rsidR="00637186">
        <w:t xml:space="preserve"> </w:t>
      </w:r>
      <w:r w:rsidR="004527FB">
        <w:t>the approximate fiscal cost will be $</w:t>
      </w:r>
      <w:r w:rsidR="003A4B36">
        <w:t>1.</w:t>
      </w:r>
      <w:r w:rsidR="009B3B9D">
        <w:t>8</w:t>
      </w:r>
      <w:r w:rsidR="004527FB">
        <w:t>0 million</w:t>
      </w:r>
      <w:r w:rsidR="0073786C">
        <w:t>,</w:t>
      </w:r>
      <w:r w:rsidR="003202C2">
        <w:t xml:space="preserve"> which we recommend be charged to the scorecard.</w:t>
      </w:r>
    </w:p>
    <w:p w14:paraId="3D22F533" w14:textId="1E8A1CC3" w:rsidR="008A45E9" w:rsidRDefault="00827727" w:rsidP="008A45E9">
      <w:pPr>
        <w:pStyle w:val="Heading2"/>
      </w:pPr>
      <w:r>
        <w:t>Consul</w:t>
      </w:r>
      <w:r w:rsidR="000117C8">
        <w:t>tation</w:t>
      </w:r>
    </w:p>
    <w:p w14:paraId="65F22824" w14:textId="2F56D8EB" w:rsidR="00CA428D" w:rsidRDefault="008A45E9" w:rsidP="002F0EC2">
      <w:pPr>
        <w:pStyle w:val="NumberedParagraph"/>
      </w:pPr>
      <w:r>
        <w:t>Treasury has been consulted on this report.</w:t>
      </w:r>
    </w:p>
    <w:p w14:paraId="0B2A1EFA" w14:textId="77777777" w:rsidR="00811AC6" w:rsidRDefault="00811AC6" w:rsidP="00A2547F">
      <w:pPr>
        <w:pStyle w:val="Heading2"/>
      </w:pPr>
      <w:r>
        <w:t>Next steps</w:t>
      </w:r>
    </w:p>
    <w:p w14:paraId="4BDF48DA" w14:textId="20B99FA2" w:rsidR="00631F42" w:rsidRDefault="002D4593" w:rsidP="00A66F70">
      <w:pPr>
        <w:pStyle w:val="NumberedParagraph"/>
      </w:pPr>
      <w:r>
        <w:t>I</w:t>
      </w:r>
      <w:r w:rsidR="00E636B4">
        <w:t xml:space="preserve">f you agree to </w:t>
      </w:r>
      <w:r w:rsidR="0098307C">
        <w:t>the extension</w:t>
      </w:r>
      <w:r w:rsidR="0004066B">
        <w:t>,</w:t>
      </w:r>
      <w:r w:rsidR="004771AF">
        <w:t xml:space="preserve"> </w:t>
      </w:r>
      <w:r w:rsidR="00860C5F">
        <w:t>o</w:t>
      </w:r>
      <w:r w:rsidR="00CA26F5">
        <w:t>fficials will issue drafting instructions</w:t>
      </w:r>
      <w:r w:rsidR="00F06B6B">
        <w:t xml:space="preserve"> to </w:t>
      </w:r>
      <w:r w:rsidR="009745FF">
        <w:t xml:space="preserve">the Parliamentary </w:t>
      </w:r>
      <w:r w:rsidR="00860C5F">
        <w:t xml:space="preserve">Counsel </w:t>
      </w:r>
      <w:r w:rsidR="00C904E8">
        <w:t xml:space="preserve">Office </w:t>
      </w:r>
      <w:r w:rsidR="00F06B6B">
        <w:t>to</w:t>
      </w:r>
      <w:r w:rsidR="00C904E8">
        <w:t xml:space="preserve"> draft an Order</w:t>
      </w:r>
      <w:r w:rsidR="0004066B">
        <w:t xml:space="preserve"> in Council </w:t>
      </w:r>
      <w:r w:rsidR="00C904E8">
        <w:t xml:space="preserve">to </w:t>
      </w:r>
      <w:r w:rsidR="003202C2">
        <w:t xml:space="preserve">extend the due date </w:t>
      </w:r>
      <w:r w:rsidR="003C1843">
        <w:t>from</w:t>
      </w:r>
      <w:r w:rsidR="00694369">
        <w:t xml:space="preserve"> 28 October to </w:t>
      </w:r>
      <w:r w:rsidR="00CC17D5">
        <w:t>4 November</w:t>
      </w:r>
      <w:r w:rsidR="00694369">
        <w:t xml:space="preserve"> 2021</w:t>
      </w:r>
      <w:r w:rsidR="00514F8E">
        <w:t xml:space="preserve"> under section 226 of the TAA</w:t>
      </w:r>
      <w:r w:rsidR="00C904E8">
        <w:t>.</w:t>
      </w:r>
    </w:p>
    <w:p w14:paraId="271490E4" w14:textId="1720AD86" w:rsidR="002C17D1" w:rsidRDefault="002C17D1" w:rsidP="0063576A">
      <w:pPr>
        <w:pStyle w:val="NumberedParagraph"/>
      </w:pPr>
      <w:r>
        <w:t>Once a draft O</w:t>
      </w:r>
      <w:r w:rsidR="00D74904">
        <w:t xml:space="preserve">rder in </w:t>
      </w:r>
      <w:r>
        <w:t>C</w:t>
      </w:r>
      <w:r w:rsidR="00D74904">
        <w:t>ouncil</w:t>
      </w:r>
      <w:r>
        <w:t xml:space="preserve"> is prepared, we will report to you with a </w:t>
      </w:r>
      <w:r w:rsidR="00163CD2">
        <w:t xml:space="preserve">draft Cabinet paper for </w:t>
      </w:r>
      <w:r w:rsidR="00CD4F3E">
        <w:t>lodg</w:t>
      </w:r>
      <w:r w:rsidR="00E514CB">
        <w:t>ing</w:t>
      </w:r>
      <w:r w:rsidR="00CD4F3E">
        <w:t xml:space="preserve"> </w:t>
      </w:r>
      <w:r w:rsidR="00163CD2">
        <w:t xml:space="preserve">with </w:t>
      </w:r>
      <w:r w:rsidR="00D74904">
        <w:t>Cabinet</w:t>
      </w:r>
      <w:r w:rsidR="00AB0171">
        <w:t xml:space="preserve"> </w:t>
      </w:r>
      <w:r w:rsidR="00E514CB">
        <w:t xml:space="preserve">Office </w:t>
      </w:r>
      <w:r w:rsidR="00AB0171">
        <w:t xml:space="preserve">by </w:t>
      </w:r>
      <w:r w:rsidR="00C73B5E">
        <w:t>10am on 14 October</w:t>
      </w:r>
      <w:r w:rsidR="007116AF">
        <w:t xml:space="preserve"> 2021</w:t>
      </w:r>
      <w:r w:rsidR="00163CD2">
        <w:t>.</w:t>
      </w:r>
    </w:p>
    <w:p w14:paraId="1A23A32A" w14:textId="52E568D2" w:rsidR="00100129" w:rsidRPr="009D382B" w:rsidRDefault="00186FA2" w:rsidP="009D382B">
      <w:pPr>
        <w:pStyle w:val="NumberedParagraph"/>
      </w:pPr>
      <w:r>
        <w:t xml:space="preserve">For the Order in Council to </w:t>
      </w:r>
      <w:r w:rsidR="004E5359">
        <w:t xml:space="preserve">come into effect </w:t>
      </w:r>
      <w:r w:rsidR="00DE69AD">
        <w:t xml:space="preserve">by </w:t>
      </w:r>
      <w:r w:rsidR="002409A9">
        <w:t>28 October</w:t>
      </w:r>
      <w:r w:rsidR="00A34773">
        <w:t>,</w:t>
      </w:r>
      <w:r w:rsidR="002409A9">
        <w:t xml:space="preserve"> and accounting for the extended recess in October</w:t>
      </w:r>
      <w:r>
        <w:t>,</w:t>
      </w:r>
      <w:r w:rsidDel="00890650">
        <w:t xml:space="preserve"> </w:t>
      </w:r>
      <w:r w:rsidR="00800C1C">
        <w:t xml:space="preserve">the </w:t>
      </w:r>
      <w:r>
        <w:t xml:space="preserve">Cabinet paper </w:t>
      </w:r>
      <w:r w:rsidR="00800C1C">
        <w:t xml:space="preserve">would need to </w:t>
      </w:r>
      <w:r w:rsidR="006506C4" w:rsidDel="00800C1C">
        <w:t>be</w:t>
      </w:r>
      <w:r w:rsidR="006506C4">
        <w:t xml:space="preserve"> considered by Cabinet</w:t>
      </w:r>
      <w:r w:rsidR="002409A9">
        <w:t xml:space="preserve"> </w:t>
      </w:r>
      <w:r w:rsidR="003170D9">
        <w:t xml:space="preserve">and the Executive Council </w:t>
      </w:r>
      <w:r w:rsidR="002409A9">
        <w:t xml:space="preserve">on </w:t>
      </w:r>
      <w:r w:rsidR="003170D9">
        <w:t>18 October</w:t>
      </w:r>
      <w:r w:rsidR="00A83F77">
        <w:t xml:space="preserve"> and </w:t>
      </w:r>
      <w:r w:rsidR="008B262D">
        <w:t>a waiver to the 28-day rule obtained.</w:t>
      </w:r>
    </w:p>
    <w:p w14:paraId="26434AAA" w14:textId="60637651" w:rsidR="00811AC6" w:rsidRDefault="00811AC6" w:rsidP="0038427C">
      <w:pPr>
        <w:pStyle w:val="Heading1"/>
        <w:spacing w:before="120" w:after="360"/>
      </w:pPr>
      <w:r>
        <w:t>Recommended action</w:t>
      </w:r>
    </w:p>
    <w:p w14:paraId="7E941A18" w14:textId="77777777" w:rsidR="00811AC6" w:rsidRDefault="00811AC6" w:rsidP="005C6B70">
      <w:r>
        <w:t>We recommend that you:</w:t>
      </w:r>
    </w:p>
    <w:p w14:paraId="12BA0FB8" w14:textId="77777777" w:rsidR="00CC36B2" w:rsidRDefault="00CC36B2" w:rsidP="005C6B70"/>
    <w:p w14:paraId="06F9C935" w14:textId="21580E0A" w:rsidR="00811AC6" w:rsidRDefault="00CC36B2" w:rsidP="00C31F63">
      <w:pPr>
        <w:pStyle w:val="NumberedParagraph"/>
        <w:numPr>
          <w:ilvl w:val="0"/>
          <w:numId w:val="15"/>
        </w:numPr>
        <w:spacing w:after="240"/>
        <w:ind w:left="567" w:hanging="567"/>
      </w:pPr>
      <w:r w:rsidRPr="00CC36B2">
        <w:rPr>
          <w:rStyle w:val="Strong"/>
        </w:rPr>
        <w:t>a</w:t>
      </w:r>
      <w:r w:rsidR="00811AC6" w:rsidRPr="00CC36B2">
        <w:rPr>
          <w:rStyle w:val="Strong"/>
        </w:rPr>
        <w:t>gree</w:t>
      </w:r>
      <w:r w:rsidR="00811AC6">
        <w:t xml:space="preserve"> to </w:t>
      </w:r>
      <w:r w:rsidR="00644F7C">
        <w:t xml:space="preserve">extend </w:t>
      </w:r>
      <w:r w:rsidR="0034564E">
        <w:t xml:space="preserve">by Order in Council </w:t>
      </w:r>
      <w:r w:rsidR="00A83F77">
        <w:t xml:space="preserve">the due date </w:t>
      </w:r>
      <w:r w:rsidR="00A404D2">
        <w:t>from</w:t>
      </w:r>
      <w:r w:rsidR="008C2A5F">
        <w:t xml:space="preserve"> 28 October </w:t>
      </w:r>
      <w:r w:rsidR="009754C4">
        <w:t xml:space="preserve">2021 to </w:t>
      </w:r>
      <w:r w:rsidR="00CC17D5">
        <w:t>4 November</w:t>
      </w:r>
      <w:r w:rsidR="009754C4">
        <w:t xml:space="preserve"> 2021 </w:t>
      </w:r>
      <w:r w:rsidR="00A83F77">
        <w:t xml:space="preserve">for </w:t>
      </w:r>
      <w:r w:rsidR="009754C4">
        <w:t xml:space="preserve">the </w:t>
      </w:r>
      <w:r w:rsidR="00A83F77">
        <w:t xml:space="preserve">filing </w:t>
      </w:r>
      <w:r w:rsidR="009754C4">
        <w:t xml:space="preserve">of </w:t>
      </w:r>
      <w:r w:rsidR="008C2A5F">
        <w:t xml:space="preserve">returns </w:t>
      </w:r>
      <w:r w:rsidR="00A83F77">
        <w:t xml:space="preserve">and payment of income tax </w:t>
      </w:r>
      <w:r w:rsidR="000C0BDB">
        <w:t xml:space="preserve">(including provisional tax) </w:t>
      </w:r>
      <w:r w:rsidR="00A83F77">
        <w:t>and goods and services tax</w:t>
      </w:r>
      <w:r w:rsidR="00EB6E2C">
        <w:t>.</w:t>
      </w:r>
    </w:p>
    <w:p w14:paraId="37A8B50B" w14:textId="007FD902" w:rsidR="00811AC6" w:rsidRPr="006E31E0" w:rsidRDefault="00811AC6" w:rsidP="00C31F63">
      <w:pPr>
        <w:pStyle w:val="Decision"/>
        <w:spacing w:after="360"/>
        <w:ind w:left="567"/>
      </w:pPr>
      <w:r w:rsidRPr="006E31E0">
        <w:t>Agreed/Not agreed</w:t>
      </w:r>
      <w:r w:rsidR="00011319">
        <w:tab/>
      </w:r>
      <w:r w:rsidR="00011319" w:rsidRPr="006E31E0">
        <w:t>Agreed/Not agreed</w:t>
      </w:r>
    </w:p>
    <w:p w14:paraId="64B7AEB6" w14:textId="1D025AF1" w:rsidR="002D75C4" w:rsidRPr="00F75985" w:rsidRDefault="002D75C4" w:rsidP="00F75985">
      <w:pPr>
        <w:pStyle w:val="ListParagraph"/>
        <w:numPr>
          <w:ilvl w:val="0"/>
          <w:numId w:val="15"/>
        </w:numPr>
        <w:ind w:left="567" w:hanging="567"/>
        <w:rPr>
          <w:rFonts w:ascii="Verdana" w:hAnsi="Verdana" w:cstheme="minorBidi"/>
          <w:sz w:val="20"/>
          <w:szCs w:val="23"/>
          <w:lang w:eastAsia="en-NZ"/>
        </w:rPr>
      </w:pPr>
      <w:r w:rsidRPr="00F75985">
        <w:rPr>
          <w:rFonts w:ascii="Verdana" w:hAnsi="Verdana" w:cstheme="minorBidi"/>
          <w:b/>
          <w:bCs/>
          <w:sz w:val="20"/>
          <w:szCs w:val="23"/>
          <w:lang w:eastAsia="en-NZ"/>
        </w:rPr>
        <w:t>note</w:t>
      </w:r>
      <w:r w:rsidRPr="00F75985">
        <w:rPr>
          <w:rFonts w:ascii="Verdana" w:hAnsi="Verdana" w:cstheme="minorBidi"/>
          <w:sz w:val="20"/>
          <w:szCs w:val="23"/>
          <w:lang w:eastAsia="en-NZ"/>
        </w:rPr>
        <w:t xml:space="preserve"> the following fiscal impact as a result of the decision in recommendation </w:t>
      </w:r>
      <w:r w:rsidR="00F75985">
        <w:rPr>
          <w:rFonts w:ascii="Verdana" w:hAnsi="Verdana" w:cstheme="minorBidi"/>
          <w:sz w:val="20"/>
          <w:szCs w:val="23"/>
          <w:lang w:eastAsia="en-NZ"/>
        </w:rPr>
        <w:t>(a)</w:t>
      </w:r>
      <w:r w:rsidRPr="00F75985">
        <w:rPr>
          <w:rFonts w:ascii="Verdana" w:hAnsi="Verdana" w:cstheme="minorBidi"/>
          <w:sz w:val="20"/>
          <w:szCs w:val="23"/>
          <w:lang w:eastAsia="en-NZ"/>
        </w:rPr>
        <w:t xml:space="preserve"> above, with a corresponding impact on the operating balance and net core Crown debt: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1457"/>
        <w:gridCol w:w="1457"/>
        <w:gridCol w:w="1457"/>
        <w:gridCol w:w="1457"/>
      </w:tblGrid>
      <w:tr w:rsidR="002D75C4" w14:paraId="00F53A76" w14:textId="77777777" w:rsidTr="002D75C4"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6709" w14:textId="77777777" w:rsidR="002D75C4" w:rsidRDefault="002D75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CC30" w14:textId="77777777" w:rsidR="002D75C4" w:rsidRDefault="002D75C4">
            <w:pPr>
              <w:jc w:val="center"/>
              <w:rPr>
                <w:rFonts w:ascii="Calibri" w:hAnsi="Calibri" w:cs="Calibri"/>
              </w:rPr>
            </w:pPr>
            <w:r>
              <w:t>$m – increase/(decrease)</w:t>
            </w:r>
          </w:p>
        </w:tc>
      </w:tr>
      <w:tr w:rsidR="002D75C4" w14:paraId="188DB328" w14:textId="77777777" w:rsidTr="002D75C4"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7F6E" w14:textId="77777777" w:rsidR="002D75C4" w:rsidRDefault="002D75C4">
            <w:pPr>
              <w:rPr>
                <w:b/>
                <w:bCs/>
              </w:rPr>
            </w:pPr>
            <w:r>
              <w:rPr>
                <w:b/>
                <w:bCs/>
              </w:rPr>
              <w:t>Vote Revenue</w:t>
            </w:r>
          </w:p>
          <w:p w14:paraId="0BB59281" w14:textId="77777777" w:rsidR="002D75C4" w:rsidRDefault="002D75C4">
            <w:pPr>
              <w:rPr>
                <w:b/>
                <w:bCs/>
              </w:rPr>
            </w:pPr>
            <w:r>
              <w:rPr>
                <w:b/>
                <w:bCs/>
              </w:rPr>
              <w:t>Minister of Revenue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2140" w14:textId="77777777" w:rsidR="002D75C4" w:rsidRDefault="002D75C4">
            <w:pPr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6B8A" w14:textId="77777777" w:rsidR="002D75C4" w:rsidRDefault="002D75C4">
            <w:pPr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47E6C" w14:textId="77777777" w:rsidR="002D75C4" w:rsidRDefault="002D75C4">
            <w:pPr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E7A6" w14:textId="77777777" w:rsidR="002D75C4" w:rsidRDefault="002D75C4">
            <w:pPr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</w:tr>
      <w:tr w:rsidR="002D75C4" w14:paraId="6778750F" w14:textId="77777777" w:rsidTr="002D75C4"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D5EF" w14:textId="77777777" w:rsidR="002D75C4" w:rsidRDefault="002D75C4">
            <w:r>
              <w:t>Tax Revenue</w:t>
            </w:r>
          </w:p>
          <w:p w14:paraId="2D01E17B" w14:textId="77777777" w:rsidR="002D75C4" w:rsidRDefault="002D75C4"/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3F33E" w14:textId="364A29E8" w:rsidR="002D75C4" w:rsidRDefault="002D75C4">
            <w:pPr>
              <w:jc w:val="right"/>
            </w:pPr>
            <w:r>
              <w:t>(</w:t>
            </w:r>
            <w:r w:rsidR="003A4B36">
              <w:t>1.</w:t>
            </w:r>
            <w:r w:rsidR="001541F9">
              <w:t>8</w:t>
            </w:r>
            <w:r w:rsidR="003A4B36">
              <w:t>0</w:t>
            </w:r>
            <w:r>
              <w:t>0)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756E9" w14:textId="77777777" w:rsidR="002D75C4" w:rsidRDefault="002D75C4">
            <w:pPr>
              <w:jc w:val="right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DE3C4" w14:textId="77777777" w:rsidR="002D75C4" w:rsidRDefault="002D75C4">
            <w:pPr>
              <w:jc w:val="right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795BE" w14:textId="77777777" w:rsidR="002D75C4" w:rsidRDefault="002D75C4">
            <w:pPr>
              <w:jc w:val="right"/>
            </w:pPr>
            <w:r>
              <w:t>-</w:t>
            </w:r>
          </w:p>
        </w:tc>
      </w:tr>
      <w:tr w:rsidR="002D75C4" w14:paraId="23D6EB4D" w14:textId="77777777" w:rsidTr="002D75C4"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B4E4" w14:textId="77777777" w:rsidR="002D75C4" w:rsidRDefault="002D75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Operating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B4CA5" w14:textId="204A08DB" w:rsidR="002D75C4" w:rsidRDefault="003A4B36">
            <w:pPr>
              <w:jc w:val="right"/>
            </w:pPr>
            <w:r>
              <w:t>1</w:t>
            </w:r>
            <w:r w:rsidR="002D75C4">
              <w:t>.</w:t>
            </w:r>
            <w:r w:rsidR="001541F9">
              <w:t>8</w:t>
            </w:r>
            <w:r>
              <w:t>0</w:t>
            </w:r>
            <w:r w:rsidR="002D75C4"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2A2A" w14:textId="77777777" w:rsidR="002D75C4" w:rsidRDefault="002D75C4">
            <w:pPr>
              <w:jc w:val="right"/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4708" w14:textId="77777777" w:rsidR="002D75C4" w:rsidRDefault="002D75C4">
            <w:pPr>
              <w:jc w:val="right"/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B31C" w14:textId="77777777" w:rsidR="002D75C4" w:rsidRDefault="002D75C4">
            <w:pPr>
              <w:jc w:val="right"/>
            </w:pPr>
          </w:p>
        </w:tc>
      </w:tr>
    </w:tbl>
    <w:p w14:paraId="27799A79" w14:textId="77777777" w:rsidR="001B3545" w:rsidRDefault="001B3545" w:rsidP="00F75985">
      <w:pPr>
        <w:pStyle w:val="NumberedParagraph"/>
        <w:numPr>
          <w:ilvl w:val="0"/>
          <w:numId w:val="0"/>
        </w:numPr>
        <w:spacing w:after="240"/>
        <w:ind w:left="709" w:hanging="709"/>
        <w:rPr>
          <w:rStyle w:val="Strong"/>
          <w:b w:val="0"/>
          <w:bCs w:val="0"/>
          <w:szCs w:val="20"/>
          <w:lang w:eastAsia="en-US"/>
        </w:rPr>
      </w:pPr>
    </w:p>
    <w:p w14:paraId="1037C36D" w14:textId="77777777" w:rsidR="001B3545" w:rsidRDefault="001B3545" w:rsidP="00C31F63">
      <w:pPr>
        <w:pStyle w:val="NumberedParagraph"/>
        <w:numPr>
          <w:ilvl w:val="0"/>
          <w:numId w:val="0"/>
        </w:numPr>
        <w:tabs>
          <w:tab w:val="left" w:pos="5670"/>
        </w:tabs>
        <w:spacing w:after="360"/>
        <w:ind w:left="567"/>
        <w:rPr>
          <w:rStyle w:val="Strong"/>
          <w:b w:val="0"/>
          <w:bCs w:val="0"/>
        </w:rPr>
      </w:pPr>
    </w:p>
    <w:p w14:paraId="62A527C0" w14:textId="77777777" w:rsidR="001B3545" w:rsidRDefault="001B3545" w:rsidP="00C31F63">
      <w:pPr>
        <w:pStyle w:val="NumberedParagraph"/>
        <w:numPr>
          <w:ilvl w:val="0"/>
          <w:numId w:val="0"/>
        </w:numPr>
        <w:tabs>
          <w:tab w:val="left" w:pos="5670"/>
        </w:tabs>
        <w:spacing w:after="360"/>
        <w:ind w:left="567"/>
        <w:rPr>
          <w:rStyle w:val="Strong"/>
          <w:b w:val="0"/>
          <w:bCs w:val="0"/>
        </w:rPr>
      </w:pPr>
    </w:p>
    <w:p w14:paraId="0FACC057" w14:textId="77777777" w:rsidR="001B3545" w:rsidRDefault="001B3545" w:rsidP="00C31F63">
      <w:pPr>
        <w:pStyle w:val="NumberedParagraph"/>
        <w:numPr>
          <w:ilvl w:val="0"/>
          <w:numId w:val="0"/>
        </w:numPr>
        <w:tabs>
          <w:tab w:val="left" w:pos="5670"/>
        </w:tabs>
        <w:spacing w:after="360"/>
        <w:ind w:left="567"/>
        <w:rPr>
          <w:rStyle w:val="Strong"/>
          <w:b w:val="0"/>
          <w:bCs w:val="0"/>
        </w:rPr>
      </w:pPr>
    </w:p>
    <w:p w14:paraId="36DED3F4" w14:textId="4BB591F2" w:rsidR="00A05CF7" w:rsidRPr="00A81A91" w:rsidRDefault="00A05CF7" w:rsidP="00C31F63">
      <w:pPr>
        <w:pStyle w:val="NumberedParagraph"/>
        <w:numPr>
          <w:ilvl w:val="0"/>
          <w:numId w:val="0"/>
        </w:numPr>
        <w:tabs>
          <w:tab w:val="left" w:pos="5670"/>
        </w:tabs>
        <w:spacing w:after="360"/>
        <w:ind w:left="567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Noted</w:t>
      </w:r>
      <w:r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Noted</w:t>
      </w:r>
      <w:proofErr w:type="spellEnd"/>
    </w:p>
    <w:p w14:paraId="2FE4ACE3" w14:textId="0601DD1C" w:rsidR="007C70A7" w:rsidRDefault="007C70A7" w:rsidP="00C31F63">
      <w:pPr>
        <w:pStyle w:val="NumberedParagraph"/>
        <w:numPr>
          <w:ilvl w:val="0"/>
          <w:numId w:val="15"/>
        </w:numPr>
        <w:spacing w:after="240"/>
        <w:ind w:left="567" w:hanging="567"/>
        <w:rPr>
          <w:rStyle w:val="Strong"/>
          <w:b w:val="0"/>
          <w:bCs w:val="0"/>
        </w:rPr>
      </w:pPr>
      <w:r>
        <w:rPr>
          <w:rStyle w:val="Strong"/>
        </w:rPr>
        <w:t>agree</w:t>
      </w:r>
      <w:r>
        <w:rPr>
          <w:rStyle w:val="Strong"/>
          <w:b w:val="0"/>
          <w:bCs w:val="0"/>
        </w:rPr>
        <w:t xml:space="preserve"> that the fiscal cost be charged to the scorecard.</w:t>
      </w:r>
    </w:p>
    <w:p w14:paraId="137DA72B" w14:textId="4CBB794F" w:rsidR="007C70A7" w:rsidRDefault="007C70A7" w:rsidP="007C70A7">
      <w:pPr>
        <w:pStyle w:val="Decision"/>
        <w:spacing w:after="360"/>
        <w:ind w:left="567"/>
      </w:pPr>
      <w:r w:rsidRPr="006E31E0">
        <w:t>Agreed/Not agreed</w:t>
      </w:r>
      <w:r>
        <w:tab/>
      </w:r>
      <w:r w:rsidRPr="006E31E0">
        <w:t>Agreed/Not agreed</w:t>
      </w:r>
    </w:p>
    <w:p w14:paraId="6F5BDE80" w14:textId="67DC86F4" w:rsidR="00301B9F" w:rsidRDefault="00301B9F" w:rsidP="00301B9F">
      <w:pPr>
        <w:pStyle w:val="NumberedParagraph"/>
        <w:numPr>
          <w:ilvl w:val="0"/>
          <w:numId w:val="15"/>
        </w:numPr>
        <w:spacing w:after="240"/>
        <w:ind w:left="567" w:hanging="567"/>
        <w:rPr>
          <w:rStyle w:val="Strong"/>
          <w:b w:val="0"/>
          <w:bCs w:val="0"/>
        </w:rPr>
      </w:pPr>
      <w:r>
        <w:rPr>
          <w:rStyle w:val="Strong"/>
        </w:rPr>
        <w:t>agree</w:t>
      </w:r>
      <w:r>
        <w:rPr>
          <w:rStyle w:val="Strong"/>
          <w:b w:val="0"/>
          <w:bCs w:val="0"/>
        </w:rPr>
        <w:t xml:space="preserve"> to a waiver of the 28-day rule for the </w:t>
      </w:r>
      <w:r w:rsidR="00F14B00">
        <w:rPr>
          <w:rStyle w:val="Strong"/>
          <w:b w:val="0"/>
          <w:bCs w:val="0"/>
        </w:rPr>
        <w:t>coming into force of</w:t>
      </w:r>
      <w:r>
        <w:rPr>
          <w:rStyle w:val="Strong"/>
          <w:b w:val="0"/>
          <w:bCs w:val="0"/>
        </w:rPr>
        <w:t xml:space="preserve"> the Order in Council.</w:t>
      </w:r>
    </w:p>
    <w:p w14:paraId="3273B78E" w14:textId="77777777" w:rsidR="00301B9F" w:rsidRDefault="00301B9F" w:rsidP="00301B9F">
      <w:pPr>
        <w:pStyle w:val="Decision"/>
        <w:spacing w:after="360"/>
        <w:ind w:left="567"/>
      </w:pPr>
      <w:r w:rsidRPr="006E31E0">
        <w:t>Agreed/Not agreed</w:t>
      </w:r>
      <w:r>
        <w:tab/>
      </w:r>
      <w:r w:rsidRPr="006E31E0">
        <w:t>Agreed/Not agreed</w:t>
      </w:r>
    </w:p>
    <w:p w14:paraId="287AEFA6" w14:textId="725D2AC2" w:rsidR="00A65AE7" w:rsidRDefault="00A65AE7" w:rsidP="00A65AE7">
      <w:pPr>
        <w:pStyle w:val="NumberedParagraph"/>
        <w:numPr>
          <w:ilvl w:val="0"/>
          <w:numId w:val="15"/>
        </w:numPr>
        <w:spacing w:after="240"/>
        <w:ind w:left="567" w:hanging="567"/>
        <w:rPr>
          <w:rStyle w:val="Strong"/>
          <w:b w:val="0"/>
          <w:bCs w:val="0"/>
        </w:rPr>
      </w:pPr>
      <w:r>
        <w:rPr>
          <w:rStyle w:val="Strong"/>
        </w:rPr>
        <w:t>agree</w:t>
      </w:r>
      <w:r>
        <w:rPr>
          <w:rStyle w:val="Strong"/>
          <w:b w:val="0"/>
          <w:bCs w:val="0"/>
        </w:rPr>
        <w:t xml:space="preserve"> to Inland Revenue communicating the </w:t>
      </w:r>
      <w:r w:rsidR="00F17E96">
        <w:rPr>
          <w:rStyle w:val="Strong"/>
          <w:b w:val="0"/>
          <w:bCs w:val="0"/>
        </w:rPr>
        <w:t>extension of the due date to customers</w:t>
      </w:r>
      <w:r w:rsidR="00027479">
        <w:rPr>
          <w:rStyle w:val="Strong"/>
          <w:b w:val="0"/>
          <w:bCs w:val="0"/>
        </w:rPr>
        <w:t xml:space="preserve"> </w:t>
      </w:r>
      <w:r w:rsidR="00C968E6">
        <w:rPr>
          <w:rStyle w:val="Strong"/>
          <w:b w:val="0"/>
          <w:bCs w:val="0"/>
        </w:rPr>
        <w:t>before</w:t>
      </w:r>
      <w:r w:rsidR="00027479">
        <w:rPr>
          <w:rStyle w:val="Strong"/>
          <w:b w:val="0"/>
          <w:bCs w:val="0"/>
        </w:rPr>
        <w:t xml:space="preserve"> the Order in Council </w:t>
      </w:r>
      <w:r w:rsidR="00764B7F">
        <w:rPr>
          <w:rStyle w:val="Strong"/>
          <w:b w:val="0"/>
          <w:bCs w:val="0"/>
        </w:rPr>
        <w:t>is</w:t>
      </w:r>
      <w:r w:rsidR="00DE0F0A">
        <w:rPr>
          <w:rStyle w:val="Strong"/>
          <w:b w:val="0"/>
          <w:bCs w:val="0"/>
        </w:rPr>
        <w:t xml:space="preserve"> drafted</w:t>
      </w:r>
      <w:r>
        <w:rPr>
          <w:rStyle w:val="Strong"/>
          <w:b w:val="0"/>
          <w:bCs w:val="0"/>
        </w:rPr>
        <w:t>.</w:t>
      </w:r>
    </w:p>
    <w:p w14:paraId="0F487C5D" w14:textId="77777777" w:rsidR="00A65AE7" w:rsidRDefault="00A65AE7" w:rsidP="00A65AE7">
      <w:pPr>
        <w:pStyle w:val="Decision"/>
        <w:spacing w:after="360"/>
        <w:ind w:left="567"/>
      </w:pPr>
      <w:r w:rsidRPr="006E31E0">
        <w:t>Agreed/Not agreed</w:t>
      </w:r>
      <w:r>
        <w:tab/>
      </w:r>
      <w:r w:rsidRPr="006E31E0">
        <w:t>Agreed/Not agreed</w:t>
      </w:r>
    </w:p>
    <w:p w14:paraId="456D6BF7" w14:textId="65382F34" w:rsidR="009E17E7" w:rsidRDefault="009E17E7">
      <w:pPr>
        <w:spacing w:after="160" w:line="259" w:lineRule="auto"/>
        <w:jc w:val="left"/>
        <w:rPr>
          <w:rFonts w:eastAsia="Times New Roman" w:cs="Times New Roman"/>
        </w:rPr>
      </w:pPr>
      <w:r>
        <w:br w:type="page"/>
      </w:r>
    </w:p>
    <w:p w14:paraId="604232C6" w14:textId="5044C8EB" w:rsidR="00BB5F09" w:rsidRDefault="00BB5F09" w:rsidP="00C31F63">
      <w:pPr>
        <w:pStyle w:val="NumberedParagraph"/>
        <w:numPr>
          <w:ilvl w:val="0"/>
          <w:numId w:val="15"/>
        </w:numPr>
        <w:spacing w:after="240"/>
        <w:ind w:left="567" w:hanging="567"/>
        <w:rPr>
          <w:rStyle w:val="Strong"/>
          <w:b w:val="0"/>
          <w:bCs w:val="0"/>
        </w:rPr>
      </w:pPr>
      <w:r w:rsidRPr="00BE5665">
        <w:rPr>
          <w:rStyle w:val="Strong"/>
        </w:rPr>
        <w:t>authorise</w:t>
      </w:r>
      <w:r>
        <w:rPr>
          <w:rStyle w:val="Strong"/>
          <w:b w:val="0"/>
          <w:bCs w:val="0"/>
        </w:rPr>
        <w:t xml:space="preserve"> the </w:t>
      </w:r>
      <w:r w:rsidRPr="00E6179D">
        <w:t>Parliamentary</w:t>
      </w:r>
      <w:r>
        <w:rPr>
          <w:rStyle w:val="Strong"/>
          <w:b w:val="0"/>
          <w:bCs w:val="0"/>
        </w:rPr>
        <w:t xml:space="preserve"> </w:t>
      </w:r>
      <w:r w:rsidR="00DC297F">
        <w:rPr>
          <w:rStyle w:val="Strong"/>
          <w:b w:val="0"/>
          <w:bCs w:val="0"/>
        </w:rPr>
        <w:t xml:space="preserve">Counsel </w:t>
      </w:r>
      <w:r>
        <w:rPr>
          <w:rStyle w:val="Strong"/>
          <w:b w:val="0"/>
          <w:bCs w:val="0"/>
        </w:rPr>
        <w:t xml:space="preserve">Office to draft an Order in Council </w:t>
      </w:r>
      <w:r w:rsidR="00CC07D0">
        <w:rPr>
          <w:rStyle w:val="Strong"/>
          <w:b w:val="0"/>
          <w:bCs w:val="0"/>
        </w:rPr>
        <w:t xml:space="preserve">under section 226 of the Tax Administration Act </w:t>
      </w:r>
      <w:r w:rsidR="00E20EAA">
        <w:rPr>
          <w:rStyle w:val="Strong"/>
          <w:b w:val="0"/>
          <w:bCs w:val="0"/>
        </w:rPr>
        <w:t xml:space="preserve">1994 </w:t>
      </w:r>
      <w:r>
        <w:rPr>
          <w:rStyle w:val="Strong"/>
          <w:b w:val="0"/>
          <w:bCs w:val="0"/>
        </w:rPr>
        <w:t xml:space="preserve">to extend the </w:t>
      </w:r>
      <w:r w:rsidR="00CC07D0">
        <w:rPr>
          <w:rStyle w:val="Strong"/>
          <w:b w:val="0"/>
          <w:bCs w:val="0"/>
        </w:rPr>
        <w:t xml:space="preserve">due date from 28 </w:t>
      </w:r>
      <w:r w:rsidR="005D0EA6">
        <w:rPr>
          <w:rStyle w:val="Strong"/>
          <w:b w:val="0"/>
          <w:bCs w:val="0"/>
        </w:rPr>
        <w:t>October</w:t>
      </w:r>
      <w:r w:rsidR="00CC07D0">
        <w:rPr>
          <w:rStyle w:val="Strong"/>
          <w:b w:val="0"/>
          <w:bCs w:val="0"/>
        </w:rPr>
        <w:t xml:space="preserve"> 2021 to </w:t>
      </w:r>
      <w:r w:rsidR="00CC17D5">
        <w:rPr>
          <w:rStyle w:val="Strong"/>
          <w:b w:val="0"/>
          <w:bCs w:val="0"/>
        </w:rPr>
        <w:t>4 November</w:t>
      </w:r>
      <w:r w:rsidR="00CC07D0">
        <w:rPr>
          <w:rStyle w:val="Strong"/>
          <w:b w:val="0"/>
          <w:bCs w:val="0"/>
        </w:rPr>
        <w:t xml:space="preserve"> 2021 for the filing of returns and payment of income tax</w:t>
      </w:r>
      <w:r w:rsidR="00EC61C2">
        <w:rPr>
          <w:rStyle w:val="Strong"/>
          <w:b w:val="0"/>
          <w:bCs w:val="0"/>
        </w:rPr>
        <w:t xml:space="preserve"> </w:t>
      </w:r>
      <w:r w:rsidR="000C0BDB">
        <w:rPr>
          <w:rStyle w:val="Strong"/>
          <w:b w:val="0"/>
          <w:bCs w:val="0"/>
        </w:rPr>
        <w:t>(including provisional tax)</w:t>
      </w:r>
      <w:r w:rsidR="00CC07D0">
        <w:rPr>
          <w:rStyle w:val="Strong"/>
          <w:b w:val="0"/>
          <w:bCs w:val="0"/>
        </w:rPr>
        <w:t xml:space="preserve"> </w:t>
      </w:r>
      <w:r w:rsidR="00036B76">
        <w:rPr>
          <w:rStyle w:val="Strong"/>
          <w:b w:val="0"/>
          <w:bCs w:val="0"/>
        </w:rPr>
        <w:t>and goods and services tax</w:t>
      </w:r>
      <w:r>
        <w:rPr>
          <w:rStyle w:val="Strong"/>
          <w:b w:val="0"/>
          <w:bCs w:val="0"/>
        </w:rPr>
        <w:t>.</w:t>
      </w:r>
    </w:p>
    <w:p w14:paraId="66A2AF18" w14:textId="77777777" w:rsidR="00BB5F09" w:rsidRDefault="00BB5F09" w:rsidP="00E6179D">
      <w:pPr>
        <w:pStyle w:val="NumberedParagraph"/>
        <w:numPr>
          <w:ilvl w:val="0"/>
          <w:numId w:val="0"/>
        </w:numPr>
        <w:ind w:left="567"/>
      </w:pPr>
      <w:r>
        <w:rPr>
          <w:rStyle w:val="Strong"/>
          <w:b w:val="0"/>
          <w:bCs w:val="0"/>
        </w:rPr>
        <w:t xml:space="preserve">Authorise/Not authorised </w:t>
      </w:r>
    </w:p>
    <w:p w14:paraId="6B1B086A" w14:textId="447F89C5" w:rsidR="00E6179D" w:rsidRDefault="003038C8" w:rsidP="003038C8">
      <w:pPr>
        <w:shd w:val="clear" w:color="auto" w:fill="BFBFBF" w:themeFill="background1" w:themeFillShade="BF"/>
        <w:ind w:right="6660"/>
      </w:pPr>
      <w:r>
        <w:t>s 9(2)(a)</w:t>
      </w:r>
    </w:p>
    <w:p w14:paraId="3798F098" w14:textId="39242AA0" w:rsidR="009E17E7" w:rsidRDefault="009E17E7" w:rsidP="003038C8">
      <w:pPr>
        <w:shd w:val="clear" w:color="auto" w:fill="BFBFBF" w:themeFill="background1" w:themeFillShade="BF"/>
        <w:ind w:right="6660"/>
      </w:pPr>
    </w:p>
    <w:p w14:paraId="161C1379" w14:textId="7B0C2644" w:rsidR="00281011" w:rsidRDefault="00281011" w:rsidP="003038C8">
      <w:pPr>
        <w:shd w:val="clear" w:color="auto" w:fill="BFBFBF" w:themeFill="background1" w:themeFillShade="BF"/>
        <w:ind w:right="6660"/>
      </w:pPr>
    </w:p>
    <w:p w14:paraId="32684065" w14:textId="6E24F9D2" w:rsidR="008331C2" w:rsidRDefault="008331C2" w:rsidP="003038C8">
      <w:pPr>
        <w:shd w:val="clear" w:color="auto" w:fill="BFBFBF" w:themeFill="background1" w:themeFillShade="BF"/>
        <w:ind w:right="6660"/>
      </w:pPr>
    </w:p>
    <w:p w14:paraId="647B28F9" w14:textId="77777777" w:rsidR="008331C2" w:rsidRPr="008331C2" w:rsidRDefault="008331C2" w:rsidP="008331C2"/>
    <w:p w14:paraId="63DFC0D5" w14:textId="5C9107EB" w:rsidR="00811AC6" w:rsidRDefault="00252FA6" w:rsidP="006222B9">
      <w:pPr>
        <w:tabs>
          <w:tab w:val="left" w:pos="4536"/>
        </w:tabs>
      </w:pPr>
      <w:r>
        <w:rPr>
          <w:rStyle w:val="Strong"/>
        </w:rPr>
        <w:t>Bary Hollow</w:t>
      </w:r>
    </w:p>
    <w:p w14:paraId="19F58632" w14:textId="2EE006E7" w:rsidR="00811AC6" w:rsidRDefault="00252FA6" w:rsidP="006222B9">
      <w:pPr>
        <w:tabs>
          <w:tab w:val="left" w:pos="4536"/>
        </w:tabs>
      </w:pPr>
      <w:r>
        <w:t xml:space="preserve">Policy Lead </w:t>
      </w:r>
      <w:r w:rsidR="00C4281C">
        <w:t xml:space="preserve">– Tax Administration </w:t>
      </w:r>
      <w:r>
        <w:t>(acting)</w:t>
      </w:r>
    </w:p>
    <w:p w14:paraId="7B29E555" w14:textId="77777777" w:rsidR="00811AC6" w:rsidRDefault="00811AC6" w:rsidP="008331C2">
      <w:pPr>
        <w:tabs>
          <w:tab w:val="left" w:pos="4536"/>
        </w:tabs>
      </w:pPr>
      <w:r>
        <w:t xml:space="preserve">Policy and </w:t>
      </w:r>
      <w:r w:rsidR="004F0745">
        <w:t>Regulatory Stewardship</w:t>
      </w:r>
    </w:p>
    <w:p w14:paraId="4014A87B" w14:textId="77777777" w:rsidR="00811AC6" w:rsidRDefault="00811AC6" w:rsidP="00811AC6"/>
    <w:p w14:paraId="75E92ED6" w14:textId="77777777" w:rsidR="009E17E7" w:rsidRDefault="009E17E7" w:rsidP="00811AC6"/>
    <w:p w14:paraId="739048F4" w14:textId="77777777" w:rsidR="008331C2" w:rsidRDefault="008331C2" w:rsidP="00811AC6"/>
    <w:p w14:paraId="4DC8ED34" w14:textId="77777777" w:rsidR="008331C2" w:rsidRDefault="008331C2" w:rsidP="00811AC6"/>
    <w:p w14:paraId="603B7608" w14:textId="2F5321CF" w:rsidR="00E152F6" w:rsidRDefault="00E152F6" w:rsidP="008331C2">
      <w:pPr>
        <w:tabs>
          <w:tab w:val="left" w:pos="4536"/>
        </w:tabs>
      </w:pPr>
    </w:p>
    <w:p w14:paraId="2344C783" w14:textId="77777777" w:rsidR="00E152F6" w:rsidRDefault="00E152F6" w:rsidP="008331C2">
      <w:pPr>
        <w:tabs>
          <w:tab w:val="left" w:pos="4536"/>
        </w:tabs>
      </w:pPr>
    </w:p>
    <w:p w14:paraId="3CF732E4" w14:textId="77777777" w:rsidR="00A55284" w:rsidRDefault="00A55284" w:rsidP="00A55284"/>
    <w:p w14:paraId="72681770" w14:textId="4837F619" w:rsidR="00A55284" w:rsidRDefault="00A55284" w:rsidP="00A55284">
      <w:pPr>
        <w:tabs>
          <w:tab w:val="left" w:pos="4536"/>
        </w:tabs>
      </w:pPr>
      <w:r w:rsidRPr="008331C2">
        <w:rPr>
          <w:rStyle w:val="Strong"/>
        </w:rPr>
        <w:t xml:space="preserve">Hon </w:t>
      </w:r>
      <w:r>
        <w:rPr>
          <w:rStyle w:val="Strong"/>
        </w:rPr>
        <w:t>David Parker</w:t>
      </w:r>
      <w:r>
        <w:rPr>
          <w:rStyle w:val="Strong"/>
        </w:rPr>
        <w:tab/>
      </w:r>
      <w:r>
        <w:rPr>
          <w:rStyle w:val="Strong"/>
        </w:rPr>
        <w:tab/>
      </w:r>
      <w:r w:rsidRPr="008331C2">
        <w:rPr>
          <w:rStyle w:val="Strong"/>
        </w:rPr>
        <w:t xml:space="preserve">Hon </w:t>
      </w:r>
      <w:r>
        <w:rPr>
          <w:rStyle w:val="Strong"/>
        </w:rPr>
        <w:t>Grant Robertson</w:t>
      </w:r>
    </w:p>
    <w:p w14:paraId="1E580FE3" w14:textId="28218E12" w:rsidR="00A55284" w:rsidRDefault="00A55284" w:rsidP="00A55284">
      <w:pPr>
        <w:tabs>
          <w:tab w:val="left" w:pos="4536"/>
        </w:tabs>
      </w:pPr>
      <w:r>
        <w:t>Minister of Revenue</w:t>
      </w:r>
      <w:r w:rsidRPr="00342E6B">
        <w:t xml:space="preserve"> </w:t>
      </w:r>
      <w:r>
        <w:tab/>
      </w:r>
      <w:r>
        <w:tab/>
        <w:t>Minister of Finance</w:t>
      </w:r>
    </w:p>
    <w:p w14:paraId="33663608" w14:textId="2A329067" w:rsidR="00A55284" w:rsidRDefault="00A55284" w:rsidP="00A55284">
      <w:pPr>
        <w:tabs>
          <w:tab w:val="left" w:pos="4536"/>
        </w:tabs>
      </w:pPr>
      <w:r>
        <w:t xml:space="preserve">       /       /2021</w:t>
      </w:r>
      <w:r>
        <w:tab/>
      </w:r>
      <w:r>
        <w:tab/>
        <w:t xml:space="preserve">       /       /2021</w:t>
      </w:r>
    </w:p>
    <w:p w14:paraId="0BE50C55" w14:textId="77777777" w:rsidR="00A55284" w:rsidRDefault="00A55284" w:rsidP="008331C2">
      <w:pPr>
        <w:tabs>
          <w:tab w:val="left" w:pos="4536"/>
        </w:tabs>
      </w:pPr>
    </w:p>
    <w:sectPr w:rsidR="00A55284" w:rsidSect="00E331E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4272" w14:textId="77777777" w:rsidR="00E02ABD" w:rsidRDefault="00E02ABD" w:rsidP="002F43C5">
      <w:pPr>
        <w:spacing w:line="240" w:lineRule="auto"/>
      </w:pPr>
      <w:r>
        <w:separator/>
      </w:r>
    </w:p>
  </w:endnote>
  <w:endnote w:type="continuationSeparator" w:id="0">
    <w:p w14:paraId="02E38537" w14:textId="77777777" w:rsidR="00E02ABD" w:rsidRDefault="00E02ABD" w:rsidP="002F43C5">
      <w:pPr>
        <w:spacing w:line="240" w:lineRule="auto"/>
      </w:pPr>
      <w:r>
        <w:continuationSeparator/>
      </w:r>
    </w:p>
  </w:endnote>
  <w:endnote w:type="continuationNotice" w:id="1">
    <w:p w14:paraId="05AD9BAF" w14:textId="77777777" w:rsidR="00E02ABD" w:rsidRDefault="00E02A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8103" w14:textId="02F18E3D" w:rsidR="00E331E1" w:rsidRPr="00E331E1" w:rsidRDefault="00E331E1" w:rsidP="00E331E1">
    <w:pPr>
      <w:pStyle w:val="Footer"/>
      <w:tabs>
        <w:tab w:val="clear" w:pos="4513"/>
      </w:tabs>
    </w:pPr>
    <w:r>
      <w:rPr>
        <w:lang w:val="mi-NZ"/>
      </w:rPr>
      <w:t>IR20</w:t>
    </w:r>
    <w:r w:rsidR="00EB265E">
      <w:rPr>
        <w:lang w:val="mi-NZ"/>
      </w:rPr>
      <w:t>21/</w:t>
    </w:r>
    <w:r w:rsidR="00A37027">
      <w:rPr>
        <w:lang w:val="mi-NZ"/>
      </w:rPr>
      <w:t>415</w:t>
    </w:r>
    <w:r>
      <w:rPr>
        <w:lang w:val="mi-NZ"/>
      </w:rPr>
      <w:t xml:space="preserve">: </w:t>
    </w:r>
    <w:r w:rsidR="004A1912">
      <w:rPr>
        <w:lang w:val="mi-NZ"/>
      </w:rPr>
      <w:t xml:space="preserve">Extending the </w:t>
    </w:r>
    <w:r w:rsidR="00D3497B">
      <w:rPr>
        <w:lang w:val="mi-NZ"/>
      </w:rPr>
      <w:t xml:space="preserve">tax due date on </w:t>
    </w:r>
    <w:r w:rsidR="00AA235C">
      <w:rPr>
        <w:lang w:val="mi-NZ"/>
      </w:rPr>
      <w:t xml:space="preserve">28 </w:t>
    </w:r>
    <w:r w:rsidR="00D3497B">
      <w:rPr>
        <w:lang w:val="mi-NZ"/>
      </w:rPr>
      <w:t>Octob</w:t>
    </w:r>
    <w:r w:rsidR="00AA235C">
      <w:rPr>
        <w:lang w:val="mi-NZ"/>
      </w:rPr>
      <w:t xml:space="preserve">er 2021 to </w:t>
    </w:r>
    <w:r w:rsidR="00CC17D5">
      <w:rPr>
        <w:lang w:val="mi-NZ"/>
      </w:rPr>
      <w:t>4 November</w:t>
    </w:r>
    <w:r w:rsidR="00AA235C">
      <w:rPr>
        <w:lang w:val="mi-NZ"/>
      </w:rPr>
      <w:t xml:space="preserve"> 2021</w:t>
    </w:r>
    <w:r w:rsidR="004D3630">
      <w:rPr>
        <w:lang w:val="mi-NZ"/>
      </w:rPr>
      <w:t>.</w:t>
    </w:r>
    <w:r>
      <w:rPr>
        <w:lang w:val="mi-NZ"/>
      </w:rPr>
      <w:tab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Pr="00E331E1">
          <w:t xml:space="preserve">Page </w:t>
        </w:r>
        <w:r w:rsidRPr="00E331E1">
          <w:rPr>
            <w:b/>
            <w:bCs/>
          </w:rPr>
          <w:fldChar w:fldCharType="begin"/>
        </w:r>
        <w:r w:rsidRPr="00E331E1">
          <w:rPr>
            <w:b/>
            <w:bCs/>
          </w:rPr>
          <w:instrText xml:space="preserve"> PAGE </w:instrText>
        </w:r>
        <w:r w:rsidRPr="00E331E1">
          <w:rPr>
            <w:b/>
            <w:bCs/>
          </w:rPr>
          <w:fldChar w:fldCharType="separate"/>
        </w:r>
        <w:r w:rsidRPr="00E331E1">
          <w:rPr>
            <w:b/>
            <w:bCs/>
          </w:rPr>
          <w:t>1</w:t>
        </w:r>
        <w:r w:rsidRPr="00E331E1">
          <w:rPr>
            <w:lang w:val="mi-NZ"/>
          </w:rPr>
          <w:fldChar w:fldCharType="end"/>
        </w:r>
        <w:r w:rsidRPr="00E331E1">
          <w:t xml:space="preserve"> of </w:t>
        </w:r>
        <w:r w:rsidRPr="00E331E1">
          <w:rPr>
            <w:b/>
            <w:bCs/>
          </w:rPr>
          <w:fldChar w:fldCharType="begin"/>
        </w:r>
        <w:r w:rsidR="000E4A89">
          <w:rPr>
            <w:b/>
            <w:bCs/>
          </w:rPr>
          <w:instrText xml:space="preserve"> SECTIONPAGES</w:instrText>
        </w:r>
        <w:r w:rsidRPr="00E331E1">
          <w:rPr>
            <w:b/>
            <w:bCs/>
          </w:rPr>
          <w:instrText xml:space="preserve"> </w:instrText>
        </w:r>
        <w:r w:rsidR="003038C8">
          <w:rPr>
            <w:b/>
            <w:bCs/>
          </w:rPr>
          <w:fldChar w:fldCharType="separate"/>
        </w:r>
        <w:r w:rsidR="00103560">
          <w:rPr>
            <w:b/>
            <w:bCs/>
            <w:noProof/>
          </w:rPr>
          <w:t>5</w:t>
        </w:r>
        <w:r w:rsidRPr="00E331E1">
          <w:rPr>
            <w:lang w:val="mi-NZ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233F" w14:textId="77777777" w:rsidR="00E02ABD" w:rsidRDefault="00E02ABD" w:rsidP="002F43C5">
      <w:pPr>
        <w:spacing w:line="240" w:lineRule="auto"/>
      </w:pPr>
      <w:r>
        <w:separator/>
      </w:r>
    </w:p>
  </w:footnote>
  <w:footnote w:type="continuationSeparator" w:id="0">
    <w:p w14:paraId="58A3251E" w14:textId="77777777" w:rsidR="00E02ABD" w:rsidRDefault="00E02ABD" w:rsidP="002F43C5">
      <w:pPr>
        <w:spacing w:line="240" w:lineRule="auto"/>
      </w:pPr>
      <w:r>
        <w:continuationSeparator/>
      </w:r>
    </w:p>
  </w:footnote>
  <w:footnote w:type="continuationNotice" w:id="1">
    <w:p w14:paraId="27F234B7" w14:textId="77777777" w:rsidR="00E02ABD" w:rsidRDefault="00E02ABD">
      <w:pPr>
        <w:spacing w:line="240" w:lineRule="auto"/>
      </w:pPr>
    </w:p>
  </w:footnote>
  <w:footnote w:id="2">
    <w:p w14:paraId="563E2D92" w14:textId="3AC53AA6" w:rsidR="009F0C2B" w:rsidRDefault="009F0C2B" w:rsidP="009F0C2B">
      <w:pPr>
        <w:pStyle w:val="FootnoteText"/>
      </w:pPr>
      <w:r>
        <w:rPr>
          <w:rStyle w:val="FootnoteReference"/>
        </w:rPr>
        <w:footnoteRef/>
      </w:r>
      <w:r>
        <w:t xml:space="preserve"> START – Simplified Tax and Revenue Technology</w:t>
      </w:r>
      <w:r w:rsidR="00197783">
        <w:t xml:space="preserve"> – Inland Revenue’s new technology platform</w:t>
      </w:r>
      <w:r w:rsidR="00944487">
        <w:t>.</w:t>
      </w:r>
    </w:p>
  </w:footnote>
  <w:footnote w:id="3">
    <w:p w14:paraId="1CBE2891" w14:textId="705B7078" w:rsidR="004F3745" w:rsidRDefault="004F3745">
      <w:pPr>
        <w:pStyle w:val="FootnoteText"/>
      </w:pPr>
      <w:r>
        <w:rPr>
          <w:rStyle w:val="FootnoteReference"/>
        </w:rPr>
        <w:footnoteRef/>
      </w:r>
      <w:r>
        <w:t xml:space="preserve"> The exceptions being payments made by direct debit or credit card.</w:t>
      </w:r>
    </w:p>
  </w:footnote>
  <w:footnote w:id="4">
    <w:p w14:paraId="1C3BA375" w14:textId="59EFA2B0" w:rsidR="00F362DF" w:rsidRDefault="00F362DF">
      <w:pPr>
        <w:pStyle w:val="FootnoteText"/>
      </w:pPr>
      <w:r>
        <w:rPr>
          <w:rStyle w:val="FootnoteReference"/>
        </w:rPr>
        <w:footnoteRef/>
      </w:r>
      <w:r>
        <w:t xml:space="preserve"> The 28</w:t>
      </w:r>
      <w:r w:rsidRPr="00F362DF">
        <w:rPr>
          <w:vertAlign w:val="superscript"/>
        </w:rPr>
        <w:t>th</w:t>
      </w:r>
      <w:r>
        <w:t xml:space="preserve"> of October is the due date for the filing </w:t>
      </w:r>
      <w:r w:rsidR="00416122">
        <w:t xml:space="preserve">and payment of GST returns for the period to 30 September 2021 </w:t>
      </w:r>
      <w:r w:rsidR="001A10B4">
        <w:t>and</w:t>
      </w:r>
      <w:r w:rsidR="00416122">
        <w:t xml:space="preserve"> includes </w:t>
      </w:r>
      <w:r w:rsidR="008C0611">
        <w:t>customers who file monthly, two-</w:t>
      </w:r>
      <w:proofErr w:type="gramStart"/>
      <w:r w:rsidR="008C0611">
        <w:t>monthly</w:t>
      </w:r>
      <w:proofErr w:type="gramEnd"/>
      <w:r w:rsidR="008C0611">
        <w:t xml:space="preserve"> and six</w:t>
      </w:r>
      <w:r w:rsidR="00B9728F">
        <w:t>-</w:t>
      </w:r>
      <w:r w:rsidR="008C0611">
        <w:t>monthly</w:t>
      </w:r>
      <w:r w:rsidR="008C0611" w:rsidRPr="00FD108E">
        <w:t>.</w:t>
      </w:r>
      <w:r w:rsidR="006D3A78" w:rsidRPr="00FD108E">
        <w:t xml:space="preserve"> Although this is a minor payment date for provisional tax it does include some larger taxpayers with September balance dates</w:t>
      </w:r>
      <w:r w:rsidR="00641A8A" w:rsidRPr="00FD108E">
        <w:t>,</w:t>
      </w:r>
      <w:r w:rsidR="006D3A78" w:rsidRPr="00FD108E">
        <w:t xml:space="preserve"> being some of the major </w:t>
      </w:r>
      <w:r w:rsidR="001541F9" w:rsidRPr="00FD108E">
        <w:t xml:space="preserve">trading </w:t>
      </w:r>
      <w:r w:rsidR="006D3A78" w:rsidRPr="00FD108E">
        <w:t>banks</w:t>
      </w:r>
      <w:r w:rsidR="001541F9" w:rsidRPr="00FD108E">
        <w:t>.</w:t>
      </w:r>
    </w:p>
  </w:footnote>
  <w:footnote w:id="5">
    <w:p w14:paraId="5B555256" w14:textId="2390F0DA" w:rsidR="00095E02" w:rsidRDefault="00095E02">
      <w:pPr>
        <w:pStyle w:val="FootnoteText"/>
      </w:pPr>
      <w:r>
        <w:rPr>
          <w:rStyle w:val="FootnoteReference"/>
        </w:rPr>
        <w:footnoteRef/>
      </w:r>
      <w:r>
        <w:t xml:space="preserve"> The exceptions being payments made by direct debit or credit card.</w:t>
      </w:r>
    </w:p>
  </w:footnote>
  <w:footnote w:id="6">
    <w:p w14:paraId="7141E7BE" w14:textId="41D13F5A" w:rsidR="00D21B8E" w:rsidRDefault="00D21B8E">
      <w:pPr>
        <w:pStyle w:val="FootnoteText"/>
      </w:pPr>
      <w:r>
        <w:rPr>
          <w:rStyle w:val="FootnoteReference"/>
        </w:rPr>
        <w:footnoteRef/>
      </w:r>
      <w:r>
        <w:t xml:space="preserve"> Other than a limited power to remit late payment penalties.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376F" w14:textId="164455A0" w:rsidR="004F0745" w:rsidRDefault="004F07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56CBF754" wp14:editId="69DC264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2700"/>
              <wp:wrapSquare wrapText="bothSides"/>
              <wp:docPr id="3" name="Text Box 3" descr="[IN CONFIDENCE]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01AA88" w14:textId="77777777" w:rsidR="004F0745" w:rsidRPr="004F0745" w:rsidRDefault="004F0745">
                          <w:pPr>
                            <w:rPr>
                              <w:rFonts w:eastAsia="Verdana" w:cs="Verdana"/>
                              <w:color w:val="000000"/>
                            </w:rPr>
                          </w:pPr>
                          <w:r w:rsidRPr="004F0745">
                            <w:rPr>
                              <w:rFonts w:eastAsia="Verdana" w:cs="Verdana"/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BF7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[IN CONFIDENCE] " style="position:absolute;left:0;text-align:left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7gKwIAAE4EAAAOAAAAZHJzL2Uyb0RvYy54bWysVF1v2jAUfZ+0/2D5fQTarqoiQsWgTEgI&#10;KsHUh2kPxnEgUvwh25CwX79jJ6Fdt6dpL+bmft9z7mX82MiKnIV1pVYZHQ2GlAjFdV6qQ0a/7Raf&#10;HihxnqmcVVqJjF6Eo4+Tjx/GtUnFjT7qKheWIIlyaW0yevTepEni+FFI5gbaCAVjoa1kHp/2kOSW&#10;1cguq+RmOLxPam1zYzUXzkE7b410EvMXheB+UxROeFJlFL35+Nr47sObTMYsPVhmjiXv2mD/0IVk&#10;pULRa6o584ycbPlHKllyq50u/IBrmeiiKLmIM2Ca0fDdNNsjMyLOAnCcucLk/l9avj4/W1LmGb2l&#10;RDEJinai8eSLbgg0uXAcaH1frslss14s50/r2dMPEmCrjUsRvTWI9w38QX+vd1AGNJrCyvCLOQns&#10;IOByBT1U4VDe3d0+3H+mhMPUycievAYb6/xXoSUJQkYtOI1Qs/PK+da1dwm1lF6UVRV5rdRvCuQM&#10;miR03nYYJN/sm26cvc4vmMbqdk2c4YsSNVfM+WdmsRcYALvuN3iKStcZ1Z1EyVHbn3/TB3/QBSsl&#10;NfYsowqHQEm1VKAxrGQv2F7Y94I6yZnG4o5wQ4ZHEQHWV71YWC1fcADTUAMmpjgqZdT34sy3u44D&#10;4mI6jU5YPMP8Sm0ND6kDRAG/XfPCrOlA9mBnrfv9Y+k7rFvfEOnM9OSBeCQiwNli2KGMpY1UdgcW&#10;ruLtd/R6/RuY/AI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6aae4CsCAABOBAAADgAAAAAAAAAAAAAAAAAuAgAAZHJzL2Uyb0RvYy54&#10;bWxQSwECLQAUAAYACAAAACEAhLDTKNYAAAADAQAADwAAAAAAAAAAAAAAAACFBAAAZHJzL2Rvd25y&#10;ZXYueG1sUEsFBgAAAAAEAAQA8wAAAIgFAAAAAA==&#10;" filled="f" stroked="f">
              <v:textbox style="mso-fit-shape-to-text:t" inset="0,0,0,0">
                <w:txbxContent>
                  <w:p w14:paraId="2B01AA88" w14:textId="77777777" w:rsidR="004F0745" w:rsidRPr="004F0745" w:rsidRDefault="004F0745">
                    <w:pPr>
                      <w:rPr>
                        <w:rFonts w:eastAsia="Verdana" w:cs="Verdana"/>
                        <w:color w:val="000000"/>
                      </w:rPr>
                    </w:pPr>
                    <w:r w:rsidRPr="004F0745">
                      <w:rPr>
                        <w:rFonts w:eastAsia="Verdana" w:cs="Verdana"/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1EEB" w14:textId="661855F7" w:rsidR="00501DEB" w:rsidRDefault="001449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4EA6DB1E" wp14:editId="2DF8A79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4" name="MSIPCM94a9495a837d1f8ce2f94964" descr="{&quot;HashCode&quot;:13051067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9E0825" w14:textId="69154BBA" w:rsidR="001449F9" w:rsidRPr="003B3A0F" w:rsidRDefault="003B3A0F" w:rsidP="003B3A0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B3A0F">
                            <w:rPr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6DB1E" id="_x0000_t202" coordsize="21600,21600" o:spt="202" path="m,l,21600r21600,l21600,xe">
              <v:stroke joinstyle="miter"/>
              <v:path gradientshapeok="t" o:connecttype="rect"/>
            </v:shapetype>
            <v:shape id="MSIPCM94a9495a837d1f8ce2f94964" o:spid="_x0000_s1027" type="#_x0000_t202" alt="{&quot;HashCode&quot;:130510670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4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ZqqwIAAE0FAAAOAAAAZHJzL2Uyb0RvYy54bWysVFtv2yAUfp+0/4B42NNW27knq1NlqbpW&#10;SttI6dRngiFGsoECqZ1N++874Eu7bk/TXuDcONfvcH5RlwV6ZsYKJVOcnMUYMUlVJuQhxd8erj7N&#10;MLKOyIwUSrIUn5jFF8v3784rvWADlasiYwaBE2kXlU5x7pxeRJGlOSuJPVOaSVByZUrigDWHKDOk&#10;Au9lEQ3ieBJVymTaKMqsBello8TL4J9zRt0955Y5VKQYcnPhNOHc+zNanpPFwRCdC9qmQf4hi5II&#10;CUF7V5fEEXQ04g9XpaBGWcXdGVVlpDgXlIUaoJokflPNLieahVqgOVb3bbL/zy29e94aJLIUjzCS&#10;pIQR3e5utuvb+YjMR/MxmQ2nWcJnlA048BOwypil0MEfH56Oyn2+JjZfq4w13CIZxuMknkzjwcdW&#10;z8Qhd612NgKEtIpHkbm8lY/n416+LQhlJZPdm84NAaA0dOvgRmasbh0019aIkpjTb1Y7gABgs7VL&#10;2rcPSreSuA+8YbyLCcKfHhqVtgvo0E5Dj1z9RdUA8U5uQegnXnNT+htmiUAPIDv1wGK1QxSE0/Ek&#10;HiagoqAbTJPpLCAvenmtjXVfmSqRJ1JsIOuAJ/K8sQ4yAdPOxAeT6koURQBvIVGV4slwHIcHvQZe&#10;FBIe+hqaXD3l6n0dxt3XsVfZCcozqtkNq+mVgBw2xLotMbAMkDYsuLuHgxcKYqmWwihX5vvf5N4e&#10;MApajCpYrhTbpyMxDKPiRgJ658lo5LcxMECY19J9J5XHcq1gbxP4QjQNpLd1RUdyo8pH2P+VjwYq&#10;IinETLHryLUDDhTwf1C2WgUa9k4Tt5E7Tb1r303f2Yf6kRjdtt/B4O5Ut35k8WYKjW0zh9XRKS7C&#10;iHx/m262bYedDZNr/xf/Kbzmg9XLL7j8BQAA//8DAFBLAwQUAAYACAAAACEAiATPitwAAAAHAQAA&#10;DwAAAGRycy9kb3ducmV2LnhtbEyPwU7DMAyG70i8Q2QkbizZkNatNJ0QaBckJLrtwi1rTFuROFWT&#10;teXt8U5wsqz/1+fPxW72Tow4xC6QhuVCgUCqg+2o0XA67h82IGIyZI0LhBp+MMKuvL0pTG7DRBWO&#10;h9QIhlDMjYY2pT6XMtYtehMXoUfi7CsM3iReh0bawUwM906ulFpLbzriC63p8aXF+vtw8UzZvr7N&#10;6T37CNFV+2n0n6es6rW+v5ufn0AknNNfGa76rA4lO53DhWwUTgM/kjQ8Kp7XdLlVaxBnDdlqA7Is&#10;5H//8hcAAP//AwBQSwECLQAUAAYACAAAACEAtoM4kv4AAADhAQAAEwAAAAAAAAAAAAAAAAAAAAAA&#10;W0NvbnRlbnRfVHlwZXNdLnhtbFBLAQItABQABgAIAAAAIQA4/SH/1gAAAJQBAAALAAAAAAAAAAAA&#10;AAAAAC8BAABfcmVscy8ucmVsc1BLAQItABQABgAIAAAAIQBmMGZqqwIAAE0FAAAOAAAAAAAAAAAA&#10;AAAAAC4CAABkcnMvZTJvRG9jLnhtbFBLAQItABQABgAIAAAAIQCIBM+K3AAAAAcBAAAPAAAAAAAA&#10;AAAAAAAAAAUFAABkcnMvZG93bnJldi54bWxQSwUGAAAAAAQABADzAAAADgYAAAAA&#10;" o:allowincell="f" filled="f" stroked="f" strokeweight=".5pt">
              <v:textbox inset=",0,,0">
                <w:txbxContent>
                  <w:p w14:paraId="5C9E0825" w14:textId="69154BBA" w:rsidR="001449F9" w:rsidRPr="003B3A0F" w:rsidRDefault="003B3A0F" w:rsidP="003B3A0F">
                    <w:pPr>
                      <w:jc w:val="center"/>
                      <w:rPr>
                        <w:color w:val="000000"/>
                      </w:rPr>
                    </w:pPr>
                    <w:r w:rsidRPr="003B3A0F">
                      <w:rPr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7014" w14:textId="5695A2D5" w:rsidR="004F0745" w:rsidRDefault="004F07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B7269C" wp14:editId="3E5129A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2700"/>
              <wp:wrapSquare wrapText="bothSides"/>
              <wp:docPr id="2" name="Text Box 2" descr="[IN CONFIDENCE]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2A9185" w14:textId="77777777" w:rsidR="004F0745" w:rsidRPr="004F0745" w:rsidRDefault="004F0745">
                          <w:pPr>
                            <w:rPr>
                              <w:rFonts w:eastAsia="Verdana" w:cs="Verdana"/>
                              <w:color w:val="000000"/>
                            </w:rPr>
                          </w:pPr>
                          <w:r w:rsidRPr="004F0745">
                            <w:rPr>
                              <w:rFonts w:eastAsia="Verdana" w:cs="Verdana"/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726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[IN CONFIDENCE] 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maLQIAAFUEAAAOAAAAZHJzL2Uyb0RvYy54bWysVE2P2jAQvVfqf7B8LwG6Xa0iworCUiEh&#10;WAmqPVQ9GMeBSPGHbENCf32fnYRttz1VvZjJfM97M0weG1mRi7Cu1Cqjo8GQEqG4zkt1zOjX/fLD&#10;AyXOM5WzSiuR0atw9HH6/t2kNqkY65OucmEJkiiX1iajJ+9NmiSOn4RkbqCNUDAW2krm8WmPSW5Z&#10;jeyySsbD4X1Sa5sbq7lwDtpFa6TTmL8oBPfbonDCkyqj6M3H18b3EN5kOmHp0TJzKnnXBvuHLiQr&#10;FYreUi2YZ+Rsyz9SyZJb7XThB1zLRBdFyUWcAdOMhm+m2Z2YEXEWgOPMDSb3/9LyzeXZkjLP6JgS&#10;xSQo2ovGk8+6IdDkwnGg9W21IfPtZrlaPG3mT99JgK02LkX0ziDeN/AH/b3eQRnQaAorwy/mJLCD&#10;gOsN9FCFQ3l39/Hh/hMlHKZORvbkNdhY578ILUkQMmrBaYSaXdbOt669S6il9LKsqshrpX5TIGfQ&#10;JKHztsMg+ebQdAB0Ux10fsVQVrfb4gxflii9Zs4/M4v1wBxYeb/FU1S6zqjuJEpO2v74mz74gzVY&#10;KamxbhlVuAdKqpUCm2Eze8H2wqEX1FnONfZ3hFMyPIoIsL7qxcJq+YI7mIUaMDHFUSmjvhfnvl15&#10;3BEXs1l0wv4Z5tdqZ3hIHZAKMO6bF2ZNh7UHSRvdryFL30De+oZIZ2ZnD+AjHwHVFsMObOxuZLS7&#10;s3Acv35Hr9d/g+lPAA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AO0imaLQIAAFUEAAAOAAAAAAAAAAAAAAAAAC4CAABkcnMvZTJvRG9j&#10;LnhtbFBLAQItABQABgAIAAAAIQCEsNMo1gAAAAMBAAAPAAAAAAAAAAAAAAAAAIcEAABkcnMvZG93&#10;bnJldi54bWxQSwUGAAAAAAQABADzAAAAigUAAAAA&#10;" filled="f" stroked="f">
              <v:textbox style="mso-fit-shape-to-text:t" inset="0,0,0,0">
                <w:txbxContent>
                  <w:p w14:paraId="132A9185" w14:textId="77777777" w:rsidR="004F0745" w:rsidRPr="004F0745" w:rsidRDefault="004F0745">
                    <w:pPr>
                      <w:rPr>
                        <w:rFonts w:eastAsia="Verdana" w:cs="Verdana"/>
                        <w:color w:val="000000"/>
                      </w:rPr>
                    </w:pPr>
                    <w:r w:rsidRPr="004F0745">
                      <w:rPr>
                        <w:rFonts w:eastAsia="Verdana" w:cs="Verdana"/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BAA8" w14:textId="22C7D4D9" w:rsidR="004F0745" w:rsidRDefault="004F07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E39810E" wp14:editId="1F18BEC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2700"/>
              <wp:wrapSquare wrapText="bothSides"/>
              <wp:docPr id="6" name="Text Box 6" descr="[IN CONFIDENCE]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435A12" w14:textId="77777777" w:rsidR="004F0745" w:rsidRPr="004F0745" w:rsidRDefault="004F0745">
                          <w:pPr>
                            <w:rPr>
                              <w:rFonts w:eastAsia="Verdana" w:cs="Verdana"/>
                              <w:color w:val="000000"/>
                            </w:rPr>
                          </w:pPr>
                          <w:r w:rsidRPr="004F0745">
                            <w:rPr>
                              <w:rFonts w:eastAsia="Verdana" w:cs="Verdana"/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981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[IN CONFIDENCE] " style="position:absolute;left:0;text-align:left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5c/LgIAAFUEAAAOAAAAZHJzL2Uyb0RvYy54bWysVF1v2jAUfZ+0/2D5fQTaDlURoWJQJiRE&#10;K8HUh2kPxnEgUvwh25CwX79jJ6Fdt6dpL+bmft9zz2Xy0MiKnIV1pVYZHQ2GlAjFdV6qQ0a/7Zaf&#10;7ilxnqmcVVqJjF6Eow/Tjx8mtUnFjT7qKheWIIlyaW0yevTepEni+FFI5gbaCAVjoa1kHp/2kOSW&#10;1cguq+RmOBwntba5sZoL56BdtEY6jfmLQnD/VBROeFJlFL35+Nr47sObTCcsPVhmjiXv2mD/0IVk&#10;pULRa6oF84ycbPlHKllyq50u/IBrmeiiKLmIM2Ca0fDdNNsjMyLOAnCcucLk/l9avjk/W1LmGR1T&#10;opjEinai8eSLbgg0uXAcaH1fbcj8abNcLR4388cfJMBWG5ciemsQ7xv4Y/293kEZ0GgKK8Mv5iSw&#10;YwGXK+ihCofy7u72fvyZEg5TJyN78hpsrPNfhZYkCBm12GmEmp3XzreuvUuopfSyrKq410r9pkDO&#10;oElC522HQfLNvokA3Pbd73V+wVBWt2xxhi9LlF4z55+ZBT0wByjvn/AUla4zqjuJkqO2P/+mD/7Y&#10;GqyU1KBbRhXugZJqpbDNwMxesL2w7wV1knMN/o5wSoZHEQHWV71YWC1fcAezUAMmpjgqZdT34ty3&#10;lMcdcTGbRSfwzzC/VlvDQ+qAVIBx17wwazqsPZa00T0NWfoO8tY3RDozO3kAH/cRUG0x7MAGd+NG&#10;uzsLx/H2O3q9/htMfwE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fmOXPy4CAABVBAAADgAAAAAAAAAAAAAAAAAuAgAAZHJzL2Uyb0Rv&#10;Yy54bWxQSwECLQAUAAYACAAAACEAhLDTKNYAAAADAQAADwAAAAAAAAAAAAAAAACIBAAAZHJzL2Rv&#10;d25yZXYueG1sUEsFBgAAAAAEAAQA8wAAAIsFAAAAAA==&#10;" filled="f" stroked="f">
              <v:textbox style="mso-fit-shape-to-text:t" inset="0,0,0,0">
                <w:txbxContent>
                  <w:p w14:paraId="71435A12" w14:textId="77777777" w:rsidR="004F0745" w:rsidRPr="004F0745" w:rsidRDefault="004F0745">
                    <w:pPr>
                      <w:rPr>
                        <w:rFonts w:eastAsia="Verdana" w:cs="Verdana"/>
                        <w:color w:val="000000"/>
                      </w:rPr>
                    </w:pPr>
                    <w:r w:rsidRPr="004F0745">
                      <w:rPr>
                        <w:rFonts w:eastAsia="Verdana" w:cs="Verdana"/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FF9A" w14:textId="3DC99C64" w:rsidR="007C0037" w:rsidRPr="004F0745" w:rsidRDefault="001449F9" w:rsidP="004F0745">
    <w:pPr>
      <w:pStyle w:val="Header"/>
      <w:jc w:val="left"/>
      <w:rPr>
        <w:b w:val="0"/>
        <w:bCs/>
      </w:rPr>
    </w:pPr>
    <w:r>
      <w:rPr>
        <w:b w:val="0"/>
        <w:bCs/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A817F3E" wp14:editId="5B97937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7" name="MSIPCMe29e411db9d6bb77a780324a" descr="{&quot;HashCode&quot;:1305106702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0A3FCB" w14:textId="0CD7D0C8" w:rsidR="001449F9" w:rsidRPr="003B3A0F" w:rsidRDefault="003B3A0F" w:rsidP="003B3A0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B3A0F">
                            <w:rPr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17F3E" id="_x0000_t202" coordsize="21600,21600" o:spt="202" path="m,l,21600r21600,l21600,xe">
              <v:stroke joinstyle="miter"/>
              <v:path gradientshapeok="t" o:connecttype="rect"/>
            </v:shapetype>
            <v:shape id="MSIPCMe29e411db9d6bb77a780324a" o:spid="_x0000_s1030" type="#_x0000_t202" alt="{&quot;HashCode&quot;:1305106702,&quot;Height&quot;:841.0,&quot;Width&quot;:595.0,&quot;Placement&quot;:&quot;Header&quot;,&quot;Index&quot;:&quot;Primary&quot;,&quot;Section&quot;:2,&quot;Top&quot;:0.0,&quot;Left&quot;:0.0}" style="position:absolute;margin-left:0;margin-top:15pt;width:595.3pt;height:21.4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4srwIAAE0FAAAOAAAAZHJzL2Uyb0RvYy54bWysVEtv2zAMvg/YfxB02Gmr7bzceHWKLEO3&#10;AmkbIB16lmU5FmA9KimNs2H/fZRsp12307CLTJH0R/IjqYvLVjToiRnLlcxxchZjxCRVJZe7HH+7&#10;v/pwjpF1RJakUZLl+Mgsvly8fXNx0BkbqVo1JTMIQKTNDjrHtXM6iyJLayaIPVOaSTBWygji4Gp2&#10;UWnIAdBFE43ieBYdlCm1UZRZC9rPnREvAn5VMeruqsoyh5ocQ24unCachT+jxQXJdobomtM+DfIP&#10;WQjCJQQ9QX0mjqC94X9ACU6NsqpyZ1SJSFUVpyzUANUk8atqtjXRLNQC5Fh9osn+P1h6+7QxiJc5&#10;TjGSRECLbrbXm9UNG83ZJEnKYl7OiiJNSXoej0cTglHJLAUGf7x73Cv38Sux9UqVrLtlyTieJvEs&#10;jUfvezvju9r11vMJTEhveOClq3v9dD496TcNoUwwOfwzwBAYlE7uAa5lydoeoPtsDBfEHH/z2sII&#10;wGz2fkNW90r3mvgUeM2qISYof/rROGibAUNbDRy59pNqYcQHvQWl73hbGeG/0EsEdhiy42mwWOsQ&#10;BWU6ncXjBEwUbKM0AS49TPT8tzbWfWFKIC/k2EDWYZ7I09q6znVw8cGkuuJNE4a3keiQ49l4Gocf&#10;ThYAbyTE8DV0uXrJtUUb2j0Z6ihUeYTyjOp2w2p6xSGHNbFuQwwsA6QNC+7u4KgaBbFUL2FUK/P9&#10;b3rvDzMKVowOsFw5to97YhhGzbWE6Z0nk4nfxnABwbzUFoNW7sVKwd4m8IRoGkTv65pBrIwSD7D/&#10;Sx8NTERSiJljN4grBzcwwPtB2XIZZNg7TdxabjX10J5Nz+x9+0CM7ul30LhbNawfyV51ofPt+rDc&#10;O1Xx0CLPb8dmTzvsbGhy/774R+HlPXg9v4KLXwAAAP//AwBQSwMEFAAGAAgAAAAhAIgEz4rcAAAA&#10;BwEAAA8AAABkcnMvZG93bnJldi54bWxMj8FOwzAMhu9IvENkJG4s2ZDWrTSdEGgXJCS67cIta0xb&#10;kThVk7Xl7fFOcLKs/9fnz8Vu9k6MOMQukIblQoFAqoPtqNFwOu4fNiBiMmSNC4QafjDCrry9KUxu&#10;w0QVjofUCIZQzI2GNqU+lzLWLXoTF6FH4uwrDN4kXodG2sFMDPdOrpRaS2864gut6fGlxfr7cPFM&#10;2b6+zek9+wjRVftp9J+nrOq1vr+bn59AJJzTXxmu+qwOJTudw4VsFE4DP5I0PCqe13S5VWsQZw3Z&#10;agOyLOR///IXAAD//wMAUEsBAi0AFAAGAAgAAAAhALaDOJL+AAAA4QEAABMAAAAAAAAAAAAAAAAA&#10;AAAAAFtDb250ZW50X1R5cGVzXS54bWxQSwECLQAUAAYACAAAACEAOP0h/9YAAACUAQAACwAAAAAA&#10;AAAAAAAAAAAvAQAAX3JlbHMvLnJlbHNQSwECLQAUAAYACAAAACEAnIYeLK8CAABNBQAADgAAAAAA&#10;AAAAAAAAAAAuAgAAZHJzL2Uyb0RvYy54bWxQSwECLQAUAAYACAAAACEAiATPitwAAAAHAQAADwAA&#10;AAAAAAAAAAAAAAAJBQAAZHJzL2Rvd25yZXYueG1sUEsFBgAAAAAEAAQA8wAAABIGAAAAAA==&#10;" o:allowincell="f" filled="f" stroked="f" strokeweight=".5pt">
              <v:textbox inset=",0,,0">
                <w:txbxContent>
                  <w:p w14:paraId="070A3FCB" w14:textId="0CD7D0C8" w:rsidR="001449F9" w:rsidRPr="003B3A0F" w:rsidRDefault="003B3A0F" w:rsidP="003B3A0F">
                    <w:pPr>
                      <w:jc w:val="center"/>
                      <w:rPr>
                        <w:color w:val="000000"/>
                      </w:rPr>
                    </w:pPr>
                    <w:r w:rsidRPr="003B3A0F">
                      <w:rPr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B913" w14:textId="2D8556E7" w:rsidR="004F0745" w:rsidRDefault="004F07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CA2A5D8" wp14:editId="26C1030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2700"/>
              <wp:wrapSquare wrapText="bothSides"/>
              <wp:docPr id="5" name="Text Box 5" descr="[IN CONFIDENCE]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28FEB3" w14:textId="77777777" w:rsidR="004F0745" w:rsidRPr="004F0745" w:rsidRDefault="004F0745">
                          <w:pPr>
                            <w:rPr>
                              <w:rFonts w:eastAsia="Verdana" w:cs="Verdana"/>
                              <w:color w:val="000000"/>
                            </w:rPr>
                          </w:pPr>
                          <w:r w:rsidRPr="004F0745">
                            <w:rPr>
                              <w:rFonts w:eastAsia="Verdana" w:cs="Verdana"/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2A5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[IN CONFIDENCE] " style="position:absolute;left:0;text-align:left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kELQIAAFUEAAAOAAAAZHJzL2Uyb0RvYy54bWysVE2P2jAQvVfqf7B8L4HtdrWKCCsKS4WE&#10;2JWg2kPVg3EcEin+kG1I6K/vs5Ow7banqhczme95b4bpQytrchbWVVpldDIaUyIU13mljhn9ul99&#10;uKfEeaZyVmslMnoRjj7M3r+bNiYVN7rUdS4sQRLl0sZktPTepEnieCkkcyNthIKx0FYyj097THLL&#10;GmSXdXIzHt8ljba5sZoL56BddkY6i/mLQnD/VBROeFJnFL35+Nr4HsKbzKYsPVpmyor3bbB/6EKy&#10;SqHoNdWSeUZOtvojlay41U4XfsS1THRRVFzEGTDNZPxmml3JjIizABxnrjC5/5eWb8/PllR5Rj9R&#10;opgERXvRevJZtwSaXDgOtL6tt2TxtF2tl4/bxeN3EmBrjEsRvTOI9y38Qf+gd1AGNNrCyvCLOQns&#10;IOByBT1U4VDe3n68v0MpDlMvI3vyGmys81+EliQIGbXgNELNzhvnO9fBJdRSelXVdeS1Vr8pkDNo&#10;ktB512GQfHtoewD6qQ46v2Aoq7ttcYavKpTeMOefmcV6YA6svH/CU9S6yajuJUpKbX/8TR/8wRqs&#10;lDRYt4wq3AMl9VqBzbCZg2AH4TAI6iQXGvs7wSkZHkUEWF8PYmG1fMEdzEMNmJjiqJRRP4gL3608&#10;7oiL+Tw6Yf8M8xu1MzykDkgFGPftC7Omx9qDpK0e1pClbyDvfEOkM/OTB/CRj4Bqh2EPNnY3Mtrf&#10;WTiOX7+j1+u/wewnAA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Bu6okELQIAAFUEAAAOAAAAAAAAAAAAAAAAAC4CAABkcnMvZTJvRG9j&#10;LnhtbFBLAQItABQABgAIAAAAIQCEsNMo1gAAAAMBAAAPAAAAAAAAAAAAAAAAAIcEAABkcnMvZG93&#10;bnJldi54bWxQSwUGAAAAAAQABADzAAAAigUAAAAA&#10;" filled="f" stroked="f">
              <v:textbox style="mso-fit-shape-to-text:t" inset="0,0,0,0">
                <w:txbxContent>
                  <w:p w14:paraId="3028FEB3" w14:textId="77777777" w:rsidR="004F0745" w:rsidRPr="004F0745" w:rsidRDefault="004F0745">
                    <w:pPr>
                      <w:rPr>
                        <w:rFonts w:eastAsia="Verdana" w:cs="Verdana"/>
                        <w:color w:val="000000"/>
                      </w:rPr>
                    </w:pPr>
                    <w:r w:rsidRPr="004F0745">
                      <w:rPr>
                        <w:rFonts w:eastAsia="Verdana" w:cs="Verdana"/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9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424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C2E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E44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D8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1A0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168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3E6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8A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9C3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C044C"/>
    <w:multiLevelType w:val="hybridMultilevel"/>
    <w:tmpl w:val="27DA348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A0CC5"/>
    <w:multiLevelType w:val="multilevel"/>
    <w:tmpl w:val="275082A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2" w15:restartNumberingAfterBreak="0">
    <w:nsid w:val="28795B24"/>
    <w:multiLevelType w:val="hybridMultilevel"/>
    <w:tmpl w:val="8DAEF4C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00636"/>
    <w:multiLevelType w:val="multilevel"/>
    <w:tmpl w:val="AE98789A"/>
    <w:lvl w:ilvl="0">
      <w:start w:val="1"/>
      <w:numFmt w:val="bullet"/>
      <w:pStyle w:val="BulletedParagraphIndented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127"/>
        </w:tabs>
        <w:ind w:left="2127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836"/>
        </w:tabs>
        <w:ind w:left="2836" w:hanging="709"/>
      </w:pPr>
      <w:rPr>
        <w:rFonts w:ascii="Courier New" w:hAnsi="Courier New" w:hint="default"/>
      </w:rPr>
    </w:lvl>
    <w:lvl w:ilvl="3">
      <w:start w:val="1"/>
      <w:numFmt w:val="bullet"/>
      <w:lvlText w:val="•"/>
      <w:lvlJc w:val="left"/>
      <w:pPr>
        <w:tabs>
          <w:tab w:val="num" w:pos="3545"/>
        </w:tabs>
        <w:ind w:left="3545" w:hanging="70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4254"/>
        </w:tabs>
        <w:ind w:left="4254" w:hanging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963"/>
        </w:tabs>
        <w:ind w:left="4963" w:hanging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672"/>
        </w:tabs>
        <w:ind w:left="5672" w:hanging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381"/>
        </w:tabs>
        <w:ind w:left="6381" w:hanging="709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3"/>
      <w:lvlText w:val="•"/>
      <w:lvlJc w:val="left"/>
      <w:pPr>
        <w:tabs>
          <w:tab w:val="num" w:pos="7090"/>
        </w:tabs>
        <w:ind w:left="7090" w:hanging="709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3993153"/>
    <w:multiLevelType w:val="multilevel"/>
    <w:tmpl w:val="0B9CAB38"/>
    <w:lvl w:ilvl="0">
      <w:start w:val="1"/>
      <w:numFmt w:val="decimal"/>
      <w:pStyle w:val="NumberedParagraph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Verdana" w:hAnsi="Verdana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5" w15:restartNumberingAfterBreak="0">
    <w:nsid w:val="717D1402"/>
    <w:multiLevelType w:val="hybridMultilevel"/>
    <w:tmpl w:val="51384DE0"/>
    <w:lvl w:ilvl="0" w:tplc="27BCBC08">
      <w:start w:val="1"/>
      <w:numFmt w:val="lowerLetter"/>
      <w:pStyle w:val="Recommendation"/>
      <w:lvlText w:val="%1"/>
      <w:lvlJc w:val="left"/>
      <w:pPr>
        <w:ind w:left="502" w:hanging="360"/>
      </w:pPr>
      <w:rPr>
        <w:rFonts w:hint="default"/>
        <w:b w:val="0"/>
        <w:i w:val="0"/>
      </w:rPr>
    </w:lvl>
    <w:lvl w:ilvl="1" w:tplc="1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12"/>
  </w:num>
  <w:num w:numId="16">
    <w:abstractNumId w:val="14"/>
  </w:num>
  <w:num w:numId="17">
    <w:abstractNumId w:val="14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F9"/>
    <w:rsid w:val="00000C01"/>
    <w:rsid w:val="00000EEA"/>
    <w:rsid w:val="00002775"/>
    <w:rsid w:val="0000358B"/>
    <w:rsid w:val="00003E8D"/>
    <w:rsid w:val="00004C04"/>
    <w:rsid w:val="00005BCF"/>
    <w:rsid w:val="00011319"/>
    <w:rsid w:val="000117C8"/>
    <w:rsid w:val="000149D1"/>
    <w:rsid w:val="00014ED6"/>
    <w:rsid w:val="00016965"/>
    <w:rsid w:val="00016EA1"/>
    <w:rsid w:val="000205D1"/>
    <w:rsid w:val="00020D5E"/>
    <w:rsid w:val="00023CDC"/>
    <w:rsid w:val="000244B2"/>
    <w:rsid w:val="00025A43"/>
    <w:rsid w:val="0002626E"/>
    <w:rsid w:val="00027479"/>
    <w:rsid w:val="00030601"/>
    <w:rsid w:val="00030ABC"/>
    <w:rsid w:val="0003195D"/>
    <w:rsid w:val="00033565"/>
    <w:rsid w:val="00034C92"/>
    <w:rsid w:val="0003682A"/>
    <w:rsid w:val="00036B76"/>
    <w:rsid w:val="0004066B"/>
    <w:rsid w:val="000408C1"/>
    <w:rsid w:val="0004472B"/>
    <w:rsid w:val="00045D2E"/>
    <w:rsid w:val="0005144C"/>
    <w:rsid w:val="000525BE"/>
    <w:rsid w:val="00053F6C"/>
    <w:rsid w:val="00054074"/>
    <w:rsid w:val="000549C4"/>
    <w:rsid w:val="00054E2E"/>
    <w:rsid w:val="00057A08"/>
    <w:rsid w:val="00061D8B"/>
    <w:rsid w:val="00061ED9"/>
    <w:rsid w:val="00062052"/>
    <w:rsid w:val="00065942"/>
    <w:rsid w:val="00065B52"/>
    <w:rsid w:val="00067078"/>
    <w:rsid w:val="00071AEE"/>
    <w:rsid w:val="00071C60"/>
    <w:rsid w:val="00072354"/>
    <w:rsid w:val="000723B9"/>
    <w:rsid w:val="00073AF6"/>
    <w:rsid w:val="000749C3"/>
    <w:rsid w:val="00077F74"/>
    <w:rsid w:val="000803C3"/>
    <w:rsid w:val="00080D6B"/>
    <w:rsid w:val="00082FE6"/>
    <w:rsid w:val="000861C0"/>
    <w:rsid w:val="0009021C"/>
    <w:rsid w:val="00095E02"/>
    <w:rsid w:val="00096692"/>
    <w:rsid w:val="00097A7B"/>
    <w:rsid w:val="000A6A43"/>
    <w:rsid w:val="000A70D4"/>
    <w:rsid w:val="000A71C6"/>
    <w:rsid w:val="000B2ED1"/>
    <w:rsid w:val="000B3170"/>
    <w:rsid w:val="000B328A"/>
    <w:rsid w:val="000B32E8"/>
    <w:rsid w:val="000B5911"/>
    <w:rsid w:val="000B6443"/>
    <w:rsid w:val="000B651E"/>
    <w:rsid w:val="000B69FF"/>
    <w:rsid w:val="000B7B1F"/>
    <w:rsid w:val="000C0BDB"/>
    <w:rsid w:val="000C11C5"/>
    <w:rsid w:val="000C543F"/>
    <w:rsid w:val="000C6BC3"/>
    <w:rsid w:val="000C7261"/>
    <w:rsid w:val="000C79FF"/>
    <w:rsid w:val="000D029D"/>
    <w:rsid w:val="000D0904"/>
    <w:rsid w:val="000D4101"/>
    <w:rsid w:val="000D7C4E"/>
    <w:rsid w:val="000E1B6E"/>
    <w:rsid w:val="000E2689"/>
    <w:rsid w:val="000E4A89"/>
    <w:rsid w:val="000E532E"/>
    <w:rsid w:val="000F0D24"/>
    <w:rsid w:val="000F417B"/>
    <w:rsid w:val="000F5720"/>
    <w:rsid w:val="000F77EE"/>
    <w:rsid w:val="00100129"/>
    <w:rsid w:val="00103560"/>
    <w:rsid w:val="001035FD"/>
    <w:rsid w:val="00103E26"/>
    <w:rsid w:val="00103E2F"/>
    <w:rsid w:val="001064E9"/>
    <w:rsid w:val="00107F06"/>
    <w:rsid w:val="00110B58"/>
    <w:rsid w:val="00110CF8"/>
    <w:rsid w:val="00113F0B"/>
    <w:rsid w:val="00116E73"/>
    <w:rsid w:val="001174D6"/>
    <w:rsid w:val="001223D2"/>
    <w:rsid w:val="00124844"/>
    <w:rsid w:val="00124E15"/>
    <w:rsid w:val="001275A0"/>
    <w:rsid w:val="00130A99"/>
    <w:rsid w:val="00131CAD"/>
    <w:rsid w:val="00132CB9"/>
    <w:rsid w:val="001332DE"/>
    <w:rsid w:val="00133E73"/>
    <w:rsid w:val="0013422B"/>
    <w:rsid w:val="001347FE"/>
    <w:rsid w:val="00137753"/>
    <w:rsid w:val="00137EA7"/>
    <w:rsid w:val="00141E2F"/>
    <w:rsid w:val="00142444"/>
    <w:rsid w:val="00142FFA"/>
    <w:rsid w:val="00143E1E"/>
    <w:rsid w:val="001444C1"/>
    <w:rsid w:val="001449F9"/>
    <w:rsid w:val="00150900"/>
    <w:rsid w:val="001523CE"/>
    <w:rsid w:val="00153EC8"/>
    <w:rsid w:val="001541F9"/>
    <w:rsid w:val="00154476"/>
    <w:rsid w:val="001548E8"/>
    <w:rsid w:val="00155A43"/>
    <w:rsid w:val="00156992"/>
    <w:rsid w:val="00157806"/>
    <w:rsid w:val="00161C07"/>
    <w:rsid w:val="00162ABF"/>
    <w:rsid w:val="00162D0E"/>
    <w:rsid w:val="00162DD2"/>
    <w:rsid w:val="001639E7"/>
    <w:rsid w:val="00163CD2"/>
    <w:rsid w:val="00164603"/>
    <w:rsid w:val="0016486F"/>
    <w:rsid w:val="00165C9B"/>
    <w:rsid w:val="00166167"/>
    <w:rsid w:val="00166FAA"/>
    <w:rsid w:val="001704C2"/>
    <w:rsid w:val="001709C5"/>
    <w:rsid w:val="00170FA3"/>
    <w:rsid w:val="00171BF4"/>
    <w:rsid w:val="0017352C"/>
    <w:rsid w:val="001754BE"/>
    <w:rsid w:val="00175E31"/>
    <w:rsid w:val="0017721E"/>
    <w:rsid w:val="001808DE"/>
    <w:rsid w:val="00182337"/>
    <w:rsid w:val="00182D6B"/>
    <w:rsid w:val="00183011"/>
    <w:rsid w:val="00183F2D"/>
    <w:rsid w:val="00184DF6"/>
    <w:rsid w:val="00186186"/>
    <w:rsid w:val="00186E9F"/>
    <w:rsid w:val="00186FA2"/>
    <w:rsid w:val="00191F07"/>
    <w:rsid w:val="00192135"/>
    <w:rsid w:val="001932A3"/>
    <w:rsid w:val="0019494F"/>
    <w:rsid w:val="001961DD"/>
    <w:rsid w:val="00196B4A"/>
    <w:rsid w:val="00197348"/>
    <w:rsid w:val="00197783"/>
    <w:rsid w:val="001A10B4"/>
    <w:rsid w:val="001A19A1"/>
    <w:rsid w:val="001A1BDE"/>
    <w:rsid w:val="001A2015"/>
    <w:rsid w:val="001A2284"/>
    <w:rsid w:val="001A59DC"/>
    <w:rsid w:val="001B3545"/>
    <w:rsid w:val="001B489F"/>
    <w:rsid w:val="001B5E70"/>
    <w:rsid w:val="001B7D57"/>
    <w:rsid w:val="001C0808"/>
    <w:rsid w:val="001C08A8"/>
    <w:rsid w:val="001C156F"/>
    <w:rsid w:val="001C16DC"/>
    <w:rsid w:val="001C24E4"/>
    <w:rsid w:val="001C4FCE"/>
    <w:rsid w:val="001D0013"/>
    <w:rsid w:val="001D0CEF"/>
    <w:rsid w:val="001D5046"/>
    <w:rsid w:val="001D7ADB"/>
    <w:rsid w:val="001E15CE"/>
    <w:rsid w:val="001E1B68"/>
    <w:rsid w:val="001E5B54"/>
    <w:rsid w:val="001E6341"/>
    <w:rsid w:val="001E65AF"/>
    <w:rsid w:val="001E751F"/>
    <w:rsid w:val="001F05B2"/>
    <w:rsid w:val="001F1DF4"/>
    <w:rsid w:val="001F555D"/>
    <w:rsid w:val="001F7CF5"/>
    <w:rsid w:val="001F7EE6"/>
    <w:rsid w:val="00202BD6"/>
    <w:rsid w:val="0020313D"/>
    <w:rsid w:val="002039C9"/>
    <w:rsid w:val="00203D0D"/>
    <w:rsid w:val="00203D51"/>
    <w:rsid w:val="00203F1B"/>
    <w:rsid w:val="002044B1"/>
    <w:rsid w:val="00204750"/>
    <w:rsid w:val="00205083"/>
    <w:rsid w:val="00205391"/>
    <w:rsid w:val="0021226C"/>
    <w:rsid w:val="00212666"/>
    <w:rsid w:val="002129EA"/>
    <w:rsid w:val="00215E44"/>
    <w:rsid w:val="00216643"/>
    <w:rsid w:val="00217169"/>
    <w:rsid w:val="00217FDC"/>
    <w:rsid w:val="00221AAE"/>
    <w:rsid w:val="0022407F"/>
    <w:rsid w:val="00224274"/>
    <w:rsid w:val="00226D0F"/>
    <w:rsid w:val="002305C5"/>
    <w:rsid w:val="002310E3"/>
    <w:rsid w:val="00231208"/>
    <w:rsid w:val="00232218"/>
    <w:rsid w:val="00232B7B"/>
    <w:rsid w:val="00233663"/>
    <w:rsid w:val="0023396A"/>
    <w:rsid w:val="00237063"/>
    <w:rsid w:val="002409A9"/>
    <w:rsid w:val="00241849"/>
    <w:rsid w:val="00243C4D"/>
    <w:rsid w:val="00246427"/>
    <w:rsid w:val="0024671D"/>
    <w:rsid w:val="00247909"/>
    <w:rsid w:val="00252FA6"/>
    <w:rsid w:val="00253425"/>
    <w:rsid w:val="00254B6F"/>
    <w:rsid w:val="00255587"/>
    <w:rsid w:val="00255E9C"/>
    <w:rsid w:val="0025617C"/>
    <w:rsid w:val="00257FC2"/>
    <w:rsid w:val="00261D96"/>
    <w:rsid w:val="00261DE6"/>
    <w:rsid w:val="00265E28"/>
    <w:rsid w:val="002666E8"/>
    <w:rsid w:val="0026675A"/>
    <w:rsid w:val="00271399"/>
    <w:rsid w:val="002746C6"/>
    <w:rsid w:val="00274791"/>
    <w:rsid w:val="002753CC"/>
    <w:rsid w:val="00276080"/>
    <w:rsid w:val="00276710"/>
    <w:rsid w:val="00276B08"/>
    <w:rsid w:val="00281011"/>
    <w:rsid w:val="002816A0"/>
    <w:rsid w:val="00282B88"/>
    <w:rsid w:val="00282CEA"/>
    <w:rsid w:val="00282E85"/>
    <w:rsid w:val="00284A04"/>
    <w:rsid w:val="00287294"/>
    <w:rsid w:val="00290135"/>
    <w:rsid w:val="00290DEC"/>
    <w:rsid w:val="002919AA"/>
    <w:rsid w:val="00292BD5"/>
    <w:rsid w:val="00293902"/>
    <w:rsid w:val="00294CBB"/>
    <w:rsid w:val="00296B47"/>
    <w:rsid w:val="002A09D6"/>
    <w:rsid w:val="002A1499"/>
    <w:rsid w:val="002A1938"/>
    <w:rsid w:val="002A1E64"/>
    <w:rsid w:val="002A589A"/>
    <w:rsid w:val="002B0025"/>
    <w:rsid w:val="002B0FC1"/>
    <w:rsid w:val="002B1CC7"/>
    <w:rsid w:val="002B298F"/>
    <w:rsid w:val="002B3DE3"/>
    <w:rsid w:val="002B5432"/>
    <w:rsid w:val="002B5693"/>
    <w:rsid w:val="002C17D1"/>
    <w:rsid w:val="002C24B3"/>
    <w:rsid w:val="002C2D9B"/>
    <w:rsid w:val="002C39A4"/>
    <w:rsid w:val="002C3AF9"/>
    <w:rsid w:val="002C41AD"/>
    <w:rsid w:val="002C4261"/>
    <w:rsid w:val="002C4EAA"/>
    <w:rsid w:val="002C55B9"/>
    <w:rsid w:val="002C5EAF"/>
    <w:rsid w:val="002C638D"/>
    <w:rsid w:val="002D110A"/>
    <w:rsid w:val="002D2A56"/>
    <w:rsid w:val="002D40DB"/>
    <w:rsid w:val="002D4593"/>
    <w:rsid w:val="002D475D"/>
    <w:rsid w:val="002D75C4"/>
    <w:rsid w:val="002D7A68"/>
    <w:rsid w:val="002E1F9A"/>
    <w:rsid w:val="002E2CF2"/>
    <w:rsid w:val="002E315B"/>
    <w:rsid w:val="002E40C5"/>
    <w:rsid w:val="002E5CF9"/>
    <w:rsid w:val="002E784E"/>
    <w:rsid w:val="002F0EC2"/>
    <w:rsid w:val="002F1DFD"/>
    <w:rsid w:val="002F24CD"/>
    <w:rsid w:val="002F288B"/>
    <w:rsid w:val="002F3949"/>
    <w:rsid w:val="002F43C5"/>
    <w:rsid w:val="002F6A10"/>
    <w:rsid w:val="002F773A"/>
    <w:rsid w:val="00300290"/>
    <w:rsid w:val="00300A88"/>
    <w:rsid w:val="00301712"/>
    <w:rsid w:val="00301B9F"/>
    <w:rsid w:val="00302006"/>
    <w:rsid w:val="00302ED4"/>
    <w:rsid w:val="003035CC"/>
    <w:rsid w:val="003038C8"/>
    <w:rsid w:val="00303C29"/>
    <w:rsid w:val="003041BF"/>
    <w:rsid w:val="0031059C"/>
    <w:rsid w:val="003107F5"/>
    <w:rsid w:val="00311353"/>
    <w:rsid w:val="003113D3"/>
    <w:rsid w:val="00313008"/>
    <w:rsid w:val="0031439E"/>
    <w:rsid w:val="00314736"/>
    <w:rsid w:val="00314A82"/>
    <w:rsid w:val="00316722"/>
    <w:rsid w:val="003170D9"/>
    <w:rsid w:val="003178FC"/>
    <w:rsid w:val="00317AA2"/>
    <w:rsid w:val="003202C2"/>
    <w:rsid w:val="00321545"/>
    <w:rsid w:val="0032181C"/>
    <w:rsid w:val="003225DB"/>
    <w:rsid w:val="003252E2"/>
    <w:rsid w:val="003268D0"/>
    <w:rsid w:val="00326FC1"/>
    <w:rsid w:val="00327B2B"/>
    <w:rsid w:val="00327FC2"/>
    <w:rsid w:val="00331308"/>
    <w:rsid w:val="00332070"/>
    <w:rsid w:val="00332A75"/>
    <w:rsid w:val="00335A77"/>
    <w:rsid w:val="00335F9D"/>
    <w:rsid w:val="00336AA5"/>
    <w:rsid w:val="00337007"/>
    <w:rsid w:val="00337654"/>
    <w:rsid w:val="0034136E"/>
    <w:rsid w:val="00342F57"/>
    <w:rsid w:val="003433F8"/>
    <w:rsid w:val="0034564E"/>
    <w:rsid w:val="0034636D"/>
    <w:rsid w:val="00346A5C"/>
    <w:rsid w:val="003504E8"/>
    <w:rsid w:val="00351E3F"/>
    <w:rsid w:val="003529EC"/>
    <w:rsid w:val="00354021"/>
    <w:rsid w:val="003565E9"/>
    <w:rsid w:val="0035668F"/>
    <w:rsid w:val="00357657"/>
    <w:rsid w:val="00357FA5"/>
    <w:rsid w:val="00360988"/>
    <w:rsid w:val="00360C52"/>
    <w:rsid w:val="003615A1"/>
    <w:rsid w:val="00363006"/>
    <w:rsid w:val="003659A4"/>
    <w:rsid w:val="0036709E"/>
    <w:rsid w:val="003674DA"/>
    <w:rsid w:val="00370869"/>
    <w:rsid w:val="00372212"/>
    <w:rsid w:val="00372C45"/>
    <w:rsid w:val="0037414B"/>
    <w:rsid w:val="00375EAE"/>
    <w:rsid w:val="00377826"/>
    <w:rsid w:val="00380A90"/>
    <w:rsid w:val="00380B54"/>
    <w:rsid w:val="00380DD6"/>
    <w:rsid w:val="00382254"/>
    <w:rsid w:val="00382AF8"/>
    <w:rsid w:val="00383068"/>
    <w:rsid w:val="003833F1"/>
    <w:rsid w:val="0038427C"/>
    <w:rsid w:val="00387AEA"/>
    <w:rsid w:val="00387FFB"/>
    <w:rsid w:val="00390394"/>
    <w:rsid w:val="003907C2"/>
    <w:rsid w:val="00391321"/>
    <w:rsid w:val="00392C0E"/>
    <w:rsid w:val="00393333"/>
    <w:rsid w:val="00393D6D"/>
    <w:rsid w:val="00394020"/>
    <w:rsid w:val="003952E4"/>
    <w:rsid w:val="00396BCF"/>
    <w:rsid w:val="00397E7E"/>
    <w:rsid w:val="00397E99"/>
    <w:rsid w:val="003A126F"/>
    <w:rsid w:val="003A280C"/>
    <w:rsid w:val="003A2A23"/>
    <w:rsid w:val="003A4B36"/>
    <w:rsid w:val="003A57C6"/>
    <w:rsid w:val="003A7D83"/>
    <w:rsid w:val="003A7E0F"/>
    <w:rsid w:val="003B03ED"/>
    <w:rsid w:val="003B0888"/>
    <w:rsid w:val="003B32CA"/>
    <w:rsid w:val="003B379C"/>
    <w:rsid w:val="003B3A0F"/>
    <w:rsid w:val="003B5A8F"/>
    <w:rsid w:val="003B6379"/>
    <w:rsid w:val="003B78EF"/>
    <w:rsid w:val="003B7D76"/>
    <w:rsid w:val="003C036E"/>
    <w:rsid w:val="003C0CBF"/>
    <w:rsid w:val="003C1843"/>
    <w:rsid w:val="003C22DF"/>
    <w:rsid w:val="003C2FA4"/>
    <w:rsid w:val="003C500F"/>
    <w:rsid w:val="003C551B"/>
    <w:rsid w:val="003C6429"/>
    <w:rsid w:val="003C7098"/>
    <w:rsid w:val="003D0832"/>
    <w:rsid w:val="003D404D"/>
    <w:rsid w:val="003D40F6"/>
    <w:rsid w:val="003D4324"/>
    <w:rsid w:val="003D4D05"/>
    <w:rsid w:val="003D5FD2"/>
    <w:rsid w:val="003D62E3"/>
    <w:rsid w:val="003D64BA"/>
    <w:rsid w:val="003E1C62"/>
    <w:rsid w:val="003E5857"/>
    <w:rsid w:val="003E6016"/>
    <w:rsid w:val="003F1A79"/>
    <w:rsid w:val="003F2DC1"/>
    <w:rsid w:val="003F3458"/>
    <w:rsid w:val="003F4172"/>
    <w:rsid w:val="003F43B2"/>
    <w:rsid w:val="003F5238"/>
    <w:rsid w:val="003F5F6B"/>
    <w:rsid w:val="003F6A6B"/>
    <w:rsid w:val="0040325F"/>
    <w:rsid w:val="00403608"/>
    <w:rsid w:val="0040413E"/>
    <w:rsid w:val="00407677"/>
    <w:rsid w:val="00412F82"/>
    <w:rsid w:val="00415177"/>
    <w:rsid w:val="00416122"/>
    <w:rsid w:val="004164D7"/>
    <w:rsid w:val="00420615"/>
    <w:rsid w:val="00421CA7"/>
    <w:rsid w:val="00421D23"/>
    <w:rsid w:val="004223E4"/>
    <w:rsid w:val="00422E24"/>
    <w:rsid w:val="004239B5"/>
    <w:rsid w:val="00425E5D"/>
    <w:rsid w:val="00427B01"/>
    <w:rsid w:val="004317C1"/>
    <w:rsid w:val="00433747"/>
    <w:rsid w:val="00435ABF"/>
    <w:rsid w:val="004363EF"/>
    <w:rsid w:val="00436F0B"/>
    <w:rsid w:val="00441B2D"/>
    <w:rsid w:val="004421B8"/>
    <w:rsid w:val="004424F8"/>
    <w:rsid w:val="00443D06"/>
    <w:rsid w:val="00444E7B"/>
    <w:rsid w:val="004452D7"/>
    <w:rsid w:val="004456A4"/>
    <w:rsid w:val="00445D19"/>
    <w:rsid w:val="0044625B"/>
    <w:rsid w:val="00446C6C"/>
    <w:rsid w:val="00447639"/>
    <w:rsid w:val="00451347"/>
    <w:rsid w:val="004527FB"/>
    <w:rsid w:val="00454120"/>
    <w:rsid w:val="004549A1"/>
    <w:rsid w:val="004562DA"/>
    <w:rsid w:val="00456BB9"/>
    <w:rsid w:val="00460906"/>
    <w:rsid w:val="00462BB1"/>
    <w:rsid w:val="0046329B"/>
    <w:rsid w:val="00463488"/>
    <w:rsid w:val="00466671"/>
    <w:rsid w:val="004744A3"/>
    <w:rsid w:val="004756AC"/>
    <w:rsid w:val="00475FE1"/>
    <w:rsid w:val="004764E6"/>
    <w:rsid w:val="004771AF"/>
    <w:rsid w:val="00480196"/>
    <w:rsid w:val="004807F6"/>
    <w:rsid w:val="00480CC6"/>
    <w:rsid w:val="00482DD8"/>
    <w:rsid w:val="00484862"/>
    <w:rsid w:val="00485729"/>
    <w:rsid w:val="00485DA8"/>
    <w:rsid w:val="004869FB"/>
    <w:rsid w:val="00490EBD"/>
    <w:rsid w:val="004932CE"/>
    <w:rsid w:val="0049458C"/>
    <w:rsid w:val="00494E21"/>
    <w:rsid w:val="004970BA"/>
    <w:rsid w:val="004A07BE"/>
    <w:rsid w:val="004A1912"/>
    <w:rsid w:val="004A3D51"/>
    <w:rsid w:val="004A3DAC"/>
    <w:rsid w:val="004A3F50"/>
    <w:rsid w:val="004B059A"/>
    <w:rsid w:val="004B2164"/>
    <w:rsid w:val="004B3A34"/>
    <w:rsid w:val="004B41C4"/>
    <w:rsid w:val="004B4529"/>
    <w:rsid w:val="004B4B1F"/>
    <w:rsid w:val="004B769A"/>
    <w:rsid w:val="004C1DBF"/>
    <w:rsid w:val="004C3B17"/>
    <w:rsid w:val="004C4297"/>
    <w:rsid w:val="004C795E"/>
    <w:rsid w:val="004D1C04"/>
    <w:rsid w:val="004D1C0B"/>
    <w:rsid w:val="004D1FA0"/>
    <w:rsid w:val="004D35FB"/>
    <w:rsid w:val="004D3630"/>
    <w:rsid w:val="004D4F57"/>
    <w:rsid w:val="004E31EC"/>
    <w:rsid w:val="004E4BCA"/>
    <w:rsid w:val="004E5359"/>
    <w:rsid w:val="004E53C7"/>
    <w:rsid w:val="004E580A"/>
    <w:rsid w:val="004E695A"/>
    <w:rsid w:val="004E6D8A"/>
    <w:rsid w:val="004F0745"/>
    <w:rsid w:val="004F0D04"/>
    <w:rsid w:val="004F1032"/>
    <w:rsid w:val="004F25E7"/>
    <w:rsid w:val="004F273C"/>
    <w:rsid w:val="004F2893"/>
    <w:rsid w:val="004F29F1"/>
    <w:rsid w:val="004F3745"/>
    <w:rsid w:val="004F3F6A"/>
    <w:rsid w:val="004F5BB6"/>
    <w:rsid w:val="004F62D2"/>
    <w:rsid w:val="004F6605"/>
    <w:rsid w:val="00501DEB"/>
    <w:rsid w:val="005023BB"/>
    <w:rsid w:val="00502ABE"/>
    <w:rsid w:val="00505416"/>
    <w:rsid w:val="00505854"/>
    <w:rsid w:val="0050624D"/>
    <w:rsid w:val="0051322F"/>
    <w:rsid w:val="00513CF4"/>
    <w:rsid w:val="00514D78"/>
    <w:rsid w:val="00514F8E"/>
    <w:rsid w:val="005151EE"/>
    <w:rsid w:val="005176CE"/>
    <w:rsid w:val="0051797B"/>
    <w:rsid w:val="00521F8D"/>
    <w:rsid w:val="00527272"/>
    <w:rsid w:val="00530EF0"/>
    <w:rsid w:val="00531854"/>
    <w:rsid w:val="0053261A"/>
    <w:rsid w:val="0053407E"/>
    <w:rsid w:val="00534B79"/>
    <w:rsid w:val="00534EA9"/>
    <w:rsid w:val="00534F35"/>
    <w:rsid w:val="0053509F"/>
    <w:rsid w:val="005359B5"/>
    <w:rsid w:val="00540903"/>
    <w:rsid w:val="00546F07"/>
    <w:rsid w:val="00551633"/>
    <w:rsid w:val="0055210C"/>
    <w:rsid w:val="005531B0"/>
    <w:rsid w:val="0055504D"/>
    <w:rsid w:val="00555117"/>
    <w:rsid w:val="00557E85"/>
    <w:rsid w:val="00561BAB"/>
    <w:rsid w:val="0056300B"/>
    <w:rsid w:val="005658ED"/>
    <w:rsid w:val="00566B36"/>
    <w:rsid w:val="0057630F"/>
    <w:rsid w:val="0057705A"/>
    <w:rsid w:val="005777FE"/>
    <w:rsid w:val="00580A08"/>
    <w:rsid w:val="00580E07"/>
    <w:rsid w:val="00582081"/>
    <w:rsid w:val="005821F2"/>
    <w:rsid w:val="00583CE8"/>
    <w:rsid w:val="00584473"/>
    <w:rsid w:val="00585108"/>
    <w:rsid w:val="0059048B"/>
    <w:rsid w:val="00592E44"/>
    <w:rsid w:val="00594311"/>
    <w:rsid w:val="00596033"/>
    <w:rsid w:val="00596BF6"/>
    <w:rsid w:val="00596DE1"/>
    <w:rsid w:val="00596E17"/>
    <w:rsid w:val="0059778D"/>
    <w:rsid w:val="005A283A"/>
    <w:rsid w:val="005A38A0"/>
    <w:rsid w:val="005A63AC"/>
    <w:rsid w:val="005A66A9"/>
    <w:rsid w:val="005A676B"/>
    <w:rsid w:val="005A6970"/>
    <w:rsid w:val="005A71FD"/>
    <w:rsid w:val="005A7EFD"/>
    <w:rsid w:val="005B0297"/>
    <w:rsid w:val="005B1540"/>
    <w:rsid w:val="005B202F"/>
    <w:rsid w:val="005B2D0E"/>
    <w:rsid w:val="005B3119"/>
    <w:rsid w:val="005C09F5"/>
    <w:rsid w:val="005C0D8A"/>
    <w:rsid w:val="005C1166"/>
    <w:rsid w:val="005C2797"/>
    <w:rsid w:val="005C2C8C"/>
    <w:rsid w:val="005C2DC4"/>
    <w:rsid w:val="005C330A"/>
    <w:rsid w:val="005C3475"/>
    <w:rsid w:val="005C3A5D"/>
    <w:rsid w:val="005C6241"/>
    <w:rsid w:val="005C6B70"/>
    <w:rsid w:val="005C6DE1"/>
    <w:rsid w:val="005C74C6"/>
    <w:rsid w:val="005C7C99"/>
    <w:rsid w:val="005D098C"/>
    <w:rsid w:val="005D0DBA"/>
    <w:rsid w:val="005D0EA6"/>
    <w:rsid w:val="005D228E"/>
    <w:rsid w:val="005D3989"/>
    <w:rsid w:val="005D540E"/>
    <w:rsid w:val="005E4CA5"/>
    <w:rsid w:val="005E537C"/>
    <w:rsid w:val="005E75A0"/>
    <w:rsid w:val="005F0B14"/>
    <w:rsid w:val="005F3AB1"/>
    <w:rsid w:val="005F50AE"/>
    <w:rsid w:val="00600BBD"/>
    <w:rsid w:val="006024C6"/>
    <w:rsid w:val="006034CB"/>
    <w:rsid w:val="00603BB4"/>
    <w:rsid w:val="00603C89"/>
    <w:rsid w:val="00605387"/>
    <w:rsid w:val="00605773"/>
    <w:rsid w:val="00611E87"/>
    <w:rsid w:val="00616EE0"/>
    <w:rsid w:val="006205F9"/>
    <w:rsid w:val="006222B9"/>
    <w:rsid w:val="00622F6E"/>
    <w:rsid w:val="00624F5B"/>
    <w:rsid w:val="00625523"/>
    <w:rsid w:val="00626CD6"/>
    <w:rsid w:val="00627255"/>
    <w:rsid w:val="006306DE"/>
    <w:rsid w:val="00630A10"/>
    <w:rsid w:val="006314DD"/>
    <w:rsid w:val="00631C33"/>
    <w:rsid w:val="00631F42"/>
    <w:rsid w:val="006321FC"/>
    <w:rsid w:val="006331F2"/>
    <w:rsid w:val="00634D91"/>
    <w:rsid w:val="0063576A"/>
    <w:rsid w:val="00636DC0"/>
    <w:rsid w:val="00637186"/>
    <w:rsid w:val="006374ED"/>
    <w:rsid w:val="006378CB"/>
    <w:rsid w:val="00640BC1"/>
    <w:rsid w:val="00640D36"/>
    <w:rsid w:val="006410AF"/>
    <w:rsid w:val="00641974"/>
    <w:rsid w:val="00641A46"/>
    <w:rsid w:val="00641A8A"/>
    <w:rsid w:val="00643FF7"/>
    <w:rsid w:val="006445E2"/>
    <w:rsid w:val="00644F7C"/>
    <w:rsid w:val="00645572"/>
    <w:rsid w:val="00645A81"/>
    <w:rsid w:val="006506C4"/>
    <w:rsid w:val="00650AD7"/>
    <w:rsid w:val="00651D78"/>
    <w:rsid w:val="00653EB9"/>
    <w:rsid w:val="00660F5C"/>
    <w:rsid w:val="00661E55"/>
    <w:rsid w:val="006628AB"/>
    <w:rsid w:val="00662DBA"/>
    <w:rsid w:val="00663239"/>
    <w:rsid w:val="00663A68"/>
    <w:rsid w:val="00666BE5"/>
    <w:rsid w:val="00670CF2"/>
    <w:rsid w:val="00673D84"/>
    <w:rsid w:val="00674CB7"/>
    <w:rsid w:val="006752C5"/>
    <w:rsid w:val="006759E8"/>
    <w:rsid w:val="00675FC4"/>
    <w:rsid w:val="00677B5B"/>
    <w:rsid w:val="00681732"/>
    <w:rsid w:val="00682DB2"/>
    <w:rsid w:val="00684A9B"/>
    <w:rsid w:val="00684C7E"/>
    <w:rsid w:val="006854A7"/>
    <w:rsid w:val="00685F25"/>
    <w:rsid w:val="00686F24"/>
    <w:rsid w:val="006876DA"/>
    <w:rsid w:val="006914F7"/>
    <w:rsid w:val="006924BB"/>
    <w:rsid w:val="006930FE"/>
    <w:rsid w:val="00694369"/>
    <w:rsid w:val="00694C2B"/>
    <w:rsid w:val="00695D6C"/>
    <w:rsid w:val="0069766A"/>
    <w:rsid w:val="006A1ED2"/>
    <w:rsid w:val="006A3485"/>
    <w:rsid w:val="006A3A6C"/>
    <w:rsid w:val="006A3B0C"/>
    <w:rsid w:val="006A4671"/>
    <w:rsid w:val="006A503B"/>
    <w:rsid w:val="006A7AFF"/>
    <w:rsid w:val="006B071A"/>
    <w:rsid w:val="006B0D56"/>
    <w:rsid w:val="006B558F"/>
    <w:rsid w:val="006B778D"/>
    <w:rsid w:val="006B7BB2"/>
    <w:rsid w:val="006C1C82"/>
    <w:rsid w:val="006C297B"/>
    <w:rsid w:val="006C330C"/>
    <w:rsid w:val="006C39FF"/>
    <w:rsid w:val="006C5DDA"/>
    <w:rsid w:val="006C749B"/>
    <w:rsid w:val="006C7EBB"/>
    <w:rsid w:val="006D2551"/>
    <w:rsid w:val="006D3A78"/>
    <w:rsid w:val="006D4BAA"/>
    <w:rsid w:val="006E04C2"/>
    <w:rsid w:val="006E14BE"/>
    <w:rsid w:val="006E21EC"/>
    <w:rsid w:val="006E3078"/>
    <w:rsid w:val="006E31E0"/>
    <w:rsid w:val="006E4019"/>
    <w:rsid w:val="006E4C36"/>
    <w:rsid w:val="006E55C1"/>
    <w:rsid w:val="006F09FF"/>
    <w:rsid w:val="006F0B84"/>
    <w:rsid w:val="006F11BA"/>
    <w:rsid w:val="006F22CE"/>
    <w:rsid w:val="006F2551"/>
    <w:rsid w:val="006F2AD0"/>
    <w:rsid w:val="006F6A81"/>
    <w:rsid w:val="006F73F7"/>
    <w:rsid w:val="00701012"/>
    <w:rsid w:val="007034D5"/>
    <w:rsid w:val="00704E2E"/>
    <w:rsid w:val="0070508F"/>
    <w:rsid w:val="00705DC2"/>
    <w:rsid w:val="0070630A"/>
    <w:rsid w:val="007066C7"/>
    <w:rsid w:val="00706EA9"/>
    <w:rsid w:val="00707074"/>
    <w:rsid w:val="007116AF"/>
    <w:rsid w:val="0071183D"/>
    <w:rsid w:val="0071268C"/>
    <w:rsid w:val="00712922"/>
    <w:rsid w:val="00713004"/>
    <w:rsid w:val="007139E2"/>
    <w:rsid w:val="00720C41"/>
    <w:rsid w:val="00721651"/>
    <w:rsid w:val="0072274E"/>
    <w:rsid w:val="00723ACB"/>
    <w:rsid w:val="00723DF4"/>
    <w:rsid w:val="00726043"/>
    <w:rsid w:val="00730231"/>
    <w:rsid w:val="00730FC1"/>
    <w:rsid w:val="00732393"/>
    <w:rsid w:val="007332EA"/>
    <w:rsid w:val="00733533"/>
    <w:rsid w:val="00733E31"/>
    <w:rsid w:val="0073410F"/>
    <w:rsid w:val="00735E0A"/>
    <w:rsid w:val="00736E0C"/>
    <w:rsid w:val="0073786C"/>
    <w:rsid w:val="00741490"/>
    <w:rsid w:val="00741F18"/>
    <w:rsid w:val="0074344C"/>
    <w:rsid w:val="00757A09"/>
    <w:rsid w:val="0076140D"/>
    <w:rsid w:val="00761A46"/>
    <w:rsid w:val="007626D3"/>
    <w:rsid w:val="00762D2E"/>
    <w:rsid w:val="00763ECF"/>
    <w:rsid w:val="00764B7F"/>
    <w:rsid w:val="00766765"/>
    <w:rsid w:val="00767757"/>
    <w:rsid w:val="0077041A"/>
    <w:rsid w:val="00774E3A"/>
    <w:rsid w:val="0077604D"/>
    <w:rsid w:val="0077729B"/>
    <w:rsid w:val="00777720"/>
    <w:rsid w:val="00777B61"/>
    <w:rsid w:val="0078051A"/>
    <w:rsid w:val="007818A2"/>
    <w:rsid w:val="007855D1"/>
    <w:rsid w:val="007908BD"/>
    <w:rsid w:val="00792098"/>
    <w:rsid w:val="007947E5"/>
    <w:rsid w:val="00795BAE"/>
    <w:rsid w:val="007A0160"/>
    <w:rsid w:val="007A01C4"/>
    <w:rsid w:val="007A07EC"/>
    <w:rsid w:val="007A18AE"/>
    <w:rsid w:val="007A203B"/>
    <w:rsid w:val="007A397A"/>
    <w:rsid w:val="007A4388"/>
    <w:rsid w:val="007A76DE"/>
    <w:rsid w:val="007B0254"/>
    <w:rsid w:val="007B2EA7"/>
    <w:rsid w:val="007B328D"/>
    <w:rsid w:val="007B3EF2"/>
    <w:rsid w:val="007B41E2"/>
    <w:rsid w:val="007B5198"/>
    <w:rsid w:val="007B7397"/>
    <w:rsid w:val="007C0037"/>
    <w:rsid w:val="007C0CED"/>
    <w:rsid w:val="007C1387"/>
    <w:rsid w:val="007C17DC"/>
    <w:rsid w:val="007C272C"/>
    <w:rsid w:val="007C50F7"/>
    <w:rsid w:val="007C5426"/>
    <w:rsid w:val="007C70A7"/>
    <w:rsid w:val="007C7400"/>
    <w:rsid w:val="007D1E82"/>
    <w:rsid w:val="007D3F18"/>
    <w:rsid w:val="007D5C5D"/>
    <w:rsid w:val="007D79D4"/>
    <w:rsid w:val="007E0348"/>
    <w:rsid w:val="007E34C4"/>
    <w:rsid w:val="007E49B5"/>
    <w:rsid w:val="007E523F"/>
    <w:rsid w:val="007F187F"/>
    <w:rsid w:val="007F1AF0"/>
    <w:rsid w:val="007F3E11"/>
    <w:rsid w:val="007F5E54"/>
    <w:rsid w:val="007F6AB2"/>
    <w:rsid w:val="00800C1C"/>
    <w:rsid w:val="00802756"/>
    <w:rsid w:val="008027BA"/>
    <w:rsid w:val="00803C0E"/>
    <w:rsid w:val="00805BEB"/>
    <w:rsid w:val="00806B92"/>
    <w:rsid w:val="00811AC6"/>
    <w:rsid w:val="00813920"/>
    <w:rsid w:val="00813947"/>
    <w:rsid w:val="00813EE0"/>
    <w:rsid w:val="008155C7"/>
    <w:rsid w:val="00815E6E"/>
    <w:rsid w:val="00817D94"/>
    <w:rsid w:val="00820C15"/>
    <w:rsid w:val="00821361"/>
    <w:rsid w:val="008237AD"/>
    <w:rsid w:val="00825CE6"/>
    <w:rsid w:val="00826C1C"/>
    <w:rsid w:val="00827727"/>
    <w:rsid w:val="00827C23"/>
    <w:rsid w:val="00827EF0"/>
    <w:rsid w:val="00831B2A"/>
    <w:rsid w:val="008331C2"/>
    <w:rsid w:val="00835F43"/>
    <w:rsid w:val="00836B13"/>
    <w:rsid w:val="00837DEB"/>
    <w:rsid w:val="008408F8"/>
    <w:rsid w:val="00842C06"/>
    <w:rsid w:val="00844614"/>
    <w:rsid w:val="00845630"/>
    <w:rsid w:val="00845750"/>
    <w:rsid w:val="00850675"/>
    <w:rsid w:val="008507A8"/>
    <w:rsid w:val="00852EA1"/>
    <w:rsid w:val="008534A4"/>
    <w:rsid w:val="00853A21"/>
    <w:rsid w:val="00860B03"/>
    <w:rsid w:val="00860C5F"/>
    <w:rsid w:val="00862186"/>
    <w:rsid w:val="00863543"/>
    <w:rsid w:val="008679CF"/>
    <w:rsid w:val="00871DB6"/>
    <w:rsid w:val="0087463C"/>
    <w:rsid w:val="00876A5C"/>
    <w:rsid w:val="00876AE3"/>
    <w:rsid w:val="008774D3"/>
    <w:rsid w:val="008777B8"/>
    <w:rsid w:val="00877D88"/>
    <w:rsid w:val="00881D0E"/>
    <w:rsid w:val="00884168"/>
    <w:rsid w:val="00884264"/>
    <w:rsid w:val="00884B57"/>
    <w:rsid w:val="008856EC"/>
    <w:rsid w:val="00885F81"/>
    <w:rsid w:val="0088714C"/>
    <w:rsid w:val="00887A0B"/>
    <w:rsid w:val="00890650"/>
    <w:rsid w:val="00891517"/>
    <w:rsid w:val="008915C4"/>
    <w:rsid w:val="00893342"/>
    <w:rsid w:val="00895E2E"/>
    <w:rsid w:val="008A05D5"/>
    <w:rsid w:val="008A0B12"/>
    <w:rsid w:val="008A134E"/>
    <w:rsid w:val="008A45E9"/>
    <w:rsid w:val="008A4C19"/>
    <w:rsid w:val="008A5CA0"/>
    <w:rsid w:val="008A6175"/>
    <w:rsid w:val="008A65AE"/>
    <w:rsid w:val="008B054A"/>
    <w:rsid w:val="008B065A"/>
    <w:rsid w:val="008B13EE"/>
    <w:rsid w:val="008B164F"/>
    <w:rsid w:val="008B1934"/>
    <w:rsid w:val="008B262D"/>
    <w:rsid w:val="008B3126"/>
    <w:rsid w:val="008B33A2"/>
    <w:rsid w:val="008B41DD"/>
    <w:rsid w:val="008B4C1C"/>
    <w:rsid w:val="008B5BF9"/>
    <w:rsid w:val="008B62F3"/>
    <w:rsid w:val="008B6D00"/>
    <w:rsid w:val="008C0611"/>
    <w:rsid w:val="008C1306"/>
    <w:rsid w:val="008C202E"/>
    <w:rsid w:val="008C26AB"/>
    <w:rsid w:val="008C2A5F"/>
    <w:rsid w:val="008C3E2B"/>
    <w:rsid w:val="008C448E"/>
    <w:rsid w:val="008C4601"/>
    <w:rsid w:val="008C471A"/>
    <w:rsid w:val="008C4990"/>
    <w:rsid w:val="008C6205"/>
    <w:rsid w:val="008C65E2"/>
    <w:rsid w:val="008C77CF"/>
    <w:rsid w:val="008D07B6"/>
    <w:rsid w:val="008D41C7"/>
    <w:rsid w:val="008D4235"/>
    <w:rsid w:val="008D58EE"/>
    <w:rsid w:val="008D5C63"/>
    <w:rsid w:val="008D61B1"/>
    <w:rsid w:val="008D6937"/>
    <w:rsid w:val="008D78ED"/>
    <w:rsid w:val="008E11EA"/>
    <w:rsid w:val="008E25F1"/>
    <w:rsid w:val="008E309A"/>
    <w:rsid w:val="008E3F5C"/>
    <w:rsid w:val="008E526A"/>
    <w:rsid w:val="008F02BB"/>
    <w:rsid w:val="008F3788"/>
    <w:rsid w:val="008F550F"/>
    <w:rsid w:val="00901BF8"/>
    <w:rsid w:val="00903B8C"/>
    <w:rsid w:val="00906749"/>
    <w:rsid w:val="009106BC"/>
    <w:rsid w:val="00910A50"/>
    <w:rsid w:val="009117D5"/>
    <w:rsid w:val="009127FA"/>
    <w:rsid w:val="00913580"/>
    <w:rsid w:val="00913F32"/>
    <w:rsid w:val="00914610"/>
    <w:rsid w:val="00914FED"/>
    <w:rsid w:val="0091507B"/>
    <w:rsid w:val="009155C1"/>
    <w:rsid w:val="00916A1A"/>
    <w:rsid w:val="00916AFE"/>
    <w:rsid w:val="0092161D"/>
    <w:rsid w:val="00921A55"/>
    <w:rsid w:val="00923BA5"/>
    <w:rsid w:val="00925B45"/>
    <w:rsid w:val="00927284"/>
    <w:rsid w:val="00927BB3"/>
    <w:rsid w:val="00927EEA"/>
    <w:rsid w:val="0093236E"/>
    <w:rsid w:val="0093306A"/>
    <w:rsid w:val="00935DC4"/>
    <w:rsid w:val="009360A8"/>
    <w:rsid w:val="009369D7"/>
    <w:rsid w:val="0094123B"/>
    <w:rsid w:val="00941BE3"/>
    <w:rsid w:val="00941CA4"/>
    <w:rsid w:val="00944487"/>
    <w:rsid w:val="00946713"/>
    <w:rsid w:val="009468EC"/>
    <w:rsid w:val="00946D5E"/>
    <w:rsid w:val="00950D4E"/>
    <w:rsid w:val="0095169C"/>
    <w:rsid w:val="00952999"/>
    <w:rsid w:val="00954E2E"/>
    <w:rsid w:val="00955674"/>
    <w:rsid w:val="0096106A"/>
    <w:rsid w:val="0096277A"/>
    <w:rsid w:val="00963214"/>
    <w:rsid w:val="00965372"/>
    <w:rsid w:val="00965C6B"/>
    <w:rsid w:val="00966477"/>
    <w:rsid w:val="009701BA"/>
    <w:rsid w:val="00970688"/>
    <w:rsid w:val="00971416"/>
    <w:rsid w:val="009715DC"/>
    <w:rsid w:val="009716DB"/>
    <w:rsid w:val="009745F6"/>
    <w:rsid w:val="009745FF"/>
    <w:rsid w:val="00974F50"/>
    <w:rsid w:val="009754C4"/>
    <w:rsid w:val="00976DE8"/>
    <w:rsid w:val="00977E3F"/>
    <w:rsid w:val="00980175"/>
    <w:rsid w:val="00980352"/>
    <w:rsid w:val="00981655"/>
    <w:rsid w:val="0098194B"/>
    <w:rsid w:val="00982EFD"/>
    <w:rsid w:val="0098307C"/>
    <w:rsid w:val="009846DC"/>
    <w:rsid w:val="00985A3A"/>
    <w:rsid w:val="00986BF1"/>
    <w:rsid w:val="00987642"/>
    <w:rsid w:val="00987A2D"/>
    <w:rsid w:val="00990E63"/>
    <w:rsid w:val="00991DAA"/>
    <w:rsid w:val="00992401"/>
    <w:rsid w:val="00995145"/>
    <w:rsid w:val="00995763"/>
    <w:rsid w:val="009A01D5"/>
    <w:rsid w:val="009A0D42"/>
    <w:rsid w:val="009A12AC"/>
    <w:rsid w:val="009A1ABE"/>
    <w:rsid w:val="009A1CAF"/>
    <w:rsid w:val="009A1D46"/>
    <w:rsid w:val="009A281B"/>
    <w:rsid w:val="009A291E"/>
    <w:rsid w:val="009A3711"/>
    <w:rsid w:val="009A4664"/>
    <w:rsid w:val="009A52FC"/>
    <w:rsid w:val="009A6367"/>
    <w:rsid w:val="009A68CA"/>
    <w:rsid w:val="009B0709"/>
    <w:rsid w:val="009B1832"/>
    <w:rsid w:val="009B184D"/>
    <w:rsid w:val="009B3B9D"/>
    <w:rsid w:val="009B42C0"/>
    <w:rsid w:val="009B5549"/>
    <w:rsid w:val="009B5A86"/>
    <w:rsid w:val="009B7229"/>
    <w:rsid w:val="009C35A0"/>
    <w:rsid w:val="009C47E8"/>
    <w:rsid w:val="009C490F"/>
    <w:rsid w:val="009C56A2"/>
    <w:rsid w:val="009C7CD7"/>
    <w:rsid w:val="009D0A14"/>
    <w:rsid w:val="009D1172"/>
    <w:rsid w:val="009D20D8"/>
    <w:rsid w:val="009D214B"/>
    <w:rsid w:val="009D382B"/>
    <w:rsid w:val="009D3D77"/>
    <w:rsid w:val="009D3F25"/>
    <w:rsid w:val="009D4C56"/>
    <w:rsid w:val="009D7487"/>
    <w:rsid w:val="009E1239"/>
    <w:rsid w:val="009E17E7"/>
    <w:rsid w:val="009E519A"/>
    <w:rsid w:val="009E6334"/>
    <w:rsid w:val="009E668E"/>
    <w:rsid w:val="009E6837"/>
    <w:rsid w:val="009E7A3D"/>
    <w:rsid w:val="009F0C2B"/>
    <w:rsid w:val="009F17EA"/>
    <w:rsid w:val="009F1AFF"/>
    <w:rsid w:val="009F1CC4"/>
    <w:rsid w:val="009F2977"/>
    <w:rsid w:val="009F303C"/>
    <w:rsid w:val="009F3C9C"/>
    <w:rsid w:val="009F46BE"/>
    <w:rsid w:val="009F6F9F"/>
    <w:rsid w:val="009F781E"/>
    <w:rsid w:val="009F7E1B"/>
    <w:rsid w:val="00A009F7"/>
    <w:rsid w:val="00A020C9"/>
    <w:rsid w:val="00A02915"/>
    <w:rsid w:val="00A05248"/>
    <w:rsid w:val="00A05763"/>
    <w:rsid w:val="00A05CF7"/>
    <w:rsid w:val="00A06B2E"/>
    <w:rsid w:val="00A10D9B"/>
    <w:rsid w:val="00A112EA"/>
    <w:rsid w:val="00A12827"/>
    <w:rsid w:val="00A132B3"/>
    <w:rsid w:val="00A14BCA"/>
    <w:rsid w:val="00A17971"/>
    <w:rsid w:val="00A1797B"/>
    <w:rsid w:val="00A222CE"/>
    <w:rsid w:val="00A225A4"/>
    <w:rsid w:val="00A23A13"/>
    <w:rsid w:val="00A24B49"/>
    <w:rsid w:val="00A25330"/>
    <w:rsid w:val="00A2547F"/>
    <w:rsid w:val="00A25835"/>
    <w:rsid w:val="00A27CEC"/>
    <w:rsid w:val="00A31784"/>
    <w:rsid w:val="00A320B6"/>
    <w:rsid w:val="00A339BA"/>
    <w:rsid w:val="00A33BEF"/>
    <w:rsid w:val="00A34773"/>
    <w:rsid w:val="00A35795"/>
    <w:rsid w:val="00A364AA"/>
    <w:rsid w:val="00A36D38"/>
    <w:rsid w:val="00A36EE6"/>
    <w:rsid w:val="00A37027"/>
    <w:rsid w:val="00A404D2"/>
    <w:rsid w:val="00A4768F"/>
    <w:rsid w:val="00A476BB"/>
    <w:rsid w:val="00A500F1"/>
    <w:rsid w:val="00A50E39"/>
    <w:rsid w:val="00A53BEF"/>
    <w:rsid w:val="00A544C8"/>
    <w:rsid w:val="00A55284"/>
    <w:rsid w:val="00A55EFC"/>
    <w:rsid w:val="00A56C95"/>
    <w:rsid w:val="00A60AE0"/>
    <w:rsid w:val="00A6214F"/>
    <w:rsid w:val="00A6253D"/>
    <w:rsid w:val="00A62B4A"/>
    <w:rsid w:val="00A654AF"/>
    <w:rsid w:val="00A65AE7"/>
    <w:rsid w:val="00A66AD0"/>
    <w:rsid w:val="00A66F70"/>
    <w:rsid w:val="00A67647"/>
    <w:rsid w:val="00A704C7"/>
    <w:rsid w:val="00A73822"/>
    <w:rsid w:val="00A7417E"/>
    <w:rsid w:val="00A74AE2"/>
    <w:rsid w:val="00A764A0"/>
    <w:rsid w:val="00A76E25"/>
    <w:rsid w:val="00A80CBA"/>
    <w:rsid w:val="00A81A91"/>
    <w:rsid w:val="00A825B5"/>
    <w:rsid w:val="00A83560"/>
    <w:rsid w:val="00A83F77"/>
    <w:rsid w:val="00A8443C"/>
    <w:rsid w:val="00A84CD3"/>
    <w:rsid w:val="00A84FC7"/>
    <w:rsid w:val="00A85187"/>
    <w:rsid w:val="00A860DC"/>
    <w:rsid w:val="00A86370"/>
    <w:rsid w:val="00A90236"/>
    <w:rsid w:val="00A90E8C"/>
    <w:rsid w:val="00A94D13"/>
    <w:rsid w:val="00A96DF1"/>
    <w:rsid w:val="00AA028F"/>
    <w:rsid w:val="00AA235C"/>
    <w:rsid w:val="00AA2740"/>
    <w:rsid w:val="00AA3C47"/>
    <w:rsid w:val="00AA3DC3"/>
    <w:rsid w:val="00AA6424"/>
    <w:rsid w:val="00AA6A20"/>
    <w:rsid w:val="00AA74FE"/>
    <w:rsid w:val="00AA7FCA"/>
    <w:rsid w:val="00AB0171"/>
    <w:rsid w:val="00AB06F8"/>
    <w:rsid w:val="00AB0A89"/>
    <w:rsid w:val="00AB1235"/>
    <w:rsid w:val="00AB1C96"/>
    <w:rsid w:val="00AB32A5"/>
    <w:rsid w:val="00AB5406"/>
    <w:rsid w:val="00AB645B"/>
    <w:rsid w:val="00AB6D0F"/>
    <w:rsid w:val="00AC0E48"/>
    <w:rsid w:val="00AC16BD"/>
    <w:rsid w:val="00AC4039"/>
    <w:rsid w:val="00AC448A"/>
    <w:rsid w:val="00AC4606"/>
    <w:rsid w:val="00AC546C"/>
    <w:rsid w:val="00AC7206"/>
    <w:rsid w:val="00AC7400"/>
    <w:rsid w:val="00AD4152"/>
    <w:rsid w:val="00AD4AA4"/>
    <w:rsid w:val="00AD6E81"/>
    <w:rsid w:val="00AD75E5"/>
    <w:rsid w:val="00AE0642"/>
    <w:rsid w:val="00AE3949"/>
    <w:rsid w:val="00AE51A5"/>
    <w:rsid w:val="00AE5A99"/>
    <w:rsid w:val="00AE6F4A"/>
    <w:rsid w:val="00AE724A"/>
    <w:rsid w:val="00AE7303"/>
    <w:rsid w:val="00AE7C99"/>
    <w:rsid w:val="00AF00B9"/>
    <w:rsid w:val="00AF2C22"/>
    <w:rsid w:val="00AF4ED2"/>
    <w:rsid w:val="00AF5C49"/>
    <w:rsid w:val="00B0034F"/>
    <w:rsid w:val="00B00E53"/>
    <w:rsid w:val="00B04F94"/>
    <w:rsid w:val="00B05751"/>
    <w:rsid w:val="00B07137"/>
    <w:rsid w:val="00B07525"/>
    <w:rsid w:val="00B076F0"/>
    <w:rsid w:val="00B116D9"/>
    <w:rsid w:val="00B11C08"/>
    <w:rsid w:val="00B135CD"/>
    <w:rsid w:val="00B14001"/>
    <w:rsid w:val="00B142B4"/>
    <w:rsid w:val="00B25E56"/>
    <w:rsid w:val="00B26BA5"/>
    <w:rsid w:val="00B302AB"/>
    <w:rsid w:val="00B3357D"/>
    <w:rsid w:val="00B3391A"/>
    <w:rsid w:val="00B3781A"/>
    <w:rsid w:val="00B409EC"/>
    <w:rsid w:val="00B4170B"/>
    <w:rsid w:val="00B41F1C"/>
    <w:rsid w:val="00B44C3C"/>
    <w:rsid w:val="00B46D01"/>
    <w:rsid w:val="00B500E7"/>
    <w:rsid w:val="00B50EA7"/>
    <w:rsid w:val="00B51C31"/>
    <w:rsid w:val="00B52CB9"/>
    <w:rsid w:val="00B52F54"/>
    <w:rsid w:val="00B53131"/>
    <w:rsid w:val="00B534FD"/>
    <w:rsid w:val="00B5575C"/>
    <w:rsid w:val="00B579E4"/>
    <w:rsid w:val="00B612A3"/>
    <w:rsid w:val="00B61680"/>
    <w:rsid w:val="00B62A48"/>
    <w:rsid w:val="00B659D9"/>
    <w:rsid w:val="00B668CE"/>
    <w:rsid w:val="00B67AE7"/>
    <w:rsid w:val="00B73500"/>
    <w:rsid w:val="00B737E6"/>
    <w:rsid w:val="00B73EC0"/>
    <w:rsid w:val="00B746CC"/>
    <w:rsid w:val="00B74FA0"/>
    <w:rsid w:val="00B7634A"/>
    <w:rsid w:val="00B8583F"/>
    <w:rsid w:val="00B90596"/>
    <w:rsid w:val="00B9404E"/>
    <w:rsid w:val="00B963FF"/>
    <w:rsid w:val="00B9728F"/>
    <w:rsid w:val="00B9769C"/>
    <w:rsid w:val="00BA0AD5"/>
    <w:rsid w:val="00BA1AAC"/>
    <w:rsid w:val="00BA6D00"/>
    <w:rsid w:val="00BB1EDC"/>
    <w:rsid w:val="00BB5F09"/>
    <w:rsid w:val="00BB6AEF"/>
    <w:rsid w:val="00BB78B9"/>
    <w:rsid w:val="00BB7C6B"/>
    <w:rsid w:val="00BC0A26"/>
    <w:rsid w:val="00BC1ACC"/>
    <w:rsid w:val="00BC3399"/>
    <w:rsid w:val="00BC409B"/>
    <w:rsid w:val="00BC476C"/>
    <w:rsid w:val="00BC49EE"/>
    <w:rsid w:val="00BC7638"/>
    <w:rsid w:val="00BC7E9D"/>
    <w:rsid w:val="00BD02FE"/>
    <w:rsid w:val="00BD0BC2"/>
    <w:rsid w:val="00BD2161"/>
    <w:rsid w:val="00BD2AD9"/>
    <w:rsid w:val="00BD48D2"/>
    <w:rsid w:val="00BD501F"/>
    <w:rsid w:val="00BD5A8E"/>
    <w:rsid w:val="00BD5EAD"/>
    <w:rsid w:val="00BD6A1F"/>
    <w:rsid w:val="00BD7035"/>
    <w:rsid w:val="00BD74D2"/>
    <w:rsid w:val="00BD7D88"/>
    <w:rsid w:val="00BE03C6"/>
    <w:rsid w:val="00BE0F6F"/>
    <w:rsid w:val="00BE2BAA"/>
    <w:rsid w:val="00BE2E69"/>
    <w:rsid w:val="00BE34BB"/>
    <w:rsid w:val="00BE4884"/>
    <w:rsid w:val="00BE526C"/>
    <w:rsid w:val="00BE5665"/>
    <w:rsid w:val="00BE5D80"/>
    <w:rsid w:val="00BE7532"/>
    <w:rsid w:val="00BF1975"/>
    <w:rsid w:val="00BF1C20"/>
    <w:rsid w:val="00BF4D15"/>
    <w:rsid w:val="00C006F5"/>
    <w:rsid w:val="00C00EF2"/>
    <w:rsid w:val="00C05FE0"/>
    <w:rsid w:val="00C10BF8"/>
    <w:rsid w:val="00C10E92"/>
    <w:rsid w:val="00C11E9D"/>
    <w:rsid w:val="00C12720"/>
    <w:rsid w:val="00C13430"/>
    <w:rsid w:val="00C15477"/>
    <w:rsid w:val="00C1554C"/>
    <w:rsid w:val="00C17EB3"/>
    <w:rsid w:val="00C21243"/>
    <w:rsid w:val="00C220AB"/>
    <w:rsid w:val="00C2373F"/>
    <w:rsid w:val="00C24953"/>
    <w:rsid w:val="00C24FA8"/>
    <w:rsid w:val="00C25DDD"/>
    <w:rsid w:val="00C2749F"/>
    <w:rsid w:val="00C3063F"/>
    <w:rsid w:val="00C31F63"/>
    <w:rsid w:val="00C345A9"/>
    <w:rsid w:val="00C35537"/>
    <w:rsid w:val="00C359C3"/>
    <w:rsid w:val="00C37111"/>
    <w:rsid w:val="00C4281C"/>
    <w:rsid w:val="00C433C5"/>
    <w:rsid w:val="00C44EDE"/>
    <w:rsid w:val="00C45184"/>
    <w:rsid w:val="00C45460"/>
    <w:rsid w:val="00C469EF"/>
    <w:rsid w:val="00C51072"/>
    <w:rsid w:val="00C51709"/>
    <w:rsid w:val="00C52AED"/>
    <w:rsid w:val="00C54CD7"/>
    <w:rsid w:val="00C54EBF"/>
    <w:rsid w:val="00C56E73"/>
    <w:rsid w:val="00C56F47"/>
    <w:rsid w:val="00C57099"/>
    <w:rsid w:val="00C57E23"/>
    <w:rsid w:val="00C57F6F"/>
    <w:rsid w:val="00C65257"/>
    <w:rsid w:val="00C6607B"/>
    <w:rsid w:val="00C66842"/>
    <w:rsid w:val="00C67B29"/>
    <w:rsid w:val="00C73245"/>
    <w:rsid w:val="00C73B5E"/>
    <w:rsid w:val="00C7666A"/>
    <w:rsid w:val="00C77C95"/>
    <w:rsid w:val="00C80393"/>
    <w:rsid w:val="00C83379"/>
    <w:rsid w:val="00C835A1"/>
    <w:rsid w:val="00C83A52"/>
    <w:rsid w:val="00C84638"/>
    <w:rsid w:val="00C85643"/>
    <w:rsid w:val="00C85840"/>
    <w:rsid w:val="00C862C6"/>
    <w:rsid w:val="00C8736B"/>
    <w:rsid w:val="00C904E8"/>
    <w:rsid w:val="00C9106C"/>
    <w:rsid w:val="00C95E9D"/>
    <w:rsid w:val="00C961D6"/>
    <w:rsid w:val="00C968E6"/>
    <w:rsid w:val="00C977E2"/>
    <w:rsid w:val="00C97AD1"/>
    <w:rsid w:val="00CA10C8"/>
    <w:rsid w:val="00CA26F5"/>
    <w:rsid w:val="00CA2A5F"/>
    <w:rsid w:val="00CA3110"/>
    <w:rsid w:val="00CA3A40"/>
    <w:rsid w:val="00CA41BA"/>
    <w:rsid w:val="00CA428D"/>
    <w:rsid w:val="00CA7856"/>
    <w:rsid w:val="00CB0C21"/>
    <w:rsid w:val="00CB2662"/>
    <w:rsid w:val="00CB27A4"/>
    <w:rsid w:val="00CB2C97"/>
    <w:rsid w:val="00CB3EF0"/>
    <w:rsid w:val="00CB43F1"/>
    <w:rsid w:val="00CB5042"/>
    <w:rsid w:val="00CB5FF2"/>
    <w:rsid w:val="00CB6F81"/>
    <w:rsid w:val="00CC07D0"/>
    <w:rsid w:val="00CC17D5"/>
    <w:rsid w:val="00CC1C86"/>
    <w:rsid w:val="00CC1F78"/>
    <w:rsid w:val="00CC2DA5"/>
    <w:rsid w:val="00CC36B2"/>
    <w:rsid w:val="00CCA8D6"/>
    <w:rsid w:val="00CD1D74"/>
    <w:rsid w:val="00CD4F3E"/>
    <w:rsid w:val="00CD54EA"/>
    <w:rsid w:val="00CD55BE"/>
    <w:rsid w:val="00CD6F24"/>
    <w:rsid w:val="00CE069F"/>
    <w:rsid w:val="00CE26C2"/>
    <w:rsid w:val="00CE29EF"/>
    <w:rsid w:val="00CE75D4"/>
    <w:rsid w:val="00CF3DB7"/>
    <w:rsid w:val="00CF4120"/>
    <w:rsid w:val="00CF4F75"/>
    <w:rsid w:val="00CF5A4B"/>
    <w:rsid w:val="00D00D12"/>
    <w:rsid w:val="00D01C3F"/>
    <w:rsid w:val="00D01D66"/>
    <w:rsid w:val="00D0516C"/>
    <w:rsid w:val="00D058ED"/>
    <w:rsid w:val="00D06157"/>
    <w:rsid w:val="00D06A85"/>
    <w:rsid w:val="00D10240"/>
    <w:rsid w:val="00D1039E"/>
    <w:rsid w:val="00D11F09"/>
    <w:rsid w:val="00D1212A"/>
    <w:rsid w:val="00D14C34"/>
    <w:rsid w:val="00D1591A"/>
    <w:rsid w:val="00D17C17"/>
    <w:rsid w:val="00D20919"/>
    <w:rsid w:val="00D21B8E"/>
    <w:rsid w:val="00D22A25"/>
    <w:rsid w:val="00D23CAA"/>
    <w:rsid w:val="00D242CF"/>
    <w:rsid w:val="00D2627D"/>
    <w:rsid w:val="00D27597"/>
    <w:rsid w:val="00D302C3"/>
    <w:rsid w:val="00D30C90"/>
    <w:rsid w:val="00D3222F"/>
    <w:rsid w:val="00D3497B"/>
    <w:rsid w:val="00D34C2C"/>
    <w:rsid w:val="00D36BDE"/>
    <w:rsid w:val="00D4151C"/>
    <w:rsid w:val="00D42331"/>
    <w:rsid w:val="00D4478F"/>
    <w:rsid w:val="00D451B0"/>
    <w:rsid w:val="00D45991"/>
    <w:rsid w:val="00D45E59"/>
    <w:rsid w:val="00D460AF"/>
    <w:rsid w:val="00D47385"/>
    <w:rsid w:val="00D4744D"/>
    <w:rsid w:val="00D5187B"/>
    <w:rsid w:val="00D519B2"/>
    <w:rsid w:val="00D51A09"/>
    <w:rsid w:val="00D53AD4"/>
    <w:rsid w:val="00D5593B"/>
    <w:rsid w:val="00D60AC8"/>
    <w:rsid w:val="00D60F1D"/>
    <w:rsid w:val="00D610AA"/>
    <w:rsid w:val="00D613B4"/>
    <w:rsid w:val="00D6363A"/>
    <w:rsid w:val="00D63E1F"/>
    <w:rsid w:val="00D65417"/>
    <w:rsid w:val="00D707EC"/>
    <w:rsid w:val="00D71744"/>
    <w:rsid w:val="00D7176C"/>
    <w:rsid w:val="00D71BAC"/>
    <w:rsid w:val="00D71C32"/>
    <w:rsid w:val="00D74904"/>
    <w:rsid w:val="00D7499D"/>
    <w:rsid w:val="00D7730A"/>
    <w:rsid w:val="00D803A0"/>
    <w:rsid w:val="00D80D61"/>
    <w:rsid w:val="00D81438"/>
    <w:rsid w:val="00D81D12"/>
    <w:rsid w:val="00D84085"/>
    <w:rsid w:val="00D841CF"/>
    <w:rsid w:val="00D84408"/>
    <w:rsid w:val="00D87180"/>
    <w:rsid w:val="00D87A4E"/>
    <w:rsid w:val="00D87B10"/>
    <w:rsid w:val="00D90271"/>
    <w:rsid w:val="00D90982"/>
    <w:rsid w:val="00D90A13"/>
    <w:rsid w:val="00D91451"/>
    <w:rsid w:val="00D92597"/>
    <w:rsid w:val="00DA0062"/>
    <w:rsid w:val="00DA05B4"/>
    <w:rsid w:val="00DA0B9A"/>
    <w:rsid w:val="00DA2E5E"/>
    <w:rsid w:val="00DA6E3D"/>
    <w:rsid w:val="00DA73C0"/>
    <w:rsid w:val="00DB23A9"/>
    <w:rsid w:val="00DB3C33"/>
    <w:rsid w:val="00DB3C86"/>
    <w:rsid w:val="00DB630A"/>
    <w:rsid w:val="00DB66E6"/>
    <w:rsid w:val="00DB7720"/>
    <w:rsid w:val="00DC074F"/>
    <w:rsid w:val="00DC19EB"/>
    <w:rsid w:val="00DC2770"/>
    <w:rsid w:val="00DC297F"/>
    <w:rsid w:val="00DC2AD5"/>
    <w:rsid w:val="00DC2AEA"/>
    <w:rsid w:val="00DC3080"/>
    <w:rsid w:val="00DC3A93"/>
    <w:rsid w:val="00DC48DE"/>
    <w:rsid w:val="00DC527B"/>
    <w:rsid w:val="00DD013D"/>
    <w:rsid w:val="00DD0C67"/>
    <w:rsid w:val="00DD4737"/>
    <w:rsid w:val="00DD4DF4"/>
    <w:rsid w:val="00DD4F04"/>
    <w:rsid w:val="00DD623A"/>
    <w:rsid w:val="00DD6DA9"/>
    <w:rsid w:val="00DD71A9"/>
    <w:rsid w:val="00DE0F0A"/>
    <w:rsid w:val="00DE192B"/>
    <w:rsid w:val="00DE29A0"/>
    <w:rsid w:val="00DE5AD9"/>
    <w:rsid w:val="00DE68EC"/>
    <w:rsid w:val="00DE69AD"/>
    <w:rsid w:val="00DE6DFE"/>
    <w:rsid w:val="00DF0AAE"/>
    <w:rsid w:val="00DF19D7"/>
    <w:rsid w:val="00DF316D"/>
    <w:rsid w:val="00DF3F1B"/>
    <w:rsid w:val="00DF73B8"/>
    <w:rsid w:val="00DF7934"/>
    <w:rsid w:val="00E00BA9"/>
    <w:rsid w:val="00E00C21"/>
    <w:rsid w:val="00E0138C"/>
    <w:rsid w:val="00E02ABD"/>
    <w:rsid w:val="00E02E92"/>
    <w:rsid w:val="00E032DA"/>
    <w:rsid w:val="00E03BC4"/>
    <w:rsid w:val="00E03DD3"/>
    <w:rsid w:val="00E047D5"/>
    <w:rsid w:val="00E05802"/>
    <w:rsid w:val="00E058B5"/>
    <w:rsid w:val="00E065FA"/>
    <w:rsid w:val="00E06E6F"/>
    <w:rsid w:val="00E06F50"/>
    <w:rsid w:val="00E07D3A"/>
    <w:rsid w:val="00E100BA"/>
    <w:rsid w:val="00E1221A"/>
    <w:rsid w:val="00E1416B"/>
    <w:rsid w:val="00E152F6"/>
    <w:rsid w:val="00E153FA"/>
    <w:rsid w:val="00E1785E"/>
    <w:rsid w:val="00E20EAA"/>
    <w:rsid w:val="00E20F1D"/>
    <w:rsid w:val="00E21CF6"/>
    <w:rsid w:val="00E23AAA"/>
    <w:rsid w:val="00E241FE"/>
    <w:rsid w:val="00E24B05"/>
    <w:rsid w:val="00E2520C"/>
    <w:rsid w:val="00E266AD"/>
    <w:rsid w:val="00E27B55"/>
    <w:rsid w:val="00E301C4"/>
    <w:rsid w:val="00E30F48"/>
    <w:rsid w:val="00E314FA"/>
    <w:rsid w:val="00E32DE7"/>
    <w:rsid w:val="00E331E1"/>
    <w:rsid w:val="00E343EC"/>
    <w:rsid w:val="00E35898"/>
    <w:rsid w:val="00E36CB7"/>
    <w:rsid w:val="00E40B8A"/>
    <w:rsid w:val="00E42F9B"/>
    <w:rsid w:val="00E44B65"/>
    <w:rsid w:val="00E44C2D"/>
    <w:rsid w:val="00E44C48"/>
    <w:rsid w:val="00E45B69"/>
    <w:rsid w:val="00E47300"/>
    <w:rsid w:val="00E47DA1"/>
    <w:rsid w:val="00E50296"/>
    <w:rsid w:val="00E50522"/>
    <w:rsid w:val="00E514CB"/>
    <w:rsid w:val="00E52C38"/>
    <w:rsid w:val="00E559BF"/>
    <w:rsid w:val="00E56161"/>
    <w:rsid w:val="00E57393"/>
    <w:rsid w:val="00E574B8"/>
    <w:rsid w:val="00E60A14"/>
    <w:rsid w:val="00E60A2C"/>
    <w:rsid w:val="00E613E4"/>
    <w:rsid w:val="00E6179D"/>
    <w:rsid w:val="00E636B4"/>
    <w:rsid w:val="00E63732"/>
    <w:rsid w:val="00E64221"/>
    <w:rsid w:val="00E6486C"/>
    <w:rsid w:val="00E659FA"/>
    <w:rsid w:val="00E66C8F"/>
    <w:rsid w:val="00E70B5D"/>
    <w:rsid w:val="00E72ED7"/>
    <w:rsid w:val="00E74E11"/>
    <w:rsid w:val="00E7522D"/>
    <w:rsid w:val="00E76127"/>
    <w:rsid w:val="00E76221"/>
    <w:rsid w:val="00E77DDD"/>
    <w:rsid w:val="00E803DD"/>
    <w:rsid w:val="00E8105B"/>
    <w:rsid w:val="00E818DF"/>
    <w:rsid w:val="00E823C6"/>
    <w:rsid w:val="00E85F64"/>
    <w:rsid w:val="00E87486"/>
    <w:rsid w:val="00E906A2"/>
    <w:rsid w:val="00E93CD2"/>
    <w:rsid w:val="00E93FC7"/>
    <w:rsid w:val="00E951C1"/>
    <w:rsid w:val="00E95ED1"/>
    <w:rsid w:val="00EA09CF"/>
    <w:rsid w:val="00EA0CB4"/>
    <w:rsid w:val="00EA13A3"/>
    <w:rsid w:val="00EA238C"/>
    <w:rsid w:val="00EA3214"/>
    <w:rsid w:val="00EA4D3A"/>
    <w:rsid w:val="00EA53D7"/>
    <w:rsid w:val="00EB2057"/>
    <w:rsid w:val="00EB265E"/>
    <w:rsid w:val="00EB3CE2"/>
    <w:rsid w:val="00EB5669"/>
    <w:rsid w:val="00EB5705"/>
    <w:rsid w:val="00EB6E2C"/>
    <w:rsid w:val="00EB7176"/>
    <w:rsid w:val="00EC0411"/>
    <w:rsid w:val="00EC07D5"/>
    <w:rsid w:val="00EC499B"/>
    <w:rsid w:val="00EC524C"/>
    <w:rsid w:val="00EC596C"/>
    <w:rsid w:val="00EC61C2"/>
    <w:rsid w:val="00ED1598"/>
    <w:rsid w:val="00ED2342"/>
    <w:rsid w:val="00ED26E3"/>
    <w:rsid w:val="00ED42C5"/>
    <w:rsid w:val="00ED5D33"/>
    <w:rsid w:val="00EE00A2"/>
    <w:rsid w:val="00EE058A"/>
    <w:rsid w:val="00EE0A2E"/>
    <w:rsid w:val="00EE162C"/>
    <w:rsid w:val="00EE439B"/>
    <w:rsid w:val="00EE68DD"/>
    <w:rsid w:val="00EE7F75"/>
    <w:rsid w:val="00EF39B1"/>
    <w:rsid w:val="00EF3A6F"/>
    <w:rsid w:val="00EF57A1"/>
    <w:rsid w:val="00F00969"/>
    <w:rsid w:val="00F0138A"/>
    <w:rsid w:val="00F0216B"/>
    <w:rsid w:val="00F03161"/>
    <w:rsid w:val="00F06B6B"/>
    <w:rsid w:val="00F07963"/>
    <w:rsid w:val="00F112B4"/>
    <w:rsid w:val="00F11E9B"/>
    <w:rsid w:val="00F126FA"/>
    <w:rsid w:val="00F14B00"/>
    <w:rsid w:val="00F14D82"/>
    <w:rsid w:val="00F15533"/>
    <w:rsid w:val="00F1750C"/>
    <w:rsid w:val="00F17E96"/>
    <w:rsid w:val="00F25C6F"/>
    <w:rsid w:val="00F27622"/>
    <w:rsid w:val="00F3148B"/>
    <w:rsid w:val="00F31B88"/>
    <w:rsid w:val="00F3248A"/>
    <w:rsid w:val="00F347F6"/>
    <w:rsid w:val="00F34950"/>
    <w:rsid w:val="00F362DF"/>
    <w:rsid w:val="00F41ABE"/>
    <w:rsid w:val="00F42094"/>
    <w:rsid w:val="00F423A5"/>
    <w:rsid w:val="00F43EF6"/>
    <w:rsid w:val="00F440C2"/>
    <w:rsid w:val="00F44D3F"/>
    <w:rsid w:val="00F4582D"/>
    <w:rsid w:val="00F50067"/>
    <w:rsid w:val="00F5092F"/>
    <w:rsid w:val="00F50DA3"/>
    <w:rsid w:val="00F5384F"/>
    <w:rsid w:val="00F55B35"/>
    <w:rsid w:val="00F572E4"/>
    <w:rsid w:val="00F63766"/>
    <w:rsid w:val="00F64A04"/>
    <w:rsid w:val="00F64D05"/>
    <w:rsid w:val="00F653A3"/>
    <w:rsid w:val="00F6719E"/>
    <w:rsid w:val="00F67655"/>
    <w:rsid w:val="00F70145"/>
    <w:rsid w:val="00F702AE"/>
    <w:rsid w:val="00F7370D"/>
    <w:rsid w:val="00F75985"/>
    <w:rsid w:val="00F76233"/>
    <w:rsid w:val="00F77B9F"/>
    <w:rsid w:val="00F87382"/>
    <w:rsid w:val="00F8782C"/>
    <w:rsid w:val="00F9022C"/>
    <w:rsid w:val="00F929DF"/>
    <w:rsid w:val="00F941DA"/>
    <w:rsid w:val="00F94F78"/>
    <w:rsid w:val="00F975B4"/>
    <w:rsid w:val="00FA0C7F"/>
    <w:rsid w:val="00FA18F0"/>
    <w:rsid w:val="00FA403E"/>
    <w:rsid w:val="00FA41EE"/>
    <w:rsid w:val="00FA5B5D"/>
    <w:rsid w:val="00FA66CC"/>
    <w:rsid w:val="00FA737D"/>
    <w:rsid w:val="00FB1DAE"/>
    <w:rsid w:val="00FB29E4"/>
    <w:rsid w:val="00FB61F8"/>
    <w:rsid w:val="00FB7122"/>
    <w:rsid w:val="00FC6583"/>
    <w:rsid w:val="00FC7081"/>
    <w:rsid w:val="00FD085A"/>
    <w:rsid w:val="00FD108E"/>
    <w:rsid w:val="00FD15DA"/>
    <w:rsid w:val="00FD1BDA"/>
    <w:rsid w:val="00FD229A"/>
    <w:rsid w:val="00FD5A2E"/>
    <w:rsid w:val="00FD799B"/>
    <w:rsid w:val="00FE18D5"/>
    <w:rsid w:val="00FE256A"/>
    <w:rsid w:val="00FE557F"/>
    <w:rsid w:val="00FE6681"/>
    <w:rsid w:val="00FF0271"/>
    <w:rsid w:val="00FF045D"/>
    <w:rsid w:val="00FF0FC0"/>
    <w:rsid w:val="00FF106B"/>
    <w:rsid w:val="00FF4462"/>
    <w:rsid w:val="00FF4A27"/>
    <w:rsid w:val="00FF4DE3"/>
    <w:rsid w:val="00FF63E7"/>
    <w:rsid w:val="00FF65DC"/>
    <w:rsid w:val="00FF681E"/>
    <w:rsid w:val="014B4AA6"/>
    <w:rsid w:val="02A2DC36"/>
    <w:rsid w:val="02A2DFDA"/>
    <w:rsid w:val="038CC693"/>
    <w:rsid w:val="041FFA6D"/>
    <w:rsid w:val="0464E293"/>
    <w:rsid w:val="0500A68F"/>
    <w:rsid w:val="05F9FE49"/>
    <w:rsid w:val="06135146"/>
    <w:rsid w:val="075D24FC"/>
    <w:rsid w:val="0795CEAA"/>
    <w:rsid w:val="095DBA89"/>
    <w:rsid w:val="096331B9"/>
    <w:rsid w:val="099A75CE"/>
    <w:rsid w:val="099CB3D5"/>
    <w:rsid w:val="09B377A1"/>
    <w:rsid w:val="09C43828"/>
    <w:rsid w:val="09E34209"/>
    <w:rsid w:val="0B8DB0D6"/>
    <w:rsid w:val="0BB292CC"/>
    <w:rsid w:val="0BDEF43C"/>
    <w:rsid w:val="0DCFDA29"/>
    <w:rsid w:val="0E2D2C02"/>
    <w:rsid w:val="0E5C09CB"/>
    <w:rsid w:val="0EDB8F60"/>
    <w:rsid w:val="0F4EC78D"/>
    <w:rsid w:val="0F6795E4"/>
    <w:rsid w:val="0FCD6C58"/>
    <w:rsid w:val="113CB0F0"/>
    <w:rsid w:val="11A1FD16"/>
    <w:rsid w:val="12D88151"/>
    <w:rsid w:val="140DFF5C"/>
    <w:rsid w:val="142B9B77"/>
    <w:rsid w:val="15664525"/>
    <w:rsid w:val="158027ED"/>
    <w:rsid w:val="15B3C2F7"/>
    <w:rsid w:val="15B68D19"/>
    <w:rsid w:val="15E68928"/>
    <w:rsid w:val="182B9AC1"/>
    <w:rsid w:val="1A02DC1A"/>
    <w:rsid w:val="1A0EF67E"/>
    <w:rsid w:val="1AACB181"/>
    <w:rsid w:val="1B1A28B0"/>
    <w:rsid w:val="1C98A601"/>
    <w:rsid w:val="1D4E7DE7"/>
    <w:rsid w:val="1DCF30E8"/>
    <w:rsid w:val="1F14AAD5"/>
    <w:rsid w:val="1FC4131F"/>
    <w:rsid w:val="220E39C5"/>
    <w:rsid w:val="22CC8F13"/>
    <w:rsid w:val="238CB76F"/>
    <w:rsid w:val="23C93FB1"/>
    <w:rsid w:val="23F23887"/>
    <w:rsid w:val="251E722C"/>
    <w:rsid w:val="255568A4"/>
    <w:rsid w:val="260DBE8D"/>
    <w:rsid w:val="266D6F1F"/>
    <w:rsid w:val="2700E073"/>
    <w:rsid w:val="27ED0FB8"/>
    <w:rsid w:val="27ED1DA5"/>
    <w:rsid w:val="2872655E"/>
    <w:rsid w:val="2872921D"/>
    <w:rsid w:val="29730E85"/>
    <w:rsid w:val="2A47D9AA"/>
    <w:rsid w:val="2AAE9A72"/>
    <w:rsid w:val="2ACC0BCC"/>
    <w:rsid w:val="2B37D4E0"/>
    <w:rsid w:val="2B7B5DED"/>
    <w:rsid w:val="2BBCBDCB"/>
    <w:rsid w:val="2D588E2C"/>
    <w:rsid w:val="2D907E73"/>
    <w:rsid w:val="2DF7C22D"/>
    <w:rsid w:val="2E639D8A"/>
    <w:rsid w:val="2F189B2D"/>
    <w:rsid w:val="30770691"/>
    <w:rsid w:val="315DE829"/>
    <w:rsid w:val="317AE67A"/>
    <w:rsid w:val="31B0EBC8"/>
    <w:rsid w:val="32883C7D"/>
    <w:rsid w:val="32887DF1"/>
    <w:rsid w:val="32DF3D78"/>
    <w:rsid w:val="330C362C"/>
    <w:rsid w:val="3320E625"/>
    <w:rsid w:val="34E567FC"/>
    <w:rsid w:val="34ECD65E"/>
    <w:rsid w:val="3681385D"/>
    <w:rsid w:val="379D6646"/>
    <w:rsid w:val="381CF92E"/>
    <w:rsid w:val="39180761"/>
    <w:rsid w:val="391DEB9F"/>
    <w:rsid w:val="3AACE557"/>
    <w:rsid w:val="3B412A32"/>
    <w:rsid w:val="3EFDFF4A"/>
    <w:rsid w:val="3FAAEFFE"/>
    <w:rsid w:val="3FEE2AF2"/>
    <w:rsid w:val="40E9833F"/>
    <w:rsid w:val="411BDD96"/>
    <w:rsid w:val="41988119"/>
    <w:rsid w:val="41F3009E"/>
    <w:rsid w:val="425CEE1E"/>
    <w:rsid w:val="430A8111"/>
    <w:rsid w:val="432F8228"/>
    <w:rsid w:val="44A5B837"/>
    <w:rsid w:val="44F6FB9D"/>
    <w:rsid w:val="4565122B"/>
    <w:rsid w:val="45B0159F"/>
    <w:rsid w:val="46277DCB"/>
    <w:rsid w:val="4769987D"/>
    <w:rsid w:val="483F6E3D"/>
    <w:rsid w:val="489AB31F"/>
    <w:rsid w:val="496E5634"/>
    <w:rsid w:val="49860695"/>
    <w:rsid w:val="4A3944F8"/>
    <w:rsid w:val="4A8C1BC1"/>
    <w:rsid w:val="4ACFEEAD"/>
    <w:rsid w:val="4B0EA737"/>
    <w:rsid w:val="4B598773"/>
    <w:rsid w:val="4C3AE0AB"/>
    <w:rsid w:val="4C4E3308"/>
    <w:rsid w:val="4CABA1D6"/>
    <w:rsid w:val="4CB208A9"/>
    <w:rsid w:val="4D97AF5F"/>
    <w:rsid w:val="4E3BE0F4"/>
    <w:rsid w:val="4EA5C7D8"/>
    <w:rsid w:val="4EBEE019"/>
    <w:rsid w:val="4ECCE1A0"/>
    <w:rsid w:val="4EFF69AF"/>
    <w:rsid w:val="4F00F6A1"/>
    <w:rsid w:val="50FC985C"/>
    <w:rsid w:val="51C48402"/>
    <w:rsid w:val="52AEF09F"/>
    <w:rsid w:val="53167359"/>
    <w:rsid w:val="53687B92"/>
    <w:rsid w:val="54971A42"/>
    <w:rsid w:val="560B9D1A"/>
    <w:rsid w:val="56D53C97"/>
    <w:rsid w:val="58946A7C"/>
    <w:rsid w:val="58FBFCD5"/>
    <w:rsid w:val="593D05FF"/>
    <w:rsid w:val="59779590"/>
    <w:rsid w:val="5B4475B0"/>
    <w:rsid w:val="5B7242C9"/>
    <w:rsid w:val="5B9EDCAF"/>
    <w:rsid w:val="5BA189E6"/>
    <w:rsid w:val="5BB01F9A"/>
    <w:rsid w:val="5C1EEE60"/>
    <w:rsid w:val="5CCF43D8"/>
    <w:rsid w:val="5DCE5870"/>
    <w:rsid w:val="5EA4260F"/>
    <w:rsid w:val="5F2BAA2C"/>
    <w:rsid w:val="5F3362B9"/>
    <w:rsid w:val="5F39C98C"/>
    <w:rsid w:val="5FD98D51"/>
    <w:rsid w:val="6103F859"/>
    <w:rsid w:val="618BA420"/>
    <w:rsid w:val="619BFA0B"/>
    <w:rsid w:val="625E7E79"/>
    <w:rsid w:val="632434EA"/>
    <w:rsid w:val="63B5A683"/>
    <w:rsid w:val="63DD0F8F"/>
    <w:rsid w:val="63E1C770"/>
    <w:rsid w:val="655B7FC9"/>
    <w:rsid w:val="656880DA"/>
    <w:rsid w:val="66677BB5"/>
    <w:rsid w:val="66A6277F"/>
    <w:rsid w:val="6859255A"/>
    <w:rsid w:val="6916924D"/>
    <w:rsid w:val="69237640"/>
    <w:rsid w:val="6B941653"/>
    <w:rsid w:val="6BC80E96"/>
    <w:rsid w:val="6CB03CD3"/>
    <w:rsid w:val="6CDEACB2"/>
    <w:rsid w:val="6D783F1C"/>
    <w:rsid w:val="6D7E0DB2"/>
    <w:rsid w:val="6DBE7FED"/>
    <w:rsid w:val="6EED539F"/>
    <w:rsid w:val="6F06C61F"/>
    <w:rsid w:val="6F93B4EA"/>
    <w:rsid w:val="70095938"/>
    <w:rsid w:val="71B45321"/>
    <w:rsid w:val="71D57B79"/>
    <w:rsid w:val="72B6218B"/>
    <w:rsid w:val="72DC1778"/>
    <w:rsid w:val="72F1A142"/>
    <w:rsid w:val="731ADBB1"/>
    <w:rsid w:val="73523632"/>
    <w:rsid w:val="73DCA171"/>
    <w:rsid w:val="7422E6DA"/>
    <w:rsid w:val="745AA95F"/>
    <w:rsid w:val="74DB0150"/>
    <w:rsid w:val="74F1D45D"/>
    <w:rsid w:val="75C3F0A1"/>
    <w:rsid w:val="7625172E"/>
    <w:rsid w:val="7777BD59"/>
    <w:rsid w:val="77A26445"/>
    <w:rsid w:val="77ED901C"/>
    <w:rsid w:val="77F36EB0"/>
    <w:rsid w:val="78682DDF"/>
    <w:rsid w:val="7A0703AC"/>
    <w:rsid w:val="7A1BE32D"/>
    <w:rsid w:val="7A2522F7"/>
    <w:rsid w:val="7A52ADF2"/>
    <w:rsid w:val="7ACA6CC4"/>
    <w:rsid w:val="7AE8A8C7"/>
    <w:rsid w:val="7B2165C0"/>
    <w:rsid w:val="7B72A012"/>
    <w:rsid w:val="7CA04FA0"/>
    <w:rsid w:val="7CE30345"/>
    <w:rsid w:val="7CF58DCC"/>
    <w:rsid w:val="7FA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5F94B"/>
  <w15:chartTrackingRefBased/>
  <w15:docId w15:val="{BBD33152-2F12-4804-A6B6-3ED9903E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AB"/>
    <w:pPr>
      <w:spacing w:after="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499"/>
    <w:pPr>
      <w:keepNext/>
      <w:pBdr>
        <w:bottom w:val="single" w:sz="4" w:space="1" w:color="auto"/>
      </w:pBdr>
      <w:spacing w:before="400" w:after="20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499"/>
    <w:pPr>
      <w:keepNext/>
      <w:spacing w:before="400" w:after="20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2547F"/>
    <w:pPr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A1499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Text">
    <w:name w:val="Table - Text"/>
    <w:basedOn w:val="Normal"/>
    <w:qFormat/>
    <w:rsid w:val="006222B9"/>
    <w:pPr>
      <w:spacing w:before="60" w:after="60"/>
      <w:jc w:val="left"/>
    </w:pPr>
  </w:style>
  <w:style w:type="character" w:styleId="CommentReference">
    <w:name w:val="annotation reference"/>
    <w:uiPriority w:val="99"/>
    <w:semiHidden/>
    <w:rsid w:val="00DD6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623A"/>
    <w:rPr>
      <w:rFonts w:ascii="Times New Roman" w:eastAsia="Times New Roman" w:hAnsi="Times New Roman" w:cs="Times New Roman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3A"/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05DC2"/>
    <w:rPr>
      <w:b/>
      <w:bCs/>
    </w:rPr>
  </w:style>
  <w:style w:type="paragraph" w:customStyle="1" w:styleId="ReportCover-Title">
    <w:name w:val="Report Cover - Title"/>
    <w:basedOn w:val="Normal"/>
    <w:next w:val="Normal"/>
    <w:rsid w:val="00BE7532"/>
    <w:pPr>
      <w:pBdr>
        <w:bottom w:val="single" w:sz="8" w:space="1" w:color="auto"/>
      </w:pBdr>
      <w:spacing w:before="360" w:after="720" w:line="300" w:lineRule="atLeast"/>
      <w:ind w:left="2835" w:hanging="2835"/>
    </w:pPr>
    <w:rPr>
      <w:rFonts w:eastAsia="Times New Roman" w:cs="Times New Roman"/>
      <w:b/>
      <w:sz w:val="22"/>
    </w:rPr>
  </w:style>
  <w:style w:type="paragraph" w:customStyle="1" w:styleId="ReportCover-Heading">
    <w:name w:val="Report Cover - Heading"/>
    <w:basedOn w:val="Normal"/>
    <w:next w:val="Normal"/>
    <w:rsid w:val="00A364AA"/>
    <w:pPr>
      <w:pBdr>
        <w:bottom w:val="single" w:sz="4" w:space="1" w:color="auto"/>
      </w:pBdr>
      <w:spacing w:before="720" w:after="360"/>
      <w:jc w:val="left"/>
    </w:pPr>
    <w:rPr>
      <w:rFonts w:eastAsia="Times New Roman" w:cs="Times New Roman"/>
      <w:b/>
      <w:bCs/>
    </w:rPr>
  </w:style>
  <w:style w:type="paragraph" w:customStyle="1" w:styleId="Table-Heading">
    <w:name w:val="Table - Heading"/>
    <w:basedOn w:val="Table-Text"/>
    <w:next w:val="Table-Text"/>
    <w:qFormat/>
    <w:rsid w:val="000B2ED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A149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A1499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2547F"/>
    <w:rPr>
      <w:b/>
      <w:i/>
    </w:rPr>
  </w:style>
  <w:style w:type="paragraph" w:customStyle="1" w:styleId="NumberedParagraph">
    <w:name w:val="Numbered Paragraph"/>
    <w:basedOn w:val="Normal"/>
    <w:qFormat/>
    <w:rsid w:val="003113D3"/>
    <w:pPr>
      <w:numPr>
        <w:numId w:val="11"/>
      </w:numPr>
      <w:spacing w:after="200" w:line="240" w:lineRule="auto"/>
    </w:pPr>
    <w:rPr>
      <w:szCs w:val="23"/>
      <w:lang w:eastAsia="en-NZ"/>
    </w:rPr>
  </w:style>
  <w:style w:type="paragraph" w:customStyle="1" w:styleId="BulletedParagraphIndented">
    <w:name w:val="Bulleted Paragraph (Indented)"/>
    <w:basedOn w:val="Normal"/>
    <w:uiPriority w:val="1"/>
    <w:qFormat/>
    <w:rsid w:val="00AB0A89"/>
    <w:pPr>
      <w:numPr>
        <w:numId w:val="13"/>
      </w:numPr>
      <w:spacing w:after="200" w:line="240" w:lineRule="auto"/>
    </w:pPr>
    <w:rPr>
      <w:szCs w:val="23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2A1499"/>
    <w:rPr>
      <w:i/>
    </w:rPr>
  </w:style>
  <w:style w:type="paragraph" w:styleId="BodyText">
    <w:name w:val="Body Text"/>
    <w:basedOn w:val="Normal"/>
    <w:link w:val="BodyTextChar"/>
    <w:rsid w:val="005C6B70"/>
    <w:pPr>
      <w:spacing w:line="300" w:lineRule="exact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C6B70"/>
    <w:rPr>
      <w:rFonts w:ascii="Times New Roman" w:eastAsia="Times New Roman" w:hAnsi="Times New Roman" w:cs="Times New Roman"/>
      <w:sz w:val="24"/>
      <w:lang w:eastAsia="en-AU"/>
    </w:rPr>
  </w:style>
  <w:style w:type="table" w:styleId="TableGrid">
    <w:name w:val="Table Grid"/>
    <w:basedOn w:val="TableNormal"/>
    <w:rsid w:val="00387AEA"/>
    <w:pPr>
      <w:spacing w:before="60" w:after="60" w:line="240" w:lineRule="auto"/>
    </w:pPr>
    <w:rPr>
      <w:rFonts w:eastAsia="Times New Roman" w:cs="Times New Roman"/>
      <w:sz w:val="18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paragraph" w:customStyle="1" w:styleId="Recommendation">
    <w:name w:val="Recommendation"/>
    <w:basedOn w:val="Normal"/>
    <w:link w:val="RecommendationChar"/>
    <w:qFormat/>
    <w:rsid w:val="005C6B70"/>
    <w:pPr>
      <w:numPr>
        <w:numId w:val="14"/>
      </w:numPr>
      <w:spacing w:before="60" w:after="120" w:line="240" w:lineRule="auto"/>
      <w:jc w:val="left"/>
    </w:pPr>
    <w:rPr>
      <w:rFonts w:ascii="Arial" w:eastAsia="Times New Roman" w:hAnsi="Arial" w:cs="Arial"/>
      <w:b/>
      <w:sz w:val="22"/>
    </w:rPr>
  </w:style>
  <w:style w:type="character" w:customStyle="1" w:styleId="RecommendationChar">
    <w:name w:val="Recommendation Char"/>
    <w:basedOn w:val="DefaultParagraphFont"/>
    <w:link w:val="Recommendation"/>
    <w:rsid w:val="005C6B70"/>
    <w:rPr>
      <w:rFonts w:ascii="Arial" w:eastAsia="Times New Roman" w:hAnsi="Arial" w:cs="Arial"/>
      <w:b/>
      <w:sz w:val="22"/>
    </w:rPr>
  </w:style>
  <w:style w:type="paragraph" w:customStyle="1" w:styleId="StyleTable-Textindentednumbered">
    <w:name w:val="Style Table - Text (indented + numbered)"/>
    <w:basedOn w:val="Table-Text"/>
    <w:rsid w:val="006222B9"/>
    <w:pPr>
      <w:ind w:left="321" w:hanging="321"/>
    </w:pPr>
    <w:rPr>
      <w:rFonts w:eastAsia="Times New Roman" w:cs="Times New Roman"/>
      <w:sz w:val="18"/>
    </w:rPr>
  </w:style>
  <w:style w:type="paragraph" w:customStyle="1" w:styleId="StyleTable-TextIndented">
    <w:name w:val="Style Table - Text Indented"/>
    <w:basedOn w:val="Table-Text"/>
    <w:rsid w:val="006222B9"/>
    <w:pPr>
      <w:ind w:left="321" w:hanging="321"/>
    </w:pPr>
    <w:rPr>
      <w:rFonts w:eastAsia="Times New Roman" w:cs="Times New Roman"/>
      <w:sz w:val="18"/>
    </w:rPr>
  </w:style>
  <w:style w:type="character" w:styleId="IntenseEmphasis">
    <w:name w:val="Intense Emphasis"/>
    <w:basedOn w:val="DefaultParagraphFont"/>
    <w:uiPriority w:val="21"/>
    <w:qFormat/>
    <w:rsid w:val="008331C2"/>
    <w:rPr>
      <w:b/>
      <w:i/>
      <w:iCs/>
      <w:color w:val="auto"/>
    </w:rPr>
  </w:style>
  <w:style w:type="paragraph" w:customStyle="1" w:styleId="Example-Text">
    <w:name w:val="Example - Text"/>
    <w:basedOn w:val="Normal"/>
    <w:qFormat/>
    <w:rsid w:val="009D3D77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after="90"/>
    </w:pPr>
    <w:rPr>
      <w:sz w:val="18"/>
    </w:rPr>
  </w:style>
  <w:style w:type="paragraph" w:customStyle="1" w:styleId="Example-Heading1">
    <w:name w:val="Example - Heading 1"/>
    <w:basedOn w:val="Example-Text"/>
    <w:qFormat/>
    <w:rsid w:val="009D3D77"/>
    <w:pPr>
      <w:spacing w:after="180"/>
    </w:pPr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425E5D"/>
    <w:pPr>
      <w:spacing w:after="200" w:line="240" w:lineRule="auto"/>
      <w:jc w:val="left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013"/>
    <w:pPr>
      <w:tabs>
        <w:tab w:val="center" w:pos="4513"/>
        <w:tab w:val="right" w:pos="9026"/>
      </w:tabs>
      <w:spacing w:line="240" w:lineRule="auto"/>
    </w:pPr>
    <w:rPr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D0013"/>
    <w:rPr>
      <w:b/>
      <w:sz w:val="16"/>
    </w:rPr>
  </w:style>
  <w:style w:type="paragraph" w:styleId="Footer">
    <w:name w:val="footer"/>
    <w:basedOn w:val="Normal"/>
    <w:link w:val="FooterChar"/>
    <w:uiPriority w:val="99"/>
    <w:unhideWhenUsed/>
    <w:rsid w:val="00E331E1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331E1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F04"/>
    <w:pPr>
      <w:spacing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F04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D4F0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DD4F04"/>
    <w:pPr>
      <w:spacing w:after="200"/>
      <w:ind w:left="851" w:right="851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DD4F04"/>
    <w:rPr>
      <w:iCs/>
    </w:rPr>
  </w:style>
  <w:style w:type="paragraph" w:customStyle="1" w:styleId="Quote-Italics">
    <w:name w:val="Quote - Italics"/>
    <w:basedOn w:val="Quote"/>
    <w:qFormat/>
    <w:rsid w:val="00DD4F04"/>
    <w:rPr>
      <w:i/>
    </w:rPr>
  </w:style>
  <w:style w:type="paragraph" w:customStyle="1" w:styleId="Decision">
    <w:name w:val="Decision"/>
    <w:basedOn w:val="Normal"/>
    <w:rsid w:val="00FE18D5"/>
    <w:pPr>
      <w:tabs>
        <w:tab w:val="left" w:pos="5670"/>
      </w:tabs>
      <w:spacing w:after="200"/>
      <w:ind w:left="709"/>
    </w:pPr>
    <w:rPr>
      <w:rFonts w:eastAsia="Times New Roman" w:cs="Times New Roman"/>
    </w:rPr>
  </w:style>
  <w:style w:type="paragraph" w:customStyle="1" w:styleId="Table-Recommendations">
    <w:name w:val="Table - Recommendations"/>
    <w:basedOn w:val="Table-Text"/>
    <w:rsid w:val="00247909"/>
    <w:pPr>
      <w:ind w:left="604" w:hanging="604"/>
    </w:pPr>
    <w:rPr>
      <w:rFonts w:eastAsia="Times New Roman" w:cs="Times New Roman"/>
      <w:sz w:val="18"/>
    </w:rPr>
  </w:style>
  <w:style w:type="paragraph" w:customStyle="1" w:styleId="PAS-Groupname">
    <w:name w:val="PAS - Group name"/>
    <w:basedOn w:val="Normal"/>
    <w:rsid w:val="00B73500"/>
    <w:pPr>
      <w:spacing w:before="240" w:after="480"/>
      <w:jc w:val="center"/>
    </w:pPr>
    <w:rPr>
      <w:rFonts w:eastAsia="Times New Roman" w:cs="Times New Roman"/>
      <w:b/>
      <w:bCs/>
      <w:sz w:val="24"/>
    </w:rPr>
  </w:style>
  <w:style w:type="paragraph" w:customStyle="1" w:styleId="PAS-Groupname-Joint">
    <w:name w:val="PAS - Group name - Joint"/>
    <w:basedOn w:val="Normal"/>
    <w:rsid w:val="003D64BA"/>
    <w:pPr>
      <w:spacing w:before="120" w:after="1200"/>
    </w:pPr>
    <w:rPr>
      <w:rFonts w:eastAsia="Times New Roman" w:cs="Times New Roman"/>
    </w:rPr>
  </w:style>
  <w:style w:type="paragraph" w:customStyle="1" w:styleId="Example-Heading2">
    <w:name w:val="Example - Heading 2"/>
    <w:basedOn w:val="Example-Heading1"/>
    <w:qFormat/>
    <w:rsid w:val="00891517"/>
    <w:pPr>
      <w:spacing w:after="90"/>
    </w:pPr>
    <w:rPr>
      <w:i/>
    </w:rPr>
  </w:style>
  <w:style w:type="paragraph" w:customStyle="1" w:styleId="StyleTable-Heading-Centered">
    <w:name w:val="Style Table - Heading - Centered"/>
    <w:basedOn w:val="Table-Heading"/>
    <w:rsid w:val="00C05FE0"/>
    <w:pPr>
      <w:jc w:val="center"/>
    </w:pPr>
    <w:rPr>
      <w:rFonts w:eastAsia="Times New Roman" w:cs="Times New Roman"/>
      <w:bCs/>
      <w:sz w:val="18"/>
    </w:rPr>
  </w:style>
  <w:style w:type="paragraph" w:customStyle="1" w:styleId="StyleTable-TextRightalignedBold">
    <w:name w:val="Style Table - Text + Right aligned + Bold"/>
    <w:basedOn w:val="Table-Text"/>
    <w:rsid w:val="00C05FE0"/>
    <w:pPr>
      <w:ind w:right="96"/>
      <w:jc w:val="right"/>
    </w:pPr>
    <w:rPr>
      <w:rFonts w:eastAsia="Times New Roman" w:cs="Times New Roman"/>
      <w:b/>
      <w:bCs/>
      <w:sz w:val="18"/>
    </w:rPr>
  </w:style>
  <w:style w:type="paragraph" w:customStyle="1" w:styleId="StyleTable-TextCentered">
    <w:name w:val="Style Table - Text + Centered"/>
    <w:basedOn w:val="Table-Text"/>
    <w:rsid w:val="00C05FE0"/>
    <w:pPr>
      <w:jc w:val="center"/>
    </w:pPr>
    <w:rPr>
      <w:rFonts w:eastAsia="Times New Roman" w:cs="Times New Roman"/>
      <w:sz w:val="18"/>
    </w:rPr>
  </w:style>
  <w:style w:type="character" w:styleId="PlaceholderText">
    <w:name w:val="Placeholder Text"/>
    <w:basedOn w:val="DefaultParagraphFont"/>
    <w:uiPriority w:val="99"/>
    <w:semiHidden/>
    <w:rsid w:val="00DC52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5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A59DC"/>
    <w:rPr>
      <w:color w:val="808080"/>
      <w:shd w:val="clear" w:color="auto" w:fill="E6E6E6"/>
    </w:rPr>
  </w:style>
  <w:style w:type="character" w:customStyle="1" w:styleId="Citation-Title">
    <w:name w:val="Citation - Title"/>
    <w:basedOn w:val="DefaultParagraphFont"/>
    <w:uiPriority w:val="1"/>
    <w:qFormat/>
    <w:rsid w:val="00901BF8"/>
    <w:rPr>
      <w:i/>
    </w:rPr>
  </w:style>
  <w:style w:type="paragraph" w:customStyle="1" w:styleId="Example-Figure">
    <w:name w:val="Example - Figure"/>
    <w:basedOn w:val="Example-Text"/>
    <w:rsid w:val="005C6DE1"/>
    <w:pPr>
      <w:jc w:val="center"/>
    </w:pPr>
    <w:rPr>
      <w:rFonts w:eastAsia="Times New Roman" w:cs="Times New Roman"/>
    </w:rPr>
  </w:style>
  <w:style w:type="paragraph" w:customStyle="1" w:styleId="Report-Title">
    <w:name w:val="Report - Title"/>
    <w:basedOn w:val="ReportCover-Title"/>
    <w:rsid w:val="0057705A"/>
    <w:pPr>
      <w:ind w:left="0" w:firstLine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45B"/>
    <w:pPr>
      <w:spacing w:line="240" w:lineRule="auto"/>
    </w:pPr>
    <w:rPr>
      <w:rFonts w:ascii="Verdana" w:eastAsiaTheme="minorHAnsi" w:hAnsi="Verdana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45B"/>
    <w:rPr>
      <w:rFonts w:ascii="Times New Roman" w:eastAsia="Times New Roman" w:hAnsi="Times New Roman" w:cs="Times New Roman"/>
      <w:b/>
      <w:bCs/>
      <w:szCs w:val="20"/>
      <w:lang w:eastAsia="en-AU"/>
    </w:rPr>
  </w:style>
  <w:style w:type="character" w:styleId="Mention">
    <w:name w:val="Mention"/>
    <w:basedOn w:val="DefaultParagraphFont"/>
    <w:uiPriority w:val="99"/>
    <w:unhideWhenUsed/>
    <w:rsid w:val="004F5BB6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41BA"/>
    <w:pPr>
      <w:spacing w:line="240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character" w:customStyle="1" w:styleId="eop">
    <w:name w:val="eop"/>
    <w:basedOn w:val="DefaultParagraphFont"/>
    <w:rsid w:val="0016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02A2A4647440BD84C7C593D639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1D46-C5AB-43EE-8A8F-50E902D15627}"/>
      </w:docPartPr>
      <w:docPartBody>
        <w:p w:rsidR="00EC36C0" w:rsidRDefault="00A132B3">
          <w:pPr>
            <w:pStyle w:val="2102A2A4647440BD84C7C593D639FB8C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</w:t>
          </w:r>
          <w:r w:rsidRPr="0073335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security classification</w:t>
          </w:r>
          <w:r w:rsidRPr="00733356">
            <w:rPr>
              <w:rStyle w:val="PlaceholderText"/>
            </w:rPr>
            <w:t>]</w:t>
          </w:r>
        </w:p>
      </w:docPartBody>
    </w:docPart>
    <w:docPart>
      <w:docPartPr>
        <w:name w:val="EBB70FE133684A149C5CADF6988A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BCE7-E58C-4644-BE53-BED049BAFB43}"/>
      </w:docPartPr>
      <w:docPartBody>
        <w:p w:rsidR="00B5449F" w:rsidRDefault="00A132B3">
          <w:pPr>
            <w:pStyle w:val="EBB70FE133684A149C5CADF6988ACB24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 a report priority</w:t>
          </w:r>
          <w:r w:rsidRPr="00733356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C0"/>
    <w:rsid w:val="000F574F"/>
    <w:rsid w:val="00100CFC"/>
    <w:rsid w:val="00124FBE"/>
    <w:rsid w:val="00131F54"/>
    <w:rsid w:val="001D5528"/>
    <w:rsid w:val="00266A32"/>
    <w:rsid w:val="00477189"/>
    <w:rsid w:val="00567D9F"/>
    <w:rsid w:val="0059413F"/>
    <w:rsid w:val="005C5A70"/>
    <w:rsid w:val="006B76B8"/>
    <w:rsid w:val="006C451D"/>
    <w:rsid w:val="008055BF"/>
    <w:rsid w:val="009C1B90"/>
    <w:rsid w:val="00A132B3"/>
    <w:rsid w:val="00B452F8"/>
    <w:rsid w:val="00B5449F"/>
    <w:rsid w:val="00CA7B6C"/>
    <w:rsid w:val="00EB207C"/>
    <w:rsid w:val="00EC36C0"/>
    <w:rsid w:val="00E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02A2A4647440BD84C7C593D639FB8C">
    <w:name w:val="2102A2A4647440BD84C7C593D639FB8C"/>
  </w:style>
  <w:style w:type="paragraph" w:customStyle="1" w:styleId="EBB70FE133684A149C5CADF6988ACB24">
    <w:name w:val="EBB70FE133684A149C5CADF6988AC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IR2021/415 – Policy report: Extending the tax due date on 28 October 2021 to 4 November 2021 (27 September 2021)</vt:lpstr>
      <vt:lpstr>    Background</vt:lpstr>
      <vt:lpstr>    Administrative implications</vt:lpstr>
      <vt:lpstr>    Fiscal implications</vt:lpstr>
      <vt:lpstr>    Consultation</vt:lpstr>
      <vt:lpstr>    Next steps</vt:lpstr>
      <vt:lpstr>Recommended action</vt:lpstr>
    </vt:vector>
  </TitlesOfParts>
  <Company>Inland Revenue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IR2021/415 – Policy report: Extending the tax due date on 28 October 2021 to 4 November 2021 (27 September 2021)</dc:title>
  <dc:subject/>
  <dc:creator>Policy and Regulatory Stewardship</dc:creator>
  <cp:keywords/>
  <dc:description/>
  <dcterms:created xsi:type="dcterms:W3CDTF">2021-12-13T01:33:00Z</dcterms:created>
  <dcterms:modified xsi:type="dcterms:W3CDTF">2021-12-13T01:33:00Z</dcterms:modified>
</cp:coreProperties>
</file>