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43C0E595" w:rsidR="00EF50FD" w:rsidRPr="00A864A5" w:rsidRDefault="00EF50FD" w:rsidP="00EF50FD">
      <w:pPr>
        <w:pStyle w:val="Heading1"/>
        <w:spacing w:before="0" w:after="120" w:line="276" w:lineRule="auto"/>
        <w:rPr>
          <w:color w:val="0082AB"/>
          <w:lang w:val="en-NZ"/>
        </w:rPr>
      </w:pPr>
      <w:r w:rsidRPr="00A864A5">
        <w:rPr>
          <w:color w:val="0082AB"/>
          <w:lang w:val="en-NZ"/>
        </w:rPr>
        <w:t xml:space="preserve">Regulatory Impact Statement: </w:t>
      </w:r>
      <w:r w:rsidR="003434AA">
        <w:rPr>
          <w:color w:val="0082AB"/>
          <w:lang w:val="en-NZ"/>
        </w:rPr>
        <w:t xml:space="preserve">April 2022 Working for Families </w:t>
      </w:r>
      <w:r w:rsidR="00A025EF">
        <w:rPr>
          <w:color w:val="0082AB"/>
          <w:lang w:val="en-NZ"/>
        </w:rPr>
        <w:t>changes</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5003"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973"/>
        <w:gridCol w:w="6092"/>
      </w:tblGrid>
      <w:tr w:rsidR="00F1057B" w:rsidRPr="00A864A5" w14:paraId="24CAC5A8" w14:textId="77777777" w:rsidTr="71CB5FC2">
        <w:tc>
          <w:tcPr>
            <w:tcW w:w="5000" w:type="pct"/>
            <w:gridSpan w:val="2"/>
            <w:tcBorders>
              <w:bottom w:val="single" w:sz="4" w:space="0" w:color="DDDDDD"/>
            </w:tcBorders>
            <w:shd w:val="clear" w:color="auto" w:fill="99CDDD"/>
            <w:hideMark/>
          </w:tcPr>
          <w:p w14:paraId="3273EFFF" w14:textId="48C848C9" w:rsidR="001F29E6" w:rsidRPr="00A864A5" w:rsidRDefault="001F29E6" w:rsidP="0076799E">
            <w:pPr>
              <w:pStyle w:val="TableHeadings"/>
              <w:rPr>
                <w:color w:val="002060"/>
                <w:szCs w:val="22"/>
                <w:lang w:val="en-NZ"/>
              </w:rPr>
            </w:pPr>
            <w:r w:rsidRPr="00A864A5">
              <w:rPr>
                <w:szCs w:val="22"/>
                <w:lang w:val="en-NZ"/>
              </w:rPr>
              <w:t>Purpose</w:t>
            </w:r>
            <w:r w:rsidR="002C0E77">
              <w:rPr>
                <w:szCs w:val="22"/>
                <w:lang w:val="en-NZ"/>
              </w:rPr>
              <w:t xml:space="preserve"> of Document</w:t>
            </w:r>
          </w:p>
        </w:tc>
      </w:tr>
      <w:tr w:rsidR="00791162" w:rsidRPr="00A864A5" w14:paraId="24C44C49" w14:textId="77777777" w:rsidTr="71CB5FC2">
        <w:trPr>
          <w:trHeight w:val="414"/>
        </w:trPr>
        <w:tc>
          <w:tcPr>
            <w:tcW w:w="1640" w:type="pct"/>
            <w:tcBorders>
              <w:top w:val="nil"/>
            </w:tcBorders>
            <w:shd w:val="clear" w:color="auto" w:fill="EBF5F8"/>
          </w:tcPr>
          <w:p w14:paraId="120D8478" w14:textId="731F9FCE" w:rsidR="001F29E6" w:rsidRPr="00A864A5" w:rsidRDefault="001F29E6" w:rsidP="0076799E">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360" w:type="pct"/>
            <w:tcBorders>
              <w:top w:val="nil"/>
            </w:tcBorders>
            <w:shd w:val="clear" w:color="auto" w:fill="auto"/>
          </w:tcPr>
          <w:p w14:paraId="2B9F992E" w14:textId="783DDE73" w:rsidR="001F29E6" w:rsidRPr="000D4A37" w:rsidRDefault="00263CF7" w:rsidP="0076799E">
            <w:pPr>
              <w:rPr>
                <w:rFonts w:cs="Arial"/>
                <w:iCs/>
                <w:color w:val="000000"/>
                <w:szCs w:val="22"/>
                <w:lang w:val="en-NZ"/>
              </w:rPr>
            </w:pPr>
            <w:r w:rsidRPr="000D4A37">
              <w:rPr>
                <w:rFonts w:cs="Arial"/>
                <w:iCs/>
                <w:color w:val="000000"/>
                <w:szCs w:val="22"/>
                <w:lang w:val="en-NZ"/>
              </w:rPr>
              <w:t>A</w:t>
            </w:r>
            <w:r w:rsidR="00DE63FC" w:rsidRPr="000D4A37">
              <w:rPr>
                <w:rFonts w:cs="Arial"/>
                <w:iCs/>
                <w:color w:val="000000"/>
                <w:szCs w:val="22"/>
                <w:lang w:val="en-NZ"/>
              </w:rPr>
              <w:t>nalysis produced for the purpose of informing</w:t>
            </w:r>
            <w:r w:rsidR="00693232" w:rsidRPr="000D4A37">
              <w:rPr>
                <w:rFonts w:cs="Arial"/>
                <w:iCs/>
                <w:color w:val="000000"/>
                <w:szCs w:val="22"/>
                <w:lang w:val="en-NZ"/>
              </w:rPr>
              <w:t>:</w:t>
            </w:r>
            <w:r w:rsidR="00DE63FC" w:rsidRPr="000D4A37">
              <w:rPr>
                <w:rFonts w:cs="Arial"/>
                <w:iCs/>
                <w:color w:val="000000"/>
                <w:szCs w:val="22"/>
                <w:lang w:val="en-NZ"/>
              </w:rPr>
              <w:t xml:space="preserve"> final Cabinet decisions</w:t>
            </w:r>
          </w:p>
        </w:tc>
      </w:tr>
      <w:tr w:rsidR="00791162" w:rsidRPr="00A864A5" w14:paraId="2895A1B0" w14:textId="77777777" w:rsidTr="71CB5FC2">
        <w:trPr>
          <w:trHeight w:val="506"/>
        </w:trPr>
        <w:tc>
          <w:tcPr>
            <w:tcW w:w="1640" w:type="pct"/>
            <w:tcBorders>
              <w:top w:val="nil"/>
            </w:tcBorders>
            <w:shd w:val="clear" w:color="auto" w:fill="EBF5F8"/>
          </w:tcPr>
          <w:p w14:paraId="19AF4671" w14:textId="697D59E7" w:rsidR="001F29E6" w:rsidRPr="00A864A5" w:rsidRDefault="002C0E77" w:rsidP="0076799E">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360" w:type="pct"/>
            <w:tcBorders>
              <w:top w:val="nil"/>
            </w:tcBorders>
            <w:shd w:val="clear" w:color="auto" w:fill="auto"/>
          </w:tcPr>
          <w:p w14:paraId="742E202F" w14:textId="4B0D5BC5" w:rsidR="001F29E6" w:rsidRPr="000D4A37" w:rsidRDefault="00A4571B" w:rsidP="0076799E">
            <w:pPr>
              <w:rPr>
                <w:rFonts w:cs="Arial"/>
                <w:iCs/>
                <w:color w:val="000000"/>
                <w:szCs w:val="22"/>
                <w:lang w:val="en-NZ"/>
              </w:rPr>
            </w:pPr>
            <w:r w:rsidRPr="000D4A37">
              <w:rPr>
                <w:rFonts w:cs="Arial"/>
                <w:iCs/>
                <w:color w:val="000000"/>
                <w:szCs w:val="22"/>
                <w:lang w:val="en-NZ"/>
              </w:rPr>
              <w:t>Inland Revenue, Ministry of Social Development, The Treasury, The Department of Prime Minister and Cabinet</w:t>
            </w:r>
          </w:p>
        </w:tc>
      </w:tr>
      <w:tr w:rsidR="00791162" w:rsidRPr="00A864A5" w14:paraId="568C5BEC" w14:textId="77777777" w:rsidTr="71CB5FC2">
        <w:trPr>
          <w:trHeight w:val="317"/>
        </w:trPr>
        <w:tc>
          <w:tcPr>
            <w:tcW w:w="1640" w:type="pct"/>
            <w:tcBorders>
              <w:top w:val="nil"/>
            </w:tcBorders>
            <w:shd w:val="clear" w:color="auto" w:fill="EBF5F8"/>
          </w:tcPr>
          <w:p w14:paraId="0F68A519" w14:textId="4F678206" w:rsidR="001F29E6" w:rsidRPr="00A864A5" w:rsidRDefault="001F29E6" w:rsidP="0076799E">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360" w:type="pct"/>
            <w:tcBorders>
              <w:top w:val="nil"/>
            </w:tcBorders>
            <w:shd w:val="clear" w:color="auto" w:fill="auto"/>
          </w:tcPr>
          <w:p w14:paraId="3C92607C" w14:textId="27DFA894" w:rsidR="001F29E6" w:rsidRPr="000D4A37" w:rsidRDefault="00831A22" w:rsidP="0076799E">
            <w:pPr>
              <w:rPr>
                <w:rFonts w:cs="Arial"/>
                <w:iCs/>
                <w:color w:val="000000"/>
                <w:szCs w:val="22"/>
                <w:lang w:val="en-NZ"/>
              </w:rPr>
            </w:pPr>
            <w:r w:rsidRPr="00831A22">
              <w:rPr>
                <w:rFonts w:cs="Arial"/>
                <w:iCs/>
                <w:color w:val="000000"/>
                <w:szCs w:val="22"/>
                <w:lang w:val="en-NZ"/>
              </w:rPr>
              <w:t>The Minister for Child Poverty Reduction and the Minister for Social Development and Employment</w:t>
            </w:r>
          </w:p>
        </w:tc>
      </w:tr>
      <w:tr w:rsidR="00791162" w:rsidRPr="00A864A5" w14:paraId="73C7C7FD" w14:textId="77777777" w:rsidTr="71CB5FC2">
        <w:trPr>
          <w:trHeight w:val="202"/>
        </w:trPr>
        <w:tc>
          <w:tcPr>
            <w:tcW w:w="1640" w:type="pct"/>
            <w:tcBorders>
              <w:top w:val="nil"/>
            </w:tcBorders>
            <w:shd w:val="clear" w:color="auto" w:fill="EBF5F8"/>
          </w:tcPr>
          <w:p w14:paraId="5B57759D" w14:textId="6F936C83" w:rsidR="00C11B3B" w:rsidRPr="00A864A5" w:rsidRDefault="00C11B3B" w:rsidP="0076799E">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360" w:type="pct"/>
            <w:tcBorders>
              <w:top w:val="nil"/>
            </w:tcBorders>
            <w:shd w:val="clear" w:color="auto" w:fill="auto"/>
          </w:tcPr>
          <w:p w14:paraId="4547EFD0" w14:textId="18BC0A6F" w:rsidR="00C11B3B" w:rsidRPr="000D4A37" w:rsidRDefault="003F5077" w:rsidP="0076799E">
            <w:pPr>
              <w:rPr>
                <w:rFonts w:cs="Arial"/>
                <w:iCs/>
                <w:color w:val="000000"/>
                <w:szCs w:val="22"/>
                <w:lang w:val="en-NZ"/>
              </w:rPr>
            </w:pPr>
            <w:r w:rsidRPr="000D4A37">
              <w:rPr>
                <w:rFonts w:cs="Arial"/>
                <w:iCs/>
                <w:color w:val="000000"/>
                <w:szCs w:val="22"/>
                <w:lang w:val="en-NZ"/>
              </w:rPr>
              <w:t>28/10/2021</w:t>
            </w:r>
          </w:p>
        </w:tc>
      </w:tr>
      <w:tr w:rsidR="00F1057B" w:rsidRPr="00A864A5" w14:paraId="7F643A0E" w14:textId="77777777" w:rsidTr="71CB5FC2">
        <w:tc>
          <w:tcPr>
            <w:tcW w:w="5000" w:type="pct"/>
            <w:gridSpan w:val="2"/>
            <w:tcBorders>
              <w:bottom w:val="single" w:sz="4" w:space="0" w:color="DDDDDD"/>
            </w:tcBorders>
            <w:shd w:val="clear" w:color="auto" w:fill="99CDDD"/>
            <w:hideMark/>
          </w:tcPr>
          <w:p w14:paraId="7F446F06" w14:textId="570ED786" w:rsidR="0079435C" w:rsidRPr="00A864A5" w:rsidRDefault="0079435C" w:rsidP="0076799E">
            <w:pPr>
              <w:pStyle w:val="TableHeadings"/>
              <w:rPr>
                <w:color w:val="002060"/>
                <w:szCs w:val="22"/>
                <w:lang w:val="en-NZ"/>
              </w:rPr>
            </w:pPr>
            <w:r w:rsidRPr="00A864A5">
              <w:rPr>
                <w:szCs w:val="22"/>
                <w:lang w:val="en-NZ"/>
              </w:rPr>
              <w:t>Problem Definition</w:t>
            </w:r>
          </w:p>
        </w:tc>
      </w:tr>
      <w:tr w:rsidR="005A2BE8" w:rsidRPr="00A864A5" w14:paraId="058C86B2" w14:textId="77777777" w:rsidTr="71CB5FC2">
        <w:trPr>
          <w:trHeight w:val="824"/>
        </w:trPr>
        <w:tc>
          <w:tcPr>
            <w:tcW w:w="5000" w:type="pct"/>
            <w:gridSpan w:val="2"/>
            <w:tcBorders>
              <w:top w:val="nil"/>
            </w:tcBorders>
            <w:shd w:val="clear" w:color="auto" w:fill="auto"/>
          </w:tcPr>
          <w:p w14:paraId="4EBB6131" w14:textId="31CCD597" w:rsidR="0079435C" w:rsidRPr="00D45E22" w:rsidRDefault="00AC6986" w:rsidP="0017041C">
            <w:pPr>
              <w:rPr>
                <w:rFonts w:cs="Arial"/>
                <w:szCs w:val="22"/>
                <w:lang w:val="en-NZ"/>
              </w:rPr>
            </w:pPr>
            <w:r w:rsidRPr="00AC6986">
              <w:rPr>
                <w:rFonts w:cs="Arial"/>
                <w:lang w:val="en-NZ"/>
              </w:rPr>
              <w:t xml:space="preserve">The Government is reviewing </w:t>
            </w:r>
            <w:r w:rsidR="00A1319F">
              <w:rPr>
                <w:rFonts w:cs="Arial"/>
                <w:lang w:val="en-NZ"/>
              </w:rPr>
              <w:t xml:space="preserve">the </w:t>
            </w:r>
            <w:r w:rsidRPr="00AC6986">
              <w:rPr>
                <w:rFonts w:cs="Arial"/>
                <w:lang w:val="en-NZ"/>
              </w:rPr>
              <w:t xml:space="preserve">Working for Families </w:t>
            </w:r>
            <w:r w:rsidR="00A1319F">
              <w:rPr>
                <w:rFonts w:cs="Arial"/>
                <w:lang w:val="en-NZ"/>
              </w:rPr>
              <w:t xml:space="preserve">scheme </w:t>
            </w:r>
            <w:r w:rsidRPr="00AC6986">
              <w:rPr>
                <w:rFonts w:cs="Arial"/>
                <w:lang w:val="en-NZ"/>
              </w:rPr>
              <w:t>in response to recommendations f</w:t>
            </w:r>
            <w:r w:rsidR="00D470BE">
              <w:rPr>
                <w:rFonts w:cs="Arial"/>
                <w:lang w:val="en-NZ"/>
              </w:rPr>
              <w:t>rom</w:t>
            </w:r>
            <w:r w:rsidRPr="00AC6986">
              <w:rPr>
                <w:rFonts w:cs="Arial"/>
                <w:lang w:val="en-NZ"/>
              </w:rPr>
              <w:t xml:space="preserve"> the Welfare Expert Advisory Group (WEAG). Phase one of </w:t>
            </w:r>
            <w:r w:rsidR="007F67AA">
              <w:rPr>
                <w:rFonts w:cs="Arial"/>
                <w:lang w:val="en-NZ"/>
              </w:rPr>
              <w:t>the review</w:t>
            </w:r>
            <w:r w:rsidRPr="00AC6986">
              <w:rPr>
                <w:rFonts w:cs="Arial"/>
                <w:lang w:val="en-NZ"/>
              </w:rPr>
              <w:t xml:space="preserve"> has considered a redistributive package of changes through Budget 2022 to provide further support to low-income families and contribute toward the Government’s child poverty reduction targets</w:t>
            </w:r>
            <w:r w:rsidR="00D470BE">
              <w:rPr>
                <w:rFonts w:cs="Arial"/>
                <w:lang w:val="en-NZ"/>
              </w:rPr>
              <w:t>.</w:t>
            </w:r>
            <w:r w:rsidR="0079435C">
              <w:tab/>
            </w:r>
          </w:p>
        </w:tc>
      </w:tr>
      <w:tr w:rsidR="00F1057B" w:rsidRPr="00A864A5" w14:paraId="7CED8916" w14:textId="77777777" w:rsidTr="71CB5FC2">
        <w:tc>
          <w:tcPr>
            <w:tcW w:w="5000" w:type="pct"/>
            <w:gridSpan w:val="2"/>
            <w:tcBorders>
              <w:bottom w:val="single" w:sz="4" w:space="0" w:color="DDDDDD"/>
            </w:tcBorders>
            <w:shd w:val="clear" w:color="auto" w:fill="99CDDD"/>
            <w:hideMark/>
          </w:tcPr>
          <w:p w14:paraId="163B530B" w14:textId="0ACEE607" w:rsidR="00C93549" w:rsidRPr="00A864A5" w:rsidRDefault="00063943" w:rsidP="0076799E">
            <w:pPr>
              <w:pStyle w:val="TableHeadings"/>
              <w:rPr>
                <w:color w:val="002060"/>
                <w:szCs w:val="22"/>
                <w:lang w:val="en-NZ"/>
              </w:rPr>
            </w:pPr>
            <w:r w:rsidRPr="00A864A5">
              <w:rPr>
                <w:szCs w:val="22"/>
                <w:lang w:val="en-NZ"/>
              </w:rPr>
              <w:t>Exe</w:t>
            </w:r>
            <w:r w:rsidR="0079435C" w:rsidRPr="00A864A5">
              <w:rPr>
                <w:szCs w:val="22"/>
                <w:lang w:val="en-NZ"/>
              </w:rPr>
              <w:t>cutive Summary</w:t>
            </w:r>
          </w:p>
        </w:tc>
      </w:tr>
      <w:tr w:rsidR="00FB114B" w:rsidRPr="00A864A5" w14:paraId="6B25993E" w14:textId="77777777" w:rsidTr="00A05D58">
        <w:trPr>
          <w:trHeight w:val="944"/>
        </w:trPr>
        <w:tc>
          <w:tcPr>
            <w:tcW w:w="5000" w:type="pct"/>
            <w:gridSpan w:val="2"/>
            <w:tcBorders>
              <w:top w:val="nil"/>
            </w:tcBorders>
            <w:shd w:val="clear" w:color="auto" w:fill="auto"/>
          </w:tcPr>
          <w:p w14:paraId="0E73500E" w14:textId="375D0948" w:rsidR="004A35C0" w:rsidRPr="000D4A37" w:rsidRDefault="004A35C0" w:rsidP="009649F7">
            <w:pPr>
              <w:rPr>
                <w:b/>
                <w:bCs/>
                <w:lang w:val="en-NZ"/>
              </w:rPr>
            </w:pPr>
            <w:r w:rsidRPr="000D4A37">
              <w:rPr>
                <w:b/>
                <w:bCs/>
                <w:lang w:val="en-NZ"/>
              </w:rPr>
              <w:t>Overview</w:t>
            </w:r>
            <w:r>
              <w:rPr>
                <w:b/>
                <w:bCs/>
                <w:lang w:val="en-NZ"/>
              </w:rPr>
              <w:t xml:space="preserve"> of </w:t>
            </w:r>
            <w:r w:rsidR="002F156E">
              <w:rPr>
                <w:b/>
                <w:bCs/>
                <w:lang w:val="en-NZ"/>
              </w:rPr>
              <w:t>proposals discussed</w:t>
            </w:r>
          </w:p>
          <w:p w14:paraId="6302F3BD" w14:textId="25429988" w:rsidR="004A35C0" w:rsidRPr="000D4A37" w:rsidRDefault="004A35C0" w:rsidP="009649F7">
            <w:pPr>
              <w:rPr>
                <w:b/>
                <w:bCs/>
                <w:i/>
                <w:iCs/>
                <w:lang w:val="en-NZ"/>
              </w:rPr>
            </w:pPr>
            <w:r w:rsidRPr="000D4A37">
              <w:rPr>
                <w:b/>
                <w:bCs/>
                <w:i/>
                <w:iCs/>
                <w:lang w:val="en-NZ"/>
              </w:rPr>
              <w:t xml:space="preserve">Options </w:t>
            </w:r>
            <w:r w:rsidR="002F156E">
              <w:rPr>
                <w:b/>
                <w:bCs/>
                <w:i/>
                <w:iCs/>
                <w:lang w:val="en-NZ"/>
              </w:rPr>
              <w:t>for</w:t>
            </w:r>
            <w:r w:rsidRPr="000D4A37">
              <w:rPr>
                <w:b/>
                <w:bCs/>
                <w:i/>
                <w:iCs/>
                <w:lang w:val="en-NZ"/>
              </w:rPr>
              <w:t xml:space="preserve"> phase one of the WFF review</w:t>
            </w:r>
          </w:p>
          <w:p w14:paraId="75D4B459" w14:textId="56093CB7" w:rsidR="008235E4" w:rsidRDefault="002F156E" w:rsidP="009649F7">
            <w:pPr>
              <w:rPr>
                <w:szCs w:val="22"/>
              </w:rPr>
            </w:pPr>
            <w:r>
              <w:rPr>
                <w:lang w:val="en-NZ"/>
              </w:rPr>
              <w:t>The proposed options for</w:t>
            </w:r>
            <w:r w:rsidR="007E2B0A">
              <w:rPr>
                <w:lang w:val="en-NZ"/>
              </w:rPr>
              <w:t xml:space="preserve"> phase one of the Working for Families (WFF) review</w:t>
            </w:r>
            <w:r>
              <w:rPr>
                <w:lang w:val="en-NZ"/>
              </w:rPr>
              <w:t xml:space="preserve"> are discussed in this Regulatory Impact Statement (RIS)</w:t>
            </w:r>
            <w:r w:rsidR="007E2B0A">
              <w:rPr>
                <w:lang w:val="en-NZ"/>
              </w:rPr>
              <w:t xml:space="preserve">. </w:t>
            </w:r>
            <w:r w:rsidR="001C230B">
              <w:rPr>
                <w:lang w:val="en-NZ"/>
              </w:rPr>
              <w:t>These consist of</w:t>
            </w:r>
            <w:r w:rsidR="007E2B0A" w:rsidRPr="00A473C8">
              <w:rPr>
                <w:lang w:val="en-NZ"/>
              </w:rPr>
              <w:t xml:space="preserve"> modest-cost options for Budget 2022 that increase and redistribute support to low</w:t>
            </w:r>
            <w:r w:rsidR="005D1D7D">
              <w:rPr>
                <w:lang w:val="en-NZ"/>
              </w:rPr>
              <w:t>-</w:t>
            </w:r>
            <w:r w:rsidR="007E2B0A" w:rsidRPr="00A473C8">
              <w:rPr>
                <w:lang w:val="en-NZ"/>
              </w:rPr>
              <w:t xml:space="preserve">income families alongside </w:t>
            </w:r>
            <w:r w:rsidR="007A29BA">
              <w:rPr>
                <w:lang w:val="en-NZ"/>
              </w:rPr>
              <w:t>an</w:t>
            </w:r>
            <w:r w:rsidR="0090715C">
              <w:rPr>
                <w:szCs w:val="22"/>
              </w:rPr>
              <w:t xml:space="preserve"> an</w:t>
            </w:r>
            <w:r w:rsidR="0091428A">
              <w:rPr>
                <w:szCs w:val="22"/>
              </w:rPr>
              <w:t>ticipated</w:t>
            </w:r>
            <w:r w:rsidR="0091428A" w:rsidRPr="004601FF">
              <w:rPr>
                <w:szCs w:val="22"/>
              </w:rPr>
              <w:t xml:space="preserve"> </w:t>
            </w:r>
            <w:r w:rsidR="007E2B0A" w:rsidRPr="004601FF">
              <w:rPr>
                <w:szCs w:val="22"/>
              </w:rPr>
              <w:t xml:space="preserve">adjustment of </w:t>
            </w:r>
            <w:r w:rsidR="007E2B0A">
              <w:rPr>
                <w:szCs w:val="22"/>
              </w:rPr>
              <w:t>family tax credit (</w:t>
            </w:r>
            <w:r w:rsidR="007E2B0A" w:rsidRPr="004601FF">
              <w:rPr>
                <w:szCs w:val="22"/>
              </w:rPr>
              <w:t>FTC</w:t>
            </w:r>
            <w:r w:rsidR="007E2B0A">
              <w:rPr>
                <w:szCs w:val="22"/>
              </w:rPr>
              <w:t>)</w:t>
            </w:r>
            <w:r w:rsidR="007E2B0A" w:rsidRPr="004601FF">
              <w:rPr>
                <w:szCs w:val="22"/>
              </w:rPr>
              <w:t xml:space="preserve"> and </w:t>
            </w:r>
            <w:r w:rsidR="007E2B0A">
              <w:rPr>
                <w:szCs w:val="22"/>
              </w:rPr>
              <w:t>Best Start tax credit (</w:t>
            </w:r>
            <w:r w:rsidR="007E2B0A" w:rsidRPr="004601FF">
              <w:rPr>
                <w:szCs w:val="22"/>
              </w:rPr>
              <w:t>BSTC</w:t>
            </w:r>
            <w:r w:rsidR="007E2B0A">
              <w:rPr>
                <w:szCs w:val="22"/>
              </w:rPr>
              <w:t>)</w:t>
            </w:r>
            <w:r w:rsidR="007E2B0A" w:rsidRPr="004601FF">
              <w:rPr>
                <w:szCs w:val="22"/>
              </w:rPr>
              <w:t xml:space="preserve"> rates in April 2022</w:t>
            </w:r>
            <w:r w:rsidR="00A6534D">
              <w:rPr>
                <w:szCs w:val="22"/>
              </w:rPr>
              <w:t xml:space="preserve"> in line with </w:t>
            </w:r>
            <w:r w:rsidR="00A6534D" w:rsidRPr="004601FF">
              <w:rPr>
                <w:szCs w:val="22"/>
              </w:rPr>
              <w:t>CPI</w:t>
            </w:r>
            <w:r w:rsidR="00A6534D">
              <w:rPr>
                <w:szCs w:val="22"/>
              </w:rPr>
              <w:t xml:space="preserve"> inflation</w:t>
            </w:r>
            <w:r w:rsidR="007E2B0A" w:rsidRPr="004601FF">
              <w:rPr>
                <w:szCs w:val="22"/>
              </w:rPr>
              <w:t>. These options are</w:t>
            </w:r>
            <w:r w:rsidR="007E2B0A">
              <w:rPr>
                <w:szCs w:val="22"/>
              </w:rPr>
              <w:t xml:space="preserve"> </w:t>
            </w:r>
            <w:r w:rsidR="007E2B0A" w:rsidRPr="004601FF">
              <w:rPr>
                <w:szCs w:val="22"/>
              </w:rPr>
              <w:t xml:space="preserve">intended to </w:t>
            </w:r>
            <w:r w:rsidR="0097110A" w:rsidRPr="0097110A">
              <w:rPr>
                <w:szCs w:val="22"/>
              </w:rPr>
              <w:t>contribute toward</w:t>
            </w:r>
            <w:r w:rsidR="0097110A">
              <w:rPr>
                <w:szCs w:val="22"/>
              </w:rPr>
              <w:t>s</w:t>
            </w:r>
            <w:r w:rsidR="0097110A" w:rsidRPr="0097110A">
              <w:rPr>
                <w:szCs w:val="22"/>
              </w:rPr>
              <w:t xml:space="preserve"> the Government’s child poverty reduction targets and the objectives </w:t>
            </w:r>
            <w:r w:rsidR="006132C6">
              <w:rPr>
                <w:szCs w:val="22"/>
              </w:rPr>
              <w:t>of</w:t>
            </w:r>
            <w:r w:rsidR="0097110A" w:rsidRPr="0097110A">
              <w:rPr>
                <w:szCs w:val="22"/>
              </w:rPr>
              <w:t xml:space="preserve"> the WFF review.</w:t>
            </w:r>
          </w:p>
          <w:p w14:paraId="22865D65" w14:textId="3EB62592" w:rsidR="004A35C0" w:rsidRPr="000D4A37" w:rsidRDefault="004A35C0" w:rsidP="009649F7">
            <w:pPr>
              <w:rPr>
                <w:b/>
                <w:bCs/>
                <w:i/>
                <w:iCs/>
                <w:szCs w:val="22"/>
              </w:rPr>
            </w:pPr>
            <w:r w:rsidRPr="000D4A37">
              <w:rPr>
                <w:b/>
                <w:bCs/>
                <w:i/>
                <w:iCs/>
                <w:szCs w:val="22"/>
              </w:rPr>
              <w:t>Related changes</w:t>
            </w:r>
            <w:r w:rsidR="00141910">
              <w:rPr>
                <w:b/>
                <w:bCs/>
                <w:i/>
                <w:iCs/>
                <w:szCs w:val="22"/>
              </w:rPr>
              <w:t xml:space="preserve"> outside of the WFF review</w:t>
            </w:r>
          </w:p>
          <w:p w14:paraId="0694F2A4" w14:textId="7680C4E9" w:rsidR="00C97E2C" w:rsidRDefault="00762AAC" w:rsidP="009649F7">
            <w:pPr>
              <w:rPr>
                <w:szCs w:val="22"/>
              </w:rPr>
            </w:pPr>
            <w:r w:rsidRPr="00762AAC">
              <w:rPr>
                <w:szCs w:val="22"/>
              </w:rPr>
              <w:t>A</w:t>
            </w:r>
            <w:r w:rsidR="00F233BB" w:rsidRPr="00762AAC">
              <w:rPr>
                <w:szCs w:val="22"/>
              </w:rPr>
              <w:t xml:space="preserve"> </w:t>
            </w:r>
            <w:r w:rsidR="00621EF1">
              <w:rPr>
                <w:szCs w:val="22"/>
              </w:rPr>
              <w:t xml:space="preserve">proposed </w:t>
            </w:r>
            <w:r w:rsidR="00F233BB" w:rsidRPr="00762AAC">
              <w:rPr>
                <w:szCs w:val="22"/>
              </w:rPr>
              <w:t xml:space="preserve">remedial adjustment to how Consumer Price Index (CPI) increases are calculated </w:t>
            </w:r>
            <w:r w:rsidR="00397989">
              <w:rPr>
                <w:szCs w:val="22"/>
              </w:rPr>
              <w:t xml:space="preserve">will proceed under </w:t>
            </w:r>
            <w:r w:rsidR="00C97E2C">
              <w:rPr>
                <w:szCs w:val="22"/>
              </w:rPr>
              <w:t xml:space="preserve">the </w:t>
            </w:r>
            <w:r w:rsidR="00397989">
              <w:rPr>
                <w:szCs w:val="22"/>
              </w:rPr>
              <w:t>counterfactual</w:t>
            </w:r>
            <w:r w:rsidR="00B71726">
              <w:rPr>
                <w:szCs w:val="22"/>
              </w:rPr>
              <w:t xml:space="preserve"> and</w:t>
            </w:r>
            <w:r w:rsidR="00C97E2C">
              <w:rPr>
                <w:szCs w:val="22"/>
              </w:rPr>
              <w:t xml:space="preserve"> is discussed in this RIS for context and completeness</w:t>
            </w:r>
            <w:r w:rsidR="00397989">
              <w:rPr>
                <w:szCs w:val="22"/>
              </w:rPr>
              <w:t xml:space="preserve">. </w:t>
            </w:r>
          </w:p>
          <w:p w14:paraId="110F7FE6" w14:textId="7556F731" w:rsidR="00F233BB" w:rsidRDefault="00803A0E" w:rsidP="009649F7">
            <w:r>
              <w:rPr>
                <w:szCs w:val="22"/>
              </w:rPr>
              <w:t>I</w:t>
            </w:r>
            <w:r w:rsidR="00F233BB" w:rsidRPr="00762AAC">
              <w:rPr>
                <w:szCs w:val="22"/>
              </w:rPr>
              <w:t xml:space="preserve">ncreases to </w:t>
            </w:r>
            <w:r w:rsidR="00F233BB" w:rsidRPr="00762AAC">
              <w:t xml:space="preserve">Orphan’s Benefit (OB), Unsupported Child’s Benefit (UCB) and Foster Care Allowance (FCA) payment rates </w:t>
            </w:r>
            <w:r>
              <w:t xml:space="preserve">as a consequence to </w:t>
            </w:r>
            <w:r w:rsidR="004A35C0">
              <w:t>a</w:t>
            </w:r>
            <w:r>
              <w:t xml:space="preserve"> proposed increase in FTC rates </w:t>
            </w:r>
            <w:r w:rsidR="00F233BB" w:rsidRPr="00762AAC">
              <w:t xml:space="preserve">are also </w:t>
            </w:r>
            <w:r w:rsidR="00A1319F">
              <w:t>discussed</w:t>
            </w:r>
            <w:r w:rsidR="00F233BB" w:rsidRPr="00762AAC">
              <w:t xml:space="preserve"> in this RIS</w:t>
            </w:r>
            <w:r w:rsidR="004C565A">
              <w:t>.</w:t>
            </w:r>
            <w:r w:rsidR="007D774C">
              <w:t xml:space="preserve"> Income Support Ministers have agreed to these consequential increases.</w:t>
            </w:r>
          </w:p>
          <w:p w14:paraId="13034B6C" w14:textId="4348D649" w:rsidR="00404179" w:rsidRDefault="00404179" w:rsidP="009649F7">
            <w:pPr>
              <w:rPr>
                <w:szCs w:val="22"/>
              </w:rPr>
            </w:pPr>
            <w:r>
              <w:rPr>
                <w:szCs w:val="22"/>
              </w:rPr>
              <w:t xml:space="preserve">The costs associated with the annual </w:t>
            </w:r>
            <w:r w:rsidR="00A1319F">
              <w:rPr>
                <w:szCs w:val="22"/>
              </w:rPr>
              <w:t>minimum family tax credit (</w:t>
            </w:r>
            <w:r>
              <w:rPr>
                <w:szCs w:val="22"/>
              </w:rPr>
              <w:t>MFTC</w:t>
            </w:r>
            <w:r w:rsidR="00A1319F">
              <w:rPr>
                <w:szCs w:val="22"/>
              </w:rPr>
              <w:t>)</w:t>
            </w:r>
            <w:r>
              <w:rPr>
                <w:szCs w:val="22"/>
              </w:rPr>
              <w:t xml:space="preserve"> threshold change are noted in this RIS for </w:t>
            </w:r>
            <w:proofErr w:type="gramStart"/>
            <w:r>
              <w:rPr>
                <w:szCs w:val="22"/>
              </w:rPr>
              <w:t>context</w:t>
            </w:r>
            <w:proofErr w:type="gramEnd"/>
            <w:r>
              <w:rPr>
                <w:szCs w:val="22"/>
              </w:rPr>
              <w:t xml:space="preserve"> but </w:t>
            </w:r>
            <w:r w:rsidR="004467A2">
              <w:rPr>
                <w:szCs w:val="22"/>
              </w:rPr>
              <w:t>the change is</w:t>
            </w:r>
            <w:r>
              <w:rPr>
                <w:szCs w:val="22"/>
              </w:rPr>
              <w:t xml:space="preserve"> not analysed as </w:t>
            </w:r>
            <w:r w:rsidR="004467A2">
              <w:rPr>
                <w:szCs w:val="22"/>
              </w:rPr>
              <w:t>it</w:t>
            </w:r>
            <w:r>
              <w:rPr>
                <w:szCs w:val="22"/>
              </w:rPr>
              <w:t xml:space="preserve"> ha</w:t>
            </w:r>
            <w:r w:rsidR="004467A2">
              <w:rPr>
                <w:szCs w:val="22"/>
              </w:rPr>
              <w:t>s</w:t>
            </w:r>
            <w:r>
              <w:rPr>
                <w:szCs w:val="22"/>
              </w:rPr>
              <w:t xml:space="preserve"> previously been agreed to by </w:t>
            </w:r>
            <w:r w:rsidR="004467A2">
              <w:rPr>
                <w:szCs w:val="22"/>
              </w:rPr>
              <w:t>C</w:t>
            </w:r>
            <w:r>
              <w:rPr>
                <w:szCs w:val="22"/>
              </w:rPr>
              <w:t>abinet [</w:t>
            </w:r>
            <w:r w:rsidR="004467A2">
              <w:rPr>
                <w:szCs w:val="22"/>
              </w:rPr>
              <w:t>CAB-21-MIN-0116</w:t>
            </w:r>
            <w:r>
              <w:rPr>
                <w:szCs w:val="22"/>
              </w:rPr>
              <w:t>]</w:t>
            </w:r>
            <w:r w:rsidR="00083241">
              <w:rPr>
                <w:szCs w:val="22"/>
              </w:rPr>
              <w:t>.</w:t>
            </w:r>
          </w:p>
          <w:p w14:paraId="5C51837D" w14:textId="77777777" w:rsidR="008233A3" w:rsidRPr="008235E4" w:rsidRDefault="008233A3" w:rsidP="009649F7">
            <w:pPr>
              <w:rPr>
                <w:szCs w:val="22"/>
              </w:rPr>
            </w:pPr>
          </w:p>
          <w:p w14:paraId="235577A2" w14:textId="4555D612" w:rsidR="001555DC" w:rsidRPr="00662BA6" w:rsidRDefault="001555DC" w:rsidP="009649F7">
            <w:pPr>
              <w:rPr>
                <w:b/>
                <w:bCs/>
                <w:lang w:val="en-NZ"/>
              </w:rPr>
            </w:pPr>
            <w:r w:rsidRPr="00662BA6">
              <w:rPr>
                <w:b/>
                <w:bCs/>
                <w:lang w:val="en-NZ"/>
              </w:rPr>
              <w:t xml:space="preserve">Background to </w:t>
            </w:r>
            <w:r w:rsidR="003739B6">
              <w:rPr>
                <w:b/>
                <w:bCs/>
                <w:lang w:val="en-NZ"/>
              </w:rPr>
              <w:t xml:space="preserve">the </w:t>
            </w:r>
            <w:r>
              <w:rPr>
                <w:b/>
                <w:bCs/>
                <w:lang w:val="en-NZ"/>
              </w:rPr>
              <w:t xml:space="preserve">WFF </w:t>
            </w:r>
            <w:r w:rsidRPr="00662BA6">
              <w:rPr>
                <w:b/>
                <w:bCs/>
                <w:lang w:val="en-NZ"/>
              </w:rPr>
              <w:t>review</w:t>
            </w:r>
          </w:p>
          <w:p w14:paraId="20DB3508" w14:textId="39FD56BA" w:rsidR="001555DC" w:rsidRDefault="001555DC" w:rsidP="009649F7">
            <w:r>
              <w:rPr>
                <w:lang w:val="en-NZ"/>
              </w:rPr>
              <w:t>In 2018</w:t>
            </w:r>
            <w:r w:rsidR="00A1319F">
              <w:rPr>
                <w:lang w:val="en-NZ"/>
              </w:rPr>
              <w:t>,</w:t>
            </w:r>
            <w:r>
              <w:rPr>
                <w:lang w:val="en-NZ"/>
              </w:rPr>
              <w:t xml:space="preserve"> the </w:t>
            </w:r>
            <w:r w:rsidRPr="002C246A">
              <w:t>Government established the Welfare Expert Advisory Group (WEAG) to advise them on the future of New Zealand’s social security system</w:t>
            </w:r>
            <w:r>
              <w:t>, including the WFF scheme</w:t>
            </w:r>
            <w:r w:rsidRPr="002C246A">
              <w:t>.</w:t>
            </w:r>
            <w:r>
              <w:t xml:space="preserve"> </w:t>
            </w:r>
            <w:r w:rsidR="00EC3DF5">
              <w:t xml:space="preserve">The </w:t>
            </w:r>
            <w:r>
              <w:t>WEAG recommended fundamental changes to the design and targeting of WFF a</w:t>
            </w:r>
            <w:r w:rsidR="00D46662">
              <w:t>s well as</w:t>
            </w:r>
            <w:r>
              <w:t xml:space="preserve"> significant increases to main benefits and the FTC.</w:t>
            </w:r>
          </w:p>
          <w:p w14:paraId="723966B5" w14:textId="32938872" w:rsidR="003A7B5B" w:rsidRDefault="001555DC" w:rsidP="009649F7">
            <w:pPr>
              <w:pStyle w:val="TRNormal"/>
              <w:spacing w:after="80"/>
              <w:ind w:left="0" w:firstLine="0"/>
            </w:pPr>
            <w:r>
              <w:t>Following the WEAG’s report</w:t>
            </w:r>
            <w:r w:rsidR="00A1319F">
              <w:t>,</w:t>
            </w:r>
            <w:r>
              <w:t xml:space="preserve"> </w:t>
            </w:r>
            <w:proofErr w:type="spellStart"/>
            <w:r w:rsidRPr="000D4A37">
              <w:rPr>
                <w:i/>
                <w:iCs/>
              </w:rPr>
              <w:t>Whakamana</w:t>
            </w:r>
            <w:proofErr w:type="spellEnd"/>
            <w:r w:rsidRPr="000D4A37">
              <w:rPr>
                <w:i/>
                <w:iCs/>
              </w:rPr>
              <w:t xml:space="preserve"> </w:t>
            </w:r>
            <w:proofErr w:type="spellStart"/>
            <w:r w:rsidRPr="000D4A37">
              <w:rPr>
                <w:i/>
                <w:iCs/>
              </w:rPr>
              <w:t>Tāngata</w:t>
            </w:r>
            <w:proofErr w:type="spellEnd"/>
            <w:r w:rsidRPr="000D4A37">
              <w:rPr>
                <w:i/>
                <w:iCs/>
              </w:rPr>
              <w:t>: Restoring Dignity to Social Security in New Zealand</w:t>
            </w:r>
            <w:r>
              <w:t>, the Minister for Child Poverty Reduction requested a broader review of WFF. The</w:t>
            </w:r>
            <w:r w:rsidR="00374AC1">
              <w:t xml:space="preserve"> </w:t>
            </w:r>
            <w:r>
              <w:t>WFF review is part of the broader Welfare Overhaul work programme.</w:t>
            </w:r>
          </w:p>
          <w:p w14:paraId="2330DE74" w14:textId="60E641AC" w:rsidR="003A7B5B" w:rsidRDefault="00801F06" w:rsidP="009649F7">
            <w:pPr>
              <w:pStyle w:val="TRNormal"/>
              <w:spacing w:after="80"/>
              <w:ind w:left="0" w:firstLine="0"/>
            </w:pPr>
            <w:r>
              <w:br/>
            </w:r>
            <w:r w:rsidR="003A7B5B">
              <w:t xml:space="preserve">Ministers have agreed the original objectives for WFF </w:t>
            </w:r>
            <w:r w:rsidR="00B517DF">
              <w:t>[</w:t>
            </w:r>
            <w:r w:rsidR="00B517DF">
              <w:rPr>
                <w:rStyle w:val="normaltextrun"/>
                <w:color w:val="000000"/>
                <w:shd w:val="clear" w:color="auto" w:fill="FFFFFF"/>
              </w:rPr>
              <w:t>Cabinet minute (04) 13/</w:t>
            </w:r>
            <w:r w:rsidR="00B517DF" w:rsidRPr="0002764B">
              <w:rPr>
                <w:rStyle w:val="normaltextrun"/>
                <w:shd w:val="clear" w:color="auto" w:fill="FFFFFF"/>
              </w:rPr>
              <w:t>4 refers]</w:t>
            </w:r>
            <w:r w:rsidR="00B517DF" w:rsidRPr="0002764B">
              <w:t xml:space="preserve"> </w:t>
            </w:r>
            <w:r w:rsidR="003A7B5B">
              <w:t xml:space="preserve">remain important. These </w:t>
            </w:r>
            <w:r w:rsidR="00AC6F3B">
              <w:t>were to</w:t>
            </w:r>
            <w:r w:rsidR="003A7B5B">
              <w:t>:</w:t>
            </w:r>
          </w:p>
          <w:p w14:paraId="0E569CC0" w14:textId="68A16B3C" w:rsidR="00AC6F3B" w:rsidRPr="00AC6F3B" w:rsidRDefault="00AC6F3B" w:rsidP="00AC6F3B">
            <w:pPr>
              <w:pStyle w:val="ListParagraph"/>
              <w:numPr>
                <w:ilvl w:val="0"/>
                <w:numId w:val="24"/>
              </w:numPr>
              <w:spacing w:after="160" w:line="259" w:lineRule="auto"/>
              <w:rPr>
                <w:szCs w:val="22"/>
              </w:rPr>
            </w:pPr>
            <w:r w:rsidRPr="00AC6F3B">
              <w:rPr>
                <w:szCs w:val="22"/>
              </w:rPr>
              <w:t>make work pay by supporting families with dependent children, so that they are rewarded for their work effort</w:t>
            </w:r>
          </w:p>
          <w:p w14:paraId="2BC8230E" w14:textId="751C5593" w:rsidR="00AC6F3B" w:rsidRPr="00AC6F3B" w:rsidRDefault="00AC6F3B" w:rsidP="00AC6F3B">
            <w:pPr>
              <w:pStyle w:val="ListParagraph"/>
              <w:numPr>
                <w:ilvl w:val="0"/>
                <w:numId w:val="24"/>
              </w:numPr>
              <w:spacing w:after="160" w:line="259" w:lineRule="auto"/>
              <w:rPr>
                <w:szCs w:val="22"/>
              </w:rPr>
            </w:pPr>
            <w:r w:rsidRPr="00AC6F3B">
              <w:rPr>
                <w:szCs w:val="22"/>
              </w:rPr>
              <w:t>ensure income adequacy, with a focus on low and middle-income families with dependent children to address issues of poverty,</w:t>
            </w:r>
            <w:r>
              <w:rPr>
                <w:szCs w:val="22"/>
              </w:rPr>
              <w:t xml:space="preserve"> </w:t>
            </w:r>
            <w:r w:rsidRPr="00AC6F3B">
              <w:rPr>
                <w:szCs w:val="22"/>
              </w:rPr>
              <w:t>especially child poverty</w:t>
            </w:r>
          </w:p>
          <w:p w14:paraId="23982EB7" w14:textId="2519CAEE" w:rsidR="00AC6F3B" w:rsidRDefault="00AC6F3B" w:rsidP="00AC6F3B">
            <w:pPr>
              <w:pStyle w:val="ListParagraph"/>
              <w:numPr>
                <w:ilvl w:val="0"/>
                <w:numId w:val="24"/>
              </w:numPr>
              <w:spacing w:after="160" w:line="259" w:lineRule="auto"/>
              <w:rPr>
                <w:szCs w:val="22"/>
              </w:rPr>
            </w:pPr>
            <w:r w:rsidRPr="00AC6F3B">
              <w:rPr>
                <w:szCs w:val="22"/>
              </w:rPr>
              <w:t>achieve a social assistance system that supports people into work, by making sure that people get the assistance they are entitled to, when they should, and with delivery that supports them into, and to remain in, employment.</w:t>
            </w:r>
          </w:p>
          <w:p w14:paraId="6800D5A0" w14:textId="3B1CDA2D" w:rsidR="003A7B5B" w:rsidRDefault="003A7B5B" w:rsidP="009649F7">
            <w:pPr>
              <w:pStyle w:val="TRNormal"/>
              <w:spacing w:after="80"/>
              <w:ind w:left="0" w:firstLine="0"/>
            </w:pPr>
            <w:r>
              <w:t xml:space="preserve">Ministers have also agreed the following objectives for </w:t>
            </w:r>
            <w:r w:rsidR="007F67AA">
              <w:t>the review</w:t>
            </w:r>
            <w:r>
              <w:t xml:space="preserve"> of WFF:</w:t>
            </w:r>
          </w:p>
          <w:p w14:paraId="03105902" w14:textId="77777777" w:rsidR="003A7B5B" w:rsidRDefault="003A7B5B" w:rsidP="009649F7">
            <w:pPr>
              <w:pStyle w:val="TRNormal"/>
              <w:numPr>
                <w:ilvl w:val="1"/>
                <w:numId w:val="23"/>
              </w:numPr>
              <w:spacing w:after="80"/>
              <w:ind w:left="1134" w:hanging="567"/>
            </w:pPr>
            <w:r>
              <w:t>Objective 1: target support more to lower-income families rather than more universal support</w:t>
            </w:r>
          </w:p>
          <w:p w14:paraId="25335B33" w14:textId="77777777" w:rsidR="003A7B5B" w:rsidRDefault="003A7B5B" w:rsidP="009649F7">
            <w:pPr>
              <w:pStyle w:val="TRNormal"/>
              <w:numPr>
                <w:ilvl w:val="1"/>
                <w:numId w:val="23"/>
              </w:numPr>
              <w:spacing w:after="80"/>
              <w:ind w:left="1134" w:hanging="567"/>
            </w:pPr>
            <w:r>
              <w:t>Objective 2: focus on low-income working families, while maintaining support for beneficiary families</w:t>
            </w:r>
          </w:p>
          <w:p w14:paraId="3E3E7338" w14:textId="77777777" w:rsidR="003A7B5B" w:rsidRDefault="003A7B5B" w:rsidP="009649F7">
            <w:pPr>
              <w:pStyle w:val="TRNormal"/>
              <w:numPr>
                <w:ilvl w:val="1"/>
                <w:numId w:val="23"/>
              </w:numPr>
              <w:spacing w:after="200"/>
              <w:ind w:left="1134" w:hanging="567"/>
            </w:pPr>
            <w:r>
              <w:t>Objective 3: help make work pay and assist with the costs for people in work.</w:t>
            </w:r>
          </w:p>
          <w:p w14:paraId="1D237431" w14:textId="49A0A30C" w:rsidR="007F7F7D" w:rsidRDefault="003A7B5B" w:rsidP="009649F7">
            <w:pPr>
              <w:pStyle w:val="TRNormal"/>
              <w:spacing w:after="80"/>
              <w:ind w:left="0" w:firstLine="0"/>
            </w:pPr>
            <w:r>
              <w:t xml:space="preserve">These objectives cannot all be met at the same time, and Ministers will need to consider the relative balance between the objectives throughout </w:t>
            </w:r>
            <w:r w:rsidR="007F67AA">
              <w:t>the review</w:t>
            </w:r>
            <w:r>
              <w:t xml:space="preserve">.  </w:t>
            </w:r>
            <w:r w:rsidR="00050AF6">
              <w:br/>
            </w:r>
            <w:r w:rsidR="00050AF6">
              <w:br/>
            </w:r>
            <w:r w:rsidR="004E1F16">
              <w:t xml:space="preserve">There </w:t>
            </w:r>
            <w:r w:rsidR="00875CC2">
              <w:t>are</w:t>
            </w:r>
            <w:r w:rsidR="004E1F16">
              <w:t xml:space="preserve"> two </w:t>
            </w:r>
            <w:r w:rsidR="00CD4525">
              <w:t>phase</w:t>
            </w:r>
            <w:r w:rsidR="004E1F16">
              <w:t xml:space="preserve">s to </w:t>
            </w:r>
            <w:r w:rsidR="007F67AA">
              <w:t>the review</w:t>
            </w:r>
            <w:r w:rsidR="0092748C">
              <w:t>:</w:t>
            </w:r>
          </w:p>
          <w:p w14:paraId="36BBDFFF" w14:textId="22C0A556" w:rsidR="009F4218" w:rsidRPr="009F4218" w:rsidRDefault="0092748C" w:rsidP="009649F7">
            <w:pPr>
              <w:pStyle w:val="ReportBody"/>
              <w:numPr>
                <w:ilvl w:val="0"/>
                <w:numId w:val="16"/>
              </w:numPr>
              <w:rPr>
                <w:rFonts w:ascii="Arial" w:hAnsi="Arial"/>
                <w:sz w:val="22"/>
                <w:szCs w:val="22"/>
              </w:rPr>
            </w:pPr>
            <w:r>
              <w:rPr>
                <w:rFonts w:ascii="Arial" w:hAnsi="Arial"/>
                <w:sz w:val="22"/>
                <w:szCs w:val="22"/>
              </w:rPr>
              <w:t>P</w:t>
            </w:r>
            <w:r w:rsidR="009F4218" w:rsidRPr="009F4218">
              <w:rPr>
                <w:rFonts w:ascii="Arial" w:hAnsi="Arial"/>
                <w:sz w:val="22"/>
                <w:szCs w:val="22"/>
              </w:rPr>
              <w:t>hase one will consider modest-cost options for Budget 2022 that increase and redistribute support to low</w:t>
            </w:r>
            <w:r w:rsidR="009D7F8D">
              <w:rPr>
                <w:rFonts w:ascii="Arial" w:hAnsi="Arial"/>
                <w:sz w:val="22"/>
                <w:szCs w:val="22"/>
              </w:rPr>
              <w:t>-</w:t>
            </w:r>
            <w:r w:rsidR="009F4218" w:rsidRPr="009F4218">
              <w:rPr>
                <w:rFonts w:ascii="Arial" w:hAnsi="Arial"/>
                <w:sz w:val="22"/>
                <w:szCs w:val="22"/>
              </w:rPr>
              <w:t>income families alongside the planned CPI adjustment in April 2022</w:t>
            </w:r>
          </w:p>
          <w:p w14:paraId="06FC8BA1" w14:textId="3CACF5F2" w:rsidR="007F7F7D" w:rsidRPr="009F4218" w:rsidRDefault="0092748C" w:rsidP="009649F7">
            <w:pPr>
              <w:pStyle w:val="ReportBody"/>
              <w:numPr>
                <w:ilvl w:val="0"/>
                <w:numId w:val="16"/>
              </w:numPr>
              <w:rPr>
                <w:rFonts w:ascii="Arial" w:hAnsi="Arial"/>
                <w:sz w:val="22"/>
                <w:szCs w:val="22"/>
              </w:rPr>
            </w:pPr>
            <w:r>
              <w:rPr>
                <w:rFonts w:ascii="Arial" w:hAnsi="Arial"/>
                <w:sz w:val="22"/>
                <w:szCs w:val="22"/>
              </w:rPr>
              <w:t>P</w:t>
            </w:r>
            <w:r w:rsidR="009F4218" w:rsidRPr="009F4218">
              <w:rPr>
                <w:rFonts w:ascii="Arial" w:hAnsi="Arial"/>
                <w:sz w:val="22"/>
                <w:szCs w:val="22"/>
              </w:rPr>
              <w:t xml:space="preserve">hase two will consider more fundamental changes to </w:t>
            </w:r>
            <w:r w:rsidR="00C72357" w:rsidRPr="00410AE7">
              <w:rPr>
                <w:rFonts w:ascii="Arial" w:hAnsi="Arial"/>
                <w:sz w:val="22"/>
                <w:szCs w:val="22"/>
                <w:shd w:val="clear" w:color="auto" w:fill="BFBFBF" w:themeFill="background1" w:themeFillShade="BF"/>
              </w:rPr>
              <w:t>s 9</w:t>
            </w:r>
            <w:r w:rsidR="00A669F8" w:rsidRPr="00410AE7">
              <w:rPr>
                <w:rFonts w:ascii="Arial" w:hAnsi="Arial"/>
                <w:sz w:val="22"/>
                <w:szCs w:val="22"/>
                <w:shd w:val="clear" w:color="auto" w:fill="BFBFBF" w:themeFill="background1" w:themeFillShade="BF"/>
              </w:rPr>
              <w:t>(2)(f(iv)</w:t>
            </w:r>
            <w:r w:rsidR="00A669F8" w:rsidRPr="00D36498">
              <w:rPr>
                <w:rFonts w:ascii="Arial" w:hAnsi="Arial"/>
                <w:color w:val="BFBFBF" w:themeColor="background1" w:themeShade="BF"/>
                <w:sz w:val="22"/>
                <w:szCs w:val="22"/>
                <w:shd w:val="clear" w:color="auto" w:fill="BFBFBF" w:themeFill="background1" w:themeFillShade="BF"/>
              </w:rPr>
              <w:t>…………</w:t>
            </w:r>
            <w:r w:rsidR="00410AE7" w:rsidRPr="00D36498">
              <w:rPr>
                <w:rFonts w:ascii="Arial" w:hAnsi="Arial"/>
                <w:color w:val="BFBFBF" w:themeColor="background1" w:themeShade="BF"/>
                <w:sz w:val="22"/>
                <w:szCs w:val="22"/>
                <w:shd w:val="clear" w:color="auto" w:fill="BFBFBF" w:themeFill="background1" w:themeFillShade="BF"/>
              </w:rPr>
              <w:t>…….</w:t>
            </w:r>
            <w:r w:rsidR="00A669F8" w:rsidRPr="00D36498">
              <w:rPr>
                <w:rFonts w:ascii="Arial" w:hAnsi="Arial"/>
                <w:color w:val="BFBFBF" w:themeColor="background1" w:themeShade="BF"/>
                <w:sz w:val="22"/>
                <w:szCs w:val="22"/>
                <w:shd w:val="clear" w:color="auto" w:fill="BFBFBF" w:themeFill="background1" w:themeFillShade="BF"/>
              </w:rPr>
              <w:t>…</w:t>
            </w:r>
            <w:r w:rsidR="00A669F8">
              <w:rPr>
                <w:rFonts w:ascii="Arial" w:hAnsi="Arial"/>
                <w:sz w:val="22"/>
                <w:szCs w:val="22"/>
              </w:rPr>
              <w:br/>
            </w:r>
            <w:r w:rsidR="009F4218" w:rsidRPr="009F4218">
              <w:rPr>
                <w:rFonts w:ascii="Arial" w:hAnsi="Arial"/>
                <w:sz w:val="22"/>
                <w:szCs w:val="22"/>
              </w:rPr>
              <w:t xml:space="preserve">WFF payments, with a particular focus on in-work support, and changes to improve administration, </w:t>
            </w:r>
            <w:proofErr w:type="gramStart"/>
            <w:r w:rsidR="009F4218" w:rsidRPr="009F4218">
              <w:rPr>
                <w:rFonts w:ascii="Arial" w:hAnsi="Arial"/>
                <w:sz w:val="22"/>
                <w:szCs w:val="22"/>
              </w:rPr>
              <w:t>operations</w:t>
            </w:r>
            <w:proofErr w:type="gramEnd"/>
            <w:r w:rsidR="009F4218" w:rsidRPr="009F4218">
              <w:rPr>
                <w:rFonts w:ascii="Arial" w:hAnsi="Arial"/>
                <w:sz w:val="22"/>
                <w:szCs w:val="22"/>
              </w:rPr>
              <w:t xml:space="preserve"> and client experience.</w:t>
            </w:r>
          </w:p>
          <w:p w14:paraId="2082CA55" w14:textId="44229EBD" w:rsidR="00347572" w:rsidRDefault="00CD4525" w:rsidP="009649F7">
            <w:pPr>
              <w:rPr>
                <w:lang w:val="en-NZ"/>
              </w:rPr>
            </w:pPr>
            <w:r w:rsidRPr="00CD4525">
              <w:rPr>
                <w:lang w:val="en-NZ"/>
              </w:rPr>
              <w:t>Phase</w:t>
            </w:r>
            <w:r w:rsidR="004E1F16" w:rsidRPr="00CD4525">
              <w:rPr>
                <w:lang w:val="en-NZ"/>
              </w:rPr>
              <w:t xml:space="preserve"> </w:t>
            </w:r>
            <w:r w:rsidR="00826508">
              <w:rPr>
                <w:lang w:val="en-NZ"/>
              </w:rPr>
              <w:t>o</w:t>
            </w:r>
            <w:r w:rsidR="006B38C2">
              <w:rPr>
                <w:lang w:val="en-NZ"/>
              </w:rPr>
              <w:t>ne</w:t>
            </w:r>
            <w:r w:rsidR="00BE67BE">
              <w:rPr>
                <w:lang w:val="en-NZ"/>
              </w:rPr>
              <w:t xml:space="preserve"> is</w:t>
            </w:r>
            <w:r w:rsidR="004E1F16">
              <w:rPr>
                <w:lang w:val="en-NZ"/>
              </w:rPr>
              <w:t xml:space="preserve"> the subject of this RIS</w:t>
            </w:r>
            <w:r w:rsidR="00BE67BE">
              <w:rPr>
                <w:lang w:val="en-NZ"/>
              </w:rPr>
              <w:t xml:space="preserve"> and</w:t>
            </w:r>
            <w:r w:rsidR="004E1F16">
              <w:rPr>
                <w:lang w:val="en-NZ"/>
              </w:rPr>
              <w:t xml:space="preserve"> </w:t>
            </w:r>
            <w:r w:rsidR="0001016E">
              <w:rPr>
                <w:lang w:val="en-NZ"/>
              </w:rPr>
              <w:t xml:space="preserve">canvasses </w:t>
            </w:r>
            <w:r w:rsidR="00AB0FA5">
              <w:rPr>
                <w:lang w:val="en-NZ"/>
              </w:rPr>
              <w:t>the following options</w:t>
            </w:r>
            <w:r w:rsidR="0092748C">
              <w:rPr>
                <w:lang w:val="en-NZ"/>
              </w:rPr>
              <w:t>:</w:t>
            </w:r>
          </w:p>
          <w:p w14:paraId="497BE440" w14:textId="09A77683" w:rsidR="004E1F16" w:rsidRDefault="004E1F16" w:rsidP="009649F7">
            <w:pPr>
              <w:pStyle w:val="ListParagraph"/>
              <w:numPr>
                <w:ilvl w:val="0"/>
                <w:numId w:val="6"/>
              </w:numPr>
              <w:rPr>
                <w:lang w:val="en-NZ"/>
              </w:rPr>
            </w:pPr>
            <w:r>
              <w:rPr>
                <w:lang w:val="en-NZ"/>
              </w:rPr>
              <w:t xml:space="preserve">Increases to the </w:t>
            </w:r>
            <w:r w:rsidR="008240F6">
              <w:rPr>
                <w:lang w:val="en-NZ"/>
              </w:rPr>
              <w:t>FTC</w:t>
            </w:r>
          </w:p>
          <w:p w14:paraId="576B087D" w14:textId="39A9612B" w:rsidR="00B94650" w:rsidRDefault="00E70A3D" w:rsidP="009649F7">
            <w:pPr>
              <w:pStyle w:val="ListParagraph"/>
              <w:numPr>
                <w:ilvl w:val="0"/>
                <w:numId w:val="6"/>
              </w:numPr>
              <w:rPr>
                <w:lang w:val="en-NZ"/>
              </w:rPr>
            </w:pPr>
            <w:r>
              <w:rPr>
                <w:lang w:val="en-NZ"/>
              </w:rPr>
              <w:t xml:space="preserve">Increases to the </w:t>
            </w:r>
            <w:r w:rsidR="003961AB">
              <w:rPr>
                <w:lang w:val="en-NZ"/>
              </w:rPr>
              <w:t>WFF a</w:t>
            </w:r>
            <w:r w:rsidR="00B94650">
              <w:rPr>
                <w:lang w:val="en-NZ"/>
              </w:rPr>
              <w:t>batement</w:t>
            </w:r>
            <w:r w:rsidR="00F40169">
              <w:rPr>
                <w:lang w:val="en-NZ"/>
              </w:rPr>
              <w:t xml:space="preserve"> rate</w:t>
            </w:r>
          </w:p>
          <w:p w14:paraId="6E8B37B3" w14:textId="3334E7AB" w:rsidR="00050AF6" w:rsidRPr="00A514E1" w:rsidRDefault="00050AF6" w:rsidP="009649F7">
            <w:pPr>
              <w:rPr>
                <w:lang w:val="en-NZ"/>
              </w:rPr>
            </w:pPr>
            <w:r w:rsidRPr="00224801">
              <w:rPr>
                <w:b/>
                <w:bCs/>
                <w:lang w:val="en-NZ"/>
              </w:rPr>
              <w:t>CPI adjustment</w:t>
            </w:r>
          </w:p>
          <w:p w14:paraId="753DD941" w14:textId="7D804D60" w:rsidR="00A7484B" w:rsidRDefault="00A7484B" w:rsidP="009649F7">
            <w:pPr>
              <w:rPr>
                <w:lang w:val="en-NZ"/>
              </w:rPr>
            </w:pPr>
            <w:r w:rsidRPr="00EB0D3A">
              <w:rPr>
                <w:lang w:val="en-NZ"/>
              </w:rPr>
              <w:t xml:space="preserve">Under the status quo, FTC and BSTC rates </w:t>
            </w:r>
            <w:r>
              <w:rPr>
                <w:lang w:val="en-NZ"/>
              </w:rPr>
              <w:t xml:space="preserve">are </w:t>
            </w:r>
            <w:r w:rsidRPr="00EB0D3A">
              <w:rPr>
                <w:lang w:val="en-NZ"/>
              </w:rPr>
              <w:t>increase</w:t>
            </w:r>
            <w:r>
              <w:rPr>
                <w:lang w:val="en-NZ"/>
              </w:rPr>
              <w:t>d by a corresponding amount</w:t>
            </w:r>
            <w:r w:rsidRPr="00EB0D3A">
              <w:rPr>
                <w:lang w:val="en-NZ"/>
              </w:rPr>
              <w:t xml:space="preserve"> once cumulative increases to CPI </w:t>
            </w:r>
            <w:r>
              <w:rPr>
                <w:lang w:val="en-NZ"/>
              </w:rPr>
              <w:t>(</w:t>
            </w:r>
            <w:r w:rsidRPr="00EB0D3A">
              <w:rPr>
                <w:lang w:val="en-NZ"/>
              </w:rPr>
              <w:t>since the</w:t>
            </w:r>
            <w:r>
              <w:rPr>
                <w:lang w:val="en-NZ"/>
              </w:rPr>
              <w:t xml:space="preserve"> rates were</w:t>
            </w:r>
            <w:r w:rsidRPr="00EB0D3A">
              <w:rPr>
                <w:lang w:val="en-NZ"/>
              </w:rPr>
              <w:t xml:space="preserve"> last increase</w:t>
            </w:r>
            <w:r>
              <w:rPr>
                <w:lang w:val="en-NZ"/>
              </w:rPr>
              <w:t>d)</w:t>
            </w:r>
            <w:r w:rsidRPr="00EB0D3A">
              <w:rPr>
                <w:lang w:val="en-NZ"/>
              </w:rPr>
              <w:t xml:space="preserve"> reach 5%. This </w:t>
            </w:r>
            <w:r>
              <w:rPr>
                <w:lang w:val="en-NZ"/>
              </w:rPr>
              <w:t xml:space="preserve">policy </w:t>
            </w:r>
            <w:r w:rsidRPr="00EB0D3A">
              <w:rPr>
                <w:lang w:val="en-NZ"/>
              </w:rPr>
              <w:t xml:space="preserve">is forecast to </w:t>
            </w:r>
            <w:r>
              <w:rPr>
                <w:lang w:val="en-NZ"/>
              </w:rPr>
              <w:t xml:space="preserve">trigger increases in FTC and BSTC rates </w:t>
            </w:r>
            <w:r w:rsidR="0034057D" w:rsidRPr="0034057D">
              <w:rPr>
                <w:lang w:val="en-NZ"/>
              </w:rPr>
              <w:t>for 1 April 2022.</w:t>
            </w:r>
          </w:p>
          <w:p w14:paraId="329172E8" w14:textId="1DDAAD5C" w:rsidR="00A7484B" w:rsidRDefault="00A7484B" w:rsidP="009649F7">
            <w:pPr>
              <w:rPr>
                <w:lang w:val="en-NZ"/>
              </w:rPr>
            </w:pPr>
            <w:r>
              <w:rPr>
                <w:lang w:val="en-NZ"/>
              </w:rPr>
              <w:t>All option</w:t>
            </w:r>
            <w:r w:rsidR="00272AD6">
              <w:rPr>
                <w:lang w:val="en-NZ"/>
              </w:rPr>
              <w:t>s</w:t>
            </w:r>
            <w:r>
              <w:rPr>
                <w:lang w:val="en-NZ"/>
              </w:rPr>
              <w:t xml:space="preserve"> considered in phase one of </w:t>
            </w:r>
            <w:r w:rsidR="007F67AA">
              <w:rPr>
                <w:lang w:val="en-NZ"/>
              </w:rPr>
              <w:t>the review</w:t>
            </w:r>
            <w:r>
              <w:rPr>
                <w:lang w:val="en-NZ"/>
              </w:rPr>
              <w:t xml:space="preserve"> </w:t>
            </w:r>
            <w:r w:rsidR="004A72A7">
              <w:rPr>
                <w:lang w:val="en-NZ"/>
              </w:rPr>
              <w:t xml:space="preserve">would be implemented in April 2022, </w:t>
            </w:r>
            <w:r w:rsidR="00FD1BA0">
              <w:rPr>
                <w:lang w:val="en-NZ"/>
              </w:rPr>
              <w:t>coinciding with</w:t>
            </w:r>
            <w:r w:rsidR="004A72A7">
              <w:rPr>
                <w:lang w:val="en-NZ"/>
              </w:rPr>
              <w:t xml:space="preserve"> the CPI indexation increases to the FTC and BSTC rates. Therefore, the impact</w:t>
            </w:r>
            <w:r w:rsidR="00E02F40">
              <w:rPr>
                <w:lang w:val="en-NZ"/>
              </w:rPr>
              <w:t>s</w:t>
            </w:r>
            <w:r w:rsidR="004A72A7">
              <w:rPr>
                <w:lang w:val="en-NZ"/>
              </w:rPr>
              <w:t xml:space="preserve"> of these options ha</w:t>
            </w:r>
            <w:r w:rsidR="00E02F40">
              <w:rPr>
                <w:lang w:val="en-NZ"/>
              </w:rPr>
              <w:t>ve</w:t>
            </w:r>
            <w:r w:rsidR="004A72A7">
              <w:rPr>
                <w:lang w:val="en-NZ"/>
              </w:rPr>
              <w:t xml:space="preserve"> been modelled both including and excluding</w:t>
            </w:r>
            <w:r w:rsidR="00FD1BA0">
              <w:rPr>
                <w:lang w:val="en-NZ"/>
              </w:rPr>
              <w:t xml:space="preserve"> the impact of counterfactual indexation to demonstrate </w:t>
            </w:r>
            <w:r w:rsidR="0067296E">
              <w:rPr>
                <w:lang w:val="en-NZ"/>
              </w:rPr>
              <w:t>what customers will experiences and the real value of the options themselves respectively.</w:t>
            </w:r>
          </w:p>
          <w:p w14:paraId="69396F12" w14:textId="6BDCD603" w:rsidR="00AF5BB8" w:rsidRPr="00BA0E4F" w:rsidRDefault="004D47CC" w:rsidP="009649F7">
            <w:pPr>
              <w:rPr>
                <w:b/>
                <w:bCs/>
                <w:i/>
                <w:iCs/>
                <w:lang w:val="en-NZ"/>
              </w:rPr>
            </w:pPr>
            <w:r w:rsidRPr="00BA0E4F">
              <w:rPr>
                <w:b/>
                <w:bCs/>
                <w:i/>
                <w:iCs/>
                <w:lang w:val="en-NZ"/>
              </w:rPr>
              <w:t>CPI remedial</w:t>
            </w:r>
          </w:p>
          <w:p w14:paraId="7EAF24FE" w14:textId="579AE34F" w:rsidR="00AF5BB8" w:rsidRDefault="00AF5BB8" w:rsidP="009649F7">
            <w:pPr>
              <w:rPr>
                <w:lang w:val="en-NZ"/>
              </w:rPr>
            </w:pPr>
            <w:r>
              <w:rPr>
                <w:lang w:val="en-NZ"/>
              </w:rPr>
              <w:t xml:space="preserve">A remedial amendment to the way in which CPI increases are calculated for the purposes of indexation </w:t>
            </w:r>
            <w:r w:rsidR="000B68F6">
              <w:rPr>
                <w:lang w:val="en-NZ"/>
              </w:rPr>
              <w:t>is proposed and would apply from 1 January 2021</w:t>
            </w:r>
            <w:r>
              <w:rPr>
                <w:lang w:val="en-NZ"/>
              </w:rPr>
              <w:t xml:space="preserve">. This remedial </w:t>
            </w:r>
            <w:r w:rsidR="00272DA4">
              <w:rPr>
                <w:lang w:val="en-NZ"/>
              </w:rPr>
              <w:t xml:space="preserve">would </w:t>
            </w:r>
            <w:r>
              <w:rPr>
                <w:lang w:val="en-NZ"/>
              </w:rPr>
              <w:t xml:space="preserve">remove the exclusion of increases in the prices of cigarettes and other tobacco products from the calculation of increases in the CPI for the purposes of indexing FTC and BSTC rates and returns the calculation of indexation to increases in CPI all groups. Cabinet only intended the exclusion of cigarettes and other tobacco products for the purposes of indexing social assistance to last until the end of </w:t>
            </w:r>
            <w:r w:rsidR="00BA0E4F">
              <w:rPr>
                <w:lang w:val="en-NZ"/>
              </w:rPr>
              <w:t xml:space="preserve">the </w:t>
            </w:r>
            <w:r>
              <w:rPr>
                <w:lang w:val="en-NZ"/>
              </w:rPr>
              <w:t>2020</w:t>
            </w:r>
            <w:r w:rsidR="00BA0E4F">
              <w:rPr>
                <w:lang w:val="en-NZ"/>
              </w:rPr>
              <w:t xml:space="preserve"> calendar year</w:t>
            </w:r>
            <w:r w:rsidR="0020378E">
              <w:rPr>
                <w:lang w:val="en-NZ"/>
              </w:rPr>
              <w:t xml:space="preserve"> so the impact of t</w:t>
            </w:r>
            <w:r w:rsidR="0020378E" w:rsidRPr="0020378E">
              <w:rPr>
                <w:lang w:val="en-NZ"/>
              </w:rPr>
              <w:t xml:space="preserve">his remedial is </w:t>
            </w:r>
            <w:r w:rsidR="0020378E">
              <w:rPr>
                <w:lang w:val="en-NZ"/>
              </w:rPr>
              <w:t>included in the counterfactual for the purpose of analysing the options for phase one of the WFF review.</w:t>
            </w:r>
          </w:p>
          <w:p w14:paraId="48E3378B" w14:textId="07C37BE0" w:rsidR="00E0588E" w:rsidRPr="00224801" w:rsidRDefault="0056352E" w:rsidP="009649F7">
            <w:pPr>
              <w:rPr>
                <w:b/>
                <w:bCs/>
                <w:i/>
                <w:iCs/>
                <w:lang w:val="en-NZ"/>
              </w:rPr>
            </w:pPr>
            <w:r w:rsidRPr="00224801">
              <w:rPr>
                <w:b/>
                <w:bCs/>
                <w:i/>
                <w:iCs/>
                <w:lang w:val="en-NZ"/>
              </w:rPr>
              <w:t xml:space="preserve">Modelling </w:t>
            </w:r>
            <w:r w:rsidR="008C0D3E">
              <w:rPr>
                <w:b/>
                <w:bCs/>
                <w:i/>
                <w:iCs/>
                <w:lang w:val="en-NZ"/>
              </w:rPr>
              <w:t>the impact of CPI indexation</w:t>
            </w:r>
          </w:p>
          <w:p w14:paraId="5734FA0E" w14:textId="125E8DCF" w:rsidR="007F67AA" w:rsidRDefault="007F67AA" w:rsidP="009649F7">
            <w:pPr>
              <w:rPr>
                <w:lang w:val="en-NZ"/>
              </w:rPr>
            </w:pPr>
            <w:r>
              <w:rPr>
                <w:lang w:val="en-NZ"/>
              </w:rPr>
              <w:t>The impacts of each option were modelled</w:t>
            </w:r>
            <w:r w:rsidR="003070F2" w:rsidRPr="001A24E7">
              <w:t xml:space="preserve"> using the Treasury’s micro-simulation model (TAWA)</w:t>
            </w:r>
            <w:r w:rsidR="00A1319F">
              <w:t>.</w:t>
            </w:r>
            <w:r w:rsidR="003070F2">
              <w:rPr>
                <w:rStyle w:val="FootnoteReference"/>
              </w:rPr>
              <w:footnoteReference w:id="2"/>
            </w:r>
            <w:r w:rsidR="003070F2">
              <w:rPr>
                <w:lang w:val="en-NZ"/>
              </w:rPr>
              <w:t xml:space="preserve"> </w:t>
            </w:r>
            <w:r w:rsidR="00BF6922">
              <w:rPr>
                <w:lang w:val="en-NZ"/>
              </w:rPr>
              <w:t xml:space="preserve">Modelling the options was required to inform advice to Ministers before the September 2021 quarter update </w:t>
            </w:r>
            <w:r w:rsidR="009E1D30">
              <w:rPr>
                <w:lang w:val="en-NZ"/>
              </w:rPr>
              <w:t xml:space="preserve">for CPI </w:t>
            </w:r>
            <w:r w:rsidR="00BF6922">
              <w:rPr>
                <w:lang w:val="en-NZ"/>
              </w:rPr>
              <w:t>was released</w:t>
            </w:r>
            <w:r w:rsidR="004C1153">
              <w:rPr>
                <w:lang w:val="en-NZ"/>
              </w:rPr>
              <w:t>.</w:t>
            </w:r>
            <w:r w:rsidR="002B7E8B">
              <w:rPr>
                <w:rStyle w:val="FootnoteReference"/>
                <w:lang w:val="en-NZ"/>
              </w:rPr>
              <w:footnoteReference w:id="3"/>
            </w:r>
            <w:r w:rsidR="004C1153">
              <w:rPr>
                <w:lang w:val="en-NZ"/>
              </w:rPr>
              <w:t xml:space="preserve"> Therefore,</w:t>
            </w:r>
            <w:r w:rsidR="0067296E">
              <w:rPr>
                <w:lang w:val="en-NZ"/>
              </w:rPr>
              <w:t xml:space="preserve"> </w:t>
            </w:r>
            <w:r w:rsidR="00A1319F" w:rsidRPr="00A1319F">
              <w:rPr>
                <w:lang w:val="en-NZ"/>
              </w:rPr>
              <w:t xml:space="preserve">in advice </w:t>
            </w:r>
            <w:r w:rsidR="00A1319F">
              <w:rPr>
                <w:lang w:val="en-NZ"/>
              </w:rPr>
              <w:t xml:space="preserve">provided </w:t>
            </w:r>
            <w:r w:rsidR="00A1319F" w:rsidRPr="00A1319F">
              <w:rPr>
                <w:lang w:val="en-NZ"/>
              </w:rPr>
              <w:t xml:space="preserve">to Ministers </w:t>
            </w:r>
            <w:r w:rsidR="0067296E">
              <w:rPr>
                <w:lang w:val="en-NZ"/>
              </w:rPr>
              <w:t>all outputs</w:t>
            </w:r>
            <w:r w:rsidR="00BF5113">
              <w:rPr>
                <w:lang w:val="en-NZ"/>
              </w:rPr>
              <w:t xml:space="preserve"> </w:t>
            </w:r>
            <w:r w:rsidR="0067296E">
              <w:rPr>
                <w:lang w:val="en-NZ"/>
              </w:rPr>
              <w:t>were calculated using</w:t>
            </w:r>
            <w:r w:rsidR="000846F7">
              <w:rPr>
                <w:lang w:val="en-NZ"/>
              </w:rPr>
              <w:t xml:space="preserve"> </w:t>
            </w:r>
            <w:r w:rsidR="00BF5113">
              <w:rPr>
                <w:lang w:val="en-NZ"/>
              </w:rPr>
              <w:t xml:space="preserve">a counterfactual based upon </w:t>
            </w:r>
            <w:r w:rsidR="000846F7">
              <w:rPr>
                <w:lang w:val="en-NZ"/>
              </w:rPr>
              <w:t xml:space="preserve">the </w:t>
            </w:r>
            <w:r w:rsidR="00BE4A83">
              <w:rPr>
                <w:lang w:val="en-NZ"/>
              </w:rPr>
              <w:t xml:space="preserve">CPI increases forecast in the 2021 </w:t>
            </w:r>
            <w:r w:rsidR="00112E3C" w:rsidRPr="00112E3C">
              <w:rPr>
                <w:lang w:val="en-NZ"/>
              </w:rPr>
              <w:t>Budget Economic and Fiscal Update (BEFU)</w:t>
            </w:r>
            <w:r w:rsidR="00BE4A83">
              <w:rPr>
                <w:lang w:val="en-NZ"/>
              </w:rPr>
              <w:t>. Th</w:t>
            </w:r>
            <w:r w:rsidR="000846F7">
              <w:rPr>
                <w:lang w:val="en-NZ"/>
              </w:rPr>
              <w:t>us, a</w:t>
            </w:r>
            <w:r w:rsidR="004C1153">
              <w:rPr>
                <w:lang w:val="en-NZ"/>
              </w:rPr>
              <w:t>ll outputs</w:t>
            </w:r>
            <w:r w:rsidR="000846F7">
              <w:rPr>
                <w:lang w:val="en-NZ"/>
              </w:rPr>
              <w:t xml:space="preserve"> </w:t>
            </w:r>
            <w:r>
              <w:rPr>
                <w:lang w:val="en-NZ"/>
              </w:rPr>
              <w:t>were</w:t>
            </w:r>
            <w:r w:rsidR="000846F7">
              <w:rPr>
                <w:lang w:val="en-NZ"/>
              </w:rPr>
              <w:t xml:space="preserve"> subject to change.</w:t>
            </w:r>
          </w:p>
          <w:p w14:paraId="021FAF94" w14:textId="30727426" w:rsidR="00112E3C" w:rsidRPr="00050AF6" w:rsidRDefault="00580B2A" w:rsidP="009649F7">
            <w:pPr>
              <w:rPr>
                <w:lang w:val="en-NZ"/>
              </w:rPr>
            </w:pPr>
            <w:r w:rsidRPr="00580B2A">
              <w:rPr>
                <w:lang w:val="en-NZ"/>
              </w:rPr>
              <w:t xml:space="preserve">An updated costing for </w:t>
            </w:r>
            <w:r w:rsidR="007F67AA">
              <w:rPr>
                <w:lang w:val="en-NZ"/>
              </w:rPr>
              <w:t>Ministers’</w:t>
            </w:r>
            <w:r w:rsidRPr="00580B2A">
              <w:rPr>
                <w:lang w:val="en-NZ"/>
              </w:rPr>
              <w:t xml:space="preserve"> chosen option </w:t>
            </w:r>
            <w:r w:rsidR="007F67AA">
              <w:rPr>
                <w:lang w:val="en-NZ"/>
              </w:rPr>
              <w:t>is</w:t>
            </w:r>
            <w:r w:rsidRPr="00580B2A">
              <w:rPr>
                <w:lang w:val="en-NZ"/>
              </w:rPr>
              <w:t xml:space="preserve"> used in the Cabinet paper, based on</w:t>
            </w:r>
            <w:r w:rsidR="00BF5113">
              <w:rPr>
                <w:lang w:val="en-NZ"/>
              </w:rPr>
              <w:t xml:space="preserve"> a counterfactual that</w:t>
            </w:r>
            <w:r w:rsidR="00A42F8D">
              <w:rPr>
                <w:lang w:val="en-NZ"/>
              </w:rPr>
              <w:t xml:space="preserve"> was calculated using</w:t>
            </w:r>
            <w:r w:rsidRPr="00580B2A">
              <w:rPr>
                <w:lang w:val="en-NZ"/>
              </w:rPr>
              <w:t xml:space="preserve"> the actual CPI increase for the September 2021 quarter.</w:t>
            </w:r>
            <w:r w:rsidR="007F67AA">
              <w:rPr>
                <w:lang w:val="en-NZ"/>
              </w:rPr>
              <w:t xml:space="preserve"> This updated costing is included below. However,</w:t>
            </w:r>
            <w:r w:rsidRPr="00580B2A">
              <w:rPr>
                <w:lang w:val="en-NZ"/>
              </w:rPr>
              <w:t xml:space="preserve"> </w:t>
            </w:r>
            <w:r w:rsidR="007F67AA">
              <w:rPr>
                <w:lang w:val="en-NZ"/>
              </w:rPr>
              <w:t>all other outputs in this RIS match those originally provided to Ministers.</w:t>
            </w:r>
            <w:r w:rsidR="004A6184">
              <w:rPr>
                <w:lang w:val="en-NZ"/>
              </w:rPr>
              <w:t xml:space="preserve"> We note that the actual CPI increase for the September 2021 quarter was material</w:t>
            </w:r>
            <w:r w:rsidR="00CF6580">
              <w:rPr>
                <w:lang w:val="en-NZ"/>
              </w:rPr>
              <w:t>l</w:t>
            </w:r>
            <w:r w:rsidR="004A6184">
              <w:rPr>
                <w:lang w:val="en-NZ"/>
              </w:rPr>
              <w:t>y higher than forecast, which will flow through to the distr</w:t>
            </w:r>
            <w:r w:rsidR="00CF6580">
              <w:rPr>
                <w:lang w:val="en-NZ"/>
              </w:rPr>
              <w:t>ibuti</w:t>
            </w:r>
            <w:r w:rsidR="004A6184">
              <w:rPr>
                <w:lang w:val="en-NZ"/>
              </w:rPr>
              <w:t>onal impacts of the policy</w:t>
            </w:r>
            <w:r w:rsidR="00CF6580">
              <w:rPr>
                <w:lang w:val="en-NZ"/>
              </w:rPr>
              <w:t xml:space="preserve"> agreed.</w:t>
            </w:r>
          </w:p>
          <w:p w14:paraId="376BEE73" w14:textId="3981C60F" w:rsidR="006B1827" w:rsidRPr="000B7F3E" w:rsidRDefault="006B1827" w:rsidP="009649F7">
            <w:pPr>
              <w:rPr>
                <w:b/>
                <w:bCs/>
                <w:lang w:val="en-NZ"/>
              </w:rPr>
            </w:pPr>
            <w:r w:rsidRPr="000B7F3E">
              <w:rPr>
                <w:b/>
                <w:bCs/>
                <w:lang w:val="en-NZ"/>
              </w:rPr>
              <w:t xml:space="preserve">FTC </w:t>
            </w:r>
            <w:r w:rsidR="00224801">
              <w:rPr>
                <w:b/>
                <w:bCs/>
                <w:lang w:val="en-NZ"/>
              </w:rPr>
              <w:t xml:space="preserve">rates </w:t>
            </w:r>
            <w:r w:rsidRPr="000B7F3E">
              <w:rPr>
                <w:b/>
                <w:bCs/>
                <w:lang w:val="en-NZ"/>
              </w:rPr>
              <w:t xml:space="preserve">and </w:t>
            </w:r>
            <w:r w:rsidR="000A6AE8">
              <w:rPr>
                <w:b/>
                <w:bCs/>
                <w:lang w:val="en-NZ"/>
              </w:rPr>
              <w:t xml:space="preserve">WFF </w:t>
            </w:r>
            <w:r w:rsidR="000B7F3E" w:rsidRPr="000B7F3E">
              <w:rPr>
                <w:b/>
                <w:bCs/>
                <w:lang w:val="en-NZ"/>
              </w:rPr>
              <w:t>abatement</w:t>
            </w:r>
            <w:r w:rsidR="00224801">
              <w:rPr>
                <w:b/>
                <w:bCs/>
                <w:lang w:val="en-NZ"/>
              </w:rPr>
              <w:t xml:space="preserve"> rate</w:t>
            </w:r>
            <w:r w:rsidR="000B7F3E" w:rsidRPr="000B7F3E">
              <w:rPr>
                <w:b/>
                <w:bCs/>
                <w:lang w:val="en-NZ"/>
              </w:rPr>
              <w:t xml:space="preserve"> changes</w:t>
            </w:r>
          </w:p>
          <w:p w14:paraId="38958131" w14:textId="6CDFA0B8" w:rsidR="00BD7605" w:rsidRDefault="00742828" w:rsidP="009649F7">
            <w:pPr>
              <w:rPr>
                <w:lang w:val="en-NZ"/>
              </w:rPr>
            </w:pPr>
            <w:r>
              <w:rPr>
                <w:lang w:val="en-NZ"/>
              </w:rPr>
              <w:t>Initially, a</w:t>
            </w:r>
            <w:r w:rsidR="00C46417">
              <w:rPr>
                <w:lang w:val="en-NZ"/>
              </w:rPr>
              <w:t xml:space="preserve">gencies provided advice to Income Support Minsters on a range of options for changes to the FTC which varied by cost and the approach to abatement. Based on this advice, Ministers chose a set of parameters which were used to develop a final set of four options for </w:t>
            </w:r>
            <w:r w:rsidR="00A1319F">
              <w:rPr>
                <w:lang w:val="en-NZ"/>
              </w:rPr>
              <w:t xml:space="preserve">them </w:t>
            </w:r>
            <w:r w:rsidR="00C46417">
              <w:rPr>
                <w:lang w:val="en-NZ"/>
              </w:rPr>
              <w:t xml:space="preserve">to decide between. </w:t>
            </w:r>
            <w:r w:rsidR="003961AB">
              <w:rPr>
                <w:lang w:val="en-NZ"/>
              </w:rPr>
              <w:t>The</w:t>
            </w:r>
            <w:r w:rsidR="00ED75E8">
              <w:rPr>
                <w:lang w:val="en-NZ"/>
              </w:rPr>
              <w:t>se final</w:t>
            </w:r>
            <w:r w:rsidR="003961AB">
              <w:rPr>
                <w:lang w:val="en-NZ"/>
              </w:rPr>
              <w:t xml:space="preserve"> options </w:t>
            </w:r>
            <w:r w:rsidR="00716DD1">
              <w:rPr>
                <w:lang w:val="en-NZ"/>
              </w:rPr>
              <w:t>are summarised in the following table</w:t>
            </w:r>
            <w:r w:rsidR="007A5AB4">
              <w:rPr>
                <w:lang w:val="en-NZ"/>
              </w:rPr>
              <w:t xml:space="preserve">. </w:t>
            </w:r>
            <w:r w:rsidR="007C54CE" w:rsidRPr="000519B8">
              <w:rPr>
                <w:lang w:val="en-NZ"/>
              </w:rPr>
              <w:t>Note that</w:t>
            </w:r>
            <w:r w:rsidR="004C565A">
              <w:rPr>
                <w:lang w:val="en-NZ"/>
              </w:rPr>
              <w:t xml:space="preserve">, unless otherwise stated, all outputs </w:t>
            </w:r>
            <w:r w:rsidR="007C54CE" w:rsidRPr="000519B8">
              <w:rPr>
                <w:lang w:val="en-NZ"/>
              </w:rPr>
              <w:t>do not include the impact of CPI indexation.</w:t>
            </w:r>
          </w:p>
          <w:p w14:paraId="5D046EE1" w14:textId="2D812F06" w:rsidR="00BD7605" w:rsidRDefault="007A5AB4" w:rsidP="009649F7">
            <w:pPr>
              <w:pStyle w:val="ListParagraph"/>
              <w:numPr>
                <w:ilvl w:val="0"/>
                <w:numId w:val="9"/>
              </w:numPr>
              <w:rPr>
                <w:lang w:val="en-NZ"/>
              </w:rPr>
            </w:pPr>
            <w:r w:rsidRPr="00BD7605">
              <w:rPr>
                <w:lang w:val="en-NZ"/>
              </w:rPr>
              <w:t>Options A</w:t>
            </w:r>
            <w:r w:rsidR="002B54E5" w:rsidRPr="00BD7605">
              <w:rPr>
                <w:lang w:val="en-NZ"/>
              </w:rPr>
              <w:t>1</w:t>
            </w:r>
            <w:r w:rsidR="61B90974" w:rsidRPr="39FB6EB0">
              <w:rPr>
                <w:lang w:val="en-NZ"/>
              </w:rPr>
              <w:t xml:space="preserve"> </w:t>
            </w:r>
            <w:r w:rsidR="5AC5698C" w:rsidRPr="39FB6EB0">
              <w:rPr>
                <w:lang w:val="en-NZ"/>
              </w:rPr>
              <w:t>-</w:t>
            </w:r>
            <w:r w:rsidR="42515376" w:rsidRPr="39FB6EB0">
              <w:rPr>
                <w:lang w:val="en-NZ"/>
              </w:rPr>
              <w:t xml:space="preserve"> </w:t>
            </w:r>
            <w:r w:rsidR="2B893CBA" w:rsidRPr="39FB6EB0">
              <w:rPr>
                <w:lang w:val="en-NZ"/>
              </w:rPr>
              <w:t>A</w:t>
            </w:r>
            <w:r w:rsidR="581E1AE7" w:rsidRPr="39FB6EB0">
              <w:rPr>
                <w:lang w:val="en-NZ"/>
              </w:rPr>
              <w:t>3</w:t>
            </w:r>
            <w:r w:rsidR="002B54E5" w:rsidRPr="00BD7605">
              <w:rPr>
                <w:lang w:val="en-NZ"/>
              </w:rPr>
              <w:t xml:space="preserve"> relate to a $5 FTC increase</w:t>
            </w:r>
          </w:p>
          <w:p w14:paraId="59001073" w14:textId="5B5A4AA9" w:rsidR="00A43852" w:rsidRDefault="00BD7605" w:rsidP="00A43852">
            <w:pPr>
              <w:pStyle w:val="ListParagraph"/>
              <w:numPr>
                <w:ilvl w:val="0"/>
                <w:numId w:val="9"/>
              </w:numPr>
              <w:rPr>
                <w:lang w:val="en-NZ"/>
              </w:rPr>
            </w:pPr>
            <w:r>
              <w:rPr>
                <w:lang w:val="en-NZ"/>
              </w:rPr>
              <w:t>O</w:t>
            </w:r>
            <w:r w:rsidRPr="00BD7605">
              <w:rPr>
                <w:lang w:val="en-NZ"/>
              </w:rPr>
              <w:t>ption B</w:t>
            </w:r>
            <w:r w:rsidR="007D023A">
              <w:rPr>
                <w:lang w:val="en-NZ"/>
              </w:rPr>
              <w:t xml:space="preserve"> </w:t>
            </w:r>
            <w:r w:rsidRPr="00BD7605">
              <w:rPr>
                <w:lang w:val="en-NZ"/>
              </w:rPr>
              <w:t>relate</w:t>
            </w:r>
            <w:r w:rsidR="007D023A">
              <w:rPr>
                <w:lang w:val="en-NZ"/>
              </w:rPr>
              <w:t>s</w:t>
            </w:r>
            <w:r w:rsidRPr="00BD7605">
              <w:rPr>
                <w:lang w:val="en-NZ"/>
              </w:rPr>
              <w:t xml:space="preserve"> to a $7.50 FTC increase</w:t>
            </w:r>
          </w:p>
          <w:p w14:paraId="31EF2437" w14:textId="67375DEB" w:rsidR="00A43852" w:rsidRDefault="00A43852" w:rsidP="00A43852">
            <w:pPr>
              <w:rPr>
                <w:lang w:val="en-NZ"/>
              </w:rPr>
            </w:pPr>
          </w:p>
          <w:p w14:paraId="2FB9011B" w14:textId="77777777" w:rsidR="00D35C09" w:rsidRPr="00A43852" w:rsidRDefault="00D35C09" w:rsidP="00A43852">
            <w:pPr>
              <w:rPr>
                <w:lang w:val="en-NZ"/>
              </w:rPr>
            </w:pPr>
          </w:p>
          <w:tbl>
            <w:tblPr>
              <w:tblStyle w:val="TableGrid"/>
              <w:tblW w:w="0" w:type="auto"/>
              <w:tblLook w:val="04A0" w:firstRow="1" w:lastRow="0" w:firstColumn="1" w:lastColumn="0" w:noHBand="0" w:noVBand="1"/>
            </w:tblPr>
            <w:tblGrid>
              <w:gridCol w:w="1086"/>
              <w:gridCol w:w="709"/>
              <w:gridCol w:w="819"/>
              <w:gridCol w:w="969"/>
              <w:gridCol w:w="723"/>
              <w:gridCol w:w="801"/>
              <w:gridCol w:w="808"/>
              <w:gridCol w:w="730"/>
              <w:gridCol w:w="768"/>
              <w:gridCol w:w="645"/>
              <w:gridCol w:w="781"/>
            </w:tblGrid>
            <w:tr w:rsidR="00352EE8" w14:paraId="4FADAF37" w14:textId="77777777" w:rsidTr="00791162">
              <w:trPr>
                <w:trHeight w:val="18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3B07CC1" w14:textId="3B31F372" w:rsidR="00BE26CA" w:rsidRPr="00791162" w:rsidRDefault="00BE26CA" w:rsidP="00A05D58">
                  <w:pPr>
                    <w:spacing w:after="0" w:line="240" w:lineRule="auto"/>
                    <w:contextualSpacing/>
                    <w:jc w:val="center"/>
                    <w:rPr>
                      <w:rFonts w:cs="Arial"/>
                      <w:b/>
                      <w:bCs/>
                      <w:sz w:val="14"/>
                      <w:szCs w:val="14"/>
                      <w:lang w:val="en-NZ" w:eastAsia="en-NZ"/>
                    </w:rPr>
                  </w:pPr>
                  <w:r w:rsidRPr="00791162">
                    <w:rPr>
                      <w:rFonts w:cs="Arial"/>
                      <w:b/>
                      <w:bCs/>
                      <w:sz w:val="14"/>
                      <w:szCs w:val="14"/>
                    </w:rPr>
                    <w:t>FTC rate and abatement rate options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54AEFC36" w14:textId="77777777" w:rsidR="00BE26CA" w:rsidRPr="00791162" w:rsidRDefault="00BE26CA" w:rsidP="00A05D58">
                  <w:pPr>
                    <w:spacing w:after="0" w:line="240" w:lineRule="auto"/>
                    <w:contextualSpacing/>
                    <w:jc w:val="center"/>
                    <w:rPr>
                      <w:rFonts w:cs="Arial"/>
                      <w:b/>
                      <w:bCs/>
                      <w:sz w:val="14"/>
                      <w:szCs w:val="14"/>
                    </w:rPr>
                  </w:pPr>
                  <w:r w:rsidRPr="00791162">
                    <w:rPr>
                      <w:rFonts w:cs="Arial"/>
                      <w:b/>
                      <w:bCs/>
                      <w:sz w:val="14"/>
                      <w:szCs w:val="14"/>
                    </w:rPr>
                    <w:t>FTC increase per child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580E8672" w14:textId="77777777" w:rsidR="00BE26CA" w:rsidRPr="00791162" w:rsidRDefault="00BE26CA" w:rsidP="009649F7">
                  <w:pPr>
                    <w:spacing w:after="0" w:line="240" w:lineRule="auto"/>
                    <w:contextualSpacing/>
                    <w:jc w:val="center"/>
                    <w:rPr>
                      <w:rFonts w:cs="Arial"/>
                      <w:b/>
                      <w:bCs/>
                      <w:sz w:val="14"/>
                      <w:szCs w:val="14"/>
                    </w:rPr>
                  </w:pPr>
                  <w:r w:rsidRPr="00791162">
                    <w:rPr>
                      <w:rFonts w:cs="Arial"/>
                      <w:b/>
                      <w:bCs/>
                      <w:sz w:val="14"/>
                      <w:szCs w:val="14"/>
                    </w:rPr>
                    <w:t>Abatement rate</w:t>
                  </w:r>
                </w:p>
              </w:tc>
              <w:tc>
                <w:tcPr>
                  <w:tcW w:w="0" w:type="auto"/>
                  <w:vMerge w:val="restart"/>
                  <w:tcBorders>
                    <w:top w:val="single" w:sz="4" w:space="0" w:color="000000"/>
                    <w:left w:val="single" w:sz="4" w:space="0" w:color="000000"/>
                    <w:right w:val="single" w:sz="4" w:space="0" w:color="000000"/>
                  </w:tcBorders>
                  <w:shd w:val="clear" w:color="auto" w:fill="F7CAAC" w:themeFill="accent2" w:themeFillTint="66"/>
                  <w:vAlign w:val="center"/>
                </w:tcPr>
                <w:p w14:paraId="0CBCCE62" w14:textId="7B31A3B6" w:rsidR="00BE26CA" w:rsidRPr="00791162" w:rsidRDefault="00BE26CA" w:rsidP="00B020EB">
                  <w:pPr>
                    <w:spacing w:after="0" w:line="240" w:lineRule="auto"/>
                    <w:contextualSpacing/>
                    <w:jc w:val="center"/>
                    <w:rPr>
                      <w:b/>
                      <w:bCs/>
                      <w:sz w:val="14"/>
                      <w:szCs w:val="14"/>
                    </w:rPr>
                  </w:pPr>
                  <w:r w:rsidRPr="00791162">
                    <w:rPr>
                      <w:b/>
                      <w:bCs/>
                      <w:sz w:val="14"/>
                      <w:szCs w:val="14"/>
                    </w:rPr>
                    <w:t>Annual cost</w:t>
                  </w:r>
                </w:p>
              </w:tc>
              <w:tc>
                <w:tcPr>
                  <w:tcW w:w="0" w:type="auto"/>
                  <w:gridSpan w:val="2"/>
                  <w:tcBorders>
                    <w:top w:val="single" w:sz="4" w:space="0" w:color="000000"/>
                    <w:left w:val="single" w:sz="4" w:space="0" w:color="000000"/>
                    <w:bottom w:val="single" w:sz="4" w:space="0" w:color="000000"/>
                  </w:tcBorders>
                  <w:shd w:val="clear" w:color="auto" w:fill="FFE599" w:themeFill="accent4" w:themeFillTint="66"/>
                  <w:vAlign w:val="center"/>
                </w:tcPr>
                <w:p w14:paraId="6A029F67" w14:textId="5193DAE2" w:rsidR="00BE26CA" w:rsidRPr="00791162" w:rsidRDefault="00BE26CA" w:rsidP="00BF7F0B">
                  <w:pPr>
                    <w:spacing w:after="0" w:line="240" w:lineRule="auto"/>
                    <w:contextualSpacing/>
                    <w:jc w:val="center"/>
                    <w:rPr>
                      <w:rFonts w:cs="Arial"/>
                      <w:b/>
                      <w:bCs/>
                      <w:sz w:val="14"/>
                      <w:szCs w:val="14"/>
                    </w:rPr>
                  </w:pPr>
                  <w:r w:rsidRPr="00791162">
                    <w:rPr>
                      <w:b/>
                      <w:bCs/>
                      <w:sz w:val="14"/>
                      <w:szCs w:val="14"/>
                    </w:rPr>
                    <w:t>Children lifted from poverty</w:t>
                  </w:r>
                  <w:r w:rsidRPr="00791162">
                    <w:rPr>
                      <w:b/>
                      <w:bCs/>
                      <w:position w:val="8"/>
                      <w:sz w:val="14"/>
                      <w:szCs w:val="14"/>
                    </w:rPr>
                    <w:footnoteReference w:id="4"/>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4048B3A8" w14:textId="7A1EF6D0" w:rsidR="00BE26CA" w:rsidRPr="00791162" w:rsidRDefault="00BE26CA" w:rsidP="00AC6F3B">
                  <w:pPr>
                    <w:spacing w:after="0" w:line="240" w:lineRule="auto"/>
                    <w:contextualSpacing/>
                    <w:jc w:val="center"/>
                    <w:rPr>
                      <w:rFonts w:cs="Arial"/>
                      <w:b/>
                      <w:bCs/>
                      <w:sz w:val="14"/>
                      <w:szCs w:val="14"/>
                    </w:rPr>
                  </w:pPr>
                  <w:r w:rsidRPr="00791162">
                    <w:rPr>
                      <w:rFonts w:cs="Arial"/>
                      <w:b/>
                      <w:bCs/>
                      <w:sz w:val="14"/>
                      <w:szCs w:val="14"/>
                    </w:rPr>
                    <w:t>Gains and losses for households</w:t>
                  </w:r>
                </w:p>
              </w:tc>
            </w:tr>
            <w:tr w:rsidR="00791162" w14:paraId="23F5C61A" w14:textId="77777777" w:rsidTr="00791162">
              <w:trPr>
                <w:trHeight w:val="18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C27F" w14:textId="77777777" w:rsidR="00BE26CA" w:rsidRPr="00791162" w:rsidRDefault="00BE26CA">
                  <w:pPr>
                    <w:spacing w:after="0" w:line="240" w:lineRule="auto"/>
                    <w:contextualSpacing/>
                    <w:jc w:val="center"/>
                    <w:rPr>
                      <w:rFonts w:cs="Arial"/>
                      <w:b/>
                      <w:bCs/>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15D6317" w14:textId="77777777" w:rsidR="00BE26CA" w:rsidRPr="00791162" w:rsidRDefault="00BE26CA">
                  <w:pPr>
                    <w:spacing w:after="0" w:line="240" w:lineRule="auto"/>
                    <w:contextualSpacing/>
                    <w:jc w:val="center"/>
                    <w:rPr>
                      <w:rFonts w:cs="Arial"/>
                      <w:sz w:val="14"/>
                      <w:szCs w:val="14"/>
                    </w:rPr>
                  </w:pPr>
                  <w:r w:rsidRPr="00791162">
                    <w:rPr>
                      <w:rFonts w:cs="Arial"/>
                      <w:sz w:val="14"/>
                      <w:szCs w:val="14"/>
                    </w:rPr>
                    <w:t>Rate change</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26AF6B35" w14:textId="77777777" w:rsidR="00BE26CA" w:rsidRPr="00791162" w:rsidRDefault="00BE26CA">
                  <w:pPr>
                    <w:spacing w:after="0" w:line="240" w:lineRule="auto"/>
                    <w:contextualSpacing/>
                    <w:jc w:val="center"/>
                    <w:rPr>
                      <w:rFonts w:cs="Arial"/>
                      <w:sz w:val="14"/>
                      <w:szCs w:val="14"/>
                    </w:rPr>
                  </w:pPr>
                  <w:r w:rsidRPr="00791162">
                    <w:rPr>
                      <w:rFonts w:cs="Arial"/>
                      <w:sz w:val="14"/>
                      <w:szCs w:val="14"/>
                    </w:rPr>
                    <w:t>Total with CPI (eldest &amp; subs. child)</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0A1DA" w14:textId="77777777" w:rsidR="00BE26CA" w:rsidRPr="00791162" w:rsidRDefault="00BE26CA">
                  <w:pPr>
                    <w:spacing w:after="0" w:line="240" w:lineRule="auto"/>
                    <w:contextualSpacing/>
                    <w:jc w:val="center"/>
                    <w:rPr>
                      <w:rFonts w:cs="Arial"/>
                      <w:b/>
                      <w:bCs/>
                      <w:sz w:val="14"/>
                      <w:szCs w:val="14"/>
                    </w:rPr>
                  </w:pPr>
                </w:p>
              </w:tc>
              <w:tc>
                <w:tcPr>
                  <w:tcW w:w="0" w:type="auto"/>
                  <w:vMerge/>
                  <w:tcBorders>
                    <w:left w:val="single" w:sz="4" w:space="0" w:color="000000"/>
                    <w:right w:val="single" w:sz="4" w:space="0" w:color="000000"/>
                  </w:tcBorders>
                  <w:shd w:val="clear" w:color="auto" w:fill="F7CAAC" w:themeFill="accent2" w:themeFillTint="66"/>
                </w:tcPr>
                <w:p w14:paraId="16835A3F" w14:textId="77777777" w:rsidR="00BE26CA" w:rsidRPr="00791162" w:rsidRDefault="00BE26CA">
                  <w:pPr>
                    <w:spacing w:after="0" w:line="240" w:lineRule="auto"/>
                    <w:contextualSpacing/>
                    <w:jc w:val="center"/>
                    <w:rPr>
                      <w:sz w:val="14"/>
                      <w:szCs w:val="14"/>
                    </w:rPr>
                  </w:pPr>
                </w:p>
              </w:tc>
              <w:tc>
                <w:tcPr>
                  <w:tcW w:w="0" w:type="auto"/>
                  <w:tcBorders>
                    <w:left w:val="single" w:sz="4" w:space="0" w:color="000000"/>
                  </w:tcBorders>
                  <w:shd w:val="clear" w:color="auto" w:fill="FFE599" w:themeFill="accent4" w:themeFillTint="66"/>
                  <w:vAlign w:val="center"/>
                </w:tcPr>
                <w:p w14:paraId="6F1064A9" w14:textId="44458508" w:rsidR="00BE26CA" w:rsidRPr="00791162" w:rsidRDefault="00BE26CA">
                  <w:pPr>
                    <w:spacing w:after="0" w:line="240" w:lineRule="auto"/>
                    <w:contextualSpacing/>
                    <w:jc w:val="center"/>
                    <w:rPr>
                      <w:rFonts w:cs="Arial"/>
                      <w:sz w:val="14"/>
                      <w:szCs w:val="14"/>
                    </w:rPr>
                  </w:pPr>
                  <w:r w:rsidRPr="00791162">
                    <w:rPr>
                      <w:sz w:val="14"/>
                      <w:szCs w:val="14"/>
                    </w:rPr>
                    <w:t>BHC50</w:t>
                  </w:r>
                  <w:r w:rsidRPr="00791162">
                    <w:rPr>
                      <w:rStyle w:val="FootnoteReference"/>
                      <w:sz w:val="14"/>
                      <w:szCs w:val="14"/>
                    </w:rPr>
                    <w:footnoteReference w:id="5"/>
                  </w:r>
                </w:p>
              </w:tc>
              <w:tc>
                <w:tcPr>
                  <w:tcW w:w="0" w:type="auto"/>
                  <w:shd w:val="clear" w:color="auto" w:fill="FFE599" w:themeFill="accent4" w:themeFillTint="66"/>
                  <w:vAlign w:val="center"/>
                </w:tcPr>
                <w:p w14:paraId="1000F67A" w14:textId="6AD46574" w:rsidR="00BE26CA" w:rsidRPr="00791162" w:rsidRDefault="00BE26CA">
                  <w:pPr>
                    <w:spacing w:after="0" w:line="240" w:lineRule="auto"/>
                    <w:contextualSpacing/>
                    <w:jc w:val="center"/>
                    <w:rPr>
                      <w:rFonts w:cs="Arial"/>
                      <w:sz w:val="14"/>
                      <w:szCs w:val="14"/>
                    </w:rPr>
                  </w:pPr>
                  <w:r w:rsidRPr="00791162">
                    <w:rPr>
                      <w:sz w:val="14"/>
                      <w:szCs w:val="14"/>
                    </w:rPr>
                    <w:t>AHC50</w:t>
                  </w:r>
                  <w:r w:rsidRPr="00791162">
                    <w:rPr>
                      <w:rStyle w:val="FootnoteReference"/>
                      <w:sz w:val="14"/>
                      <w:szCs w:val="14"/>
                    </w:rPr>
                    <w:footnoteReference w:id="6"/>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3D3DFA9E" w14:textId="751DB6F6" w:rsidR="00BE26CA" w:rsidRPr="00791162" w:rsidRDefault="00BE26CA">
                  <w:pPr>
                    <w:spacing w:after="0" w:line="240" w:lineRule="auto"/>
                    <w:contextualSpacing/>
                    <w:jc w:val="center"/>
                    <w:rPr>
                      <w:rFonts w:cs="Arial"/>
                      <w:sz w:val="14"/>
                      <w:szCs w:val="14"/>
                    </w:rPr>
                  </w:pPr>
                  <w:r w:rsidRPr="00791162">
                    <w:rPr>
                      <w:rFonts w:cs="Arial"/>
                      <w:sz w:val="14"/>
                      <w:szCs w:val="14"/>
                    </w:rPr>
                    <w:t>Winners</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0DC451BF" w14:textId="77777777" w:rsidR="00BE26CA" w:rsidRPr="00791162" w:rsidRDefault="00BE26CA">
                  <w:pPr>
                    <w:spacing w:after="0" w:line="240" w:lineRule="auto"/>
                    <w:contextualSpacing/>
                    <w:jc w:val="center"/>
                    <w:rPr>
                      <w:rFonts w:cs="Arial"/>
                      <w:sz w:val="14"/>
                      <w:szCs w:val="14"/>
                    </w:rPr>
                  </w:pPr>
                  <w:r w:rsidRPr="00791162">
                    <w:rPr>
                      <w:rFonts w:cs="Arial"/>
                      <w:sz w:val="14"/>
                      <w:szCs w:val="14"/>
                    </w:rPr>
                    <w:t>Average gain</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3F80D7C4" w14:textId="77777777" w:rsidR="00BE26CA" w:rsidRPr="00791162" w:rsidRDefault="00BE26CA">
                  <w:pPr>
                    <w:spacing w:after="0" w:line="240" w:lineRule="auto"/>
                    <w:contextualSpacing/>
                    <w:jc w:val="center"/>
                    <w:rPr>
                      <w:rFonts w:cs="Arial"/>
                      <w:sz w:val="14"/>
                      <w:szCs w:val="14"/>
                    </w:rPr>
                  </w:pPr>
                  <w:r w:rsidRPr="00791162">
                    <w:rPr>
                      <w:rFonts w:cs="Arial"/>
                      <w:sz w:val="14"/>
                      <w:szCs w:val="14"/>
                    </w:rPr>
                    <w:t>Losers</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4CE249B4" w14:textId="77777777" w:rsidR="00BE26CA" w:rsidRPr="00791162" w:rsidRDefault="00BE26CA">
                  <w:pPr>
                    <w:spacing w:after="0" w:line="240" w:lineRule="auto"/>
                    <w:contextualSpacing/>
                    <w:jc w:val="center"/>
                    <w:rPr>
                      <w:rFonts w:cs="Arial"/>
                      <w:sz w:val="14"/>
                      <w:szCs w:val="14"/>
                    </w:rPr>
                  </w:pPr>
                  <w:r w:rsidRPr="00791162">
                    <w:rPr>
                      <w:rFonts w:cs="Arial"/>
                      <w:sz w:val="14"/>
                      <w:szCs w:val="14"/>
                    </w:rPr>
                    <w:t>Average losses</w:t>
                  </w:r>
                </w:p>
              </w:tc>
            </w:tr>
            <w:tr w:rsidR="00791162" w14:paraId="2629EFBE" w14:textId="77777777" w:rsidTr="00791162">
              <w:trPr>
                <w:trHeight w:val="175"/>
              </w:trPr>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9FD12F6" w14:textId="77777777" w:rsidR="00BE26CA" w:rsidRPr="00791162" w:rsidRDefault="00BE26CA" w:rsidP="00A05D58">
                  <w:pPr>
                    <w:spacing w:after="0" w:line="240" w:lineRule="auto"/>
                    <w:contextualSpacing/>
                    <w:jc w:val="center"/>
                    <w:rPr>
                      <w:rFonts w:cs="Arial"/>
                      <w:b/>
                      <w:bCs/>
                      <w:sz w:val="14"/>
                      <w:szCs w:val="14"/>
                    </w:rPr>
                  </w:pPr>
                  <w:r w:rsidRPr="00791162">
                    <w:rPr>
                      <w:rFonts w:cs="Arial"/>
                      <w:b/>
                      <w:bCs/>
                      <w:sz w:val="14"/>
                      <w:szCs w:val="14"/>
                    </w:rPr>
                    <w:t>A1</w:t>
                  </w:r>
                </w:p>
                <w:p w14:paraId="32A9E99D" w14:textId="10EF7C95" w:rsidR="00BE26CA" w:rsidRPr="00791162" w:rsidRDefault="00BE26CA" w:rsidP="00A05D58">
                  <w:pPr>
                    <w:spacing w:after="0" w:line="240" w:lineRule="auto"/>
                    <w:contextualSpacing/>
                    <w:jc w:val="center"/>
                    <w:rPr>
                      <w:rFonts w:cs="Arial"/>
                      <w:b/>
                      <w:bCs/>
                      <w:sz w:val="14"/>
                      <w:szCs w:val="14"/>
                    </w:rPr>
                  </w:pPr>
                  <w:r w:rsidRPr="00791162">
                    <w:rPr>
                      <w:rFonts w:cs="Arial"/>
                      <w:b/>
                      <w:bCs/>
                      <w:sz w:val="14"/>
                      <w:szCs w:val="14"/>
                    </w:rPr>
                    <w:t xml:space="preserve">($5 FTC, 25% </w:t>
                  </w:r>
                  <w:proofErr w:type="spellStart"/>
                  <w:r w:rsidRPr="00791162">
                    <w:rPr>
                      <w:rFonts w:cs="Arial"/>
                      <w:b/>
                      <w:bCs/>
                      <w:sz w:val="14"/>
                      <w:szCs w:val="14"/>
                    </w:rPr>
                    <w:t>ab</w:t>
                  </w:r>
                  <w:r w:rsidR="00064D7F" w:rsidRPr="00791162">
                    <w:rPr>
                      <w:rFonts w:cs="Arial"/>
                      <w:b/>
                      <w:bCs/>
                      <w:sz w:val="14"/>
                      <w:szCs w:val="14"/>
                    </w:rPr>
                    <w:t>mt</w:t>
                  </w:r>
                  <w:proofErr w:type="spellEnd"/>
                  <w:r w:rsidRPr="00791162">
                    <w:rPr>
                      <w:rFonts w:cs="Arial"/>
                      <w:b/>
                      <w:bCs/>
                      <w:sz w:val="14"/>
                      <w:szCs w:val="14"/>
                    </w:rPr>
                    <w:t>)</w:t>
                  </w:r>
                </w:p>
                <w:p w14:paraId="26BD9802" w14:textId="0DDEAD45" w:rsidR="00BE26CA" w:rsidRPr="00791162" w:rsidRDefault="00BE26CA" w:rsidP="00A05D58">
                  <w:pPr>
                    <w:spacing w:after="0" w:line="240" w:lineRule="auto"/>
                    <w:contextualSpacing/>
                    <w:jc w:val="center"/>
                    <w:rPr>
                      <w:rFonts w:cs="Arial"/>
                      <w:b/>
                      <w:bCs/>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527D3FEB" w14:textId="77777777" w:rsidR="00BE26CA" w:rsidRPr="00791162" w:rsidRDefault="00BE26CA" w:rsidP="009649F7">
                  <w:pPr>
                    <w:spacing w:after="0" w:line="240" w:lineRule="auto"/>
                    <w:contextualSpacing/>
                    <w:jc w:val="center"/>
                    <w:rPr>
                      <w:rFonts w:cs="Arial"/>
                      <w:sz w:val="14"/>
                      <w:szCs w:val="14"/>
                    </w:rPr>
                  </w:pPr>
                  <w:r w:rsidRPr="00791162">
                    <w:rPr>
                      <w:rFonts w:cs="Arial"/>
                      <w:sz w:val="14"/>
                      <w:szCs w:val="14"/>
                    </w:rPr>
                    <w:t>$5</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A0A073E" w14:textId="77777777" w:rsidR="00BE26CA" w:rsidRPr="00791162" w:rsidRDefault="00BE26CA" w:rsidP="00B020EB">
                  <w:pPr>
                    <w:spacing w:after="0" w:line="240" w:lineRule="auto"/>
                    <w:contextualSpacing/>
                    <w:jc w:val="center"/>
                    <w:rPr>
                      <w:rFonts w:cs="Arial"/>
                      <w:sz w:val="14"/>
                      <w:szCs w:val="14"/>
                    </w:rPr>
                  </w:pPr>
                  <w:r w:rsidRPr="00791162">
                    <w:rPr>
                      <w:rFonts w:cs="Arial"/>
                      <w:color w:val="000000"/>
                      <w:sz w:val="14"/>
                      <w:szCs w:val="14"/>
                    </w:rPr>
                    <w:t>$11.71 and $10.42</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5DC4AC70" w14:textId="77777777" w:rsidR="00BE26CA" w:rsidRPr="00791162" w:rsidRDefault="00BE26CA" w:rsidP="00BF7F0B">
                  <w:pPr>
                    <w:spacing w:after="0" w:line="240" w:lineRule="auto"/>
                    <w:contextualSpacing/>
                    <w:jc w:val="center"/>
                    <w:rPr>
                      <w:rFonts w:cs="Arial"/>
                      <w:sz w:val="14"/>
                      <w:szCs w:val="14"/>
                    </w:rPr>
                  </w:pPr>
                  <w:r w:rsidRPr="00791162">
                    <w:rPr>
                      <w:rFonts w:cs="Arial"/>
                      <w:sz w:val="14"/>
                      <w:szCs w:val="14"/>
                    </w:rPr>
                    <w:t>25%</w:t>
                  </w:r>
                </w:p>
                <w:p w14:paraId="5D183980" w14:textId="77777777" w:rsidR="00BE26CA" w:rsidRPr="00791162" w:rsidRDefault="00BE26CA" w:rsidP="00AC6F3B">
                  <w:pPr>
                    <w:spacing w:after="0" w:line="240" w:lineRule="auto"/>
                    <w:contextualSpacing/>
                    <w:jc w:val="center"/>
                    <w:rPr>
                      <w:rFonts w:cs="Arial"/>
                      <w:sz w:val="14"/>
                      <w:szCs w:val="14"/>
                    </w:rPr>
                  </w:pPr>
                  <w:r w:rsidRPr="00791162">
                    <w:rPr>
                      <w:rFonts w:cs="Arial"/>
                      <w:sz w:val="14"/>
                      <w:szCs w:val="14"/>
                    </w:rPr>
                    <w:t>(No change)</w:t>
                  </w:r>
                </w:p>
              </w:tc>
              <w:tc>
                <w:tcPr>
                  <w:tcW w:w="0" w:type="auto"/>
                  <w:shd w:val="clear" w:color="auto" w:fill="FBE4D5" w:themeFill="accent2" w:themeFillTint="33"/>
                  <w:vAlign w:val="center"/>
                </w:tcPr>
                <w:p w14:paraId="495ACF6F" w14:textId="41F487C5" w:rsidR="00BE26CA" w:rsidRPr="00791162" w:rsidRDefault="00BE26CA">
                  <w:pPr>
                    <w:spacing w:after="0" w:line="240" w:lineRule="auto"/>
                    <w:contextualSpacing/>
                    <w:jc w:val="center"/>
                    <w:rPr>
                      <w:sz w:val="14"/>
                      <w:szCs w:val="14"/>
                    </w:rPr>
                  </w:pPr>
                  <w:r w:rsidRPr="00791162">
                    <w:rPr>
                      <w:sz w:val="14"/>
                      <w:szCs w:val="14"/>
                    </w:rPr>
                    <w:t>$158m</w:t>
                  </w:r>
                </w:p>
              </w:tc>
              <w:tc>
                <w:tcPr>
                  <w:tcW w:w="0" w:type="auto"/>
                  <w:shd w:val="clear" w:color="auto" w:fill="FFF2CC" w:themeFill="accent4" w:themeFillTint="33"/>
                  <w:vAlign w:val="center"/>
                </w:tcPr>
                <w:p w14:paraId="4F543C98" w14:textId="20978894" w:rsidR="00BE26CA" w:rsidRPr="00791162" w:rsidRDefault="00BE26CA">
                  <w:pPr>
                    <w:spacing w:after="0" w:line="240" w:lineRule="auto"/>
                    <w:contextualSpacing/>
                    <w:jc w:val="center"/>
                    <w:rPr>
                      <w:rFonts w:cs="Arial"/>
                      <w:sz w:val="14"/>
                      <w:szCs w:val="14"/>
                    </w:rPr>
                  </w:pPr>
                  <w:r w:rsidRPr="00791162">
                    <w:rPr>
                      <w:sz w:val="14"/>
                      <w:szCs w:val="14"/>
                    </w:rPr>
                    <w:t xml:space="preserve">5,000 </w:t>
                  </w:r>
                  <w:r w:rsidRPr="00791162">
                    <w:rPr>
                      <w:rFonts w:ascii="Verdana" w:hAnsi="Verdana"/>
                      <w:sz w:val="14"/>
                      <w:szCs w:val="14"/>
                    </w:rPr>
                    <w:t>(± 4,000)</w:t>
                  </w:r>
                </w:p>
              </w:tc>
              <w:tc>
                <w:tcPr>
                  <w:tcW w:w="0" w:type="auto"/>
                  <w:shd w:val="clear" w:color="auto" w:fill="FFF2CC" w:themeFill="accent4" w:themeFillTint="33"/>
                  <w:vAlign w:val="center"/>
                </w:tcPr>
                <w:p w14:paraId="422C8A01" w14:textId="41B5EEC8" w:rsidR="00BE26CA" w:rsidRPr="00791162" w:rsidRDefault="00BE26CA">
                  <w:pPr>
                    <w:spacing w:after="0" w:line="240" w:lineRule="auto"/>
                    <w:contextualSpacing/>
                    <w:jc w:val="center"/>
                    <w:rPr>
                      <w:rFonts w:cs="Arial"/>
                      <w:sz w:val="14"/>
                      <w:szCs w:val="14"/>
                    </w:rPr>
                  </w:pPr>
                  <w:r w:rsidRPr="00791162">
                    <w:rPr>
                      <w:sz w:val="14"/>
                      <w:szCs w:val="14"/>
                    </w:rPr>
                    <w:t xml:space="preserve">9,000 </w:t>
                  </w:r>
                  <w:r w:rsidRPr="00791162">
                    <w:rPr>
                      <w:rFonts w:ascii="Verdana" w:hAnsi="Verdana"/>
                      <w:sz w:val="14"/>
                      <w:szCs w:val="14"/>
                    </w:rPr>
                    <w:t>(± 6,000)</w:t>
                  </w:r>
                </w:p>
              </w:tc>
              <w:tc>
                <w:tcPr>
                  <w:tcW w:w="0" w:type="auto"/>
                  <w:shd w:val="clear" w:color="auto" w:fill="D9E2F3" w:themeFill="accent5" w:themeFillTint="33"/>
                  <w:vAlign w:val="center"/>
                </w:tcPr>
                <w:p w14:paraId="0562C429" w14:textId="2A13518E" w:rsidR="00BE26CA" w:rsidRPr="00791162" w:rsidRDefault="00BE26CA">
                  <w:pPr>
                    <w:spacing w:after="0" w:line="240" w:lineRule="auto"/>
                    <w:contextualSpacing/>
                    <w:jc w:val="center"/>
                    <w:rPr>
                      <w:rFonts w:cs="Arial"/>
                      <w:sz w:val="14"/>
                      <w:szCs w:val="14"/>
                    </w:rPr>
                  </w:pPr>
                  <w:r w:rsidRPr="00791162">
                    <w:rPr>
                      <w:rFonts w:cs="Arial"/>
                      <w:sz w:val="14"/>
                      <w:szCs w:val="14"/>
                    </w:rPr>
                    <w:t>316,000</w:t>
                  </w:r>
                </w:p>
              </w:tc>
              <w:tc>
                <w:tcPr>
                  <w:tcW w:w="0" w:type="auto"/>
                  <w:shd w:val="clear" w:color="auto" w:fill="D9E2F3" w:themeFill="accent5" w:themeFillTint="33"/>
                  <w:vAlign w:val="center"/>
                </w:tcPr>
                <w:p w14:paraId="390C1882" w14:textId="77777777" w:rsidR="00BE26CA" w:rsidRPr="00791162" w:rsidRDefault="00BE26CA">
                  <w:pPr>
                    <w:spacing w:after="0" w:line="240" w:lineRule="auto"/>
                    <w:contextualSpacing/>
                    <w:jc w:val="center"/>
                    <w:rPr>
                      <w:rFonts w:cs="Arial"/>
                      <w:sz w:val="14"/>
                      <w:szCs w:val="14"/>
                    </w:rPr>
                  </w:pPr>
                  <w:r w:rsidRPr="00791162">
                    <w:rPr>
                      <w:rFonts w:cs="Arial"/>
                      <w:sz w:val="14"/>
                      <w:szCs w:val="14"/>
                    </w:rPr>
                    <w:t>$10</w:t>
                  </w:r>
                </w:p>
              </w:tc>
              <w:tc>
                <w:tcPr>
                  <w:tcW w:w="0" w:type="auto"/>
                  <w:shd w:val="clear" w:color="auto" w:fill="D9E2F3" w:themeFill="accent5" w:themeFillTint="33"/>
                  <w:vAlign w:val="center"/>
                </w:tcPr>
                <w:p w14:paraId="2015153C" w14:textId="63B7CA79" w:rsidR="00BE26CA" w:rsidRPr="00791162" w:rsidRDefault="00BE26CA">
                  <w:pPr>
                    <w:spacing w:after="0" w:line="240" w:lineRule="auto"/>
                    <w:contextualSpacing/>
                    <w:jc w:val="center"/>
                    <w:rPr>
                      <w:rFonts w:cs="Arial"/>
                      <w:sz w:val="14"/>
                      <w:szCs w:val="14"/>
                    </w:rPr>
                  </w:pPr>
                  <w:r w:rsidRPr="00791162">
                    <w:rPr>
                      <w:rFonts w:cs="Arial"/>
                      <w:sz w:val="14"/>
                      <w:szCs w:val="14"/>
                    </w:rPr>
                    <w:t>S</w:t>
                  </w:r>
                  <w:r w:rsidRPr="00791162">
                    <w:rPr>
                      <w:rStyle w:val="FootnoteReference"/>
                      <w:rFonts w:cs="Arial"/>
                      <w:sz w:val="14"/>
                      <w:szCs w:val="14"/>
                    </w:rPr>
                    <w:footnoteReference w:id="7"/>
                  </w:r>
                </w:p>
              </w:tc>
              <w:tc>
                <w:tcPr>
                  <w:tcW w:w="0" w:type="auto"/>
                  <w:shd w:val="clear" w:color="auto" w:fill="D9E2F3" w:themeFill="accent5" w:themeFillTint="33"/>
                  <w:vAlign w:val="center"/>
                </w:tcPr>
                <w:p w14:paraId="63DC68C0" w14:textId="77777777" w:rsidR="00BE26CA" w:rsidRPr="00791162" w:rsidRDefault="00BE26CA">
                  <w:pPr>
                    <w:spacing w:after="0" w:line="240" w:lineRule="auto"/>
                    <w:contextualSpacing/>
                    <w:jc w:val="center"/>
                    <w:rPr>
                      <w:rFonts w:cs="Arial"/>
                      <w:sz w:val="14"/>
                      <w:szCs w:val="14"/>
                    </w:rPr>
                  </w:pPr>
                  <w:r w:rsidRPr="00791162">
                    <w:rPr>
                      <w:rFonts w:cs="Arial"/>
                      <w:sz w:val="14"/>
                      <w:szCs w:val="14"/>
                    </w:rPr>
                    <w:t>S</w:t>
                  </w:r>
                </w:p>
              </w:tc>
            </w:tr>
            <w:tr w:rsidR="00791162" w14:paraId="58EDEB9A" w14:textId="77777777" w:rsidTr="00791162">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220A006" w14:textId="77777777" w:rsidR="00BE26CA" w:rsidRPr="00791162" w:rsidRDefault="00BE26CA" w:rsidP="00A05D58">
                  <w:pPr>
                    <w:spacing w:line="240" w:lineRule="auto"/>
                    <w:contextualSpacing/>
                    <w:jc w:val="center"/>
                    <w:rPr>
                      <w:rFonts w:cs="Arial"/>
                      <w:b/>
                      <w:bCs/>
                      <w:sz w:val="14"/>
                      <w:szCs w:val="14"/>
                    </w:rPr>
                  </w:pPr>
                  <w:r w:rsidRPr="00791162">
                    <w:rPr>
                      <w:rFonts w:cs="Arial"/>
                      <w:b/>
                      <w:bCs/>
                      <w:sz w:val="14"/>
                      <w:szCs w:val="14"/>
                    </w:rPr>
                    <w:t>A2</w:t>
                  </w:r>
                </w:p>
                <w:p w14:paraId="6A325527" w14:textId="3F406CA7" w:rsidR="00BE26CA" w:rsidRPr="00791162" w:rsidRDefault="00BE26CA" w:rsidP="00A05D58">
                  <w:pPr>
                    <w:spacing w:line="240" w:lineRule="auto"/>
                    <w:contextualSpacing/>
                    <w:jc w:val="center"/>
                    <w:rPr>
                      <w:rFonts w:cs="Arial"/>
                      <w:b/>
                      <w:bCs/>
                      <w:sz w:val="14"/>
                      <w:szCs w:val="14"/>
                    </w:rPr>
                  </w:pPr>
                  <w:r w:rsidRPr="00791162">
                    <w:rPr>
                      <w:rFonts w:cs="Arial"/>
                      <w:b/>
                      <w:bCs/>
                      <w:sz w:val="14"/>
                      <w:szCs w:val="14"/>
                    </w:rPr>
                    <w:t>($5 FTC, 26%</w:t>
                  </w:r>
                  <w:r w:rsidR="00064D7F" w:rsidRPr="00791162">
                    <w:rPr>
                      <w:rFonts w:cs="Arial"/>
                      <w:b/>
                      <w:bCs/>
                      <w:sz w:val="14"/>
                      <w:szCs w:val="14"/>
                    </w:rPr>
                    <w:t xml:space="preserve"> </w:t>
                  </w:r>
                  <w:proofErr w:type="spellStart"/>
                  <w:r w:rsidR="00064D7F" w:rsidRPr="00791162">
                    <w:rPr>
                      <w:rFonts w:cs="Arial"/>
                      <w:b/>
                      <w:bCs/>
                      <w:sz w:val="14"/>
                      <w:szCs w:val="14"/>
                    </w:rPr>
                    <w:t>abmt</w:t>
                  </w:r>
                  <w:proofErr w:type="spellEnd"/>
                  <w:r w:rsidRPr="00791162">
                    <w:rPr>
                      <w:rFonts w:cs="Arial"/>
                      <w:b/>
                      <w:bCs/>
                      <w:sz w:val="14"/>
                      <w:szCs w:val="14"/>
                    </w:rPr>
                    <w:t>)</w:t>
                  </w:r>
                </w:p>
                <w:p w14:paraId="31DF1F6B" w14:textId="3B73F2B1" w:rsidR="00BE26CA" w:rsidRPr="00791162" w:rsidRDefault="00BE26CA" w:rsidP="00A05D58">
                  <w:pPr>
                    <w:spacing w:line="240" w:lineRule="auto"/>
                    <w:contextualSpacing/>
                    <w:jc w:val="center"/>
                    <w:rPr>
                      <w:rFonts w:cs="Arial"/>
                      <w:b/>
                      <w:bCs/>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57C52C14" w14:textId="77777777" w:rsidR="00BE26CA" w:rsidRPr="00791162" w:rsidRDefault="00BE26CA" w:rsidP="009649F7">
                  <w:pPr>
                    <w:spacing w:line="240" w:lineRule="auto"/>
                    <w:contextualSpacing/>
                    <w:jc w:val="center"/>
                    <w:rPr>
                      <w:rFonts w:cs="Arial"/>
                      <w:sz w:val="14"/>
                      <w:szCs w:val="14"/>
                    </w:rPr>
                  </w:pPr>
                  <w:r w:rsidRPr="00791162">
                    <w:rPr>
                      <w:rFonts w:cs="Arial"/>
                      <w:sz w:val="14"/>
                      <w:szCs w:val="14"/>
                    </w:rPr>
                    <w:t>$5</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238DDCC" w14:textId="77777777" w:rsidR="00BE26CA" w:rsidRPr="00791162" w:rsidRDefault="00BE26CA" w:rsidP="00B020EB">
                  <w:pPr>
                    <w:spacing w:line="240" w:lineRule="auto"/>
                    <w:contextualSpacing/>
                    <w:jc w:val="center"/>
                    <w:rPr>
                      <w:rFonts w:cs="Arial"/>
                      <w:sz w:val="14"/>
                      <w:szCs w:val="14"/>
                    </w:rPr>
                  </w:pPr>
                  <w:r w:rsidRPr="00791162">
                    <w:rPr>
                      <w:rFonts w:cs="Arial"/>
                      <w:color w:val="000000"/>
                      <w:sz w:val="14"/>
                      <w:szCs w:val="14"/>
                    </w:rPr>
                    <w:t>$11.71 and $10.42</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AA1AF7B" w14:textId="77777777" w:rsidR="00BE26CA" w:rsidRPr="00791162" w:rsidRDefault="00BE26CA" w:rsidP="00BF7F0B">
                  <w:pPr>
                    <w:spacing w:line="240" w:lineRule="auto"/>
                    <w:contextualSpacing/>
                    <w:jc w:val="center"/>
                    <w:rPr>
                      <w:rFonts w:cs="Arial"/>
                      <w:sz w:val="14"/>
                      <w:szCs w:val="14"/>
                    </w:rPr>
                  </w:pPr>
                  <w:r w:rsidRPr="00791162">
                    <w:rPr>
                      <w:rFonts w:cs="Arial"/>
                      <w:sz w:val="14"/>
                      <w:szCs w:val="14"/>
                    </w:rPr>
                    <w:t>26%</w:t>
                  </w:r>
                </w:p>
              </w:tc>
              <w:tc>
                <w:tcPr>
                  <w:tcW w:w="0" w:type="auto"/>
                  <w:shd w:val="clear" w:color="auto" w:fill="FBE4D5" w:themeFill="accent2" w:themeFillTint="33"/>
                  <w:vAlign w:val="center"/>
                </w:tcPr>
                <w:p w14:paraId="0C25675A" w14:textId="05A63704" w:rsidR="00BE26CA" w:rsidRPr="00791162" w:rsidRDefault="00BE26CA" w:rsidP="00AC6F3B">
                  <w:pPr>
                    <w:spacing w:line="240" w:lineRule="auto"/>
                    <w:contextualSpacing/>
                    <w:jc w:val="center"/>
                    <w:rPr>
                      <w:sz w:val="14"/>
                      <w:szCs w:val="14"/>
                    </w:rPr>
                  </w:pPr>
                  <w:r w:rsidRPr="00791162">
                    <w:rPr>
                      <w:sz w:val="14"/>
                      <w:szCs w:val="14"/>
                    </w:rPr>
                    <w:t>$111m</w:t>
                  </w:r>
                </w:p>
              </w:tc>
              <w:tc>
                <w:tcPr>
                  <w:tcW w:w="0" w:type="auto"/>
                  <w:shd w:val="clear" w:color="auto" w:fill="FFF2CC" w:themeFill="accent4" w:themeFillTint="33"/>
                  <w:vAlign w:val="center"/>
                </w:tcPr>
                <w:p w14:paraId="39516BE6" w14:textId="44AB6AAD" w:rsidR="00BE26CA" w:rsidRPr="00791162" w:rsidRDefault="00BE26CA">
                  <w:pPr>
                    <w:spacing w:line="240" w:lineRule="auto"/>
                    <w:contextualSpacing/>
                    <w:jc w:val="center"/>
                    <w:rPr>
                      <w:rFonts w:cs="Arial"/>
                      <w:sz w:val="14"/>
                      <w:szCs w:val="14"/>
                    </w:rPr>
                  </w:pPr>
                  <w:r w:rsidRPr="00791162">
                    <w:rPr>
                      <w:sz w:val="14"/>
                      <w:szCs w:val="14"/>
                    </w:rPr>
                    <w:t xml:space="preserve">5,000 </w:t>
                  </w:r>
                  <w:r w:rsidRPr="00791162">
                    <w:rPr>
                      <w:rFonts w:ascii="Verdana" w:hAnsi="Verdana"/>
                      <w:sz w:val="14"/>
                      <w:szCs w:val="14"/>
                    </w:rPr>
                    <w:t>(± 4,000)</w:t>
                  </w:r>
                </w:p>
              </w:tc>
              <w:tc>
                <w:tcPr>
                  <w:tcW w:w="0" w:type="auto"/>
                  <w:shd w:val="clear" w:color="auto" w:fill="FFF2CC" w:themeFill="accent4" w:themeFillTint="33"/>
                  <w:vAlign w:val="center"/>
                </w:tcPr>
                <w:p w14:paraId="4910CDEA" w14:textId="5C968E9F" w:rsidR="00BE26CA" w:rsidRPr="00791162" w:rsidRDefault="00BE26CA">
                  <w:pPr>
                    <w:spacing w:line="240" w:lineRule="auto"/>
                    <w:contextualSpacing/>
                    <w:jc w:val="center"/>
                    <w:rPr>
                      <w:rFonts w:cs="Arial"/>
                      <w:sz w:val="14"/>
                      <w:szCs w:val="14"/>
                    </w:rPr>
                  </w:pPr>
                  <w:r w:rsidRPr="00791162">
                    <w:rPr>
                      <w:sz w:val="14"/>
                      <w:szCs w:val="14"/>
                    </w:rPr>
                    <w:t xml:space="preserve">9,000 </w:t>
                  </w:r>
                  <w:r w:rsidRPr="00791162">
                    <w:rPr>
                      <w:rFonts w:ascii="Verdana" w:hAnsi="Verdana"/>
                      <w:sz w:val="14"/>
                      <w:szCs w:val="14"/>
                    </w:rPr>
                    <w:t>(± 6,000)</w:t>
                  </w:r>
                </w:p>
              </w:tc>
              <w:tc>
                <w:tcPr>
                  <w:tcW w:w="0" w:type="auto"/>
                  <w:shd w:val="clear" w:color="auto" w:fill="D9E2F3" w:themeFill="accent5" w:themeFillTint="33"/>
                  <w:vAlign w:val="center"/>
                </w:tcPr>
                <w:p w14:paraId="47D5C964" w14:textId="2D91AFC4" w:rsidR="00BE26CA" w:rsidRPr="00791162" w:rsidRDefault="00BE26CA">
                  <w:pPr>
                    <w:spacing w:line="240" w:lineRule="auto"/>
                    <w:contextualSpacing/>
                    <w:jc w:val="center"/>
                    <w:rPr>
                      <w:rFonts w:cs="Arial"/>
                      <w:sz w:val="14"/>
                      <w:szCs w:val="14"/>
                    </w:rPr>
                  </w:pPr>
                  <w:r w:rsidRPr="00791162">
                    <w:rPr>
                      <w:rFonts w:cs="Arial"/>
                      <w:sz w:val="14"/>
                      <w:szCs w:val="14"/>
                    </w:rPr>
                    <w:t>287,000</w:t>
                  </w:r>
                </w:p>
              </w:tc>
              <w:tc>
                <w:tcPr>
                  <w:tcW w:w="0" w:type="auto"/>
                  <w:shd w:val="clear" w:color="auto" w:fill="D9E2F3" w:themeFill="accent5" w:themeFillTint="33"/>
                  <w:vAlign w:val="center"/>
                </w:tcPr>
                <w:p w14:paraId="6F9BD4A5" w14:textId="77777777" w:rsidR="00BE26CA" w:rsidRPr="00791162" w:rsidRDefault="00BE26CA">
                  <w:pPr>
                    <w:spacing w:line="240" w:lineRule="auto"/>
                    <w:contextualSpacing/>
                    <w:jc w:val="center"/>
                    <w:rPr>
                      <w:rFonts w:cs="Arial"/>
                      <w:sz w:val="14"/>
                      <w:szCs w:val="14"/>
                    </w:rPr>
                  </w:pPr>
                  <w:r w:rsidRPr="00791162">
                    <w:rPr>
                      <w:rFonts w:cs="Arial"/>
                      <w:sz w:val="14"/>
                      <w:szCs w:val="14"/>
                    </w:rPr>
                    <w:t>$8</w:t>
                  </w:r>
                </w:p>
              </w:tc>
              <w:tc>
                <w:tcPr>
                  <w:tcW w:w="0" w:type="auto"/>
                  <w:shd w:val="clear" w:color="auto" w:fill="D9E2F3" w:themeFill="accent5" w:themeFillTint="33"/>
                  <w:vAlign w:val="center"/>
                </w:tcPr>
                <w:p w14:paraId="4839BD8B" w14:textId="77777777" w:rsidR="00BE26CA" w:rsidRPr="00791162" w:rsidRDefault="00BE26CA">
                  <w:pPr>
                    <w:spacing w:line="240" w:lineRule="auto"/>
                    <w:contextualSpacing/>
                    <w:jc w:val="center"/>
                    <w:rPr>
                      <w:rFonts w:cs="Arial"/>
                      <w:sz w:val="14"/>
                      <w:szCs w:val="14"/>
                    </w:rPr>
                  </w:pPr>
                  <w:r w:rsidRPr="00791162">
                    <w:rPr>
                      <w:rFonts w:cs="Arial"/>
                      <w:sz w:val="14"/>
                      <w:szCs w:val="14"/>
                    </w:rPr>
                    <w:t>26,000</w:t>
                  </w:r>
                </w:p>
              </w:tc>
              <w:tc>
                <w:tcPr>
                  <w:tcW w:w="0" w:type="auto"/>
                  <w:shd w:val="clear" w:color="auto" w:fill="D9E2F3" w:themeFill="accent5" w:themeFillTint="33"/>
                  <w:vAlign w:val="center"/>
                </w:tcPr>
                <w:p w14:paraId="6A296438" w14:textId="77777777" w:rsidR="00BE26CA" w:rsidRPr="00791162" w:rsidRDefault="00BE26CA">
                  <w:pPr>
                    <w:spacing w:line="240" w:lineRule="auto"/>
                    <w:contextualSpacing/>
                    <w:jc w:val="center"/>
                    <w:rPr>
                      <w:rFonts w:cs="Arial"/>
                      <w:sz w:val="14"/>
                      <w:szCs w:val="14"/>
                    </w:rPr>
                  </w:pPr>
                  <w:r w:rsidRPr="00791162">
                    <w:rPr>
                      <w:rFonts w:cs="Arial"/>
                      <w:sz w:val="14"/>
                      <w:szCs w:val="14"/>
                    </w:rPr>
                    <w:t>-$1</w:t>
                  </w:r>
                </w:p>
              </w:tc>
            </w:tr>
            <w:tr w:rsidR="00791162" w14:paraId="107F27F9" w14:textId="77777777" w:rsidTr="00791162">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C98D0D7" w14:textId="77777777" w:rsidR="00BE26CA" w:rsidRPr="00791162" w:rsidRDefault="00BE26CA" w:rsidP="00A05D58">
                  <w:pPr>
                    <w:spacing w:line="240" w:lineRule="auto"/>
                    <w:contextualSpacing/>
                    <w:jc w:val="center"/>
                    <w:rPr>
                      <w:rFonts w:cs="Arial"/>
                      <w:b/>
                      <w:bCs/>
                      <w:sz w:val="14"/>
                      <w:szCs w:val="14"/>
                    </w:rPr>
                  </w:pPr>
                  <w:r w:rsidRPr="00791162">
                    <w:rPr>
                      <w:rFonts w:cs="Arial"/>
                      <w:b/>
                      <w:bCs/>
                      <w:sz w:val="14"/>
                      <w:szCs w:val="14"/>
                    </w:rPr>
                    <w:t>A3</w:t>
                  </w:r>
                </w:p>
                <w:p w14:paraId="2F582511" w14:textId="4E8B0CB6" w:rsidR="00BE26CA" w:rsidRPr="00791162" w:rsidRDefault="00BE26CA" w:rsidP="00A05D58">
                  <w:pPr>
                    <w:spacing w:line="240" w:lineRule="auto"/>
                    <w:contextualSpacing/>
                    <w:jc w:val="center"/>
                    <w:rPr>
                      <w:rFonts w:cs="Arial"/>
                      <w:b/>
                      <w:bCs/>
                      <w:sz w:val="14"/>
                      <w:szCs w:val="14"/>
                    </w:rPr>
                  </w:pPr>
                  <w:r w:rsidRPr="00791162">
                    <w:rPr>
                      <w:rFonts w:cs="Arial"/>
                      <w:b/>
                      <w:bCs/>
                      <w:sz w:val="14"/>
                      <w:szCs w:val="14"/>
                    </w:rPr>
                    <w:t xml:space="preserve">($5 FTC, 27% </w:t>
                  </w:r>
                  <w:proofErr w:type="spellStart"/>
                  <w:r w:rsidRPr="00791162">
                    <w:rPr>
                      <w:rFonts w:cs="Arial"/>
                      <w:b/>
                      <w:bCs/>
                      <w:sz w:val="14"/>
                      <w:szCs w:val="14"/>
                    </w:rPr>
                    <w:t>ab</w:t>
                  </w:r>
                  <w:r w:rsidR="00064D7F" w:rsidRPr="00791162">
                    <w:rPr>
                      <w:rFonts w:cs="Arial"/>
                      <w:b/>
                      <w:bCs/>
                      <w:sz w:val="14"/>
                      <w:szCs w:val="14"/>
                    </w:rPr>
                    <w:t>mt</w:t>
                  </w:r>
                  <w:proofErr w:type="spellEnd"/>
                  <w:r w:rsidRPr="00791162">
                    <w:rPr>
                      <w:rFonts w:cs="Arial"/>
                      <w:b/>
                      <w:bCs/>
                      <w:sz w:val="14"/>
                      <w:szCs w:val="14"/>
                    </w:rPr>
                    <w:t>)</w:t>
                  </w:r>
                </w:p>
                <w:p w14:paraId="3A746A15" w14:textId="27F9A5BE" w:rsidR="00BE26CA" w:rsidRPr="00791162" w:rsidRDefault="00BE26CA" w:rsidP="00A05D58">
                  <w:pPr>
                    <w:spacing w:line="240" w:lineRule="auto"/>
                    <w:contextualSpacing/>
                    <w:jc w:val="center"/>
                    <w:rPr>
                      <w:rFonts w:cs="Arial"/>
                      <w:b/>
                      <w:bCs/>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F167A21" w14:textId="77777777" w:rsidR="00BE26CA" w:rsidRPr="00791162" w:rsidRDefault="00BE26CA" w:rsidP="009649F7">
                  <w:pPr>
                    <w:spacing w:line="240" w:lineRule="auto"/>
                    <w:contextualSpacing/>
                    <w:jc w:val="center"/>
                    <w:rPr>
                      <w:rFonts w:cs="Arial"/>
                      <w:sz w:val="14"/>
                      <w:szCs w:val="14"/>
                    </w:rPr>
                  </w:pPr>
                  <w:r w:rsidRPr="00791162">
                    <w:rPr>
                      <w:rFonts w:cs="Arial"/>
                      <w:sz w:val="14"/>
                      <w:szCs w:val="14"/>
                    </w:rPr>
                    <w:t>$5</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3C57F6F1" w14:textId="77777777" w:rsidR="00BE26CA" w:rsidRPr="00791162" w:rsidRDefault="00BE26CA" w:rsidP="00B020EB">
                  <w:pPr>
                    <w:spacing w:line="240" w:lineRule="auto"/>
                    <w:contextualSpacing/>
                    <w:jc w:val="center"/>
                    <w:rPr>
                      <w:rFonts w:cs="Arial"/>
                      <w:sz w:val="14"/>
                      <w:szCs w:val="14"/>
                    </w:rPr>
                  </w:pPr>
                  <w:r w:rsidRPr="00791162">
                    <w:rPr>
                      <w:rFonts w:cs="Arial"/>
                      <w:color w:val="000000"/>
                      <w:sz w:val="14"/>
                      <w:szCs w:val="14"/>
                    </w:rPr>
                    <w:t>$11.71 and $10.42</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5A942CF" w14:textId="77777777" w:rsidR="00BE26CA" w:rsidRPr="00791162" w:rsidRDefault="00BE26CA" w:rsidP="00BF7F0B">
                  <w:pPr>
                    <w:spacing w:line="240" w:lineRule="auto"/>
                    <w:contextualSpacing/>
                    <w:jc w:val="center"/>
                    <w:rPr>
                      <w:rFonts w:cs="Arial"/>
                      <w:sz w:val="14"/>
                      <w:szCs w:val="14"/>
                    </w:rPr>
                  </w:pPr>
                  <w:r w:rsidRPr="00791162">
                    <w:rPr>
                      <w:rFonts w:cs="Arial"/>
                      <w:sz w:val="14"/>
                      <w:szCs w:val="14"/>
                    </w:rPr>
                    <w:t>27%</w:t>
                  </w:r>
                </w:p>
              </w:tc>
              <w:tc>
                <w:tcPr>
                  <w:tcW w:w="0" w:type="auto"/>
                  <w:shd w:val="clear" w:color="auto" w:fill="FBE4D5" w:themeFill="accent2" w:themeFillTint="33"/>
                  <w:vAlign w:val="center"/>
                </w:tcPr>
                <w:p w14:paraId="138BBCDE" w14:textId="7CE3A78A" w:rsidR="00BE26CA" w:rsidRPr="00791162" w:rsidRDefault="00BE26CA" w:rsidP="00AC6F3B">
                  <w:pPr>
                    <w:spacing w:line="240" w:lineRule="auto"/>
                    <w:contextualSpacing/>
                    <w:jc w:val="center"/>
                    <w:rPr>
                      <w:sz w:val="14"/>
                      <w:szCs w:val="14"/>
                    </w:rPr>
                  </w:pPr>
                  <w:r w:rsidRPr="00791162">
                    <w:rPr>
                      <w:sz w:val="14"/>
                      <w:szCs w:val="14"/>
                    </w:rPr>
                    <w:t>$68m</w:t>
                  </w:r>
                </w:p>
              </w:tc>
              <w:tc>
                <w:tcPr>
                  <w:tcW w:w="0" w:type="auto"/>
                  <w:shd w:val="clear" w:color="auto" w:fill="FFF2CC" w:themeFill="accent4" w:themeFillTint="33"/>
                  <w:vAlign w:val="center"/>
                </w:tcPr>
                <w:p w14:paraId="1228C560" w14:textId="76BB41B3" w:rsidR="00BE26CA" w:rsidRPr="00791162" w:rsidRDefault="00BE26CA">
                  <w:pPr>
                    <w:spacing w:line="240" w:lineRule="auto"/>
                    <w:contextualSpacing/>
                    <w:jc w:val="center"/>
                    <w:rPr>
                      <w:rFonts w:cs="Arial"/>
                      <w:sz w:val="14"/>
                      <w:szCs w:val="14"/>
                    </w:rPr>
                  </w:pPr>
                  <w:r w:rsidRPr="00791162">
                    <w:rPr>
                      <w:sz w:val="14"/>
                      <w:szCs w:val="14"/>
                    </w:rPr>
                    <w:t xml:space="preserve">5,000 </w:t>
                  </w:r>
                  <w:r w:rsidRPr="00791162">
                    <w:rPr>
                      <w:rFonts w:ascii="Verdana" w:hAnsi="Verdana"/>
                      <w:sz w:val="14"/>
                      <w:szCs w:val="14"/>
                    </w:rPr>
                    <w:t>(± 3,000)</w:t>
                  </w:r>
                </w:p>
              </w:tc>
              <w:tc>
                <w:tcPr>
                  <w:tcW w:w="0" w:type="auto"/>
                  <w:shd w:val="clear" w:color="auto" w:fill="FFF2CC" w:themeFill="accent4" w:themeFillTint="33"/>
                  <w:vAlign w:val="center"/>
                </w:tcPr>
                <w:p w14:paraId="3DB858E7" w14:textId="5B777603" w:rsidR="00BE26CA" w:rsidRPr="00791162" w:rsidRDefault="00BE26CA">
                  <w:pPr>
                    <w:spacing w:line="240" w:lineRule="auto"/>
                    <w:contextualSpacing/>
                    <w:jc w:val="center"/>
                    <w:rPr>
                      <w:rFonts w:cs="Arial"/>
                      <w:sz w:val="14"/>
                      <w:szCs w:val="14"/>
                    </w:rPr>
                  </w:pPr>
                  <w:r w:rsidRPr="00791162">
                    <w:rPr>
                      <w:sz w:val="14"/>
                      <w:szCs w:val="14"/>
                    </w:rPr>
                    <w:t xml:space="preserve">8,000 </w:t>
                  </w:r>
                  <w:r w:rsidRPr="00791162">
                    <w:rPr>
                      <w:rFonts w:ascii="Verdana" w:hAnsi="Verdana"/>
                      <w:sz w:val="14"/>
                      <w:szCs w:val="14"/>
                    </w:rPr>
                    <w:t>(± 6,000)</w:t>
                  </w:r>
                </w:p>
              </w:tc>
              <w:tc>
                <w:tcPr>
                  <w:tcW w:w="0" w:type="auto"/>
                  <w:shd w:val="clear" w:color="auto" w:fill="D9E2F3" w:themeFill="accent5" w:themeFillTint="33"/>
                  <w:vAlign w:val="center"/>
                </w:tcPr>
                <w:p w14:paraId="1974CF13" w14:textId="666EA4E2" w:rsidR="00BE26CA" w:rsidRPr="00791162" w:rsidRDefault="00BE26CA">
                  <w:pPr>
                    <w:spacing w:line="240" w:lineRule="auto"/>
                    <w:contextualSpacing/>
                    <w:jc w:val="center"/>
                    <w:rPr>
                      <w:rFonts w:cs="Arial"/>
                      <w:sz w:val="14"/>
                      <w:szCs w:val="14"/>
                    </w:rPr>
                  </w:pPr>
                  <w:r w:rsidRPr="00791162">
                    <w:rPr>
                      <w:rFonts w:cs="Arial"/>
                      <w:sz w:val="14"/>
                      <w:szCs w:val="14"/>
                    </w:rPr>
                    <w:t>223,000</w:t>
                  </w:r>
                </w:p>
              </w:tc>
              <w:tc>
                <w:tcPr>
                  <w:tcW w:w="0" w:type="auto"/>
                  <w:shd w:val="clear" w:color="auto" w:fill="D9E2F3" w:themeFill="accent5" w:themeFillTint="33"/>
                  <w:vAlign w:val="center"/>
                </w:tcPr>
                <w:p w14:paraId="3138D782" w14:textId="77777777" w:rsidR="00BE26CA" w:rsidRPr="00791162" w:rsidRDefault="00BE26CA">
                  <w:pPr>
                    <w:spacing w:line="240" w:lineRule="auto"/>
                    <w:contextualSpacing/>
                    <w:jc w:val="center"/>
                    <w:rPr>
                      <w:rFonts w:cs="Arial"/>
                      <w:sz w:val="14"/>
                      <w:szCs w:val="14"/>
                    </w:rPr>
                  </w:pPr>
                  <w:r w:rsidRPr="00791162">
                    <w:rPr>
                      <w:rFonts w:cs="Arial"/>
                      <w:sz w:val="14"/>
                      <w:szCs w:val="14"/>
                    </w:rPr>
                    <w:t>$8</w:t>
                  </w:r>
                </w:p>
              </w:tc>
              <w:tc>
                <w:tcPr>
                  <w:tcW w:w="0" w:type="auto"/>
                  <w:shd w:val="clear" w:color="auto" w:fill="D9E2F3" w:themeFill="accent5" w:themeFillTint="33"/>
                  <w:vAlign w:val="center"/>
                </w:tcPr>
                <w:p w14:paraId="6CB05444" w14:textId="77777777" w:rsidR="00BE26CA" w:rsidRPr="00791162" w:rsidRDefault="00BE26CA">
                  <w:pPr>
                    <w:spacing w:line="240" w:lineRule="auto"/>
                    <w:contextualSpacing/>
                    <w:jc w:val="center"/>
                    <w:rPr>
                      <w:rFonts w:cs="Arial"/>
                      <w:sz w:val="14"/>
                      <w:szCs w:val="14"/>
                    </w:rPr>
                  </w:pPr>
                  <w:r w:rsidRPr="00791162">
                    <w:rPr>
                      <w:rFonts w:cs="Arial"/>
                      <w:sz w:val="14"/>
                      <w:szCs w:val="14"/>
                    </w:rPr>
                    <w:t>89,000</w:t>
                  </w:r>
                </w:p>
              </w:tc>
              <w:tc>
                <w:tcPr>
                  <w:tcW w:w="0" w:type="auto"/>
                  <w:shd w:val="clear" w:color="auto" w:fill="D9E2F3" w:themeFill="accent5" w:themeFillTint="33"/>
                  <w:vAlign w:val="center"/>
                </w:tcPr>
                <w:p w14:paraId="439D9DD4" w14:textId="77777777" w:rsidR="00BE26CA" w:rsidRPr="00791162" w:rsidRDefault="00BE26CA">
                  <w:pPr>
                    <w:spacing w:line="240" w:lineRule="auto"/>
                    <w:contextualSpacing/>
                    <w:jc w:val="center"/>
                    <w:rPr>
                      <w:rFonts w:cs="Arial"/>
                      <w:sz w:val="14"/>
                      <w:szCs w:val="14"/>
                    </w:rPr>
                  </w:pPr>
                  <w:r w:rsidRPr="00791162">
                    <w:rPr>
                      <w:rFonts w:cs="Arial"/>
                      <w:sz w:val="14"/>
                      <w:szCs w:val="14"/>
                    </w:rPr>
                    <w:t>-$6</w:t>
                  </w:r>
                </w:p>
              </w:tc>
            </w:tr>
            <w:tr w:rsidR="00791162" w14:paraId="0DA0DB52" w14:textId="77777777" w:rsidTr="00791162">
              <w:trPr>
                <w:trHeight w:val="214"/>
              </w:trPr>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412FD55" w14:textId="77777777" w:rsidR="00BE26CA" w:rsidRPr="00791162" w:rsidRDefault="00BE26CA" w:rsidP="00A05D58">
                  <w:pPr>
                    <w:spacing w:line="240" w:lineRule="auto"/>
                    <w:contextualSpacing/>
                    <w:jc w:val="center"/>
                    <w:rPr>
                      <w:rFonts w:cs="Arial"/>
                      <w:b/>
                      <w:bCs/>
                      <w:sz w:val="14"/>
                      <w:szCs w:val="14"/>
                    </w:rPr>
                  </w:pPr>
                  <w:r w:rsidRPr="00791162">
                    <w:rPr>
                      <w:rFonts w:cs="Arial"/>
                      <w:b/>
                      <w:bCs/>
                      <w:sz w:val="14"/>
                      <w:szCs w:val="14"/>
                    </w:rPr>
                    <w:t>B</w:t>
                  </w:r>
                </w:p>
                <w:p w14:paraId="08F43E5D" w14:textId="47737EE1" w:rsidR="00BE26CA" w:rsidRPr="00791162" w:rsidRDefault="00BE26CA" w:rsidP="00A05D58">
                  <w:pPr>
                    <w:spacing w:line="240" w:lineRule="auto"/>
                    <w:contextualSpacing/>
                    <w:jc w:val="center"/>
                    <w:rPr>
                      <w:rFonts w:cs="Arial"/>
                      <w:b/>
                      <w:bCs/>
                      <w:sz w:val="14"/>
                      <w:szCs w:val="14"/>
                    </w:rPr>
                  </w:pPr>
                  <w:r w:rsidRPr="00791162">
                    <w:rPr>
                      <w:rFonts w:cs="Arial"/>
                      <w:b/>
                      <w:bCs/>
                      <w:sz w:val="14"/>
                      <w:szCs w:val="14"/>
                    </w:rPr>
                    <w:t xml:space="preserve">($7.50, 28% </w:t>
                  </w:r>
                  <w:proofErr w:type="spellStart"/>
                  <w:r w:rsidRPr="00791162">
                    <w:rPr>
                      <w:rFonts w:cs="Arial"/>
                      <w:b/>
                      <w:bCs/>
                      <w:sz w:val="14"/>
                      <w:szCs w:val="14"/>
                    </w:rPr>
                    <w:t>ab</w:t>
                  </w:r>
                  <w:r w:rsidR="00064D7F" w:rsidRPr="00791162">
                    <w:rPr>
                      <w:rFonts w:cs="Arial"/>
                      <w:b/>
                      <w:bCs/>
                      <w:sz w:val="14"/>
                      <w:szCs w:val="14"/>
                    </w:rPr>
                    <w:t>mt</w:t>
                  </w:r>
                  <w:proofErr w:type="spellEnd"/>
                  <w:r w:rsidRPr="00791162">
                    <w:rPr>
                      <w:rFonts w:cs="Arial"/>
                      <w:b/>
                      <w:bCs/>
                      <w:sz w:val="14"/>
                      <w:szCs w:val="14"/>
                    </w:rPr>
                    <w:t>)</w:t>
                  </w:r>
                </w:p>
                <w:p w14:paraId="792D463B" w14:textId="17AAA7CE" w:rsidR="00BE26CA" w:rsidRPr="00791162" w:rsidRDefault="00BE26CA" w:rsidP="00A05D58">
                  <w:pPr>
                    <w:spacing w:line="240" w:lineRule="auto"/>
                    <w:contextualSpacing/>
                    <w:jc w:val="center"/>
                    <w:rPr>
                      <w:rFonts w:cs="Arial"/>
                      <w:b/>
                      <w:bCs/>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58EC5046" w14:textId="77777777" w:rsidR="00BE26CA" w:rsidRPr="00791162" w:rsidRDefault="00BE26CA" w:rsidP="009649F7">
                  <w:pPr>
                    <w:spacing w:line="240" w:lineRule="auto"/>
                    <w:contextualSpacing/>
                    <w:jc w:val="center"/>
                    <w:rPr>
                      <w:rFonts w:cs="Arial"/>
                      <w:sz w:val="14"/>
                      <w:szCs w:val="14"/>
                    </w:rPr>
                  </w:pPr>
                  <w:r w:rsidRPr="00791162">
                    <w:rPr>
                      <w:rFonts w:cs="Arial"/>
                      <w:sz w:val="14"/>
                      <w:szCs w:val="14"/>
                    </w:rPr>
                    <w:t>$7.50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7CD07D98" w14:textId="77777777" w:rsidR="00BE26CA" w:rsidRPr="00791162" w:rsidRDefault="00BE26CA" w:rsidP="00B020EB">
                  <w:pPr>
                    <w:spacing w:line="240" w:lineRule="auto"/>
                    <w:contextualSpacing/>
                    <w:jc w:val="center"/>
                    <w:rPr>
                      <w:rFonts w:cs="Arial"/>
                      <w:sz w:val="14"/>
                      <w:szCs w:val="14"/>
                    </w:rPr>
                  </w:pPr>
                  <w:r w:rsidRPr="00791162">
                    <w:rPr>
                      <w:rFonts w:cs="Arial"/>
                      <w:color w:val="000000"/>
                      <w:sz w:val="14"/>
                      <w:szCs w:val="14"/>
                    </w:rPr>
                    <w:t>$14.21 and $12.92</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56F2D32" w14:textId="77777777" w:rsidR="00BE26CA" w:rsidRPr="00791162" w:rsidRDefault="00BE26CA" w:rsidP="00BF7F0B">
                  <w:pPr>
                    <w:spacing w:line="240" w:lineRule="auto"/>
                    <w:contextualSpacing/>
                    <w:jc w:val="center"/>
                    <w:rPr>
                      <w:rFonts w:cs="Arial"/>
                      <w:sz w:val="14"/>
                      <w:szCs w:val="14"/>
                    </w:rPr>
                  </w:pPr>
                  <w:r w:rsidRPr="00791162">
                    <w:rPr>
                      <w:rFonts w:cs="Arial"/>
                      <w:sz w:val="14"/>
                      <w:szCs w:val="14"/>
                    </w:rPr>
                    <w:t>28%</w:t>
                  </w:r>
                </w:p>
              </w:tc>
              <w:tc>
                <w:tcPr>
                  <w:tcW w:w="0" w:type="auto"/>
                  <w:shd w:val="clear" w:color="auto" w:fill="FBE4D5" w:themeFill="accent2" w:themeFillTint="33"/>
                  <w:vAlign w:val="center"/>
                </w:tcPr>
                <w:p w14:paraId="0BA8F886" w14:textId="5A6D1F52" w:rsidR="00BE26CA" w:rsidRPr="00791162" w:rsidRDefault="00BE26CA" w:rsidP="00AC6F3B">
                  <w:pPr>
                    <w:spacing w:line="240" w:lineRule="auto"/>
                    <w:contextualSpacing/>
                    <w:jc w:val="center"/>
                    <w:rPr>
                      <w:sz w:val="14"/>
                      <w:szCs w:val="14"/>
                    </w:rPr>
                  </w:pPr>
                  <w:r w:rsidRPr="00791162">
                    <w:rPr>
                      <w:sz w:val="14"/>
                      <w:szCs w:val="14"/>
                    </w:rPr>
                    <w:t>$103m</w:t>
                  </w:r>
                </w:p>
              </w:tc>
              <w:tc>
                <w:tcPr>
                  <w:tcW w:w="0" w:type="auto"/>
                  <w:shd w:val="clear" w:color="auto" w:fill="FFF2CC" w:themeFill="accent4" w:themeFillTint="33"/>
                  <w:vAlign w:val="center"/>
                </w:tcPr>
                <w:p w14:paraId="34DCA3C5" w14:textId="32F0EF43" w:rsidR="00BE26CA" w:rsidRPr="00791162" w:rsidRDefault="00BE26CA">
                  <w:pPr>
                    <w:spacing w:line="240" w:lineRule="auto"/>
                    <w:contextualSpacing/>
                    <w:jc w:val="center"/>
                    <w:rPr>
                      <w:rFonts w:cs="Arial"/>
                      <w:sz w:val="14"/>
                      <w:szCs w:val="14"/>
                    </w:rPr>
                  </w:pPr>
                  <w:r w:rsidRPr="00791162">
                    <w:rPr>
                      <w:sz w:val="14"/>
                      <w:szCs w:val="14"/>
                    </w:rPr>
                    <w:t xml:space="preserve">7,000 </w:t>
                  </w:r>
                  <w:r w:rsidRPr="00791162">
                    <w:rPr>
                      <w:rFonts w:ascii="Verdana" w:hAnsi="Verdana"/>
                      <w:sz w:val="14"/>
                      <w:szCs w:val="14"/>
                    </w:rPr>
                    <w:t>(± 5,000)</w:t>
                  </w:r>
                </w:p>
              </w:tc>
              <w:tc>
                <w:tcPr>
                  <w:tcW w:w="0" w:type="auto"/>
                  <w:shd w:val="clear" w:color="auto" w:fill="FFF2CC" w:themeFill="accent4" w:themeFillTint="33"/>
                  <w:vAlign w:val="center"/>
                </w:tcPr>
                <w:p w14:paraId="33A9D04A" w14:textId="53B6C196" w:rsidR="00BE26CA" w:rsidRPr="00791162" w:rsidRDefault="00BE26CA">
                  <w:pPr>
                    <w:spacing w:line="240" w:lineRule="auto"/>
                    <w:contextualSpacing/>
                    <w:jc w:val="center"/>
                    <w:rPr>
                      <w:rFonts w:cs="Arial"/>
                      <w:sz w:val="14"/>
                      <w:szCs w:val="14"/>
                    </w:rPr>
                  </w:pPr>
                  <w:r w:rsidRPr="00791162">
                    <w:rPr>
                      <w:sz w:val="14"/>
                      <w:szCs w:val="14"/>
                    </w:rPr>
                    <w:t xml:space="preserve">10,000 </w:t>
                  </w:r>
                  <w:r w:rsidRPr="00791162">
                    <w:rPr>
                      <w:rFonts w:ascii="Verdana" w:hAnsi="Verdana"/>
                      <w:sz w:val="14"/>
                      <w:szCs w:val="14"/>
                    </w:rPr>
                    <w:t>(± 6,000)</w:t>
                  </w:r>
                </w:p>
              </w:tc>
              <w:tc>
                <w:tcPr>
                  <w:tcW w:w="0" w:type="auto"/>
                  <w:shd w:val="clear" w:color="auto" w:fill="D9E2F3" w:themeFill="accent5" w:themeFillTint="33"/>
                  <w:vAlign w:val="center"/>
                </w:tcPr>
                <w:p w14:paraId="7525D677" w14:textId="24503263" w:rsidR="00BE26CA" w:rsidRPr="00791162" w:rsidRDefault="00BE26CA">
                  <w:pPr>
                    <w:spacing w:line="240" w:lineRule="auto"/>
                    <w:contextualSpacing/>
                    <w:jc w:val="center"/>
                    <w:rPr>
                      <w:rFonts w:cs="Arial"/>
                      <w:sz w:val="14"/>
                      <w:szCs w:val="14"/>
                    </w:rPr>
                  </w:pPr>
                  <w:r w:rsidRPr="00791162">
                    <w:rPr>
                      <w:rFonts w:cs="Arial"/>
                      <w:sz w:val="14"/>
                      <w:szCs w:val="14"/>
                    </w:rPr>
                    <w:t>223,000</w:t>
                  </w:r>
                </w:p>
              </w:tc>
              <w:tc>
                <w:tcPr>
                  <w:tcW w:w="0" w:type="auto"/>
                  <w:shd w:val="clear" w:color="auto" w:fill="D9E2F3" w:themeFill="accent5" w:themeFillTint="33"/>
                  <w:vAlign w:val="center"/>
                </w:tcPr>
                <w:p w14:paraId="47A1845F" w14:textId="77777777" w:rsidR="00BE26CA" w:rsidRPr="00791162" w:rsidRDefault="00BE26CA">
                  <w:pPr>
                    <w:spacing w:line="240" w:lineRule="auto"/>
                    <w:contextualSpacing/>
                    <w:jc w:val="center"/>
                    <w:rPr>
                      <w:rFonts w:cs="Arial"/>
                      <w:sz w:val="14"/>
                      <w:szCs w:val="14"/>
                    </w:rPr>
                  </w:pPr>
                  <w:r w:rsidRPr="00791162">
                    <w:rPr>
                      <w:rFonts w:cs="Arial"/>
                      <w:sz w:val="14"/>
                      <w:szCs w:val="14"/>
                    </w:rPr>
                    <w:t>$12</w:t>
                  </w:r>
                </w:p>
              </w:tc>
              <w:tc>
                <w:tcPr>
                  <w:tcW w:w="0" w:type="auto"/>
                  <w:shd w:val="clear" w:color="auto" w:fill="D9E2F3" w:themeFill="accent5" w:themeFillTint="33"/>
                  <w:vAlign w:val="center"/>
                </w:tcPr>
                <w:p w14:paraId="1A601525" w14:textId="77777777" w:rsidR="00BE26CA" w:rsidRPr="00791162" w:rsidRDefault="00BE26CA">
                  <w:pPr>
                    <w:spacing w:line="240" w:lineRule="auto"/>
                    <w:contextualSpacing/>
                    <w:jc w:val="center"/>
                    <w:rPr>
                      <w:rFonts w:cs="Arial"/>
                      <w:sz w:val="14"/>
                      <w:szCs w:val="14"/>
                    </w:rPr>
                  </w:pPr>
                  <w:r w:rsidRPr="00791162">
                    <w:rPr>
                      <w:rFonts w:cs="Arial"/>
                      <w:sz w:val="14"/>
                      <w:szCs w:val="14"/>
                    </w:rPr>
                    <w:t>89,000</w:t>
                  </w:r>
                </w:p>
              </w:tc>
              <w:tc>
                <w:tcPr>
                  <w:tcW w:w="0" w:type="auto"/>
                  <w:shd w:val="clear" w:color="auto" w:fill="D9E2F3" w:themeFill="accent5" w:themeFillTint="33"/>
                  <w:vAlign w:val="center"/>
                </w:tcPr>
                <w:p w14:paraId="7317DDBE" w14:textId="77777777" w:rsidR="00BE26CA" w:rsidRPr="00791162" w:rsidRDefault="00BE26CA">
                  <w:pPr>
                    <w:spacing w:line="240" w:lineRule="auto"/>
                    <w:contextualSpacing/>
                    <w:jc w:val="center"/>
                    <w:rPr>
                      <w:rFonts w:cs="Arial"/>
                      <w:sz w:val="14"/>
                      <w:szCs w:val="14"/>
                    </w:rPr>
                  </w:pPr>
                  <w:r w:rsidRPr="00791162">
                    <w:rPr>
                      <w:rFonts w:cs="Arial"/>
                      <w:sz w:val="14"/>
                      <w:szCs w:val="14"/>
                    </w:rPr>
                    <w:t>-$8</w:t>
                  </w:r>
                </w:p>
              </w:tc>
            </w:tr>
          </w:tbl>
          <w:p w14:paraId="172B5033" w14:textId="77777777" w:rsidR="00EC7DE0" w:rsidRDefault="00EC7DE0" w:rsidP="00A05D58">
            <w:pPr>
              <w:rPr>
                <w:lang w:val="en-NZ"/>
              </w:rPr>
            </w:pPr>
          </w:p>
          <w:p w14:paraId="2042B71D" w14:textId="4389E2F9" w:rsidR="00B74FA3" w:rsidRDefault="003712EF" w:rsidP="00A05D58">
            <w:pPr>
              <w:rPr>
                <w:lang w:val="en-NZ"/>
              </w:rPr>
            </w:pPr>
            <w:r>
              <w:rPr>
                <w:lang w:val="en-NZ"/>
              </w:rPr>
              <w:t>Options A2</w:t>
            </w:r>
            <w:r w:rsidR="00A05D58">
              <w:rPr>
                <w:lang w:val="en-NZ"/>
              </w:rPr>
              <w:t>, A3 and</w:t>
            </w:r>
            <w:r w:rsidR="491A11BE" w:rsidRPr="236AC2D8">
              <w:rPr>
                <w:lang w:val="en-NZ"/>
              </w:rPr>
              <w:t xml:space="preserve"> </w:t>
            </w:r>
            <w:r>
              <w:rPr>
                <w:lang w:val="en-NZ"/>
              </w:rPr>
              <w:t>B explore changes to the WFF abatement rate</w:t>
            </w:r>
            <w:r w:rsidR="00E93F60">
              <w:rPr>
                <w:lang w:val="en-NZ"/>
              </w:rPr>
              <w:t>.</w:t>
            </w:r>
            <w:r w:rsidR="00D06261">
              <w:rPr>
                <w:lang w:val="en-NZ"/>
              </w:rPr>
              <w:t xml:space="preserve"> </w:t>
            </w:r>
            <w:r w:rsidR="00872569">
              <w:rPr>
                <w:lang w:val="en-NZ"/>
              </w:rPr>
              <w:t xml:space="preserve">The WFF abatement </w:t>
            </w:r>
            <w:r w:rsidR="0089629B">
              <w:rPr>
                <w:lang w:val="en-NZ"/>
              </w:rPr>
              <w:t>rate</w:t>
            </w:r>
            <w:r w:rsidR="00872569">
              <w:rPr>
                <w:lang w:val="en-NZ"/>
              </w:rPr>
              <w:t xml:space="preserve"> applies to a family’</w:t>
            </w:r>
            <w:r w:rsidR="0089629B">
              <w:rPr>
                <w:lang w:val="en-NZ"/>
              </w:rPr>
              <w:t>s</w:t>
            </w:r>
            <w:r w:rsidR="00872569">
              <w:rPr>
                <w:lang w:val="en-NZ"/>
              </w:rPr>
              <w:t xml:space="preserve"> </w:t>
            </w:r>
            <w:r w:rsidR="00A05D58">
              <w:rPr>
                <w:lang w:val="en-NZ"/>
              </w:rPr>
              <w:t>in-work tax credit (</w:t>
            </w:r>
            <w:r w:rsidR="00872569">
              <w:rPr>
                <w:lang w:val="en-NZ"/>
              </w:rPr>
              <w:t>IWTC</w:t>
            </w:r>
            <w:r w:rsidR="00A05D58">
              <w:rPr>
                <w:lang w:val="en-NZ"/>
              </w:rPr>
              <w:t>)</w:t>
            </w:r>
            <w:r w:rsidR="00872569">
              <w:rPr>
                <w:lang w:val="en-NZ"/>
              </w:rPr>
              <w:t xml:space="preserve"> (or CTC</w:t>
            </w:r>
            <w:r w:rsidR="00645417">
              <w:rPr>
                <w:rStyle w:val="FootnoteReference"/>
                <w:lang w:val="en-NZ"/>
              </w:rPr>
              <w:footnoteReference w:id="8"/>
            </w:r>
            <w:r w:rsidR="00872569">
              <w:rPr>
                <w:lang w:val="en-NZ"/>
              </w:rPr>
              <w:t xml:space="preserve">) and FTC </w:t>
            </w:r>
            <w:r w:rsidR="005C79A5">
              <w:rPr>
                <w:lang w:val="en-NZ"/>
              </w:rPr>
              <w:t>entitlements</w:t>
            </w:r>
            <w:r w:rsidR="0089629B">
              <w:rPr>
                <w:lang w:val="en-NZ"/>
              </w:rPr>
              <w:t xml:space="preserve"> once the</w:t>
            </w:r>
            <w:r w:rsidR="00645417">
              <w:rPr>
                <w:lang w:val="en-NZ"/>
              </w:rPr>
              <w:t>ir annual income</w:t>
            </w:r>
            <w:r w:rsidR="0089629B">
              <w:rPr>
                <w:lang w:val="en-NZ"/>
              </w:rPr>
              <w:t xml:space="preserve"> surpass</w:t>
            </w:r>
            <w:r w:rsidR="00645417">
              <w:rPr>
                <w:lang w:val="en-NZ"/>
              </w:rPr>
              <w:t>es</w:t>
            </w:r>
            <w:r w:rsidR="0089629B">
              <w:rPr>
                <w:lang w:val="en-NZ"/>
              </w:rPr>
              <w:t xml:space="preserve"> the WFF abatement threshold. </w:t>
            </w:r>
            <w:r w:rsidR="00480223">
              <w:rPr>
                <w:lang w:val="en-NZ"/>
              </w:rPr>
              <w:t xml:space="preserve">The abatement rate </w:t>
            </w:r>
            <w:r w:rsidR="00342B8D">
              <w:rPr>
                <w:lang w:val="en-NZ"/>
              </w:rPr>
              <w:t xml:space="preserve">determines </w:t>
            </w:r>
            <w:r w:rsidR="00B42898">
              <w:rPr>
                <w:lang w:val="en-NZ"/>
              </w:rPr>
              <w:t>the rate at which a famil</w:t>
            </w:r>
            <w:r w:rsidR="00E56D9D">
              <w:rPr>
                <w:lang w:val="en-NZ"/>
              </w:rPr>
              <w:t>y</w:t>
            </w:r>
            <w:r w:rsidR="00B42898">
              <w:rPr>
                <w:lang w:val="en-NZ"/>
              </w:rPr>
              <w:t xml:space="preserve">’s </w:t>
            </w:r>
            <w:r w:rsidR="00A05D58">
              <w:rPr>
                <w:lang w:val="en-NZ"/>
              </w:rPr>
              <w:t xml:space="preserve">WFF </w:t>
            </w:r>
            <w:r w:rsidR="00B42898">
              <w:rPr>
                <w:lang w:val="en-NZ"/>
              </w:rPr>
              <w:t>entitlement is reduced</w:t>
            </w:r>
            <w:r w:rsidR="00E56D9D">
              <w:rPr>
                <w:lang w:val="en-NZ"/>
              </w:rPr>
              <w:t xml:space="preserve"> once </w:t>
            </w:r>
            <w:r w:rsidR="00D64471">
              <w:rPr>
                <w:lang w:val="en-NZ"/>
              </w:rPr>
              <w:t>their income crosses</w:t>
            </w:r>
            <w:r w:rsidR="00E56D9D">
              <w:rPr>
                <w:lang w:val="en-NZ"/>
              </w:rPr>
              <w:t xml:space="preserve"> the threshold</w:t>
            </w:r>
            <w:r w:rsidR="0094654B">
              <w:rPr>
                <w:lang w:val="en-NZ"/>
              </w:rPr>
              <w:t>,</w:t>
            </w:r>
            <w:r w:rsidR="00B42898">
              <w:rPr>
                <w:lang w:val="en-NZ"/>
              </w:rPr>
              <w:t xml:space="preserve"> </w:t>
            </w:r>
            <w:proofErr w:type="gramStart"/>
            <w:r w:rsidR="00B42898">
              <w:rPr>
                <w:lang w:val="en-NZ"/>
              </w:rPr>
              <w:t>i.e.</w:t>
            </w:r>
            <w:proofErr w:type="gramEnd"/>
            <w:r w:rsidR="00F57F76">
              <w:rPr>
                <w:lang w:val="en-NZ"/>
              </w:rPr>
              <w:t xml:space="preserve"> </w:t>
            </w:r>
            <w:r w:rsidR="00342B8D">
              <w:rPr>
                <w:lang w:val="en-NZ"/>
              </w:rPr>
              <w:t>how</w:t>
            </w:r>
            <w:r w:rsidR="00414797">
              <w:rPr>
                <w:lang w:val="en-NZ"/>
              </w:rPr>
              <w:t xml:space="preserve"> </w:t>
            </w:r>
            <w:r w:rsidR="00342B8D">
              <w:rPr>
                <w:lang w:val="en-NZ"/>
              </w:rPr>
              <w:t>m</w:t>
            </w:r>
            <w:r w:rsidR="00F57F76">
              <w:rPr>
                <w:lang w:val="en-NZ"/>
              </w:rPr>
              <w:t xml:space="preserve">any cents in each dollar earnt over the threshold </w:t>
            </w:r>
            <w:r w:rsidR="00554F54">
              <w:rPr>
                <w:lang w:val="en-NZ"/>
              </w:rPr>
              <w:t>a family</w:t>
            </w:r>
            <w:r w:rsidR="00D64471">
              <w:rPr>
                <w:lang w:val="en-NZ"/>
              </w:rPr>
              <w:t xml:space="preserve"> will lose from their entitlement</w:t>
            </w:r>
            <w:r w:rsidR="00DE679F">
              <w:rPr>
                <w:lang w:val="en-NZ"/>
              </w:rPr>
              <w:t xml:space="preserve">. </w:t>
            </w:r>
            <w:r w:rsidR="003C3799">
              <w:rPr>
                <w:lang w:val="en-NZ"/>
              </w:rPr>
              <w:t>Currently</w:t>
            </w:r>
            <w:r w:rsidR="00872569">
              <w:rPr>
                <w:lang w:val="en-NZ"/>
              </w:rPr>
              <w:t>,</w:t>
            </w:r>
            <w:r w:rsidR="003C3799">
              <w:rPr>
                <w:lang w:val="en-NZ"/>
              </w:rPr>
              <w:t xml:space="preserve"> the </w:t>
            </w:r>
            <w:r w:rsidR="00872569">
              <w:rPr>
                <w:lang w:val="en-NZ"/>
              </w:rPr>
              <w:t xml:space="preserve">WFF </w:t>
            </w:r>
            <w:r w:rsidR="003C3799">
              <w:rPr>
                <w:lang w:val="en-NZ"/>
              </w:rPr>
              <w:t>abatement rate is 25%</w:t>
            </w:r>
            <w:r w:rsidR="00554F54">
              <w:rPr>
                <w:lang w:val="en-NZ"/>
              </w:rPr>
              <w:t xml:space="preserve"> (25c</w:t>
            </w:r>
            <w:r w:rsidR="002569BC">
              <w:rPr>
                <w:lang w:val="en-NZ"/>
              </w:rPr>
              <w:t xml:space="preserve"> in each dollar)</w:t>
            </w:r>
            <w:r w:rsidR="003C3799">
              <w:rPr>
                <w:lang w:val="en-NZ"/>
              </w:rPr>
              <w:t xml:space="preserve"> and the abat</w:t>
            </w:r>
            <w:r w:rsidR="00B317F8">
              <w:rPr>
                <w:lang w:val="en-NZ"/>
              </w:rPr>
              <w:t>em</w:t>
            </w:r>
            <w:r w:rsidR="003C3799">
              <w:rPr>
                <w:lang w:val="en-NZ"/>
              </w:rPr>
              <w:t>e</w:t>
            </w:r>
            <w:r w:rsidR="00B317F8">
              <w:rPr>
                <w:lang w:val="en-NZ"/>
              </w:rPr>
              <w:t>n</w:t>
            </w:r>
            <w:r w:rsidR="003C3799">
              <w:rPr>
                <w:lang w:val="en-NZ"/>
              </w:rPr>
              <w:t>t threshold is $42,700</w:t>
            </w:r>
            <w:r w:rsidR="00D375CD">
              <w:rPr>
                <w:lang w:val="en-NZ"/>
              </w:rPr>
              <w:t>.</w:t>
            </w:r>
          </w:p>
          <w:p w14:paraId="3E05649D" w14:textId="77E198D4" w:rsidR="008235E4" w:rsidRDefault="51611E9E" w:rsidP="00A05D58">
            <w:r w:rsidRPr="236AC2D8">
              <w:rPr>
                <w:lang w:val="en-NZ"/>
              </w:rPr>
              <w:t>Abatement rate increases</w:t>
            </w:r>
            <w:r w:rsidR="003712EF" w:rsidRPr="236AC2D8" w:rsidDel="2A847ECD">
              <w:rPr>
                <w:lang w:val="en-NZ"/>
              </w:rPr>
              <w:t xml:space="preserve"> </w:t>
            </w:r>
            <w:r w:rsidR="00D06261">
              <w:rPr>
                <w:lang w:val="en-NZ"/>
              </w:rPr>
              <w:t xml:space="preserve">reduce the fiscal cost of </w:t>
            </w:r>
            <w:r w:rsidR="03CE49A9" w:rsidRPr="236AC2D8">
              <w:rPr>
                <w:lang w:val="en-NZ"/>
              </w:rPr>
              <w:t xml:space="preserve">an FTC rate increase </w:t>
            </w:r>
            <w:r w:rsidR="00D06261">
              <w:rPr>
                <w:lang w:val="en-NZ"/>
              </w:rPr>
              <w:t xml:space="preserve">and </w:t>
            </w:r>
            <w:r w:rsidR="008730F3">
              <w:rPr>
                <w:lang w:val="en-NZ"/>
              </w:rPr>
              <w:t>target</w:t>
            </w:r>
            <w:r w:rsidR="5A863A83" w:rsidRPr="236AC2D8">
              <w:rPr>
                <w:lang w:val="en-NZ"/>
              </w:rPr>
              <w:t xml:space="preserve"> </w:t>
            </w:r>
            <w:r w:rsidR="00A45FF1">
              <w:rPr>
                <w:lang w:val="en-NZ"/>
              </w:rPr>
              <w:t>support</w:t>
            </w:r>
            <w:r w:rsidR="5A863A83" w:rsidRPr="236AC2D8">
              <w:rPr>
                <w:lang w:val="en-NZ"/>
              </w:rPr>
              <w:t xml:space="preserve"> </w:t>
            </w:r>
            <w:r w:rsidR="00F257F6">
              <w:rPr>
                <w:lang w:val="en-NZ"/>
              </w:rPr>
              <w:t xml:space="preserve">more </w:t>
            </w:r>
            <w:r w:rsidR="5A863A83" w:rsidRPr="236AC2D8">
              <w:rPr>
                <w:lang w:val="en-NZ"/>
              </w:rPr>
              <w:t>towards lower</w:t>
            </w:r>
            <w:r w:rsidR="00A45FF1">
              <w:rPr>
                <w:lang w:val="en-NZ"/>
              </w:rPr>
              <w:t>-</w:t>
            </w:r>
            <w:r w:rsidR="5A863A83" w:rsidRPr="236AC2D8">
              <w:rPr>
                <w:lang w:val="en-NZ"/>
              </w:rPr>
              <w:t xml:space="preserve">income families. </w:t>
            </w:r>
            <w:r w:rsidR="005F2095">
              <w:rPr>
                <w:lang w:val="en-NZ"/>
              </w:rPr>
              <w:t>A</w:t>
            </w:r>
            <w:r w:rsidR="00B409FF">
              <w:rPr>
                <w:lang w:val="en-NZ"/>
              </w:rPr>
              <w:t>batement rate increases meet</w:t>
            </w:r>
            <w:r w:rsidR="00D06261">
              <w:rPr>
                <w:lang w:val="en-NZ"/>
              </w:rPr>
              <w:t xml:space="preserve"> </w:t>
            </w:r>
            <w:r w:rsidR="007F67AA">
              <w:rPr>
                <w:lang w:val="en-NZ"/>
              </w:rPr>
              <w:t xml:space="preserve">the </w:t>
            </w:r>
            <w:r w:rsidR="00A05D58">
              <w:rPr>
                <w:lang w:val="en-NZ"/>
              </w:rPr>
              <w:t xml:space="preserve">WFF </w:t>
            </w:r>
            <w:r w:rsidR="007F67AA">
              <w:rPr>
                <w:lang w:val="en-NZ"/>
              </w:rPr>
              <w:t>review</w:t>
            </w:r>
            <w:r w:rsidR="00D06261">
              <w:rPr>
                <w:lang w:val="en-NZ"/>
              </w:rPr>
              <w:t>’s objective to “</w:t>
            </w:r>
            <w:r w:rsidR="00D06261">
              <w:t>target support more to lower-income families rather than more universal support”.</w:t>
            </w:r>
          </w:p>
          <w:p w14:paraId="2058C8CE" w14:textId="1776B227" w:rsidR="00951C20" w:rsidRPr="000608D7" w:rsidRDefault="002B157C" w:rsidP="00A05D58">
            <w:pPr>
              <w:rPr>
                <w:b/>
                <w:bCs/>
              </w:rPr>
            </w:pPr>
            <w:r w:rsidRPr="000608D7">
              <w:rPr>
                <w:b/>
                <w:bCs/>
              </w:rPr>
              <w:t>Updated i</w:t>
            </w:r>
            <w:r w:rsidR="00951C20" w:rsidRPr="000608D7">
              <w:rPr>
                <w:b/>
                <w:bCs/>
              </w:rPr>
              <w:t>mpacts of the final option</w:t>
            </w:r>
            <w:r w:rsidR="00417531">
              <w:rPr>
                <w:b/>
                <w:bCs/>
              </w:rPr>
              <w:t xml:space="preserve"> agreed by Ministers</w:t>
            </w:r>
          </w:p>
          <w:p w14:paraId="19B9F0F7" w14:textId="576966C0" w:rsidR="00A43852" w:rsidRDefault="00DD7C0F" w:rsidP="00A05D58">
            <w:pPr>
              <w:rPr>
                <w:lang w:val="en-NZ"/>
              </w:rPr>
            </w:pPr>
            <w:r w:rsidRPr="000608D7">
              <w:t xml:space="preserve">Ministers have </w:t>
            </w:r>
            <w:r w:rsidR="00951C20" w:rsidRPr="000608D7">
              <w:t>chosen to progress</w:t>
            </w:r>
            <w:r w:rsidRPr="000608D7">
              <w:t xml:space="preserve"> option A3 (</w:t>
            </w:r>
            <w:r w:rsidR="00F257F6" w:rsidRPr="000608D7">
              <w:t xml:space="preserve">a </w:t>
            </w:r>
            <w:r w:rsidRPr="000608D7">
              <w:t xml:space="preserve">weekly increase </w:t>
            </w:r>
            <w:r w:rsidR="008A391B" w:rsidRPr="000608D7">
              <w:t xml:space="preserve">in </w:t>
            </w:r>
            <w:r w:rsidRPr="000608D7">
              <w:t xml:space="preserve">FTC </w:t>
            </w:r>
            <w:r w:rsidR="00F257F6" w:rsidRPr="000608D7">
              <w:t>rates</w:t>
            </w:r>
            <w:r w:rsidR="008A391B" w:rsidRPr="000608D7">
              <w:t xml:space="preserve"> of $5</w:t>
            </w:r>
            <w:r w:rsidR="00F257F6" w:rsidRPr="000608D7">
              <w:t xml:space="preserve"> </w:t>
            </w:r>
            <w:r w:rsidRPr="000608D7">
              <w:t>and an abatement rate of 27%</w:t>
            </w:r>
            <w:r w:rsidR="00F257F6" w:rsidRPr="000608D7">
              <w:t>)</w:t>
            </w:r>
            <w:r w:rsidRPr="000608D7">
              <w:t>.</w:t>
            </w:r>
            <w:r w:rsidR="00951C20" w:rsidRPr="000608D7">
              <w:t xml:space="preserve"> The following are the </w:t>
            </w:r>
            <w:r w:rsidR="002B24A5">
              <w:t xml:space="preserve">updated </w:t>
            </w:r>
            <w:r w:rsidR="00951C20" w:rsidRPr="000608D7">
              <w:t xml:space="preserve">modelled outputs of option A3 using </w:t>
            </w:r>
            <w:r w:rsidR="00A42F8D">
              <w:t xml:space="preserve">a counterfactual calculated with </w:t>
            </w:r>
            <w:r w:rsidR="00951C20" w:rsidRPr="000608D7">
              <w:t>the updated CPI figure.</w:t>
            </w:r>
            <w:r w:rsidR="004C565A">
              <w:t xml:space="preserve"> </w:t>
            </w:r>
            <w:r w:rsidR="004C565A" w:rsidRPr="000519B8">
              <w:rPr>
                <w:lang w:val="en-NZ"/>
              </w:rPr>
              <w:t>Note that</w:t>
            </w:r>
            <w:r w:rsidR="004C565A">
              <w:rPr>
                <w:lang w:val="en-NZ"/>
              </w:rPr>
              <w:t xml:space="preserve">, unless otherwise stated, all outputs </w:t>
            </w:r>
            <w:r w:rsidR="0056399B">
              <w:rPr>
                <w:lang w:val="en-NZ"/>
              </w:rPr>
              <w:t xml:space="preserve">for this option </w:t>
            </w:r>
            <w:r w:rsidR="004C565A" w:rsidRPr="000519B8">
              <w:rPr>
                <w:lang w:val="en-NZ"/>
              </w:rPr>
              <w:t xml:space="preserve">do not include the impact of </w:t>
            </w:r>
            <w:r w:rsidR="00A42F8D">
              <w:rPr>
                <w:lang w:val="en-NZ"/>
              </w:rPr>
              <w:t xml:space="preserve">the FTC and BSTC rates increase </w:t>
            </w:r>
            <w:r w:rsidR="0056399B">
              <w:rPr>
                <w:lang w:val="en-NZ"/>
              </w:rPr>
              <w:t xml:space="preserve">due to </w:t>
            </w:r>
            <w:r w:rsidR="004C565A" w:rsidRPr="000519B8">
              <w:rPr>
                <w:lang w:val="en-NZ"/>
              </w:rPr>
              <w:t>CPI indexation.</w:t>
            </w:r>
          </w:p>
          <w:p w14:paraId="0197AA39" w14:textId="3269F159" w:rsidR="008233A3" w:rsidRDefault="008233A3" w:rsidP="00A05D58">
            <w:pPr>
              <w:rPr>
                <w:lang w:val="en-NZ"/>
              </w:rPr>
            </w:pPr>
          </w:p>
          <w:p w14:paraId="255CB65B" w14:textId="70CC89EC" w:rsidR="008233A3" w:rsidRDefault="008233A3" w:rsidP="00A05D58">
            <w:pPr>
              <w:rPr>
                <w:lang w:val="en-NZ"/>
              </w:rPr>
            </w:pPr>
          </w:p>
          <w:p w14:paraId="71D42884" w14:textId="73234942" w:rsidR="008233A3" w:rsidRDefault="008233A3" w:rsidP="00A05D58">
            <w:pPr>
              <w:rPr>
                <w:lang w:val="en-NZ"/>
              </w:rPr>
            </w:pPr>
          </w:p>
          <w:p w14:paraId="2BBE6C2D" w14:textId="77777777" w:rsidR="008233A3" w:rsidRPr="008233A3" w:rsidRDefault="008233A3" w:rsidP="00A05D58">
            <w:pPr>
              <w:rPr>
                <w:lang w:val="en-NZ"/>
              </w:rPr>
            </w:pPr>
          </w:p>
          <w:tbl>
            <w:tblPr>
              <w:tblStyle w:val="TableGrid"/>
              <w:tblW w:w="0" w:type="auto"/>
              <w:tblLook w:val="04A0" w:firstRow="1" w:lastRow="0" w:firstColumn="1" w:lastColumn="0" w:noHBand="0" w:noVBand="1"/>
            </w:tblPr>
            <w:tblGrid>
              <w:gridCol w:w="1070"/>
              <w:gridCol w:w="705"/>
              <w:gridCol w:w="801"/>
              <w:gridCol w:w="966"/>
              <w:gridCol w:w="720"/>
              <w:gridCol w:w="795"/>
              <w:gridCol w:w="866"/>
              <w:gridCol w:w="730"/>
              <w:gridCol w:w="765"/>
              <w:gridCol w:w="645"/>
              <w:gridCol w:w="776"/>
            </w:tblGrid>
            <w:tr w:rsidR="00141910" w:rsidRPr="007E40D8" w14:paraId="4C986D76" w14:textId="77777777" w:rsidTr="00A90748">
              <w:trPr>
                <w:trHeight w:val="18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2B11291" w14:textId="77777777" w:rsidR="00976E07" w:rsidRPr="007E40D8" w:rsidRDefault="00976E07" w:rsidP="00976E07">
                  <w:pPr>
                    <w:spacing w:after="0" w:line="240" w:lineRule="auto"/>
                    <w:contextualSpacing/>
                    <w:jc w:val="center"/>
                    <w:rPr>
                      <w:rFonts w:cs="Arial"/>
                      <w:b/>
                      <w:bCs/>
                      <w:sz w:val="14"/>
                      <w:szCs w:val="14"/>
                      <w:lang w:val="en-NZ" w:eastAsia="en-NZ"/>
                    </w:rPr>
                  </w:pPr>
                  <w:r w:rsidRPr="007E40D8">
                    <w:rPr>
                      <w:rFonts w:cs="Arial"/>
                      <w:b/>
                      <w:bCs/>
                      <w:sz w:val="14"/>
                      <w:szCs w:val="14"/>
                    </w:rPr>
                    <w:t>FTC rate and abatement rate options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E223153" w14:textId="77777777" w:rsidR="00976E07" w:rsidRPr="007E40D8" w:rsidRDefault="00976E07" w:rsidP="00976E07">
                  <w:pPr>
                    <w:spacing w:after="0" w:line="240" w:lineRule="auto"/>
                    <w:contextualSpacing/>
                    <w:jc w:val="center"/>
                    <w:rPr>
                      <w:rFonts w:cs="Arial"/>
                      <w:b/>
                      <w:bCs/>
                      <w:sz w:val="14"/>
                      <w:szCs w:val="14"/>
                    </w:rPr>
                  </w:pPr>
                  <w:r w:rsidRPr="007E40D8">
                    <w:rPr>
                      <w:rFonts w:cs="Arial"/>
                      <w:b/>
                      <w:bCs/>
                      <w:sz w:val="14"/>
                      <w:szCs w:val="14"/>
                    </w:rPr>
                    <w:t>FTC increase per child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50CAFF50" w14:textId="77777777" w:rsidR="00976E07" w:rsidRPr="007E40D8" w:rsidRDefault="00976E07" w:rsidP="00976E07">
                  <w:pPr>
                    <w:spacing w:after="0" w:line="240" w:lineRule="auto"/>
                    <w:contextualSpacing/>
                    <w:jc w:val="center"/>
                    <w:rPr>
                      <w:rFonts w:cs="Arial"/>
                      <w:b/>
                      <w:bCs/>
                      <w:sz w:val="14"/>
                      <w:szCs w:val="14"/>
                    </w:rPr>
                  </w:pPr>
                  <w:r w:rsidRPr="007E40D8">
                    <w:rPr>
                      <w:rFonts w:cs="Arial"/>
                      <w:b/>
                      <w:bCs/>
                      <w:sz w:val="14"/>
                      <w:szCs w:val="14"/>
                    </w:rPr>
                    <w:t>Abatement rate</w:t>
                  </w:r>
                </w:p>
              </w:tc>
              <w:tc>
                <w:tcPr>
                  <w:tcW w:w="0" w:type="auto"/>
                  <w:vMerge w:val="restart"/>
                  <w:tcBorders>
                    <w:top w:val="single" w:sz="4" w:space="0" w:color="000000"/>
                    <w:left w:val="single" w:sz="4" w:space="0" w:color="000000"/>
                    <w:right w:val="single" w:sz="4" w:space="0" w:color="000000"/>
                  </w:tcBorders>
                  <w:shd w:val="clear" w:color="auto" w:fill="F7CAAC" w:themeFill="accent2" w:themeFillTint="66"/>
                  <w:vAlign w:val="center"/>
                </w:tcPr>
                <w:p w14:paraId="16B188D1" w14:textId="77777777" w:rsidR="00976E07" w:rsidRPr="007E40D8" w:rsidRDefault="00976E07" w:rsidP="00976E07">
                  <w:pPr>
                    <w:spacing w:after="0" w:line="240" w:lineRule="auto"/>
                    <w:contextualSpacing/>
                    <w:jc w:val="center"/>
                    <w:rPr>
                      <w:b/>
                      <w:bCs/>
                      <w:sz w:val="14"/>
                      <w:szCs w:val="14"/>
                    </w:rPr>
                  </w:pPr>
                  <w:r w:rsidRPr="007E40D8">
                    <w:rPr>
                      <w:b/>
                      <w:bCs/>
                      <w:sz w:val="14"/>
                      <w:szCs w:val="14"/>
                    </w:rPr>
                    <w:t>Annual cost</w:t>
                  </w:r>
                </w:p>
              </w:tc>
              <w:tc>
                <w:tcPr>
                  <w:tcW w:w="0" w:type="auto"/>
                  <w:gridSpan w:val="2"/>
                  <w:tcBorders>
                    <w:top w:val="single" w:sz="4" w:space="0" w:color="000000"/>
                    <w:left w:val="single" w:sz="4" w:space="0" w:color="000000"/>
                    <w:bottom w:val="single" w:sz="4" w:space="0" w:color="000000"/>
                  </w:tcBorders>
                  <w:shd w:val="clear" w:color="auto" w:fill="FFE599" w:themeFill="accent4" w:themeFillTint="66"/>
                  <w:vAlign w:val="center"/>
                </w:tcPr>
                <w:p w14:paraId="33DA6ADB" w14:textId="77777777" w:rsidR="00976E07" w:rsidRPr="007E40D8" w:rsidRDefault="00976E07" w:rsidP="00976E07">
                  <w:pPr>
                    <w:spacing w:after="0" w:line="240" w:lineRule="auto"/>
                    <w:contextualSpacing/>
                    <w:jc w:val="center"/>
                    <w:rPr>
                      <w:rFonts w:cs="Arial"/>
                      <w:b/>
                      <w:bCs/>
                      <w:sz w:val="14"/>
                      <w:szCs w:val="14"/>
                    </w:rPr>
                  </w:pPr>
                  <w:r w:rsidRPr="007E40D8">
                    <w:rPr>
                      <w:b/>
                      <w:bCs/>
                      <w:sz w:val="14"/>
                      <w:szCs w:val="14"/>
                    </w:rPr>
                    <w:t>Children lifted from poverty</w:t>
                  </w:r>
                  <w:r w:rsidRPr="007E40D8">
                    <w:rPr>
                      <w:b/>
                      <w:bCs/>
                      <w:position w:val="8"/>
                      <w:sz w:val="14"/>
                      <w:szCs w:val="14"/>
                    </w:rPr>
                    <w:footnoteReference w:id="9"/>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5D421E7C" w14:textId="5E55C4AA" w:rsidR="00976E07" w:rsidRPr="007E40D8" w:rsidRDefault="00976E07" w:rsidP="00976E07">
                  <w:pPr>
                    <w:spacing w:after="0" w:line="240" w:lineRule="auto"/>
                    <w:contextualSpacing/>
                    <w:jc w:val="center"/>
                    <w:rPr>
                      <w:rFonts w:cs="Arial"/>
                      <w:b/>
                      <w:bCs/>
                      <w:sz w:val="14"/>
                      <w:szCs w:val="14"/>
                    </w:rPr>
                  </w:pPr>
                  <w:r w:rsidRPr="007E40D8">
                    <w:rPr>
                      <w:rFonts w:cs="Arial"/>
                      <w:b/>
                      <w:bCs/>
                      <w:sz w:val="14"/>
                      <w:szCs w:val="14"/>
                    </w:rPr>
                    <w:t>Gains and losses for households</w:t>
                  </w:r>
                </w:p>
              </w:tc>
            </w:tr>
            <w:tr w:rsidR="00A90748" w:rsidRPr="007E40D8" w14:paraId="0673F7D8" w14:textId="77777777" w:rsidTr="00A90748">
              <w:trPr>
                <w:trHeight w:val="18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C2FB9" w14:textId="77777777" w:rsidR="00976E07" w:rsidRPr="007E40D8" w:rsidRDefault="00976E07" w:rsidP="00976E07">
                  <w:pPr>
                    <w:spacing w:after="0" w:line="240" w:lineRule="auto"/>
                    <w:contextualSpacing/>
                    <w:jc w:val="center"/>
                    <w:rPr>
                      <w:rFonts w:cs="Arial"/>
                      <w:b/>
                      <w:bCs/>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EAF763D" w14:textId="77777777" w:rsidR="00976E07" w:rsidRPr="007E40D8" w:rsidRDefault="00976E07" w:rsidP="00976E07">
                  <w:pPr>
                    <w:spacing w:after="0" w:line="240" w:lineRule="auto"/>
                    <w:contextualSpacing/>
                    <w:jc w:val="center"/>
                    <w:rPr>
                      <w:rFonts w:cs="Arial"/>
                      <w:sz w:val="14"/>
                      <w:szCs w:val="14"/>
                    </w:rPr>
                  </w:pPr>
                  <w:r w:rsidRPr="007E40D8">
                    <w:rPr>
                      <w:rFonts w:cs="Arial"/>
                      <w:sz w:val="14"/>
                      <w:szCs w:val="14"/>
                    </w:rPr>
                    <w:t>Rate change</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2C57FE8B" w14:textId="77777777" w:rsidR="00976E07" w:rsidRPr="007E40D8" w:rsidRDefault="00976E07" w:rsidP="00976E07">
                  <w:pPr>
                    <w:spacing w:after="0" w:line="240" w:lineRule="auto"/>
                    <w:contextualSpacing/>
                    <w:jc w:val="center"/>
                    <w:rPr>
                      <w:rFonts w:cs="Arial"/>
                      <w:sz w:val="14"/>
                      <w:szCs w:val="14"/>
                    </w:rPr>
                  </w:pPr>
                  <w:r w:rsidRPr="007E40D8">
                    <w:rPr>
                      <w:rFonts w:cs="Arial"/>
                      <w:sz w:val="14"/>
                      <w:szCs w:val="14"/>
                    </w:rPr>
                    <w:t>Total with CPI (eldest &amp; subs. child)</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CE20D" w14:textId="77777777" w:rsidR="00976E07" w:rsidRPr="007E40D8" w:rsidRDefault="00976E07" w:rsidP="00976E07">
                  <w:pPr>
                    <w:spacing w:after="0" w:line="240" w:lineRule="auto"/>
                    <w:contextualSpacing/>
                    <w:jc w:val="center"/>
                    <w:rPr>
                      <w:rFonts w:cs="Arial"/>
                      <w:b/>
                      <w:bCs/>
                      <w:sz w:val="14"/>
                      <w:szCs w:val="14"/>
                    </w:rPr>
                  </w:pPr>
                </w:p>
              </w:tc>
              <w:tc>
                <w:tcPr>
                  <w:tcW w:w="0" w:type="auto"/>
                  <w:vMerge/>
                  <w:tcBorders>
                    <w:left w:val="single" w:sz="4" w:space="0" w:color="000000"/>
                    <w:right w:val="single" w:sz="4" w:space="0" w:color="000000"/>
                  </w:tcBorders>
                  <w:shd w:val="clear" w:color="auto" w:fill="F7CAAC" w:themeFill="accent2" w:themeFillTint="66"/>
                </w:tcPr>
                <w:p w14:paraId="3D08F878" w14:textId="77777777" w:rsidR="00976E07" w:rsidRPr="007E40D8" w:rsidRDefault="00976E07" w:rsidP="00976E07">
                  <w:pPr>
                    <w:spacing w:after="0" w:line="240" w:lineRule="auto"/>
                    <w:contextualSpacing/>
                    <w:jc w:val="center"/>
                    <w:rPr>
                      <w:sz w:val="14"/>
                      <w:szCs w:val="14"/>
                    </w:rPr>
                  </w:pPr>
                </w:p>
              </w:tc>
              <w:tc>
                <w:tcPr>
                  <w:tcW w:w="0" w:type="auto"/>
                  <w:tcBorders>
                    <w:left w:val="single" w:sz="4" w:space="0" w:color="000000"/>
                  </w:tcBorders>
                  <w:shd w:val="clear" w:color="auto" w:fill="FFE599" w:themeFill="accent4" w:themeFillTint="66"/>
                  <w:vAlign w:val="center"/>
                </w:tcPr>
                <w:p w14:paraId="1C30F514" w14:textId="77777777" w:rsidR="00976E07" w:rsidRPr="007E40D8" w:rsidRDefault="00976E07" w:rsidP="00976E07">
                  <w:pPr>
                    <w:spacing w:after="0" w:line="240" w:lineRule="auto"/>
                    <w:contextualSpacing/>
                    <w:jc w:val="center"/>
                    <w:rPr>
                      <w:rFonts w:cs="Arial"/>
                      <w:sz w:val="14"/>
                      <w:szCs w:val="14"/>
                    </w:rPr>
                  </w:pPr>
                  <w:r w:rsidRPr="007E40D8">
                    <w:rPr>
                      <w:sz w:val="14"/>
                      <w:szCs w:val="14"/>
                    </w:rPr>
                    <w:t>BHC50</w:t>
                  </w:r>
                  <w:r w:rsidRPr="007E40D8">
                    <w:rPr>
                      <w:rStyle w:val="FootnoteReference"/>
                      <w:sz w:val="14"/>
                      <w:szCs w:val="14"/>
                    </w:rPr>
                    <w:footnoteReference w:id="10"/>
                  </w:r>
                </w:p>
              </w:tc>
              <w:tc>
                <w:tcPr>
                  <w:tcW w:w="0" w:type="auto"/>
                  <w:shd w:val="clear" w:color="auto" w:fill="FFE599" w:themeFill="accent4" w:themeFillTint="66"/>
                  <w:vAlign w:val="center"/>
                </w:tcPr>
                <w:p w14:paraId="1D36BFCF" w14:textId="77777777" w:rsidR="00976E07" w:rsidRPr="007E40D8" w:rsidRDefault="00976E07" w:rsidP="00976E07">
                  <w:pPr>
                    <w:spacing w:after="0" w:line="240" w:lineRule="auto"/>
                    <w:contextualSpacing/>
                    <w:jc w:val="center"/>
                    <w:rPr>
                      <w:rFonts w:cs="Arial"/>
                      <w:sz w:val="14"/>
                      <w:szCs w:val="14"/>
                    </w:rPr>
                  </w:pPr>
                  <w:r w:rsidRPr="007E40D8">
                    <w:rPr>
                      <w:sz w:val="14"/>
                      <w:szCs w:val="14"/>
                    </w:rPr>
                    <w:t>AHC50</w:t>
                  </w:r>
                  <w:r w:rsidRPr="007E40D8">
                    <w:rPr>
                      <w:rStyle w:val="FootnoteReference"/>
                      <w:sz w:val="14"/>
                      <w:szCs w:val="14"/>
                    </w:rPr>
                    <w:footnoteReference w:id="11"/>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58691CDF" w14:textId="77777777" w:rsidR="00976E07" w:rsidRPr="007E40D8" w:rsidRDefault="00976E07" w:rsidP="00976E07">
                  <w:pPr>
                    <w:spacing w:after="0" w:line="240" w:lineRule="auto"/>
                    <w:contextualSpacing/>
                    <w:jc w:val="center"/>
                    <w:rPr>
                      <w:rFonts w:cs="Arial"/>
                      <w:sz w:val="14"/>
                      <w:szCs w:val="14"/>
                    </w:rPr>
                  </w:pPr>
                  <w:r w:rsidRPr="007E40D8">
                    <w:rPr>
                      <w:rFonts w:cs="Arial"/>
                      <w:sz w:val="14"/>
                      <w:szCs w:val="14"/>
                    </w:rPr>
                    <w:t>Winners</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53858B73" w14:textId="77777777" w:rsidR="00976E07" w:rsidRPr="007E40D8" w:rsidRDefault="00976E07" w:rsidP="00976E07">
                  <w:pPr>
                    <w:spacing w:after="0" w:line="240" w:lineRule="auto"/>
                    <w:contextualSpacing/>
                    <w:jc w:val="center"/>
                    <w:rPr>
                      <w:rFonts w:cs="Arial"/>
                      <w:sz w:val="14"/>
                      <w:szCs w:val="14"/>
                    </w:rPr>
                  </w:pPr>
                  <w:r w:rsidRPr="007E40D8">
                    <w:rPr>
                      <w:rFonts w:cs="Arial"/>
                      <w:sz w:val="14"/>
                      <w:szCs w:val="14"/>
                    </w:rPr>
                    <w:t>Average gain</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45439EF5" w14:textId="77777777" w:rsidR="00976E07" w:rsidRPr="007E40D8" w:rsidRDefault="00976E07" w:rsidP="00976E07">
                  <w:pPr>
                    <w:spacing w:after="0" w:line="240" w:lineRule="auto"/>
                    <w:contextualSpacing/>
                    <w:jc w:val="center"/>
                    <w:rPr>
                      <w:rFonts w:cs="Arial"/>
                      <w:sz w:val="14"/>
                      <w:szCs w:val="14"/>
                    </w:rPr>
                  </w:pPr>
                  <w:r w:rsidRPr="007E40D8">
                    <w:rPr>
                      <w:rFonts w:cs="Arial"/>
                      <w:sz w:val="14"/>
                      <w:szCs w:val="14"/>
                    </w:rPr>
                    <w:t>Losers</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4E35F139" w14:textId="77777777" w:rsidR="00976E07" w:rsidRPr="007E40D8" w:rsidRDefault="00976E07" w:rsidP="00976E07">
                  <w:pPr>
                    <w:spacing w:after="0" w:line="240" w:lineRule="auto"/>
                    <w:contextualSpacing/>
                    <w:jc w:val="center"/>
                    <w:rPr>
                      <w:rFonts w:cs="Arial"/>
                      <w:sz w:val="14"/>
                      <w:szCs w:val="14"/>
                    </w:rPr>
                  </w:pPr>
                  <w:r w:rsidRPr="007E40D8">
                    <w:rPr>
                      <w:rFonts w:cs="Arial"/>
                      <w:sz w:val="14"/>
                      <w:szCs w:val="14"/>
                    </w:rPr>
                    <w:t>Average losses</w:t>
                  </w:r>
                </w:p>
              </w:tc>
            </w:tr>
            <w:tr w:rsidR="00816EA6" w:rsidRPr="007E40D8" w14:paraId="1EED4FE3" w14:textId="77777777" w:rsidTr="00A90748">
              <w:trPr>
                <w:trHeight w:val="175"/>
              </w:trPr>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694A45E" w14:textId="18711AFC" w:rsidR="00976E07" w:rsidRPr="007E40D8" w:rsidRDefault="00976E07" w:rsidP="00976E07">
                  <w:pPr>
                    <w:spacing w:after="0" w:line="240" w:lineRule="auto"/>
                    <w:contextualSpacing/>
                    <w:jc w:val="center"/>
                    <w:rPr>
                      <w:rFonts w:cs="Arial"/>
                      <w:b/>
                      <w:bCs/>
                      <w:sz w:val="14"/>
                      <w:szCs w:val="14"/>
                    </w:rPr>
                  </w:pPr>
                  <w:r w:rsidRPr="007E40D8">
                    <w:rPr>
                      <w:rFonts w:cs="Arial"/>
                      <w:b/>
                      <w:bCs/>
                      <w:sz w:val="14"/>
                      <w:szCs w:val="14"/>
                    </w:rPr>
                    <w:t>A3</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F7280FD" w14:textId="4496DCE7" w:rsidR="00976E07" w:rsidRPr="007E40D8" w:rsidRDefault="00976E07" w:rsidP="00976E07">
                  <w:pPr>
                    <w:spacing w:after="0" w:line="240" w:lineRule="auto"/>
                    <w:contextualSpacing/>
                    <w:jc w:val="center"/>
                    <w:rPr>
                      <w:rFonts w:cs="Arial"/>
                      <w:sz w:val="14"/>
                      <w:szCs w:val="14"/>
                    </w:rPr>
                  </w:pPr>
                  <w:r w:rsidRPr="007E40D8">
                    <w:rPr>
                      <w:rFonts w:cs="Arial"/>
                      <w:sz w:val="14"/>
                      <w:szCs w:val="14"/>
                    </w:rPr>
                    <w:t>$5</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76CB57C1" w14:textId="63673860" w:rsidR="00976E07" w:rsidRPr="007E40D8" w:rsidRDefault="00976E07" w:rsidP="00976E07">
                  <w:pPr>
                    <w:spacing w:after="0" w:line="240" w:lineRule="auto"/>
                    <w:contextualSpacing/>
                    <w:jc w:val="center"/>
                    <w:rPr>
                      <w:rFonts w:cs="Arial"/>
                      <w:sz w:val="14"/>
                      <w:szCs w:val="14"/>
                    </w:rPr>
                  </w:pPr>
                  <w:r w:rsidRPr="007E40D8">
                    <w:rPr>
                      <w:rFonts w:cs="Arial"/>
                      <w:color w:val="000000"/>
                      <w:sz w:val="14"/>
                      <w:szCs w:val="14"/>
                    </w:rPr>
                    <w:t>$14.69 and $12.83</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7C21EF81" w14:textId="6BBFACAF" w:rsidR="00976E07" w:rsidRPr="007E40D8" w:rsidRDefault="00976E07" w:rsidP="00976E07">
                  <w:pPr>
                    <w:spacing w:after="0" w:line="240" w:lineRule="auto"/>
                    <w:contextualSpacing/>
                    <w:jc w:val="center"/>
                    <w:rPr>
                      <w:rFonts w:cs="Arial"/>
                      <w:sz w:val="14"/>
                      <w:szCs w:val="14"/>
                    </w:rPr>
                  </w:pPr>
                  <w:r w:rsidRPr="007E40D8">
                    <w:rPr>
                      <w:rFonts w:cs="Arial"/>
                      <w:sz w:val="14"/>
                      <w:szCs w:val="14"/>
                    </w:rPr>
                    <w:t>27%</w:t>
                  </w:r>
                </w:p>
              </w:tc>
              <w:tc>
                <w:tcPr>
                  <w:tcW w:w="0" w:type="auto"/>
                  <w:shd w:val="clear" w:color="auto" w:fill="FBE4D5" w:themeFill="accent2" w:themeFillTint="33"/>
                  <w:vAlign w:val="center"/>
                </w:tcPr>
                <w:p w14:paraId="3CEE146F" w14:textId="3A7FC349" w:rsidR="00976E07" w:rsidRPr="007E40D8" w:rsidRDefault="00976E07" w:rsidP="00976E07">
                  <w:pPr>
                    <w:spacing w:after="0" w:line="240" w:lineRule="auto"/>
                    <w:contextualSpacing/>
                    <w:jc w:val="center"/>
                    <w:rPr>
                      <w:sz w:val="14"/>
                      <w:szCs w:val="14"/>
                    </w:rPr>
                  </w:pPr>
                  <w:r w:rsidRPr="007E40D8">
                    <w:rPr>
                      <w:sz w:val="14"/>
                      <w:szCs w:val="14"/>
                    </w:rPr>
                    <w:t>$66m</w:t>
                  </w:r>
                </w:p>
              </w:tc>
              <w:tc>
                <w:tcPr>
                  <w:tcW w:w="0" w:type="auto"/>
                  <w:shd w:val="clear" w:color="auto" w:fill="FFF2CC" w:themeFill="accent4" w:themeFillTint="33"/>
                  <w:vAlign w:val="center"/>
                </w:tcPr>
                <w:p w14:paraId="1492C7CF" w14:textId="6605C804" w:rsidR="00976E07" w:rsidRPr="007E40D8" w:rsidRDefault="00976E07" w:rsidP="00976E07">
                  <w:pPr>
                    <w:spacing w:after="0" w:line="240" w:lineRule="auto"/>
                    <w:contextualSpacing/>
                    <w:jc w:val="center"/>
                    <w:rPr>
                      <w:rFonts w:cs="Arial"/>
                      <w:sz w:val="14"/>
                      <w:szCs w:val="14"/>
                    </w:rPr>
                  </w:pPr>
                  <w:r w:rsidRPr="007E40D8">
                    <w:rPr>
                      <w:sz w:val="14"/>
                      <w:szCs w:val="14"/>
                    </w:rPr>
                    <w:t xml:space="preserve">5,000 </w:t>
                  </w:r>
                  <w:r w:rsidRPr="007E40D8">
                    <w:rPr>
                      <w:rFonts w:ascii="Verdana" w:hAnsi="Verdana"/>
                      <w:sz w:val="14"/>
                      <w:szCs w:val="14"/>
                    </w:rPr>
                    <w:t>(± 4,000)</w:t>
                  </w:r>
                </w:p>
              </w:tc>
              <w:tc>
                <w:tcPr>
                  <w:tcW w:w="0" w:type="auto"/>
                  <w:shd w:val="clear" w:color="auto" w:fill="FFF2CC" w:themeFill="accent4" w:themeFillTint="33"/>
                  <w:vAlign w:val="center"/>
                </w:tcPr>
                <w:p w14:paraId="5E080FBD" w14:textId="41E4CF63" w:rsidR="00976E07" w:rsidRPr="007E40D8" w:rsidRDefault="00976E07" w:rsidP="00976E07">
                  <w:pPr>
                    <w:spacing w:after="0" w:line="240" w:lineRule="auto"/>
                    <w:contextualSpacing/>
                    <w:jc w:val="center"/>
                    <w:rPr>
                      <w:rFonts w:cs="Arial"/>
                      <w:sz w:val="14"/>
                      <w:szCs w:val="14"/>
                    </w:rPr>
                  </w:pPr>
                  <w:r w:rsidRPr="007E40D8">
                    <w:rPr>
                      <w:sz w:val="14"/>
                      <w:szCs w:val="14"/>
                    </w:rPr>
                    <w:t xml:space="preserve">6,000 </w:t>
                  </w:r>
                  <w:r w:rsidRPr="007E40D8">
                    <w:rPr>
                      <w:rFonts w:ascii="Verdana" w:hAnsi="Verdana"/>
                      <w:sz w:val="14"/>
                      <w:szCs w:val="14"/>
                    </w:rPr>
                    <w:t>(± 5,000)</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650A0B2" w14:textId="7603619D" w:rsidR="00976E07" w:rsidRPr="007E40D8" w:rsidRDefault="00976E07" w:rsidP="00976E07">
                  <w:pPr>
                    <w:spacing w:after="0" w:line="240" w:lineRule="auto"/>
                    <w:contextualSpacing/>
                    <w:jc w:val="center"/>
                    <w:rPr>
                      <w:rFonts w:cs="Arial"/>
                      <w:sz w:val="14"/>
                      <w:szCs w:val="14"/>
                    </w:rPr>
                  </w:pPr>
                  <w:r w:rsidRPr="007E40D8">
                    <w:rPr>
                      <w:rFonts w:cs="Arial"/>
                      <w:sz w:val="14"/>
                      <w:szCs w:val="14"/>
                    </w:rPr>
                    <w:t>22</w:t>
                  </w:r>
                  <w:r w:rsidR="001A49C5">
                    <w:rPr>
                      <w:rFonts w:cs="Arial"/>
                      <w:sz w:val="14"/>
                      <w:szCs w:val="14"/>
                    </w:rPr>
                    <w:t>3</w:t>
                  </w:r>
                  <w:r w:rsidRPr="007E40D8">
                    <w:rPr>
                      <w:rFonts w:cs="Arial"/>
                      <w:sz w:val="14"/>
                      <w:szCs w:val="14"/>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E31C11B" w14:textId="52D5A13C" w:rsidR="00976E07" w:rsidRPr="007E40D8" w:rsidRDefault="00976E07" w:rsidP="00976E07">
                  <w:pPr>
                    <w:spacing w:after="0" w:line="240" w:lineRule="auto"/>
                    <w:contextualSpacing/>
                    <w:jc w:val="center"/>
                    <w:rPr>
                      <w:rFonts w:cs="Arial"/>
                      <w:sz w:val="14"/>
                      <w:szCs w:val="14"/>
                    </w:rPr>
                  </w:pPr>
                  <w:r w:rsidRPr="007E40D8">
                    <w:rPr>
                      <w:rFonts w:cs="Arial"/>
                      <w:sz w:val="14"/>
                      <w:szCs w:val="14"/>
                    </w:rPr>
                    <w:t>$8</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5C9E6C7" w14:textId="6A867FDF" w:rsidR="00976E07" w:rsidRPr="007E40D8" w:rsidRDefault="00976E07" w:rsidP="00976E07">
                  <w:pPr>
                    <w:spacing w:after="0" w:line="240" w:lineRule="auto"/>
                    <w:contextualSpacing/>
                    <w:jc w:val="center"/>
                    <w:rPr>
                      <w:rFonts w:cs="Arial"/>
                      <w:sz w:val="14"/>
                      <w:szCs w:val="14"/>
                    </w:rPr>
                  </w:pPr>
                  <w:r w:rsidRPr="007E40D8">
                    <w:rPr>
                      <w:rFonts w:cs="Arial"/>
                      <w:sz w:val="14"/>
                      <w:szCs w:val="14"/>
                    </w:rPr>
                    <w:t>9</w:t>
                  </w:r>
                  <w:r w:rsidR="001A49C5">
                    <w:rPr>
                      <w:rFonts w:cs="Arial"/>
                      <w:sz w:val="14"/>
                      <w:szCs w:val="14"/>
                    </w:rPr>
                    <w:t>1</w:t>
                  </w:r>
                  <w:r w:rsidRPr="007E40D8">
                    <w:rPr>
                      <w:rFonts w:cs="Arial"/>
                      <w:sz w:val="14"/>
                      <w:szCs w:val="14"/>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DA71C16" w14:textId="2FC225A7" w:rsidR="00976E07" w:rsidRPr="007E40D8" w:rsidRDefault="00976E07" w:rsidP="00976E07">
                  <w:pPr>
                    <w:spacing w:after="0" w:line="240" w:lineRule="auto"/>
                    <w:contextualSpacing/>
                    <w:jc w:val="center"/>
                    <w:rPr>
                      <w:rFonts w:cs="Arial"/>
                      <w:sz w:val="14"/>
                      <w:szCs w:val="14"/>
                    </w:rPr>
                  </w:pPr>
                  <w:r w:rsidRPr="007E40D8">
                    <w:rPr>
                      <w:rFonts w:cs="Arial"/>
                      <w:sz w:val="16"/>
                      <w:szCs w:val="16"/>
                    </w:rPr>
                    <w:t>-$6</w:t>
                  </w:r>
                </w:p>
              </w:tc>
            </w:tr>
          </w:tbl>
          <w:p w14:paraId="42F801D3" w14:textId="77777777" w:rsidR="00F233BB" w:rsidRDefault="00F233BB" w:rsidP="00A05D58"/>
          <w:p w14:paraId="4745F97B" w14:textId="77777777" w:rsidR="00A9368D" w:rsidRDefault="00A9368D" w:rsidP="00A05D58">
            <w:pPr>
              <w:rPr>
                <w:b/>
                <w:lang w:val="en-NZ"/>
              </w:rPr>
            </w:pPr>
            <w:r w:rsidRPr="0041282D">
              <w:rPr>
                <w:b/>
                <w:bCs/>
                <w:lang w:val="en-NZ"/>
              </w:rPr>
              <w:t>Option to pass on increase to other caregivers</w:t>
            </w:r>
            <w:r>
              <w:rPr>
                <w:b/>
                <w:bCs/>
                <w:lang w:val="en-NZ"/>
              </w:rPr>
              <w:t xml:space="preserve"> (</w:t>
            </w:r>
            <w:proofErr w:type="spellStart"/>
            <w:r>
              <w:rPr>
                <w:b/>
                <w:bCs/>
                <w:lang w:val="en-NZ"/>
              </w:rPr>
              <w:t>Oranga</w:t>
            </w:r>
            <w:proofErr w:type="spellEnd"/>
            <w:r>
              <w:rPr>
                <w:b/>
                <w:bCs/>
                <w:lang w:val="en-NZ"/>
              </w:rPr>
              <w:t xml:space="preserve"> Tamariki comment)</w:t>
            </w:r>
          </w:p>
          <w:p w14:paraId="6280B880" w14:textId="77777777" w:rsidR="00A9368D" w:rsidRPr="0041282D" w:rsidRDefault="00A9368D" w:rsidP="00A05D58">
            <w:pPr>
              <w:rPr>
                <w:b/>
                <w:bCs/>
                <w:lang w:val="en-NZ"/>
              </w:rPr>
            </w:pPr>
            <w:r>
              <w:t xml:space="preserve">There is also the option to </w:t>
            </w:r>
            <w:r w:rsidRPr="008F28F1">
              <w:t xml:space="preserve">extend </w:t>
            </w:r>
            <w:r>
              <w:t>the FTC increase to the</w:t>
            </w:r>
            <w:r w:rsidRPr="008F28F1">
              <w:t xml:space="preserve"> rates of O</w:t>
            </w:r>
            <w:r>
              <w:t xml:space="preserve">rphan’s </w:t>
            </w:r>
            <w:r w:rsidRPr="008F28F1">
              <w:t>B</w:t>
            </w:r>
            <w:r>
              <w:t>enefit (OB)</w:t>
            </w:r>
            <w:r w:rsidRPr="008F28F1">
              <w:t>, U</w:t>
            </w:r>
            <w:r>
              <w:t xml:space="preserve">nsupported </w:t>
            </w:r>
            <w:r w:rsidRPr="008F28F1">
              <w:t>C</w:t>
            </w:r>
            <w:r>
              <w:t xml:space="preserve">hild’s </w:t>
            </w:r>
            <w:r w:rsidRPr="008F28F1">
              <w:t>B</w:t>
            </w:r>
            <w:r>
              <w:t>enefit (UCB),</w:t>
            </w:r>
            <w:r w:rsidRPr="008F28F1">
              <w:t xml:space="preserve"> and F</w:t>
            </w:r>
            <w:r>
              <w:t xml:space="preserve">oster </w:t>
            </w:r>
            <w:r w:rsidRPr="008F28F1">
              <w:t>C</w:t>
            </w:r>
            <w:r>
              <w:t xml:space="preserve">are </w:t>
            </w:r>
            <w:r w:rsidRPr="008F28F1">
              <w:t>A</w:t>
            </w:r>
            <w:r>
              <w:t xml:space="preserve">llowance (FCA), </w:t>
            </w:r>
            <w:r w:rsidRPr="008B6072">
              <w:t>costing an average of $8.2m per annum for a $5 increase to rates, or an average of $12.3m per annum</w:t>
            </w:r>
            <w:r>
              <w:t xml:space="preserve"> </w:t>
            </w:r>
            <w:r w:rsidRPr="008B6072">
              <w:t>for a $7.50 increase to rates</w:t>
            </w:r>
            <w:r>
              <w:t xml:space="preserve">. </w:t>
            </w:r>
            <w:r w:rsidRPr="00AD7391">
              <w:t xml:space="preserve">By convention, any FTC increase is passed on to these </w:t>
            </w:r>
            <w:r>
              <w:t>payments – t</w:t>
            </w:r>
            <w:r w:rsidRPr="00AD7391">
              <w:t>his is because caregivers are not able to receive the FTC</w:t>
            </w:r>
            <w:r>
              <w:t>, and t</w:t>
            </w:r>
            <w:r w:rsidRPr="00AD7391">
              <w:t>he FTC makes a partial contribution towards the costs of raising children</w:t>
            </w:r>
            <w:r>
              <w:t>.</w:t>
            </w:r>
          </w:p>
          <w:p w14:paraId="0A29DC21" w14:textId="5AC87AE4" w:rsidR="005C270A" w:rsidRPr="005C270A" w:rsidRDefault="005C270A" w:rsidP="00A05D58">
            <w:pPr>
              <w:rPr>
                <w:lang w:val="en-NZ"/>
              </w:rPr>
            </w:pPr>
          </w:p>
          <w:p w14:paraId="32A1256D" w14:textId="0785E52B" w:rsidR="000132F6" w:rsidRPr="00A864A5" w:rsidRDefault="000132F6" w:rsidP="00A05D58">
            <w:pPr>
              <w:rPr>
                <w:lang w:val="en-NZ"/>
              </w:rPr>
            </w:pPr>
          </w:p>
        </w:tc>
      </w:tr>
    </w:tbl>
    <w:p w14:paraId="00EA5FDB" w14:textId="77777777" w:rsidR="009E1F56" w:rsidRDefault="009E1F56" w:rsidP="0076799E">
      <w:pPr>
        <w:pStyle w:val="TableHeadings"/>
        <w:rPr>
          <w:szCs w:val="22"/>
          <w:lang w:val="en-NZ"/>
        </w:rPr>
        <w:sectPr w:rsidR="009E1F56" w:rsidSect="00791162">
          <w:headerReference w:type="default" r:id="rId7"/>
          <w:footerReference w:type="default" r:id="rId8"/>
          <w:pgSz w:w="11906" w:h="16838" w:code="9"/>
          <w:pgMar w:top="1134" w:right="1418" w:bottom="992" w:left="1418" w:header="454" w:footer="454" w:gutter="0"/>
          <w:cols w:space="708"/>
          <w:docGrid w:linePitch="360"/>
        </w:sectPr>
      </w:pPr>
      <w:bookmarkStart w:id="2" w:name="_Hlk57203483"/>
    </w:p>
    <w:tbl>
      <w:tblPr>
        <w:tblW w:w="5003"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3486"/>
        <w:gridCol w:w="5579"/>
      </w:tblGrid>
      <w:tr w:rsidR="006756BE" w:rsidRPr="00A864A5" w14:paraId="42ED5650" w14:textId="77777777" w:rsidTr="1D1D5D45">
        <w:tc>
          <w:tcPr>
            <w:tcW w:w="5000" w:type="pct"/>
            <w:gridSpan w:val="2"/>
            <w:tcBorders>
              <w:bottom w:val="single" w:sz="4" w:space="0" w:color="DDDDDD"/>
            </w:tcBorders>
            <w:shd w:val="clear" w:color="auto" w:fill="99CDDD"/>
            <w:hideMark/>
          </w:tcPr>
          <w:p w14:paraId="195A9405" w14:textId="2B5542A4" w:rsidR="00E8143E" w:rsidRPr="00A864A5" w:rsidRDefault="00E8143E" w:rsidP="0076799E">
            <w:pPr>
              <w:pStyle w:val="TableHeadings"/>
              <w:rPr>
                <w:color w:val="002060"/>
                <w:szCs w:val="22"/>
                <w:lang w:val="en-NZ"/>
              </w:rPr>
            </w:pPr>
            <w:r w:rsidRPr="00A864A5">
              <w:rPr>
                <w:szCs w:val="22"/>
                <w:lang w:val="en-NZ"/>
              </w:rPr>
              <w:t xml:space="preserve">Limitations </w:t>
            </w:r>
            <w:r w:rsidR="003F775E">
              <w:rPr>
                <w:szCs w:val="22"/>
                <w:lang w:val="en-NZ"/>
              </w:rPr>
              <w:t>and</w:t>
            </w:r>
            <w:r w:rsidRPr="00A864A5">
              <w:rPr>
                <w:szCs w:val="22"/>
                <w:lang w:val="en-NZ"/>
              </w:rPr>
              <w:t xml:space="preserve"> Constraints on Analysis</w:t>
            </w:r>
          </w:p>
        </w:tc>
      </w:tr>
      <w:tr w:rsidR="009B3158" w:rsidRPr="00A864A5" w14:paraId="2E89EDEC" w14:textId="77777777" w:rsidTr="1D1D5D45">
        <w:trPr>
          <w:trHeight w:val="978"/>
        </w:trPr>
        <w:tc>
          <w:tcPr>
            <w:tcW w:w="5000" w:type="pct"/>
            <w:gridSpan w:val="2"/>
            <w:tcBorders>
              <w:top w:val="nil"/>
            </w:tcBorders>
            <w:shd w:val="clear" w:color="auto" w:fill="auto"/>
          </w:tcPr>
          <w:p w14:paraId="35FE6445" w14:textId="69BA7604" w:rsidR="0006423B" w:rsidRDefault="00C30D77" w:rsidP="0006423B">
            <w:pPr>
              <w:spacing w:line="240" w:lineRule="auto"/>
              <w:rPr>
                <w:iCs/>
                <w:color w:val="000000"/>
                <w:lang w:val="en-NZ"/>
              </w:rPr>
            </w:pPr>
            <w:r>
              <w:rPr>
                <w:b/>
                <w:bCs/>
                <w:iCs/>
                <w:color w:val="000000"/>
                <w:lang w:val="en-NZ"/>
              </w:rPr>
              <w:br/>
            </w:r>
            <w:r w:rsidR="00B94650" w:rsidRPr="39FB6EB0">
              <w:rPr>
                <w:color w:val="000000" w:themeColor="text1"/>
                <w:lang w:val="en-NZ"/>
              </w:rPr>
              <w:t xml:space="preserve">The options presented in </w:t>
            </w:r>
            <w:r w:rsidR="00E448E5" w:rsidRPr="39FB6EB0">
              <w:rPr>
                <w:color w:val="000000" w:themeColor="text1"/>
                <w:lang w:val="en-NZ"/>
              </w:rPr>
              <w:t>p</w:t>
            </w:r>
            <w:r w:rsidR="00C12DF7" w:rsidRPr="39FB6EB0">
              <w:rPr>
                <w:color w:val="000000" w:themeColor="text1"/>
                <w:lang w:val="en-NZ"/>
              </w:rPr>
              <w:t>hase</w:t>
            </w:r>
            <w:r w:rsidR="00B94650" w:rsidRPr="39FB6EB0">
              <w:rPr>
                <w:color w:val="000000" w:themeColor="text1"/>
                <w:lang w:val="en-NZ"/>
              </w:rPr>
              <w:t xml:space="preserve"> </w:t>
            </w:r>
            <w:r w:rsidR="00E448E5" w:rsidRPr="39FB6EB0">
              <w:rPr>
                <w:color w:val="000000" w:themeColor="text1"/>
                <w:lang w:val="en-NZ"/>
              </w:rPr>
              <w:t>one</w:t>
            </w:r>
            <w:r w:rsidR="00B94650" w:rsidRPr="39FB6EB0">
              <w:rPr>
                <w:color w:val="000000" w:themeColor="text1"/>
                <w:lang w:val="en-NZ"/>
              </w:rPr>
              <w:t xml:space="preserve"> ha</w:t>
            </w:r>
            <w:r w:rsidR="00EF23A3" w:rsidRPr="39FB6EB0">
              <w:rPr>
                <w:color w:val="000000" w:themeColor="text1"/>
                <w:lang w:val="en-NZ"/>
              </w:rPr>
              <w:t>ve</w:t>
            </w:r>
            <w:r w:rsidR="00B94650" w:rsidRPr="39FB6EB0">
              <w:rPr>
                <w:color w:val="000000" w:themeColor="text1"/>
                <w:lang w:val="en-NZ"/>
              </w:rPr>
              <w:t xml:space="preserve"> been limited by</w:t>
            </w:r>
            <w:r w:rsidR="35D1EB03" w:rsidRPr="39FB6EB0">
              <w:rPr>
                <w:color w:val="000000" w:themeColor="text1"/>
                <w:lang w:val="en-NZ"/>
              </w:rPr>
              <w:t>:</w:t>
            </w:r>
          </w:p>
          <w:p w14:paraId="062CECED" w14:textId="43D4E4FB" w:rsidR="0006423B" w:rsidRDefault="467C7064" w:rsidP="005460D3">
            <w:pPr>
              <w:pStyle w:val="ListParagraph"/>
              <w:numPr>
                <w:ilvl w:val="0"/>
                <w:numId w:val="10"/>
              </w:numPr>
              <w:spacing w:line="240" w:lineRule="auto"/>
              <w:rPr>
                <w:iCs/>
                <w:color w:val="000000"/>
                <w:lang w:val="en-NZ"/>
              </w:rPr>
            </w:pPr>
            <w:r w:rsidRPr="39FB6EB0">
              <w:rPr>
                <w:color w:val="000000" w:themeColor="text1"/>
                <w:lang w:val="en-NZ"/>
              </w:rPr>
              <w:t xml:space="preserve">The scope of </w:t>
            </w:r>
            <w:r w:rsidR="007F67AA">
              <w:rPr>
                <w:color w:val="000000" w:themeColor="text1"/>
                <w:lang w:val="en-NZ"/>
              </w:rPr>
              <w:t>the review</w:t>
            </w:r>
            <w:r w:rsidR="4A01FCB4" w:rsidRPr="39FB6EB0">
              <w:rPr>
                <w:color w:val="000000" w:themeColor="text1"/>
                <w:lang w:val="en-NZ"/>
              </w:rPr>
              <w:t xml:space="preserve"> and the specif</w:t>
            </w:r>
            <w:r w:rsidR="7383A22B" w:rsidRPr="39FB6EB0">
              <w:rPr>
                <w:color w:val="000000" w:themeColor="text1"/>
                <w:lang w:val="en-NZ"/>
              </w:rPr>
              <w:t>ic</w:t>
            </w:r>
            <w:r w:rsidR="4A01FCB4" w:rsidRPr="39FB6EB0">
              <w:rPr>
                <w:color w:val="000000" w:themeColor="text1"/>
                <w:lang w:val="en-NZ"/>
              </w:rPr>
              <w:t xml:space="preserve"> parameters set by Ministers for </w:t>
            </w:r>
            <w:r w:rsidR="00640133">
              <w:rPr>
                <w:color w:val="000000" w:themeColor="text1"/>
                <w:lang w:val="en-NZ"/>
              </w:rPr>
              <w:t>p</w:t>
            </w:r>
            <w:r w:rsidR="4A01FCB4" w:rsidRPr="39FB6EB0">
              <w:rPr>
                <w:color w:val="000000" w:themeColor="text1"/>
                <w:lang w:val="en-NZ"/>
              </w:rPr>
              <w:t>hase one options</w:t>
            </w:r>
          </w:p>
          <w:p w14:paraId="42929C2E" w14:textId="677A5254" w:rsidR="0006423B" w:rsidRDefault="00B94650" w:rsidP="005460D3">
            <w:pPr>
              <w:pStyle w:val="ListParagraph"/>
              <w:numPr>
                <w:ilvl w:val="0"/>
                <w:numId w:val="10"/>
              </w:numPr>
              <w:spacing w:line="240" w:lineRule="auto"/>
              <w:rPr>
                <w:iCs/>
                <w:color w:val="000000"/>
                <w:lang w:val="en-NZ"/>
              </w:rPr>
            </w:pPr>
            <w:r w:rsidRPr="71CB5FC2">
              <w:rPr>
                <w:color w:val="000000" w:themeColor="text1"/>
                <w:lang w:val="en-NZ"/>
              </w:rPr>
              <w:t>The modest fiscal envelope</w:t>
            </w:r>
            <w:r w:rsidR="00E022D3" w:rsidRPr="71CB5FC2">
              <w:rPr>
                <w:color w:val="000000" w:themeColor="text1"/>
                <w:lang w:val="en-NZ"/>
              </w:rPr>
              <w:t xml:space="preserve"> of </w:t>
            </w:r>
            <w:r w:rsidR="007F67AA">
              <w:rPr>
                <w:color w:val="000000" w:themeColor="text1"/>
                <w:lang w:val="en-NZ"/>
              </w:rPr>
              <w:t>the review</w:t>
            </w:r>
          </w:p>
          <w:p w14:paraId="38A60C8A" w14:textId="77777777" w:rsidR="0006423B" w:rsidRDefault="00B94650" w:rsidP="005460D3">
            <w:pPr>
              <w:pStyle w:val="ListParagraph"/>
              <w:numPr>
                <w:ilvl w:val="0"/>
                <w:numId w:val="10"/>
              </w:numPr>
              <w:spacing w:line="240" w:lineRule="auto"/>
              <w:rPr>
                <w:iCs/>
                <w:color w:val="000000"/>
                <w:lang w:val="en-NZ"/>
              </w:rPr>
            </w:pPr>
            <w:r w:rsidRPr="71CB5FC2">
              <w:rPr>
                <w:color w:val="000000" w:themeColor="text1"/>
                <w:lang w:val="en-NZ"/>
              </w:rPr>
              <w:t>The tight timeframes required to make system changes before April 2022</w:t>
            </w:r>
          </w:p>
          <w:p w14:paraId="69DFA892" w14:textId="008D4B82" w:rsidR="0006423B" w:rsidRDefault="008273F1" w:rsidP="005460D3">
            <w:pPr>
              <w:pStyle w:val="ListParagraph"/>
              <w:numPr>
                <w:ilvl w:val="0"/>
                <w:numId w:val="10"/>
              </w:numPr>
              <w:spacing w:line="240" w:lineRule="auto"/>
              <w:rPr>
                <w:iCs/>
                <w:color w:val="000000"/>
                <w:lang w:val="en-NZ"/>
              </w:rPr>
            </w:pPr>
            <w:r>
              <w:rPr>
                <w:color w:val="000000" w:themeColor="text1"/>
                <w:lang w:val="en-NZ"/>
              </w:rPr>
              <w:t>No</w:t>
            </w:r>
            <w:r w:rsidRPr="71CB5FC2">
              <w:rPr>
                <w:color w:val="000000" w:themeColor="text1"/>
                <w:lang w:val="en-NZ"/>
              </w:rPr>
              <w:t xml:space="preserve"> </w:t>
            </w:r>
            <w:r w:rsidR="00282B4E" w:rsidRPr="71CB5FC2">
              <w:rPr>
                <w:color w:val="000000" w:themeColor="text1"/>
                <w:lang w:val="en-NZ"/>
              </w:rPr>
              <w:t xml:space="preserve">public </w:t>
            </w:r>
            <w:r w:rsidR="003A4D10">
              <w:rPr>
                <w:color w:val="000000" w:themeColor="text1"/>
                <w:lang w:val="en-NZ"/>
              </w:rPr>
              <w:t>or</w:t>
            </w:r>
            <w:r w:rsidR="003A4D10" w:rsidRPr="71CB5FC2">
              <w:rPr>
                <w:color w:val="000000" w:themeColor="text1"/>
                <w:lang w:val="en-NZ"/>
              </w:rPr>
              <w:t xml:space="preserve"> </w:t>
            </w:r>
            <w:r w:rsidR="00282B4E" w:rsidRPr="71CB5FC2">
              <w:rPr>
                <w:color w:val="000000" w:themeColor="text1"/>
                <w:lang w:val="en-NZ"/>
              </w:rPr>
              <w:t>stakeholder consultation</w:t>
            </w:r>
          </w:p>
          <w:p w14:paraId="77C97C88" w14:textId="29EDAC00" w:rsidR="00175938" w:rsidRPr="00791162" w:rsidRDefault="00BF4181" w:rsidP="005460D3">
            <w:pPr>
              <w:pStyle w:val="ListParagraph"/>
              <w:numPr>
                <w:ilvl w:val="0"/>
                <w:numId w:val="10"/>
              </w:numPr>
              <w:spacing w:line="240" w:lineRule="auto"/>
              <w:rPr>
                <w:iCs/>
                <w:color w:val="000000"/>
                <w:lang w:val="en-NZ"/>
              </w:rPr>
            </w:pPr>
            <w:r w:rsidRPr="71CB5FC2">
              <w:rPr>
                <w:color w:val="000000" w:themeColor="text1"/>
                <w:lang w:val="en-NZ"/>
              </w:rPr>
              <w:t>The des</w:t>
            </w:r>
            <w:r w:rsidR="00695D69" w:rsidRPr="71CB5FC2">
              <w:rPr>
                <w:color w:val="000000" w:themeColor="text1"/>
                <w:lang w:val="en-NZ"/>
              </w:rPr>
              <w:t xml:space="preserve">ire to </w:t>
            </w:r>
            <w:r w:rsidR="00E844CF">
              <w:rPr>
                <w:color w:val="000000" w:themeColor="text1"/>
                <w:lang w:val="en-NZ"/>
              </w:rPr>
              <w:t xml:space="preserve">minimise </w:t>
            </w:r>
            <w:r w:rsidR="00624BF2">
              <w:rPr>
                <w:color w:val="000000" w:themeColor="text1"/>
                <w:lang w:val="en-NZ"/>
              </w:rPr>
              <w:t>design constraints on phase</w:t>
            </w:r>
            <w:r w:rsidR="00E448E5" w:rsidRPr="71CB5FC2">
              <w:rPr>
                <w:color w:val="000000" w:themeColor="text1"/>
                <w:lang w:val="en-NZ"/>
              </w:rPr>
              <w:t xml:space="preserve"> two</w:t>
            </w:r>
          </w:p>
          <w:p w14:paraId="1DEC4715" w14:textId="08F17F01" w:rsidR="00A05D58" w:rsidRPr="0006423B" w:rsidRDefault="00A05D58" w:rsidP="005460D3">
            <w:pPr>
              <w:pStyle w:val="ListParagraph"/>
              <w:numPr>
                <w:ilvl w:val="0"/>
                <w:numId w:val="10"/>
              </w:numPr>
              <w:spacing w:line="240" w:lineRule="auto"/>
              <w:rPr>
                <w:iCs/>
                <w:color w:val="000000"/>
                <w:lang w:val="en-NZ"/>
              </w:rPr>
            </w:pPr>
            <w:r>
              <w:rPr>
                <w:iCs/>
                <w:color w:val="000000" w:themeColor="text1"/>
                <w:lang w:val="en-NZ"/>
              </w:rPr>
              <w:t>Data uncertainty</w:t>
            </w:r>
          </w:p>
          <w:p w14:paraId="56292228" w14:textId="4781DBE7" w:rsidR="236AC2D8" w:rsidRDefault="00D30845" w:rsidP="236AC2D8">
            <w:pPr>
              <w:pStyle w:val="TRNormal"/>
              <w:spacing w:after="80"/>
              <w:ind w:left="0" w:firstLine="0"/>
              <w:rPr>
                <w:b/>
                <w:bCs/>
                <w:i/>
                <w:iCs/>
                <w:szCs w:val="22"/>
              </w:rPr>
            </w:pPr>
            <w:r>
              <w:rPr>
                <w:b/>
                <w:bCs/>
              </w:rPr>
              <w:t>P</w:t>
            </w:r>
            <w:r w:rsidR="7E7BC8FC" w:rsidRPr="00DC1ABB">
              <w:rPr>
                <w:b/>
                <w:bCs/>
              </w:rPr>
              <w:t>hase one parameters</w:t>
            </w:r>
          </w:p>
          <w:p w14:paraId="168CC482" w14:textId="5AB54585" w:rsidR="7E7BC8FC" w:rsidRDefault="7E7BC8FC" w:rsidP="236AC2D8">
            <w:pPr>
              <w:spacing w:line="240" w:lineRule="auto"/>
              <w:rPr>
                <w:color w:val="000000" w:themeColor="text1"/>
                <w:lang w:val="en-NZ"/>
              </w:rPr>
            </w:pPr>
            <w:r w:rsidRPr="236AC2D8">
              <w:rPr>
                <w:color w:val="000000" w:themeColor="text1"/>
                <w:lang w:val="en-NZ"/>
              </w:rPr>
              <w:t xml:space="preserve">The proposed changes were prepared within the </w:t>
            </w:r>
            <w:r w:rsidR="002A6449">
              <w:rPr>
                <w:color w:val="000000" w:themeColor="text1"/>
                <w:lang w:val="en-NZ"/>
              </w:rPr>
              <w:t xml:space="preserve">final </w:t>
            </w:r>
            <w:r w:rsidRPr="236AC2D8">
              <w:rPr>
                <w:color w:val="000000" w:themeColor="text1"/>
                <w:lang w:val="en-NZ"/>
              </w:rPr>
              <w:t>parameters set by Ministers,</w:t>
            </w:r>
            <w:r w:rsidR="0098037E">
              <w:rPr>
                <w:color w:val="000000" w:themeColor="text1"/>
                <w:lang w:val="en-NZ"/>
              </w:rPr>
              <w:t xml:space="preserve"> following earlier advice.</w:t>
            </w:r>
            <w:r w:rsidRPr="236AC2D8">
              <w:rPr>
                <w:color w:val="000000" w:themeColor="text1"/>
                <w:lang w:val="en-NZ"/>
              </w:rPr>
              <w:t xml:space="preserve"> </w:t>
            </w:r>
            <w:r w:rsidR="0098037E">
              <w:rPr>
                <w:color w:val="000000" w:themeColor="text1"/>
                <w:lang w:val="en-NZ"/>
              </w:rPr>
              <w:t xml:space="preserve">These </w:t>
            </w:r>
            <w:r w:rsidR="00DB5C36">
              <w:rPr>
                <w:color w:val="000000" w:themeColor="text1"/>
                <w:lang w:val="en-NZ"/>
              </w:rPr>
              <w:t xml:space="preserve">parameters </w:t>
            </w:r>
            <w:r w:rsidR="0098037E">
              <w:rPr>
                <w:color w:val="000000" w:themeColor="text1"/>
                <w:lang w:val="en-NZ"/>
              </w:rPr>
              <w:t>were</w:t>
            </w:r>
            <w:r w:rsidRPr="236AC2D8">
              <w:rPr>
                <w:color w:val="000000" w:themeColor="text1"/>
                <w:lang w:val="en-NZ"/>
              </w:rPr>
              <w:t xml:space="preserve"> that the options:</w:t>
            </w:r>
          </w:p>
          <w:p w14:paraId="7E4958C7" w14:textId="77777777" w:rsidR="00A43852" w:rsidRPr="00A43852" w:rsidRDefault="4180D91D" w:rsidP="00A43852">
            <w:pPr>
              <w:pStyle w:val="ListParagraph"/>
              <w:numPr>
                <w:ilvl w:val="0"/>
                <w:numId w:val="26"/>
              </w:numPr>
              <w:tabs>
                <w:tab w:val="left" w:pos="720"/>
              </w:tabs>
              <w:spacing w:after="0"/>
              <w:rPr>
                <w:rFonts w:eastAsia="Arial"/>
                <w:szCs w:val="22"/>
              </w:rPr>
            </w:pPr>
            <w:r>
              <w:t>have modest increases to the rate of FTC</w:t>
            </w:r>
          </w:p>
          <w:p w14:paraId="7719CEF3" w14:textId="77777777" w:rsidR="00D26A2E" w:rsidRPr="00D26A2E" w:rsidRDefault="4180D91D" w:rsidP="00D26A2E">
            <w:pPr>
              <w:pStyle w:val="ListParagraph"/>
              <w:numPr>
                <w:ilvl w:val="0"/>
                <w:numId w:val="26"/>
              </w:numPr>
              <w:tabs>
                <w:tab w:val="left" w:pos="720"/>
              </w:tabs>
              <w:spacing w:after="0"/>
              <w:rPr>
                <w:rFonts w:eastAsia="Arial"/>
                <w:szCs w:val="22"/>
              </w:rPr>
            </w:pPr>
            <w:r w:rsidRPr="00A43852">
              <w:rPr>
                <w:szCs w:val="22"/>
              </w:rPr>
              <w:t>cost around $50 - $100 million per year</w:t>
            </w:r>
          </w:p>
          <w:p w14:paraId="5A095DF9" w14:textId="77777777" w:rsidR="00D26A2E" w:rsidRPr="00D26A2E" w:rsidRDefault="4180D91D" w:rsidP="00D26A2E">
            <w:pPr>
              <w:pStyle w:val="ListParagraph"/>
              <w:numPr>
                <w:ilvl w:val="0"/>
                <w:numId w:val="26"/>
              </w:numPr>
              <w:tabs>
                <w:tab w:val="left" w:pos="720"/>
              </w:tabs>
              <w:spacing w:after="0"/>
              <w:rPr>
                <w:rFonts w:eastAsia="Arial"/>
                <w:szCs w:val="22"/>
              </w:rPr>
            </w:pPr>
            <w:r w:rsidRPr="00D26A2E">
              <w:rPr>
                <w:szCs w:val="22"/>
              </w:rPr>
              <w:t>retain a single abatement threshold at the current level of $42,700</w:t>
            </w:r>
          </w:p>
          <w:p w14:paraId="1FFB4476" w14:textId="77777777" w:rsidR="00D26A2E" w:rsidRPr="00D26A2E" w:rsidRDefault="4180D91D" w:rsidP="00D26A2E">
            <w:pPr>
              <w:pStyle w:val="ListParagraph"/>
              <w:numPr>
                <w:ilvl w:val="0"/>
                <w:numId w:val="26"/>
              </w:numPr>
              <w:tabs>
                <w:tab w:val="left" w:pos="720"/>
              </w:tabs>
              <w:spacing w:after="0"/>
              <w:rPr>
                <w:rFonts w:eastAsia="Arial"/>
                <w:szCs w:val="22"/>
              </w:rPr>
            </w:pPr>
            <w:r w:rsidRPr="00D26A2E">
              <w:rPr>
                <w:szCs w:val="22"/>
              </w:rPr>
              <w:t>reduce child poverty</w:t>
            </w:r>
          </w:p>
          <w:p w14:paraId="368031F7" w14:textId="39B6417E" w:rsidR="7E7BC8FC" w:rsidRPr="00D26A2E" w:rsidRDefault="4180D91D" w:rsidP="00D26A2E">
            <w:pPr>
              <w:pStyle w:val="ListParagraph"/>
              <w:numPr>
                <w:ilvl w:val="0"/>
                <w:numId w:val="26"/>
              </w:numPr>
              <w:tabs>
                <w:tab w:val="left" w:pos="720"/>
              </w:tabs>
              <w:spacing w:after="0"/>
              <w:rPr>
                <w:rFonts w:eastAsia="Arial"/>
                <w:szCs w:val="22"/>
              </w:rPr>
            </w:pPr>
            <w:r w:rsidRPr="00D26A2E">
              <w:rPr>
                <w:szCs w:val="22"/>
              </w:rPr>
              <w:t>minimise the number of losing families, particularly for those with incomes below $100,000 per year.</w:t>
            </w:r>
          </w:p>
          <w:p w14:paraId="2C2B3EC1" w14:textId="1926EB3F" w:rsidR="00B77E3A" w:rsidRDefault="00B77E3A" w:rsidP="008F70F5">
            <w:pPr>
              <w:pStyle w:val="TRNormal"/>
              <w:spacing w:after="80"/>
              <w:ind w:left="0" w:firstLine="0"/>
              <w:rPr>
                <w:b/>
                <w:i/>
              </w:rPr>
            </w:pPr>
          </w:p>
          <w:p w14:paraId="704728D5" w14:textId="3092C00E" w:rsidR="00DC3820" w:rsidRPr="00DC1ABB" w:rsidRDefault="00DC3820" w:rsidP="008F70F5">
            <w:pPr>
              <w:pStyle w:val="TRNormal"/>
              <w:spacing w:after="80"/>
              <w:ind w:left="0" w:firstLine="0"/>
              <w:rPr>
                <w:b/>
                <w:bCs/>
              </w:rPr>
            </w:pPr>
            <w:r w:rsidRPr="00DC1ABB">
              <w:rPr>
                <w:b/>
                <w:bCs/>
              </w:rPr>
              <w:t>The fiscal envelope</w:t>
            </w:r>
          </w:p>
          <w:p w14:paraId="5DFD4BB2" w14:textId="5906880E" w:rsidR="004616BF" w:rsidRDefault="00B13571" w:rsidP="008F70F5">
            <w:pPr>
              <w:pStyle w:val="TRNormal"/>
              <w:spacing w:after="80"/>
              <w:ind w:left="0" w:firstLine="0"/>
            </w:pPr>
            <w:r>
              <w:t xml:space="preserve">There is </w:t>
            </w:r>
            <w:r w:rsidR="21A20C95">
              <w:t>li</w:t>
            </w:r>
            <w:r w:rsidR="477863D1">
              <w:t>mited</w:t>
            </w:r>
            <w:r>
              <w:t xml:space="preserve"> funding available for Budget 2022</w:t>
            </w:r>
            <w:r w:rsidR="4D82AA9E">
              <w:t xml:space="preserve"> </w:t>
            </w:r>
            <w:r w:rsidR="002C17BA">
              <w:t xml:space="preserve">due to </w:t>
            </w:r>
            <w:r w:rsidR="00A02D02">
              <w:t xml:space="preserve">the </w:t>
            </w:r>
            <w:r w:rsidR="2952FD7D">
              <w:t xml:space="preserve">tight fiscal environment and </w:t>
            </w:r>
            <w:r w:rsidR="003A3D07">
              <w:t>prior</w:t>
            </w:r>
            <w:r w:rsidR="2952FD7D">
              <w:t xml:space="preserve"> Government </w:t>
            </w:r>
            <w:r w:rsidR="003A3D07">
              <w:t xml:space="preserve">expenditure on </w:t>
            </w:r>
            <w:r w:rsidR="041EAC31">
              <w:t>support t</w:t>
            </w:r>
            <w:r w:rsidR="2952FD7D">
              <w:t xml:space="preserve">o </w:t>
            </w:r>
            <w:r w:rsidR="708CC1A5">
              <w:t xml:space="preserve">mitigate the effects of the </w:t>
            </w:r>
            <w:r w:rsidR="00A02D02">
              <w:t>COVID</w:t>
            </w:r>
            <w:r w:rsidR="00F55246">
              <w:t>-19</w:t>
            </w:r>
            <w:r w:rsidR="00A02D02">
              <w:t xml:space="preserve"> </w:t>
            </w:r>
            <w:r w:rsidR="55EEE9BB">
              <w:t>pandemic</w:t>
            </w:r>
            <w:r w:rsidR="58A8D0AE">
              <w:t>.</w:t>
            </w:r>
            <w:r w:rsidR="009F4781">
              <w:t xml:space="preserve"> </w:t>
            </w:r>
            <w:r>
              <w:br/>
            </w:r>
            <w:r>
              <w:br/>
            </w:r>
            <w:r w:rsidR="00304FED" w:rsidRPr="00304FED">
              <w:t>Ministers originally agreed that any changes to WFF should be broadly within the existing fiscal envelope. Officials provided advice in August 2021 where</w:t>
            </w:r>
            <w:r w:rsidR="00304FED">
              <w:t xml:space="preserve"> </w:t>
            </w:r>
            <w:r w:rsidR="00A20465">
              <w:t>m</w:t>
            </w:r>
            <w:r w:rsidR="002551B0">
              <w:t>odelling demonstrate</w:t>
            </w:r>
            <w:r w:rsidR="00A20465">
              <w:t>d</w:t>
            </w:r>
            <w:r w:rsidR="002551B0">
              <w:t xml:space="preserve"> that the level of redistribution required to make </w:t>
            </w:r>
            <w:r w:rsidR="5B025248">
              <w:t xml:space="preserve">income </w:t>
            </w:r>
            <w:r w:rsidR="002551B0">
              <w:t>adequacy-focused options fiscally neutral result</w:t>
            </w:r>
            <w:r w:rsidR="00A20465">
              <w:t>ed</w:t>
            </w:r>
            <w:r w:rsidR="002551B0">
              <w:t xml:space="preserve"> in </w:t>
            </w:r>
            <w:r w:rsidR="00BD2084">
              <w:t>many</w:t>
            </w:r>
            <w:r w:rsidR="002551B0">
              <w:t xml:space="preserve"> of the lowest</w:t>
            </w:r>
            <w:r w:rsidR="005C2F42">
              <w:t>-</w:t>
            </w:r>
            <w:r w:rsidR="002551B0">
              <w:t xml:space="preserve">income working families being financially disadvantaged. It is also difficult to reduce the costs of </w:t>
            </w:r>
            <w:r w:rsidR="00A05D58">
              <w:t xml:space="preserve">WFF </w:t>
            </w:r>
            <w:r w:rsidR="002551B0">
              <w:t>increases without high abatement rates</w:t>
            </w:r>
            <w:r w:rsidR="00304C91">
              <w:t xml:space="preserve"> which </w:t>
            </w:r>
            <w:r w:rsidR="002551B0">
              <w:t xml:space="preserve">can result in </w:t>
            </w:r>
            <w:r w:rsidR="00F2782B">
              <w:t xml:space="preserve">very </w:t>
            </w:r>
            <w:r w:rsidR="002551B0">
              <w:t>high effective marginal tax rates (EMTRs)</w:t>
            </w:r>
            <w:r w:rsidR="001B1D4C">
              <w:t>,</w:t>
            </w:r>
            <w:r w:rsidR="002551B0">
              <w:t xml:space="preserve"> counter</w:t>
            </w:r>
            <w:r w:rsidR="001B1D4C">
              <w:t>ing</w:t>
            </w:r>
            <w:r w:rsidR="002551B0">
              <w:t xml:space="preserve"> the objective of making work pay</w:t>
            </w:r>
            <w:r w:rsidR="00304C91">
              <w:t>.</w:t>
            </w:r>
            <w:r w:rsidR="00A7467C">
              <w:br/>
            </w:r>
            <w:r w:rsidR="00A7467C">
              <w:br/>
              <w:t xml:space="preserve">To avoid </w:t>
            </w:r>
            <w:r w:rsidR="00072671">
              <w:t>financially disadvantaging low-income working families</w:t>
            </w:r>
            <w:r w:rsidR="00807E13">
              <w:t xml:space="preserve"> and </w:t>
            </w:r>
            <w:r w:rsidR="55C7881F">
              <w:t xml:space="preserve">creating </w:t>
            </w:r>
            <w:r w:rsidR="00807E13">
              <w:t>very high EMTRs,</w:t>
            </w:r>
            <w:r w:rsidR="00072671">
              <w:t xml:space="preserve"> </w:t>
            </w:r>
            <w:r w:rsidR="00010331">
              <w:t xml:space="preserve">officials provided advice on changes to the FTC to coincide with the scheduled CPI indexation round. Following this advice, </w:t>
            </w:r>
            <w:r w:rsidR="00072671">
              <w:t xml:space="preserve">Income Support Ministers </w:t>
            </w:r>
            <w:r w:rsidR="7F8C561C">
              <w:t xml:space="preserve">decided that phase one options would </w:t>
            </w:r>
            <w:r w:rsidR="00D2561C">
              <w:t>include</w:t>
            </w:r>
            <w:r w:rsidR="7F8C561C">
              <w:t xml:space="preserve"> modest FTC increases </w:t>
            </w:r>
            <w:r w:rsidR="00A05D58">
              <w:t xml:space="preserve">costing </w:t>
            </w:r>
            <w:r w:rsidR="7F8C561C">
              <w:t>up to $100m per year</w:t>
            </w:r>
            <w:r w:rsidR="7F26E576">
              <w:t>.</w:t>
            </w:r>
            <w:r w:rsidR="00794785">
              <w:t xml:space="preserve"> </w:t>
            </w:r>
            <w:r w:rsidR="00B4647E" w:rsidRPr="00B4647E">
              <w:t xml:space="preserve">Modelling suggests that medium-cost redistributive options can reduce child </w:t>
            </w:r>
            <w:proofErr w:type="gramStart"/>
            <w:r w:rsidR="00B4647E" w:rsidRPr="00B4647E">
              <w:t>poverty</w:t>
            </w:r>
            <w:r w:rsidR="00EC6B39">
              <w:t>.</w:t>
            </w:r>
            <w:r w:rsidR="00D737B8">
              <w:t>.</w:t>
            </w:r>
            <w:proofErr w:type="gramEnd"/>
            <w:r w:rsidR="00EC6B39">
              <w:t xml:space="preserve"> In </w:t>
            </w:r>
            <w:r w:rsidR="00807D24">
              <w:t>addition</w:t>
            </w:r>
            <w:r w:rsidR="003A5D0B">
              <w:t>, when</w:t>
            </w:r>
            <w:r w:rsidR="00C37218">
              <w:t xml:space="preserve"> </w:t>
            </w:r>
            <w:r w:rsidR="00807D24">
              <w:t xml:space="preserve">the proposed changes are </w:t>
            </w:r>
            <w:r w:rsidR="00C37218">
              <w:t>combin</w:t>
            </w:r>
            <w:r w:rsidR="003A5D0B">
              <w:t>ed</w:t>
            </w:r>
            <w:r w:rsidR="00C37218">
              <w:t xml:space="preserve"> with the scheduled CPI </w:t>
            </w:r>
            <w:r w:rsidR="2DB119BC">
              <w:t>increase</w:t>
            </w:r>
            <w:r w:rsidR="1FF8DB1D">
              <w:t>s</w:t>
            </w:r>
            <w:r w:rsidR="126B50E6">
              <w:t xml:space="preserve">, </w:t>
            </w:r>
            <w:r w:rsidR="00807D24">
              <w:t xml:space="preserve">the </w:t>
            </w:r>
            <w:r w:rsidR="002101F0">
              <w:t xml:space="preserve">estimated </w:t>
            </w:r>
            <w:r w:rsidR="00807D24">
              <w:t xml:space="preserve">numbers of recipients who </w:t>
            </w:r>
            <w:r w:rsidR="00DC1ABB">
              <w:t xml:space="preserve">would </w:t>
            </w:r>
            <w:r w:rsidR="00807D24">
              <w:t>be worse of</w:t>
            </w:r>
            <w:r w:rsidR="00CE2D0A">
              <w:t>f</w:t>
            </w:r>
            <w:r w:rsidR="00807D24">
              <w:t xml:space="preserve"> are reduced.</w:t>
            </w:r>
            <w:r w:rsidR="006634DA">
              <w:t xml:space="preserve"> However, </w:t>
            </w:r>
            <w:r w:rsidR="479C326E">
              <w:t>the</w:t>
            </w:r>
            <w:r w:rsidR="006634DA">
              <w:t xml:space="preserve"> modest fiscal envelope </w:t>
            </w:r>
            <w:r w:rsidR="4ABE60F9">
              <w:t>for phase one</w:t>
            </w:r>
            <w:r w:rsidR="1C42A072">
              <w:t xml:space="preserve"> </w:t>
            </w:r>
            <w:r w:rsidR="006634DA">
              <w:t xml:space="preserve">still limits the </w:t>
            </w:r>
            <w:r w:rsidR="009F72EB">
              <w:t xml:space="preserve">ability of </w:t>
            </w:r>
            <w:r w:rsidR="006634DA">
              <w:t xml:space="preserve">options </w:t>
            </w:r>
            <w:r w:rsidR="126F52A6">
              <w:t>t</w:t>
            </w:r>
            <w:r w:rsidR="009F72EB">
              <w:t>o</w:t>
            </w:r>
            <w:r w:rsidR="006634DA">
              <w:t xml:space="preserve"> reduce child poverty</w:t>
            </w:r>
            <w:r w:rsidR="00534603">
              <w:t xml:space="preserve"> </w:t>
            </w:r>
            <w:r w:rsidR="215AE234">
              <w:t>witho</w:t>
            </w:r>
            <w:r w:rsidR="3937054F">
              <w:t>ut</w:t>
            </w:r>
            <w:r w:rsidR="00D80EF4">
              <w:t xml:space="preserve"> </w:t>
            </w:r>
            <w:r w:rsidR="0B539859">
              <w:t>increase</w:t>
            </w:r>
            <w:r w:rsidR="634A4B7B">
              <w:t xml:space="preserve">s </w:t>
            </w:r>
            <w:r w:rsidR="5FF512A9">
              <w:t xml:space="preserve">to abatement rates </w:t>
            </w:r>
            <w:r w:rsidR="00A05D58">
              <w:t>(</w:t>
            </w:r>
            <w:r w:rsidR="5FF512A9">
              <w:t xml:space="preserve">which result in much </w:t>
            </w:r>
            <w:r w:rsidR="003D14E5">
              <w:t>higher</w:t>
            </w:r>
            <w:r w:rsidR="00975DC6">
              <w:t xml:space="preserve"> EMTRs</w:t>
            </w:r>
            <w:r w:rsidR="00A05D58">
              <w:t>)</w:t>
            </w:r>
            <w:r w:rsidR="006634DA">
              <w:t>.</w:t>
            </w:r>
            <w:r w:rsidR="00C37218">
              <w:t xml:space="preserve"> </w:t>
            </w:r>
          </w:p>
          <w:p w14:paraId="09B84BB7" w14:textId="77777777" w:rsidR="00AC1F81" w:rsidRDefault="00AC1F81" w:rsidP="008F70F5">
            <w:pPr>
              <w:pStyle w:val="TRNormal"/>
              <w:spacing w:after="80"/>
              <w:ind w:left="0" w:firstLine="0"/>
            </w:pPr>
          </w:p>
          <w:p w14:paraId="6C1CBD8B" w14:textId="5AA7ECDC" w:rsidR="004616BF" w:rsidRPr="00963E66" w:rsidRDefault="004616BF" w:rsidP="00D210F7">
            <w:pPr>
              <w:pStyle w:val="TRNormal"/>
              <w:spacing w:after="80"/>
              <w:ind w:left="0" w:firstLine="0"/>
              <w:rPr>
                <w:b/>
                <w:bCs/>
              </w:rPr>
            </w:pPr>
            <w:r w:rsidRPr="00963E66">
              <w:rPr>
                <w:b/>
                <w:bCs/>
              </w:rPr>
              <w:t>Tight timeframes</w:t>
            </w:r>
          </w:p>
          <w:p w14:paraId="4EB5474E" w14:textId="77777777" w:rsidR="00D210F7" w:rsidRDefault="00956521" w:rsidP="00D210F7">
            <w:pPr>
              <w:spacing w:line="240" w:lineRule="auto"/>
              <w:contextualSpacing/>
              <w:rPr>
                <w:lang w:eastAsia="en-NZ"/>
              </w:rPr>
            </w:pPr>
            <w:r>
              <w:rPr>
                <w:lang w:eastAsia="en-NZ"/>
              </w:rPr>
              <w:t>Policy development has been constrained by the tight timeframes required to make system changes in time for</w:t>
            </w:r>
            <w:r w:rsidR="00A05D58">
              <w:rPr>
                <w:lang w:eastAsia="en-NZ"/>
              </w:rPr>
              <w:t xml:space="preserve"> an</w:t>
            </w:r>
            <w:r>
              <w:rPr>
                <w:lang w:eastAsia="en-NZ"/>
              </w:rPr>
              <w:t xml:space="preserve"> April 2022</w:t>
            </w:r>
            <w:r w:rsidR="00A05D58">
              <w:rPr>
                <w:lang w:eastAsia="en-NZ"/>
              </w:rPr>
              <w:t xml:space="preserve"> implementation</w:t>
            </w:r>
            <w:r>
              <w:rPr>
                <w:lang w:eastAsia="en-NZ"/>
              </w:rPr>
              <w:t>.</w:t>
            </w:r>
            <w:r w:rsidR="006025B1">
              <w:rPr>
                <w:lang w:eastAsia="en-NZ"/>
              </w:rPr>
              <w:t xml:space="preserve"> </w:t>
            </w:r>
            <w:r w:rsidR="00577C9C">
              <w:rPr>
                <w:lang w:eastAsia="en-NZ"/>
              </w:rPr>
              <w:t>T</w:t>
            </w:r>
            <w:r w:rsidR="00347004">
              <w:rPr>
                <w:lang w:eastAsia="en-NZ"/>
              </w:rPr>
              <w:t xml:space="preserve">o avoid confusion and </w:t>
            </w:r>
            <w:r w:rsidR="00EF7740">
              <w:rPr>
                <w:lang w:eastAsia="en-NZ"/>
              </w:rPr>
              <w:t>reduce administrative complexity, all system c</w:t>
            </w:r>
            <w:r>
              <w:rPr>
                <w:lang w:eastAsia="en-NZ"/>
              </w:rPr>
              <w:t>hanges</w:t>
            </w:r>
            <w:r w:rsidR="00A55451">
              <w:rPr>
                <w:lang w:eastAsia="en-NZ"/>
              </w:rPr>
              <w:t xml:space="preserve"> </w:t>
            </w:r>
            <w:r w:rsidR="00524467">
              <w:rPr>
                <w:lang w:eastAsia="en-NZ"/>
              </w:rPr>
              <w:t>are</w:t>
            </w:r>
            <w:r w:rsidR="00347004">
              <w:rPr>
                <w:lang w:eastAsia="en-NZ"/>
              </w:rPr>
              <w:t xml:space="preserve"> made </w:t>
            </w:r>
            <w:r w:rsidR="00A55451">
              <w:rPr>
                <w:lang w:eastAsia="en-NZ"/>
              </w:rPr>
              <w:t>prior to</w:t>
            </w:r>
            <w:r w:rsidR="00EF7740">
              <w:rPr>
                <w:lang w:eastAsia="en-NZ"/>
              </w:rPr>
              <w:t xml:space="preserve"> </w:t>
            </w:r>
            <w:r w:rsidR="00455538">
              <w:rPr>
                <w:lang w:eastAsia="en-NZ"/>
              </w:rPr>
              <w:t xml:space="preserve">January </w:t>
            </w:r>
            <w:r w:rsidR="00524467">
              <w:rPr>
                <w:lang w:eastAsia="en-NZ"/>
              </w:rPr>
              <w:t xml:space="preserve">each year </w:t>
            </w:r>
            <w:r w:rsidR="00E52751">
              <w:rPr>
                <w:lang w:eastAsia="en-NZ"/>
              </w:rPr>
              <w:t xml:space="preserve">to ensure the changes can be </w:t>
            </w:r>
            <w:r w:rsidR="00195D8D">
              <w:rPr>
                <w:lang w:eastAsia="en-NZ"/>
              </w:rPr>
              <w:t>incorporated</w:t>
            </w:r>
            <w:r w:rsidR="00E52751">
              <w:rPr>
                <w:lang w:eastAsia="en-NZ"/>
              </w:rPr>
              <w:t xml:space="preserve"> into the annual </w:t>
            </w:r>
            <w:r w:rsidR="00195D8D">
              <w:rPr>
                <w:lang w:eastAsia="en-NZ"/>
              </w:rPr>
              <w:t xml:space="preserve">“rollover” process which </w:t>
            </w:r>
            <w:r w:rsidR="00994CA1">
              <w:rPr>
                <w:lang w:eastAsia="en-NZ"/>
              </w:rPr>
              <w:t xml:space="preserve">calculates </w:t>
            </w:r>
            <w:r w:rsidR="00A05D58">
              <w:rPr>
                <w:lang w:eastAsia="en-NZ"/>
              </w:rPr>
              <w:t xml:space="preserve">WFF </w:t>
            </w:r>
            <w:r w:rsidR="00994CA1">
              <w:rPr>
                <w:lang w:eastAsia="en-NZ"/>
              </w:rPr>
              <w:t xml:space="preserve">entitlements for the coming </w:t>
            </w:r>
            <w:r w:rsidR="00245447">
              <w:rPr>
                <w:lang w:eastAsia="en-NZ"/>
              </w:rPr>
              <w:t>tax</w:t>
            </w:r>
            <w:r w:rsidR="00994CA1">
              <w:rPr>
                <w:lang w:eastAsia="en-NZ"/>
              </w:rPr>
              <w:t xml:space="preserve"> year and issues </w:t>
            </w:r>
            <w:r w:rsidR="00A55451">
              <w:rPr>
                <w:lang w:eastAsia="en-NZ"/>
              </w:rPr>
              <w:t>notices of entitlement</w:t>
            </w:r>
            <w:r w:rsidR="00455538">
              <w:rPr>
                <w:lang w:eastAsia="en-NZ"/>
              </w:rPr>
              <w:t xml:space="preserve"> to customers</w:t>
            </w:r>
            <w:r w:rsidR="00EF7740">
              <w:rPr>
                <w:lang w:eastAsia="en-NZ"/>
              </w:rPr>
              <w:t>. To meet this deadline,</w:t>
            </w:r>
            <w:r w:rsidR="00577C9C">
              <w:rPr>
                <w:lang w:eastAsia="en-NZ"/>
              </w:rPr>
              <w:t xml:space="preserve"> </w:t>
            </w:r>
            <w:r w:rsidR="00C77FC6">
              <w:rPr>
                <w:lang w:eastAsia="en-NZ"/>
              </w:rPr>
              <w:t>I</w:t>
            </w:r>
            <w:r w:rsidR="00A05D58">
              <w:rPr>
                <w:lang w:eastAsia="en-NZ"/>
              </w:rPr>
              <w:t xml:space="preserve">nland </w:t>
            </w:r>
            <w:r w:rsidR="00C77FC6">
              <w:rPr>
                <w:lang w:eastAsia="en-NZ"/>
              </w:rPr>
              <w:t>R</w:t>
            </w:r>
            <w:r w:rsidR="00A05D58">
              <w:rPr>
                <w:lang w:eastAsia="en-NZ"/>
              </w:rPr>
              <w:t>evenue</w:t>
            </w:r>
            <w:r w:rsidR="00C77FC6">
              <w:rPr>
                <w:lang w:eastAsia="en-NZ"/>
              </w:rPr>
              <w:t xml:space="preserve"> require</w:t>
            </w:r>
            <w:r>
              <w:rPr>
                <w:lang w:eastAsia="en-NZ"/>
              </w:rPr>
              <w:t>s</w:t>
            </w:r>
            <w:r w:rsidR="00C77FC6">
              <w:rPr>
                <w:lang w:eastAsia="en-NZ"/>
              </w:rPr>
              <w:t xml:space="preserve"> Cabinet decisions on policy</w:t>
            </w:r>
            <w:r>
              <w:rPr>
                <w:lang w:eastAsia="en-NZ"/>
              </w:rPr>
              <w:t xml:space="preserve"> settings</w:t>
            </w:r>
            <w:r w:rsidR="00C77FC6">
              <w:rPr>
                <w:lang w:eastAsia="en-NZ"/>
              </w:rPr>
              <w:t xml:space="preserve"> by the </w:t>
            </w:r>
            <w:r w:rsidR="009B3186">
              <w:rPr>
                <w:lang w:eastAsia="en-NZ"/>
              </w:rPr>
              <w:t>end</w:t>
            </w:r>
            <w:r w:rsidR="005D3BB2">
              <w:rPr>
                <w:lang w:eastAsia="en-NZ"/>
              </w:rPr>
              <w:t xml:space="preserve"> of November</w:t>
            </w:r>
            <w:r w:rsidR="00EE4173">
              <w:rPr>
                <w:lang w:eastAsia="en-NZ"/>
              </w:rPr>
              <w:t xml:space="preserve"> 2021</w:t>
            </w:r>
            <w:r w:rsidR="28A109DF" w:rsidRPr="532300AA">
              <w:rPr>
                <w:lang w:eastAsia="en-NZ"/>
              </w:rPr>
              <w:t>.</w:t>
            </w:r>
            <w:r w:rsidR="00702D03">
              <w:rPr>
                <w:lang w:eastAsia="en-NZ"/>
              </w:rPr>
              <w:t xml:space="preserve"> This significantly limits </w:t>
            </w:r>
            <w:r w:rsidR="005B6531">
              <w:rPr>
                <w:lang w:eastAsia="en-NZ"/>
              </w:rPr>
              <w:t>opportunities for analysis and consultation</w:t>
            </w:r>
            <w:r w:rsidR="003712AF">
              <w:rPr>
                <w:lang w:eastAsia="en-NZ"/>
              </w:rPr>
              <w:t>, meaning that more substantial, structural changes could not be considered in phase one</w:t>
            </w:r>
            <w:r w:rsidR="005B6531">
              <w:rPr>
                <w:lang w:eastAsia="en-NZ"/>
              </w:rPr>
              <w:t>.</w:t>
            </w:r>
          </w:p>
          <w:p w14:paraId="6E070F4C" w14:textId="637305E0" w:rsidR="00C338F2" w:rsidRPr="00D210F7" w:rsidRDefault="00C338F2" w:rsidP="00D210F7">
            <w:pPr>
              <w:spacing w:line="240" w:lineRule="auto"/>
              <w:contextualSpacing/>
              <w:rPr>
                <w:lang w:eastAsia="en-NZ"/>
              </w:rPr>
            </w:pPr>
            <w:r>
              <w:rPr>
                <w:lang w:eastAsia="en-NZ"/>
              </w:rPr>
              <w:br/>
            </w:r>
            <w:r w:rsidR="00787476">
              <w:rPr>
                <w:b/>
                <w:bCs/>
              </w:rPr>
              <w:t>No</w:t>
            </w:r>
            <w:r w:rsidR="00787476" w:rsidRPr="00963E66">
              <w:rPr>
                <w:b/>
                <w:bCs/>
              </w:rPr>
              <w:t xml:space="preserve"> </w:t>
            </w:r>
            <w:r w:rsidRPr="00963E66">
              <w:rPr>
                <w:b/>
                <w:bCs/>
              </w:rPr>
              <w:t>consultation</w:t>
            </w:r>
            <w:r w:rsidR="00E653DF">
              <w:rPr>
                <w:b/>
                <w:bCs/>
              </w:rPr>
              <w:t xml:space="preserve"> on </w:t>
            </w:r>
            <w:r w:rsidR="00A05D58">
              <w:rPr>
                <w:b/>
                <w:bCs/>
              </w:rPr>
              <w:t>p</w:t>
            </w:r>
            <w:r w:rsidR="00E653DF">
              <w:rPr>
                <w:b/>
                <w:bCs/>
              </w:rPr>
              <w:t xml:space="preserve">hase </w:t>
            </w:r>
            <w:r w:rsidR="00A05D58">
              <w:rPr>
                <w:b/>
                <w:bCs/>
              </w:rPr>
              <w:t>o</w:t>
            </w:r>
            <w:r w:rsidR="00E653DF">
              <w:rPr>
                <w:b/>
                <w:bCs/>
              </w:rPr>
              <w:t>ne</w:t>
            </w:r>
          </w:p>
          <w:p w14:paraId="72D4E331" w14:textId="60A23474" w:rsidR="004616BF" w:rsidRDefault="007135ED" w:rsidP="00D210F7">
            <w:pPr>
              <w:pStyle w:val="TRNormal"/>
              <w:spacing w:after="80"/>
              <w:ind w:left="0" w:firstLine="0"/>
              <w:contextualSpacing/>
            </w:pPr>
            <w:r w:rsidRPr="004F69EA">
              <w:t xml:space="preserve">Ministers have agreed to defer public engagement </w:t>
            </w:r>
            <w:r w:rsidR="005600B5" w:rsidRPr="004F69EA">
              <w:t>with</w:t>
            </w:r>
            <w:r w:rsidR="00AB02EB" w:rsidRPr="004F69EA">
              <w:t xml:space="preserve"> the WFF review </w:t>
            </w:r>
            <w:r w:rsidRPr="004F69EA">
              <w:t xml:space="preserve">until </w:t>
            </w:r>
            <w:r w:rsidR="009F712F" w:rsidRPr="004F69EA">
              <w:t>April/</w:t>
            </w:r>
            <w:r w:rsidRPr="004F69EA">
              <w:t>May 2022</w:t>
            </w:r>
            <w:r w:rsidR="00A21DD4" w:rsidRPr="004F69EA">
              <w:t xml:space="preserve">. </w:t>
            </w:r>
            <w:r w:rsidR="00A21DD4">
              <w:t>This</w:t>
            </w:r>
            <w:r>
              <w:t xml:space="preserve"> aligns with the longer development timeframe for the more substantial options </w:t>
            </w:r>
            <w:r w:rsidR="00A21DD4">
              <w:t>canvassed in phase two</w:t>
            </w:r>
            <w:r>
              <w:t>.</w:t>
            </w:r>
            <w:r w:rsidR="00446907">
              <w:t xml:space="preserve"> </w:t>
            </w:r>
            <w:r w:rsidR="003E68A7">
              <w:t xml:space="preserve">The options canvassed in phase one </w:t>
            </w:r>
            <w:r w:rsidR="69BD3060">
              <w:t>cannot</w:t>
            </w:r>
            <w:r w:rsidR="003E68A7">
              <w:t xml:space="preserve"> be submitted for consultation as they are budget sensitive.</w:t>
            </w:r>
          </w:p>
          <w:p w14:paraId="4208DD5E" w14:textId="77777777" w:rsidR="0066086D" w:rsidRDefault="0066086D" w:rsidP="00D210F7">
            <w:pPr>
              <w:pStyle w:val="TRNormal"/>
              <w:spacing w:after="80"/>
              <w:ind w:left="0" w:firstLine="0"/>
              <w:contextualSpacing/>
            </w:pPr>
          </w:p>
          <w:p w14:paraId="6921322B" w14:textId="5FF3034B" w:rsidR="0066086D" w:rsidRPr="00963E66" w:rsidRDefault="0066086D" w:rsidP="00D210F7">
            <w:pPr>
              <w:pStyle w:val="TRNormal"/>
              <w:spacing w:after="80"/>
              <w:ind w:left="0" w:firstLine="0"/>
              <w:contextualSpacing/>
              <w:rPr>
                <w:b/>
                <w:bCs/>
              </w:rPr>
            </w:pPr>
            <w:r w:rsidRPr="00963E66">
              <w:rPr>
                <w:b/>
                <w:bCs/>
              </w:rPr>
              <w:t xml:space="preserve">Impact on </w:t>
            </w:r>
            <w:r w:rsidR="00A05D58">
              <w:rPr>
                <w:b/>
                <w:bCs/>
              </w:rPr>
              <w:t>p</w:t>
            </w:r>
            <w:r w:rsidRPr="00963E66">
              <w:rPr>
                <w:b/>
                <w:bCs/>
              </w:rPr>
              <w:t xml:space="preserve">hase </w:t>
            </w:r>
            <w:r w:rsidR="00A05D58">
              <w:rPr>
                <w:b/>
                <w:bCs/>
              </w:rPr>
              <w:t>t</w:t>
            </w:r>
            <w:r w:rsidRPr="00963E66">
              <w:rPr>
                <w:b/>
                <w:bCs/>
              </w:rPr>
              <w:t>wo</w:t>
            </w:r>
          </w:p>
          <w:p w14:paraId="0C3930A2" w14:textId="7F203998" w:rsidR="00673E07" w:rsidRDefault="005F7290" w:rsidP="00D210F7">
            <w:pPr>
              <w:pStyle w:val="TRNormal"/>
              <w:spacing w:after="80"/>
              <w:ind w:left="0" w:firstLine="0"/>
              <w:contextualSpacing/>
            </w:pPr>
            <w:r w:rsidRPr="005F7290">
              <w:t xml:space="preserve">Options for phase one of </w:t>
            </w:r>
            <w:r w:rsidR="007F67AA">
              <w:t>the review</w:t>
            </w:r>
            <w:r w:rsidRPr="005F7290">
              <w:t xml:space="preserve"> also need to be considered within the context of the broader </w:t>
            </w:r>
            <w:r w:rsidR="007F67AA">
              <w:t>review</w:t>
            </w:r>
            <w:r w:rsidRPr="005F7290">
              <w:t>. Options which do not unnecessarily limit the scope for phase two</w:t>
            </w:r>
            <w:r w:rsidR="00FB64F3">
              <w:t xml:space="preserve">, </w:t>
            </w:r>
            <w:r w:rsidR="00FB64F3" w:rsidRPr="005F7290">
              <w:t xml:space="preserve">which will consider more fundamental changes to </w:t>
            </w:r>
            <w:r w:rsidR="002B74DB" w:rsidRPr="002B74DB">
              <w:rPr>
                <w:shd w:val="clear" w:color="auto" w:fill="BFBFBF" w:themeFill="background1" w:themeFillShade="BF"/>
              </w:rPr>
              <w:t>s 9(2)(f)(iv)</w:t>
            </w:r>
            <w:r w:rsidR="002B74DB" w:rsidRPr="002B74DB">
              <w:rPr>
                <w:color w:val="BFBFBF" w:themeColor="background1" w:themeShade="BF"/>
                <w:shd w:val="clear" w:color="auto" w:fill="BFBFBF" w:themeFill="background1" w:themeFillShade="BF"/>
              </w:rPr>
              <w:t>…………………</w:t>
            </w:r>
            <w:r w:rsidR="00FB64F3" w:rsidRPr="005F7290">
              <w:t xml:space="preserve"> WFF</w:t>
            </w:r>
            <w:r w:rsidR="00FB64F3">
              <w:t>,</w:t>
            </w:r>
            <w:r w:rsidRPr="005F7290">
              <w:t xml:space="preserve"> are preferred. </w:t>
            </w:r>
          </w:p>
          <w:p w14:paraId="77B0FA28" w14:textId="77777777" w:rsidR="002B157C" w:rsidRDefault="002B157C" w:rsidP="00D210F7">
            <w:pPr>
              <w:pStyle w:val="TRNormal"/>
              <w:spacing w:after="80"/>
              <w:ind w:left="0" w:firstLine="0"/>
              <w:contextualSpacing/>
              <w:rPr>
                <w:b/>
                <w:bCs/>
              </w:rPr>
            </w:pPr>
          </w:p>
          <w:p w14:paraId="1728BC9C" w14:textId="699B6832" w:rsidR="00673E07" w:rsidRPr="00B74D7C" w:rsidRDefault="00673E07" w:rsidP="00D210F7">
            <w:pPr>
              <w:pStyle w:val="TRNormal"/>
              <w:spacing w:after="80"/>
              <w:ind w:left="0" w:firstLine="0"/>
              <w:contextualSpacing/>
              <w:rPr>
                <w:b/>
                <w:bCs/>
              </w:rPr>
            </w:pPr>
            <w:r w:rsidRPr="00B74D7C">
              <w:rPr>
                <w:b/>
                <w:bCs/>
              </w:rPr>
              <w:t xml:space="preserve">Data </w:t>
            </w:r>
            <w:r w:rsidR="00A05D58">
              <w:rPr>
                <w:b/>
                <w:bCs/>
              </w:rPr>
              <w:t>un</w:t>
            </w:r>
            <w:r w:rsidRPr="00B74D7C">
              <w:rPr>
                <w:b/>
                <w:bCs/>
              </w:rPr>
              <w:t>certainty</w:t>
            </w:r>
          </w:p>
          <w:p w14:paraId="54ECDD68" w14:textId="29C750D9" w:rsidR="00673E07" w:rsidRDefault="000941F2" w:rsidP="00D210F7">
            <w:pPr>
              <w:pStyle w:val="TRNormal"/>
              <w:spacing w:after="80"/>
              <w:ind w:left="0" w:firstLine="0"/>
              <w:contextualSpacing/>
            </w:pPr>
            <w:r w:rsidRPr="000941F2">
              <w:t xml:space="preserve">These options have been modelled by Treasury’s Tax and Welfare Analysis (TAWA) model. Treasury warns that there are significant uncertainties when estimating future poverty metrics due to the underlying data and economic forecasts.  </w:t>
            </w:r>
            <w:r w:rsidR="00426012">
              <w:t>When I</w:t>
            </w:r>
            <w:r w:rsidR="000D7F7D">
              <w:t xml:space="preserve">nland </w:t>
            </w:r>
            <w:r w:rsidR="00426012">
              <w:t>R</w:t>
            </w:r>
            <w:r w:rsidR="000D7F7D">
              <w:t>evenue</w:t>
            </w:r>
            <w:r w:rsidR="00426012">
              <w:t xml:space="preserve"> modelled the same outputs for quality assurance the following</w:t>
            </w:r>
            <w:r w:rsidR="003F7A36">
              <w:t xml:space="preserve"> differences </w:t>
            </w:r>
            <w:r w:rsidR="00F068C8">
              <w:t>appear</w:t>
            </w:r>
            <w:r w:rsidR="003F7A36">
              <w:t>ed.</w:t>
            </w:r>
            <w:r w:rsidR="00780970">
              <w:t xml:space="preserve">  This comparison is based on </w:t>
            </w:r>
            <w:r w:rsidR="00356EF0">
              <w:t xml:space="preserve">TAWA outputs using </w:t>
            </w:r>
            <w:proofErr w:type="spellStart"/>
            <w:r w:rsidR="00356EF0">
              <w:t>unequivalised</w:t>
            </w:r>
            <w:proofErr w:type="spellEnd"/>
            <w:r w:rsidR="00356EF0">
              <w:t xml:space="preserve"> family taxable income</w:t>
            </w:r>
            <w:r w:rsidR="009C08AF">
              <w:t>, and Inlan</w:t>
            </w:r>
            <w:r w:rsidR="00E345BA">
              <w:t>d Revenue administrative data.</w:t>
            </w:r>
          </w:p>
          <w:p w14:paraId="586A5AA5" w14:textId="77777777" w:rsidR="00112780" w:rsidRDefault="00112780" w:rsidP="00D210F7">
            <w:pPr>
              <w:pStyle w:val="TRNormal"/>
              <w:spacing w:after="80"/>
              <w:ind w:left="0" w:firstLine="0"/>
            </w:pPr>
          </w:p>
          <w:tbl>
            <w:tblPr>
              <w:tblStyle w:val="TableGrid"/>
              <w:tblW w:w="0" w:type="auto"/>
              <w:tblLook w:val="04A0" w:firstRow="1" w:lastRow="0" w:firstColumn="1" w:lastColumn="0" w:noHBand="0" w:noVBand="1"/>
            </w:tblPr>
            <w:tblGrid>
              <w:gridCol w:w="1262"/>
              <w:gridCol w:w="1263"/>
              <w:gridCol w:w="1263"/>
              <w:gridCol w:w="1263"/>
              <w:gridCol w:w="1263"/>
              <w:gridCol w:w="1263"/>
            </w:tblGrid>
            <w:tr w:rsidR="00F068C8" w14:paraId="452A1361" w14:textId="77777777" w:rsidTr="00BD4E41">
              <w:trPr>
                <w:trHeight w:val="870"/>
              </w:trPr>
              <w:tc>
                <w:tcPr>
                  <w:tcW w:w="1262" w:type="dxa"/>
                  <w:vAlign w:val="center"/>
                  <w:hideMark/>
                </w:tcPr>
                <w:p w14:paraId="3FF2B206" w14:textId="08D3A55E" w:rsidR="00F068C8" w:rsidRPr="00BD4E41" w:rsidRDefault="00F068C8" w:rsidP="00D210F7">
                  <w:pPr>
                    <w:spacing w:after="0" w:line="240" w:lineRule="auto"/>
                    <w:contextualSpacing/>
                    <w:jc w:val="center"/>
                    <w:rPr>
                      <w:rFonts w:cs="Arial"/>
                      <w:szCs w:val="22"/>
                      <w:lang w:val="en-NZ" w:eastAsia="en-NZ"/>
                    </w:rPr>
                  </w:pPr>
                  <w:r w:rsidRPr="00BD4E41">
                    <w:rPr>
                      <w:rFonts w:cs="Arial"/>
                      <w:szCs w:val="22"/>
                      <w:lang w:val="en-NZ" w:eastAsia="en-NZ"/>
                    </w:rPr>
                    <w:t>Option</w:t>
                  </w:r>
                </w:p>
              </w:tc>
              <w:tc>
                <w:tcPr>
                  <w:tcW w:w="1263" w:type="dxa"/>
                  <w:vAlign w:val="center"/>
                  <w:hideMark/>
                </w:tcPr>
                <w:p w14:paraId="283C8DBE" w14:textId="77777777" w:rsidR="00F068C8" w:rsidRPr="00BD4E41" w:rsidRDefault="00F068C8" w:rsidP="00D210F7">
                  <w:pPr>
                    <w:contextualSpacing/>
                    <w:jc w:val="center"/>
                    <w:rPr>
                      <w:rFonts w:eastAsiaTheme="minorHAnsi" w:cs="Arial"/>
                      <w:szCs w:val="22"/>
                      <w:lang w:eastAsia="en-NZ"/>
                    </w:rPr>
                  </w:pPr>
                  <w:r w:rsidRPr="00BD4E41">
                    <w:rPr>
                      <w:rFonts w:cs="Arial"/>
                      <w:szCs w:val="22"/>
                      <w:lang w:eastAsia="en-NZ"/>
                    </w:rPr>
                    <w:t>Losers (N)</w:t>
                  </w:r>
                </w:p>
              </w:tc>
              <w:tc>
                <w:tcPr>
                  <w:tcW w:w="1263" w:type="dxa"/>
                  <w:vAlign w:val="center"/>
                  <w:hideMark/>
                </w:tcPr>
                <w:p w14:paraId="361683FF" w14:textId="77777777" w:rsidR="00F068C8" w:rsidRPr="00BD4E41" w:rsidRDefault="00F068C8" w:rsidP="00D210F7">
                  <w:pPr>
                    <w:contextualSpacing/>
                    <w:jc w:val="center"/>
                    <w:rPr>
                      <w:rFonts w:cs="Arial"/>
                      <w:szCs w:val="22"/>
                      <w:lang w:eastAsia="en-NZ"/>
                    </w:rPr>
                  </w:pPr>
                  <w:r w:rsidRPr="00BD4E41">
                    <w:rPr>
                      <w:rFonts w:cs="Arial"/>
                      <w:szCs w:val="22"/>
                      <w:lang w:eastAsia="en-NZ"/>
                    </w:rPr>
                    <w:t>Winner (N)</w:t>
                  </w:r>
                </w:p>
              </w:tc>
              <w:tc>
                <w:tcPr>
                  <w:tcW w:w="1263" w:type="dxa"/>
                  <w:vAlign w:val="center"/>
                  <w:hideMark/>
                </w:tcPr>
                <w:p w14:paraId="18D29C8A" w14:textId="5D303616" w:rsidR="00F068C8" w:rsidRPr="00BD4E41" w:rsidRDefault="00F068C8" w:rsidP="00D210F7">
                  <w:pPr>
                    <w:contextualSpacing/>
                    <w:jc w:val="center"/>
                    <w:rPr>
                      <w:rFonts w:cs="Arial"/>
                      <w:szCs w:val="22"/>
                      <w:lang w:eastAsia="en-NZ"/>
                    </w:rPr>
                  </w:pPr>
                  <w:r w:rsidRPr="00BD4E41">
                    <w:rPr>
                      <w:rFonts w:cs="Arial"/>
                      <w:szCs w:val="22"/>
                      <w:lang w:eastAsia="en-NZ"/>
                    </w:rPr>
                    <w:t>av</w:t>
                  </w:r>
                  <w:r>
                    <w:rPr>
                      <w:rFonts w:cs="Arial"/>
                      <w:szCs w:val="22"/>
                      <w:lang w:eastAsia="en-NZ"/>
                    </w:rPr>
                    <w:t>era</w:t>
                  </w:r>
                  <w:r w:rsidRPr="00BD4E41">
                    <w:rPr>
                      <w:rFonts w:cs="Arial"/>
                      <w:szCs w:val="22"/>
                      <w:lang w:eastAsia="en-NZ"/>
                    </w:rPr>
                    <w:t>g</w:t>
                  </w:r>
                  <w:r>
                    <w:rPr>
                      <w:rFonts w:cs="Arial"/>
                      <w:szCs w:val="22"/>
                      <w:lang w:eastAsia="en-NZ"/>
                    </w:rPr>
                    <w:t>e</w:t>
                  </w:r>
                  <w:r w:rsidRPr="00BD4E41">
                    <w:rPr>
                      <w:rFonts w:cs="Arial"/>
                      <w:szCs w:val="22"/>
                      <w:lang w:eastAsia="en-NZ"/>
                    </w:rPr>
                    <w:t xml:space="preserve"> loss per week $</w:t>
                  </w:r>
                </w:p>
              </w:tc>
              <w:tc>
                <w:tcPr>
                  <w:tcW w:w="1263" w:type="dxa"/>
                  <w:vAlign w:val="center"/>
                  <w:hideMark/>
                </w:tcPr>
                <w:p w14:paraId="62CC17DF" w14:textId="2A2102F2" w:rsidR="00F068C8" w:rsidRPr="00BD4E41" w:rsidRDefault="00F068C8" w:rsidP="00D210F7">
                  <w:pPr>
                    <w:contextualSpacing/>
                    <w:jc w:val="center"/>
                    <w:rPr>
                      <w:rFonts w:cs="Arial"/>
                      <w:szCs w:val="22"/>
                      <w:lang w:eastAsia="en-NZ"/>
                    </w:rPr>
                  </w:pPr>
                  <w:r w:rsidRPr="00BD4E41">
                    <w:rPr>
                      <w:rFonts w:cs="Arial"/>
                      <w:szCs w:val="22"/>
                      <w:lang w:eastAsia="en-NZ"/>
                    </w:rPr>
                    <w:t>av</w:t>
                  </w:r>
                  <w:r>
                    <w:rPr>
                      <w:rFonts w:cs="Arial"/>
                      <w:szCs w:val="22"/>
                      <w:lang w:eastAsia="en-NZ"/>
                    </w:rPr>
                    <w:t>era</w:t>
                  </w:r>
                  <w:r w:rsidRPr="00BD4E41">
                    <w:rPr>
                      <w:rFonts w:cs="Arial"/>
                      <w:szCs w:val="22"/>
                      <w:lang w:eastAsia="en-NZ"/>
                    </w:rPr>
                    <w:t>g</w:t>
                  </w:r>
                  <w:r>
                    <w:rPr>
                      <w:rFonts w:cs="Arial"/>
                      <w:szCs w:val="22"/>
                      <w:lang w:eastAsia="en-NZ"/>
                    </w:rPr>
                    <w:t>e</w:t>
                  </w:r>
                  <w:r w:rsidRPr="00BD4E41">
                    <w:rPr>
                      <w:rFonts w:cs="Arial"/>
                      <w:szCs w:val="22"/>
                      <w:lang w:eastAsia="en-NZ"/>
                    </w:rPr>
                    <w:t xml:space="preserve"> win per week $</w:t>
                  </w:r>
                </w:p>
              </w:tc>
              <w:tc>
                <w:tcPr>
                  <w:tcW w:w="1263" w:type="dxa"/>
                  <w:vAlign w:val="center"/>
                  <w:hideMark/>
                </w:tcPr>
                <w:p w14:paraId="4ABCB9A0" w14:textId="77777777" w:rsidR="00F068C8" w:rsidRPr="00BD4E41" w:rsidRDefault="00F068C8" w:rsidP="00D210F7">
                  <w:pPr>
                    <w:contextualSpacing/>
                    <w:jc w:val="center"/>
                    <w:rPr>
                      <w:rFonts w:cs="Arial"/>
                      <w:szCs w:val="22"/>
                      <w:lang w:eastAsia="en-NZ"/>
                    </w:rPr>
                  </w:pPr>
                  <w:r w:rsidRPr="00BD4E41">
                    <w:rPr>
                      <w:rFonts w:cs="Arial"/>
                      <w:szCs w:val="22"/>
                      <w:lang w:eastAsia="en-NZ"/>
                    </w:rPr>
                    <w:t>Cost $m</w:t>
                  </w:r>
                </w:p>
              </w:tc>
            </w:tr>
            <w:tr w:rsidR="00F068C8" w14:paraId="265A95AA" w14:textId="77777777" w:rsidTr="00BD4E41">
              <w:trPr>
                <w:trHeight w:val="465"/>
              </w:trPr>
              <w:tc>
                <w:tcPr>
                  <w:tcW w:w="0" w:type="auto"/>
                  <w:vAlign w:val="center"/>
                  <w:hideMark/>
                </w:tcPr>
                <w:p w14:paraId="7A364B6C" w14:textId="2DE8A64D" w:rsidR="00F068C8" w:rsidRPr="00BD4E41" w:rsidRDefault="00F068C8" w:rsidP="00D210F7">
                  <w:pPr>
                    <w:contextualSpacing/>
                    <w:jc w:val="center"/>
                    <w:rPr>
                      <w:rFonts w:cs="Arial"/>
                      <w:szCs w:val="22"/>
                      <w:lang w:eastAsia="en-NZ"/>
                    </w:rPr>
                  </w:pPr>
                  <w:r w:rsidRPr="00BD4E41">
                    <w:rPr>
                      <w:rFonts w:cs="Arial"/>
                      <w:szCs w:val="22"/>
                      <w:lang w:eastAsia="en-NZ"/>
                    </w:rPr>
                    <w:t>A1</w:t>
                  </w:r>
                </w:p>
              </w:tc>
              <w:tc>
                <w:tcPr>
                  <w:tcW w:w="0" w:type="auto"/>
                  <w:vAlign w:val="center"/>
                  <w:hideMark/>
                </w:tcPr>
                <w:p w14:paraId="4904EC9C" w14:textId="0A9ACCC3" w:rsidR="00F068C8" w:rsidRPr="00BD4E41" w:rsidRDefault="00F068C8" w:rsidP="00D210F7">
                  <w:pPr>
                    <w:contextualSpacing/>
                    <w:jc w:val="center"/>
                    <w:rPr>
                      <w:rFonts w:cs="Arial"/>
                      <w:szCs w:val="22"/>
                      <w:lang w:eastAsia="en-NZ"/>
                    </w:rPr>
                  </w:pPr>
                  <w:r>
                    <w:rPr>
                      <w:rFonts w:cs="Arial"/>
                      <w:szCs w:val="22"/>
                      <w:lang w:eastAsia="en-NZ"/>
                    </w:rPr>
                    <w:t>N/A</w:t>
                  </w:r>
                </w:p>
              </w:tc>
              <w:tc>
                <w:tcPr>
                  <w:tcW w:w="0" w:type="auto"/>
                  <w:vAlign w:val="center"/>
                  <w:hideMark/>
                </w:tcPr>
                <w:p w14:paraId="5CF5F1A4" w14:textId="77777777" w:rsidR="00F068C8" w:rsidRPr="00BD4E41" w:rsidRDefault="00F068C8" w:rsidP="00D210F7">
                  <w:pPr>
                    <w:contextualSpacing/>
                    <w:jc w:val="center"/>
                    <w:rPr>
                      <w:rFonts w:eastAsiaTheme="minorHAnsi" w:cs="Arial"/>
                      <w:szCs w:val="22"/>
                      <w:lang w:eastAsia="en-NZ"/>
                    </w:rPr>
                  </w:pPr>
                  <w:r w:rsidRPr="00BD4E41">
                    <w:rPr>
                      <w:rFonts w:cs="Arial"/>
                      <w:szCs w:val="22"/>
                      <w:lang w:eastAsia="en-NZ"/>
                    </w:rPr>
                    <w:t>30,000</w:t>
                  </w:r>
                </w:p>
              </w:tc>
              <w:tc>
                <w:tcPr>
                  <w:tcW w:w="0" w:type="auto"/>
                  <w:vAlign w:val="center"/>
                  <w:hideMark/>
                </w:tcPr>
                <w:p w14:paraId="6243F9AB" w14:textId="6823A730" w:rsidR="00F068C8" w:rsidRPr="00BD4E41" w:rsidRDefault="00F068C8" w:rsidP="00D210F7">
                  <w:pPr>
                    <w:contextualSpacing/>
                    <w:jc w:val="center"/>
                    <w:rPr>
                      <w:rFonts w:cs="Arial"/>
                      <w:szCs w:val="22"/>
                      <w:lang w:eastAsia="en-NZ"/>
                    </w:rPr>
                  </w:pPr>
                  <w:r>
                    <w:rPr>
                      <w:rFonts w:cs="Arial"/>
                      <w:szCs w:val="22"/>
                      <w:lang w:eastAsia="en-NZ"/>
                    </w:rPr>
                    <w:t>N/A</w:t>
                  </w:r>
                </w:p>
              </w:tc>
              <w:tc>
                <w:tcPr>
                  <w:tcW w:w="0" w:type="auto"/>
                  <w:vAlign w:val="center"/>
                  <w:hideMark/>
                </w:tcPr>
                <w:p w14:paraId="64CDEDD6" w14:textId="77777777" w:rsidR="00F068C8" w:rsidRPr="00BD4E41" w:rsidRDefault="00F068C8" w:rsidP="00D210F7">
                  <w:pPr>
                    <w:contextualSpacing/>
                    <w:jc w:val="center"/>
                    <w:rPr>
                      <w:rFonts w:eastAsiaTheme="minorHAnsi" w:cs="Arial"/>
                      <w:szCs w:val="22"/>
                      <w:lang w:eastAsia="en-NZ"/>
                    </w:rPr>
                  </w:pPr>
                  <w:r w:rsidRPr="00BD4E41">
                    <w:rPr>
                      <w:rFonts w:cs="Arial"/>
                      <w:szCs w:val="22"/>
                      <w:lang w:eastAsia="en-NZ"/>
                    </w:rPr>
                    <w:t>-1</w:t>
                  </w:r>
                </w:p>
              </w:tc>
              <w:tc>
                <w:tcPr>
                  <w:tcW w:w="0" w:type="auto"/>
                  <w:vAlign w:val="center"/>
                  <w:hideMark/>
                </w:tcPr>
                <w:p w14:paraId="4B2A06FB" w14:textId="77777777" w:rsidR="00F068C8" w:rsidRPr="00BD4E41" w:rsidRDefault="00F068C8" w:rsidP="00D210F7">
                  <w:pPr>
                    <w:contextualSpacing/>
                    <w:jc w:val="center"/>
                    <w:rPr>
                      <w:rFonts w:cs="Arial"/>
                      <w:szCs w:val="22"/>
                      <w:lang w:eastAsia="en-NZ"/>
                    </w:rPr>
                  </w:pPr>
                  <w:r w:rsidRPr="00BD4E41">
                    <w:rPr>
                      <w:rFonts w:cs="Arial"/>
                      <w:szCs w:val="22"/>
                      <w:lang w:eastAsia="en-NZ"/>
                    </w:rPr>
                    <w:t>-2</w:t>
                  </w:r>
                </w:p>
              </w:tc>
            </w:tr>
            <w:tr w:rsidR="00F068C8" w14:paraId="1EFB98A5" w14:textId="77777777" w:rsidTr="00BD4E41">
              <w:trPr>
                <w:trHeight w:val="465"/>
              </w:trPr>
              <w:tc>
                <w:tcPr>
                  <w:tcW w:w="0" w:type="auto"/>
                  <w:vAlign w:val="center"/>
                  <w:hideMark/>
                </w:tcPr>
                <w:p w14:paraId="7C2C635C" w14:textId="40640D82" w:rsidR="00F068C8" w:rsidRPr="00BD4E41" w:rsidRDefault="00F068C8" w:rsidP="00D210F7">
                  <w:pPr>
                    <w:contextualSpacing/>
                    <w:jc w:val="center"/>
                    <w:rPr>
                      <w:rFonts w:cs="Arial"/>
                      <w:szCs w:val="22"/>
                      <w:lang w:eastAsia="en-NZ"/>
                    </w:rPr>
                  </w:pPr>
                  <w:r w:rsidRPr="00BD4E41">
                    <w:rPr>
                      <w:rFonts w:cs="Arial"/>
                      <w:szCs w:val="22"/>
                      <w:lang w:eastAsia="en-NZ"/>
                    </w:rPr>
                    <w:t>A2</w:t>
                  </w:r>
                </w:p>
              </w:tc>
              <w:tc>
                <w:tcPr>
                  <w:tcW w:w="0" w:type="auto"/>
                  <w:vAlign w:val="center"/>
                  <w:hideMark/>
                </w:tcPr>
                <w:p w14:paraId="0EB4EB27" w14:textId="77777777" w:rsidR="00F068C8" w:rsidRPr="00BD4E41" w:rsidRDefault="00F068C8" w:rsidP="00D210F7">
                  <w:pPr>
                    <w:contextualSpacing/>
                    <w:jc w:val="center"/>
                    <w:rPr>
                      <w:rFonts w:cs="Arial"/>
                      <w:szCs w:val="22"/>
                      <w:lang w:eastAsia="en-NZ"/>
                    </w:rPr>
                  </w:pPr>
                  <w:r w:rsidRPr="00BD4E41">
                    <w:rPr>
                      <w:rFonts w:cs="Arial"/>
                      <w:szCs w:val="22"/>
                      <w:lang w:eastAsia="en-NZ"/>
                    </w:rPr>
                    <w:t>13,000</w:t>
                  </w:r>
                </w:p>
              </w:tc>
              <w:tc>
                <w:tcPr>
                  <w:tcW w:w="0" w:type="auto"/>
                  <w:vAlign w:val="center"/>
                  <w:hideMark/>
                </w:tcPr>
                <w:p w14:paraId="4DADFBF4" w14:textId="77777777" w:rsidR="00F068C8" w:rsidRPr="00BD4E41" w:rsidRDefault="00F068C8" w:rsidP="00D210F7">
                  <w:pPr>
                    <w:contextualSpacing/>
                    <w:jc w:val="center"/>
                    <w:rPr>
                      <w:rFonts w:cs="Arial"/>
                      <w:szCs w:val="22"/>
                      <w:lang w:eastAsia="en-NZ"/>
                    </w:rPr>
                  </w:pPr>
                  <w:r w:rsidRPr="00BD4E41">
                    <w:rPr>
                      <w:rFonts w:cs="Arial"/>
                      <w:szCs w:val="22"/>
                      <w:lang w:eastAsia="en-NZ"/>
                    </w:rPr>
                    <w:t>15,000</w:t>
                  </w:r>
                </w:p>
              </w:tc>
              <w:tc>
                <w:tcPr>
                  <w:tcW w:w="0" w:type="auto"/>
                  <w:vAlign w:val="center"/>
                  <w:hideMark/>
                </w:tcPr>
                <w:p w14:paraId="26A78FBE" w14:textId="77777777" w:rsidR="00F068C8" w:rsidRPr="00BD4E41" w:rsidRDefault="00F068C8" w:rsidP="00D210F7">
                  <w:pPr>
                    <w:contextualSpacing/>
                    <w:jc w:val="center"/>
                    <w:rPr>
                      <w:rFonts w:cs="Arial"/>
                      <w:szCs w:val="22"/>
                      <w:lang w:eastAsia="en-NZ"/>
                    </w:rPr>
                  </w:pPr>
                  <w:r w:rsidRPr="00BD4E41">
                    <w:rPr>
                      <w:rFonts w:cs="Arial"/>
                      <w:szCs w:val="22"/>
                      <w:lang w:eastAsia="en-NZ"/>
                    </w:rPr>
                    <w:t>0</w:t>
                  </w:r>
                </w:p>
              </w:tc>
              <w:tc>
                <w:tcPr>
                  <w:tcW w:w="0" w:type="auto"/>
                  <w:vAlign w:val="center"/>
                  <w:hideMark/>
                </w:tcPr>
                <w:p w14:paraId="0542262C" w14:textId="77777777" w:rsidR="00F068C8" w:rsidRPr="00BD4E41" w:rsidRDefault="00F068C8" w:rsidP="00D210F7">
                  <w:pPr>
                    <w:contextualSpacing/>
                    <w:jc w:val="center"/>
                    <w:rPr>
                      <w:rFonts w:cs="Arial"/>
                      <w:szCs w:val="22"/>
                      <w:lang w:eastAsia="en-NZ"/>
                    </w:rPr>
                  </w:pPr>
                  <w:r w:rsidRPr="00BD4E41">
                    <w:rPr>
                      <w:rFonts w:cs="Arial"/>
                      <w:szCs w:val="22"/>
                      <w:lang w:eastAsia="en-NZ"/>
                    </w:rPr>
                    <w:t>-1</w:t>
                  </w:r>
                </w:p>
              </w:tc>
              <w:tc>
                <w:tcPr>
                  <w:tcW w:w="0" w:type="auto"/>
                  <w:vAlign w:val="center"/>
                  <w:hideMark/>
                </w:tcPr>
                <w:p w14:paraId="55BF17A9" w14:textId="77777777" w:rsidR="00F068C8" w:rsidRPr="00BD4E41" w:rsidRDefault="00F068C8" w:rsidP="00D210F7">
                  <w:pPr>
                    <w:contextualSpacing/>
                    <w:jc w:val="center"/>
                    <w:rPr>
                      <w:rFonts w:cs="Arial"/>
                      <w:szCs w:val="22"/>
                      <w:lang w:eastAsia="en-NZ"/>
                    </w:rPr>
                  </w:pPr>
                  <w:r w:rsidRPr="00BD4E41">
                    <w:rPr>
                      <w:rFonts w:cs="Arial"/>
                      <w:szCs w:val="22"/>
                      <w:lang w:eastAsia="en-NZ"/>
                    </w:rPr>
                    <w:t>-8</w:t>
                  </w:r>
                </w:p>
              </w:tc>
            </w:tr>
            <w:tr w:rsidR="00F068C8" w14:paraId="1D82A7F6" w14:textId="77777777" w:rsidTr="00BD4E41">
              <w:trPr>
                <w:trHeight w:val="465"/>
              </w:trPr>
              <w:tc>
                <w:tcPr>
                  <w:tcW w:w="0" w:type="auto"/>
                  <w:vAlign w:val="center"/>
                  <w:hideMark/>
                </w:tcPr>
                <w:p w14:paraId="351BBB26" w14:textId="11A58243" w:rsidR="00F068C8" w:rsidRPr="00BD4E41" w:rsidRDefault="00F068C8" w:rsidP="00D210F7">
                  <w:pPr>
                    <w:contextualSpacing/>
                    <w:jc w:val="center"/>
                    <w:rPr>
                      <w:rFonts w:cs="Arial"/>
                      <w:szCs w:val="22"/>
                      <w:lang w:eastAsia="en-NZ"/>
                    </w:rPr>
                  </w:pPr>
                  <w:r w:rsidRPr="00BD4E41">
                    <w:rPr>
                      <w:rFonts w:cs="Arial"/>
                      <w:szCs w:val="22"/>
                      <w:lang w:eastAsia="en-NZ"/>
                    </w:rPr>
                    <w:t>A3</w:t>
                  </w:r>
                </w:p>
              </w:tc>
              <w:tc>
                <w:tcPr>
                  <w:tcW w:w="0" w:type="auto"/>
                  <w:vAlign w:val="center"/>
                  <w:hideMark/>
                </w:tcPr>
                <w:p w14:paraId="5F42612D" w14:textId="77777777" w:rsidR="00F068C8" w:rsidRPr="00BD4E41" w:rsidRDefault="00F068C8" w:rsidP="00D210F7">
                  <w:pPr>
                    <w:contextualSpacing/>
                    <w:jc w:val="center"/>
                    <w:rPr>
                      <w:rFonts w:cs="Arial"/>
                      <w:szCs w:val="22"/>
                      <w:lang w:eastAsia="en-NZ"/>
                    </w:rPr>
                  </w:pPr>
                  <w:r w:rsidRPr="00BD4E41">
                    <w:rPr>
                      <w:rFonts w:cs="Arial"/>
                      <w:szCs w:val="22"/>
                      <w:lang w:eastAsia="en-NZ"/>
                    </w:rPr>
                    <w:t>18,000</w:t>
                  </w:r>
                </w:p>
              </w:tc>
              <w:tc>
                <w:tcPr>
                  <w:tcW w:w="0" w:type="auto"/>
                  <w:vAlign w:val="center"/>
                  <w:hideMark/>
                </w:tcPr>
                <w:p w14:paraId="1096E97F" w14:textId="77777777" w:rsidR="00F068C8" w:rsidRPr="00BD4E41" w:rsidRDefault="00F068C8" w:rsidP="00D210F7">
                  <w:pPr>
                    <w:contextualSpacing/>
                    <w:jc w:val="center"/>
                    <w:rPr>
                      <w:rFonts w:cs="Arial"/>
                      <w:szCs w:val="22"/>
                      <w:lang w:eastAsia="en-NZ"/>
                    </w:rPr>
                  </w:pPr>
                  <w:r w:rsidRPr="00BD4E41">
                    <w:rPr>
                      <w:rFonts w:cs="Arial"/>
                      <w:szCs w:val="22"/>
                      <w:lang w:eastAsia="en-NZ"/>
                    </w:rPr>
                    <w:t>9,000</w:t>
                  </w:r>
                </w:p>
              </w:tc>
              <w:tc>
                <w:tcPr>
                  <w:tcW w:w="0" w:type="auto"/>
                  <w:vAlign w:val="center"/>
                  <w:hideMark/>
                </w:tcPr>
                <w:p w14:paraId="08886111" w14:textId="77777777" w:rsidR="00F068C8" w:rsidRPr="00BD4E41" w:rsidRDefault="00F068C8" w:rsidP="00D210F7">
                  <w:pPr>
                    <w:contextualSpacing/>
                    <w:jc w:val="center"/>
                    <w:rPr>
                      <w:rFonts w:cs="Arial"/>
                      <w:szCs w:val="22"/>
                      <w:lang w:eastAsia="en-NZ"/>
                    </w:rPr>
                  </w:pPr>
                  <w:r w:rsidRPr="00BD4E41">
                    <w:rPr>
                      <w:rFonts w:cs="Arial"/>
                      <w:szCs w:val="22"/>
                      <w:lang w:eastAsia="en-NZ"/>
                    </w:rPr>
                    <w:t>0</w:t>
                  </w:r>
                </w:p>
              </w:tc>
              <w:tc>
                <w:tcPr>
                  <w:tcW w:w="0" w:type="auto"/>
                  <w:vAlign w:val="center"/>
                  <w:hideMark/>
                </w:tcPr>
                <w:p w14:paraId="730077EE" w14:textId="77777777" w:rsidR="00F068C8" w:rsidRPr="00BD4E41" w:rsidRDefault="00F068C8" w:rsidP="00D210F7">
                  <w:pPr>
                    <w:contextualSpacing/>
                    <w:jc w:val="center"/>
                    <w:rPr>
                      <w:rFonts w:cs="Arial"/>
                      <w:szCs w:val="22"/>
                      <w:lang w:eastAsia="en-NZ"/>
                    </w:rPr>
                  </w:pPr>
                  <w:r w:rsidRPr="00BD4E41">
                    <w:rPr>
                      <w:rFonts w:cs="Arial"/>
                      <w:szCs w:val="22"/>
                      <w:lang w:eastAsia="en-NZ"/>
                    </w:rPr>
                    <w:t>-1</w:t>
                  </w:r>
                </w:p>
              </w:tc>
              <w:tc>
                <w:tcPr>
                  <w:tcW w:w="0" w:type="auto"/>
                  <w:vAlign w:val="center"/>
                  <w:hideMark/>
                </w:tcPr>
                <w:p w14:paraId="7405CC7C" w14:textId="77777777" w:rsidR="00F068C8" w:rsidRPr="00BD4E41" w:rsidRDefault="00F068C8" w:rsidP="00D210F7">
                  <w:pPr>
                    <w:contextualSpacing/>
                    <w:jc w:val="center"/>
                    <w:rPr>
                      <w:rFonts w:cs="Arial"/>
                      <w:szCs w:val="22"/>
                      <w:lang w:eastAsia="en-NZ"/>
                    </w:rPr>
                  </w:pPr>
                  <w:r w:rsidRPr="00BD4E41">
                    <w:rPr>
                      <w:rFonts w:cs="Arial"/>
                      <w:szCs w:val="22"/>
                      <w:lang w:eastAsia="en-NZ"/>
                    </w:rPr>
                    <w:t>-10</w:t>
                  </w:r>
                </w:p>
              </w:tc>
            </w:tr>
            <w:tr w:rsidR="00F068C8" w14:paraId="78F5FCFC" w14:textId="77777777" w:rsidTr="00BD4E41">
              <w:trPr>
                <w:trHeight w:val="690"/>
              </w:trPr>
              <w:tc>
                <w:tcPr>
                  <w:tcW w:w="0" w:type="auto"/>
                  <w:vAlign w:val="center"/>
                  <w:hideMark/>
                </w:tcPr>
                <w:p w14:paraId="6EAE8744" w14:textId="5FB74DD9" w:rsidR="00F068C8" w:rsidRPr="00BD4E41" w:rsidRDefault="00F068C8" w:rsidP="00D210F7">
                  <w:pPr>
                    <w:contextualSpacing/>
                    <w:jc w:val="center"/>
                    <w:rPr>
                      <w:rFonts w:cs="Arial"/>
                      <w:szCs w:val="22"/>
                      <w:lang w:eastAsia="en-NZ"/>
                    </w:rPr>
                  </w:pPr>
                  <w:r w:rsidRPr="00BD4E41">
                    <w:rPr>
                      <w:rFonts w:cs="Arial"/>
                      <w:szCs w:val="22"/>
                      <w:lang w:eastAsia="en-NZ"/>
                    </w:rPr>
                    <w:t>B</w:t>
                  </w:r>
                </w:p>
              </w:tc>
              <w:tc>
                <w:tcPr>
                  <w:tcW w:w="0" w:type="auto"/>
                  <w:vAlign w:val="center"/>
                  <w:hideMark/>
                </w:tcPr>
                <w:p w14:paraId="5AC003DC" w14:textId="77777777" w:rsidR="00F068C8" w:rsidRPr="00BD4E41" w:rsidRDefault="00F068C8" w:rsidP="00D210F7">
                  <w:pPr>
                    <w:contextualSpacing/>
                    <w:jc w:val="center"/>
                    <w:rPr>
                      <w:rFonts w:cs="Arial"/>
                      <w:szCs w:val="22"/>
                      <w:lang w:eastAsia="en-NZ"/>
                    </w:rPr>
                  </w:pPr>
                  <w:r w:rsidRPr="00BD4E41">
                    <w:rPr>
                      <w:rFonts w:cs="Arial"/>
                      <w:szCs w:val="22"/>
                      <w:lang w:eastAsia="en-NZ"/>
                    </w:rPr>
                    <w:t>-1,000</w:t>
                  </w:r>
                </w:p>
              </w:tc>
              <w:tc>
                <w:tcPr>
                  <w:tcW w:w="0" w:type="auto"/>
                  <w:vAlign w:val="center"/>
                  <w:hideMark/>
                </w:tcPr>
                <w:p w14:paraId="1361022A" w14:textId="77777777" w:rsidR="00F068C8" w:rsidRPr="00BD4E41" w:rsidRDefault="00F068C8" w:rsidP="00D210F7">
                  <w:pPr>
                    <w:contextualSpacing/>
                    <w:jc w:val="center"/>
                    <w:rPr>
                      <w:rFonts w:cs="Arial"/>
                      <w:szCs w:val="22"/>
                      <w:lang w:eastAsia="en-NZ"/>
                    </w:rPr>
                  </w:pPr>
                  <w:r w:rsidRPr="00BD4E41">
                    <w:rPr>
                      <w:rFonts w:cs="Arial"/>
                      <w:szCs w:val="22"/>
                      <w:lang w:eastAsia="en-NZ"/>
                    </w:rPr>
                    <w:t>28,000</w:t>
                  </w:r>
                </w:p>
              </w:tc>
              <w:tc>
                <w:tcPr>
                  <w:tcW w:w="0" w:type="auto"/>
                  <w:vAlign w:val="center"/>
                  <w:hideMark/>
                </w:tcPr>
                <w:p w14:paraId="0B9CC6AC" w14:textId="77777777" w:rsidR="00F068C8" w:rsidRPr="00BD4E41" w:rsidRDefault="00F068C8" w:rsidP="00D210F7">
                  <w:pPr>
                    <w:contextualSpacing/>
                    <w:jc w:val="center"/>
                    <w:rPr>
                      <w:rFonts w:cs="Arial"/>
                      <w:szCs w:val="22"/>
                      <w:lang w:eastAsia="en-NZ"/>
                    </w:rPr>
                  </w:pPr>
                  <w:r w:rsidRPr="00BD4E41">
                    <w:rPr>
                      <w:rFonts w:cs="Arial"/>
                      <w:szCs w:val="22"/>
                      <w:lang w:eastAsia="en-NZ"/>
                    </w:rPr>
                    <w:t>-2</w:t>
                  </w:r>
                </w:p>
              </w:tc>
              <w:tc>
                <w:tcPr>
                  <w:tcW w:w="0" w:type="auto"/>
                  <w:vAlign w:val="center"/>
                  <w:hideMark/>
                </w:tcPr>
                <w:p w14:paraId="187E7DEB" w14:textId="77777777" w:rsidR="00F068C8" w:rsidRPr="00BD4E41" w:rsidRDefault="00F068C8" w:rsidP="00D210F7">
                  <w:pPr>
                    <w:contextualSpacing/>
                    <w:jc w:val="center"/>
                    <w:rPr>
                      <w:rFonts w:cs="Arial"/>
                      <w:szCs w:val="22"/>
                      <w:lang w:eastAsia="en-NZ"/>
                    </w:rPr>
                  </w:pPr>
                  <w:r w:rsidRPr="00BD4E41">
                    <w:rPr>
                      <w:rFonts w:cs="Arial"/>
                      <w:szCs w:val="22"/>
                      <w:lang w:eastAsia="en-NZ"/>
                    </w:rPr>
                    <w:t>-1</w:t>
                  </w:r>
                </w:p>
              </w:tc>
              <w:tc>
                <w:tcPr>
                  <w:tcW w:w="0" w:type="auto"/>
                  <w:vAlign w:val="center"/>
                  <w:hideMark/>
                </w:tcPr>
                <w:p w14:paraId="47B15425" w14:textId="77777777" w:rsidR="00F068C8" w:rsidRPr="00BD4E41" w:rsidRDefault="00F068C8" w:rsidP="00D210F7">
                  <w:pPr>
                    <w:contextualSpacing/>
                    <w:jc w:val="center"/>
                    <w:rPr>
                      <w:rFonts w:cs="Arial"/>
                      <w:szCs w:val="22"/>
                      <w:lang w:eastAsia="en-NZ"/>
                    </w:rPr>
                  </w:pPr>
                  <w:r w:rsidRPr="00BD4E41">
                    <w:rPr>
                      <w:rFonts w:cs="Arial"/>
                      <w:szCs w:val="22"/>
                      <w:lang w:eastAsia="en-NZ"/>
                    </w:rPr>
                    <w:t>14</w:t>
                  </w:r>
                </w:p>
              </w:tc>
            </w:tr>
          </w:tbl>
          <w:p w14:paraId="0E7E1639" w14:textId="77777777" w:rsidR="003F7A36" w:rsidRDefault="003F7A36" w:rsidP="00D210F7">
            <w:pPr>
              <w:pStyle w:val="TRNormal"/>
              <w:spacing w:after="80"/>
              <w:ind w:left="0" w:firstLine="0"/>
            </w:pPr>
          </w:p>
          <w:p w14:paraId="6F2DAE2E" w14:textId="31F3431B" w:rsidR="00254386" w:rsidRPr="00254386" w:rsidRDefault="00633689" w:rsidP="00D210F7">
            <w:pPr>
              <w:pStyle w:val="TRNormal"/>
              <w:spacing w:after="80"/>
              <w:ind w:left="0" w:firstLine="0"/>
            </w:pPr>
            <w:r>
              <w:t>T</w:t>
            </w:r>
            <w:r w:rsidR="00971A94">
              <w:t>hese differences</w:t>
            </w:r>
            <w:r>
              <w:t xml:space="preserve"> most likely</w:t>
            </w:r>
            <w:r w:rsidR="00971A94">
              <w:t xml:space="preserve"> reflect the fact that, unlike </w:t>
            </w:r>
            <w:r w:rsidR="00BF4D7E">
              <w:t>I</w:t>
            </w:r>
            <w:r w:rsidR="009D6CA6">
              <w:t xml:space="preserve">nland </w:t>
            </w:r>
            <w:r w:rsidR="00BF4D7E">
              <w:t>R</w:t>
            </w:r>
            <w:r w:rsidR="009D6CA6">
              <w:t>evenue</w:t>
            </w:r>
            <w:r w:rsidR="001604D4">
              <w:t xml:space="preserve"> modelling</w:t>
            </w:r>
            <w:r w:rsidR="00BF4D7E">
              <w:t>, TAWA modelling assumes full take up and does not take relationship changes into account</w:t>
            </w:r>
            <w:r w:rsidR="00122769">
              <w:t>, leading to</w:t>
            </w:r>
            <w:r w:rsidR="00BF4D7E">
              <w:t xml:space="preserve"> </w:t>
            </w:r>
            <w:r w:rsidR="001604D4">
              <w:t xml:space="preserve">an </w:t>
            </w:r>
            <w:r w:rsidR="00BF4D7E">
              <w:t>overestimat</w:t>
            </w:r>
            <w:r w:rsidR="001604D4">
              <w:t>ion of</w:t>
            </w:r>
            <w:r w:rsidR="00BF4D7E">
              <w:t xml:space="preserve"> the impact of changes on the population.</w:t>
            </w:r>
          </w:p>
          <w:p w14:paraId="2683AAC5" w14:textId="77777777" w:rsidR="00DC4D32" w:rsidRDefault="00DC4D32" w:rsidP="00D210F7">
            <w:pPr>
              <w:pStyle w:val="TRNormal"/>
              <w:spacing w:after="80"/>
              <w:ind w:left="0" w:firstLine="0"/>
            </w:pPr>
          </w:p>
          <w:p w14:paraId="06B4DB8D" w14:textId="5C58EA70" w:rsidR="00DC4D32" w:rsidRDefault="00153239" w:rsidP="00D210F7">
            <w:pPr>
              <w:pStyle w:val="TRNormal"/>
              <w:spacing w:after="80"/>
              <w:ind w:left="0" w:firstLine="0"/>
            </w:pPr>
            <w:r>
              <w:t xml:space="preserve">TAWA modelling does not </w:t>
            </w:r>
            <w:proofErr w:type="gramStart"/>
            <w:r>
              <w:t>take into account</w:t>
            </w:r>
            <w:proofErr w:type="gramEnd"/>
            <w:r>
              <w:t xml:space="preserve"> any behavioural changes that may result from the policy changes</w:t>
            </w:r>
            <w:r w:rsidR="00D8660E">
              <w:t xml:space="preserve">, such as changes in </w:t>
            </w:r>
            <w:r w:rsidR="004133F8">
              <w:t>employment.</w:t>
            </w:r>
          </w:p>
          <w:p w14:paraId="501FE5F5" w14:textId="77777777" w:rsidR="0086072C" w:rsidRDefault="0086072C" w:rsidP="00D210F7">
            <w:pPr>
              <w:pStyle w:val="TRNormal"/>
              <w:spacing w:after="80"/>
              <w:ind w:left="0" w:firstLine="0"/>
            </w:pPr>
          </w:p>
          <w:p w14:paraId="457308D7" w14:textId="6806618C" w:rsidR="0086072C" w:rsidRDefault="0086072C" w:rsidP="00D210F7">
            <w:pPr>
              <w:pStyle w:val="TRNormal"/>
              <w:spacing w:after="80"/>
              <w:ind w:left="0" w:firstLine="0"/>
            </w:pPr>
            <w:r>
              <w:t xml:space="preserve">The MFTC threshold changes were forecast by </w:t>
            </w:r>
            <w:r w:rsidR="00B775D2">
              <w:t>Inland Revenue’s</w:t>
            </w:r>
            <w:r>
              <w:t xml:space="preserve"> forecasting team</w:t>
            </w:r>
            <w:r w:rsidR="00B775D2">
              <w:t xml:space="preserve"> according to their usual annual process</w:t>
            </w:r>
            <w:r w:rsidR="00CF6721">
              <w:t xml:space="preserve">, based on the data available. </w:t>
            </w:r>
          </w:p>
          <w:p w14:paraId="50BEC48E" w14:textId="77777777" w:rsidR="00673E07" w:rsidRDefault="00673E07" w:rsidP="00D210F7">
            <w:pPr>
              <w:pStyle w:val="TRNormal"/>
              <w:spacing w:after="80"/>
              <w:ind w:left="0" w:firstLine="0"/>
            </w:pPr>
          </w:p>
          <w:p w14:paraId="004C839E" w14:textId="77777777" w:rsidR="00D26A2E" w:rsidRDefault="00D26A2E" w:rsidP="00D210F7">
            <w:pPr>
              <w:pStyle w:val="TRNormal"/>
              <w:spacing w:after="80"/>
              <w:ind w:left="0" w:firstLine="0"/>
            </w:pPr>
          </w:p>
          <w:p w14:paraId="54215607" w14:textId="77777777" w:rsidR="00D26A2E" w:rsidRDefault="00D26A2E" w:rsidP="00BE27C3">
            <w:pPr>
              <w:pStyle w:val="TRNormal"/>
              <w:spacing w:after="80"/>
              <w:ind w:left="0" w:firstLine="0"/>
            </w:pPr>
          </w:p>
          <w:p w14:paraId="5800AEC4" w14:textId="77777777" w:rsidR="00D26A2E" w:rsidRDefault="00D26A2E" w:rsidP="00BE27C3">
            <w:pPr>
              <w:pStyle w:val="TRNormal"/>
              <w:spacing w:after="80"/>
              <w:ind w:left="0" w:firstLine="0"/>
            </w:pPr>
          </w:p>
          <w:p w14:paraId="2B15D0EF" w14:textId="77777777" w:rsidR="00D26A2E" w:rsidRDefault="00D26A2E" w:rsidP="00BE27C3">
            <w:pPr>
              <w:pStyle w:val="TRNormal"/>
              <w:spacing w:after="80"/>
              <w:ind w:left="0" w:firstLine="0"/>
            </w:pPr>
          </w:p>
          <w:p w14:paraId="17DF0AFD" w14:textId="77777777" w:rsidR="00D26A2E" w:rsidRDefault="00D26A2E" w:rsidP="00BE27C3">
            <w:pPr>
              <w:pStyle w:val="TRNormal"/>
              <w:spacing w:after="80"/>
              <w:ind w:left="0" w:firstLine="0"/>
            </w:pPr>
          </w:p>
          <w:p w14:paraId="62865A02" w14:textId="77777777" w:rsidR="009612D0" w:rsidRDefault="009612D0" w:rsidP="00BE27C3">
            <w:pPr>
              <w:pStyle w:val="TRNormal"/>
              <w:spacing w:after="80"/>
              <w:ind w:left="0" w:firstLine="0"/>
            </w:pPr>
          </w:p>
          <w:p w14:paraId="3DBA48DC" w14:textId="62B55B8F" w:rsidR="009612D0" w:rsidRPr="00BE27C3" w:rsidRDefault="009612D0" w:rsidP="00BE27C3">
            <w:pPr>
              <w:pStyle w:val="TRNormal"/>
              <w:spacing w:after="80"/>
              <w:ind w:left="0" w:firstLine="0"/>
            </w:pPr>
          </w:p>
        </w:tc>
      </w:tr>
      <w:tr w:rsidR="006756BE" w:rsidRPr="00A864A5" w14:paraId="0EA0047F" w14:textId="77777777" w:rsidTr="1D1D5D45">
        <w:tc>
          <w:tcPr>
            <w:tcW w:w="5000" w:type="pct"/>
            <w:gridSpan w:val="2"/>
            <w:tcBorders>
              <w:bottom w:val="single" w:sz="4" w:space="0" w:color="DDDDDD"/>
            </w:tcBorders>
            <w:shd w:val="clear" w:color="auto" w:fill="99CDDD"/>
            <w:hideMark/>
          </w:tcPr>
          <w:p w14:paraId="7A579FF2" w14:textId="5BE5A8FF" w:rsidR="00413FD8" w:rsidRPr="00A864A5" w:rsidRDefault="00413FD8" w:rsidP="0076799E">
            <w:pPr>
              <w:pStyle w:val="TableHeadings"/>
              <w:rPr>
                <w:color w:val="002060"/>
                <w:szCs w:val="22"/>
                <w:lang w:val="en-NZ"/>
              </w:rPr>
            </w:pPr>
            <w:bookmarkStart w:id="3" w:name="_Hlk47608084"/>
            <w:bookmarkEnd w:id="2"/>
            <w:r w:rsidRPr="00A864A5">
              <w:rPr>
                <w:szCs w:val="22"/>
                <w:lang w:val="en-NZ"/>
              </w:rPr>
              <w:t>Responsible Managers</w:t>
            </w:r>
          </w:p>
        </w:tc>
      </w:tr>
      <w:tr w:rsidR="009B3158" w:rsidRPr="00A864A5" w14:paraId="091E60B6" w14:textId="77777777" w:rsidTr="1D1D5D45">
        <w:trPr>
          <w:trHeight w:val="1761"/>
        </w:trPr>
        <w:tc>
          <w:tcPr>
            <w:tcW w:w="5000" w:type="pct"/>
            <w:gridSpan w:val="2"/>
            <w:tcBorders>
              <w:top w:val="nil"/>
            </w:tcBorders>
            <w:shd w:val="clear" w:color="auto" w:fill="auto"/>
          </w:tcPr>
          <w:p w14:paraId="2BD94019" w14:textId="1D4B1899" w:rsidR="00413FD8" w:rsidRPr="006B3C77" w:rsidRDefault="003166C9" w:rsidP="00560FED">
            <w:pPr>
              <w:spacing w:before="60" w:after="0" w:line="276" w:lineRule="auto"/>
              <w:ind w:left="284" w:hanging="284"/>
              <w:jc w:val="both"/>
              <w:rPr>
                <w:rFonts w:cs="Arial"/>
                <w:szCs w:val="22"/>
                <w:lang w:val="en-NZ"/>
              </w:rPr>
            </w:pPr>
            <w:r w:rsidRPr="006B3C77">
              <w:rPr>
                <w:rFonts w:cs="Arial"/>
                <w:szCs w:val="22"/>
                <w:lang w:val="en-NZ"/>
              </w:rPr>
              <w:t>Maraina Hak</w:t>
            </w:r>
          </w:p>
          <w:p w14:paraId="4E99BE46" w14:textId="7ADF65F2" w:rsidR="00413FD8" w:rsidRPr="006B3C77" w:rsidRDefault="003166C9" w:rsidP="00394C21">
            <w:pPr>
              <w:spacing w:before="60" w:after="0" w:line="276" w:lineRule="auto"/>
              <w:ind w:left="284" w:hanging="284"/>
              <w:jc w:val="both"/>
              <w:rPr>
                <w:rFonts w:cs="Arial"/>
                <w:szCs w:val="22"/>
                <w:lang w:val="en-NZ"/>
              </w:rPr>
            </w:pPr>
            <w:r w:rsidRPr="006B3C77">
              <w:rPr>
                <w:rFonts w:cs="Arial"/>
                <w:szCs w:val="22"/>
                <w:lang w:val="en-NZ"/>
              </w:rPr>
              <w:t>Policy Lead</w:t>
            </w:r>
            <w:r w:rsidR="00394C21">
              <w:rPr>
                <w:rFonts w:cs="Arial"/>
                <w:szCs w:val="22"/>
                <w:lang w:val="en-NZ"/>
              </w:rPr>
              <w:t xml:space="preserve">, </w:t>
            </w:r>
            <w:r w:rsidRPr="006B3C77">
              <w:rPr>
                <w:rFonts w:cs="Arial"/>
                <w:szCs w:val="22"/>
                <w:lang w:val="en-NZ"/>
              </w:rPr>
              <w:t>Policy and Regulatory Stewardship</w:t>
            </w:r>
          </w:p>
          <w:p w14:paraId="71F7A6D2" w14:textId="39A9F578" w:rsidR="006B3C77" w:rsidRPr="006B3C77" w:rsidRDefault="006B3C77" w:rsidP="00560FED">
            <w:pPr>
              <w:spacing w:before="60" w:after="0" w:line="276" w:lineRule="auto"/>
              <w:ind w:left="284" w:hanging="284"/>
              <w:jc w:val="both"/>
              <w:rPr>
                <w:rFonts w:cs="Arial"/>
                <w:szCs w:val="22"/>
                <w:lang w:val="en-NZ"/>
              </w:rPr>
            </w:pPr>
            <w:r w:rsidRPr="006B3C77">
              <w:rPr>
                <w:rFonts w:cs="Arial"/>
                <w:szCs w:val="22"/>
                <w:lang w:val="en-NZ"/>
              </w:rPr>
              <w:t>Inland Revenue</w:t>
            </w:r>
          </w:p>
          <w:p w14:paraId="0AF9BD66" w14:textId="7E228EA2" w:rsidR="00F86034" w:rsidRDefault="00F86034" w:rsidP="00560FED">
            <w:pPr>
              <w:spacing w:after="0"/>
              <w:rPr>
                <w:rFonts w:cs="Arial"/>
                <w:noProof/>
                <w:szCs w:val="22"/>
                <w:lang w:val="en-NZ"/>
              </w:rPr>
            </w:pPr>
          </w:p>
          <w:p w14:paraId="0EC6E9F2" w14:textId="5193BD74" w:rsidR="005453D6" w:rsidRPr="005453D6" w:rsidRDefault="005453D6" w:rsidP="005453D6">
            <w:pPr>
              <w:shd w:val="clear" w:color="auto" w:fill="BFBFBF" w:themeFill="background1" w:themeFillShade="BF"/>
              <w:spacing w:after="0"/>
              <w:ind w:right="6542"/>
              <w:rPr>
                <w:rFonts w:cs="Arial"/>
                <w:noProof/>
                <w:sz w:val="20"/>
                <w:lang w:val="en-NZ"/>
              </w:rPr>
            </w:pPr>
            <w:r w:rsidRPr="005453D6">
              <w:rPr>
                <w:rFonts w:cs="Arial"/>
                <w:noProof/>
                <w:sz w:val="20"/>
                <w:lang w:val="en-NZ"/>
              </w:rPr>
              <w:t>s 9(2)(a)</w:t>
            </w:r>
          </w:p>
          <w:p w14:paraId="6827DFBE" w14:textId="77777777" w:rsidR="005453D6" w:rsidRDefault="005453D6" w:rsidP="005453D6">
            <w:pPr>
              <w:shd w:val="clear" w:color="auto" w:fill="BFBFBF" w:themeFill="background1" w:themeFillShade="BF"/>
              <w:spacing w:after="0"/>
              <w:ind w:right="6542"/>
              <w:rPr>
                <w:rFonts w:cs="Arial"/>
                <w:noProof/>
                <w:szCs w:val="22"/>
                <w:lang w:val="en-NZ"/>
              </w:rPr>
            </w:pPr>
          </w:p>
          <w:p w14:paraId="23BC7A75" w14:textId="10B28EBB" w:rsidR="005453D6" w:rsidRDefault="005453D6" w:rsidP="005453D6">
            <w:pPr>
              <w:shd w:val="clear" w:color="auto" w:fill="BFBFBF" w:themeFill="background1" w:themeFillShade="BF"/>
              <w:spacing w:after="0"/>
              <w:ind w:right="6542"/>
              <w:rPr>
                <w:rFonts w:cs="Arial"/>
                <w:noProof/>
                <w:szCs w:val="22"/>
                <w:lang w:val="en-NZ"/>
              </w:rPr>
            </w:pPr>
          </w:p>
          <w:p w14:paraId="2D1A6690" w14:textId="77777777" w:rsidR="005453D6" w:rsidRDefault="005453D6" w:rsidP="00560FED">
            <w:pPr>
              <w:spacing w:after="0"/>
              <w:rPr>
                <w:rFonts w:cs="Arial"/>
                <w:szCs w:val="22"/>
                <w:lang w:val="en-NZ"/>
              </w:rPr>
            </w:pPr>
          </w:p>
          <w:p w14:paraId="609D179D" w14:textId="0F72CCA8" w:rsidR="00413FD8" w:rsidRPr="006B3C77" w:rsidRDefault="00F91153" w:rsidP="00560FED">
            <w:pPr>
              <w:spacing w:after="0"/>
              <w:rPr>
                <w:rFonts w:cs="Arial"/>
                <w:szCs w:val="22"/>
                <w:lang w:val="en-NZ"/>
              </w:rPr>
            </w:pPr>
            <w:r w:rsidRPr="006B3C77">
              <w:rPr>
                <w:rFonts w:cs="Arial"/>
                <w:szCs w:val="22"/>
                <w:lang w:val="en-NZ"/>
              </w:rPr>
              <w:t>28/10/2021</w:t>
            </w:r>
          </w:p>
          <w:p w14:paraId="37085AD7" w14:textId="5691AB97" w:rsidR="003166C9" w:rsidRDefault="003166C9" w:rsidP="00560FED">
            <w:pPr>
              <w:spacing w:after="0"/>
              <w:rPr>
                <w:rFonts w:cs="Arial"/>
                <w:i/>
                <w:iCs/>
                <w:szCs w:val="22"/>
                <w:lang w:val="en-NZ"/>
              </w:rPr>
            </w:pPr>
          </w:p>
          <w:p w14:paraId="581AA16A" w14:textId="6FDD47CA" w:rsidR="003166C9" w:rsidRPr="00E3159F" w:rsidRDefault="00E3159F" w:rsidP="003166C9">
            <w:pPr>
              <w:spacing w:before="60" w:after="0" w:line="276" w:lineRule="auto"/>
              <w:ind w:left="284" w:hanging="284"/>
              <w:jc w:val="both"/>
              <w:rPr>
                <w:rFonts w:cs="Arial"/>
                <w:szCs w:val="22"/>
                <w:lang w:val="en-NZ"/>
              </w:rPr>
            </w:pPr>
            <w:r w:rsidRPr="00E3159F">
              <w:rPr>
                <w:rFonts w:cs="Arial"/>
                <w:szCs w:val="22"/>
                <w:lang w:val="en-NZ"/>
              </w:rPr>
              <w:t>Polly Vowles</w:t>
            </w:r>
          </w:p>
          <w:p w14:paraId="303A3A59" w14:textId="056FADAE" w:rsidR="003166C9" w:rsidRPr="00E3159F" w:rsidRDefault="0092650E" w:rsidP="0092650E">
            <w:pPr>
              <w:spacing w:before="60" w:after="0" w:line="276" w:lineRule="auto"/>
              <w:ind w:left="284" w:hanging="284"/>
              <w:jc w:val="both"/>
              <w:rPr>
                <w:rFonts w:cs="Arial"/>
                <w:szCs w:val="22"/>
                <w:lang w:val="en-NZ"/>
              </w:rPr>
            </w:pPr>
            <w:r>
              <w:rPr>
                <w:rFonts w:cs="Arial"/>
                <w:szCs w:val="22"/>
                <w:lang w:val="en-NZ"/>
              </w:rPr>
              <w:t>Manager, Income Support Policy</w:t>
            </w:r>
          </w:p>
          <w:p w14:paraId="44DD2373" w14:textId="060B2189" w:rsidR="003166C9" w:rsidRPr="00E3159F" w:rsidRDefault="00E3159F" w:rsidP="003166C9">
            <w:pPr>
              <w:spacing w:before="60" w:after="0" w:line="276" w:lineRule="auto"/>
              <w:ind w:left="284" w:hanging="284"/>
              <w:jc w:val="both"/>
              <w:rPr>
                <w:rFonts w:cs="Arial"/>
                <w:szCs w:val="22"/>
                <w:lang w:val="en-NZ"/>
              </w:rPr>
            </w:pPr>
            <w:r w:rsidRPr="00E3159F">
              <w:rPr>
                <w:rFonts w:cs="Arial"/>
                <w:szCs w:val="22"/>
                <w:lang w:val="en-NZ"/>
              </w:rPr>
              <w:t>Ministry of Social Development</w:t>
            </w:r>
          </w:p>
          <w:p w14:paraId="1598A8D5" w14:textId="769B1705" w:rsidR="00B95769" w:rsidRDefault="00B95769" w:rsidP="003166C9">
            <w:pPr>
              <w:spacing w:before="60" w:after="0" w:line="276" w:lineRule="auto"/>
              <w:ind w:left="284" w:hanging="284"/>
              <w:jc w:val="both"/>
              <w:rPr>
                <w:noProof/>
              </w:rPr>
            </w:pPr>
          </w:p>
          <w:p w14:paraId="41A9DF68" w14:textId="77777777" w:rsidR="005453D6" w:rsidRPr="005453D6" w:rsidRDefault="005453D6" w:rsidP="005453D6">
            <w:pPr>
              <w:shd w:val="clear" w:color="auto" w:fill="BFBFBF" w:themeFill="background1" w:themeFillShade="BF"/>
              <w:spacing w:after="0"/>
              <w:ind w:right="6542"/>
              <w:rPr>
                <w:rFonts w:cs="Arial"/>
                <w:noProof/>
                <w:sz w:val="20"/>
                <w:lang w:val="en-NZ"/>
              </w:rPr>
            </w:pPr>
            <w:r w:rsidRPr="005453D6">
              <w:rPr>
                <w:rFonts w:cs="Arial"/>
                <w:noProof/>
                <w:sz w:val="20"/>
                <w:lang w:val="en-NZ"/>
              </w:rPr>
              <w:t>s 9(2)(a)</w:t>
            </w:r>
          </w:p>
          <w:p w14:paraId="2CEC61EA" w14:textId="77777777" w:rsidR="005453D6" w:rsidRDefault="005453D6" w:rsidP="005453D6">
            <w:pPr>
              <w:shd w:val="clear" w:color="auto" w:fill="BFBFBF" w:themeFill="background1" w:themeFillShade="BF"/>
              <w:spacing w:after="0"/>
              <w:ind w:right="6542"/>
              <w:rPr>
                <w:rFonts w:cs="Arial"/>
                <w:noProof/>
                <w:szCs w:val="22"/>
                <w:lang w:val="en-NZ"/>
              </w:rPr>
            </w:pPr>
          </w:p>
          <w:p w14:paraId="03750C47" w14:textId="77777777" w:rsidR="005453D6" w:rsidRDefault="005453D6" w:rsidP="005453D6">
            <w:pPr>
              <w:shd w:val="clear" w:color="auto" w:fill="BFBFBF" w:themeFill="background1" w:themeFillShade="BF"/>
              <w:spacing w:after="0"/>
              <w:ind w:right="6542"/>
              <w:rPr>
                <w:rFonts w:cs="Arial"/>
                <w:noProof/>
                <w:szCs w:val="22"/>
                <w:lang w:val="en-NZ"/>
              </w:rPr>
            </w:pPr>
          </w:p>
          <w:p w14:paraId="40D8365A" w14:textId="77777777" w:rsidR="005453D6" w:rsidRPr="00E3159F" w:rsidRDefault="005453D6" w:rsidP="003166C9">
            <w:pPr>
              <w:spacing w:before="60" w:after="0" w:line="276" w:lineRule="auto"/>
              <w:ind w:left="284" w:hanging="284"/>
              <w:jc w:val="both"/>
              <w:rPr>
                <w:rFonts w:cs="Arial"/>
                <w:szCs w:val="22"/>
                <w:lang w:val="en-NZ"/>
              </w:rPr>
            </w:pPr>
          </w:p>
          <w:p w14:paraId="2D70B69E" w14:textId="37763CAD" w:rsidR="003166C9" w:rsidRPr="00E3159F" w:rsidRDefault="00E3159F" w:rsidP="00560FED">
            <w:pPr>
              <w:spacing w:after="0"/>
              <w:rPr>
                <w:rFonts w:cs="Arial"/>
                <w:szCs w:val="22"/>
                <w:lang w:val="en-NZ"/>
              </w:rPr>
            </w:pPr>
            <w:r w:rsidRPr="00E3159F">
              <w:rPr>
                <w:rFonts w:cs="Arial"/>
                <w:szCs w:val="22"/>
                <w:lang w:val="en-NZ"/>
              </w:rPr>
              <w:t>28/10/2021</w:t>
            </w:r>
          </w:p>
          <w:p w14:paraId="65FBD4C4" w14:textId="6AD0A028" w:rsidR="007A20DD" w:rsidRPr="00A864A5" w:rsidRDefault="007A20DD" w:rsidP="00560FED">
            <w:pPr>
              <w:spacing w:after="0"/>
              <w:rPr>
                <w:rFonts w:cs="Arial"/>
                <w:iCs/>
                <w:color w:val="000000"/>
                <w:sz w:val="14"/>
                <w:szCs w:val="14"/>
                <w:lang w:val="en-NZ"/>
              </w:rPr>
            </w:pPr>
          </w:p>
        </w:tc>
      </w:tr>
      <w:tr w:rsidR="006756BE" w:rsidRPr="00A864A5" w14:paraId="5FCD62D5" w14:textId="77777777" w:rsidTr="1D1D5D45">
        <w:tc>
          <w:tcPr>
            <w:tcW w:w="5000" w:type="pct"/>
            <w:gridSpan w:val="2"/>
            <w:tcBorders>
              <w:bottom w:val="single" w:sz="4" w:space="0" w:color="DDDDDD"/>
            </w:tcBorders>
            <w:shd w:val="clear" w:color="auto" w:fill="99CDDD"/>
            <w:hideMark/>
          </w:tcPr>
          <w:p w14:paraId="55C0C834" w14:textId="0135773D" w:rsidR="00EB2157" w:rsidRPr="00A864A5" w:rsidRDefault="00EB2157" w:rsidP="0076799E">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ssurance</w:t>
            </w:r>
          </w:p>
        </w:tc>
      </w:tr>
      <w:tr w:rsidR="006D4D2D" w:rsidRPr="00A864A5" w14:paraId="6F7BACA2" w14:textId="77777777" w:rsidTr="1D1D5D45">
        <w:trPr>
          <w:trHeight w:val="141"/>
        </w:trPr>
        <w:tc>
          <w:tcPr>
            <w:tcW w:w="1923" w:type="pct"/>
            <w:tcBorders>
              <w:top w:val="nil"/>
            </w:tcBorders>
            <w:shd w:val="clear" w:color="auto" w:fill="EBF5F8"/>
          </w:tcPr>
          <w:p w14:paraId="22AF1207" w14:textId="7EA6C592" w:rsidR="00EB2157" w:rsidRPr="00A864A5" w:rsidRDefault="00EB2157" w:rsidP="0076799E">
            <w:pPr>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077" w:type="pct"/>
            <w:tcBorders>
              <w:top w:val="nil"/>
            </w:tcBorders>
            <w:shd w:val="clear" w:color="auto" w:fill="auto"/>
          </w:tcPr>
          <w:p w14:paraId="402BE84D" w14:textId="16AE9B0C" w:rsidR="00EB2157" w:rsidRPr="00A864A5" w:rsidRDefault="0097293D" w:rsidP="0076799E">
            <w:pPr>
              <w:rPr>
                <w:rFonts w:cs="Arial"/>
                <w:iCs/>
                <w:color w:val="000000"/>
                <w:szCs w:val="22"/>
                <w:lang w:val="en-NZ"/>
              </w:rPr>
            </w:pPr>
            <w:r>
              <w:rPr>
                <w:rFonts w:cs="Arial"/>
                <w:szCs w:val="22"/>
                <w:lang w:val="en-NZ"/>
              </w:rPr>
              <w:t>Inland Revenue</w:t>
            </w:r>
          </w:p>
        </w:tc>
      </w:tr>
      <w:tr w:rsidR="006D4D2D" w:rsidRPr="00A864A5" w14:paraId="228C68D7" w14:textId="77777777" w:rsidTr="1D1D5D45">
        <w:trPr>
          <w:trHeight w:val="1639"/>
        </w:trPr>
        <w:tc>
          <w:tcPr>
            <w:tcW w:w="1923" w:type="pct"/>
            <w:tcBorders>
              <w:top w:val="nil"/>
            </w:tcBorders>
            <w:shd w:val="clear" w:color="auto" w:fill="EBF5F8"/>
          </w:tcPr>
          <w:p w14:paraId="4DF0990E" w14:textId="00252464" w:rsidR="00EB2157" w:rsidRPr="00A864A5" w:rsidRDefault="00F321A6" w:rsidP="0076799E">
            <w:pPr>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077" w:type="pct"/>
            <w:tcBorders>
              <w:top w:val="nil"/>
            </w:tcBorders>
            <w:shd w:val="clear" w:color="auto" w:fill="auto"/>
          </w:tcPr>
          <w:p w14:paraId="4174A20D" w14:textId="747FB5AC" w:rsidR="00F519AF" w:rsidRPr="00791162" w:rsidRDefault="00F519AF" w:rsidP="00F519AF">
            <w:pPr>
              <w:spacing w:line="276" w:lineRule="auto"/>
              <w:rPr>
                <w:rFonts w:cs="Arial"/>
                <w:szCs w:val="22"/>
                <w:lang w:val="en-NZ" w:eastAsia="en-US"/>
              </w:rPr>
            </w:pPr>
            <w:r w:rsidRPr="00791162">
              <w:rPr>
                <w:rFonts w:cs="Arial"/>
                <w:szCs w:val="22"/>
              </w:rPr>
              <w:t>The Quality Assurance reviewers at Inland Revenue have reviewed Regulatory Impact Statement</w:t>
            </w:r>
            <w:r w:rsidR="00D210F7">
              <w:rPr>
                <w:rFonts w:cs="Arial"/>
                <w:szCs w:val="22"/>
              </w:rPr>
              <w:t>: April 2022 Working for Families changes</w:t>
            </w:r>
            <w:r w:rsidRPr="00791162">
              <w:rPr>
                <w:rFonts w:cs="Arial"/>
                <w:szCs w:val="22"/>
              </w:rPr>
              <w:t xml:space="preserve"> and consider that the information and analysis summarised in it </w:t>
            </w:r>
            <w:r w:rsidRPr="00791162">
              <w:rPr>
                <w:rFonts w:cs="Arial"/>
                <w:b/>
                <w:bCs/>
                <w:szCs w:val="22"/>
              </w:rPr>
              <w:t>partially</w:t>
            </w:r>
            <w:r w:rsidRPr="00791162">
              <w:rPr>
                <w:rFonts w:cs="Arial"/>
                <w:szCs w:val="22"/>
              </w:rPr>
              <w:t xml:space="preserve"> meets the quality assurance criteria of the Regulatory Impact </w:t>
            </w:r>
            <w:r w:rsidR="005A2BE8">
              <w:rPr>
                <w:rFonts w:cs="Arial"/>
                <w:szCs w:val="22"/>
              </w:rPr>
              <w:t>Statement</w:t>
            </w:r>
            <w:r w:rsidRPr="00791162">
              <w:rPr>
                <w:rFonts w:cs="Arial"/>
                <w:szCs w:val="22"/>
              </w:rPr>
              <w:t xml:space="preserve"> framework</w:t>
            </w:r>
          </w:p>
          <w:p w14:paraId="28FD900F" w14:textId="5BC6BC8E" w:rsidR="00EB2157" w:rsidRPr="00791162" w:rsidRDefault="00F519AF" w:rsidP="00791162">
            <w:pPr>
              <w:spacing w:line="276" w:lineRule="auto"/>
              <w:rPr>
                <w:rFonts w:ascii="Verdana" w:hAnsi="Verdana"/>
                <w:sz w:val="20"/>
              </w:rPr>
            </w:pPr>
            <w:r w:rsidRPr="00791162">
              <w:rPr>
                <w:rFonts w:cs="Arial"/>
                <w:szCs w:val="22"/>
              </w:rPr>
              <w:t>This RI</w:t>
            </w:r>
            <w:r w:rsidR="005A2BE8">
              <w:rPr>
                <w:rFonts w:cs="Arial"/>
                <w:szCs w:val="22"/>
              </w:rPr>
              <w:t>S</w:t>
            </w:r>
            <w:r w:rsidRPr="00791162">
              <w:rPr>
                <w:rFonts w:cs="Arial"/>
                <w:szCs w:val="22"/>
              </w:rPr>
              <w:t xml:space="preserve"> has been prepared in a constrained timeframe. There was no public consultation on these proposals. However</w:t>
            </w:r>
            <w:r>
              <w:rPr>
                <w:rFonts w:cs="Arial"/>
                <w:szCs w:val="22"/>
              </w:rPr>
              <w:t>,</w:t>
            </w:r>
            <w:r w:rsidRPr="00791162">
              <w:rPr>
                <w:rFonts w:cs="Arial"/>
                <w:szCs w:val="22"/>
              </w:rPr>
              <w:t xml:space="preserve"> we note that the direction of the proposals w</w:t>
            </w:r>
            <w:r>
              <w:rPr>
                <w:rFonts w:cs="Arial"/>
                <w:szCs w:val="22"/>
              </w:rPr>
              <w:t>as</w:t>
            </w:r>
            <w:r w:rsidRPr="00791162">
              <w:rPr>
                <w:rFonts w:cs="Arial"/>
                <w:szCs w:val="22"/>
              </w:rPr>
              <w:t xml:space="preserve"> signalled in the WEAG report and are consistent with the Government’s targets for child poverty. The changes will not have any significant adverse impacts on stakeholders given the changes are to systems which are already in place.</w:t>
            </w:r>
            <w:r w:rsidRPr="00791162">
              <w:rPr>
                <w:rFonts w:ascii="Verdana" w:hAnsi="Verdana"/>
                <w:szCs w:val="22"/>
              </w:rPr>
              <w:t xml:space="preserve"> </w:t>
            </w:r>
          </w:p>
        </w:tc>
      </w:tr>
    </w:tbl>
    <w:p w14:paraId="0B232A32" w14:textId="77777777" w:rsidR="006B3C77" w:rsidRDefault="006B3C77" w:rsidP="00CD4B62">
      <w:pPr>
        <w:pStyle w:val="Heading2"/>
        <w:rPr>
          <w:lang w:val="en-NZ"/>
        </w:rPr>
        <w:sectPr w:rsidR="006B3C77" w:rsidSect="00150D58">
          <w:pgSz w:w="11906" w:h="16838" w:code="9"/>
          <w:pgMar w:top="1134" w:right="1418" w:bottom="992" w:left="1418" w:header="454" w:footer="454" w:gutter="0"/>
          <w:cols w:space="708"/>
          <w:docGrid w:linePitch="360"/>
        </w:sectPr>
      </w:pPr>
      <w:bookmarkStart w:id="4" w:name="_Toc363047038"/>
      <w:bookmarkStart w:id="5" w:name="_Toc362940530"/>
      <w:bookmarkStart w:id="6" w:name="_Toc362618966"/>
      <w:bookmarkStart w:id="7" w:name="_Toc362434720"/>
      <w:bookmarkStart w:id="8" w:name="_Toc362368098"/>
      <w:bookmarkEnd w:id="3"/>
    </w:p>
    <w:p w14:paraId="3E327532" w14:textId="7E973D9A" w:rsidR="00C53DAC" w:rsidRDefault="00F16C50" w:rsidP="00CD4B62">
      <w:pPr>
        <w:pStyle w:val="Heading2"/>
        <w:rPr>
          <w:lang w:val="en-NZ"/>
        </w:rPr>
      </w:pPr>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160EF781" w14:textId="2BB8A547" w:rsidR="00D54950" w:rsidRDefault="007E4F5A" w:rsidP="008B76DC">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76E2BADC" w14:textId="61D36945" w:rsidR="0002645A" w:rsidRPr="008B76DC" w:rsidRDefault="003E201E" w:rsidP="00231EBF">
      <w:pPr>
        <w:pStyle w:val="text"/>
        <w:shd w:val="clear" w:color="auto" w:fill="FFFFFF"/>
        <w:spacing w:before="83" w:beforeAutospacing="0" w:after="0" w:afterAutospacing="0" w:line="288" w:lineRule="atLeast"/>
        <w:textAlignment w:val="baseline"/>
        <w:rPr>
          <w:rFonts w:ascii="Arial" w:hAnsi="Arial" w:cs="Arial"/>
          <w:b/>
          <w:bCs/>
          <w:sz w:val="22"/>
          <w:szCs w:val="22"/>
        </w:rPr>
      </w:pPr>
      <w:r w:rsidRPr="008B76DC">
        <w:rPr>
          <w:rFonts w:ascii="Arial" w:hAnsi="Arial" w:cs="Arial"/>
          <w:b/>
          <w:bCs/>
          <w:sz w:val="22"/>
          <w:szCs w:val="22"/>
        </w:rPr>
        <w:t>Government commitment to improving child poverty</w:t>
      </w:r>
    </w:p>
    <w:p w14:paraId="2DD56443" w14:textId="09F93B35" w:rsidR="00231EBF" w:rsidRPr="00231EBF" w:rsidRDefault="00167BE1" w:rsidP="00231EBF">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8B76DC">
        <w:rPr>
          <w:rFonts w:ascii="Arial" w:hAnsi="Arial" w:cs="Arial"/>
          <w:sz w:val="22"/>
          <w:szCs w:val="22"/>
        </w:rPr>
        <w:t>In 2018</w:t>
      </w:r>
      <w:r w:rsidR="00A05D58">
        <w:rPr>
          <w:rFonts w:ascii="Arial" w:hAnsi="Arial" w:cs="Arial"/>
          <w:sz w:val="22"/>
          <w:szCs w:val="22"/>
        </w:rPr>
        <w:t>,</w:t>
      </w:r>
      <w:r w:rsidRPr="008B76DC">
        <w:rPr>
          <w:rFonts w:ascii="Arial" w:hAnsi="Arial" w:cs="Arial"/>
          <w:sz w:val="22"/>
          <w:szCs w:val="22"/>
        </w:rPr>
        <w:t xml:space="preserve"> the Government </w:t>
      </w:r>
      <w:r w:rsidR="00231EBF" w:rsidRPr="008B76DC">
        <w:rPr>
          <w:rFonts w:ascii="Arial" w:hAnsi="Arial" w:cs="Arial"/>
          <w:sz w:val="22"/>
          <w:szCs w:val="22"/>
        </w:rPr>
        <w:t xml:space="preserve">passed </w:t>
      </w:r>
      <w:r w:rsidRPr="008B76DC">
        <w:rPr>
          <w:rFonts w:ascii="Arial" w:hAnsi="Arial" w:cs="Arial"/>
          <w:sz w:val="22"/>
          <w:szCs w:val="22"/>
        </w:rPr>
        <w:t>the Child Poverty Reduction Act</w:t>
      </w:r>
      <w:r w:rsidR="00231EBF" w:rsidRPr="008B76DC">
        <w:rPr>
          <w:rFonts w:ascii="Arial" w:hAnsi="Arial" w:cs="Arial"/>
          <w:sz w:val="22"/>
          <w:szCs w:val="22"/>
        </w:rPr>
        <w:t xml:space="preserve"> whose purpose </w:t>
      </w:r>
      <w:r w:rsidR="008A4A76">
        <w:rPr>
          <w:rFonts w:ascii="Arial" w:hAnsi="Arial" w:cs="Arial"/>
          <w:sz w:val="22"/>
          <w:szCs w:val="22"/>
        </w:rPr>
        <w:t>i</w:t>
      </w:r>
      <w:r w:rsidR="00231EBF" w:rsidRPr="008B76DC">
        <w:rPr>
          <w:rFonts w:ascii="Arial" w:hAnsi="Arial" w:cs="Arial"/>
          <w:sz w:val="22"/>
          <w:szCs w:val="22"/>
        </w:rPr>
        <w:t xml:space="preserve">s to </w:t>
      </w:r>
      <w:r w:rsidR="00231EBF" w:rsidRPr="008B76DC">
        <w:rPr>
          <w:rFonts w:ascii="Arial" w:hAnsi="Arial" w:cs="Arial"/>
          <w:color w:val="000000"/>
          <w:sz w:val="22"/>
          <w:szCs w:val="22"/>
        </w:rPr>
        <w:t>help achieve a significant and sustained reduction in child poverty in New Zealand by provisions that</w:t>
      </w:r>
      <w:r w:rsidR="008A4A76">
        <w:rPr>
          <w:rFonts w:ascii="Arial" w:hAnsi="Arial" w:cs="Arial"/>
          <w:color w:val="000000"/>
          <w:sz w:val="22"/>
          <w:szCs w:val="22"/>
        </w:rPr>
        <w:t>:</w:t>
      </w:r>
    </w:p>
    <w:p w14:paraId="117A2F44" w14:textId="6A9BF346" w:rsidR="00231EBF" w:rsidRPr="00231EBF" w:rsidRDefault="00231EBF" w:rsidP="005460D3">
      <w:pPr>
        <w:pStyle w:val="text"/>
        <w:numPr>
          <w:ilvl w:val="0"/>
          <w:numId w:val="21"/>
        </w:numPr>
        <w:shd w:val="clear" w:color="auto" w:fill="FFFFFF"/>
        <w:spacing w:before="83" w:beforeAutospacing="0" w:after="0" w:afterAutospacing="0" w:line="288" w:lineRule="atLeast"/>
        <w:textAlignment w:val="baseline"/>
        <w:rPr>
          <w:rFonts w:ascii="Arial" w:hAnsi="Arial" w:cs="Arial"/>
          <w:color w:val="000000"/>
          <w:sz w:val="22"/>
          <w:szCs w:val="22"/>
        </w:rPr>
      </w:pPr>
      <w:r w:rsidRPr="008B76DC">
        <w:rPr>
          <w:rFonts w:ascii="Arial" w:hAnsi="Arial" w:cs="Arial"/>
          <w:color w:val="000000"/>
          <w:sz w:val="22"/>
          <w:szCs w:val="22"/>
        </w:rPr>
        <w:t>encourage a focus by government and society on child poverty reduction</w:t>
      </w:r>
    </w:p>
    <w:p w14:paraId="196946AD" w14:textId="34CEA76F" w:rsidR="00231EBF" w:rsidRPr="008B76DC" w:rsidRDefault="00231EBF" w:rsidP="005460D3">
      <w:pPr>
        <w:pStyle w:val="text"/>
        <w:numPr>
          <w:ilvl w:val="0"/>
          <w:numId w:val="21"/>
        </w:numPr>
        <w:shd w:val="clear" w:color="auto" w:fill="FFFFFF"/>
        <w:spacing w:before="83" w:beforeAutospacing="0" w:after="0" w:afterAutospacing="0" w:line="288" w:lineRule="atLeast"/>
        <w:textAlignment w:val="baseline"/>
        <w:rPr>
          <w:rFonts w:ascii="Arial" w:hAnsi="Arial" w:cs="Arial"/>
          <w:color w:val="000000"/>
          <w:sz w:val="22"/>
          <w:szCs w:val="22"/>
        </w:rPr>
      </w:pPr>
      <w:r w:rsidRPr="008B76DC">
        <w:rPr>
          <w:rFonts w:ascii="Arial" w:hAnsi="Arial" w:cs="Arial"/>
          <w:sz w:val="22"/>
          <w:szCs w:val="22"/>
        </w:rPr>
        <w:t>facilitate political accountability against published targets</w:t>
      </w:r>
    </w:p>
    <w:p w14:paraId="10147C69" w14:textId="331F55CC" w:rsidR="00167BE1" w:rsidRPr="008B76DC" w:rsidRDefault="00231EBF" w:rsidP="005460D3">
      <w:pPr>
        <w:pStyle w:val="text"/>
        <w:numPr>
          <w:ilvl w:val="0"/>
          <w:numId w:val="21"/>
        </w:numPr>
        <w:shd w:val="clear" w:color="auto" w:fill="FFFFFF"/>
        <w:spacing w:before="83" w:beforeAutospacing="0" w:after="0" w:afterAutospacing="0" w:line="288" w:lineRule="atLeast"/>
        <w:textAlignment w:val="baseline"/>
        <w:rPr>
          <w:rFonts w:ascii="Arial" w:hAnsi="Arial" w:cs="Arial"/>
          <w:color w:val="000000"/>
          <w:sz w:val="22"/>
          <w:szCs w:val="22"/>
        </w:rPr>
      </w:pPr>
      <w:r w:rsidRPr="008B76DC">
        <w:rPr>
          <w:rFonts w:ascii="Arial" w:hAnsi="Arial" w:cs="Arial"/>
          <w:sz w:val="22"/>
          <w:szCs w:val="22"/>
        </w:rPr>
        <w:t>require transparent reporting on levels of child poverty.</w:t>
      </w:r>
    </w:p>
    <w:p w14:paraId="6D5F7C1F" w14:textId="0B97D15C" w:rsidR="00633E4A" w:rsidRDefault="00E23CEE" w:rsidP="00757A50">
      <w:pPr>
        <w:rPr>
          <w:lang w:val="en-NZ"/>
        </w:rPr>
      </w:pPr>
      <w:r>
        <w:rPr>
          <w:lang w:val="en-NZ"/>
        </w:rPr>
        <w:br/>
        <w:t xml:space="preserve">This </w:t>
      </w:r>
      <w:r w:rsidR="00A05D58">
        <w:rPr>
          <w:lang w:val="en-NZ"/>
        </w:rPr>
        <w:t>A</w:t>
      </w:r>
      <w:r>
        <w:rPr>
          <w:lang w:val="en-NZ"/>
        </w:rPr>
        <w:t>ct</w:t>
      </w:r>
      <w:r w:rsidR="00757A50">
        <w:rPr>
          <w:lang w:val="en-NZ"/>
        </w:rPr>
        <w:t xml:space="preserve"> bound the </w:t>
      </w:r>
      <w:r w:rsidR="00A05D58">
        <w:rPr>
          <w:lang w:val="en-NZ"/>
        </w:rPr>
        <w:t>G</w:t>
      </w:r>
      <w:r w:rsidR="00757A50">
        <w:rPr>
          <w:lang w:val="en-NZ"/>
        </w:rPr>
        <w:t>overnment to set</w:t>
      </w:r>
      <w:r w:rsidR="00633E4A">
        <w:rPr>
          <w:lang w:val="en-NZ"/>
        </w:rPr>
        <w:t>:</w:t>
      </w:r>
    </w:p>
    <w:p w14:paraId="279421FB" w14:textId="2B5D501D" w:rsidR="00633E4A" w:rsidRDefault="00757A50" w:rsidP="005460D3">
      <w:pPr>
        <w:pStyle w:val="ListParagraph"/>
        <w:numPr>
          <w:ilvl w:val="0"/>
          <w:numId w:val="22"/>
        </w:numPr>
        <w:rPr>
          <w:lang w:val="en-NZ"/>
        </w:rPr>
      </w:pPr>
      <w:r w:rsidRPr="00633E4A">
        <w:rPr>
          <w:lang w:val="en-NZ"/>
        </w:rPr>
        <w:t>long-term targets for reducing, over a long-term period (10 financial years), child poverty</w:t>
      </w:r>
    </w:p>
    <w:p w14:paraId="7455F818" w14:textId="5A478060" w:rsidR="00E23CEE" w:rsidRDefault="00757A50" w:rsidP="005460D3">
      <w:pPr>
        <w:pStyle w:val="ListParagraph"/>
        <w:numPr>
          <w:ilvl w:val="0"/>
          <w:numId w:val="22"/>
        </w:numPr>
        <w:rPr>
          <w:lang w:val="en-NZ"/>
        </w:rPr>
      </w:pPr>
      <w:r w:rsidRPr="00633E4A">
        <w:rPr>
          <w:lang w:val="en-NZ"/>
        </w:rPr>
        <w:t>intermediate targets that support, over an intermediate period (</w:t>
      </w:r>
      <w:r w:rsidR="00A05D58">
        <w:rPr>
          <w:lang w:val="en-NZ"/>
        </w:rPr>
        <w:t>three</w:t>
      </w:r>
      <w:r w:rsidRPr="00633E4A">
        <w:rPr>
          <w:lang w:val="en-NZ"/>
        </w:rPr>
        <w:t xml:space="preserve"> financial years), current long-term targets</w:t>
      </w:r>
      <w:r w:rsidR="000F7B9B">
        <w:rPr>
          <w:lang w:val="en-NZ"/>
        </w:rPr>
        <w:t>.</w:t>
      </w:r>
    </w:p>
    <w:p w14:paraId="0938FF48" w14:textId="24CBE312" w:rsidR="00E36FDE" w:rsidRDefault="00E36FDE" w:rsidP="00E36FDE">
      <w:pPr>
        <w:rPr>
          <w:szCs w:val="22"/>
        </w:rPr>
      </w:pPr>
      <w:r>
        <w:rPr>
          <w:lang w:val="en-NZ"/>
        </w:rPr>
        <w:t>In line with these requirements</w:t>
      </w:r>
      <w:r w:rsidR="000D34A7">
        <w:rPr>
          <w:lang w:val="en-NZ"/>
        </w:rPr>
        <w:t>,</w:t>
      </w:r>
      <w:r>
        <w:rPr>
          <w:lang w:val="en-NZ"/>
        </w:rPr>
        <w:t xml:space="preserve"> </w:t>
      </w:r>
      <w:r w:rsidR="00D1206F">
        <w:rPr>
          <w:lang w:val="en-NZ"/>
        </w:rPr>
        <w:t xml:space="preserve">the </w:t>
      </w:r>
      <w:r>
        <w:rPr>
          <w:lang w:val="en-NZ"/>
        </w:rPr>
        <w:t xml:space="preserve">Government has </w:t>
      </w:r>
      <w:r w:rsidR="00EC7C52">
        <w:rPr>
          <w:lang w:val="en-NZ"/>
        </w:rPr>
        <w:t xml:space="preserve">so far </w:t>
      </w:r>
      <w:r>
        <w:rPr>
          <w:lang w:val="en-NZ"/>
        </w:rPr>
        <w:t xml:space="preserve">set </w:t>
      </w:r>
      <w:r w:rsidR="00D40D78">
        <w:rPr>
          <w:lang w:val="en-NZ"/>
        </w:rPr>
        <w:t>one</w:t>
      </w:r>
      <w:r w:rsidR="006F77A8">
        <w:rPr>
          <w:lang w:val="en-NZ"/>
        </w:rPr>
        <w:t xml:space="preserve"> set of</w:t>
      </w:r>
      <w:r w:rsidR="00D40D78">
        <w:rPr>
          <w:lang w:val="en-NZ"/>
        </w:rPr>
        <w:t xml:space="preserve"> long-term</w:t>
      </w:r>
      <w:r w:rsidR="00237F7E">
        <w:rPr>
          <w:lang w:val="en-NZ"/>
        </w:rPr>
        <w:t>,</w:t>
      </w:r>
      <w:r w:rsidR="00D40D78">
        <w:rPr>
          <w:lang w:val="en-NZ"/>
        </w:rPr>
        <w:t xml:space="preserve"> </w:t>
      </w:r>
      <w:r>
        <w:rPr>
          <w:szCs w:val="22"/>
        </w:rPr>
        <w:t>10</w:t>
      </w:r>
      <w:r w:rsidR="00D40D78">
        <w:rPr>
          <w:szCs w:val="22"/>
        </w:rPr>
        <w:t>-</w:t>
      </w:r>
      <w:r>
        <w:rPr>
          <w:szCs w:val="22"/>
        </w:rPr>
        <w:t>year</w:t>
      </w:r>
      <w:r w:rsidRPr="004601FF">
        <w:rPr>
          <w:szCs w:val="22"/>
        </w:rPr>
        <w:t xml:space="preserve"> target</w:t>
      </w:r>
      <w:r w:rsidR="006F77A8">
        <w:rPr>
          <w:szCs w:val="22"/>
        </w:rPr>
        <w:t>s</w:t>
      </w:r>
      <w:r w:rsidR="00D40D78">
        <w:rPr>
          <w:szCs w:val="22"/>
        </w:rPr>
        <w:t xml:space="preserve"> </w:t>
      </w:r>
      <w:r w:rsidR="00E67A26">
        <w:rPr>
          <w:szCs w:val="22"/>
        </w:rPr>
        <w:t>and</w:t>
      </w:r>
      <w:r w:rsidR="00D40D78">
        <w:rPr>
          <w:szCs w:val="22"/>
        </w:rPr>
        <w:t xml:space="preserve"> two</w:t>
      </w:r>
      <w:r w:rsidR="006F77A8">
        <w:rPr>
          <w:szCs w:val="22"/>
        </w:rPr>
        <w:t xml:space="preserve"> sets of</w:t>
      </w:r>
      <w:r w:rsidR="00D40D78">
        <w:rPr>
          <w:szCs w:val="22"/>
        </w:rPr>
        <w:t xml:space="preserve"> intermediate</w:t>
      </w:r>
      <w:r w:rsidR="00237F7E">
        <w:rPr>
          <w:szCs w:val="22"/>
        </w:rPr>
        <w:t>,</w:t>
      </w:r>
      <w:r w:rsidR="00D40D78">
        <w:rPr>
          <w:szCs w:val="22"/>
        </w:rPr>
        <w:t xml:space="preserve"> three-year targets</w:t>
      </w:r>
      <w:r>
        <w:rPr>
          <w:szCs w:val="22"/>
        </w:rPr>
        <w:t xml:space="preserve"> to lower the rate of child poverty</w:t>
      </w:r>
      <w:r w:rsidR="00C57072">
        <w:rPr>
          <w:szCs w:val="22"/>
        </w:rPr>
        <w:t>.</w:t>
      </w:r>
      <w:r>
        <w:rPr>
          <w:szCs w:val="22"/>
        </w:rPr>
        <w:t xml:space="preserve"> </w:t>
      </w:r>
      <w:r w:rsidR="00E67A26">
        <w:rPr>
          <w:szCs w:val="22"/>
        </w:rPr>
        <w:t>The</w:t>
      </w:r>
      <w:r w:rsidR="00042EAA">
        <w:rPr>
          <w:szCs w:val="22"/>
        </w:rPr>
        <w:t>se</w:t>
      </w:r>
      <w:r w:rsidR="00C57072">
        <w:rPr>
          <w:szCs w:val="22"/>
        </w:rPr>
        <w:t xml:space="preserve"> targets, measured against the AHC50</w:t>
      </w:r>
      <w:r w:rsidR="000449D8">
        <w:rPr>
          <w:rStyle w:val="FootnoteReference"/>
          <w:szCs w:val="22"/>
        </w:rPr>
        <w:footnoteReference w:id="12"/>
      </w:r>
      <w:r w:rsidR="005E2F33">
        <w:rPr>
          <w:szCs w:val="22"/>
        </w:rPr>
        <w:t xml:space="preserve"> and BHC50</w:t>
      </w:r>
      <w:r w:rsidR="005E2F33">
        <w:rPr>
          <w:rStyle w:val="FootnoteReference"/>
          <w:szCs w:val="22"/>
        </w:rPr>
        <w:footnoteReference w:id="13"/>
      </w:r>
      <w:r w:rsidR="00C57072">
        <w:rPr>
          <w:szCs w:val="22"/>
        </w:rPr>
        <w:t xml:space="preserve"> poverty threshold</w:t>
      </w:r>
      <w:r w:rsidR="005E2F33">
        <w:rPr>
          <w:szCs w:val="22"/>
        </w:rPr>
        <w:t>s</w:t>
      </w:r>
      <w:r w:rsidR="00C57072">
        <w:rPr>
          <w:szCs w:val="22"/>
        </w:rPr>
        <w:t>,</w:t>
      </w:r>
      <w:r w:rsidR="00E67A26">
        <w:rPr>
          <w:szCs w:val="22"/>
        </w:rPr>
        <w:t xml:space="preserve"> are outlined in the following table.</w:t>
      </w:r>
      <w:r w:rsidR="00C57072" w:rsidRPr="00C57072">
        <w:rPr>
          <w:position w:val="8"/>
          <w:sz w:val="16"/>
          <w:szCs w:val="22"/>
        </w:rPr>
        <w:t xml:space="preserve"> </w:t>
      </w:r>
      <w:r w:rsidR="00C57072" w:rsidRPr="00C57072">
        <w:rPr>
          <w:position w:val="8"/>
          <w:sz w:val="16"/>
          <w:szCs w:val="22"/>
        </w:rPr>
        <w:footnoteReference w:id="14"/>
      </w:r>
    </w:p>
    <w:tbl>
      <w:tblPr>
        <w:tblStyle w:val="TableGrid"/>
        <w:tblW w:w="10060" w:type="dxa"/>
        <w:tblLook w:val="04A0" w:firstRow="1" w:lastRow="0" w:firstColumn="1" w:lastColumn="0" w:noHBand="0" w:noVBand="1"/>
      </w:tblPr>
      <w:tblGrid>
        <w:gridCol w:w="1072"/>
        <w:gridCol w:w="1475"/>
        <w:gridCol w:w="1368"/>
        <w:gridCol w:w="1467"/>
        <w:gridCol w:w="1559"/>
        <w:gridCol w:w="1559"/>
        <w:gridCol w:w="1560"/>
      </w:tblGrid>
      <w:tr w:rsidR="00A937C0" w14:paraId="1CD3D35D" w14:textId="77777777" w:rsidTr="00791162">
        <w:trPr>
          <w:trHeight w:val="1051"/>
        </w:trPr>
        <w:tc>
          <w:tcPr>
            <w:tcW w:w="1072" w:type="dxa"/>
            <w:vMerge w:val="restart"/>
            <w:vAlign w:val="center"/>
          </w:tcPr>
          <w:p w14:paraId="1F31198E" w14:textId="35D1EBFE" w:rsidR="0030636B" w:rsidRDefault="0030636B" w:rsidP="00091EBF">
            <w:pPr>
              <w:jc w:val="center"/>
              <w:rPr>
                <w:lang w:val="en-NZ"/>
              </w:rPr>
            </w:pPr>
            <w:r>
              <w:rPr>
                <w:lang w:val="en-NZ"/>
              </w:rPr>
              <w:t>Poverty measure</w:t>
            </w:r>
          </w:p>
        </w:tc>
        <w:tc>
          <w:tcPr>
            <w:tcW w:w="1475" w:type="dxa"/>
            <w:vMerge w:val="restart"/>
            <w:vAlign w:val="center"/>
          </w:tcPr>
          <w:p w14:paraId="589400D8" w14:textId="371441E7" w:rsidR="0030636B" w:rsidRDefault="0030636B" w:rsidP="00091EBF">
            <w:pPr>
              <w:jc w:val="center"/>
              <w:rPr>
                <w:lang w:val="en-NZ"/>
              </w:rPr>
            </w:pPr>
            <w:r>
              <w:rPr>
                <w:lang w:val="en-NZ"/>
              </w:rPr>
              <w:t>Unit</w:t>
            </w:r>
          </w:p>
        </w:tc>
        <w:tc>
          <w:tcPr>
            <w:tcW w:w="1368" w:type="dxa"/>
            <w:vAlign w:val="center"/>
          </w:tcPr>
          <w:p w14:paraId="40F1474B" w14:textId="73F9D695" w:rsidR="0030636B" w:rsidRDefault="0030636B" w:rsidP="00091EBF">
            <w:pPr>
              <w:jc w:val="center"/>
              <w:rPr>
                <w:lang w:val="en-NZ"/>
              </w:rPr>
            </w:pPr>
            <w:r>
              <w:rPr>
                <w:lang w:val="en-NZ"/>
              </w:rPr>
              <w:t>Baseline year (2018)</w:t>
            </w:r>
          </w:p>
        </w:tc>
        <w:tc>
          <w:tcPr>
            <w:tcW w:w="1467" w:type="dxa"/>
            <w:vAlign w:val="center"/>
          </w:tcPr>
          <w:p w14:paraId="0348E683" w14:textId="7BCCC4CE" w:rsidR="0030636B" w:rsidRDefault="0030636B" w:rsidP="00091EBF">
            <w:pPr>
              <w:jc w:val="center"/>
              <w:rPr>
                <w:lang w:val="en-NZ"/>
              </w:rPr>
            </w:pPr>
            <w:r>
              <w:rPr>
                <w:lang w:val="en-NZ"/>
              </w:rPr>
              <w:t>Current rate</w:t>
            </w:r>
          </w:p>
        </w:tc>
        <w:tc>
          <w:tcPr>
            <w:tcW w:w="1559" w:type="dxa"/>
            <w:vAlign w:val="center"/>
          </w:tcPr>
          <w:p w14:paraId="1EBFD009" w14:textId="2BE5E831" w:rsidR="0030636B" w:rsidRDefault="0030636B" w:rsidP="00091EBF">
            <w:pPr>
              <w:jc w:val="center"/>
              <w:rPr>
                <w:lang w:val="en-NZ"/>
              </w:rPr>
            </w:pPr>
            <w:r>
              <w:rPr>
                <w:lang w:val="en-NZ"/>
              </w:rPr>
              <w:t>First three-year target</w:t>
            </w:r>
          </w:p>
        </w:tc>
        <w:tc>
          <w:tcPr>
            <w:tcW w:w="1559" w:type="dxa"/>
            <w:vAlign w:val="center"/>
          </w:tcPr>
          <w:p w14:paraId="3F9CB5B3" w14:textId="725E6F6F" w:rsidR="0030636B" w:rsidRDefault="0030636B" w:rsidP="00091EBF">
            <w:pPr>
              <w:jc w:val="center"/>
              <w:rPr>
                <w:lang w:val="en-NZ"/>
              </w:rPr>
            </w:pPr>
            <w:r>
              <w:rPr>
                <w:lang w:val="en-NZ"/>
              </w:rPr>
              <w:t>Second three-year target</w:t>
            </w:r>
          </w:p>
        </w:tc>
        <w:tc>
          <w:tcPr>
            <w:tcW w:w="1560" w:type="dxa"/>
            <w:vAlign w:val="center"/>
          </w:tcPr>
          <w:p w14:paraId="79F368FE" w14:textId="524649DA" w:rsidR="0030636B" w:rsidRDefault="0030636B" w:rsidP="00091EBF">
            <w:pPr>
              <w:jc w:val="center"/>
              <w:rPr>
                <w:lang w:val="en-NZ"/>
              </w:rPr>
            </w:pPr>
            <w:r>
              <w:rPr>
                <w:lang w:val="en-NZ"/>
              </w:rPr>
              <w:t>Ten-year target</w:t>
            </w:r>
          </w:p>
        </w:tc>
      </w:tr>
      <w:tr w:rsidR="00A937C0" w14:paraId="4B9B273D" w14:textId="77777777" w:rsidTr="00791162">
        <w:trPr>
          <w:trHeight w:val="92"/>
        </w:trPr>
        <w:tc>
          <w:tcPr>
            <w:tcW w:w="1072" w:type="dxa"/>
            <w:vMerge/>
            <w:vAlign w:val="center"/>
          </w:tcPr>
          <w:p w14:paraId="283626B3" w14:textId="77777777" w:rsidR="0030636B" w:rsidRDefault="0030636B" w:rsidP="00091EBF">
            <w:pPr>
              <w:jc w:val="center"/>
              <w:rPr>
                <w:lang w:val="en-NZ"/>
              </w:rPr>
            </w:pPr>
          </w:p>
        </w:tc>
        <w:tc>
          <w:tcPr>
            <w:tcW w:w="1475" w:type="dxa"/>
            <w:vMerge/>
            <w:vAlign w:val="center"/>
          </w:tcPr>
          <w:p w14:paraId="7AF62302" w14:textId="5154405E" w:rsidR="0030636B" w:rsidRDefault="0030636B" w:rsidP="00091EBF">
            <w:pPr>
              <w:jc w:val="center"/>
              <w:rPr>
                <w:lang w:val="en-NZ"/>
              </w:rPr>
            </w:pPr>
          </w:p>
        </w:tc>
        <w:tc>
          <w:tcPr>
            <w:tcW w:w="1368" w:type="dxa"/>
            <w:vAlign w:val="center"/>
          </w:tcPr>
          <w:p w14:paraId="4FA9EC67" w14:textId="28E8BBE5" w:rsidR="0030636B" w:rsidRDefault="0030636B" w:rsidP="00091EBF">
            <w:pPr>
              <w:jc w:val="center"/>
              <w:rPr>
                <w:lang w:val="en-NZ"/>
              </w:rPr>
            </w:pPr>
            <w:r>
              <w:rPr>
                <w:lang w:val="en-NZ"/>
              </w:rPr>
              <w:t>2017/18</w:t>
            </w:r>
          </w:p>
        </w:tc>
        <w:tc>
          <w:tcPr>
            <w:tcW w:w="1467" w:type="dxa"/>
            <w:vAlign w:val="center"/>
          </w:tcPr>
          <w:p w14:paraId="44DEFBD1" w14:textId="1C5A3674" w:rsidR="0030636B" w:rsidRDefault="0030636B" w:rsidP="00091EBF">
            <w:pPr>
              <w:jc w:val="center"/>
              <w:rPr>
                <w:lang w:val="en-NZ"/>
              </w:rPr>
            </w:pPr>
            <w:r>
              <w:rPr>
                <w:lang w:val="en-NZ"/>
              </w:rPr>
              <w:t>2019/20</w:t>
            </w:r>
          </w:p>
        </w:tc>
        <w:tc>
          <w:tcPr>
            <w:tcW w:w="1559" w:type="dxa"/>
            <w:vAlign w:val="center"/>
          </w:tcPr>
          <w:p w14:paraId="396F56F2" w14:textId="6DF462AD" w:rsidR="0030636B" w:rsidRDefault="0030636B" w:rsidP="00091EBF">
            <w:pPr>
              <w:jc w:val="center"/>
              <w:rPr>
                <w:lang w:val="en-NZ"/>
              </w:rPr>
            </w:pPr>
            <w:r>
              <w:rPr>
                <w:lang w:val="en-NZ"/>
              </w:rPr>
              <w:t>2020/2021</w:t>
            </w:r>
          </w:p>
        </w:tc>
        <w:tc>
          <w:tcPr>
            <w:tcW w:w="1559" w:type="dxa"/>
            <w:vAlign w:val="center"/>
          </w:tcPr>
          <w:p w14:paraId="7F674978" w14:textId="37350D91" w:rsidR="0030636B" w:rsidRDefault="0030636B" w:rsidP="00091EBF">
            <w:pPr>
              <w:jc w:val="center"/>
              <w:rPr>
                <w:lang w:val="en-NZ"/>
              </w:rPr>
            </w:pPr>
            <w:r>
              <w:rPr>
                <w:lang w:val="en-NZ"/>
              </w:rPr>
              <w:t>2023/2024</w:t>
            </w:r>
          </w:p>
        </w:tc>
        <w:tc>
          <w:tcPr>
            <w:tcW w:w="1560" w:type="dxa"/>
            <w:vAlign w:val="center"/>
          </w:tcPr>
          <w:p w14:paraId="387A6C57" w14:textId="599AA462" w:rsidR="0030636B" w:rsidRDefault="0030636B" w:rsidP="00091EBF">
            <w:pPr>
              <w:jc w:val="center"/>
              <w:rPr>
                <w:lang w:val="en-NZ"/>
              </w:rPr>
            </w:pPr>
            <w:r>
              <w:rPr>
                <w:lang w:val="en-NZ"/>
              </w:rPr>
              <w:t>2027/28</w:t>
            </w:r>
          </w:p>
        </w:tc>
      </w:tr>
      <w:tr w:rsidR="00160DE2" w14:paraId="04E8614B" w14:textId="77777777" w:rsidTr="006B3C77">
        <w:trPr>
          <w:trHeight w:val="463"/>
        </w:trPr>
        <w:tc>
          <w:tcPr>
            <w:tcW w:w="1072" w:type="dxa"/>
            <w:vMerge w:val="restart"/>
            <w:shd w:val="clear" w:color="auto" w:fill="D9E2F3" w:themeFill="accent5" w:themeFillTint="33"/>
            <w:vAlign w:val="center"/>
          </w:tcPr>
          <w:p w14:paraId="4217F57E" w14:textId="4EC9365C" w:rsidR="00160DE2" w:rsidRDefault="00160DE2" w:rsidP="00091EBF">
            <w:pPr>
              <w:jc w:val="center"/>
              <w:rPr>
                <w:lang w:val="en-NZ"/>
              </w:rPr>
            </w:pPr>
            <w:r>
              <w:rPr>
                <w:lang w:val="en-NZ"/>
              </w:rPr>
              <w:t>AHC50</w:t>
            </w:r>
          </w:p>
        </w:tc>
        <w:tc>
          <w:tcPr>
            <w:tcW w:w="1475" w:type="dxa"/>
            <w:shd w:val="clear" w:color="auto" w:fill="D9E2F3" w:themeFill="accent5" w:themeFillTint="33"/>
            <w:vAlign w:val="center"/>
          </w:tcPr>
          <w:p w14:paraId="056053A1" w14:textId="1AB5C021" w:rsidR="00160DE2" w:rsidRDefault="00160DE2" w:rsidP="00091EBF">
            <w:pPr>
              <w:jc w:val="center"/>
              <w:rPr>
                <w:lang w:val="en-NZ"/>
              </w:rPr>
            </w:pPr>
            <w:r>
              <w:rPr>
                <w:lang w:val="en-NZ"/>
              </w:rPr>
              <w:t>Child poverty rate</w:t>
            </w:r>
          </w:p>
        </w:tc>
        <w:tc>
          <w:tcPr>
            <w:tcW w:w="1368" w:type="dxa"/>
            <w:tcBorders>
              <w:top w:val="nil"/>
              <w:left w:val="nil"/>
              <w:bottom w:val="single" w:sz="4" w:space="0" w:color="auto"/>
              <w:right w:val="single" w:sz="4" w:space="0" w:color="auto"/>
            </w:tcBorders>
            <w:shd w:val="clear" w:color="auto" w:fill="D9E2F3" w:themeFill="accent5" w:themeFillTint="33"/>
            <w:vAlign w:val="center"/>
          </w:tcPr>
          <w:p w14:paraId="5B750DD8" w14:textId="4099BB12" w:rsidR="00160DE2" w:rsidRDefault="00160DE2" w:rsidP="00091EBF">
            <w:pPr>
              <w:jc w:val="center"/>
              <w:rPr>
                <w:lang w:val="en-NZ"/>
              </w:rPr>
            </w:pPr>
            <w:r>
              <w:rPr>
                <w:color w:val="000000"/>
              </w:rPr>
              <w:t>22.8%</w:t>
            </w:r>
          </w:p>
        </w:tc>
        <w:tc>
          <w:tcPr>
            <w:tcW w:w="1467"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4A106D0" w14:textId="64AA73F5" w:rsidR="00160DE2" w:rsidRDefault="00160DE2" w:rsidP="00091EBF">
            <w:pPr>
              <w:jc w:val="center"/>
              <w:rPr>
                <w:lang w:val="en-NZ"/>
              </w:rPr>
            </w:pPr>
            <w:r>
              <w:rPr>
                <w:color w:val="000000"/>
              </w:rPr>
              <w:t>18.4%</w:t>
            </w:r>
          </w:p>
        </w:tc>
        <w:tc>
          <w:tcPr>
            <w:tcW w:w="1559"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08F3042" w14:textId="7A2F76B6" w:rsidR="00160DE2" w:rsidRDefault="00160DE2" w:rsidP="00091EBF">
            <w:pPr>
              <w:jc w:val="center"/>
              <w:rPr>
                <w:lang w:val="en-NZ"/>
              </w:rPr>
            </w:pPr>
            <w:r>
              <w:rPr>
                <w:color w:val="000000"/>
              </w:rPr>
              <w:t>18.8%</w:t>
            </w:r>
          </w:p>
        </w:tc>
        <w:tc>
          <w:tcPr>
            <w:tcW w:w="1559"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03B0D86" w14:textId="09EA15DD" w:rsidR="00160DE2" w:rsidRDefault="00160DE2" w:rsidP="00091EBF">
            <w:pPr>
              <w:jc w:val="center"/>
              <w:rPr>
                <w:lang w:val="en-NZ"/>
              </w:rPr>
            </w:pPr>
            <w:r>
              <w:rPr>
                <w:color w:val="000000"/>
              </w:rPr>
              <w:t>15%</w:t>
            </w:r>
          </w:p>
        </w:tc>
        <w:tc>
          <w:tcPr>
            <w:tcW w:w="1560"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4829456" w14:textId="74556891" w:rsidR="00160DE2" w:rsidRDefault="00160DE2" w:rsidP="00091EBF">
            <w:pPr>
              <w:jc w:val="center"/>
              <w:rPr>
                <w:lang w:val="en-NZ"/>
              </w:rPr>
            </w:pPr>
            <w:r>
              <w:rPr>
                <w:color w:val="000000"/>
              </w:rPr>
              <w:t>10%</w:t>
            </w:r>
          </w:p>
        </w:tc>
      </w:tr>
      <w:tr w:rsidR="00160DE2" w14:paraId="7B4EC746" w14:textId="77777777" w:rsidTr="006B3C77">
        <w:trPr>
          <w:trHeight w:val="463"/>
        </w:trPr>
        <w:tc>
          <w:tcPr>
            <w:tcW w:w="1072" w:type="dxa"/>
            <w:vMerge/>
            <w:shd w:val="clear" w:color="auto" w:fill="D9E2F3" w:themeFill="accent5" w:themeFillTint="33"/>
            <w:vAlign w:val="center"/>
          </w:tcPr>
          <w:p w14:paraId="648706AC" w14:textId="77777777" w:rsidR="00160DE2" w:rsidRDefault="00160DE2" w:rsidP="00091EBF">
            <w:pPr>
              <w:jc w:val="center"/>
              <w:rPr>
                <w:lang w:val="en-NZ"/>
              </w:rPr>
            </w:pPr>
          </w:p>
        </w:tc>
        <w:tc>
          <w:tcPr>
            <w:tcW w:w="1475" w:type="dxa"/>
            <w:shd w:val="clear" w:color="auto" w:fill="D9E2F3" w:themeFill="accent5" w:themeFillTint="33"/>
            <w:vAlign w:val="center"/>
          </w:tcPr>
          <w:p w14:paraId="2B17E21B" w14:textId="2C39A822" w:rsidR="00160DE2" w:rsidRDefault="00160DE2" w:rsidP="00091EBF">
            <w:pPr>
              <w:jc w:val="center"/>
              <w:rPr>
                <w:lang w:val="en-NZ"/>
              </w:rPr>
            </w:pPr>
            <w:r>
              <w:rPr>
                <w:lang w:val="en-NZ"/>
              </w:rPr>
              <w:t>Number of children in poverty</w:t>
            </w:r>
          </w:p>
        </w:tc>
        <w:tc>
          <w:tcPr>
            <w:tcW w:w="1368"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4E49F5AE" w14:textId="2C3397A9" w:rsidR="00160DE2" w:rsidRDefault="00160DE2" w:rsidP="00091EBF">
            <w:pPr>
              <w:jc w:val="center"/>
              <w:rPr>
                <w:color w:val="000000"/>
              </w:rPr>
            </w:pPr>
            <w:r>
              <w:rPr>
                <w:color w:val="000000"/>
              </w:rPr>
              <w:t>25</w:t>
            </w:r>
            <w:r w:rsidR="009D3020">
              <w:rPr>
                <w:color w:val="000000"/>
              </w:rPr>
              <w:t>3</w:t>
            </w:r>
            <w:r>
              <w:rPr>
                <w:color w:val="000000"/>
              </w:rPr>
              <w:t>,</w:t>
            </w:r>
            <w:r w:rsidR="009D3020">
              <w:rPr>
                <w:color w:val="000000"/>
              </w:rPr>
              <w:t>8</w:t>
            </w:r>
            <w:r>
              <w:rPr>
                <w:color w:val="000000"/>
              </w:rPr>
              <w:t>00</w:t>
            </w:r>
          </w:p>
        </w:tc>
        <w:tc>
          <w:tcPr>
            <w:tcW w:w="146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63062E" w14:textId="1479B02C" w:rsidR="00160DE2" w:rsidRDefault="00160DE2" w:rsidP="00091EBF">
            <w:pPr>
              <w:jc w:val="center"/>
              <w:rPr>
                <w:color w:val="000000"/>
              </w:rPr>
            </w:pPr>
            <w:r>
              <w:rPr>
                <w:color w:val="000000"/>
              </w:rPr>
              <w:t>21</w:t>
            </w:r>
            <w:r w:rsidR="009D3020">
              <w:rPr>
                <w:color w:val="000000"/>
              </w:rPr>
              <w:t>0</w:t>
            </w:r>
            <w:r>
              <w:rPr>
                <w:color w:val="000000"/>
              </w:rPr>
              <w:t>,</w:t>
            </w:r>
            <w:r w:rsidR="009D3020">
              <w:rPr>
                <w:color w:val="000000"/>
              </w:rPr>
              <w:t>5</w:t>
            </w:r>
            <w:r>
              <w:rPr>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F0D0C1" w14:textId="23A89EB9" w:rsidR="00160DE2" w:rsidRDefault="00160DE2" w:rsidP="00091EBF">
            <w:pPr>
              <w:jc w:val="center"/>
              <w:rPr>
                <w:color w:val="000000"/>
              </w:rPr>
            </w:pPr>
            <w:r>
              <w:rPr>
                <w:color w:val="000000"/>
              </w:rPr>
              <w:t>218,000</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853EDF" w14:textId="16DDDE73" w:rsidR="00160DE2" w:rsidRDefault="00160DE2" w:rsidP="00091EBF">
            <w:pPr>
              <w:jc w:val="center"/>
              <w:rPr>
                <w:color w:val="000000"/>
              </w:rPr>
            </w:pPr>
            <w:r>
              <w:rPr>
                <w:color w:val="000000"/>
              </w:rPr>
              <w:t>174,000</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C9EB25" w14:textId="58ABA0F1" w:rsidR="00160DE2" w:rsidRDefault="00160DE2" w:rsidP="00091EBF">
            <w:pPr>
              <w:jc w:val="center"/>
              <w:rPr>
                <w:color w:val="000000"/>
              </w:rPr>
            </w:pPr>
            <w:r>
              <w:rPr>
                <w:color w:val="000000"/>
              </w:rPr>
              <w:t>~120,000</w:t>
            </w:r>
          </w:p>
        </w:tc>
      </w:tr>
      <w:tr w:rsidR="00160DE2" w14:paraId="4D91134C" w14:textId="77777777" w:rsidTr="006B3C77">
        <w:trPr>
          <w:trHeight w:val="463"/>
        </w:trPr>
        <w:tc>
          <w:tcPr>
            <w:tcW w:w="1072" w:type="dxa"/>
            <w:vMerge w:val="restart"/>
            <w:shd w:val="clear" w:color="auto" w:fill="B4C6E7" w:themeFill="accent5" w:themeFillTint="66"/>
            <w:vAlign w:val="center"/>
          </w:tcPr>
          <w:p w14:paraId="2D32AE22" w14:textId="1F308033" w:rsidR="00160DE2" w:rsidRDefault="00160DE2" w:rsidP="00091EBF">
            <w:pPr>
              <w:jc w:val="center"/>
              <w:rPr>
                <w:lang w:val="en-NZ"/>
              </w:rPr>
            </w:pPr>
            <w:r>
              <w:rPr>
                <w:lang w:val="en-NZ"/>
              </w:rPr>
              <w:t>BHC50</w:t>
            </w:r>
          </w:p>
        </w:tc>
        <w:tc>
          <w:tcPr>
            <w:tcW w:w="1475" w:type="dxa"/>
            <w:shd w:val="clear" w:color="auto" w:fill="B4C6E7" w:themeFill="accent5" w:themeFillTint="66"/>
            <w:vAlign w:val="center"/>
          </w:tcPr>
          <w:p w14:paraId="0C4F1011" w14:textId="1FCE8130" w:rsidR="00160DE2" w:rsidRDefault="00160DE2" w:rsidP="00091EBF">
            <w:pPr>
              <w:jc w:val="center"/>
              <w:rPr>
                <w:lang w:val="en-NZ"/>
              </w:rPr>
            </w:pPr>
            <w:r>
              <w:rPr>
                <w:lang w:val="en-NZ"/>
              </w:rPr>
              <w:t>Child poverty rate</w:t>
            </w:r>
          </w:p>
        </w:tc>
        <w:tc>
          <w:tcPr>
            <w:tcW w:w="1368"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50281B1D" w14:textId="450E8178" w:rsidR="00160DE2" w:rsidRDefault="00160DE2" w:rsidP="00091EBF">
            <w:pPr>
              <w:jc w:val="center"/>
              <w:rPr>
                <w:color w:val="000000"/>
              </w:rPr>
            </w:pPr>
            <w:r>
              <w:rPr>
                <w:color w:val="000000"/>
              </w:rPr>
              <w:t>16.5%</w:t>
            </w:r>
          </w:p>
        </w:tc>
        <w:tc>
          <w:tcPr>
            <w:tcW w:w="146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DA5178E" w14:textId="4FEA939F" w:rsidR="00160DE2" w:rsidRDefault="00160DE2" w:rsidP="00091EBF">
            <w:pPr>
              <w:jc w:val="center"/>
              <w:rPr>
                <w:color w:val="000000"/>
              </w:rPr>
            </w:pPr>
            <w:r>
              <w:rPr>
                <w:color w:val="000000"/>
              </w:rPr>
              <w:t>13.8%</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1856B45" w14:textId="761A9DAC" w:rsidR="00160DE2" w:rsidRDefault="00160DE2" w:rsidP="00091EBF">
            <w:pPr>
              <w:jc w:val="center"/>
              <w:rPr>
                <w:color w:val="000000"/>
              </w:rPr>
            </w:pPr>
            <w:r>
              <w:rPr>
                <w:color w:val="000000"/>
              </w:rPr>
              <w:t>10.5%</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670F0E2" w14:textId="256818B4" w:rsidR="00160DE2" w:rsidRDefault="00160DE2" w:rsidP="00091EBF">
            <w:pPr>
              <w:jc w:val="center"/>
              <w:rPr>
                <w:color w:val="000000"/>
              </w:rPr>
            </w:pPr>
            <w:r>
              <w:rPr>
                <w:color w:val="000000"/>
              </w:rPr>
              <w:t>10%</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5D5FE7F" w14:textId="7E0AF960" w:rsidR="00160DE2" w:rsidRDefault="00160DE2" w:rsidP="00091EBF">
            <w:pPr>
              <w:jc w:val="center"/>
              <w:rPr>
                <w:color w:val="000000"/>
              </w:rPr>
            </w:pPr>
            <w:r>
              <w:rPr>
                <w:color w:val="000000"/>
              </w:rPr>
              <w:t>5%</w:t>
            </w:r>
          </w:p>
        </w:tc>
      </w:tr>
      <w:tr w:rsidR="00160DE2" w14:paraId="3DBC1E6C" w14:textId="77777777" w:rsidTr="006B3C77">
        <w:trPr>
          <w:trHeight w:val="463"/>
        </w:trPr>
        <w:tc>
          <w:tcPr>
            <w:tcW w:w="1072" w:type="dxa"/>
            <w:vMerge/>
            <w:shd w:val="clear" w:color="auto" w:fill="B4C6E7" w:themeFill="accent5" w:themeFillTint="66"/>
            <w:vAlign w:val="center"/>
          </w:tcPr>
          <w:p w14:paraId="75921B9B" w14:textId="77777777" w:rsidR="00160DE2" w:rsidRDefault="00160DE2" w:rsidP="00091EBF">
            <w:pPr>
              <w:jc w:val="center"/>
              <w:rPr>
                <w:lang w:val="en-NZ"/>
              </w:rPr>
            </w:pPr>
          </w:p>
        </w:tc>
        <w:tc>
          <w:tcPr>
            <w:tcW w:w="1475" w:type="dxa"/>
            <w:shd w:val="clear" w:color="auto" w:fill="B4C6E7" w:themeFill="accent5" w:themeFillTint="66"/>
            <w:vAlign w:val="center"/>
          </w:tcPr>
          <w:p w14:paraId="61E9354A" w14:textId="21D83540" w:rsidR="00160DE2" w:rsidRDefault="00160DE2" w:rsidP="00091EBF">
            <w:pPr>
              <w:jc w:val="center"/>
              <w:rPr>
                <w:lang w:val="en-NZ"/>
              </w:rPr>
            </w:pPr>
            <w:r w:rsidRPr="00225E6B">
              <w:rPr>
                <w:lang w:val="en-NZ"/>
              </w:rPr>
              <w:t>Number of children in poverty</w:t>
            </w:r>
          </w:p>
        </w:tc>
        <w:tc>
          <w:tcPr>
            <w:tcW w:w="1368" w:type="dxa"/>
            <w:tcBorders>
              <w:top w:val="single" w:sz="4" w:space="0" w:color="auto"/>
              <w:left w:val="nil"/>
              <w:bottom w:val="single" w:sz="4" w:space="0" w:color="auto"/>
              <w:right w:val="single" w:sz="4" w:space="0" w:color="auto"/>
            </w:tcBorders>
            <w:shd w:val="clear" w:color="auto" w:fill="B4C6E7" w:themeFill="accent5" w:themeFillTint="66"/>
            <w:vAlign w:val="center"/>
          </w:tcPr>
          <w:p w14:paraId="4AAE4250" w14:textId="1B684EDE" w:rsidR="00160DE2" w:rsidRDefault="00160DE2" w:rsidP="00091EBF">
            <w:pPr>
              <w:jc w:val="center"/>
              <w:rPr>
                <w:lang w:val="en-NZ"/>
              </w:rPr>
            </w:pPr>
            <w:r>
              <w:rPr>
                <w:color w:val="000000"/>
              </w:rPr>
              <w:t>183,</w:t>
            </w:r>
            <w:r w:rsidR="00B53F17">
              <w:rPr>
                <w:color w:val="000000"/>
              </w:rPr>
              <w:t>4</w:t>
            </w:r>
            <w:r>
              <w:rPr>
                <w:color w:val="000000"/>
              </w:rPr>
              <w:t>00</w:t>
            </w:r>
          </w:p>
        </w:tc>
        <w:tc>
          <w:tcPr>
            <w:tcW w:w="146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A32DD44" w14:textId="0AD87C35" w:rsidR="00160DE2" w:rsidRDefault="00160DE2" w:rsidP="00091EBF">
            <w:pPr>
              <w:jc w:val="center"/>
              <w:rPr>
                <w:lang w:val="en-NZ"/>
              </w:rPr>
            </w:pPr>
            <w:r>
              <w:rPr>
                <w:color w:val="000000"/>
              </w:rPr>
              <w:t>15</w:t>
            </w:r>
            <w:r w:rsidR="00B53F17">
              <w:rPr>
                <w:color w:val="000000"/>
              </w:rPr>
              <w:t>7</w:t>
            </w:r>
            <w:r>
              <w:rPr>
                <w:color w:val="000000"/>
              </w:rPr>
              <w:t>,</w:t>
            </w:r>
            <w:r w:rsidR="00B53F17">
              <w:rPr>
                <w:color w:val="000000"/>
              </w:rPr>
              <w:t>8</w:t>
            </w:r>
            <w:r>
              <w:rPr>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C5F4A41" w14:textId="02B2A560" w:rsidR="00160DE2" w:rsidRDefault="00160DE2" w:rsidP="00091EBF">
            <w:pPr>
              <w:jc w:val="center"/>
              <w:rPr>
                <w:lang w:val="en-NZ"/>
              </w:rPr>
            </w:pPr>
            <w:r>
              <w:rPr>
                <w:color w:val="000000"/>
              </w:rPr>
              <w:t>122,000</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EB05D34" w14:textId="1A7F1058" w:rsidR="00160DE2" w:rsidRDefault="00160DE2" w:rsidP="00091EBF">
            <w:pPr>
              <w:jc w:val="center"/>
              <w:rPr>
                <w:lang w:val="en-NZ"/>
              </w:rPr>
            </w:pPr>
            <w:r>
              <w:rPr>
                <w:color w:val="000000"/>
              </w:rPr>
              <w:t>116,000</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EF47992" w14:textId="17A2C9DA" w:rsidR="00160DE2" w:rsidRDefault="00160DE2" w:rsidP="00091EBF">
            <w:pPr>
              <w:jc w:val="center"/>
              <w:rPr>
                <w:lang w:val="en-NZ"/>
              </w:rPr>
            </w:pPr>
            <w:r>
              <w:rPr>
                <w:color w:val="000000"/>
              </w:rPr>
              <w:t>~60,000</w:t>
            </w:r>
          </w:p>
        </w:tc>
      </w:tr>
    </w:tbl>
    <w:p w14:paraId="3F081502" w14:textId="77777777" w:rsidR="002924B6" w:rsidRPr="00E36FDE" w:rsidRDefault="002924B6" w:rsidP="00E36FDE">
      <w:pPr>
        <w:rPr>
          <w:lang w:val="en-NZ"/>
        </w:rPr>
      </w:pPr>
    </w:p>
    <w:p w14:paraId="47ADCD54" w14:textId="63340911" w:rsidR="00C0129D" w:rsidRDefault="00ED4BC2" w:rsidP="006C39EE">
      <w:pPr>
        <w:rPr>
          <w:lang w:val="en-NZ"/>
        </w:rPr>
      </w:pPr>
      <w:r>
        <w:rPr>
          <w:lang w:val="en-NZ"/>
        </w:rPr>
        <w:t>T</w:t>
      </w:r>
      <w:r w:rsidR="00133A10">
        <w:rPr>
          <w:lang w:val="en-NZ"/>
        </w:rPr>
        <w:t xml:space="preserve">he Government has a series of mechanisms </w:t>
      </w:r>
      <w:r w:rsidR="008C390C">
        <w:rPr>
          <w:lang w:val="en-NZ"/>
        </w:rPr>
        <w:t>at its disposal</w:t>
      </w:r>
      <w:r w:rsidR="00930DCF">
        <w:rPr>
          <w:lang w:val="en-NZ"/>
        </w:rPr>
        <w:t xml:space="preserve"> with</w:t>
      </w:r>
      <w:r w:rsidR="00133A10">
        <w:rPr>
          <w:lang w:val="en-NZ"/>
        </w:rPr>
        <w:t xml:space="preserve"> which </w:t>
      </w:r>
      <w:r w:rsidR="00930DCF">
        <w:rPr>
          <w:lang w:val="en-NZ"/>
        </w:rPr>
        <w:t>it could</w:t>
      </w:r>
      <w:r w:rsidR="00133A10">
        <w:rPr>
          <w:lang w:val="en-NZ"/>
        </w:rPr>
        <w:t xml:space="preserve"> reduce child poverty to meet </w:t>
      </w:r>
      <w:r w:rsidR="00930DCF">
        <w:rPr>
          <w:lang w:val="en-NZ"/>
        </w:rPr>
        <w:t>its</w:t>
      </w:r>
      <w:r w:rsidR="00133A10">
        <w:rPr>
          <w:lang w:val="en-NZ"/>
        </w:rPr>
        <w:t xml:space="preserve"> targets and improve income adequacy for low- and middle-income families generally. </w:t>
      </w:r>
      <w:r w:rsidR="00357319">
        <w:rPr>
          <w:lang w:val="en-NZ"/>
        </w:rPr>
        <w:t>Examples of these are the minimum wage, rent controls, benefit</w:t>
      </w:r>
      <w:r w:rsidR="008C390C">
        <w:rPr>
          <w:lang w:val="en-NZ"/>
        </w:rPr>
        <w:t xml:space="preserve"> rates and the WFF scheme.</w:t>
      </w:r>
      <w:r w:rsidR="004F75EA">
        <w:rPr>
          <w:lang w:val="en-NZ"/>
        </w:rPr>
        <w:t xml:space="preserve"> </w:t>
      </w:r>
      <w:r w:rsidR="008235E4">
        <w:rPr>
          <w:lang w:val="en-NZ"/>
        </w:rPr>
        <w:t>T</w:t>
      </w:r>
      <w:r w:rsidR="004F75EA">
        <w:rPr>
          <w:lang w:val="en-NZ"/>
        </w:rPr>
        <w:t xml:space="preserve">hese tools </w:t>
      </w:r>
      <w:r w:rsidR="0004337E">
        <w:rPr>
          <w:lang w:val="en-NZ"/>
        </w:rPr>
        <w:t>do not necessarily target the same population groups.</w:t>
      </w:r>
    </w:p>
    <w:p w14:paraId="5EF85591" w14:textId="7659CCA6" w:rsidR="00006EBB" w:rsidRDefault="00C0129D" w:rsidP="006C39EE">
      <w:pPr>
        <w:rPr>
          <w:lang w:val="en-NZ"/>
        </w:rPr>
      </w:pPr>
      <w:r>
        <w:rPr>
          <w:lang w:val="en-NZ"/>
        </w:rPr>
        <w:t xml:space="preserve">The introduction of the </w:t>
      </w:r>
      <w:r w:rsidR="002123A3">
        <w:rPr>
          <w:lang w:val="en-NZ"/>
        </w:rPr>
        <w:t>F</w:t>
      </w:r>
      <w:r>
        <w:rPr>
          <w:lang w:val="en-NZ"/>
        </w:rPr>
        <w:t xml:space="preserve">amilies </w:t>
      </w:r>
      <w:r w:rsidR="002123A3">
        <w:rPr>
          <w:lang w:val="en-NZ"/>
        </w:rPr>
        <w:t>P</w:t>
      </w:r>
      <w:r>
        <w:rPr>
          <w:lang w:val="en-NZ"/>
        </w:rPr>
        <w:t>ackage in 2018</w:t>
      </w:r>
      <w:r w:rsidR="00042EAA">
        <w:rPr>
          <w:lang w:val="en-NZ"/>
        </w:rPr>
        <w:t>,</w:t>
      </w:r>
      <w:r>
        <w:rPr>
          <w:lang w:val="en-NZ"/>
        </w:rPr>
        <w:t xml:space="preserve"> </w:t>
      </w:r>
      <w:r w:rsidR="002123A3">
        <w:rPr>
          <w:lang w:val="en-NZ"/>
        </w:rPr>
        <w:t>along with</w:t>
      </w:r>
      <w:r w:rsidR="00DC0FC4">
        <w:rPr>
          <w:lang w:val="en-NZ"/>
        </w:rPr>
        <w:t xml:space="preserve"> </w:t>
      </w:r>
      <w:r w:rsidR="002123A3">
        <w:rPr>
          <w:lang w:val="en-NZ"/>
        </w:rPr>
        <w:t>significant recent increases to</w:t>
      </w:r>
      <w:r w:rsidR="00DC0FC4">
        <w:rPr>
          <w:lang w:val="en-NZ"/>
        </w:rPr>
        <w:t xml:space="preserve"> the minimum wage and benefit rates</w:t>
      </w:r>
      <w:r w:rsidR="00042EAA">
        <w:rPr>
          <w:lang w:val="en-NZ"/>
        </w:rPr>
        <w:t>,</w:t>
      </w:r>
      <w:r w:rsidR="00DC0FC4">
        <w:rPr>
          <w:lang w:val="en-NZ"/>
        </w:rPr>
        <w:t xml:space="preserve"> </w:t>
      </w:r>
      <w:r w:rsidR="002123A3">
        <w:rPr>
          <w:lang w:val="en-NZ"/>
        </w:rPr>
        <w:t xml:space="preserve">have helped </w:t>
      </w:r>
      <w:r w:rsidR="00C0727C">
        <w:rPr>
          <w:lang w:val="en-NZ"/>
        </w:rPr>
        <w:t>the Government to</w:t>
      </w:r>
      <w:r w:rsidR="00EC7616">
        <w:rPr>
          <w:lang w:val="en-NZ"/>
        </w:rPr>
        <w:t xml:space="preserve">wards </w:t>
      </w:r>
      <w:r w:rsidR="005F572D">
        <w:rPr>
          <w:lang w:val="en-NZ"/>
        </w:rPr>
        <w:t>achiev</w:t>
      </w:r>
      <w:r w:rsidR="007351BF">
        <w:rPr>
          <w:lang w:val="en-NZ"/>
        </w:rPr>
        <w:t xml:space="preserve">ing </w:t>
      </w:r>
      <w:r w:rsidR="00EC7616">
        <w:rPr>
          <w:lang w:val="en-NZ"/>
        </w:rPr>
        <w:t>its targets</w:t>
      </w:r>
      <w:r w:rsidR="00C0727C">
        <w:rPr>
          <w:lang w:val="en-NZ"/>
        </w:rPr>
        <w:t xml:space="preserve">. </w:t>
      </w:r>
      <w:r w:rsidR="003161C6">
        <w:rPr>
          <w:lang w:val="en-NZ"/>
        </w:rPr>
        <w:t xml:space="preserve">The following table outlines </w:t>
      </w:r>
      <w:r w:rsidR="00A9099B">
        <w:rPr>
          <w:lang w:val="en-NZ"/>
        </w:rPr>
        <w:t xml:space="preserve">child poverty rates since </w:t>
      </w:r>
      <w:r w:rsidR="009D544B">
        <w:rPr>
          <w:lang w:val="en-NZ"/>
        </w:rPr>
        <w:t xml:space="preserve">the introduction of the </w:t>
      </w:r>
      <w:r w:rsidR="009D544B" w:rsidRPr="009D544B">
        <w:rPr>
          <w:lang w:val="en-NZ"/>
        </w:rPr>
        <w:t xml:space="preserve">Child Poverty Reduction Act </w:t>
      </w:r>
      <w:r w:rsidR="009D544B">
        <w:rPr>
          <w:lang w:val="en-NZ"/>
        </w:rPr>
        <w:t>in 2018.</w:t>
      </w:r>
    </w:p>
    <w:tbl>
      <w:tblPr>
        <w:tblStyle w:val="TableGrid"/>
        <w:tblW w:w="10776" w:type="dxa"/>
        <w:tblInd w:w="-863" w:type="dxa"/>
        <w:tblLook w:val="04A0" w:firstRow="1" w:lastRow="0" w:firstColumn="1" w:lastColumn="0" w:noHBand="0" w:noVBand="1"/>
      </w:tblPr>
      <w:tblGrid>
        <w:gridCol w:w="1095"/>
        <w:gridCol w:w="719"/>
        <w:gridCol w:w="906"/>
        <w:gridCol w:w="1017"/>
        <w:gridCol w:w="1239"/>
        <w:gridCol w:w="1150"/>
        <w:gridCol w:w="783"/>
        <w:gridCol w:w="1017"/>
        <w:gridCol w:w="783"/>
        <w:gridCol w:w="1150"/>
        <w:gridCol w:w="917"/>
      </w:tblGrid>
      <w:tr w:rsidR="00404ABB" w:rsidRPr="00EE727A" w14:paraId="71B908E1" w14:textId="77777777" w:rsidTr="00791162">
        <w:trPr>
          <w:trHeight w:val="408"/>
        </w:trPr>
        <w:tc>
          <w:tcPr>
            <w:tcW w:w="1095" w:type="dxa"/>
            <w:vMerge w:val="restart"/>
            <w:vAlign w:val="center"/>
          </w:tcPr>
          <w:p w14:paraId="6B6DFBE5" w14:textId="25B83205" w:rsidR="00404ABB" w:rsidRPr="00791162" w:rsidRDefault="00404ABB" w:rsidP="00791162">
            <w:pPr>
              <w:jc w:val="center"/>
              <w:rPr>
                <w:sz w:val="20"/>
                <w:szCs w:val="18"/>
              </w:rPr>
            </w:pPr>
            <w:r w:rsidRPr="00791162">
              <w:rPr>
                <w:sz w:val="20"/>
                <w:szCs w:val="18"/>
              </w:rPr>
              <w:t>Poverty measure</w:t>
            </w:r>
          </w:p>
        </w:tc>
        <w:tc>
          <w:tcPr>
            <w:tcW w:w="719" w:type="dxa"/>
            <w:vMerge w:val="restart"/>
            <w:vAlign w:val="center"/>
            <w:hideMark/>
          </w:tcPr>
          <w:p w14:paraId="69670E2C" w14:textId="3F7AF74C" w:rsidR="00404ABB" w:rsidRPr="00791162" w:rsidRDefault="00404ABB" w:rsidP="00791162">
            <w:pPr>
              <w:jc w:val="center"/>
              <w:rPr>
                <w:sz w:val="20"/>
                <w:szCs w:val="18"/>
              </w:rPr>
            </w:pPr>
            <w:r w:rsidRPr="00791162">
              <w:rPr>
                <w:sz w:val="20"/>
                <w:szCs w:val="18"/>
              </w:rPr>
              <w:t>Year</w:t>
            </w:r>
          </w:p>
        </w:tc>
        <w:tc>
          <w:tcPr>
            <w:tcW w:w="1923" w:type="dxa"/>
            <w:gridSpan w:val="2"/>
            <w:vAlign w:val="center"/>
            <w:hideMark/>
          </w:tcPr>
          <w:p w14:paraId="3197AEA3" w14:textId="77777777" w:rsidR="00404ABB" w:rsidRPr="00791162" w:rsidRDefault="00404ABB" w:rsidP="00791162">
            <w:pPr>
              <w:jc w:val="center"/>
              <w:rPr>
                <w:sz w:val="20"/>
                <w:szCs w:val="18"/>
              </w:rPr>
            </w:pPr>
            <w:r w:rsidRPr="00791162">
              <w:rPr>
                <w:sz w:val="20"/>
                <w:szCs w:val="18"/>
              </w:rPr>
              <w:t>Rate</w:t>
            </w:r>
          </w:p>
        </w:tc>
        <w:tc>
          <w:tcPr>
            <w:tcW w:w="2389" w:type="dxa"/>
            <w:gridSpan w:val="2"/>
            <w:vAlign w:val="center"/>
            <w:hideMark/>
          </w:tcPr>
          <w:p w14:paraId="23137856" w14:textId="77777777" w:rsidR="00404ABB" w:rsidRPr="00791162" w:rsidRDefault="00404ABB" w:rsidP="00791162">
            <w:pPr>
              <w:jc w:val="center"/>
              <w:rPr>
                <w:sz w:val="20"/>
                <w:szCs w:val="18"/>
              </w:rPr>
            </w:pPr>
            <w:r w:rsidRPr="00791162">
              <w:rPr>
                <w:sz w:val="20"/>
                <w:szCs w:val="18"/>
              </w:rPr>
              <w:t>Annual change in rate</w:t>
            </w:r>
          </w:p>
        </w:tc>
        <w:tc>
          <w:tcPr>
            <w:tcW w:w="1800" w:type="dxa"/>
            <w:gridSpan w:val="2"/>
            <w:vAlign w:val="center"/>
            <w:hideMark/>
          </w:tcPr>
          <w:p w14:paraId="3CFC3BE8" w14:textId="77777777" w:rsidR="00404ABB" w:rsidRPr="00791162" w:rsidRDefault="00404ABB" w:rsidP="00791162">
            <w:pPr>
              <w:jc w:val="center"/>
              <w:rPr>
                <w:sz w:val="20"/>
                <w:szCs w:val="18"/>
              </w:rPr>
            </w:pPr>
            <w:r w:rsidRPr="00791162">
              <w:rPr>
                <w:sz w:val="20"/>
                <w:szCs w:val="18"/>
              </w:rPr>
              <w:t>Number</w:t>
            </w:r>
          </w:p>
        </w:tc>
        <w:tc>
          <w:tcPr>
            <w:tcW w:w="1933" w:type="dxa"/>
            <w:gridSpan w:val="2"/>
            <w:vAlign w:val="center"/>
            <w:hideMark/>
          </w:tcPr>
          <w:p w14:paraId="339303C1" w14:textId="77777777" w:rsidR="00404ABB" w:rsidRPr="00791162" w:rsidRDefault="00404ABB" w:rsidP="00791162">
            <w:pPr>
              <w:jc w:val="center"/>
              <w:rPr>
                <w:sz w:val="20"/>
                <w:szCs w:val="18"/>
              </w:rPr>
            </w:pPr>
            <w:r w:rsidRPr="00791162">
              <w:rPr>
                <w:sz w:val="20"/>
                <w:szCs w:val="18"/>
              </w:rPr>
              <w:t>Annual change in number</w:t>
            </w:r>
          </w:p>
        </w:tc>
        <w:tc>
          <w:tcPr>
            <w:tcW w:w="917" w:type="dxa"/>
            <w:vAlign w:val="center"/>
            <w:hideMark/>
          </w:tcPr>
          <w:p w14:paraId="2A03E01A" w14:textId="77777777" w:rsidR="00404ABB" w:rsidRPr="00791162" w:rsidRDefault="00404ABB" w:rsidP="00791162">
            <w:pPr>
              <w:jc w:val="center"/>
              <w:rPr>
                <w:sz w:val="20"/>
                <w:szCs w:val="18"/>
              </w:rPr>
            </w:pPr>
            <w:r w:rsidRPr="00791162">
              <w:rPr>
                <w:sz w:val="20"/>
                <w:szCs w:val="18"/>
              </w:rPr>
              <w:t>Total number of children</w:t>
            </w:r>
          </w:p>
        </w:tc>
      </w:tr>
      <w:tr w:rsidR="00404ABB" w:rsidRPr="00EE727A" w14:paraId="1E6F4684" w14:textId="77777777" w:rsidTr="00791162">
        <w:trPr>
          <w:trHeight w:val="345"/>
        </w:trPr>
        <w:tc>
          <w:tcPr>
            <w:tcW w:w="1095" w:type="dxa"/>
            <w:vMerge/>
            <w:vAlign w:val="center"/>
          </w:tcPr>
          <w:p w14:paraId="54DBFC6E" w14:textId="77777777" w:rsidR="00404ABB" w:rsidRPr="00791162" w:rsidRDefault="00404ABB" w:rsidP="00791162">
            <w:pPr>
              <w:jc w:val="center"/>
              <w:rPr>
                <w:sz w:val="20"/>
                <w:szCs w:val="18"/>
              </w:rPr>
            </w:pPr>
          </w:p>
        </w:tc>
        <w:tc>
          <w:tcPr>
            <w:tcW w:w="719" w:type="dxa"/>
            <w:vMerge/>
            <w:vAlign w:val="center"/>
            <w:hideMark/>
          </w:tcPr>
          <w:p w14:paraId="62968BDC" w14:textId="1BEC5740" w:rsidR="00404ABB" w:rsidRPr="00791162" w:rsidRDefault="00404ABB" w:rsidP="00791162">
            <w:pPr>
              <w:jc w:val="center"/>
              <w:rPr>
                <w:sz w:val="20"/>
                <w:szCs w:val="18"/>
              </w:rPr>
            </w:pPr>
          </w:p>
        </w:tc>
        <w:tc>
          <w:tcPr>
            <w:tcW w:w="906" w:type="dxa"/>
            <w:vAlign w:val="center"/>
            <w:hideMark/>
          </w:tcPr>
          <w:p w14:paraId="448054F5" w14:textId="77777777" w:rsidR="00404ABB" w:rsidRPr="00791162" w:rsidRDefault="00404ABB" w:rsidP="00791162">
            <w:pPr>
              <w:jc w:val="center"/>
              <w:rPr>
                <w:sz w:val="20"/>
                <w:szCs w:val="18"/>
              </w:rPr>
            </w:pPr>
            <w:r w:rsidRPr="00791162">
              <w:rPr>
                <w:sz w:val="20"/>
                <w:szCs w:val="18"/>
              </w:rPr>
              <w:t>Percent</w:t>
            </w:r>
          </w:p>
        </w:tc>
        <w:tc>
          <w:tcPr>
            <w:tcW w:w="1017" w:type="dxa"/>
            <w:vAlign w:val="center"/>
            <w:hideMark/>
          </w:tcPr>
          <w:p w14:paraId="0A481346" w14:textId="77777777" w:rsidR="00404ABB" w:rsidRPr="00791162" w:rsidRDefault="00404ABB" w:rsidP="00791162">
            <w:pPr>
              <w:jc w:val="center"/>
              <w:rPr>
                <w:sz w:val="20"/>
                <w:szCs w:val="18"/>
              </w:rPr>
            </w:pPr>
            <w:r w:rsidRPr="00791162">
              <w:rPr>
                <w:sz w:val="20"/>
                <w:szCs w:val="18"/>
              </w:rPr>
              <w:t>Level sampling error</w:t>
            </w:r>
          </w:p>
        </w:tc>
        <w:tc>
          <w:tcPr>
            <w:tcW w:w="1239" w:type="dxa"/>
            <w:vAlign w:val="center"/>
            <w:hideMark/>
          </w:tcPr>
          <w:p w14:paraId="0A1816DC" w14:textId="77777777" w:rsidR="00404ABB" w:rsidRPr="00791162" w:rsidRDefault="00404ABB" w:rsidP="00791162">
            <w:pPr>
              <w:jc w:val="center"/>
              <w:rPr>
                <w:sz w:val="20"/>
                <w:szCs w:val="18"/>
              </w:rPr>
            </w:pPr>
            <w:r w:rsidRPr="00791162">
              <w:rPr>
                <w:sz w:val="20"/>
                <w:szCs w:val="18"/>
              </w:rPr>
              <w:t>Percentage points</w:t>
            </w:r>
          </w:p>
        </w:tc>
        <w:tc>
          <w:tcPr>
            <w:tcW w:w="1150" w:type="dxa"/>
            <w:vAlign w:val="center"/>
            <w:hideMark/>
          </w:tcPr>
          <w:p w14:paraId="5931B2C3" w14:textId="2E21B96C" w:rsidR="00404ABB" w:rsidRPr="00791162" w:rsidRDefault="00D1206F" w:rsidP="00791162">
            <w:pPr>
              <w:jc w:val="center"/>
              <w:rPr>
                <w:sz w:val="20"/>
                <w:szCs w:val="18"/>
              </w:rPr>
            </w:pPr>
            <w:r>
              <w:rPr>
                <w:sz w:val="20"/>
                <w:szCs w:val="18"/>
              </w:rPr>
              <w:t>S</w:t>
            </w:r>
            <w:r w:rsidR="00404ABB" w:rsidRPr="00791162">
              <w:rPr>
                <w:sz w:val="20"/>
                <w:szCs w:val="18"/>
              </w:rPr>
              <w:t>ampling error on the change</w:t>
            </w:r>
          </w:p>
        </w:tc>
        <w:tc>
          <w:tcPr>
            <w:tcW w:w="783" w:type="dxa"/>
            <w:vAlign w:val="center"/>
            <w:hideMark/>
          </w:tcPr>
          <w:p w14:paraId="62A3CF8F" w14:textId="77777777" w:rsidR="00404ABB" w:rsidRPr="00791162" w:rsidRDefault="00404ABB" w:rsidP="00791162">
            <w:pPr>
              <w:jc w:val="center"/>
              <w:rPr>
                <w:sz w:val="20"/>
                <w:szCs w:val="18"/>
              </w:rPr>
            </w:pPr>
            <w:r w:rsidRPr="00791162">
              <w:rPr>
                <w:sz w:val="20"/>
                <w:szCs w:val="18"/>
              </w:rPr>
              <w:t>(000s)</w:t>
            </w:r>
          </w:p>
        </w:tc>
        <w:tc>
          <w:tcPr>
            <w:tcW w:w="1017" w:type="dxa"/>
            <w:vAlign w:val="center"/>
            <w:hideMark/>
          </w:tcPr>
          <w:p w14:paraId="415E904B" w14:textId="77777777" w:rsidR="00404ABB" w:rsidRPr="00791162" w:rsidRDefault="00404ABB" w:rsidP="00791162">
            <w:pPr>
              <w:jc w:val="center"/>
              <w:rPr>
                <w:sz w:val="20"/>
                <w:szCs w:val="18"/>
              </w:rPr>
            </w:pPr>
            <w:r w:rsidRPr="00791162">
              <w:rPr>
                <w:sz w:val="20"/>
                <w:szCs w:val="18"/>
              </w:rPr>
              <w:t>Level sampling error</w:t>
            </w:r>
          </w:p>
        </w:tc>
        <w:tc>
          <w:tcPr>
            <w:tcW w:w="783" w:type="dxa"/>
            <w:vAlign w:val="center"/>
            <w:hideMark/>
          </w:tcPr>
          <w:p w14:paraId="63D263F0" w14:textId="77777777" w:rsidR="00404ABB" w:rsidRPr="00791162" w:rsidRDefault="00404ABB" w:rsidP="00791162">
            <w:pPr>
              <w:jc w:val="center"/>
              <w:rPr>
                <w:sz w:val="20"/>
                <w:szCs w:val="18"/>
              </w:rPr>
            </w:pPr>
            <w:r w:rsidRPr="00791162">
              <w:rPr>
                <w:sz w:val="20"/>
                <w:szCs w:val="18"/>
              </w:rPr>
              <w:t>(000s)</w:t>
            </w:r>
          </w:p>
        </w:tc>
        <w:tc>
          <w:tcPr>
            <w:tcW w:w="1150" w:type="dxa"/>
            <w:vAlign w:val="center"/>
            <w:hideMark/>
          </w:tcPr>
          <w:p w14:paraId="1950CE19" w14:textId="5ED3389A" w:rsidR="00404ABB" w:rsidRPr="00791162" w:rsidRDefault="00D1206F" w:rsidP="00791162">
            <w:pPr>
              <w:jc w:val="center"/>
              <w:rPr>
                <w:sz w:val="20"/>
                <w:szCs w:val="18"/>
              </w:rPr>
            </w:pPr>
            <w:r>
              <w:rPr>
                <w:sz w:val="20"/>
                <w:szCs w:val="18"/>
              </w:rPr>
              <w:t>S</w:t>
            </w:r>
            <w:r w:rsidR="00404ABB" w:rsidRPr="00791162">
              <w:rPr>
                <w:sz w:val="20"/>
                <w:szCs w:val="18"/>
              </w:rPr>
              <w:t>ampling error on the change</w:t>
            </w:r>
          </w:p>
        </w:tc>
        <w:tc>
          <w:tcPr>
            <w:tcW w:w="917" w:type="dxa"/>
            <w:vAlign w:val="center"/>
            <w:hideMark/>
          </w:tcPr>
          <w:p w14:paraId="4BFF5BBD" w14:textId="77777777" w:rsidR="00404ABB" w:rsidRPr="00791162" w:rsidRDefault="00404ABB" w:rsidP="00791162">
            <w:pPr>
              <w:jc w:val="center"/>
              <w:rPr>
                <w:sz w:val="20"/>
                <w:szCs w:val="18"/>
              </w:rPr>
            </w:pPr>
            <w:r w:rsidRPr="00791162">
              <w:rPr>
                <w:sz w:val="20"/>
                <w:szCs w:val="18"/>
              </w:rPr>
              <w:t>(000s)</w:t>
            </w:r>
          </w:p>
        </w:tc>
      </w:tr>
      <w:tr w:rsidR="00404ABB" w:rsidRPr="00EE727A" w14:paraId="1D696606" w14:textId="77777777" w:rsidTr="006B3C77">
        <w:trPr>
          <w:trHeight w:val="216"/>
        </w:trPr>
        <w:tc>
          <w:tcPr>
            <w:tcW w:w="1095" w:type="dxa"/>
            <w:vMerge w:val="restart"/>
            <w:shd w:val="clear" w:color="auto" w:fill="D9E2F3" w:themeFill="accent5" w:themeFillTint="33"/>
            <w:vAlign w:val="center"/>
          </w:tcPr>
          <w:p w14:paraId="3DE79A5B" w14:textId="55B26B2B" w:rsidR="00404ABB" w:rsidRPr="00791162" w:rsidRDefault="00404ABB" w:rsidP="00791162">
            <w:pPr>
              <w:jc w:val="center"/>
              <w:rPr>
                <w:b/>
                <w:bCs/>
                <w:sz w:val="20"/>
                <w:szCs w:val="18"/>
              </w:rPr>
            </w:pPr>
            <w:r w:rsidRPr="00791162">
              <w:rPr>
                <w:b/>
                <w:bCs/>
                <w:sz w:val="20"/>
                <w:szCs w:val="18"/>
              </w:rPr>
              <w:t>AHC50</w:t>
            </w:r>
          </w:p>
        </w:tc>
        <w:tc>
          <w:tcPr>
            <w:tcW w:w="719" w:type="dxa"/>
            <w:shd w:val="clear" w:color="auto" w:fill="D9E2F3" w:themeFill="accent5" w:themeFillTint="33"/>
            <w:noWrap/>
            <w:vAlign w:val="center"/>
            <w:hideMark/>
          </w:tcPr>
          <w:p w14:paraId="3B4A1A9D" w14:textId="4192F5AC" w:rsidR="00404ABB" w:rsidRPr="00791162" w:rsidRDefault="00404ABB" w:rsidP="00791162">
            <w:pPr>
              <w:jc w:val="center"/>
              <w:rPr>
                <w:b/>
                <w:bCs/>
                <w:sz w:val="20"/>
                <w:szCs w:val="18"/>
              </w:rPr>
            </w:pPr>
            <w:r w:rsidRPr="00791162">
              <w:rPr>
                <w:b/>
                <w:bCs/>
                <w:sz w:val="20"/>
                <w:szCs w:val="18"/>
              </w:rPr>
              <w:t>2018</w:t>
            </w:r>
          </w:p>
        </w:tc>
        <w:tc>
          <w:tcPr>
            <w:tcW w:w="906" w:type="dxa"/>
            <w:shd w:val="clear" w:color="auto" w:fill="D9E2F3" w:themeFill="accent5" w:themeFillTint="33"/>
            <w:noWrap/>
            <w:vAlign w:val="center"/>
            <w:hideMark/>
          </w:tcPr>
          <w:p w14:paraId="24EBCCE2" w14:textId="77777777" w:rsidR="00404ABB" w:rsidRPr="00791162" w:rsidRDefault="00404ABB" w:rsidP="00791162">
            <w:pPr>
              <w:jc w:val="center"/>
              <w:rPr>
                <w:sz w:val="20"/>
                <w:szCs w:val="18"/>
              </w:rPr>
            </w:pPr>
            <w:r w:rsidRPr="00791162">
              <w:rPr>
                <w:sz w:val="20"/>
                <w:szCs w:val="18"/>
              </w:rPr>
              <w:t>22.8</w:t>
            </w:r>
          </w:p>
        </w:tc>
        <w:tc>
          <w:tcPr>
            <w:tcW w:w="1017" w:type="dxa"/>
            <w:shd w:val="clear" w:color="auto" w:fill="D9E2F3" w:themeFill="accent5" w:themeFillTint="33"/>
            <w:noWrap/>
            <w:vAlign w:val="center"/>
            <w:hideMark/>
          </w:tcPr>
          <w:p w14:paraId="051FB766" w14:textId="77777777" w:rsidR="00404ABB" w:rsidRPr="00791162" w:rsidRDefault="00404ABB" w:rsidP="00791162">
            <w:pPr>
              <w:jc w:val="center"/>
              <w:rPr>
                <w:sz w:val="20"/>
                <w:szCs w:val="18"/>
              </w:rPr>
            </w:pPr>
            <w:r w:rsidRPr="00791162">
              <w:rPr>
                <w:sz w:val="20"/>
                <w:szCs w:val="18"/>
              </w:rPr>
              <w:t>1.9</w:t>
            </w:r>
          </w:p>
        </w:tc>
        <w:tc>
          <w:tcPr>
            <w:tcW w:w="1239" w:type="dxa"/>
            <w:shd w:val="clear" w:color="auto" w:fill="D9E2F3" w:themeFill="accent5" w:themeFillTint="33"/>
            <w:noWrap/>
            <w:vAlign w:val="center"/>
            <w:hideMark/>
          </w:tcPr>
          <w:p w14:paraId="2CCB677F" w14:textId="77777777" w:rsidR="00404ABB" w:rsidRPr="00791162" w:rsidRDefault="00404ABB" w:rsidP="00791162">
            <w:pPr>
              <w:jc w:val="center"/>
              <w:rPr>
                <w:sz w:val="20"/>
                <w:szCs w:val="18"/>
              </w:rPr>
            </w:pPr>
            <w:r w:rsidRPr="00791162">
              <w:rPr>
                <w:sz w:val="20"/>
                <w:szCs w:val="18"/>
              </w:rPr>
              <w:t>0.4</w:t>
            </w:r>
          </w:p>
        </w:tc>
        <w:tc>
          <w:tcPr>
            <w:tcW w:w="1150" w:type="dxa"/>
            <w:shd w:val="clear" w:color="auto" w:fill="D9E2F3" w:themeFill="accent5" w:themeFillTint="33"/>
            <w:noWrap/>
            <w:vAlign w:val="center"/>
            <w:hideMark/>
          </w:tcPr>
          <w:p w14:paraId="124E49C2" w14:textId="77777777" w:rsidR="00404ABB" w:rsidRPr="00791162" w:rsidRDefault="00404ABB" w:rsidP="00791162">
            <w:pPr>
              <w:jc w:val="center"/>
              <w:rPr>
                <w:sz w:val="20"/>
                <w:szCs w:val="18"/>
              </w:rPr>
            </w:pPr>
            <w:r w:rsidRPr="00791162">
              <w:rPr>
                <w:sz w:val="20"/>
                <w:szCs w:val="18"/>
              </w:rPr>
              <w:t>2.8</w:t>
            </w:r>
          </w:p>
        </w:tc>
        <w:tc>
          <w:tcPr>
            <w:tcW w:w="783" w:type="dxa"/>
            <w:shd w:val="clear" w:color="auto" w:fill="D9E2F3" w:themeFill="accent5" w:themeFillTint="33"/>
            <w:noWrap/>
            <w:vAlign w:val="center"/>
            <w:hideMark/>
          </w:tcPr>
          <w:p w14:paraId="60704A0D" w14:textId="77777777" w:rsidR="00404ABB" w:rsidRPr="00791162" w:rsidRDefault="00404ABB" w:rsidP="00791162">
            <w:pPr>
              <w:jc w:val="center"/>
              <w:rPr>
                <w:sz w:val="20"/>
                <w:szCs w:val="18"/>
              </w:rPr>
            </w:pPr>
            <w:r w:rsidRPr="00791162">
              <w:rPr>
                <w:sz w:val="20"/>
                <w:szCs w:val="18"/>
              </w:rPr>
              <w:t>253.8</w:t>
            </w:r>
          </w:p>
        </w:tc>
        <w:tc>
          <w:tcPr>
            <w:tcW w:w="1017" w:type="dxa"/>
            <w:shd w:val="clear" w:color="auto" w:fill="D9E2F3" w:themeFill="accent5" w:themeFillTint="33"/>
            <w:noWrap/>
            <w:vAlign w:val="center"/>
            <w:hideMark/>
          </w:tcPr>
          <w:p w14:paraId="4ED5C5DD" w14:textId="77777777" w:rsidR="00404ABB" w:rsidRPr="00791162" w:rsidRDefault="00404ABB" w:rsidP="00791162">
            <w:pPr>
              <w:jc w:val="center"/>
              <w:rPr>
                <w:sz w:val="20"/>
                <w:szCs w:val="18"/>
              </w:rPr>
            </w:pPr>
            <w:r w:rsidRPr="00791162">
              <w:rPr>
                <w:sz w:val="20"/>
                <w:szCs w:val="18"/>
              </w:rPr>
              <w:t>21.6</w:t>
            </w:r>
          </w:p>
        </w:tc>
        <w:tc>
          <w:tcPr>
            <w:tcW w:w="783" w:type="dxa"/>
            <w:shd w:val="clear" w:color="auto" w:fill="D9E2F3" w:themeFill="accent5" w:themeFillTint="33"/>
            <w:noWrap/>
            <w:vAlign w:val="center"/>
            <w:hideMark/>
          </w:tcPr>
          <w:p w14:paraId="7A1493C3" w14:textId="77777777" w:rsidR="00404ABB" w:rsidRPr="00791162" w:rsidRDefault="00404ABB" w:rsidP="00791162">
            <w:pPr>
              <w:jc w:val="center"/>
              <w:rPr>
                <w:sz w:val="20"/>
                <w:szCs w:val="18"/>
              </w:rPr>
            </w:pPr>
            <w:r w:rsidRPr="00791162">
              <w:rPr>
                <w:sz w:val="20"/>
                <w:szCs w:val="18"/>
              </w:rPr>
              <w:t>6.3</w:t>
            </w:r>
          </w:p>
        </w:tc>
        <w:tc>
          <w:tcPr>
            <w:tcW w:w="1150" w:type="dxa"/>
            <w:shd w:val="clear" w:color="auto" w:fill="D9E2F3" w:themeFill="accent5" w:themeFillTint="33"/>
            <w:noWrap/>
            <w:vAlign w:val="center"/>
            <w:hideMark/>
          </w:tcPr>
          <w:p w14:paraId="02758FF0" w14:textId="77777777" w:rsidR="00404ABB" w:rsidRPr="00791162" w:rsidRDefault="00404ABB" w:rsidP="00791162">
            <w:pPr>
              <w:jc w:val="center"/>
              <w:rPr>
                <w:sz w:val="20"/>
                <w:szCs w:val="18"/>
              </w:rPr>
            </w:pPr>
            <w:r w:rsidRPr="00791162">
              <w:rPr>
                <w:sz w:val="20"/>
                <w:szCs w:val="18"/>
              </w:rPr>
              <w:t>31.0</w:t>
            </w:r>
          </w:p>
        </w:tc>
        <w:tc>
          <w:tcPr>
            <w:tcW w:w="917" w:type="dxa"/>
            <w:shd w:val="clear" w:color="auto" w:fill="D9E2F3" w:themeFill="accent5" w:themeFillTint="33"/>
            <w:noWrap/>
            <w:vAlign w:val="center"/>
            <w:hideMark/>
          </w:tcPr>
          <w:p w14:paraId="731F9378" w14:textId="77777777" w:rsidR="00404ABB" w:rsidRPr="00791162" w:rsidRDefault="00404ABB" w:rsidP="00791162">
            <w:pPr>
              <w:jc w:val="center"/>
              <w:rPr>
                <w:sz w:val="20"/>
                <w:szCs w:val="18"/>
              </w:rPr>
            </w:pPr>
            <w:r w:rsidRPr="00791162">
              <w:rPr>
                <w:sz w:val="20"/>
                <w:szCs w:val="18"/>
              </w:rPr>
              <w:t>1,113.3</w:t>
            </w:r>
          </w:p>
        </w:tc>
      </w:tr>
      <w:tr w:rsidR="00404ABB" w:rsidRPr="00EE727A" w14:paraId="3586173F" w14:textId="77777777" w:rsidTr="006B3C77">
        <w:trPr>
          <w:trHeight w:val="216"/>
        </w:trPr>
        <w:tc>
          <w:tcPr>
            <w:tcW w:w="1095" w:type="dxa"/>
            <w:vMerge/>
            <w:shd w:val="clear" w:color="auto" w:fill="D9E2F3" w:themeFill="accent5" w:themeFillTint="33"/>
            <w:vAlign w:val="center"/>
          </w:tcPr>
          <w:p w14:paraId="0FC92B25" w14:textId="77777777" w:rsidR="00404ABB" w:rsidRPr="00791162" w:rsidRDefault="00404ABB" w:rsidP="00791162">
            <w:pPr>
              <w:jc w:val="center"/>
              <w:rPr>
                <w:b/>
                <w:bCs/>
                <w:sz w:val="20"/>
                <w:szCs w:val="18"/>
              </w:rPr>
            </w:pPr>
          </w:p>
        </w:tc>
        <w:tc>
          <w:tcPr>
            <w:tcW w:w="719" w:type="dxa"/>
            <w:shd w:val="clear" w:color="auto" w:fill="D9E2F3" w:themeFill="accent5" w:themeFillTint="33"/>
            <w:noWrap/>
            <w:vAlign w:val="center"/>
            <w:hideMark/>
          </w:tcPr>
          <w:p w14:paraId="6F7BAF4C" w14:textId="2CDACF4E" w:rsidR="00404ABB" w:rsidRPr="00791162" w:rsidRDefault="00404ABB" w:rsidP="00791162">
            <w:pPr>
              <w:jc w:val="center"/>
              <w:rPr>
                <w:b/>
                <w:bCs/>
                <w:sz w:val="20"/>
                <w:szCs w:val="18"/>
              </w:rPr>
            </w:pPr>
            <w:r w:rsidRPr="00791162">
              <w:rPr>
                <w:b/>
                <w:bCs/>
                <w:sz w:val="20"/>
                <w:szCs w:val="18"/>
              </w:rPr>
              <w:t>2019</w:t>
            </w:r>
          </w:p>
        </w:tc>
        <w:tc>
          <w:tcPr>
            <w:tcW w:w="906" w:type="dxa"/>
            <w:shd w:val="clear" w:color="auto" w:fill="D9E2F3" w:themeFill="accent5" w:themeFillTint="33"/>
            <w:noWrap/>
            <w:vAlign w:val="center"/>
            <w:hideMark/>
          </w:tcPr>
          <w:p w14:paraId="7700DC82" w14:textId="77777777" w:rsidR="00404ABB" w:rsidRPr="00791162" w:rsidRDefault="00404ABB" w:rsidP="00791162">
            <w:pPr>
              <w:jc w:val="center"/>
              <w:rPr>
                <w:sz w:val="20"/>
                <w:szCs w:val="18"/>
              </w:rPr>
            </w:pPr>
            <w:r w:rsidRPr="00791162">
              <w:rPr>
                <w:sz w:val="20"/>
                <w:szCs w:val="18"/>
              </w:rPr>
              <w:t>18.3</w:t>
            </w:r>
          </w:p>
        </w:tc>
        <w:tc>
          <w:tcPr>
            <w:tcW w:w="1017" w:type="dxa"/>
            <w:shd w:val="clear" w:color="auto" w:fill="D9E2F3" w:themeFill="accent5" w:themeFillTint="33"/>
            <w:noWrap/>
            <w:vAlign w:val="center"/>
            <w:hideMark/>
          </w:tcPr>
          <w:p w14:paraId="771868A0" w14:textId="77777777" w:rsidR="00404ABB" w:rsidRPr="00791162" w:rsidRDefault="00404ABB" w:rsidP="00791162">
            <w:pPr>
              <w:jc w:val="center"/>
              <w:rPr>
                <w:sz w:val="20"/>
                <w:szCs w:val="18"/>
              </w:rPr>
            </w:pPr>
            <w:r w:rsidRPr="00791162">
              <w:rPr>
                <w:sz w:val="20"/>
                <w:szCs w:val="18"/>
              </w:rPr>
              <w:t>1.1</w:t>
            </w:r>
          </w:p>
        </w:tc>
        <w:tc>
          <w:tcPr>
            <w:tcW w:w="1239" w:type="dxa"/>
            <w:shd w:val="clear" w:color="auto" w:fill="D9E2F3" w:themeFill="accent5" w:themeFillTint="33"/>
            <w:noWrap/>
            <w:vAlign w:val="center"/>
            <w:hideMark/>
          </w:tcPr>
          <w:p w14:paraId="7E72B6A3" w14:textId="77777777" w:rsidR="00404ABB" w:rsidRPr="00791162" w:rsidRDefault="00404ABB" w:rsidP="00791162">
            <w:pPr>
              <w:jc w:val="center"/>
              <w:rPr>
                <w:sz w:val="20"/>
                <w:szCs w:val="18"/>
              </w:rPr>
            </w:pPr>
            <w:r w:rsidRPr="00791162">
              <w:rPr>
                <w:sz w:val="20"/>
                <w:szCs w:val="18"/>
              </w:rPr>
              <w:t>-4.5</w:t>
            </w:r>
          </w:p>
        </w:tc>
        <w:tc>
          <w:tcPr>
            <w:tcW w:w="1150" w:type="dxa"/>
            <w:shd w:val="clear" w:color="auto" w:fill="D9E2F3" w:themeFill="accent5" w:themeFillTint="33"/>
            <w:noWrap/>
            <w:vAlign w:val="center"/>
            <w:hideMark/>
          </w:tcPr>
          <w:p w14:paraId="11D57671" w14:textId="77777777" w:rsidR="00404ABB" w:rsidRPr="00791162" w:rsidRDefault="00404ABB" w:rsidP="00791162">
            <w:pPr>
              <w:jc w:val="center"/>
              <w:rPr>
                <w:sz w:val="20"/>
                <w:szCs w:val="18"/>
              </w:rPr>
            </w:pPr>
            <w:r w:rsidRPr="00791162">
              <w:rPr>
                <w:sz w:val="20"/>
                <w:szCs w:val="18"/>
              </w:rPr>
              <w:t>2.4</w:t>
            </w:r>
          </w:p>
        </w:tc>
        <w:tc>
          <w:tcPr>
            <w:tcW w:w="783" w:type="dxa"/>
            <w:shd w:val="clear" w:color="auto" w:fill="D9E2F3" w:themeFill="accent5" w:themeFillTint="33"/>
            <w:noWrap/>
            <w:vAlign w:val="center"/>
            <w:hideMark/>
          </w:tcPr>
          <w:p w14:paraId="452D7DD4" w14:textId="77777777" w:rsidR="00404ABB" w:rsidRPr="00791162" w:rsidRDefault="00404ABB" w:rsidP="00791162">
            <w:pPr>
              <w:jc w:val="center"/>
              <w:rPr>
                <w:sz w:val="20"/>
                <w:szCs w:val="18"/>
              </w:rPr>
            </w:pPr>
            <w:r w:rsidRPr="00791162">
              <w:rPr>
                <w:sz w:val="20"/>
                <w:szCs w:val="18"/>
              </w:rPr>
              <w:t>207.7</w:t>
            </w:r>
          </w:p>
        </w:tc>
        <w:tc>
          <w:tcPr>
            <w:tcW w:w="1017" w:type="dxa"/>
            <w:shd w:val="clear" w:color="auto" w:fill="D9E2F3" w:themeFill="accent5" w:themeFillTint="33"/>
            <w:noWrap/>
            <w:vAlign w:val="center"/>
            <w:hideMark/>
          </w:tcPr>
          <w:p w14:paraId="7D41115E" w14:textId="77777777" w:rsidR="00404ABB" w:rsidRPr="00791162" w:rsidRDefault="00404ABB" w:rsidP="00791162">
            <w:pPr>
              <w:jc w:val="center"/>
              <w:rPr>
                <w:sz w:val="20"/>
                <w:szCs w:val="18"/>
              </w:rPr>
            </w:pPr>
            <w:r w:rsidRPr="00791162">
              <w:rPr>
                <w:sz w:val="20"/>
                <w:szCs w:val="18"/>
              </w:rPr>
              <w:t>12.9</w:t>
            </w:r>
          </w:p>
        </w:tc>
        <w:tc>
          <w:tcPr>
            <w:tcW w:w="783" w:type="dxa"/>
            <w:shd w:val="clear" w:color="auto" w:fill="D9E2F3" w:themeFill="accent5" w:themeFillTint="33"/>
            <w:noWrap/>
            <w:vAlign w:val="center"/>
            <w:hideMark/>
          </w:tcPr>
          <w:p w14:paraId="44443DCE" w14:textId="77777777" w:rsidR="00404ABB" w:rsidRPr="00791162" w:rsidRDefault="00404ABB" w:rsidP="00791162">
            <w:pPr>
              <w:jc w:val="center"/>
              <w:rPr>
                <w:sz w:val="20"/>
                <w:szCs w:val="18"/>
              </w:rPr>
            </w:pPr>
            <w:r w:rsidRPr="00791162">
              <w:rPr>
                <w:sz w:val="20"/>
                <w:szCs w:val="18"/>
              </w:rPr>
              <w:t>-46.1</w:t>
            </w:r>
          </w:p>
        </w:tc>
        <w:tc>
          <w:tcPr>
            <w:tcW w:w="1150" w:type="dxa"/>
            <w:shd w:val="clear" w:color="auto" w:fill="D9E2F3" w:themeFill="accent5" w:themeFillTint="33"/>
            <w:noWrap/>
            <w:vAlign w:val="center"/>
            <w:hideMark/>
          </w:tcPr>
          <w:p w14:paraId="0903EF04" w14:textId="77777777" w:rsidR="00404ABB" w:rsidRPr="00791162" w:rsidRDefault="00404ABB" w:rsidP="00791162">
            <w:pPr>
              <w:jc w:val="center"/>
              <w:rPr>
                <w:sz w:val="20"/>
                <w:szCs w:val="18"/>
              </w:rPr>
            </w:pPr>
            <w:r w:rsidRPr="00791162">
              <w:rPr>
                <w:sz w:val="20"/>
                <w:szCs w:val="18"/>
              </w:rPr>
              <w:t>27.4</w:t>
            </w:r>
          </w:p>
        </w:tc>
        <w:tc>
          <w:tcPr>
            <w:tcW w:w="917" w:type="dxa"/>
            <w:shd w:val="clear" w:color="auto" w:fill="D9E2F3" w:themeFill="accent5" w:themeFillTint="33"/>
            <w:noWrap/>
            <w:vAlign w:val="center"/>
            <w:hideMark/>
          </w:tcPr>
          <w:p w14:paraId="76F5247F" w14:textId="77777777" w:rsidR="00404ABB" w:rsidRPr="00791162" w:rsidRDefault="00404ABB" w:rsidP="00791162">
            <w:pPr>
              <w:jc w:val="center"/>
              <w:rPr>
                <w:sz w:val="20"/>
                <w:szCs w:val="18"/>
              </w:rPr>
            </w:pPr>
            <w:r w:rsidRPr="00791162">
              <w:rPr>
                <w:sz w:val="20"/>
                <w:szCs w:val="18"/>
              </w:rPr>
              <w:t>1,132.8</w:t>
            </w:r>
          </w:p>
        </w:tc>
      </w:tr>
      <w:tr w:rsidR="00404ABB" w:rsidRPr="00EE727A" w14:paraId="24D228E1" w14:textId="77777777" w:rsidTr="006B3C77">
        <w:trPr>
          <w:trHeight w:val="216"/>
        </w:trPr>
        <w:tc>
          <w:tcPr>
            <w:tcW w:w="1095" w:type="dxa"/>
            <w:vMerge/>
            <w:shd w:val="clear" w:color="auto" w:fill="D9E2F3" w:themeFill="accent5" w:themeFillTint="33"/>
            <w:vAlign w:val="center"/>
          </w:tcPr>
          <w:p w14:paraId="15F0C66E" w14:textId="77777777" w:rsidR="00404ABB" w:rsidRPr="00791162" w:rsidRDefault="00404ABB" w:rsidP="00791162">
            <w:pPr>
              <w:jc w:val="center"/>
              <w:rPr>
                <w:b/>
                <w:bCs/>
                <w:sz w:val="20"/>
                <w:szCs w:val="18"/>
              </w:rPr>
            </w:pPr>
          </w:p>
        </w:tc>
        <w:tc>
          <w:tcPr>
            <w:tcW w:w="719" w:type="dxa"/>
            <w:shd w:val="clear" w:color="auto" w:fill="D9E2F3" w:themeFill="accent5" w:themeFillTint="33"/>
            <w:noWrap/>
            <w:vAlign w:val="center"/>
            <w:hideMark/>
          </w:tcPr>
          <w:p w14:paraId="74369025" w14:textId="614FA56C" w:rsidR="00404ABB" w:rsidRPr="00791162" w:rsidRDefault="00404ABB" w:rsidP="00791162">
            <w:pPr>
              <w:jc w:val="center"/>
              <w:rPr>
                <w:b/>
                <w:bCs/>
                <w:sz w:val="20"/>
                <w:szCs w:val="18"/>
              </w:rPr>
            </w:pPr>
            <w:r w:rsidRPr="00791162">
              <w:rPr>
                <w:b/>
                <w:bCs/>
                <w:sz w:val="20"/>
                <w:szCs w:val="18"/>
              </w:rPr>
              <w:t>2020</w:t>
            </w:r>
          </w:p>
        </w:tc>
        <w:tc>
          <w:tcPr>
            <w:tcW w:w="906" w:type="dxa"/>
            <w:shd w:val="clear" w:color="auto" w:fill="D9E2F3" w:themeFill="accent5" w:themeFillTint="33"/>
            <w:noWrap/>
            <w:vAlign w:val="center"/>
            <w:hideMark/>
          </w:tcPr>
          <w:p w14:paraId="6C44C77C" w14:textId="77777777" w:rsidR="00404ABB" w:rsidRPr="00791162" w:rsidRDefault="00404ABB" w:rsidP="00791162">
            <w:pPr>
              <w:jc w:val="center"/>
              <w:rPr>
                <w:sz w:val="20"/>
                <w:szCs w:val="18"/>
              </w:rPr>
            </w:pPr>
            <w:r w:rsidRPr="00791162">
              <w:rPr>
                <w:sz w:val="20"/>
                <w:szCs w:val="18"/>
              </w:rPr>
              <w:t>18.4</w:t>
            </w:r>
          </w:p>
        </w:tc>
        <w:tc>
          <w:tcPr>
            <w:tcW w:w="1017" w:type="dxa"/>
            <w:shd w:val="clear" w:color="auto" w:fill="D9E2F3" w:themeFill="accent5" w:themeFillTint="33"/>
            <w:noWrap/>
            <w:vAlign w:val="center"/>
            <w:hideMark/>
          </w:tcPr>
          <w:p w14:paraId="25A5DD8E" w14:textId="77777777" w:rsidR="00404ABB" w:rsidRPr="00791162" w:rsidRDefault="00404ABB" w:rsidP="00791162">
            <w:pPr>
              <w:jc w:val="center"/>
              <w:rPr>
                <w:sz w:val="20"/>
                <w:szCs w:val="18"/>
              </w:rPr>
            </w:pPr>
            <w:r w:rsidRPr="00791162">
              <w:rPr>
                <w:sz w:val="20"/>
                <w:szCs w:val="18"/>
              </w:rPr>
              <w:t>1.3</w:t>
            </w:r>
          </w:p>
        </w:tc>
        <w:tc>
          <w:tcPr>
            <w:tcW w:w="1239" w:type="dxa"/>
            <w:shd w:val="clear" w:color="auto" w:fill="D9E2F3" w:themeFill="accent5" w:themeFillTint="33"/>
            <w:noWrap/>
            <w:vAlign w:val="center"/>
            <w:hideMark/>
          </w:tcPr>
          <w:p w14:paraId="67314DA7" w14:textId="77777777" w:rsidR="00404ABB" w:rsidRPr="00791162" w:rsidRDefault="00404ABB" w:rsidP="00791162">
            <w:pPr>
              <w:jc w:val="center"/>
              <w:rPr>
                <w:sz w:val="20"/>
                <w:szCs w:val="18"/>
              </w:rPr>
            </w:pPr>
            <w:r w:rsidRPr="00791162">
              <w:rPr>
                <w:sz w:val="20"/>
                <w:szCs w:val="18"/>
              </w:rPr>
              <w:t>0.1</w:t>
            </w:r>
          </w:p>
        </w:tc>
        <w:tc>
          <w:tcPr>
            <w:tcW w:w="1150" w:type="dxa"/>
            <w:shd w:val="clear" w:color="auto" w:fill="D9E2F3" w:themeFill="accent5" w:themeFillTint="33"/>
            <w:noWrap/>
            <w:vAlign w:val="center"/>
            <w:hideMark/>
          </w:tcPr>
          <w:p w14:paraId="697CDAEE" w14:textId="77777777" w:rsidR="00404ABB" w:rsidRPr="00791162" w:rsidRDefault="00404ABB" w:rsidP="00791162">
            <w:pPr>
              <w:jc w:val="center"/>
              <w:rPr>
                <w:sz w:val="20"/>
                <w:szCs w:val="18"/>
              </w:rPr>
            </w:pPr>
            <w:r w:rsidRPr="00791162">
              <w:rPr>
                <w:sz w:val="20"/>
                <w:szCs w:val="18"/>
              </w:rPr>
              <w:t>1.8</w:t>
            </w:r>
          </w:p>
        </w:tc>
        <w:tc>
          <w:tcPr>
            <w:tcW w:w="783" w:type="dxa"/>
            <w:shd w:val="clear" w:color="auto" w:fill="D9E2F3" w:themeFill="accent5" w:themeFillTint="33"/>
            <w:noWrap/>
            <w:vAlign w:val="center"/>
            <w:hideMark/>
          </w:tcPr>
          <w:p w14:paraId="75E7BF70" w14:textId="77777777" w:rsidR="00404ABB" w:rsidRPr="00791162" w:rsidRDefault="00404ABB" w:rsidP="00791162">
            <w:pPr>
              <w:jc w:val="center"/>
              <w:rPr>
                <w:sz w:val="20"/>
                <w:szCs w:val="18"/>
              </w:rPr>
            </w:pPr>
            <w:r w:rsidRPr="00791162">
              <w:rPr>
                <w:sz w:val="20"/>
                <w:szCs w:val="18"/>
              </w:rPr>
              <w:t>210.5</w:t>
            </w:r>
          </w:p>
        </w:tc>
        <w:tc>
          <w:tcPr>
            <w:tcW w:w="1017" w:type="dxa"/>
            <w:shd w:val="clear" w:color="auto" w:fill="D9E2F3" w:themeFill="accent5" w:themeFillTint="33"/>
            <w:noWrap/>
            <w:vAlign w:val="center"/>
            <w:hideMark/>
          </w:tcPr>
          <w:p w14:paraId="56A829DE" w14:textId="77777777" w:rsidR="00404ABB" w:rsidRPr="00791162" w:rsidRDefault="00404ABB" w:rsidP="00791162">
            <w:pPr>
              <w:jc w:val="center"/>
              <w:rPr>
                <w:sz w:val="20"/>
                <w:szCs w:val="18"/>
              </w:rPr>
            </w:pPr>
            <w:r w:rsidRPr="00791162">
              <w:rPr>
                <w:sz w:val="20"/>
                <w:szCs w:val="18"/>
              </w:rPr>
              <w:t>15.2</w:t>
            </w:r>
          </w:p>
        </w:tc>
        <w:tc>
          <w:tcPr>
            <w:tcW w:w="783" w:type="dxa"/>
            <w:shd w:val="clear" w:color="auto" w:fill="D9E2F3" w:themeFill="accent5" w:themeFillTint="33"/>
            <w:noWrap/>
            <w:vAlign w:val="center"/>
            <w:hideMark/>
          </w:tcPr>
          <w:p w14:paraId="0C5AFEFF" w14:textId="77777777" w:rsidR="00404ABB" w:rsidRPr="00791162" w:rsidRDefault="00404ABB" w:rsidP="00791162">
            <w:pPr>
              <w:jc w:val="center"/>
              <w:rPr>
                <w:sz w:val="20"/>
                <w:szCs w:val="18"/>
              </w:rPr>
            </w:pPr>
            <w:r w:rsidRPr="00791162">
              <w:rPr>
                <w:sz w:val="20"/>
                <w:szCs w:val="18"/>
              </w:rPr>
              <w:t>2.8</w:t>
            </w:r>
          </w:p>
        </w:tc>
        <w:tc>
          <w:tcPr>
            <w:tcW w:w="1150" w:type="dxa"/>
            <w:shd w:val="clear" w:color="auto" w:fill="D9E2F3" w:themeFill="accent5" w:themeFillTint="33"/>
            <w:noWrap/>
            <w:vAlign w:val="center"/>
            <w:hideMark/>
          </w:tcPr>
          <w:p w14:paraId="19F52BD8" w14:textId="77777777" w:rsidR="00404ABB" w:rsidRPr="00791162" w:rsidRDefault="00404ABB" w:rsidP="00791162">
            <w:pPr>
              <w:jc w:val="center"/>
              <w:rPr>
                <w:sz w:val="20"/>
                <w:szCs w:val="18"/>
              </w:rPr>
            </w:pPr>
            <w:r w:rsidRPr="00791162">
              <w:rPr>
                <w:sz w:val="20"/>
                <w:szCs w:val="18"/>
              </w:rPr>
              <w:t>20.0</w:t>
            </w:r>
          </w:p>
        </w:tc>
        <w:tc>
          <w:tcPr>
            <w:tcW w:w="917" w:type="dxa"/>
            <w:shd w:val="clear" w:color="auto" w:fill="D9E2F3" w:themeFill="accent5" w:themeFillTint="33"/>
            <w:noWrap/>
            <w:vAlign w:val="center"/>
            <w:hideMark/>
          </w:tcPr>
          <w:p w14:paraId="6D9FC193" w14:textId="77777777" w:rsidR="00404ABB" w:rsidRPr="00791162" w:rsidRDefault="00404ABB" w:rsidP="00791162">
            <w:pPr>
              <w:jc w:val="center"/>
              <w:rPr>
                <w:sz w:val="20"/>
                <w:szCs w:val="18"/>
              </w:rPr>
            </w:pPr>
            <w:r w:rsidRPr="00791162">
              <w:rPr>
                <w:sz w:val="20"/>
                <w:szCs w:val="18"/>
              </w:rPr>
              <w:t>1,144.2</w:t>
            </w:r>
          </w:p>
        </w:tc>
      </w:tr>
      <w:tr w:rsidR="00404ABB" w:rsidRPr="00EE727A" w14:paraId="58EA2493" w14:textId="77777777" w:rsidTr="006B3C77">
        <w:trPr>
          <w:trHeight w:val="216"/>
        </w:trPr>
        <w:tc>
          <w:tcPr>
            <w:tcW w:w="1095" w:type="dxa"/>
            <w:vMerge w:val="restart"/>
            <w:shd w:val="clear" w:color="auto" w:fill="B4C6E7" w:themeFill="accent5" w:themeFillTint="66"/>
            <w:vAlign w:val="center"/>
          </w:tcPr>
          <w:p w14:paraId="5D3F9ED4" w14:textId="4A1E26B7" w:rsidR="00404ABB" w:rsidRPr="00791162" w:rsidRDefault="00404ABB" w:rsidP="00791162">
            <w:pPr>
              <w:jc w:val="center"/>
              <w:rPr>
                <w:b/>
                <w:bCs/>
                <w:sz w:val="20"/>
                <w:szCs w:val="18"/>
              </w:rPr>
            </w:pPr>
            <w:r w:rsidRPr="00791162">
              <w:rPr>
                <w:b/>
                <w:bCs/>
                <w:sz w:val="20"/>
                <w:szCs w:val="18"/>
              </w:rPr>
              <w:t>BHC50</w:t>
            </w:r>
          </w:p>
        </w:tc>
        <w:tc>
          <w:tcPr>
            <w:tcW w:w="719" w:type="dxa"/>
            <w:shd w:val="clear" w:color="auto" w:fill="B4C6E7" w:themeFill="accent5" w:themeFillTint="66"/>
            <w:noWrap/>
            <w:vAlign w:val="center"/>
            <w:hideMark/>
          </w:tcPr>
          <w:p w14:paraId="6CBD1197" w14:textId="77777777" w:rsidR="00404ABB" w:rsidRPr="00791162" w:rsidRDefault="00404ABB" w:rsidP="00791162">
            <w:pPr>
              <w:jc w:val="center"/>
              <w:rPr>
                <w:b/>
                <w:bCs/>
                <w:sz w:val="20"/>
                <w:szCs w:val="18"/>
              </w:rPr>
            </w:pPr>
            <w:r w:rsidRPr="00791162">
              <w:rPr>
                <w:b/>
                <w:bCs/>
                <w:sz w:val="20"/>
                <w:szCs w:val="18"/>
              </w:rPr>
              <w:t>2018</w:t>
            </w:r>
          </w:p>
        </w:tc>
        <w:tc>
          <w:tcPr>
            <w:tcW w:w="906" w:type="dxa"/>
            <w:shd w:val="clear" w:color="auto" w:fill="B4C6E7" w:themeFill="accent5" w:themeFillTint="66"/>
            <w:noWrap/>
            <w:vAlign w:val="center"/>
          </w:tcPr>
          <w:p w14:paraId="2C58C13F" w14:textId="32CC6DED" w:rsidR="00404ABB" w:rsidRPr="00791162" w:rsidRDefault="00C82BF2" w:rsidP="00791162">
            <w:pPr>
              <w:jc w:val="center"/>
              <w:rPr>
                <w:sz w:val="20"/>
                <w:szCs w:val="18"/>
              </w:rPr>
            </w:pPr>
            <w:r w:rsidRPr="00791162">
              <w:rPr>
                <w:sz w:val="20"/>
                <w:szCs w:val="18"/>
              </w:rPr>
              <w:t>16.5</w:t>
            </w:r>
          </w:p>
        </w:tc>
        <w:tc>
          <w:tcPr>
            <w:tcW w:w="1017" w:type="dxa"/>
            <w:shd w:val="clear" w:color="auto" w:fill="B4C6E7" w:themeFill="accent5" w:themeFillTint="66"/>
            <w:noWrap/>
            <w:vAlign w:val="center"/>
          </w:tcPr>
          <w:p w14:paraId="63FA5D3C" w14:textId="6D5929C4" w:rsidR="00404ABB" w:rsidRPr="00791162" w:rsidRDefault="00C82BF2" w:rsidP="00791162">
            <w:pPr>
              <w:jc w:val="center"/>
              <w:rPr>
                <w:sz w:val="20"/>
                <w:szCs w:val="18"/>
              </w:rPr>
            </w:pPr>
            <w:r w:rsidRPr="00791162">
              <w:rPr>
                <w:sz w:val="20"/>
                <w:szCs w:val="18"/>
              </w:rPr>
              <w:t>1.1</w:t>
            </w:r>
          </w:p>
        </w:tc>
        <w:tc>
          <w:tcPr>
            <w:tcW w:w="1239" w:type="dxa"/>
            <w:shd w:val="clear" w:color="auto" w:fill="B4C6E7" w:themeFill="accent5" w:themeFillTint="66"/>
            <w:noWrap/>
            <w:vAlign w:val="center"/>
          </w:tcPr>
          <w:p w14:paraId="16D7AE5A" w14:textId="0A58B99C" w:rsidR="00404ABB" w:rsidRPr="00791162" w:rsidRDefault="00C82BF2" w:rsidP="00791162">
            <w:pPr>
              <w:jc w:val="center"/>
              <w:rPr>
                <w:sz w:val="20"/>
                <w:szCs w:val="18"/>
              </w:rPr>
            </w:pPr>
            <w:r w:rsidRPr="00791162">
              <w:rPr>
                <w:sz w:val="20"/>
                <w:szCs w:val="18"/>
              </w:rPr>
              <w:t>2.3</w:t>
            </w:r>
          </w:p>
        </w:tc>
        <w:tc>
          <w:tcPr>
            <w:tcW w:w="1150" w:type="dxa"/>
            <w:shd w:val="clear" w:color="auto" w:fill="B4C6E7" w:themeFill="accent5" w:themeFillTint="66"/>
            <w:noWrap/>
            <w:vAlign w:val="center"/>
          </w:tcPr>
          <w:p w14:paraId="6B486738" w14:textId="57B07B19" w:rsidR="00404ABB" w:rsidRPr="00791162" w:rsidRDefault="002C5CE4" w:rsidP="00791162">
            <w:pPr>
              <w:jc w:val="center"/>
              <w:rPr>
                <w:sz w:val="20"/>
                <w:szCs w:val="18"/>
              </w:rPr>
            </w:pPr>
            <w:r w:rsidRPr="00791162">
              <w:rPr>
                <w:sz w:val="20"/>
                <w:szCs w:val="18"/>
              </w:rPr>
              <w:t>1.6</w:t>
            </w:r>
          </w:p>
        </w:tc>
        <w:tc>
          <w:tcPr>
            <w:tcW w:w="783" w:type="dxa"/>
            <w:shd w:val="clear" w:color="auto" w:fill="B4C6E7" w:themeFill="accent5" w:themeFillTint="66"/>
            <w:noWrap/>
            <w:vAlign w:val="center"/>
          </w:tcPr>
          <w:p w14:paraId="53ACB5D8" w14:textId="15968C63" w:rsidR="00404ABB" w:rsidRPr="00791162" w:rsidRDefault="002C5CE4" w:rsidP="00791162">
            <w:pPr>
              <w:jc w:val="center"/>
              <w:rPr>
                <w:sz w:val="20"/>
                <w:szCs w:val="18"/>
              </w:rPr>
            </w:pPr>
            <w:r w:rsidRPr="00791162">
              <w:rPr>
                <w:sz w:val="20"/>
                <w:szCs w:val="18"/>
              </w:rPr>
              <w:t>183.4</w:t>
            </w:r>
          </w:p>
        </w:tc>
        <w:tc>
          <w:tcPr>
            <w:tcW w:w="1017" w:type="dxa"/>
            <w:shd w:val="clear" w:color="auto" w:fill="B4C6E7" w:themeFill="accent5" w:themeFillTint="66"/>
            <w:noWrap/>
            <w:vAlign w:val="center"/>
          </w:tcPr>
          <w:p w14:paraId="23C90BE4" w14:textId="099C7453" w:rsidR="00404ABB" w:rsidRPr="00791162" w:rsidRDefault="002C5CE4" w:rsidP="00791162">
            <w:pPr>
              <w:jc w:val="center"/>
              <w:rPr>
                <w:sz w:val="20"/>
                <w:szCs w:val="18"/>
              </w:rPr>
            </w:pPr>
            <w:r w:rsidRPr="00791162">
              <w:rPr>
                <w:sz w:val="20"/>
                <w:szCs w:val="18"/>
              </w:rPr>
              <w:t>12.2</w:t>
            </w:r>
          </w:p>
        </w:tc>
        <w:tc>
          <w:tcPr>
            <w:tcW w:w="783" w:type="dxa"/>
            <w:shd w:val="clear" w:color="auto" w:fill="B4C6E7" w:themeFill="accent5" w:themeFillTint="66"/>
            <w:noWrap/>
            <w:vAlign w:val="center"/>
          </w:tcPr>
          <w:p w14:paraId="72D9FD4C" w14:textId="683E5573" w:rsidR="00404ABB" w:rsidRPr="00791162" w:rsidRDefault="002C5CE4" w:rsidP="00791162">
            <w:pPr>
              <w:jc w:val="center"/>
              <w:rPr>
                <w:sz w:val="20"/>
                <w:szCs w:val="18"/>
              </w:rPr>
            </w:pPr>
            <w:r w:rsidRPr="00791162">
              <w:rPr>
                <w:sz w:val="20"/>
                <w:szCs w:val="18"/>
              </w:rPr>
              <w:t>27.1</w:t>
            </w:r>
          </w:p>
        </w:tc>
        <w:tc>
          <w:tcPr>
            <w:tcW w:w="1150" w:type="dxa"/>
            <w:shd w:val="clear" w:color="auto" w:fill="B4C6E7" w:themeFill="accent5" w:themeFillTint="66"/>
            <w:noWrap/>
            <w:vAlign w:val="center"/>
          </w:tcPr>
          <w:p w14:paraId="2FD733C9" w14:textId="53CDD360" w:rsidR="00404ABB" w:rsidRPr="00791162" w:rsidRDefault="002C5CE4" w:rsidP="00791162">
            <w:pPr>
              <w:jc w:val="center"/>
              <w:rPr>
                <w:sz w:val="20"/>
                <w:szCs w:val="18"/>
              </w:rPr>
            </w:pPr>
            <w:r w:rsidRPr="00791162">
              <w:rPr>
                <w:sz w:val="20"/>
                <w:szCs w:val="18"/>
              </w:rPr>
              <w:t>17.4</w:t>
            </w:r>
          </w:p>
        </w:tc>
        <w:tc>
          <w:tcPr>
            <w:tcW w:w="917" w:type="dxa"/>
            <w:shd w:val="clear" w:color="auto" w:fill="B4C6E7" w:themeFill="accent5" w:themeFillTint="66"/>
            <w:noWrap/>
            <w:vAlign w:val="center"/>
          </w:tcPr>
          <w:p w14:paraId="6DEA8480" w14:textId="45EEE4EB" w:rsidR="00404ABB" w:rsidRPr="00791162" w:rsidRDefault="002C5CE4" w:rsidP="00791162">
            <w:pPr>
              <w:jc w:val="center"/>
              <w:rPr>
                <w:sz w:val="20"/>
                <w:szCs w:val="18"/>
              </w:rPr>
            </w:pPr>
            <w:r w:rsidRPr="00791162">
              <w:rPr>
                <w:sz w:val="20"/>
                <w:szCs w:val="18"/>
              </w:rPr>
              <w:t>1,113.3</w:t>
            </w:r>
          </w:p>
        </w:tc>
      </w:tr>
      <w:tr w:rsidR="00404ABB" w:rsidRPr="00EE727A" w14:paraId="599AE26D" w14:textId="77777777" w:rsidTr="006B3C77">
        <w:trPr>
          <w:trHeight w:val="216"/>
        </w:trPr>
        <w:tc>
          <w:tcPr>
            <w:tcW w:w="1095" w:type="dxa"/>
            <w:vMerge/>
            <w:shd w:val="clear" w:color="auto" w:fill="B4C6E7" w:themeFill="accent5" w:themeFillTint="66"/>
            <w:vAlign w:val="center"/>
          </w:tcPr>
          <w:p w14:paraId="298A01D5" w14:textId="77777777" w:rsidR="00404ABB" w:rsidRPr="00791162" w:rsidRDefault="00404ABB" w:rsidP="00791162">
            <w:pPr>
              <w:jc w:val="center"/>
              <w:rPr>
                <w:b/>
                <w:bCs/>
                <w:sz w:val="20"/>
                <w:szCs w:val="18"/>
              </w:rPr>
            </w:pPr>
          </w:p>
        </w:tc>
        <w:tc>
          <w:tcPr>
            <w:tcW w:w="719" w:type="dxa"/>
            <w:shd w:val="clear" w:color="auto" w:fill="B4C6E7" w:themeFill="accent5" w:themeFillTint="66"/>
            <w:noWrap/>
            <w:vAlign w:val="center"/>
            <w:hideMark/>
          </w:tcPr>
          <w:p w14:paraId="2E750778" w14:textId="77777777" w:rsidR="00404ABB" w:rsidRPr="00791162" w:rsidRDefault="00404ABB" w:rsidP="00791162">
            <w:pPr>
              <w:jc w:val="center"/>
              <w:rPr>
                <w:b/>
                <w:bCs/>
                <w:sz w:val="20"/>
                <w:szCs w:val="18"/>
              </w:rPr>
            </w:pPr>
            <w:r w:rsidRPr="00791162">
              <w:rPr>
                <w:b/>
                <w:bCs/>
                <w:sz w:val="20"/>
                <w:szCs w:val="18"/>
              </w:rPr>
              <w:t>2019</w:t>
            </w:r>
          </w:p>
        </w:tc>
        <w:tc>
          <w:tcPr>
            <w:tcW w:w="906" w:type="dxa"/>
            <w:shd w:val="clear" w:color="auto" w:fill="B4C6E7" w:themeFill="accent5" w:themeFillTint="66"/>
            <w:noWrap/>
            <w:vAlign w:val="center"/>
          </w:tcPr>
          <w:p w14:paraId="5AAC5E2F" w14:textId="46EF8C09" w:rsidR="00404ABB" w:rsidRPr="00791162" w:rsidRDefault="002C5CE4" w:rsidP="00791162">
            <w:pPr>
              <w:jc w:val="center"/>
              <w:rPr>
                <w:sz w:val="20"/>
                <w:szCs w:val="18"/>
              </w:rPr>
            </w:pPr>
            <w:r w:rsidRPr="00791162">
              <w:rPr>
                <w:sz w:val="20"/>
                <w:szCs w:val="18"/>
              </w:rPr>
              <w:t>13.5</w:t>
            </w:r>
          </w:p>
        </w:tc>
        <w:tc>
          <w:tcPr>
            <w:tcW w:w="1017" w:type="dxa"/>
            <w:shd w:val="clear" w:color="auto" w:fill="B4C6E7" w:themeFill="accent5" w:themeFillTint="66"/>
            <w:noWrap/>
            <w:vAlign w:val="center"/>
          </w:tcPr>
          <w:p w14:paraId="21A617E1" w14:textId="72946F8A" w:rsidR="00404ABB" w:rsidRPr="00791162" w:rsidRDefault="002C5CE4" w:rsidP="00791162">
            <w:pPr>
              <w:jc w:val="center"/>
              <w:rPr>
                <w:sz w:val="20"/>
                <w:szCs w:val="18"/>
              </w:rPr>
            </w:pPr>
            <w:r w:rsidRPr="00791162">
              <w:rPr>
                <w:sz w:val="20"/>
                <w:szCs w:val="18"/>
              </w:rPr>
              <w:t>0.9</w:t>
            </w:r>
          </w:p>
        </w:tc>
        <w:tc>
          <w:tcPr>
            <w:tcW w:w="1239" w:type="dxa"/>
            <w:shd w:val="clear" w:color="auto" w:fill="B4C6E7" w:themeFill="accent5" w:themeFillTint="66"/>
            <w:noWrap/>
            <w:vAlign w:val="center"/>
          </w:tcPr>
          <w:p w14:paraId="7BEECE4E" w14:textId="1E175441" w:rsidR="00404ABB" w:rsidRPr="00791162" w:rsidRDefault="002C5CE4" w:rsidP="00791162">
            <w:pPr>
              <w:jc w:val="center"/>
              <w:rPr>
                <w:sz w:val="20"/>
                <w:szCs w:val="18"/>
              </w:rPr>
            </w:pPr>
            <w:r w:rsidRPr="00791162">
              <w:rPr>
                <w:sz w:val="20"/>
                <w:szCs w:val="18"/>
              </w:rPr>
              <w:t>-2.9</w:t>
            </w:r>
          </w:p>
        </w:tc>
        <w:tc>
          <w:tcPr>
            <w:tcW w:w="1150" w:type="dxa"/>
            <w:shd w:val="clear" w:color="auto" w:fill="B4C6E7" w:themeFill="accent5" w:themeFillTint="66"/>
            <w:noWrap/>
            <w:vAlign w:val="center"/>
          </w:tcPr>
          <w:p w14:paraId="136D6FB0" w14:textId="5B78A695" w:rsidR="00404ABB" w:rsidRPr="00791162" w:rsidRDefault="002C5CE4" w:rsidP="00791162">
            <w:pPr>
              <w:jc w:val="center"/>
              <w:rPr>
                <w:sz w:val="20"/>
                <w:szCs w:val="18"/>
              </w:rPr>
            </w:pPr>
            <w:r w:rsidRPr="00791162">
              <w:rPr>
                <w:sz w:val="20"/>
                <w:szCs w:val="18"/>
              </w:rPr>
              <w:t>1.7</w:t>
            </w:r>
          </w:p>
        </w:tc>
        <w:tc>
          <w:tcPr>
            <w:tcW w:w="783" w:type="dxa"/>
            <w:shd w:val="clear" w:color="auto" w:fill="B4C6E7" w:themeFill="accent5" w:themeFillTint="66"/>
            <w:noWrap/>
            <w:vAlign w:val="center"/>
          </w:tcPr>
          <w:p w14:paraId="68627566" w14:textId="69D728C9" w:rsidR="00404ABB" w:rsidRPr="00791162" w:rsidRDefault="002C5CE4" w:rsidP="00791162">
            <w:pPr>
              <w:jc w:val="center"/>
              <w:rPr>
                <w:sz w:val="20"/>
                <w:szCs w:val="18"/>
              </w:rPr>
            </w:pPr>
            <w:r w:rsidRPr="00791162">
              <w:rPr>
                <w:sz w:val="20"/>
                <w:szCs w:val="18"/>
              </w:rPr>
              <w:t>153.2</w:t>
            </w:r>
          </w:p>
        </w:tc>
        <w:tc>
          <w:tcPr>
            <w:tcW w:w="1017" w:type="dxa"/>
            <w:shd w:val="clear" w:color="auto" w:fill="B4C6E7" w:themeFill="accent5" w:themeFillTint="66"/>
            <w:noWrap/>
            <w:vAlign w:val="center"/>
          </w:tcPr>
          <w:p w14:paraId="243EA851" w14:textId="338BB3FE" w:rsidR="00404ABB" w:rsidRPr="00791162" w:rsidRDefault="002C5CE4" w:rsidP="00791162">
            <w:pPr>
              <w:jc w:val="center"/>
              <w:rPr>
                <w:sz w:val="20"/>
                <w:szCs w:val="18"/>
              </w:rPr>
            </w:pPr>
            <w:r w:rsidRPr="00791162">
              <w:rPr>
                <w:sz w:val="20"/>
                <w:szCs w:val="18"/>
              </w:rPr>
              <w:t>10.1</w:t>
            </w:r>
          </w:p>
        </w:tc>
        <w:tc>
          <w:tcPr>
            <w:tcW w:w="783" w:type="dxa"/>
            <w:shd w:val="clear" w:color="auto" w:fill="B4C6E7" w:themeFill="accent5" w:themeFillTint="66"/>
            <w:noWrap/>
            <w:vAlign w:val="center"/>
          </w:tcPr>
          <w:p w14:paraId="12CBF23C" w14:textId="5EEB71CB" w:rsidR="00404ABB" w:rsidRPr="00791162" w:rsidRDefault="00EB0D02" w:rsidP="00791162">
            <w:pPr>
              <w:jc w:val="center"/>
              <w:rPr>
                <w:sz w:val="20"/>
                <w:szCs w:val="18"/>
              </w:rPr>
            </w:pPr>
            <w:r w:rsidRPr="00791162">
              <w:rPr>
                <w:sz w:val="20"/>
                <w:szCs w:val="18"/>
              </w:rPr>
              <w:t>-30.</w:t>
            </w:r>
            <w:r w:rsidR="00EF3F0F" w:rsidRPr="00791162">
              <w:rPr>
                <w:sz w:val="20"/>
                <w:szCs w:val="18"/>
              </w:rPr>
              <w:t>1</w:t>
            </w:r>
          </w:p>
        </w:tc>
        <w:tc>
          <w:tcPr>
            <w:tcW w:w="1150" w:type="dxa"/>
            <w:shd w:val="clear" w:color="auto" w:fill="B4C6E7" w:themeFill="accent5" w:themeFillTint="66"/>
            <w:noWrap/>
            <w:vAlign w:val="center"/>
          </w:tcPr>
          <w:p w14:paraId="3518B43A" w14:textId="78B94A56" w:rsidR="00404ABB" w:rsidRPr="00791162" w:rsidRDefault="00205BB3" w:rsidP="00791162">
            <w:pPr>
              <w:jc w:val="center"/>
              <w:rPr>
                <w:sz w:val="20"/>
                <w:szCs w:val="18"/>
              </w:rPr>
            </w:pPr>
            <w:r w:rsidRPr="00791162">
              <w:rPr>
                <w:sz w:val="20"/>
                <w:szCs w:val="18"/>
              </w:rPr>
              <w:t>19.6</w:t>
            </w:r>
          </w:p>
        </w:tc>
        <w:tc>
          <w:tcPr>
            <w:tcW w:w="917" w:type="dxa"/>
            <w:shd w:val="clear" w:color="auto" w:fill="B4C6E7" w:themeFill="accent5" w:themeFillTint="66"/>
            <w:noWrap/>
            <w:vAlign w:val="center"/>
          </w:tcPr>
          <w:p w14:paraId="0FC6D30A" w14:textId="252113DE" w:rsidR="00404ABB" w:rsidRPr="00791162" w:rsidRDefault="00DE6C98" w:rsidP="00791162">
            <w:pPr>
              <w:jc w:val="center"/>
              <w:rPr>
                <w:sz w:val="20"/>
                <w:szCs w:val="18"/>
              </w:rPr>
            </w:pPr>
            <w:r w:rsidRPr="00791162">
              <w:rPr>
                <w:sz w:val="20"/>
                <w:szCs w:val="18"/>
              </w:rPr>
              <w:t>1,132.8</w:t>
            </w:r>
          </w:p>
        </w:tc>
      </w:tr>
      <w:tr w:rsidR="00404ABB" w:rsidRPr="00EE727A" w14:paraId="0401FE4B" w14:textId="77777777" w:rsidTr="006B3C77">
        <w:trPr>
          <w:trHeight w:val="216"/>
        </w:trPr>
        <w:tc>
          <w:tcPr>
            <w:tcW w:w="1095" w:type="dxa"/>
            <w:vMerge/>
            <w:shd w:val="clear" w:color="auto" w:fill="B4C6E7" w:themeFill="accent5" w:themeFillTint="66"/>
            <w:vAlign w:val="center"/>
          </w:tcPr>
          <w:p w14:paraId="25ED477E" w14:textId="77777777" w:rsidR="00404ABB" w:rsidRPr="00791162" w:rsidRDefault="00404ABB" w:rsidP="00791162">
            <w:pPr>
              <w:jc w:val="center"/>
              <w:rPr>
                <w:b/>
                <w:bCs/>
                <w:sz w:val="20"/>
                <w:szCs w:val="18"/>
              </w:rPr>
            </w:pPr>
          </w:p>
        </w:tc>
        <w:tc>
          <w:tcPr>
            <w:tcW w:w="719" w:type="dxa"/>
            <w:shd w:val="clear" w:color="auto" w:fill="B4C6E7" w:themeFill="accent5" w:themeFillTint="66"/>
            <w:noWrap/>
            <w:vAlign w:val="center"/>
            <w:hideMark/>
          </w:tcPr>
          <w:p w14:paraId="1ADC62B9" w14:textId="77777777" w:rsidR="00404ABB" w:rsidRPr="00791162" w:rsidRDefault="00404ABB" w:rsidP="00791162">
            <w:pPr>
              <w:jc w:val="center"/>
              <w:rPr>
                <w:b/>
                <w:bCs/>
                <w:sz w:val="20"/>
                <w:szCs w:val="18"/>
              </w:rPr>
            </w:pPr>
            <w:r w:rsidRPr="00791162">
              <w:rPr>
                <w:b/>
                <w:bCs/>
                <w:sz w:val="20"/>
                <w:szCs w:val="18"/>
              </w:rPr>
              <w:t>2020</w:t>
            </w:r>
          </w:p>
        </w:tc>
        <w:tc>
          <w:tcPr>
            <w:tcW w:w="906" w:type="dxa"/>
            <w:shd w:val="clear" w:color="auto" w:fill="B4C6E7" w:themeFill="accent5" w:themeFillTint="66"/>
            <w:noWrap/>
            <w:vAlign w:val="center"/>
          </w:tcPr>
          <w:p w14:paraId="13C424A8" w14:textId="091081BB" w:rsidR="00404ABB" w:rsidRPr="00791162" w:rsidRDefault="00422113" w:rsidP="00791162">
            <w:pPr>
              <w:jc w:val="center"/>
              <w:rPr>
                <w:sz w:val="20"/>
                <w:szCs w:val="18"/>
              </w:rPr>
            </w:pPr>
            <w:r w:rsidRPr="00791162">
              <w:rPr>
                <w:sz w:val="20"/>
                <w:szCs w:val="18"/>
              </w:rPr>
              <w:t>13.8</w:t>
            </w:r>
          </w:p>
        </w:tc>
        <w:tc>
          <w:tcPr>
            <w:tcW w:w="1017" w:type="dxa"/>
            <w:shd w:val="clear" w:color="auto" w:fill="B4C6E7" w:themeFill="accent5" w:themeFillTint="66"/>
            <w:noWrap/>
            <w:vAlign w:val="center"/>
          </w:tcPr>
          <w:p w14:paraId="66BF0584" w14:textId="2A29AD5C" w:rsidR="00404ABB" w:rsidRPr="00791162" w:rsidRDefault="00422113" w:rsidP="00791162">
            <w:pPr>
              <w:jc w:val="center"/>
              <w:rPr>
                <w:sz w:val="20"/>
                <w:szCs w:val="18"/>
              </w:rPr>
            </w:pPr>
            <w:r w:rsidRPr="00791162">
              <w:rPr>
                <w:sz w:val="20"/>
                <w:szCs w:val="18"/>
              </w:rPr>
              <w:t>1.2</w:t>
            </w:r>
          </w:p>
        </w:tc>
        <w:tc>
          <w:tcPr>
            <w:tcW w:w="1239" w:type="dxa"/>
            <w:shd w:val="clear" w:color="auto" w:fill="B4C6E7" w:themeFill="accent5" w:themeFillTint="66"/>
            <w:noWrap/>
            <w:vAlign w:val="center"/>
          </w:tcPr>
          <w:p w14:paraId="4943738B" w14:textId="64F34829" w:rsidR="00404ABB" w:rsidRPr="00791162" w:rsidRDefault="00422113" w:rsidP="00791162">
            <w:pPr>
              <w:jc w:val="center"/>
              <w:rPr>
                <w:sz w:val="20"/>
                <w:szCs w:val="18"/>
              </w:rPr>
            </w:pPr>
            <w:r w:rsidRPr="00791162">
              <w:rPr>
                <w:sz w:val="20"/>
                <w:szCs w:val="18"/>
              </w:rPr>
              <w:t>0.3</w:t>
            </w:r>
          </w:p>
        </w:tc>
        <w:tc>
          <w:tcPr>
            <w:tcW w:w="1150" w:type="dxa"/>
            <w:shd w:val="clear" w:color="auto" w:fill="B4C6E7" w:themeFill="accent5" w:themeFillTint="66"/>
            <w:noWrap/>
            <w:vAlign w:val="center"/>
          </w:tcPr>
          <w:p w14:paraId="3BB46620" w14:textId="5674EB30" w:rsidR="00404ABB" w:rsidRPr="00791162" w:rsidRDefault="00422113" w:rsidP="00791162">
            <w:pPr>
              <w:jc w:val="center"/>
              <w:rPr>
                <w:sz w:val="20"/>
                <w:szCs w:val="18"/>
              </w:rPr>
            </w:pPr>
            <w:r w:rsidRPr="00791162">
              <w:rPr>
                <w:sz w:val="20"/>
                <w:szCs w:val="18"/>
              </w:rPr>
              <w:t>1.5</w:t>
            </w:r>
          </w:p>
        </w:tc>
        <w:tc>
          <w:tcPr>
            <w:tcW w:w="783" w:type="dxa"/>
            <w:shd w:val="clear" w:color="auto" w:fill="B4C6E7" w:themeFill="accent5" w:themeFillTint="66"/>
            <w:noWrap/>
            <w:vAlign w:val="center"/>
          </w:tcPr>
          <w:p w14:paraId="12BEB02C" w14:textId="1F12A92A" w:rsidR="00404ABB" w:rsidRPr="00791162" w:rsidRDefault="00422113" w:rsidP="00791162">
            <w:pPr>
              <w:jc w:val="center"/>
              <w:rPr>
                <w:sz w:val="20"/>
                <w:szCs w:val="18"/>
              </w:rPr>
            </w:pPr>
            <w:r w:rsidRPr="00791162">
              <w:rPr>
                <w:sz w:val="20"/>
                <w:szCs w:val="18"/>
              </w:rPr>
              <w:t>157.8</w:t>
            </w:r>
          </w:p>
        </w:tc>
        <w:tc>
          <w:tcPr>
            <w:tcW w:w="1017" w:type="dxa"/>
            <w:shd w:val="clear" w:color="auto" w:fill="B4C6E7" w:themeFill="accent5" w:themeFillTint="66"/>
            <w:noWrap/>
            <w:vAlign w:val="center"/>
          </w:tcPr>
          <w:p w14:paraId="38793398" w14:textId="59D82365" w:rsidR="00404ABB" w:rsidRPr="00791162" w:rsidRDefault="00422113" w:rsidP="00791162">
            <w:pPr>
              <w:jc w:val="center"/>
              <w:rPr>
                <w:sz w:val="20"/>
                <w:szCs w:val="18"/>
              </w:rPr>
            </w:pPr>
            <w:r w:rsidRPr="00791162">
              <w:rPr>
                <w:sz w:val="20"/>
                <w:szCs w:val="18"/>
              </w:rPr>
              <w:t>13.5</w:t>
            </w:r>
          </w:p>
        </w:tc>
        <w:tc>
          <w:tcPr>
            <w:tcW w:w="783" w:type="dxa"/>
            <w:shd w:val="clear" w:color="auto" w:fill="B4C6E7" w:themeFill="accent5" w:themeFillTint="66"/>
            <w:noWrap/>
            <w:vAlign w:val="center"/>
          </w:tcPr>
          <w:p w14:paraId="1CBD1D1F" w14:textId="2D3E2E13" w:rsidR="00404ABB" w:rsidRPr="00791162" w:rsidRDefault="00422113" w:rsidP="00791162">
            <w:pPr>
              <w:jc w:val="center"/>
              <w:rPr>
                <w:sz w:val="20"/>
                <w:szCs w:val="18"/>
              </w:rPr>
            </w:pPr>
            <w:r w:rsidRPr="00791162">
              <w:rPr>
                <w:sz w:val="20"/>
                <w:szCs w:val="18"/>
              </w:rPr>
              <w:t>4.5</w:t>
            </w:r>
          </w:p>
        </w:tc>
        <w:tc>
          <w:tcPr>
            <w:tcW w:w="1150" w:type="dxa"/>
            <w:shd w:val="clear" w:color="auto" w:fill="B4C6E7" w:themeFill="accent5" w:themeFillTint="66"/>
            <w:noWrap/>
            <w:vAlign w:val="center"/>
          </w:tcPr>
          <w:p w14:paraId="1E12EC01" w14:textId="7914BE8E" w:rsidR="00404ABB" w:rsidRPr="00791162" w:rsidRDefault="00422113" w:rsidP="00791162">
            <w:pPr>
              <w:jc w:val="center"/>
              <w:rPr>
                <w:sz w:val="20"/>
                <w:szCs w:val="18"/>
              </w:rPr>
            </w:pPr>
            <w:r w:rsidRPr="00791162">
              <w:rPr>
                <w:sz w:val="20"/>
                <w:szCs w:val="18"/>
              </w:rPr>
              <w:t>16.7</w:t>
            </w:r>
          </w:p>
        </w:tc>
        <w:tc>
          <w:tcPr>
            <w:tcW w:w="917" w:type="dxa"/>
            <w:shd w:val="clear" w:color="auto" w:fill="B4C6E7" w:themeFill="accent5" w:themeFillTint="66"/>
            <w:noWrap/>
            <w:vAlign w:val="center"/>
          </w:tcPr>
          <w:p w14:paraId="56F4AF9D" w14:textId="608379BF" w:rsidR="00404ABB" w:rsidRPr="00791162" w:rsidRDefault="00422113" w:rsidP="00791162">
            <w:pPr>
              <w:jc w:val="center"/>
              <w:rPr>
                <w:sz w:val="20"/>
                <w:szCs w:val="18"/>
              </w:rPr>
            </w:pPr>
            <w:r w:rsidRPr="00791162">
              <w:rPr>
                <w:sz w:val="20"/>
                <w:szCs w:val="18"/>
              </w:rPr>
              <w:t>1,144.2</w:t>
            </w:r>
          </w:p>
        </w:tc>
      </w:tr>
    </w:tbl>
    <w:p w14:paraId="06C985EA" w14:textId="01C022C9" w:rsidR="00A9099B" w:rsidRDefault="005713F4" w:rsidP="00AA1F81">
      <w:pPr>
        <w:jc w:val="both"/>
        <w:rPr>
          <w:lang w:val="en-NZ"/>
        </w:rPr>
      </w:pPr>
      <w:r>
        <w:rPr>
          <w:lang w:val="en-NZ"/>
        </w:rPr>
        <w:br/>
      </w:r>
      <w:r w:rsidR="00A9099B" w:rsidRPr="00A9099B">
        <w:rPr>
          <w:lang w:val="en-NZ"/>
        </w:rPr>
        <w:t xml:space="preserve">The Government recognises the </w:t>
      </w:r>
      <w:r>
        <w:rPr>
          <w:lang w:val="en-NZ"/>
        </w:rPr>
        <w:t xml:space="preserve">current </w:t>
      </w:r>
      <w:r w:rsidR="00A9099B" w:rsidRPr="00A9099B">
        <w:rPr>
          <w:lang w:val="en-NZ"/>
        </w:rPr>
        <w:t>WFF review as an</w:t>
      </w:r>
      <w:r w:rsidR="000960C7">
        <w:rPr>
          <w:lang w:val="en-NZ"/>
        </w:rPr>
        <w:t xml:space="preserve"> important</w:t>
      </w:r>
      <w:r w:rsidR="00A9099B" w:rsidRPr="00A9099B">
        <w:rPr>
          <w:lang w:val="en-NZ"/>
        </w:rPr>
        <w:t xml:space="preserve"> opportunity to</w:t>
      </w:r>
      <w:r w:rsidR="000960C7">
        <w:rPr>
          <w:lang w:val="en-NZ"/>
        </w:rPr>
        <w:t xml:space="preserve"> further</w:t>
      </w:r>
      <w:r w:rsidR="00A9099B" w:rsidRPr="00A9099B">
        <w:rPr>
          <w:lang w:val="en-NZ"/>
        </w:rPr>
        <w:t xml:space="preserve"> </w:t>
      </w:r>
      <w:r w:rsidR="00D1206F">
        <w:rPr>
          <w:lang w:val="en-NZ"/>
        </w:rPr>
        <w:t>reduce</w:t>
      </w:r>
      <w:r w:rsidR="00A9099B" w:rsidRPr="00A9099B">
        <w:rPr>
          <w:lang w:val="en-NZ"/>
        </w:rPr>
        <w:t xml:space="preserve"> child poverty rates.</w:t>
      </w:r>
      <w:r w:rsidR="00AF64E5">
        <w:rPr>
          <w:lang w:val="en-NZ"/>
        </w:rPr>
        <w:t xml:space="preserve"> </w:t>
      </w:r>
    </w:p>
    <w:p w14:paraId="6B2F6E5E" w14:textId="200D6727" w:rsidR="00A9099B" w:rsidRPr="005E32F6" w:rsidRDefault="007E0359" w:rsidP="00677CC5">
      <w:pPr>
        <w:jc w:val="both"/>
        <w:rPr>
          <w:b/>
          <w:bCs/>
          <w:lang w:val="en-NZ"/>
        </w:rPr>
      </w:pPr>
      <w:r w:rsidRPr="005E32F6">
        <w:rPr>
          <w:b/>
          <w:bCs/>
          <w:lang w:val="en-NZ"/>
        </w:rPr>
        <w:t>The WFF scheme</w:t>
      </w:r>
    </w:p>
    <w:p w14:paraId="3A4596F5" w14:textId="1AF61466" w:rsidR="00AB4A8F" w:rsidRPr="00AB4A8F" w:rsidRDefault="00231FC6" w:rsidP="00777F49">
      <w:pPr>
        <w:rPr>
          <w:lang w:val="en-NZ"/>
        </w:rPr>
      </w:pPr>
      <w:r>
        <w:rPr>
          <w:lang w:val="en-NZ"/>
        </w:rPr>
        <w:t>The WFF</w:t>
      </w:r>
      <w:r w:rsidR="00124B99">
        <w:rPr>
          <w:rFonts w:cs="Arial"/>
          <w:lang w:val="en-NZ"/>
        </w:rPr>
        <w:t xml:space="preserve"> </w:t>
      </w:r>
      <w:r w:rsidR="00B17132">
        <w:rPr>
          <w:rFonts w:cs="Arial"/>
          <w:lang w:val="en-NZ"/>
        </w:rPr>
        <w:t>scheme</w:t>
      </w:r>
      <w:r w:rsidR="009F42FE">
        <w:rPr>
          <w:rFonts w:cs="Arial"/>
          <w:lang w:val="en-NZ"/>
        </w:rPr>
        <w:t xml:space="preserve"> </w:t>
      </w:r>
      <w:r w:rsidR="00EE19FA">
        <w:t>has</w:t>
      </w:r>
      <w:r w:rsidR="00D3042E">
        <w:t xml:space="preserve"> two </w:t>
      </w:r>
      <w:r w:rsidR="00BE7F59">
        <w:t xml:space="preserve">primary </w:t>
      </w:r>
      <w:r w:rsidR="00D3042E">
        <w:t xml:space="preserve">objectives: </w:t>
      </w:r>
    </w:p>
    <w:p w14:paraId="695AE087" w14:textId="43032680" w:rsidR="00AC20E8" w:rsidRPr="00AC20E8" w:rsidRDefault="00D3042E" w:rsidP="005460D3">
      <w:pPr>
        <w:pStyle w:val="ListParagraph"/>
        <w:numPr>
          <w:ilvl w:val="0"/>
          <w:numId w:val="18"/>
        </w:numPr>
        <w:rPr>
          <w:lang w:val="en-NZ"/>
        </w:rPr>
      </w:pPr>
      <w:r>
        <w:t>to support income adequacy and reduce child poverty</w:t>
      </w:r>
    </w:p>
    <w:p w14:paraId="6F6BDB17" w14:textId="1850D8AD" w:rsidR="00AC20E8" w:rsidRPr="004434AB" w:rsidRDefault="00D3042E" w:rsidP="005460D3">
      <w:pPr>
        <w:pStyle w:val="ListParagraph"/>
        <w:numPr>
          <w:ilvl w:val="0"/>
          <w:numId w:val="18"/>
        </w:numPr>
        <w:rPr>
          <w:lang w:val="en-NZ"/>
        </w:rPr>
      </w:pPr>
      <w:r>
        <w:t>to improve financial incentives for low-income earners to participate in the labour market.</w:t>
      </w:r>
    </w:p>
    <w:p w14:paraId="57FC7AA1" w14:textId="3A099640" w:rsidR="008678E7" w:rsidRDefault="007522B5" w:rsidP="004434AB">
      <w:pPr>
        <w:rPr>
          <w:lang w:val="en-NZ"/>
        </w:rPr>
      </w:pPr>
      <w:r>
        <w:rPr>
          <w:lang w:val="en-NZ"/>
        </w:rPr>
        <w:t>I</w:t>
      </w:r>
      <w:r w:rsidR="008678E7">
        <w:rPr>
          <w:lang w:val="en-NZ"/>
        </w:rPr>
        <w:t>t must achieve these objectives at a sustainable cost</w:t>
      </w:r>
      <w:r w:rsidR="009F42FE">
        <w:rPr>
          <w:lang w:val="en-NZ"/>
        </w:rPr>
        <w:t xml:space="preserve"> to government</w:t>
      </w:r>
      <w:r w:rsidR="008678E7">
        <w:rPr>
          <w:lang w:val="en-NZ"/>
        </w:rPr>
        <w:t>.</w:t>
      </w:r>
    </w:p>
    <w:p w14:paraId="43F5DA59" w14:textId="20A021C5" w:rsidR="004434AB" w:rsidRDefault="003C718E" w:rsidP="004434AB">
      <w:pPr>
        <w:rPr>
          <w:lang w:val="en-NZ"/>
        </w:rPr>
      </w:pPr>
      <w:r>
        <w:rPr>
          <w:lang w:val="en-NZ"/>
        </w:rPr>
        <w:t>The</w:t>
      </w:r>
      <w:r w:rsidR="00B30DD2">
        <w:rPr>
          <w:lang w:val="en-NZ"/>
        </w:rPr>
        <w:t xml:space="preserve"> </w:t>
      </w:r>
      <w:r w:rsidR="00641FBC">
        <w:rPr>
          <w:lang w:val="en-NZ"/>
        </w:rPr>
        <w:t xml:space="preserve">scheme was introduced </w:t>
      </w:r>
      <w:r w:rsidR="00B30DD2">
        <w:rPr>
          <w:lang w:val="en-NZ"/>
        </w:rPr>
        <w:t>between</w:t>
      </w:r>
      <w:r w:rsidR="00641FBC">
        <w:rPr>
          <w:lang w:val="en-NZ"/>
        </w:rPr>
        <w:t xml:space="preserve"> 2004 </w:t>
      </w:r>
      <w:r w:rsidR="00B30DD2">
        <w:rPr>
          <w:lang w:val="en-NZ"/>
        </w:rPr>
        <w:t xml:space="preserve">and 2007 </w:t>
      </w:r>
      <w:r w:rsidR="00641FBC">
        <w:rPr>
          <w:lang w:val="en-NZ"/>
        </w:rPr>
        <w:t xml:space="preserve">and </w:t>
      </w:r>
      <w:r w:rsidR="009F42FE">
        <w:rPr>
          <w:lang w:val="en-NZ"/>
        </w:rPr>
        <w:t xml:space="preserve">has </w:t>
      </w:r>
      <w:r w:rsidR="00B30DD2">
        <w:rPr>
          <w:lang w:val="en-NZ"/>
        </w:rPr>
        <w:t xml:space="preserve">undergone </w:t>
      </w:r>
      <w:r w:rsidR="002C246A">
        <w:rPr>
          <w:lang w:val="en-NZ"/>
        </w:rPr>
        <w:t>multiple</w:t>
      </w:r>
      <w:r w:rsidR="0066007C">
        <w:rPr>
          <w:lang w:val="en-NZ"/>
        </w:rPr>
        <w:t xml:space="preserve"> changes </w:t>
      </w:r>
      <w:r w:rsidR="00B30DD2">
        <w:rPr>
          <w:lang w:val="en-NZ"/>
        </w:rPr>
        <w:t>under</w:t>
      </w:r>
      <w:r w:rsidR="0066007C">
        <w:rPr>
          <w:lang w:val="en-NZ"/>
        </w:rPr>
        <w:t xml:space="preserve"> successive </w:t>
      </w:r>
      <w:r w:rsidR="002C246A">
        <w:rPr>
          <w:lang w:val="en-NZ"/>
        </w:rPr>
        <w:t>governments</w:t>
      </w:r>
      <w:r w:rsidR="0066007C">
        <w:rPr>
          <w:lang w:val="en-NZ"/>
        </w:rPr>
        <w:t>.</w:t>
      </w:r>
    </w:p>
    <w:p w14:paraId="3B05FE35" w14:textId="07EF820F" w:rsidR="00164EB5" w:rsidRDefault="00164EB5" w:rsidP="004434AB">
      <w:pPr>
        <w:rPr>
          <w:lang w:val="en-NZ"/>
        </w:rPr>
      </w:pPr>
      <w:r>
        <w:rPr>
          <w:lang w:val="en-NZ"/>
        </w:rPr>
        <w:t>Increases to the F</w:t>
      </w:r>
      <w:r w:rsidR="00955378">
        <w:rPr>
          <w:lang w:val="en-NZ"/>
        </w:rPr>
        <w:t>TC</w:t>
      </w:r>
      <w:r>
        <w:rPr>
          <w:lang w:val="en-NZ"/>
        </w:rPr>
        <w:t xml:space="preserve"> </w:t>
      </w:r>
      <w:r w:rsidR="009E0728">
        <w:rPr>
          <w:lang w:val="en-NZ"/>
        </w:rPr>
        <w:t xml:space="preserve">rates </w:t>
      </w:r>
      <w:r>
        <w:rPr>
          <w:lang w:val="en-NZ"/>
        </w:rPr>
        <w:t>are a particularly useful way to address child poverty and income adequacy as the credit’s eligibility requirements make it well targeted to low- and middle-income families with children, regardless of their work status.</w:t>
      </w:r>
    </w:p>
    <w:p w14:paraId="0C736BFE" w14:textId="034C242B" w:rsidR="00662BA6" w:rsidRPr="00662BA6" w:rsidRDefault="00662BA6" w:rsidP="004434AB">
      <w:pPr>
        <w:rPr>
          <w:b/>
          <w:bCs/>
          <w:lang w:val="en-NZ"/>
        </w:rPr>
      </w:pPr>
      <w:r w:rsidRPr="00662BA6">
        <w:rPr>
          <w:b/>
          <w:bCs/>
          <w:lang w:val="en-NZ"/>
        </w:rPr>
        <w:t xml:space="preserve">Background to </w:t>
      </w:r>
      <w:r w:rsidR="00EC25B5">
        <w:rPr>
          <w:b/>
          <w:bCs/>
          <w:lang w:val="en-NZ"/>
        </w:rPr>
        <w:t xml:space="preserve">the </w:t>
      </w:r>
      <w:r>
        <w:rPr>
          <w:b/>
          <w:bCs/>
          <w:lang w:val="en-NZ"/>
        </w:rPr>
        <w:t xml:space="preserve">WFF </w:t>
      </w:r>
      <w:r w:rsidRPr="00662BA6">
        <w:rPr>
          <w:b/>
          <w:bCs/>
          <w:lang w:val="en-NZ"/>
        </w:rPr>
        <w:t>review</w:t>
      </w:r>
    </w:p>
    <w:p w14:paraId="752830E9" w14:textId="1D1D42E0" w:rsidR="00047DC4" w:rsidRDefault="00B6611D" w:rsidP="004434AB">
      <w:r>
        <w:rPr>
          <w:lang w:val="en-NZ"/>
        </w:rPr>
        <w:t>In 2018</w:t>
      </w:r>
      <w:r w:rsidR="00D1206F">
        <w:rPr>
          <w:lang w:val="en-NZ"/>
        </w:rPr>
        <w:t>,</w:t>
      </w:r>
      <w:r>
        <w:rPr>
          <w:lang w:val="en-NZ"/>
        </w:rPr>
        <w:t xml:space="preserve"> the</w:t>
      </w:r>
      <w:r w:rsidR="006F2DC2">
        <w:rPr>
          <w:lang w:val="en-NZ"/>
        </w:rPr>
        <w:t xml:space="preserve"> </w:t>
      </w:r>
      <w:r w:rsidR="002C246A" w:rsidRPr="002C246A">
        <w:t>Government established the WEAG to advise on the future of New Zealand’s social security system</w:t>
      </w:r>
      <w:r w:rsidR="002C246A">
        <w:t>, including the WFF scheme</w:t>
      </w:r>
      <w:r w:rsidR="002C246A" w:rsidRPr="002C246A">
        <w:t>.</w:t>
      </w:r>
      <w:r w:rsidR="002C246A">
        <w:t xml:space="preserve"> </w:t>
      </w:r>
      <w:r w:rsidR="004B0963">
        <w:t xml:space="preserve">The </w:t>
      </w:r>
      <w:r w:rsidR="00433EA9">
        <w:t xml:space="preserve">WEAG recommended fundamental changes to the design and targeting of WFF, and significant increases to main benefits and the FTC. </w:t>
      </w:r>
    </w:p>
    <w:p w14:paraId="249553A0" w14:textId="0D41E55C" w:rsidR="00F723AD" w:rsidRPr="004B0963" w:rsidRDefault="000E6934" w:rsidP="004B0963">
      <w:pPr>
        <w:rPr>
          <w:lang w:val="en-NZ"/>
        </w:rPr>
      </w:pPr>
      <w:r w:rsidRPr="00F67651">
        <w:rPr>
          <w:lang w:val="en-NZ"/>
        </w:rPr>
        <w:t>Following the WEAG’s report</w:t>
      </w:r>
      <w:r w:rsidR="00413AC3" w:rsidRPr="00F67651">
        <w:rPr>
          <w:lang w:val="en-NZ"/>
        </w:rPr>
        <w:t xml:space="preserve"> </w:t>
      </w:r>
      <w:proofErr w:type="spellStart"/>
      <w:r w:rsidR="00413AC3" w:rsidRPr="00791162">
        <w:rPr>
          <w:i/>
          <w:iCs/>
          <w:lang w:val="en-NZ"/>
        </w:rPr>
        <w:t>Whakamana</w:t>
      </w:r>
      <w:proofErr w:type="spellEnd"/>
      <w:r w:rsidR="00413AC3" w:rsidRPr="00791162">
        <w:rPr>
          <w:i/>
          <w:iCs/>
          <w:lang w:val="en-NZ"/>
        </w:rPr>
        <w:t xml:space="preserve"> </w:t>
      </w:r>
      <w:proofErr w:type="spellStart"/>
      <w:r w:rsidR="00413AC3" w:rsidRPr="00791162">
        <w:rPr>
          <w:i/>
          <w:iCs/>
          <w:lang w:val="en-NZ"/>
        </w:rPr>
        <w:t>Tāngata</w:t>
      </w:r>
      <w:proofErr w:type="spellEnd"/>
      <w:r w:rsidR="00413AC3" w:rsidRPr="00791162">
        <w:rPr>
          <w:i/>
          <w:iCs/>
          <w:lang w:val="en-NZ"/>
        </w:rPr>
        <w:t>: Restoring Dignity to Social Security in New Zealand</w:t>
      </w:r>
      <w:r w:rsidR="00413AC3" w:rsidRPr="00F67651">
        <w:rPr>
          <w:lang w:val="en-NZ"/>
        </w:rPr>
        <w:t xml:space="preserve">, </w:t>
      </w:r>
      <w:r w:rsidR="00C0168E" w:rsidRPr="00F67651">
        <w:rPr>
          <w:lang w:val="en-NZ"/>
        </w:rPr>
        <w:t>the Minister</w:t>
      </w:r>
      <w:r w:rsidR="00CA0817" w:rsidRPr="00F67651">
        <w:rPr>
          <w:lang w:val="en-NZ"/>
        </w:rPr>
        <w:t xml:space="preserve"> for Child Poverty Reduction requested a broader review of WFF</w:t>
      </w:r>
      <w:r w:rsidR="00413AC3" w:rsidRPr="00F67651">
        <w:rPr>
          <w:lang w:val="en-NZ"/>
        </w:rPr>
        <w:t xml:space="preserve">. </w:t>
      </w:r>
      <w:r w:rsidR="001074C3" w:rsidRPr="00F67651">
        <w:rPr>
          <w:lang w:val="en-NZ"/>
        </w:rPr>
        <w:t xml:space="preserve">The WFF review </w:t>
      </w:r>
      <w:r w:rsidR="002378F7" w:rsidRPr="00F67651">
        <w:rPr>
          <w:lang w:val="en-NZ"/>
        </w:rPr>
        <w:t>is par</w:t>
      </w:r>
      <w:r w:rsidR="00FE06E5" w:rsidRPr="00F67651">
        <w:rPr>
          <w:lang w:val="en-NZ"/>
        </w:rPr>
        <w:t>t</w:t>
      </w:r>
      <w:r w:rsidR="002378F7" w:rsidRPr="00F67651">
        <w:rPr>
          <w:lang w:val="en-NZ"/>
        </w:rPr>
        <w:t xml:space="preserve"> </w:t>
      </w:r>
      <w:r w:rsidR="00476E39" w:rsidRPr="00F67651">
        <w:rPr>
          <w:lang w:val="en-NZ"/>
        </w:rPr>
        <w:t>of</w:t>
      </w:r>
      <w:r w:rsidR="002378F7" w:rsidRPr="00F67651">
        <w:rPr>
          <w:lang w:val="en-NZ"/>
        </w:rPr>
        <w:t xml:space="preserve"> the broader </w:t>
      </w:r>
      <w:r w:rsidR="00476E39" w:rsidRPr="00F67651">
        <w:rPr>
          <w:lang w:val="en-NZ"/>
        </w:rPr>
        <w:t xml:space="preserve">Welfare Overhaul </w:t>
      </w:r>
      <w:r w:rsidR="00FE06E5" w:rsidRPr="00F67651">
        <w:rPr>
          <w:lang w:val="en-NZ"/>
        </w:rPr>
        <w:t>work programme.</w:t>
      </w:r>
      <w:r w:rsidR="002378F7" w:rsidRPr="00F67651">
        <w:rPr>
          <w:lang w:val="en-NZ"/>
        </w:rPr>
        <w:t xml:space="preserve"> </w:t>
      </w:r>
    </w:p>
    <w:p w14:paraId="167C0B7C" w14:textId="3BA38CC8" w:rsidR="00F723AD" w:rsidRPr="00263669" w:rsidRDefault="00F723AD" w:rsidP="00F67651">
      <w:pPr>
        <w:pStyle w:val="TRNormal"/>
        <w:spacing w:after="180" w:line="280" w:lineRule="atLeast"/>
        <w:ind w:left="0" w:firstLine="0"/>
        <w:rPr>
          <w:b/>
        </w:rPr>
      </w:pPr>
      <w:r w:rsidRPr="00263669">
        <w:rPr>
          <w:b/>
          <w:bCs/>
        </w:rPr>
        <w:t>Scope</w:t>
      </w:r>
      <w:r w:rsidR="00263669">
        <w:rPr>
          <w:b/>
          <w:bCs/>
        </w:rPr>
        <w:t xml:space="preserve"> of the WFF review</w:t>
      </w:r>
    </w:p>
    <w:p w14:paraId="02F3A301" w14:textId="13F5D344" w:rsidR="004B0963" w:rsidRDefault="00BB6E34" w:rsidP="00E365B2">
      <w:pPr>
        <w:pStyle w:val="TRNormal"/>
        <w:spacing w:after="180" w:line="280" w:lineRule="atLeast"/>
        <w:ind w:left="0" w:firstLine="0"/>
      </w:pPr>
      <w:r>
        <w:t xml:space="preserve">The WFF review will explore whether policy settings can be adapted to better address the </w:t>
      </w:r>
      <w:r w:rsidR="0046468E">
        <w:t>scheme’s</w:t>
      </w:r>
      <w:r>
        <w:t xml:space="preserve"> objectives.</w:t>
      </w:r>
    </w:p>
    <w:p w14:paraId="2FD141AE" w14:textId="0F0ECB92" w:rsidR="00F723AD" w:rsidRDefault="00F723AD" w:rsidP="00F723AD">
      <w:pPr>
        <w:pStyle w:val="TRNormal"/>
        <w:spacing w:after="80"/>
        <w:ind w:left="0" w:firstLine="0"/>
      </w:pPr>
      <w:r w:rsidRPr="00B77E3A">
        <w:t xml:space="preserve">Ministers have </w:t>
      </w:r>
      <w:r w:rsidR="1E47F706">
        <w:t>set</w:t>
      </w:r>
      <w:r w:rsidDel="008548F2">
        <w:t xml:space="preserve"> </w:t>
      </w:r>
      <w:r w:rsidR="44473315" w:rsidDel="008548F2">
        <w:t>the</w:t>
      </w:r>
      <w:r w:rsidR="44473315">
        <w:t xml:space="preserve"> </w:t>
      </w:r>
      <w:r>
        <w:t xml:space="preserve">scope of </w:t>
      </w:r>
      <w:r w:rsidR="007F67AA">
        <w:t>the review</w:t>
      </w:r>
      <w:r>
        <w:t xml:space="preserve"> to</w:t>
      </w:r>
      <w:r w:rsidR="001158A2">
        <w:t>:</w:t>
      </w:r>
    </w:p>
    <w:p w14:paraId="09D17B71" w14:textId="3B570313" w:rsidR="00F723AD" w:rsidRPr="004F69EA" w:rsidRDefault="00F723AD" w:rsidP="005460D3">
      <w:pPr>
        <w:pStyle w:val="TRNormal"/>
        <w:numPr>
          <w:ilvl w:val="0"/>
          <w:numId w:val="11"/>
        </w:numPr>
        <w:spacing w:after="80"/>
        <w:rPr>
          <w:rFonts w:ascii="Verdana" w:hAnsi="Verdana"/>
          <w:sz w:val="20"/>
        </w:rPr>
      </w:pPr>
      <w:r>
        <w:t xml:space="preserve">Working for Families settings </w:t>
      </w:r>
      <w:r w:rsidR="005453D6" w:rsidRPr="005453D6">
        <w:rPr>
          <w:sz w:val="20"/>
          <w:shd w:val="clear" w:color="auto" w:fill="BFBFBF" w:themeFill="background1" w:themeFillShade="BF"/>
        </w:rPr>
        <w:t>s 9(2)(f)(iv)</w:t>
      </w:r>
      <w:r w:rsidR="005453D6" w:rsidRPr="005453D6">
        <w:rPr>
          <w:color w:val="BFBFBF" w:themeColor="background1" w:themeShade="BF"/>
          <w:shd w:val="clear" w:color="auto" w:fill="BFBFBF" w:themeFill="background1" w:themeFillShade="BF"/>
        </w:rPr>
        <w:t>………………………………………...……</w:t>
      </w:r>
      <w:proofErr w:type="gramStart"/>
      <w:r w:rsidR="005453D6" w:rsidRPr="005453D6">
        <w:rPr>
          <w:color w:val="BFBFBF" w:themeColor="background1" w:themeShade="BF"/>
          <w:shd w:val="clear" w:color="auto" w:fill="BFBFBF" w:themeFill="background1" w:themeFillShade="BF"/>
        </w:rPr>
        <w:t>…..</w:t>
      </w:r>
      <w:proofErr w:type="gramEnd"/>
    </w:p>
    <w:p w14:paraId="537E28E5" w14:textId="77777777" w:rsidR="00F723AD" w:rsidRPr="004F69EA" w:rsidRDefault="00F723AD" w:rsidP="005460D3">
      <w:pPr>
        <w:pStyle w:val="TRNormal"/>
        <w:numPr>
          <w:ilvl w:val="0"/>
          <w:numId w:val="11"/>
        </w:numPr>
        <w:spacing w:after="80"/>
        <w:rPr>
          <w:rFonts w:ascii="Verdana" w:hAnsi="Verdana"/>
          <w:sz w:val="20"/>
        </w:rPr>
      </w:pPr>
      <w:r w:rsidRPr="004F69EA">
        <w:t>The Accommodation Supplement</w:t>
      </w:r>
    </w:p>
    <w:p w14:paraId="464E1746" w14:textId="327E66FB" w:rsidR="00967838" w:rsidRPr="0058360D" w:rsidRDefault="00F723AD" w:rsidP="005460D3">
      <w:pPr>
        <w:pStyle w:val="TRNormal"/>
        <w:numPr>
          <w:ilvl w:val="0"/>
          <w:numId w:val="11"/>
        </w:numPr>
        <w:spacing w:after="80"/>
      </w:pPr>
      <w:r w:rsidRPr="004F69EA">
        <w:t xml:space="preserve">Options for supporting disabled people in work, </w:t>
      </w:r>
      <w:r w:rsidR="005453D6" w:rsidRPr="005453D6">
        <w:rPr>
          <w:sz w:val="20"/>
          <w:shd w:val="clear" w:color="auto" w:fill="BFBFBF" w:themeFill="background1" w:themeFillShade="BF"/>
        </w:rPr>
        <w:t>s 9(2)(f)(iv)</w:t>
      </w:r>
      <w:r w:rsidR="005453D6" w:rsidRPr="00047EDB">
        <w:rPr>
          <w:color w:val="BFBFBF" w:themeColor="background1" w:themeShade="BF"/>
          <w:sz w:val="20"/>
          <w:shd w:val="clear" w:color="auto" w:fill="BFBFBF" w:themeFill="background1" w:themeFillShade="BF"/>
        </w:rPr>
        <w:t>……………………………</w:t>
      </w:r>
      <w:proofErr w:type="gramStart"/>
      <w:r w:rsidR="005453D6" w:rsidRPr="00047EDB">
        <w:rPr>
          <w:color w:val="BFBFBF" w:themeColor="background1" w:themeShade="BF"/>
          <w:sz w:val="20"/>
          <w:shd w:val="clear" w:color="auto" w:fill="BFBFBF" w:themeFill="background1" w:themeFillShade="BF"/>
        </w:rPr>
        <w:t>…..</w:t>
      </w:r>
      <w:proofErr w:type="gramEnd"/>
      <w:r w:rsidR="005453D6" w:rsidRPr="00047EDB">
        <w:rPr>
          <w:color w:val="BFBFBF" w:themeColor="background1" w:themeShade="BF"/>
          <w:sz w:val="20"/>
          <w:shd w:val="clear" w:color="auto" w:fill="BFBFBF" w:themeFill="background1" w:themeFillShade="BF"/>
        </w:rPr>
        <w:br/>
        <w:t>…………….</w:t>
      </w:r>
    </w:p>
    <w:p w14:paraId="5F8694E5" w14:textId="77777777" w:rsidR="00F67651" w:rsidRDefault="00F67651" w:rsidP="00F723AD">
      <w:pPr>
        <w:pStyle w:val="TRNormal"/>
        <w:spacing w:after="80"/>
        <w:ind w:left="0" w:firstLine="0"/>
      </w:pPr>
    </w:p>
    <w:p w14:paraId="6682883D" w14:textId="68AC0739" w:rsidR="00342CC7" w:rsidRDefault="000923B8" w:rsidP="00091EBF">
      <w:pPr>
        <w:pStyle w:val="TRNormal"/>
        <w:spacing w:after="80"/>
        <w:ind w:left="0" w:firstLine="0"/>
      </w:pPr>
      <w:r>
        <w:t>The impacts of r</w:t>
      </w:r>
      <w:r w:rsidR="00C84E58">
        <w:t>elated workstreams</w:t>
      </w:r>
      <w:r>
        <w:t xml:space="preserve">, progressing in parallel to </w:t>
      </w:r>
      <w:r w:rsidR="007F67AA">
        <w:t>the review</w:t>
      </w:r>
      <w:r>
        <w:t>,</w:t>
      </w:r>
      <w:r w:rsidR="00C84E58">
        <w:t xml:space="preserve"> will </w:t>
      </w:r>
      <w:r w:rsidR="003F6F5C">
        <w:t xml:space="preserve">also </w:t>
      </w:r>
      <w:r w:rsidR="00C84E58">
        <w:t>be considered.</w:t>
      </w:r>
    </w:p>
    <w:p w14:paraId="09FCADB2" w14:textId="77777777" w:rsidR="00525785" w:rsidRDefault="00525785" w:rsidP="00342CC7">
      <w:pPr>
        <w:pStyle w:val="TRNormal"/>
        <w:spacing w:after="80"/>
      </w:pPr>
    </w:p>
    <w:p w14:paraId="22410F0E" w14:textId="41621DAB" w:rsidR="00342CC7" w:rsidRDefault="004B5FCE" w:rsidP="00342CC7">
      <w:pPr>
        <w:pStyle w:val="TRNormal"/>
        <w:spacing w:after="80"/>
      </w:pPr>
      <w:r>
        <w:t xml:space="preserve">Income Support Ministers have agreed </w:t>
      </w:r>
      <w:r w:rsidR="007F67AA">
        <w:t>the review</w:t>
      </w:r>
      <w:r>
        <w:t xml:space="preserve"> should</w:t>
      </w:r>
      <w:r w:rsidR="00CD4B44">
        <w:t xml:space="preserve"> </w:t>
      </w:r>
      <w:r w:rsidR="00342CC7">
        <w:t>focus on:</w:t>
      </w:r>
    </w:p>
    <w:p w14:paraId="34EB4AA7" w14:textId="77777777" w:rsidR="00342CC7" w:rsidRDefault="00342CC7" w:rsidP="005460D3">
      <w:pPr>
        <w:pStyle w:val="TRNormal"/>
        <w:numPr>
          <w:ilvl w:val="0"/>
          <w:numId w:val="12"/>
        </w:numPr>
        <w:spacing w:after="80"/>
      </w:pPr>
      <w:r>
        <w:t>low-income working families, while maintaining support for beneficiary families</w:t>
      </w:r>
    </w:p>
    <w:p w14:paraId="419BB5D8" w14:textId="77777777" w:rsidR="00342CC7" w:rsidRDefault="00342CC7" w:rsidP="005460D3">
      <w:pPr>
        <w:pStyle w:val="TRNormal"/>
        <w:numPr>
          <w:ilvl w:val="0"/>
          <w:numId w:val="12"/>
        </w:numPr>
        <w:spacing w:after="80"/>
      </w:pPr>
      <w:r>
        <w:t>options that target support more to lower-income families rather than more universal support</w:t>
      </w:r>
    </w:p>
    <w:p w14:paraId="548CDBBB" w14:textId="025252CB" w:rsidR="00342CC7" w:rsidRDefault="00342CC7" w:rsidP="005460D3">
      <w:pPr>
        <w:pStyle w:val="TRNormal"/>
        <w:numPr>
          <w:ilvl w:val="0"/>
          <w:numId w:val="12"/>
        </w:numPr>
        <w:spacing w:after="80"/>
      </w:pPr>
      <w:r>
        <w:t>the principle of making work pay and assisting with the costs for people in work.</w:t>
      </w:r>
    </w:p>
    <w:p w14:paraId="343C576C" w14:textId="29CF4174" w:rsidR="00342CC7" w:rsidRDefault="00406C73" w:rsidP="00456CB9">
      <w:pPr>
        <w:pStyle w:val="TRNormal"/>
        <w:spacing w:after="200"/>
        <w:ind w:left="0" w:firstLine="0"/>
      </w:pPr>
      <w:r>
        <w:rPr>
          <w:szCs w:val="22"/>
        </w:rPr>
        <w:br/>
      </w:r>
      <w:r w:rsidR="004B5FCE">
        <w:rPr>
          <w:szCs w:val="22"/>
        </w:rPr>
        <w:t xml:space="preserve">These objectives have been noted by Cabinet. </w:t>
      </w:r>
      <w:r w:rsidR="005C300C">
        <w:rPr>
          <w:szCs w:val="22"/>
        </w:rPr>
        <w:t>Cabinet</w:t>
      </w:r>
      <w:r w:rsidR="005C300C" w:rsidRPr="00967838">
        <w:rPr>
          <w:szCs w:val="22"/>
        </w:rPr>
        <w:t xml:space="preserve"> </w:t>
      </w:r>
      <w:r w:rsidR="00B04041">
        <w:rPr>
          <w:szCs w:val="22"/>
        </w:rPr>
        <w:t>has indicated</w:t>
      </w:r>
      <w:r w:rsidR="00824908">
        <w:rPr>
          <w:szCs w:val="22"/>
        </w:rPr>
        <w:t xml:space="preserve"> </w:t>
      </w:r>
      <w:r w:rsidR="005C300C" w:rsidRPr="00967838">
        <w:rPr>
          <w:szCs w:val="22"/>
        </w:rPr>
        <w:t xml:space="preserve">that </w:t>
      </w:r>
      <w:r w:rsidR="007F67AA">
        <w:rPr>
          <w:szCs w:val="22"/>
        </w:rPr>
        <w:t>the review</w:t>
      </w:r>
      <w:r w:rsidR="005C300C" w:rsidRPr="00967838">
        <w:rPr>
          <w:szCs w:val="22"/>
        </w:rPr>
        <w:t xml:space="preserve"> w</w:t>
      </w:r>
      <w:r w:rsidR="00707251">
        <w:rPr>
          <w:szCs w:val="22"/>
        </w:rPr>
        <w:t>ill</w:t>
      </w:r>
      <w:r w:rsidR="005C300C" w:rsidRPr="00967838">
        <w:rPr>
          <w:szCs w:val="22"/>
        </w:rPr>
        <w:t xml:space="preserve"> be the primary vehicle for </w:t>
      </w:r>
      <w:r w:rsidR="006E69B0">
        <w:rPr>
          <w:szCs w:val="22"/>
        </w:rPr>
        <w:t xml:space="preserve">achieving </w:t>
      </w:r>
      <w:r w:rsidR="005C300C" w:rsidRPr="00967838">
        <w:rPr>
          <w:szCs w:val="22"/>
        </w:rPr>
        <w:t>the</w:t>
      </w:r>
      <w:r w:rsidR="00B04041">
        <w:rPr>
          <w:szCs w:val="22"/>
        </w:rPr>
        <w:t xml:space="preserve"> second, three-year</w:t>
      </w:r>
      <w:r w:rsidR="005C300C" w:rsidRPr="00967838">
        <w:rPr>
          <w:szCs w:val="22"/>
        </w:rPr>
        <w:t xml:space="preserve"> </w:t>
      </w:r>
      <w:r w:rsidR="0027459E">
        <w:rPr>
          <w:szCs w:val="22"/>
        </w:rPr>
        <w:t>child poverty</w:t>
      </w:r>
      <w:r w:rsidR="005C300C" w:rsidRPr="00967838">
        <w:rPr>
          <w:szCs w:val="22"/>
        </w:rPr>
        <w:t xml:space="preserve"> </w:t>
      </w:r>
      <w:r w:rsidR="004F75EA" w:rsidRPr="00967838">
        <w:rPr>
          <w:szCs w:val="22"/>
        </w:rPr>
        <w:t>targets</w:t>
      </w:r>
      <w:r w:rsidR="007A34CF">
        <w:rPr>
          <w:szCs w:val="22"/>
        </w:rPr>
        <w:t xml:space="preserve">. However, </w:t>
      </w:r>
      <w:r w:rsidR="006E69B0">
        <w:rPr>
          <w:szCs w:val="22"/>
        </w:rPr>
        <w:t xml:space="preserve">making </w:t>
      </w:r>
      <w:r w:rsidR="00456CB9">
        <w:rPr>
          <w:szCs w:val="22"/>
        </w:rPr>
        <w:t xml:space="preserve">significant improvements via phase one will be challenging </w:t>
      </w:r>
      <w:r w:rsidR="00E50B40">
        <w:rPr>
          <w:szCs w:val="22"/>
        </w:rPr>
        <w:t>given the tight fiscal environment.</w:t>
      </w:r>
    </w:p>
    <w:p w14:paraId="53E9247C" w14:textId="77777777" w:rsidR="00525785" w:rsidRDefault="00662BA6" w:rsidP="009612D0">
      <w:pPr>
        <w:pStyle w:val="TRNormal"/>
        <w:spacing w:after="100" w:afterAutospacing="1"/>
        <w:ind w:left="0" w:firstLine="0"/>
        <w:contextualSpacing/>
      </w:pPr>
      <w:r>
        <w:rPr>
          <w:b/>
        </w:rPr>
        <w:t>Review phases</w:t>
      </w:r>
      <w:r w:rsidR="00FF7DD0">
        <w:br/>
      </w:r>
    </w:p>
    <w:p w14:paraId="0A72B3BE" w14:textId="45A45E01" w:rsidR="00FF7DD0" w:rsidRDefault="00EF5511" w:rsidP="009612D0">
      <w:pPr>
        <w:pStyle w:val="TRNormal"/>
        <w:spacing w:after="100" w:afterAutospacing="1"/>
        <w:ind w:left="0" w:firstLine="0"/>
        <w:contextualSpacing/>
      </w:pPr>
      <w:r w:rsidRPr="00EF5511">
        <w:t xml:space="preserve">Following advice in August 2021, which covered initial options in line with Minister’s objectives for </w:t>
      </w:r>
      <w:r w:rsidR="007F67AA">
        <w:t>the review</w:t>
      </w:r>
      <w:r w:rsidRPr="00EF5511">
        <w:t xml:space="preserve">, officials have split advice on </w:t>
      </w:r>
      <w:r w:rsidR="007F67AA">
        <w:t>the review</w:t>
      </w:r>
      <w:r w:rsidRPr="00EF5511">
        <w:t xml:space="preserve"> into two phases. These are:</w:t>
      </w:r>
    </w:p>
    <w:p w14:paraId="6D663D16" w14:textId="3408BED5" w:rsidR="00FF7DD0" w:rsidRPr="009F4218" w:rsidRDefault="00FF7DD0" w:rsidP="009612D0">
      <w:pPr>
        <w:pStyle w:val="ListParagraph"/>
        <w:numPr>
          <w:ilvl w:val="0"/>
          <w:numId w:val="6"/>
        </w:numPr>
        <w:spacing w:after="100" w:afterAutospacing="1"/>
        <w:rPr>
          <w:szCs w:val="22"/>
        </w:rPr>
      </w:pPr>
      <w:r w:rsidRPr="00F96265">
        <w:rPr>
          <w:lang w:val="en-NZ"/>
        </w:rPr>
        <w:t>phase one</w:t>
      </w:r>
      <w:r w:rsidR="000C7B03">
        <w:rPr>
          <w:lang w:val="en-NZ"/>
        </w:rPr>
        <w:t>,</w:t>
      </w:r>
      <w:r w:rsidRPr="00F96265">
        <w:rPr>
          <w:lang w:val="en-NZ"/>
        </w:rPr>
        <w:t xml:space="preserve"> </w:t>
      </w:r>
      <w:r w:rsidR="00EF5511">
        <w:rPr>
          <w:lang w:val="en-NZ"/>
        </w:rPr>
        <w:t xml:space="preserve">which </w:t>
      </w:r>
      <w:r w:rsidRPr="00F96265">
        <w:rPr>
          <w:lang w:val="en-NZ"/>
        </w:rPr>
        <w:t>will consider modest-cost options for Budget 2022 that increase and redistribute support to low</w:t>
      </w:r>
      <w:r w:rsidR="000C7B03">
        <w:rPr>
          <w:lang w:val="en-NZ"/>
        </w:rPr>
        <w:t>-</w:t>
      </w:r>
      <w:r w:rsidRPr="00F96265">
        <w:rPr>
          <w:lang w:val="en-NZ"/>
        </w:rPr>
        <w:t xml:space="preserve">income families alongside the </w:t>
      </w:r>
      <w:r w:rsidRPr="009F4218">
        <w:rPr>
          <w:szCs w:val="22"/>
        </w:rPr>
        <w:t xml:space="preserve">planned CPI adjustment </w:t>
      </w:r>
      <w:r w:rsidR="0B31C2ED" w:rsidRPr="39FB6EB0">
        <w:rPr>
          <w:szCs w:val="22"/>
        </w:rPr>
        <w:t>of FTC and BSTC rates</w:t>
      </w:r>
      <w:r w:rsidR="3B2336B6" w:rsidRPr="39FB6EB0">
        <w:rPr>
          <w:szCs w:val="22"/>
        </w:rPr>
        <w:t xml:space="preserve"> </w:t>
      </w:r>
      <w:r w:rsidRPr="009F4218">
        <w:rPr>
          <w:szCs w:val="22"/>
        </w:rPr>
        <w:t xml:space="preserve">in April 2022 </w:t>
      </w:r>
    </w:p>
    <w:p w14:paraId="0642769F" w14:textId="6D1929A3" w:rsidR="00FF7DD0" w:rsidRPr="009F4218" w:rsidRDefault="00FF7DD0" w:rsidP="009612D0">
      <w:pPr>
        <w:pStyle w:val="ListParagraph"/>
        <w:numPr>
          <w:ilvl w:val="0"/>
          <w:numId w:val="6"/>
        </w:numPr>
        <w:spacing w:after="100" w:afterAutospacing="1"/>
        <w:rPr>
          <w:szCs w:val="22"/>
        </w:rPr>
      </w:pPr>
      <w:r w:rsidRPr="00F96265">
        <w:rPr>
          <w:lang w:val="en-NZ"/>
        </w:rPr>
        <w:t>phase two</w:t>
      </w:r>
      <w:r w:rsidR="000C7B03">
        <w:rPr>
          <w:lang w:val="en-NZ"/>
        </w:rPr>
        <w:t>, which</w:t>
      </w:r>
      <w:r w:rsidRPr="00F96265">
        <w:rPr>
          <w:lang w:val="en-NZ"/>
        </w:rPr>
        <w:t xml:space="preserve"> will consider more </w:t>
      </w:r>
      <w:r w:rsidRPr="009F4218">
        <w:rPr>
          <w:szCs w:val="22"/>
        </w:rPr>
        <w:t>fundamental changes to</w:t>
      </w:r>
      <w:r w:rsidR="00A430A5">
        <w:rPr>
          <w:szCs w:val="22"/>
        </w:rPr>
        <w:t xml:space="preserve"> </w:t>
      </w:r>
      <w:r w:rsidR="00A430A5" w:rsidRPr="00D93C57">
        <w:rPr>
          <w:szCs w:val="22"/>
          <w:shd w:val="clear" w:color="auto" w:fill="BFBFBF" w:themeFill="background1" w:themeFillShade="BF"/>
        </w:rPr>
        <w:t>s 9(2)(f)(iv)</w:t>
      </w:r>
      <w:r w:rsidR="00A430A5" w:rsidRPr="00D93C57">
        <w:rPr>
          <w:color w:val="BFBFBF" w:themeColor="background1" w:themeShade="BF"/>
          <w:szCs w:val="22"/>
          <w:shd w:val="clear" w:color="auto" w:fill="BFBFBF" w:themeFill="background1" w:themeFillShade="BF"/>
        </w:rPr>
        <w:t>……</w:t>
      </w:r>
      <w:r w:rsidR="00D93C57" w:rsidRPr="00D93C57">
        <w:rPr>
          <w:color w:val="BFBFBF" w:themeColor="background1" w:themeShade="BF"/>
          <w:szCs w:val="22"/>
          <w:shd w:val="clear" w:color="auto" w:fill="BFBFBF" w:themeFill="background1" w:themeFillShade="BF"/>
        </w:rPr>
        <w:t>………...</w:t>
      </w:r>
      <w:r w:rsidR="00D93C57" w:rsidRPr="00D93C57">
        <w:rPr>
          <w:color w:val="BFBFBF" w:themeColor="background1" w:themeShade="BF"/>
          <w:szCs w:val="22"/>
          <w:shd w:val="clear" w:color="auto" w:fill="BFBFBF" w:themeFill="background1" w:themeFillShade="BF"/>
        </w:rPr>
        <w:br/>
        <w:t>…</w:t>
      </w:r>
      <w:r w:rsidRPr="009F4218">
        <w:rPr>
          <w:szCs w:val="22"/>
        </w:rPr>
        <w:t xml:space="preserve">WFF payments, with a particular focus on in-work support, and changes to improve administration, </w:t>
      </w:r>
      <w:proofErr w:type="gramStart"/>
      <w:r w:rsidRPr="009F4218">
        <w:rPr>
          <w:szCs w:val="22"/>
        </w:rPr>
        <w:t>operations</w:t>
      </w:r>
      <w:proofErr w:type="gramEnd"/>
      <w:r w:rsidRPr="009F4218">
        <w:rPr>
          <w:szCs w:val="22"/>
        </w:rPr>
        <w:t xml:space="preserve"> and client experience. </w:t>
      </w:r>
    </w:p>
    <w:p w14:paraId="3ECD6E87" w14:textId="77777777" w:rsidR="00FF7DD0" w:rsidRDefault="00FF7DD0" w:rsidP="009612D0">
      <w:pPr>
        <w:spacing w:after="100" w:afterAutospacing="1"/>
        <w:contextualSpacing/>
        <w:rPr>
          <w:lang w:val="en-NZ"/>
        </w:rPr>
      </w:pPr>
      <w:r w:rsidRPr="00CD4525">
        <w:rPr>
          <w:lang w:val="en-NZ"/>
        </w:rPr>
        <w:t xml:space="preserve">Phase </w:t>
      </w:r>
      <w:r>
        <w:rPr>
          <w:lang w:val="en-NZ"/>
        </w:rPr>
        <w:t>one is the subject of this RIS and includes the following options</w:t>
      </w:r>
    </w:p>
    <w:p w14:paraId="6A1616CB" w14:textId="4E8DC500" w:rsidR="00FF7DD0" w:rsidRDefault="00D1206F" w:rsidP="009612D0">
      <w:pPr>
        <w:pStyle w:val="ListParagraph"/>
        <w:numPr>
          <w:ilvl w:val="0"/>
          <w:numId w:val="6"/>
        </w:numPr>
        <w:spacing w:after="100" w:afterAutospacing="1"/>
        <w:rPr>
          <w:lang w:val="en-NZ"/>
        </w:rPr>
      </w:pPr>
      <w:r>
        <w:rPr>
          <w:lang w:val="en-NZ"/>
        </w:rPr>
        <w:t>i</w:t>
      </w:r>
      <w:r w:rsidR="00FF7DD0">
        <w:rPr>
          <w:lang w:val="en-NZ"/>
        </w:rPr>
        <w:t>ncreases to the F</w:t>
      </w:r>
      <w:r w:rsidR="00CD15AE">
        <w:rPr>
          <w:lang w:val="en-NZ"/>
        </w:rPr>
        <w:t>TC</w:t>
      </w:r>
      <w:r w:rsidR="00FF7DD0">
        <w:rPr>
          <w:lang w:val="en-NZ"/>
        </w:rPr>
        <w:t xml:space="preserve"> </w:t>
      </w:r>
      <w:r w:rsidR="00110A49">
        <w:rPr>
          <w:lang w:val="en-NZ"/>
        </w:rPr>
        <w:t>to support income adequacy</w:t>
      </w:r>
    </w:p>
    <w:p w14:paraId="6C755D35" w14:textId="7631F4D4" w:rsidR="00FF7DD0" w:rsidRDefault="00FF7DD0" w:rsidP="009612D0">
      <w:pPr>
        <w:pStyle w:val="ListParagraph"/>
        <w:numPr>
          <w:ilvl w:val="0"/>
          <w:numId w:val="6"/>
        </w:numPr>
        <w:spacing w:after="100" w:afterAutospacing="1"/>
        <w:rPr>
          <w:lang w:val="en-NZ"/>
        </w:rPr>
      </w:pPr>
      <w:r>
        <w:rPr>
          <w:lang w:val="en-NZ"/>
        </w:rPr>
        <w:t>WFF abatement rate changes to target assistance more tightly to lower-income families</w:t>
      </w:r>
      <w:r w:rsidR="00D1206F">
        <w:rPr>
          <w:lang w:val="en-NZ"/>
        </w:rPr>
        <w:t>.</w:t>
      </w:r>
    </w:p>
    <w:p w14:paraId="3977FA5F" w14:textId="77777777" w:rsidR="006B3C77" w:rsidRDefault="006B3C77" w:rsidP="00FF1AC4">
      <w:pPr>
        <w:rPr>
          <w:b/>
          <w:bCs/>
          <w:lang w:val="en-NZ"/>
        </w:rPr>
      </w:pPr>
    </w:p>
    <w:p w14:paraId="33A6E319" w14:textId="77777777" w:rsidR="006B3C77" w:rsidRDefault="006B3C77" w:rsidP="00FF1AC4">
      <w:pPr>
        <w:rPr>
          <w:b/>
          <w:bCs/>
          <w:lang w:val="en-NZ"/>
        </w:rPr>
      </w:pPr>
    </w:p>
    <w:p w14:paraId="2A053B43" w14:textId="24630F40" w:rsidR="00F84DCC" w:rsidRPr="000923B8" w:rsidRDefault="001149C4" w:rsidP="00FF1AC4">
      <w:pPr>
        <w:rPr>
          <w:b/>
          <w:bCs/>
          <w:lang w:val="en-NZ"/>
        </w:rPr>
      </w:pPr>
      <w:r w:rsidRPr="000923B8">
        <w:rPr>
          <w:b/>
          <w:bCs/>
          <w:lang w:val="en-NZ"/>
        </w:rPr>
        <w:t>The counterfactual</w:t>
      </w:r>
    </w:p>
    <w:p w14:paraId="36BF6E78" w14:textId="3A74D3C4" w:rsidR="00542D08" w:rsidRDefault="007D09C3" w:rsidP="00FF1AC4">
      <w:pPr>
        <w:rPr>
          <w:lang w:val="en-NZ"/>
        </w:rPr>
      </w:pPr>
      <w:r>
        <w:rPr>
          <w:lang w:val="en-NZ"/>
        </w:rPr>
        <w:t>In the absence of government changes</w:t>
      </w:r>
      <w:r w:rsidR="00F84DCC">
        <w:rPr>
          <w:lang w:val="en-NZ"/>
        </w:rPr>
        <w:t xml:space="preserve">, </w:t>
      </w:r>
      <w:r w:rsidR="00E95EED">
        <w:rPr>
          <w:lang w:val="en-NZ"/>
        </w:rPr>
        <w:t xml:space="preserve">the </w:t>
      </w:r>
      <w:r w:rsidR="00AE200F">
        <w:rPr>
          <w:lang w:val="en-NZ"/>
        </w:rPr>
        <w:t>number of</w:t>
      </w:r>
      <w:r w:rsidR="00E95EED">
        <w:rPr>
          <w:lang w:val="en-NZ"/>
        </w:rPr>
        <w:t xml:space="preserve"> children living in poverty </w:t>
      </w:r>
      <w:r w:rsidR="00AE200F">
        <w:rPr>
          <w:lang w:val="en-NZ"/>
        </w:rPr>
        <w:t>is expected to slightly increase</w:t>
      </w:r>
      <w:r w:rsidR="00BE632D">
        <w:rPr>
          <w:lang w:val="en-NZ"/>
        </w:rPr>
        <w:t>.</w:t>
      </w:r>
      <w:r w:rsidR="00AE200F">
        <w:rPr>
          <w:rStyle w:val="FootnoteReference"/>
          <w:lang w:val="en-NZ"/>
        </w:rPr>
        <w:footnoteReference w:id="15"/>
      </w:r>
      <w:r w:rsidR="00BE632D">
        <w:rPr>
          <w:lang w:val="en-NZ"/>
        </w:rPr>
        <w:t xml:space="preserve"> </w:t>
      </w:r>
      <w:r w:rsidR="005F433F">
        <w:rPr>
          <w:lang w:val="en-NZ"/>
        </w:rPr>
        <w:t xml:space="preserve">Although benefit and some WFF rates are indexed to inflation (wage growth and </w:t>
      </w:r>
      <w:r w:rsidR="00542D08">
        <w:rPr>
          <w:lang w:val="en-NZ"/>
        </w:rPr>
        <w:t xml:space="preserve">the </w:t>
      </w:r>
      <w:r w:rsidR="005F433F">
        <w:rPr>
          <w:lang w:val="en-NZ"/>
        </w:rPr>
        <w:t>CPI respectively)</w:t>
      </w:r>
      <w:r w:rsidR="00B67946">
        <w:rPr>
          <w:lang w:val="en-NZ"/>
        </w:rPr>
        <w:t>,</w:t>
      </w:r>
      <w:r w:rsidR="00F43423">
        <w:rPr>
          <w:lang w:val="en-NZ"/>
        </w:rPr>
        <w:t xml:space="preserve"> </w:t>
      </w:r>
      <w:r w:rsidR="00B67946">
        <w:rPr>
          <w:lang w:val="en-NZ"/>
        </w:rPr>
        <w:t xml:space="preserve">these </w:t>
      </w:r>
      <w:r w:rsidR="00F43423">
        <w:rPr>
          <w:lang w:val="en-NZ"/>
        </w:rPr>
        <w:t>maintain the real value of payments</w:t>
      </w:r>
      <w:r w:rsidR="00542D08">
        <w:rPr>
          <w:lang w:val="en-NZ"/>
        </w:rPr>
        <w:t xml:space="preserve"> over </w:t>
      </w:r>
      <w:proofErr w:type="gramStart"/>
      <w:r w:rsidR="00542D08">
        <w:rPr>
          <w:lang w:val="en-NZ"/>
        </w:rPr>
        <w:t>time</w:t>
      </w:r>
      <w:r w:rsidR="00DC2621">
        <w:rPr>
          <w:lang w:val="en-NZ"/>
        </w:rPr>
        <w:t>;</w:t>
      </w:r>
      <w:proofErr w:type="gramEnd"/>
      <w:r w:rsidR="00F43423">
        <w:rPr>
          <w:lang w:val="en-NZ"/>
        </w:rPr>
        <w:t xml:space="preserve"> </w:t>
      </w:r>
      <w:r w:rsidR="00131DEE">
        <w:rPr>
          <w:lang w:val="en-NZ"/>
        </w:rPr>
        <w:t xml:space="preserve">i.e., </w:t>
      </w:r>
      <w:r w:rsidR="00AA1AD1">
        <w:rPr>
          <w:lang w:val="en-NZ"/>
        </w:rPr>
        <w:t xml:space="preserve">these </w:t>
      </w:r>
      <w:r w:rsidR="004B3F50">
        <w:rPr>
          <w:lang w:val="en-NZ"/>
        </w:rPr>
        <w:t>indexation</w:t>
      </w:r>
      <w:r w:rsidR="000612F6">
        <w:rPr>
          <w:lang w:val="en-NZ"/>
        </w:rPr>
        <w:t xml:space="preserve"> </w:t>
      </w:r>
      <w:r w:rsidR="00AA1AD1">
        <w:rPr>
          <w:lang w:val="en-NZ"/>
        </w:rPr>
        <w:t xml:space="preserve">adjustments </w:t>
      </w:r>
      <w:r w:rsidR="001A3E05">
        <w:rPr>
          <w:lang w:val="en-NZ"/>
        </w:rPr>
        <w:t>lower</w:t>
      </w:r>
      <w:r w:rsidR="00F43423">
        <w:rPr>
          <w:lang w:val="en-NZ"/>
        </w:rPr>
        <w:t xml:space="preserve"> the likelihood that child poverty rates would increase, rather than actively reduc</w:t>
      </w:r>
      <w:r w:rsidR="004B3F50">
        <w:rPr>
          <w:lang w:val="en-NZ"/>
        </w:rPr>
        <w:t>e</w:t>
      </w:r>
      <w:r w:rsidR="00F43423">
        <w:rPr>
          <w:lang w:val="en-NZ"/>
        </w:rPr>
        <w:t xml:space="preserve"> them.</w:t>
      </w:r>
    </w:p>
    <w:p w14:paraId="1E228187" w14:textId="4CDB0004" w:rsidR="005418EF" w:rsidRDefault="007D09C3" w:rsidP="00FF1AC4">
      <w:pPr>
        <w:rPr>
          <w:lang w:val="en-NZ"/>
        </w:rPr>
      </w:pPr>
      <w:r>
        <w:rPr>
          <w:lang w:val="en-NZ"/>
        </w:rPr>
        <w:t>Developments</w:t>
      </w:r>
      <w:r w:rsidR="00A42730">
        <w:rPr>
          <w:lang w:val="en-NZ"/>
        </w:rPr>
        <w:t xml:space="preserve"> in the wider economy</w:t>
      </w:r>
      <w:r w:rsidR="003D3A48">
        <w:rPr>
          <w:lang w:val="en-NZ"/>
        </w:rPr>
        <w:t xml:space="preserve"> </w:t>
      </w:r>
      <w:r w:rsidR="00A42730">
        <w:rPr>
          <w:lang w:val="en-NZ"/>
        </w:rPr>
        <w:t>could</w:t>
      </w:r>
      <w:r w:rsidR="007D5DDB">
        <w:rPr>
          <w:lang w:val="en-NZ"/>
        </w:rPr>
        <w:t xml:space="preserve"> </w:t>
      </w:r>
      <w:r w:rsidR="003D3A48">
        <w:rPr>
          <w:lang w:val="en-NZ"/>
        </w:rPr>
        <w:t>influence</w:t>
      </w:r>
      <w:r w:rsidR="00E41378">
        <w:rPr>
          <w:lang w:val="en-NZ"/>
        </w:rPr>
        <w:t xml:space="preserve"> </w:t>
      </w:r>
      <w:r w:rsidR="00DC2621">
        <w:rPr>
          <w:lang w:val="en-NZ"/>
        </w:rPr>
        <w:t>child poverty rates</w:t>
      </w:r>
      <w:r w:rsidR="003D3A48">
        <w:rPr>
          <w:lang w:val="en-NZ"/>
        </w:rPr>
        <w:t>, positively or negatively</w:t>
      </w:r>
      <w:r w:rsidR="00E41378">
        <w:rPr>
          <w:lang w:val="en-NZ"/>
        </w:rPr>
        <w:t xml:space="preserve">. </w:t>
      </w:r>
      <w:r w:rsidR="00021963">
        <w:rPr>
          <w:lang w:val="en-NZ"/>
        </w:rPr>
        <w:t xml:space="preserve">However, the only way to ensure that </w:t>
      </w:r>
      <w:r w:rsidR="00D1206F">
        <w:rPr>
          <w:lang w:val="en-NZ"/>
        </w:rPr>
        <w:t>poverty rates</w:t>
      </w:r>
      <w:r w:rsidR="00021963">
        <w:rPr>
          <w:lang w:val="en-NZ"/>
        </w:rPr>
        <w:t xml:space="preserve"> reduce is by making changes </w:t>
      </w:r>
      <w:r w:rsidR="00421E65">
        <w:rPr>
          <w:lang w:val="en-NZ"/>
        </w:rPr>
        <w:t xml:space="preserve">targeted </w:t>
      </w:r>
      <w:r w:rsidR="00021963">
        <w:rPr>
          <w:lang w:val="en-NZ"/>
        </w:rPr>
        <w:t xml:space="preserve">to achieve this end. The WFF review is </w:t>
      </w:r>
      <w:r w:rsidR="00DC2621">
        <w:rPr>
          <w:lang w:val="en-NZ"/>
        </w:rPr>
        <w:t>a</w:t>
      </w:r>
      <w:r w:rsidR="00415374">
        <w:rPr>
          <w:lang w:val="en-NZ"/>
        </w:rPr>
        <w:t xml:space="preserve"> key</w:t>
      </w:r>
      <w:r w:rsidR="00021963">
        <w:rPr>
          <w:lang w:val="en-NZ"/>
        </w:rPr>
        <w:t xml:space="preserve"> opportunity to do so.</w:t>
      </w:r>
    </w:p>
    <w:p w14:paraId="2CCFD3EA" w14:textId="77777777" w:rsidR="005418EF" w:rsidRPr="00B2011E" w:rsidRDefault="005418EF" w:rsidP="005418EF">
      <w:pPr>
        <w:rPr>
          <w:b/>
          <w:bCs/>
          <w:lang w:val="en-NZ"/>
        </w:rPr>
      </w:pPr>
      <w:r w:rsidRPr="00B2011E">
        <w:rPr>
          <w:b/>
          <w:bCs/>
          <w:lang w:val="en-NZ"/>
        </w:rPr>
        <w:t>Option to pass on increase to other caregivers (</w:t>
      </w:r>
      <w:proofErr w:type="spellStart"/>
      <w:r w:rsidRPr="00B2011E">
        <w:rPr>
          <w:b/>
          <w:bCs/>
          <w:lang w:val="en-NZ"/>
        </w:rPr>
        <w:t>Oranga</w:t>
      </w:r>
      <w:proofErr w:type="spellEnd"/>
      <w:r w:rsidRPr="00B2011E">
        <w:rPr>
          <w:b/>
          <w:bCs/>
          <w:lang w:val="en-NZ"/>
        </w:rPr>
        <w:t xml:space="preserve"> Tamariki comment)</w:t>
      </w:r>
    </w:p>
    <w:p w14:paraId="3C017081" w14:textId="55AFDA3D" w:rsidR="005418EF" w:rsidRDefault="005418EF" w:rsidP="005418EF">
      <w:pPr>
        <w:rPr>
          <w:lang w:val="en-NZ"/>
        </w:rPr>
      </w:pPr>
      <w:r>
        <w:t xml:space="preserve">There is also the option to </w:t>
      </w:r>
      <w:r w:rsidRPr="008F28F1">
        <w:t xml:space="preserve">extend </w:t>
      </w:r>
      <w:r>
        <w:t>the FTC increase to the</w:t>
      </w:r>
      <w:r w:rsidRPr="008F28F1">
        <w:t xml:space="preserve"> rates of </w:t>
      </w:r>
      <w:r>
        <w:t>the</w:t>
      </w:r>
      <w:r w:rsidRPr="00E6736B">
        <w:t xml:space="preserve"> </w:t>
      </w:r>
      <w:r>
        <w:t>OB</w:t>
      </w:r>
      <w:r w:rsidRPr="00E6736B">
        <w:t xml:space="preserve">, </w:t>
      </w:r>
      <w:r>
        <w:t>UCB</w:t>
      </w:r>
      <w:r w:rsidRPr="00E6736B">
        <w:t xml:space="preserve"> and </w:t>
      </w:r>
      <w:r>
        <w:t>FCA. I</w:t>
      </w:r>
      <w:r w:rsidRPr="00E6736B">
        <w:t xml:space="preserve">ncreases to the FTC </w:t>
      </w:r>
      <w:r>
        <w:t>have been</w:t>
      </w:r>
      <w:r w:rsidRPr="00E6736B">
        <w:t xml:space="preserve"> applied to the rates of OB, UCB</w:t>
      </w:r>
      <w:r>
        <w:t>,</w:t>
      </w:r>
      <w:r w:rsidRPr="00E6736B">
        <w:t xml:space="preserve"> and FCA in 2005, 2007</w:t>
      </w:r>
      <w:r>
        <w:t>,</w:t>
      </w:r>
      <w:r w:rsidRPr="00E6736B">
        <w:t xml:space="preserve"> and 2018</w:t>
      </w:r>
      <w:r>
        <w:t xml:space="preserve">, as caregivers receiving these payments cannot </w:t>
      </w:r>
      <w:r w:rsidRPr="00E6736B">
        <w:t>receive the FTC in respect of the same child</w:t>
      </w:r>
      <w:r>
        <w:t xml:space="preserve">, and the </w:t>
      </w:r>
      <w:r w:rsidRPr="009D3D51">
        <w:t>FTC makes a partial contribution towards the costs of raising childre</w:t>
      </w:r>
      <w:r>
        <w:t>n</w:t>
      </w:r>
      <w:r w:rsidRPr="00E6736B">
        <w:t>.</w:t>
      </w:r>
    </w:p>
    <w:p w14:paraId="22AC04BB" w14:textId="7B559AD9" w:rsidR="007D78A1" w:rsidRPr="00A864A5" w:rsidRDefault="007D78A1" w:rsidP="00FF1AC4">
      <w:pPr>
        <w:rPr>
          <w:rFonts w:ascii="Arial Bold" w:hAnsi="Arial Bold"/>
          <w:b/>
          <w:color w:val="0082AB"/>
          <w:spacing w:val="20"/>
          <w:w w:val="90"/>
          <w:sz w:val="24"/>
          <w:szCs w:val="22"/>
          <w:lang w:val="en-NZ"/>
        </w:rPr>
      </w:pPr>
      <w:r w:rsidRPr="00A864A5">
        <w:rPr>
          <w:lang w:val="en-NZ"/>
        </w:rPr>
        <w:br w:type="page"/>
      </w:r>
    </w:p>
    <w:p w14:paraId="478EFC4A" w14:textId="553E55CF" w:rsidR="00E901E5" w:rsidRPr="00E901E5" w:rsidRDefault="007D78A1" w:rsidP="00E901E5">
      <w:pPr>
        <w:pStyle w:val="Heading3"/>
        <w:rPr>
          <w:lang w:val="en-NZ"/>
        </w:rPr>
      </w:pPr>
      <w:r w:rsidRPr="00A864A5">
        <w:rPr>
          <w:lang w:val="en-NZ"/>
        </w:rPr>
        <w:t>What is the policy problem</w:t>
      </w:r>
      <w:r w:rsidR="002352C4">
        <w:rPr>
          <w:lang w:val="en-NZ"/>
        </w:rPr>
        <w:t xml:space="preserve"> or opportunity</w:t>
      </w:r>
      <w:r w:rsidRPr="00A864A5">
        <w:rPr>
          <w:lang w:val="en-NZ"/>
        </w:rPr>
        <w:t>?</w:t>
      </w:r>
    </w:p>
    <w:p w14:paraId="30383907" w14:textId="3BEACB71" w:rsidR="004F4ECA" w:rsidRPr="008B76DC" w:rsidRDefault="004F6E44" w:rsidP="004F4ECA">
      <w:pPr>
        <w:rPr>
          <w:b/>
          <w:bCs/>
          <w:lang w:val="en-NZ"/>
        </w:rPr>
      </w:pPr>
      <w:r>
        <w:rPr>
          <w:b/>
          <w:bCs/>
          <w:lang w:val="en-NZ"/>
        </w:rPr>
        <w:t>The problem</w:t>
      </w:r>
    </w:p>
    <w:p w14:paraId="46FB30E5" w14:textId="432F5893" w:rsidR="00103BD8" w:rsidRPr="005874FB" w:rsidRDefault="005874FB" w:rsidP="004F4ECA">
      <w:pPr>
        <w:rPr>
          <w:rFonts w:cs="Arial"/>
          <w:lang w:val="en-NZ"/>
        </w:rPr>
      </w:pPr>
      <w:r>
        <w:rPr>
          <w:rFonts w:cs="Arial"/>
          <w:lang w:val="en-NZ"/>
        </w:rPr>
        <w:t xml:space="preserve">The central issue </w:t>
      </w:r>
      <w:r w:rsidRPr="007B04D5">
        <w:rPr>
          <w:rFonts w:cs="Arial"/>
          <w:lang w:val="en-NZ"/>
        </w:rPr>
        <w:t xml:space="preserve">which </w:t>
      </w:r>
      <w:r w:rsidR="002F4C71" w:rsidRPr="00525785">
        <w:rPr>
          <w:rFonts w:cs="Arial"/>
          <w:lang w:val="en-NZ"/>
        </w:rPr>
        <w:t>phase one of the WFF review seeks</w:t>
      </w:r>
      <w:r w:rsidRPr="00525785">
        <w:rPr>
          <w:rFonts w:cs="Arial"/>
          <w:lang w:val="en-NZ"/>
        </w:rPr>
        <w:t xml:space="preserve"> to address</w:t>
      </w:r>
      <w:r>
        <w:rPr>
          <w:rFonts w:cs="Arial"/>
          <w:lang w:val="en-NZ"/>
        </w:rPr>
        <w:t xml:space="preserve"> is</w:t>
      </w:r>
      <w:r w:rsidR="00E73263">
        <w:rPr>
          <w:rFonts w:cs="Arial"/>
          <w:lang w:val="en-NZ"/>
        </w:rPr>
        <w:t xml:space="preserve"> the persistence of</w:t>
      </w:r>
      <w:r>
        <w:rPr>
          <w:rFonts w:cs="Arial"/>
          <w:lang w:val="en-NZ"/>
        </w:rPr>
        <w:t xml:space="preserve"> child poverty and income </w:t>
      </w:r>
      <w:r w:rsidR="003F4DDC">
        <w:rPr>
          <w:rFonts w:cs="Arial"/>
          <w:lang w:val="en-NZ"/>
        </w:rPr>
        <w:t>in</w:t>
      </w:r>
      <w:r>
        <w:rPr>
          <w:rFonts w:cs="Arial"/>
          <w:lang w:val="en-NZ"/>
        </w:rPr>
        <w:t xml:space="preserve">adequacy for low- and middle-income families in New Zealand. </w:t>
      </w:r>
      <w:r w:rsidR="00FA5497">
        <w:rPr>
          <w:rFonts w:cs="Arial"/>
          <w:lang w:val="en-NZ"/>
        </w:rPr>
        <w:t xml:space="preserve">Although poverty and income inadequacy exist for individuals without children, </w:t>
      </w:r>
      <w:r w:rsidR="004574A7">
        <w:rPr>
          <w:rFonts w:cs="Arial"/>
          <w:lang w:val="en-NZ"/>
        </w:rPr>
        <w:t>the scope of this review is limited to families with children</w:t>
      </w:r>
      <w:r w:rsidR="00FA5497">
        <w:rPr>
          <w:rFonts w:cs="Arial"/>
          <w:lang w:val="en-NZ"/>
        </w:rPr>
        <w:t>.</w:t>
      </w:r>
    </w:p>
    <w:p w14:paraId="152FC176" w14:textId="3820B6B7" w:rsidR="00525785" w:rsidRDefault="004F4ECA" w:rsidP="004F4ECA">
      <w:pPr>
        <w:rPr>
          <w:lang w:val="en-NZ"/>
        </w:rPr>
      </w:pPr>
      <w:r>
        <w:rPr>
          <w:lang w:val="en-NZ"/>
        </w:rPr>
        <w:t>In the year ended June 2020, 207,700 children, 18.4% of the children in New Zealand, were living in AHC50 poverty.</w:t>
      </w:r>
      <w:r>
        <w:rPr>
          <w:rStyle w:val="FootnoteReference"/>
          <w:lang w:val="en-NZ"/>
        </w:rPr>
        <w:footnoteReference w:id="16"/>
      </w:r>
      <w:r>
        <w:rPr>
          <w:lang w:val="en-NZ"/>
        </w:rPr>
        <w:t xml:space="preserve"> This means these children were growing up in families whose annual household equivalised disposable income (HEDI</w:t>
      </w:r>
      <w:r>
        <w:rPr>
          <w:rStyle w:val="FootnoteReference"/>
          <w:lang w:val="en-NZ"/>
        </w:rPr>
        <w:footnoteReference w:id="17"/>
      </w:r>
      <w:r>
        <w:rPr>
          <w:lang w:val="en-NZ"/>
        </w:rPr>
        <w:t>), after deducting housing costs (AHC), was less than</w:t>
      </w:r>
      <w:r w:rsidRPr="00464979">
        <w:rPr>
          <w:lang w:val="en-NZ"/>
        </w:rPr>
        <w:t xml:space="preserve"> 50%</w:t>
      </w:r>
      <w:r>
        <w:rPr>
          <w:lang w:val="en-NZ"/>
        </w:rPr>
        <w:t xml:space="preserve"> of the</w:t>
      </w:r>
      <w:r w:rsidRPr="00464979">
        <w:rPr>
          <w:lang w:val="en-NZ"/>
        </w:rPr>
        <w:t xml:space="preserve"> median </w:t>
      </w:r>
      <w:r>
        <w:rPr>
          <w:lang w:val="en-NZ"/>
        </w:rPr>
        <w:t>HEDI in New Zealand.</w:t>
      </w:r>
      <w:r>
        <w:rPr>
          <w:rStyle w:val="FootnoteReference"/>
          <w:lang w:val="en-NZ"/>
        </w:rPr>
        <w:footnoteReference w:id="18"/>
      </w:r>
      <w:r w:rsidR="00486812">
        <w:rPr>
          <w:lang w:val="en-NZ"/>
        </w:rPr>
        <w:t xml:space="preserve"> </w:t>
      </w:r>
      <w:r w:rsidR="004325BE">
        <w:rPr>
          <w:lang w:val="en-NZ"/>
        </w:rPr>
        <w:t>If housing costs are not deducted,</w:t>
      </w:r>
      <w:r w:rsidR="005E5503">
        <w:rPr>
          <w:lang w:val="en-NZ"/>
        </w:rPr>
        <w:t xml:space="preserve"> </w:t>
      </w:r>
      <w:r w:rsidR="005E5503" w:rsidRPr="005E5503">
        <w:rPr>
          <w:lang w:val="en-NZ"/>
        </w:rPr>
        <w:t>157,800 children, 13.8% of children in New Zealand, were living in BHC50 poverty</w:t>
      </w:r>
      <w:r w:rsidR="004325BE">
        <w:rPr>
          <w:lang w:val="en-NZ"/>
        </w:rPr>
        <w:t>.</w:t>
      </w:r>
      <w:r w:rsidR="00852677">
        <w:rPr>
          <w:rStyle w:val="FootnoteReference"/>
          <w:lang w:val="en-NZ"/>
        </w:rPr>
        <w:footnoteReference w:id="19"/>
      </w:r>
      <w:r w:rsidR="00756497">
        <w:rPr>
          <w:lang w:val="en-NZ"/>
        </w:rPr>
        <w:t xml:space="preserve"> </w:t>
      </w:r>
      <w:r w:rsidR="00EB392B">
        <w:rPr>
          <w:rStyle w:val="FootnoteReference"/>
          <w:lang w:val="en-NZ"/>
        </w:rPr>
        <w:footnoteReference w:id="20"/>
      </w:r>
    </w:p>
    <w:p w14:paraId="704E5CEB" w14:textId="26BC50EA" w:rsidR="00B94B38" w:rsidRDefault="004F4ECA" w:rsidP="004F4ECA">
      <w:pPr>
        <w:rPr>
          <w:lang w:val="en-NZ"/>
        </w:rPr>
      </w:pPr>
      <w:r>
        <w:rPr>
          <w:lang w:val="en-NZ"/>
        </w:rPr>
        <w:t xml:space="preserve">In the same year, </w:t>
      </w:r>
      <w:r w:rsidRPr="00C063A5">
        <w:rPr>
          <w:lang w:val="en-NZ"/>
        </w:rPr>
        <w:t>165</w:t>
      </w:r>
      <w:r>
        <w:rPr>
          <w:lang w:val="en-NZ"/>
        </w:rPr>
        <w:t>,</w:t>
      </w:r>
      <w:r w:rsidRPr="00C063A5">
        <w:rPr>
          <w:lang w:val="en-NZ"/>
        </w:rPr>
        <w:t>4</w:t>
      </w:r>
      <w:r>
        <w:rPr>
          <w:lang w:val="en-NZ"/>
        </w:rPr>
        <w:t xml:space="preserve">00 households, 9% of all households in New Zealand, reported that the adequacy of their income was “not enough” to support their needs. A further </w:t>
      </w:r>
      <w:r w:rsidRPr="000F6375">
        <w:rPr>
          <w:lang w:val="en-NZ"/>
        </w:rPr>
        <w:t>432</w:t>
      </w:r>
      <w:r>
        <w:rPr>
          <w:lang w:val="en-NZ"/>
        </w:rPr>
        <w:t>,</w:t>
      </w:r>
      <w:r w:rsidRPr="000F6375">
        <w:rPr>
          <w:lang w:val="en-NZ"/>
        </w:rPr>
        <w:t>6</w:t>
      </w:r>
      <w:r>
        <w:rPr>
          <w:lang w:val="en-NZ"/>
        </w:rPr>
        <w:t>00 (24%) reported that their income was “only just enough” to support their needs.</w:t>
      </w:r>
      <w:r>
        <w:rPr>
          <w:rStyle w:val="FootnoteReference"/>
          <w:lang w:val="en-NZ"/>
        </w:rPr>
        <w:footnoteReference w:id="21"/>
      </w:r>
      <w:r w:rsidR="001C6AC4">
        <w:rPr>
          <w:lang w:val="en-NZ"/>
        </w:rPr>
        <w:t xml:space="preserve"> </w:t>
      </w:r>
    </w:p>
    <w:p w14:paraId="754AB12A" w14:textId="56543638" w:rsidR="00B94B38" w:rsidRDefault="00B94B38" w:rsidP="004F4ECA">
      <w:pPr>
        <w:rPr>
          <w:rFonts w:cs="Arial"/>
          <w:lang w:val="en-NZ"/>
        </w:rPr>
      </w:pPr>
      <w:r>
        <w:rPr>
          <w:rFonts w:cs="Arial"/>
          <w:lang w:val="en-NZ"/>
        </w:rPr>
        <w:t xml:space="preserve">Part of the government’s role </w:t>
      </w:r>
      <w:r w:rsidR="00D3678B">
        <w:rPr>
          <w:rFonts w:cs="Arial"/>
          <w:lang w:val="en-NZ"/>
        </w:rPr>
        <w:t xml:space="preserve">(as </w:t>
      </w:r>
      <w:r w:rsidR="00AB0A07">
        <w:rPr>
          <w:rFonts w:cs="Arial"/>
          <w:lang w:val="en-NZ"/>
        </w:rPr>
        <w:t>emphasised by</w:t>
      </w:r>
      <w:r w:rsidR="005C5A5F">
        <w:rPr>
          <w:rFonts w:cs="Arial"/>
          <w:lang w:val="en-NZ"/>
        </w:rPr>
        <w:t xml:space="preserve"> the </w:t>
      </w:r>
      <w:r w:rsidR="005C5A5F" w:rsidRPr="008B76DC">
        <w:rPr>
          <w:rFonts w:cs="Arial"/>
          <w:szCs w:val="22"/>
        </w:rPr>
        <w:t>Child Poverty Reduction Act</w:t>
      </w:r>
      <w:r w:rsidR="005C5A5F">
        <w:rPr>
          <w:rFonts w:cs="Arial"/>
          <w:szCs w:val="22"/>
        </w:rPr>
        <w:t xml:space="preserve"> 2018)</w:t>
      </w:r>
      <w:r w:rsidR="00D3678B">
        <w:rPr>
          <w:rFonts w:cs="Arial"/>
          <w:lang w:val="en-NZ"/>
        </w:rPr>
        <w:t xml:space="preserve"> </w:t>
      </w:r>
      <w:r>
        <w:rPr>
          <w:rFonts w:cs="Arial"/>
          <w:lang w:val="en-NZ"/>
        </w:rPr>
        <w:t>is to alleviate issues of poverty and income adequacy in society</w:t>
      </w:r>
      <w:r w:rsidR="004A7AF5">
        <w:rPr>
          <w:rFonts w:cs="Arial"/>
          <w:lang w:val="en-NZ"/>
        </w:rPr>
        <w:t>.</w:t>
      </w:r>
      <w:r>
        <w:rPr>
          <w:rFonts w:cs="Arial"/>
          <w:lang w:val="en-NZ"/>
        </w:rPr>
        <w:t xml:space="preserve"> </w:t>
      </w:r>
      <w:r w:rsidR="004A7AF5">
        <w:rPr>
          <w:rFonts w:cs="Arial"/>
          <w:lang w:val="en-NZ"/>
        </w:rPr>
        <w:t>I</w:t>
      </w:r>
      <w:r>
        <w:rPr>
          <w:rFonts w:cs="Arial"/>
          <w:lang w:val="en-NZ"/>
        </w:rPr>
        <w:t>t does so</w:t>
      </w:r>
      <w:r w:rsidR="008F4EEF">
        <w:rPr>
          <w:rFonts w:cs="Arial"/>
          <w:lang w:val="en-NZ"/>
        </w:rPr>
        <w:t xml:space="preserve"> through various means, but most explicitly</w:t>
      </w:r>
      <w:r>
        <w:rPr>
          <w:rFonts w:cs="Arial"/>
          <w:lang w:val="en-NZ"/>
        </w:rPr>
        <w:t xml:space="preserve"> </w:t>
      </w:r>
      <w:r w:rsidR="00DE74F5">
        <w:rPr>
          <w:rFonts w:cs="Arial"/>
          <w:lang w:val="en-NZ"/>
        </w:rPr>
        <w:t xml:space="preserve">by targeting financial transfers </w:t>
      </w:r>
      <w:r w:rsidR="00E53C9F">
        <w:rPr>
          <w:rFonts w:cs="Arial"/>
          <w:lang w:val="en-NZ"/>
        </w:rPr>
        <w:t xml:space="preserve">to affected groups of the population </w:t>
      </w:r>
      <w:r w:rsidR="00DE74F5">
        <w:rPr>
          <w:rFonts w:cs="Arial"/>
          <w:lang w:val="en-NZ"/>
        </w:rPr>
        <w:t>via</w:t>
      </w:r>
      <w:r>
        <w:rPr>
          <w:rFonts w:cs="Arial"/>
          <w:lang w:val="en-NZ"/>
        </w:rPr>
        <w:t xml:space="preserve"> the welfare system and the WFF scheme.</w:t>
      </w:r>
      <w:r w:rsidR="00D3678B">
        <w:rPr>
          <w:rFonts w:cs="Arial"/>
          <w:lang w:val="en-NZ"/>
        </w:rPr>
        <w:t xml:space="preserve"> The fact that poverty, particularly child poverty, and income inadequacy persist demonstrates that these </w:t>
      </w:r>
      <w:r w:rsidR="00AB0A07">
        <w:rPr>
          <w:rFonts w:cs="Arial"/>
          <w:lang w:val="en-NZ"/>
        </w:rPr>
        <w:t xml:space="preserve">tools have not </w:t>
      </w:r>
      <w:r w:rsidR="009828F8">
        <w:rPr>
          <w:rFonts w:cs="Arial"/>
          <w:lang w:val="en-NZ"/>
        </w:rPr>
        <w:t xml:space="preserve">solved the problem. Although </w:t>
      </w:r>
      <w:r w:rsidR="00D1206F">
        <w:rPr>
          <w:rFonts w:cs="Arial"/>
          <w:lang w:val="en-NZ"/>
        </w:rPr>
        <w:t>the G</w:t>
      </w:r>
      <w:r w:rsidR="009828F8">
        <w:rPr>
          <w:rFonts w:cs="Arial"/>
          <w:lang w:val="en-NZ"/>
        </w:rPr>
        <w:t xml:space="preserve">overnment has not committed to eliminating these issues, it has set targets to significantly reduce </w:t>
      </w:r>
      <w:r w:rsidR="00A11AF1">
        <w:rPr>
          <w:rFonts w:cs="Arial"/>
          <w:lang w:val="en-NZ"/>
        </w:rPr>
        <w:t>the number of children in poverty.</w:t>
      </w:r>
    </w:p>
    <w:p w14:paraId="19B75020" w14:textId="35FEE95A" w:rsidR="00FB05A8" w:rsidRPr="005418EF" w:rsidRDefault="004F6E44" w:rsidP="0057002B">
      <w:pPr>
        <w:rPr>
          <w:rFonts w:cs="Arial"/>
          <w:b/>
          <w:bCs/>
          <w:lang w:val="en-NZ"/>
        </w:rPr>
      </w:pPr>
      <w:r w:rsidRPr="005418EF">
        <w:rPr>
          <w:rFonts w:cs="Arial"/>
          <w:b/>
          <w:bCs/>
          <w:lang w:val="en-NZ"/>
        </w:rPr>
        <w:t>The stakeholders</w:t>
      </w:r>
    </w:p>
    <w:p w14:paraId="3A1C5D04" w14:textId="480EF72B" w:rsidR="0022665C" w:rsidRDefault="0038160C" w:rsidP="0057002B">
      <w:pPr>
        <w:rPr>
          <w:rFonts w:cs="Arial"/>
          <w:lang w:val="en-NZ"/>
        </w:rPr>
      </w:pPr>
      <w:r>
        <w:rPr>
          <w:rFonts w:cs="Arial"/>
          <w:lang w:val="en-NZ"/>
        </w:rPr>
        <w:t>The primary stakeholders in this issue are the families and children living in poverty o</w:t>
      </w:r>
      <w:r w:rsidR="00D47CE8">
        <w:rPr>
          <w:rFonts w:cs="Arial"/>
          <w:lang w:val="en-NZ"/>
        </w:rPr>
        <w:t>r</w:t>
      </w:r>
      <w:r>
        <w:rPr>
          <w:rFonts w:cs="Arial"/>
          <w:lang w:val="en-NZ"/>
        </w:rPr>
        <w:t xml:space="preserve"> with inadequate income. </w:t>
      </w:r>
      <w:r w:rsidR="00212A00">
        <w:rPr>
          <w:rFonts w:cs="Arial"/>
          <w:lang w:val="en-NZ"/>
        </w:rPr>
        <w:t>They have a significant, p</w:t>
      </w:r>
      <w:r w:rsidR="00392984">
        <w:rPr>
          <w:rFonts w:cs="Arial"/>
          <w:lang w:val="en-NZ"/>
        </w:rPr>
        <w:t xml:space="preserve">ersonal interest </w:t>
      </w:r>
      <w:r w:rsidR="002322B4">
        <w:rPr>
          <w:rFonts w:cs="Arial"/>
          <w:lang w:val="en-NZ"/>
        </w:rPr>
        <w:t xml:space="preserve">in this issue </w:t>
      </w:r>
      <w:r w:rsidR="00392984">
        <w:rPr>
          <w:rFonts w:cs="Arial"/>
          <w:lang w:val="en-NZ"/>
        </w:rPr>
        <w:t xml:space="preserve">as </w:t>
      </w:r>
      <w:r w:rsidR="002322B4">
        <w:rPr>
          <w:rFonts w:cs="Arial"/>
          <w:lang w:val="en-NZ"/>
        </w:rPr>
        <w:t xml:space="preserve">living in </w:t>
      </w:r>
      <w:r w:rsidR="00392984">
        <w:rPr>
          <w:rFonts w:cs="Arial"/>
          <w:lang w:val="en-NZ"/>
        </w:rPr>
        <w:t xml:space="preserve">poverty </w:t>
      </w:r>
      <w:r w:rsidR="002322B4">
        <w:rPr>
          <w:rFonts w:cs="Arial"/>
          <w:lang w:val="en-NZ"/>
        </w:rPr>
        <w:t>or without</w:t>
      </w:r>
      <w:r w:rsidR="00392984">
        <w:rPr>
          <w:rFonts w:cs="Arial"/>
          <w:lang w:val="en-NZ"/>
        </w:rPr>
        <w:t xml:space="preserve"> income adequacy has the potential to restrict or negatively influence all aspects of their li</w:t>
      </w:r>
      <w:r w:rsidR="002322B4">
        <w:rPr>
          <w:rFonts w:cs="Arial"/>
          <w:lang w:val="en-NZ"/>
        </w:rPr>
        <w:t>v</w:t>
      </w:r>
      <w:r w:rsidR="00392984">
        <w:rPr>
          <w:rFonts w:cs="Arial"/>
          <w:lang w:val="en-NZ"/>
        </w:rPr>
        <w:t>e</w:t>
      </w:r>
      <w:r w:rsidR="002322B4">
        <w:rPr>
          <w:rFonts w:cs="Arial"/>
          <w:lang w:val="en-NZ"/>
        </w:rPr>
        <w:t>s</w:t>
      </w:r>
      <w:r w:rsidR="00392984">
        <w:rPr>
          <w:rFonts w:cs="Arial"/>
          <w:lang w:val="en-NZ"/>
        </w:rPr>
        <w:t xml:space="preserve">. </w:t>
      </w:r>
      <w:r w:rsidR="00B22D3A">
        <w:rPr>
          <w:rFonts w:cs="Arial"/>
          <w:lang w:val="en-NZ"/>
        </w:rPr>
        <w:t>Restricted access to m</w:t>
      </w:r>
      <w:r w:rsidR="00636DBF">
        <w:rPr>
          <w:rFonts w:cs="Arial"/>
          <w:lang w:val="en-NZ"/>
        </w:rPr>
        <w:t>aterial go</w:t>
      </w:r>
      <w:r w:rsidR="004A7D9E">
        <w:rPr>
          <w:rFonts w:cs="Arial"/>
          <w:lang w:val="en-NZ"/>
        </w:rPr>
        <w:t>o</w:t>
      </w:r>
      <w:r w:rsidR="00636DBF">
        <w:rPr>
          <w:rFonts w:cs="Arial"/>
          <w:lang w:val="en-NZ"/>
        </w:rPr>
        <w:t>ds</w:t>
      </w:r>
      <w:r w:rsidR="004A7D9E">
        <w:rPr>
          <w:rFonts w:cs="Arial"/>
          <w:lang w:val="en-NZ"/>
        </w:rPr>
        <w:t xml:space="preserve"> or restricted capacity for social participation can have significant flow on effects to </w:t>
      </w:r>
      <w:r w:rsidR="003E5AA5">
        <w:rPr>
          <w:rFonts w:cs="Arial"/>
          <w:lang w:val="en-NZ"/>
        </w:rPr>
        <w:t xml:space="preserve">other areas of life such as </w:t>
      </w:r>
      <w:r w:rsidR="004A7D9E">
        <w:rPr>
          <w:rFonts w:cs="Arial"/>
          <w:lang w:val="en-NZ"/>
        </w:rPr>
        <w:t xml:space="preserve">physical and mental health, </w:t>
      </w:r>
      <w:r w:rsidR="003E5AA5">
        <w:rPr>
          <w:rFonts w:cs="Arial"/>
          <w:lang w:val="en-NZ"/>
        </w:rPr>
        <w:t>educational outcomes</w:t>
      </w:r>
      <w:r w:rsidR="00156544">
        <w:rPr>
          <w:rFonts w:cs="Arial"/>
          <w:lang w:val="en-NZ"/>
        </w:rPr>
        <w:t xml:space="preserve"> </w:t>
      </w:r>
      <w:r w:rsidR="00BE2DE2">
        <w:rPr>
          <w:rFonts w:cs="Arial"/>
          <w:lang w:val="en-NZ"/>
        </w:rPr>
        <w:t xml:space="preserve">and </w:t>
      </w:r>
      <w:r w:rsidR="00156544">
        <w:rPr>
          <w:rFonts w:cs="Arial"/>
          <w:lang w:val="en-NZ"/>
        </w:rPr>
        <w:t>thus work opportunities.</w:t>
      </w:r>
      <w:r w:rsidR="00E75D64">
        <w:rPr>
          <w:rFonts w:cs="Arial"/>
          <w:lang w:val="en-NZ"/>
        </w:rPr>
        <w:t xml:space="preserve"> </w:t>
      </w:r>
    </w:p>
    <w:p w14:paraId="3DC5BF9D" w14:textId="5DB8E3FA" w:rsidR="00D24B5C" w:rsidRDefault="00B64BBD" w:rsidP="0057002B">
      <w:pPr>
        <w:rPr>
          <w:rFonts w:cs="Arial"/>
          <w:lang w:val="en-NZ"/>
        </w:rPr>
      </w:pPr>
      <w:r>
        <w:rPr>
          <w:rFonts w:cs="Arial"/>
          <w:lang w:val="en-NZ"/>
        </w:rPr>
        <w:t xml:space="preserve">In many ways, wider society is also a stakeholder in this issue. </w:t>
      </w:r>
      <w:r w:rsidR="00E75D64">
        <w:rPr>
          <w:rFonts w:cs="Arial"/>
          <w:lang w:val="en-NZ"/>
        </w:rPr>
        <w:t>The</w:t>
      </w:r>
      <w:r w:rsidR="0022665C">
        <w:rPr>
          <w:rFonts w:cs="Arial"/>
          <w:lang w:val="en-NZ"/>
        </w:rPr>
        <w:t xml:space="preserve"> consequences of poverty</w:t>
      </w:r>
      <w:r w:rsidR="00E75D64">
        <w:rPr>
          <w:rFonts w:cs="Arial"/>
          <w:lang w:val="en-NZ"/>
        </w:rPr>
        <w:t xml:space="preserve"> lead to </w:t>
      </w:r>
      <w:r w:rsidR="00BE2DE2">
        <w:rPr>
          <w:rFonts w:cs="Arial"/>
          <w:lang w:val="en-NZ"/>
        </w:rPr>
        <w:t xml:space="preserve">greater </w:t>
      </w:r>
      <w:r>
        <w:rPr>
          <w:rFonts w:cs="Arial"/>
          <w:lang w:val="en-NZ"/>
        </w:rPr>
        <w:t>public expenditure</w:t>
      </w:r>
      <w:r w:rsidR="005E6A30">
        <w:rPr>
          <w:rFonts w:cs="Arial"/>
          <w:lang w:val="en-NZ"/>
        </w:rPr>
        <w:t>,</w:t>
      </w:r>
      <w:r>
        <w:rPr>
          <w:rFonts w:cs="Arial"/>
          <w:lang w:val="en-NZ"/>
        </w:rPr>
        <w:t xml:space="preserve"> particularly on </w:t>
      </w:r>
      <w:r w:rsidR="00E75D64">
        <w:rPr>
          <w:rFonts w:cs="Arial"/>
          <w:lang w:val="en-NZ"/>
        </w:rPr>
        <w:t>healthcare</w:t>
      </w:r>
      <w:r w:rsidR="00BE2DE2">
        <w:rPr>
          <w:rFonts w:cs="Arial"/>
          <w:lang w:val="en-NZ"/>
        </w:rPr>
        <w:t xml:space="preserve"> and the </w:t>
      </w:r>
      <w:r w:rsidR="0022665C">
        <w:rPr>
          <w:rFonts w:cs="Arial"/>
          <w:lang w:val="en-NZ"/>
        </w:rPr>
        <w:t>j</w:t>
      </w:r>
      <w:r w:rsidR="00BE2DE2">
        <w:rPr>
          <w:rFonts w:cs="Arial"/>
          <w:lang w:val="en-NZ"/>
        </w:rPr>
        <w:t>ustice system</w:t>
      </w:r>
      <w:r w:rsidR="005E6A30">
        <w:rPr>
          <w:rFonts w:cs="Arial"/>
          <w:lang w:val="en-NZ"/>
        </w:rPr>
        <w:t>,</w:t>
      </w:r>
      <w:r w:rsidR="00BE2DE2">
        <w:rPr>
          <w:rFonts w:cs="Arial"/>
          <w:lang w:val="en-NZ"/>
        </w:rPr>
        <w:t xml:space="preserve"> as well</w:t>
      </w:r>
      <w:r w:rsidR="00E75D64">
        <w:rPr>
          <w:rFonts w:cs="Arial"/>
          <w:lang w:val="en-NZ"/>
        </w:rPr>
        <w:t xml:space="preserve"> a</w:t>
      </w:r>
      <w:r w:rsidR="00BE2DE2">
        <w:rPr>
          <w:rFonts w:cs="Arial"/>
          <w:lang w:val="en-NZ"/>
        </w:rPr>
        <w:t xml:space="preserve">s </w:t>
      </w:r>
      <w:r w:rsidR="0022665C">
        <w:rPr>
          <w:rFonts w:cs="Arial"/>
          <w:lang w:val="en-NZ"/>
        </w:rPr>
        <w:t xml:space="preserve">the </w:t>
      </w:r>
      <w:r w:rsidR="00BE2DE2">
        <w:rPr>
          <w:rFonts w:cs="Arial"/>
          <w:lang w:val="en-NZ"/>
        </w:rPr>
        <w:t>loss of potential</w:t>
      </w:r>
      <w:r w:rsidR="00E75D64">
        <w:rPr>
          <w:rFonts w:cs="Arial"/>
          <w:lang w:val="en-NZ"/>
        </w:rPr>
        <w:t xml:space="preserve"> tax revenue.</w:t>
      </w:r>
      <w:r w:rsidR="0022665C">
        <w:rPr>
          <w:rFonts w:cs="Arial"/>
          <w:lang w:val="en-NZ"/>
        </w:rPr>
        <w:t xml:space="preserve"> </w:t>
      </w:r>
      <w:r w:rsidR="00793CB4">
        <w:rPr>
          <w:rFonts w:cs="Arial"/>
          <w:lang w:val="en-NZ"/>
        </w:rPr>
        <w:t>Although increased expenditure on welfare may appear to negatively impact the taxpayer, reductions in poverty rates will lead to savings in other areas.</w:t>
      </w:r>
    </w:p>
    <w:p w14:paraId="4EDAE260" w14:textId="6A75C775" w:rsidR="006C5C1C" w:rsidRPr="005418EF" w:rsidRDefault="006C5C1C" w:rsidP="0057002B">
      <w:pPr>
        <w:rPr>
          <w:rFonts w:cs="Arial"/>
          <w:b/>
          <w:bCs/>
          <w:lang w:val="en-NZ"/>
        </w:rPr>
      </w:pPr>
      <w:r w:rsidRPr="005418EF">
        <w:rPr>
          <w:rFonts w:cs="Arial"/>
          <w:b/>
          <w:bCs/>
          <w:lang w:val="en-NZ"/>
        </w:rPr>
        <w:t>Disproportionally affected groups</w:t>
      </w:r>
    </w:p>
    <w:p w14:paraId="39D463A9" w14:textId="563291CC" w:rsidR="00250BF5" w:rsidRPr="00250BF5" w:rsidRDefault="00250BF5" w:rsidP="00250BF5">
      <w:pPr>
        <w:rPr>
          <w:rFonts w:cs="Arial"/>
          <w:lang w:val="en-NZ"/>
        </w:rPr>
      </w:pPr>
      <w:r w:rsidRPr="00250BF5">
        <w:rPr>
          <w:rFonts w:cs="Arial"/>
          <w:lang w:val="en-NZ"/>
        </w:rPr>
        <w:t>Māori, Pacific people,</w:t>
      </w:r>
      <w:r w:rsidR="003E7C90">
        <w:rPr>
          <w:rFonts w:cs="Arial"/>
          <w:lang w:val="en-NZ"/>
        </w:rPr>
        <w:t xml:space="preserve"> people with disabilities</w:t>
      </w:r>
      <w:r w:rsidRPr="00250BF5">
        <w:rPr>
          <w:rFonts w:cs="Arial"/>
          <w:lang w:val="en-NZ"/>
        </w:rPr>
        <w:t xml:space="preserve"> and women are overrepresented in low-income earners and evidence indicates these groups are likely to be among the hardest hit by COVID-19 economic impacts. Māori and Pacific women in particular are over-represented in low-wage employment a</w:t>
      </w:r>
      <w:r w:rsidR="00B729E1">
        <w:rPr>
          <w:rFonts w:cs="Arial"/>
          <w:lang w:val="en-NZ"/>
        </w:rPr>
        <w:t>s well as</w:t>
      </w:r>
      <w:r w:rsidRPr="00250BF5">
        <w:rPr>
          <w:rFonts w:cs="Arial"/>
          <w:lang w:val="en-NZ"/>
        </w:rPr>
        <w:t xml:space="preserve"> casual, temporary and other forms of insecure employment. COVID-19 has only exacerbated the situation for these groups, who are also more likely to be in industries impacted by COVID-19 restrictions. Women with caring responsibilities, especially sole parents, are also exposed to the adverse effects of economic recessions that can lock in long-term unemployment</w:t>
      </w:r>
      <w:r w:rsidR="00B729E1">
        <w:rPr>
          <w:rFonts w:cs="Arial"/>
          <w:lang w:val="en-NZ"/>
        </w:rPr>
        <w:t xml:space="preserve"> and</w:t>
      </w:r>
      <w:r w:rsidRPr="00250BF5">
        <w:rPr>
          <w:rFonts w:cs="Arial"/>
          <w:lang w:val="en-NZ"/>
        </w:rPr>
        <w:t xml:space="preserve"> poverty (including in-work poverty) and lead to increased rates of child poverty</w:t>
      </w:r>
      <w:r w:rsidR="00B729E1">
        <w:rPr>
          <w:rFonts w:cs="Arial"/>
          <w:lang w:val="en-NZ"/>
        </w:rPr>
        <w:t>.</w:t>
      </w:r>
    </w:p>
    <w:p w14:paraId="2E56C877" w14:textId="5B7C9A30" w:rsidR="009C269A" w:rsidRPr="00226FF1" w:rsidRDefault="00250BF5" w:rsidP="00250BF5">
      <w:pPr>
        <w:rPr>
          <w:rFonts w:cs="Arial"/>
          <w:lang w:val="en-NZ"/>
        </w:rPr>
      </w:pPr>
      <w:r w:rsidRPr="00250BF5">
        <w:rPr>
          <w:rFonts w:cs="Arial"/>
          <w:lang w:val="en-NZ"/>
        </w:rPr>
        <w:t xml:space="preserve">Changes to the FTC </w:t>
      </w:r>
      <w:r w:rsidR="00B729E1" w:rsidRPr="00250BF5">
        <w:rPr>
          <w:rFonts w:cs="Arial"/>
          <w:lang w:val="en-NZ"/>
        </w:rPr>
        <w:t xml:space="preserve">considered </w:t>
      </w:r>
      <w:r w:rsidRPr="00250BF5">
        <w:rPr>
          <w:rFonts w:cs="Arial"/>
          <w:lang w:val="en-NZ"/>
        </w:rPr>
        <w:t>in this RIS provide increases to families with the lowest incomes</w:t>
      </w:r>
      <w:r w:rsidR="00B729E1">
        <w:rPr>
          <w:rFonts w:cs="Arial"/>
          <w:lang w:val="en-NZ"/>
        </w:rPr>
        <w:t>. They are ther</w:t>
      </w:r>
      <w:r w:rsidR="00F21129">
        <w:rPr>
          <w:rFonts w:cs="Arial"/>
          <w:lang w:val="en-NZ"/>
        </w:rPr>
        <w:t>e</w:t>
      </w:r>
      <w:r w:rsidR="00B729E1">
        <w:rPr>
          <w:rFonts w:cs="Arial"/>
          <w:lang w:val="en-NZ"/>
        </w:rPr>
        <w:t>fore</w:t>
      </w:r>
      <w:r w:rsidRPr="00250BF5">
        <w:rPr>
          <w:rFonts w:cs="Arial"/>
          <w:lang w:val="en-NZ"/>
        </w:rPr>
        <w:t xml:space="preserve"> likely to disproportionately benefit Māori, Pac</w:t>
      </w:r>
      <w:r w:rsidR="00BB24D0">
        <w:rPr>
          <w:rFonts w:cs="Arial"/>
          <w:lang w:val="en-NZ"/>
        </w:rPr>
        <w:t>i</w:t>
      </w:r>
      <w:r w:rsidRPr="00250BF5">
        <w:rPr>
          <w:rFonts w:cs="Arial"/>
          <w:lang w:val="en-NZ"/>
        </w:rPr>
        <w:t xml:space="preserve">fic </w:t>
      </w:r>
      <w:proofErr w:type="gramStart"/>
      <w:r w:rsidRPr="00250BF5">
        <w:rPr>
          <w:rFonts w:cs="Arial"/>
          <w:lang w:val="en-NZ"/>
        </w:rPr>
        <w:t>people</w:t>
      </w:r>
      <w:proofErr w:type="gramEnd"/>
      <w:r w:rsidRPr="00250BF5">
        <w:rPr>
          <w:rFonts w:cs="Arial"/>
          <w:lang w:val="en-NZ"/>
        </w:rPr>
        <w:t xml:space="preserve"> and women.</w:t>
      </w:r>
      <w:r w:rsidR="00BB24D0">
        <w:rPr>
          <w:rFonts w:cs="Arial"/>
          <w:lang w:val="en-NZ"/>
        </w:rPr>
        <w:t xml:space="preserve"> </w:t>
      </w:r>
    </w:p>
    <w:p w14:paraId="29AE595B" w14:textId="36340261" w:rsidR="0064630D" w:rsidRPr="0064630D" w:rsidRDefault="0057002B" w:rsidP="0064630D">
      <w:pPr>
        <w:rPr>
          <w:rFonts w:cs="Arial"/>
          <w:lang w:val="en-NZ"/>
        </w:rPr>
      </w:pPr>
      <w:r>
        <w:rPr>
          <w:rFonts w:cs="Arial"/>
          <w:lang w:val="en-NZ"/>
        </w:rPr>
        <w:t xml:space="preserve">Another key consideration is the impact of any solutions specifically on children. </w:t>
      </w:r>
      <w:r w:rsidR="00FB3C66" w:rsidRPr="00FB3C66">
        <w:rPr>
          <w:rFonts w:cs="Arial"/>
          <w:lang w:val="en-NZ"/>
        </w:rPr>
        <w:t>Contributing to child poverty reduction is one of the main objectives of the WFF scheme</w:t>
      </w:r>
      <w:r w:rsidR="00010AE8">
        <w:rPr>
          <w:rFonts w:cs="Arial"/>
          <w:lang w:val="en-NZ"/>
        </w:rPr>
        <w:t xml:space="preserve">. </w:t>
      </w:r>
      <w:r>
        <w:rPr>
          <w:rFonts w:cs="Arial"/>
          <w:lang w:val="en-NZ"/>
        </w:rPr>
        <w:t xml:space="preserve">Better targeting </w:t>
      </w:r>
      <w:r w:rsidR="00D1206F">
        <w:rPr>
          <w:rFonts w:cs="Arial"/>
          <w:lang w:val="en-NZ"/>
        </w:rPr>
        <w:t xml:space="preserve">of WFF </w:t>
      </w:r>
      <w:r>
        <w:rPr>
          <w:rFonts w:cs="Arial"/>
          <w:lang w:val="en-NZ"/>
        </w:rPr>
        <w:t>aims to increase the income adequacy of families in which the most vulnerable children live, and greater work incentives help to provide pathways for families out of poverty. This may include increased opportunities for their children as they move into education and work. Research indicates</w:t>
      </w:r>
      <w:r w:rsidRPr="00226FF1">
        <w:rPr>
          <w:rFonts w:cs="Arial"/>
          <w:lang w:val="en-NZ"/>
        </w:rPr>
        <w:t xml:space="preserve"> people who come onto benefits before the age of 20 are more likely to stay on benefit longer</w:t>
      </w:r>
      <w:r w:rsidR="009C269A">
        <w:rPr>
          <w:rFonts w:cs="Arial"/>
          <w:lang w:val="en-NZ"/>
        </w:rPr>
        <w:t>.</w:t>
      </w:r>
      <w:r>
        <w:rPr>
          <w:rFonts w:cs="Arial"/>
          <w:lang w:val="en-NZ"/>
        </w:rPr>
        <w:t xml:space="preserve"> </w:t>
      </w:r>
    </w:p>
    <w:p w14:paraId="0BEDE5D4" w14:textId="77777777" w:rsidR="009A78C0" w:rsidRPr="005418EF" w:rsidRDefault="009A78C0" w:rsidP="009A78C0">
      <w:pPr>
        <w:rPr>
          <w:rFonts w:cs="Arial"/>
          <w:b/>
          <w:bCs/>
          <w:lang w:val="en-NZ"/>
        </w:rPr>
      </w:pPr>
      <w:r w:rsidRPr="005418EF">
        <w:rPr>
          <w:rFonts w:cs="Arial"/>
          <w:b/>
          <w:bCs/>
          <w:lang w:val="en-NZ"/>
        </w:rPr>
        <w:t xml:space="preserve">Option to pass on FTC increase to other </w:t>
      </w:r>
      <w:proofErr w:type="gramStart"/>
      <w:r w:rsidRPr="005418EF">
        <w:rPr>
          <w:rFonts w:cs="Arial"/>
          <w:b/>
          <w:bCs/>
          <w:lang w:val="en-NZ"/>
        </w:rPr>
        <w:t>caregivers</w:t>
      </w:r>
      <w:proofErr w:type="gramEnd"/>
      <w:r w:rsidRPr="005418EF">
        <w:rPr>
          <w:rFonts w:cs="Arial"/>
          <w:b/>
          <w:bCs/>
          <w:lang w:val="en-NZ"/>
        </w:rPr>
        <w:t xml:space="preserve"> population - (</w:t>
      </w:r>
      <w:proofErr w:type="spellStart"/>
      <w:r w:rsidRPr="005418EF">
        <w:rPr>
          <w:rFonts w:cs="Arial"/>
          <w:b/>
          <w:bCs/>
          <w:lang w:val="en-NZ"/>
        </w:rPr>
        <w:t>Oranga</w:t>
      </w:r>
      <w:proofErr w:type="spellEnd"/>
      <w:r w:rsidRPr="005418EF">
        <w:rPr>
          <w:rFonts w:cs="Arial"/>
          <w:b/>
          <w:bCs/>
          <w:lang w:val="en-NZ"/>
        </w:rPr>
        <w:t xml:space="preserve"> Tamariki comment)</w:t>
      </w:r>
    </w:p>
    <w:p w14:paraId="249BE6B1" w14:textId="6D102C6D" w:rsidR="009A78C0" w:rsidRDefault="009A78C0" w:rsidP="0057002B">
      <w:pPr>
        <w:rPr>
          <w:rFonts w:cs="Arial"/>
          <w:lang w:val="en-NZ"/>
        </w:rPr>
      </w:pPr>
      <w:r>
        <w:t>There are around 15,000 families caring for around 24,000 children supported by the OB, UCB, and FCA. Around half of caregivers outside of the State care system (6,000 families) are earning less than $43,000.</w:t>
      </w:r>
    </w:p>
    <w:p w14:paraId="3C8B30CD" w14:textId="26FCAF40" w:rsidR="0057002B" w:rsidRPr="00850518" w:rsidRDefault="00850518" w:rsidP="0057002B">
      <w:pPr>
        <w:rPr>
          <w:rFonts w:cs="Arial"/>
          <w:b/>
          <w:bCs/>
          <w:lang w:val="en-NZ"/>
        </w:rPr>
      </w:pPr>
      <w:r>
        <w:rPr>
          <w:b/>
          <w:bCs/>
          <w:noProof/>
          <w:lang w:val="en-NZ" w:eastAsia="en-NZ"/>
        </w:rPr>
        <w:t>T</w:t>
      </w:r>
      <w:r w:rsidRPr="005418EF">
        <w:rPr>
          <w:b/>
          <w:bCs/>
          <w:noProof/>
          <w:lang w:val="en-NZ" w:eastAsia="en-NZ"/>
        </w:rPr>
        <w:t>arget</w:t>
      </w:r>
      <w:r>
        <w:rPr>
          <w:b/>
          <w:bCs/>
          <w:noProof/>
          <w:lang w:val="en-NZ" w:eastAsia="en-NZ"/>
        </w:rPr>
        <w:t>ing</w:t>
      </w:r>
      <w:r w:rsidRPr="005418EF">
        <w:rPr>
          <w:b/>
          <w:bCs/>
          <w:noProof/>
          <w:lang w:val="en-NZ" w:eastAsia="en-NZ"/>
        </w:rPr>
        <w:t xml:space="preserve"> the problem</w:t>
      </w:r>
    </w:p>
    <w:p w14:paraId="2AA841AF" w14:textId="20855254" w:rsidR="000D4A7A" w:rsidRDefault="000D4A7A" w:rsidP="001341AD">
      <w:pPr>
        <w:rPr>
          <w:rFonts w:cs="Arial"/>
          <w:lang w:val="en-NZ"/>
        </w:rPr>
      </w:pPr>
      <w:r w:rsidRPr="007668AE">
        <w:rPr>
          <w:rFonts w:eastAsia="Arial" w:cs="Arial"/>
          <w:szCs w:val="22"/>
          <w:lang w:val="en-NZ"/>
        </w:rPr>
        <w:t xml:space="preserve">The eligibility criteria of the </w:t>
      </w:r>
      <w:r>
        <w:rPr>
          <w:rFonts w:eastAsia="Arial" w:cs="Arial"/>
          <w:szCs w:val="22"/>
          <w:lang w:val="en-NZ"/>
        </w:rPr>
        <w:t xml:space="preserve">WFF </w:t>
      </w:r>
      <w:r w:rsidRPr="007668AE">
        <w:rPr>
          <w:rFonts w:eastAsia="Arial" w:cs="Arial"/>
          <w:szCs w:val="22"/>
          <w:lang w:val="en-NZ"/>
        </w:rPr>
        <w:t>tax credits are designed to target support to</w:t>
      </w:r>
      <w:r w:rsidR="00D90236">
        <w:rPr>
          <w:rFonts w:eastAsia="Arial" w:cs="Arial"/>
          <w:szCs w:val="22"/>
          <w:lang w:val="en-NZ"/>
        </w:rPr>
        <w:t xml:space="preserve"> low- and middle-income families </w:t>
      </w:r>
      <w:r w:rsidRPr="007668AE">
        <w:rPr>
          <w:rFonts w:eastAsia="Arial" w:cs="Arial"/>
          <w:szCs w:val="22"/>
          <w:lang w:val="en-NZ"/>
        </w:rPr>
        <w:t>through income thresholds at which entitlements begin to abate.</w:t>
      </w:r>
      <w:r w:rsidR="00D90236">
        <w:rPr>
          <w:rFonts w:eastAsia="Arial" w:cs="Arial"/>
          <w:szCs w:val="22"/>
          <w:lang w:val="en-NZ"/>
        </w:rPr>
        <w:t xml:space="preserve"> </w:t>
      </w:r>
      <w:r w:rsidR="00C4701A">
        <w:rPr>
          <w:rFonts w:eastAsia="Arial" w:cs="Arial"/>
          <w:szCs w:val="22"/>
          <w:lang w:val="en-NZ"/>
        </w:rPr>
        <w:t>Out of these, t</w:t>
      </w:r>
      <w:r w:rsidR="00D90236">
        <w:rPr>
          <w:rFonts w:eastAsia="Arial" w:cs="Arial"/>
          <w:szCs w:val="22"/>
          <w:lang w:val="en-NZ"/>
        </w:rPr>
        <w:t>he FTC</w:t>
      </w:r>
      <w:r w:rsidR="00C22FC3">
        <w:rPr>
          <w:rFonts w:eastAsia="Arial" w:cs="Arial"/>
          <w:szCs w:val="22"/>
          <w:lang w:val="en-NZ"/>
        </w:rPr>
        <w:t xml:space="preserve"> best targets families experiencing poverty and income inadequacy as it is not linked to work or benefit status.</w:t>
      </w:r>
    </w:p>
    <w:p w14:paraId="4092FD95" w14:textId="6B373B8F" w:rsidR="00ED3C35" w:rsidRDefault="0057002B" w:rsidP="001341AD">
      <w:pPr>
        <w:rPr>
          <w:rFonts w:eastAsia="Arial" w:cs="Arial"/>
          <w:szCs w:val="22"/>
          <w:lang w:val="en-NZ"/>
        </w:rPr>
      </w:pPr>
      <w:r w:rsidRPr="00ED3C35">
        <w:rPr>
          <w:rFonts w:cs="Arial"/>
          <w:lang w:val="en-NZ"/>
        </w:rPr>
        <w:t xml:space="preserve">The </w:t>
      </w:r>
      <w:r>
        <w:rPr>
          <w:rFonts w:cs="Arial"/>
          <w:lang w:val="en-NZ"/>
        </w:rPr>
        <w:t xml:space="preserve">changes to the FTC rate and abatement rate that are </w:t>
      </w:r>
      <w:r w:rsidRPr="00ED3C35">
        <w:rPr>
          <w:rFonts w:cs="Arial"/>
          <w:lang w:val="en-NZ"/>
        </w:rPr>
        <w:t>considered in this RIS are redistributive options</w:t>
      </w:r>
      <w:r>
        <w:rPr>
          <w:rFonts w:cs="Arial"/>
          <w:lang w:val="en-NZ"/>
        </w:rPr>
        <w:t xml:space="preserve"> within the WFF scheme. Ministers have indicated that changes to WFF should </w:t>
      </w:r>
      <w:r w:rsidR="001D7563">
        <w:rPr>
          <w:rFonts w:cs="Arial"/>
          <w:lang w:val="en-NZ"/>
        </w:rPr>
        <w:t xml:space="preserve">be </w:t>
      </w:r>
      <w:r>
        <w:rPr>
          <w:rFonts w:cs="Arial"/>
          <w:lang w:val="en-NZ"/>
        </w:rPr>
        <w:t xml:space="preserve">a primary lever to help meet child poverty reduction targets. The options </w:t>
      </w:r>
      <w:r w:rsidR="00ED3C35" w:rsidRPr="39FB6EB0">
        <w:rPr>
          <w:rFonts w:eastAsia="Arial" w:cs="Arial"/>
          <w:szCs w:val="22"/>
          <w:lang w:val="en-NZ"/>
        </w:rPr>
        <w:t xml:space="preserve">are aimed at more effectively targeting WFF payments to support lower income families and to reduce child poverty. </w:t>
      </w:r>
    </w:p>
    <w:p w14:paraId="18E7F6DB" w14:textId="35B41664" w:rsidR="00C14F4E" w:rsidRDefault="0057002B" w:rsidP="00C14F4E">
      <w:pPr>
        <w:rPr>
          <w:rFonts w:cs="Arial"/>
          <w:lang w:val="en-NZ"/>
        </w:rPr>
      </w:pPr>
      <w:r>
        <w:rPr>
          <w:rFonts w:cs="Arial"/>
          <w:lang w:val="en-NZ"/>
        </w:rPr>
        <w:t xml:space="preserve">An increase in the base FTC rate is </w:t>
      </w:r>
      <w:r w:rsidRPr="00ED3C35">
        <w:rPr>
          <w:rFonts w:cs="Arial"/>
          <w:lang w:val="en-NZ"/>
        </w:rPr>
        <w:t>most closely aligned to the</w:t>
      </w:r>
      <w:r>
        <w:rPr>
          <w:rFonts w:cs="Arial"/>
          <w:lang w:val="en-NZ"/>
        </w:rPr>
        <w:t xml:space="preserve"> WFF review</w:t>
      </w:r>
      <w:r w:rsidR="003349B4">
        <w:rPr>
          <w:rFonts w:cs="Arial"/>
          <w:lang w:val="en-NZ"/>
        </w:rPr>
        <w:t>’s</w:t>
      </w:r>
      <w:r>
        <w:rPr>
          <w:rFonts w:cs="Arial"/>
          <w:lang w:val="en-NZ"/>
        </w:rPr>
        <w:t xml:space="preserve"> objective of supporting low income working families, while a change to the abatement rate is more closely aligned to the objective of targeting financial assistance rather than providing more universal support.</w:t>
      </w:r>
    </w:p>
    <w:p w14:paraId="02621964" w14:textId="77777777" w:rsidR="006B3C77" w:rsidRDefault="006B3C77" w:rsidP="00715855">
      <w:pPr>
        <w:pStyle w:val="Heading3"/>
        <w:spacing w:before="360"/>
        <w:rPr>
          <w:lang w:val="en-NZ"/>
        </w:rPr>
        <w:sectPr w:rsidR="006B3C77" w:rsidSect="00150D58">
          <w:pgSz w:w="11906" w:h="16838" w:code="9"/>
          <w:pgMar w:top="1134" w:right="1418" w:bottom="992" w:left="1418" w:header="454" w:footer="454" w:gutter="0"/>
          <w:cols w:space="708"/>
          <w:docGrid w:linePitch="360"/>
        </w:sectPr>
      </w:pPr>
    </w:p>
    <w:p w14:paraId="59BB5BCF" w14:textId="26F79028" w:rsidR="007037C4" w:rsidRPr="00847E6E" w:rsidRDefault="007037C4" w:rsidP="00715855">
      <w:pPr>
        <w:pStyle w:val="Heading3"/>
        <w:spacing w:before="360"/>
        <w:rPr>
          <w:lang w:val="en-NZ"/>
        </w:rPr>
      </w:pPr>
      <w:r w:rsidRPr="00A864A5">
        <w:rPr>
          <w:lang w:val="en-NZ"/>
        </w:rPr>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4"/>
    <w:bookmarkEnd w:id="5"/>
    <w:bookmarkEnd w:id="6"/>
    <w:bookmarkEnd w:id="7"/>
    <w:bookmarkEnd w:id="8"/>
    <w:p w14:paraId="4DCB5187" w14:textId="2CB49A9E" w:rsidR="00BE065E" w:rsidRDefault="00551AB9" w:rsidP="00551AB9">
      <w:pPr>
        <w:pStyle w:val="TRNormal"/>
        <w:spacing w:after="80"/>
        <w:ind w:left="0" w:firstLine="0"/>
      </w:pPr>
      <w:r>
        <w:t>T</w:t>
      </w:r>
      <w:r w:rsidR="00B32750">
        <w:t xml:space="preserve">he three primary objectives </w:t>
      </w:r>
      <w:r w:rsidR="00065715">
        <w:t xml:space="preserve">to be considered </w:t>
      </w:r>
      <w:r w:rsidR="00B32750">
        <w:t>for any policy changes to WFF are t</w:t>
      </w:r>
      <w:r w:rsidR="002532F2">
        <w:t>o</w:t>
      </w:r>
      <w:r w:rsidR="00B32750">
        <w:t>:</w:t>
      </w:r>
      <w:r w:rsidR="00BE065E">
        <w:t xml:space="preserve"> </w:t>
      </w:r>
    </w:p>
    <w:p w14:paraId="78C62251" w14:textId="77777777" w:rsidR="008920BF" w:rsidRDefault="008920BF" w:rsidP="005460D3">
      <w:pPr>
        <w:pStyle w:val="ListParagraph"/>
        <w:numPr>
          <w:ilvl w:val="0"/>
          <w:numId w:val="14"/>
        </w:numPr>
        <w:spacing w:after="240"/>
        <w:jc w:val="both"/>
        <w:rPr>
          <w:rFonts w:cs="Arial"/>
        </w:rPr>
      </w:pPr>
      <w:r>
        <w:rPr>
          <w:rFonts w:cs="Arial"/>
        </w:rPr>
        <w:t>Improve income adequacy for beneficiaries and low-income people</w:t>
      </w:r>
    </w:p>
    <w:p w14:paraId="641F67BF" w14:textId="77777777" w:rsidR="008920BF" w:rsidRDefault="008920BF" w:rsidP="005460D3">
      <w:pPr>
        <w:pStyle w:val="ListParagraph"/>
        <w:numPr>
          <w:ilvl w:val="0"/>
          <w:numId w:val="14"/>
        </w:numPr>
        <w:spacing w:after="240"/>
        <w:jc w:val="both"/>
        <w:rPr>
          <w:rFonts w:cs="Arial"/>
        </w:rPr>
      </w:pPr>
      <w:r>
        <w:rPr>
          <w:rFonts w:cs="Arial"/>
        </w:rPr>
        <w:t>Improve financial incentives to work</w:t>
      </w:r>
    </w:p>
    <w:p w14:paraId="23DC0100" w14:textId="7C6D1F24" w:rsidR="008920BF" w:rsidRDefault="008920BF" w:rsidP="005460D3">
      <w:pPr>
        <w:pStyle w:val="ListParagraph"/>
        <w:numPr>
          <w:ilvl w:val="0"/>
          <w:numId w:val="14"/>
        </w:numPr>
        <w:spacing w:after="240"/>
        <w:jc w:val="both"/>
        <w:rPr>
          <w:rFonts w:cs="Arial"/>
        </w:rPr>
      </w:pPr>
      <w:r>
        <w:rPr>
          <w:rFonts w:cs="Arial"/>
        </w:rPr>
        <w:t>Pay welfare support at a sustainable cost to government</w:t>
      </w:r>
    </w:p>
    <w:p w14:paraId="0150A404" w14:textId="279C6BFA" w:rsidR="00556CA7" w:rsidRPr="00556CA7" w:rsidRDefault="005B6B72" w:rsidP="00556CA7">
      <w:pPr>
        <w:spacing w:after="240"/>
        <w:jc w:val="both"/>
        <w:rPr>
          <w:rFonts w:cs="Arial"/>
        </w:rPr>
      </w:pPr>
      <w:r>
        <w:rPr>
          <w:rFonts w:cs="Arial"/>
        </w:rPr>
        <w:t xml:space="preserve">These objectives must be considered when evaluating any proposed changes to WFF </w:t>
      </w:r>
      <w:r w:rsidR="002E038D">
        <w:rPr>
          <w:rFonts w:cs="Arial"/>
        </w:rPr>
        <w:t>along with</w:t>
      </w:r>
      <w:r>
        <w:rPr>
          <w:rFonts w:cs="Arial"/>
        </w:rPr>
        <w:t xml:space="preserve"> any more specific objectives </w:t>
      </w:r>
      <w:r w:rsidR="002E038D">
        <w:rPr>
          <w:rFonts w:cs="Arial"/>
        </w:rPr>
        <w:t xml:space="preserve">that are being sought in </w:t>
      </w:r>
      <w:r w:rsidR="00716F99">
        <w:rPr>
          <w:rFonts w:cs="Arial"/>
        </w:rPr>
        <w:t>relation</w:t>
      </w:r>
      <w:r w:rsidR="002E038D">
        <w:rPr>
          <w:rFonts w:cs="Arial"/>
        </w:rPr>
        <w:t xml:space="preserve"> to a </w:t>
      </w:r>
      <w:r w:rsidR="00716F99">
        <w:rPr>
          <w:rFonts w:cs="Arial"/>
        </w:rPr>
        <w:t>particular proposal or set of proposals.</w:t>
      </w:r>
      <w:r w:rsidR="002E038D">
        <w:rPr>
          <w:rFonts w:cs="Arial"/>
        </w:rPr>
        <w:t xml:space="preserve"> </w:t>
      </w:r>
    </w:p>
    <w:p w14:paraId="1EF4D900" w14:textId="59D81918" w:rsidR="00B628B1" w:rsidRPr="00C83610" w:rsidRDefault="00847B66" w:rsidP="00B628B1">
      <w:pPr>
        <w:jc w:val="both"/>
        <w:rPr>
          <w:rFonts w:cs="Arial"/>
          <w:b/>
          <w:bCs/>
        </w:rPr>
      </w:pPr>
      <w:r>
        <w:rPr>
          <w:rFonts w:cs="Arial"/>
          <w:b/>
          <w:bCs/>
        </w:rPr>
        <w:t xml:space="preserve">1. </w:t>
      </w:r>
      <w:r w:rsidR="00B628B1" w:rsidRPr="00C83610">
        <w:rPr>
          <w:rFonts w:cs="Arial"/>
          <w:b/>
          <w:bCs/>
        </w:rPr>
        <w:t>Improving income adequacy for beneficiaries and low-income people</w:t>
      </w:r>
    </w:p>
    <w:p w14:paraId="3235955D" w14:textId="5D40976F" w:rsidR="00B628B1" w:rsidRDefault="00B628B1" w:rsidP="00B628B1">
      <w:pPr>
        <w:jc w:val="both"/>
        <w:rPr>
          <w:rFonts w:cs="Arial"/>
        </w:rPr>
      </w:pPr>
      <w:r>
        <w:rPr>
          <w:rFonts w:cs="Arial"/>
        </w:rPr>
        <w:t>While recent changes to the welfare system (including the Families Package, the $25 increase to main benefits on 1 April 2020 and the indexation of main benefits to average wage) will help to improve</w:t>
      </w:r>
      <w:r w:rsidR="00F06BC3">
        <w:rPr>
          <w:rFonts w:cs="Arial"/>
        </w:rPr>
        <w:t xml:space="preserve"> the</w:t>
      </w:r>
      <w:r>
        <w:rPr>
          <w:rFonts w:cs="Arial"/>
        </w:rPr>
        <w:t xml:space="preserve"> living standards of low-income people, income adequacy </w:t>
      </w:r>
      <w:r w:rsidR="00F06BC3">
        <w:rPr>
          <w:rFonts w:cs="Arial"/>
        </w:rPr>
        <w:t xml:space="preserve">and child poverty </w:t>
      </w:r>
      <w:r>
        <w:rPr>
          <w:rFonts w:cs="Arial"/>
        </w:rPr>
        <w:t>issues remain.</w:t>
      </w:r>
      <w:r w:rsidR="00BA6BD5">
        <w:rPr>
          <w:rFonts w:cs="Arial"/>
        </w:rPr>
        <w:t xml:space="preserve"> Any changes to the WFF should have a net positive impact on </w:t>
      </w:r>
      <w:r w:rsidR="00FC70B5">
        <w:rPr>
          <w:rFonts w:cs="Arial"/>
        </w:rPr>
        <w:t>these issues</w:t>
      </w:r>
      <w:r w:rsidR="00416A0A">
        <w:rPr>
          <w:rFonts w:cs="Arial"/>
        </w:rPr>
        <w:t>, particularly as these credits are an important tool with which to meet</w:t>
      </w:r>
      <w:r w:rsidR="00833281">
        <w:rPr>
          <w:rFonts w:cs="Arial"/>
        </w:rPr>
        <w:t xml:space="preserve"> the Government’s child poverty targets</w:t>
      </w:r>
      <w:r w:rsidR="00FC70B5">
        <w:rPr>
          <w:rFonts w:cs="Arial"/>
        </w:rPr>
        <w:t>.</w:t>
      </w:r>
    </w:p>
    <w:p w14:paraId="4CAFEBBF" w14:textId="1F5311AA" w:rsidR="00B628B1" w:rsidRPr="00C83610" w:rsidRDefault="00847B66" w:rsidP="00B628B1">
      <w:pPr>
        <w:jc w:val="both"/>
        <w:rPr>
          <w:rFonts w:cs="Arial"/>
          <w:b/>
          <w:bCs/>
        </w:rPr>
      </w:pPr>
      <w:r>
        <w:rPr>
          <w:rFonts w:cs="Arial"/>
          <w:b/>
          <w:bCs/>
        </w:rPr>
        <w:t xml:space="preserve">2. </w:t>
      </w:r>
      <w:r w:rsidR="00B628B1" w:rsidRPr="00C83610">
        <w:rPr>
          <w:rFonts w:cs="Arial"/>
          <w:b/>
          <w:bCs/>
        </w:rPr>
        <w:t xml:space="preserve">Improving financial incentives to work </w:t>
      </w:r>
    </w:p>
    <w:p w14:paraId="584283C4" w14:textId="584FAF79" w:rsidR="00B628B1" w:rsidRDefault="00B628B1" w:rsidP="003648D1">
      <w:pPr>
        <w:jc w:val="both"/>
        <w:rPr>
          <w:rFonts w:cs="Arial"/>
        </w:rPr>
      </w:pPr>
      <w:r>
        <w:rPr>
          <w:rFonts w:cs="Arial"/>
        </w:rPr>
        <w:t xml:space="preserve">Improving financial incentives to work </w:t>
      </w:r>
      <w:r w:rsidR="00CC27D6">
        <w:rPr>
          <w:rFonts w:cs="Arial"/>
        </w:rPr>
        <w:t>will encourage</w:t>
      </w:r>
      <w:r>
        <w:rPr>
          <w:rFonts w:cs="Arial"/>
        </w:rPr>
        <w:t xml:space="preserve"> people who are able to work to seek employment. For </w:t>
      </w:r>
      <w:r w:rsidR="007311A8">
        <w:rPr>
          <w:rFonts w:cs="Arial"/>
        </w:rPr>
        <w:t>most</w:t>
      </w:r>
      <w:r>
        <w:rPr>
          <w:rFonts w:cs="Arial"/>
        </w:rPr>
        <w:t xml:space="preserve"> people, paid work is a key means of achieving improved wellbeing.</w:t>
      </w:r>
      <w:r w:rsidR="00204524">
        <w:rPr>
          <w:rFonts w:cs="Arial"/>
        </w:rPr>
        <w:t xml:space="preserve"> </w:t>
      </w:r>
      <w:r>
        <w:rPr>
          <w:rFonts w:cs="Arial"/>
        </w:rPr>
        <w:t xml:space="preserve">However, financial incentives </w:t>
      </w:r>
      <w:r>
        <w:t xml:space="preserve">are only one </w:t>
      </w:r>
      <w:r w:rsidR="00865577">
        <w:t xml:space="preserve">(and not necessarily the most important) </w:t>
      </w:r>
      <w:r>
        <w:t>of many factors that influence people’s decisions on whether</w:t>
      </w:r>
      <w:r w:rsidR="006538FE">
        <w:t xml:space="preserve">, or </w:t>
      </w:r>
      <w:r>
        <w:t>how much</w:t>
      </w:r>
      <w:r w:rsidR="006538FE">
        <w:t>,</w:t>
      </w:r>
      <w:r>
        <w:t xml:space="preserve"> to work</w:t>
      </w:r>
      <w:r w:rsidR="00865577">
        <w:t>.</w:t>
      </w:r>
    </w:p>
    <w:p w14:paraId="0AC5D9DC" w14:textId="57BE30F4" w:rsidR="00B628B1" w:rsidRPr="00847B66" w:rsidRDefault="00847B66" w:rsidP="00847B66">
      <w:pPr>
        <w:jc w:val="both"/>
        <w:rPr>
          <w:rFonts w:cs="Arial"/>
          <w:b/>
          <w:bCs/>
        </w:rPr>
      </w:pPr>
      <w:r>
        <w:rPr>
          <w:rFonts w:cs="Arial"/>
          <w:b/>
          <w:bCs/>
        </w:rPr>
        <w:t xml:space="preserve">3. </w:t>
      </w:r>
      <w:r w:rsidR="00B628B1" w:rsidRPr="00847B66">
        <w:rPr>
          <w:rFonts w:cs="Arial"/>
          <w:b/>
          <w:bCs/>
        </w:rPr>
        <w:t>Paying welfare</w:t>
      </w:r>
      <w:r w:rsidR="00D1206F">
        <w:rPr>
          <w:rFonts w:cs="Arial"/>
          <w:b/>
          <w:bCs/>
        </w:rPr>
        <w:t xml:space="preserve"> support</w:t>
      </w:r>
      <w:r w:rsidR="00B628B1" w:rsidRPr="00847B66">
        <w:rPr>
          <w:rFonts w:cs="Arial"/>
          <w:b/>
          <w:bCs/>
        </w:rPr>
        <w:t xml:space="preserve"> at a cost that is sustainable to government</w:t>
      </w:r>
    </w:p>
    <w:p w14:paraId="634396B9" w14:textId="5371DDCA" w:rsidR="00B628B1" w:rsidRPr="00C83610" w:rsidRDefault="00B628B1" w:rsidP="00B628B1">
      <w:pPr>
        <w:jc w:val="both"/>
        <w:rPr>
          <w:rFonts w:cs="Arial"/>
        </w:rPr>
      </w:pPr>
      <w:r w:rsidRPr="00C83610">
        <w:rPr>
          <w:rFonts w:cs="Arial"/>
        </w:rPr>
        <w:t xml:space="preserve">The Government is required to act and pursue its policy objectives in accordance with the principles of responsible fiscal management as set out in the Public Finance Act 1989, such as managing fiscal risks facing the government, having regard for the impact on present and future generations and ensuring the Crown’s resources are managed effectively and efficiently. </w:t>
      </w:r>
    </w:p>
    <w:p w14:paraId="32FA3430" w14:textId="5BA536B1" w:rsidR="00B628B1" w:rsidRPr="00C83610" w:rsidRDefault="00B628B1" w:rsidP="00B628B1">
      <w:pPr>
        <w:jc w:val="both"/>
        <w:rPr>
          <w:rFonts w:cs="Arial"/>
        </w:rPr>
      </w:pPr>
      <w:r w:rsidRPr="00C83610">
        <w:rPr>
          <w:rFonts w:cs="Arial"/>
        </w:rPr>
        <w:t>Any changes proposed in this RI</w:t>
      </w:r>
      <w:r w:rsidR="00003CD7">
        <w:rPr>
          <w:rFonts w:cs="Arial"/>
        </w:rPr>
        <w:t>S</w:t>
      </w:r>
      <w:r w:rsidRPr="00C83610">
        <w:rPr>
          <w:rFonts w:cs="Arial"/>
        </w:rPr>
        <w:t xml:space="preserve"> must be at a sustainable cost to government, particularly given the current tight fiscal environment following the range of initiatives implemented by the Government in response to COVID-19.</w:t>
      </w:r>
    </w:p>
    <w:p w14:paraId="6688C514" w14:textId="558552A5" w:rsidR="00B628B1" w:rsidRPr="000856D1" w:rsidRDefault="000856D1" w:rsidP="00B628B1">
      <w:pPr>
        <w:spacing w:after="240"/>
        <w:jc w:val="both"/>
        <w:rPr>
          <w:rFonts w:cs="Arial"/>
          <w:b/>
          <w:bCs/>
        </w:rPr>
      </w:pPr>
      <w:r w:rsidRPr="000856D1">
        <w:rPr>
          <w:rFonts w:cs="Arial"/>
          <w:b/>
          <w:bCs/>
        </w:rPr>
        <w:t>The iron triangle</w:t>
      </w:r>
    </w:p>
    <w:p w14:paraId="75C9A55A" w14:textId="159CA170" w:rsidR="000856D1" w:rsidRPr="00A305BE" w:rsidRDefault="000856D1" w:rsidP="000856D1">
      <w:pPr>
        <w:pStyle w:val="TRNormal"/>
        <w:spacing w:after="200"/>
        <w:ind w:left="0" w:firstLine="0"/>
        <w:rPr>
          <w:rFonts w:cs="Arial"/>
          <w:szCs w:val="22"/>
        </w:rPr>
      </w:pPr>
      <w:r>
        <w:t xml:space="preserve">These three objectives </w:t>
      </w:r>
      <w:r w:rsidR="00601FA0">
        <w:t>make up</w:t>
      </w:r>
      <w:r>
        <w:t xml:space="preserve"> the </w:t>
      </w:r>
      <w:r w:rsidR="00AE38D4">
        <w:t>“</w:t>
      </w:r>
      <w:r>
        <w:t>iron triangle</w:t>
      </w:r>
      <w:r w:rsidR="00AE38D4">
        <w:t>”</w:t>
      </w:r>
      <w:r>
        <w:t xml:space="preserve"> of trade-offs </w:t>
      </w:r>
      <w:r w:rsidR="00B33F04">
        <w:t>inherent to</w:t>
      </w:r>
      <w:r>
        <w:t xml:space="preserve"> income support</w:t>
      </w:r>
      <w:r w:rsidRPr="00A305BE">
        <w:rPr>
          <w:rFonts w:cs="Arial"/>
          <w:szCs w:val="22"/>
        </w:rPr>
        <w:t>.</w:t>
      </w:r>
      <w:r>
        <w:rPr>
          <w:rFonts w:cs="Arial"/>
        </w:rPr>
        <w:t xml:space="preserve"> It is generally possible to achieve two of the three objectives for any given policy change, but not all three.</w:t>
      </w:r>
    </w:p>
    <w:p w14:paraId="43836697" w14:textId="655004E2" w:rsidR="000856D1" w:rsidRPr="00411880" w:rsidRDefault="00411880" w:rsidP="00B628B1">
      <w:pPr>
        <w:spacing w:after="240"/>
        <w:jc w:val="both"/>
        <w:rPr>
          <w:rFonts w:cs="Arial"/>
          <w:b/>
          <w:bCs/>
        </w:rPr>
      </w:pPr>
      <w:r w:rsidRPr="00411880">
        <w:rPr>
          <w:rFonts w:cs="Arial"/>
          <w:b/>
          <w:bCs/>
        </w:rPr>
        <w:t xml:space="preserve">The current </w:t>
      </w:r>
      <w:r w:rsidR="007007E4">
        <w:rPr>
          <w:rFonts w:cs="Arial"/>
          <w:b/>
          <w:bCs/>
        </w:rPr>
        <w:t>WFF</w:t>
      </w:r>
      <w:r w:rsidRPr="00411880">
        <w:rPr>
          <w:rFonts w:cs="Arial"/>
          <w:b/>
          <w:bCs/>
        </w:rPr>
        <w:t xml:space="preserve"> review</w:t>
      </w:r>
    </w:p>
    <w:p w14:paraId="2AC65A5D" w14:textId="20A24FFA" w:rsidR="00551AB9" w:rsidRDefault="0074179A" w:rsidP="00C903C8">
      <w:pPr>
        <w:pStyle w:val="TRNormal"/>
        <w:spacing w:after="80"/>
        <w:ind w:left="0" w:firstLine="0"/>
      </w:pPr>
      <w:r>
        <w:t xml:space="preserve">Income Support Ministers have agreed, and </w:t>
      </w:r>
      <w:r w:rsidR="00551AB9">
        <w:t xml:space="preserve">Cabinet has </w:t>
      </w:r>
      <w:r w:rsidR="004B2B0A">
        <w:t>noted,</w:t>
      </w:r>
      <w:r w:rsidR="00551AB9">
        <w:t xml:space="preserve"> that the </w:t>
      </w:r>
      <w:r w:rsidR="00411880">
        <w:t xml:space="preserve">current </w:t>
      </w:r>
      <w:r w:rsidR="00545C58">
        <w:t>r</w:t>
      </w:r>
      <w:r w:rsidR="00551AB9">
        <w:t xml:space="preserve">eview </w:t>
      </w:r>
      <w:r w:rsidR="00545C58">
        <w:t>of WFF</w:t>
      </w:r>
      <w:r w:rsidR="003A49B5">
        <w:t xml:space="preserve"> </w:t>
      </w:r>
      <w:r w:rsidR="00551AB9">
        <w:t>should focus on:</w:t>
      </w:r>
    </w:p>
    <w:p w14:paraId="16856752" w14:textId="11FE785C" w:rsidR="00551AB9" w:rsidRDefault="00D1206F" w:rsidP="005460D3">
      <w:pPr>
        <w:pStyle w:val="ListParagraph"/>
        <w:numPr>
          <w:ilvl w:val="0"/>
          <w:numId w:val="5"/>
        </w:numPr>
        <w:spacing w:after="120" w:line="288" w:lineRule="auto"/>
        <w:contextualSpacing w:val="0"/>
      </w:pPr>
      <w:r>
        <w:t>i</w:t>
      </w:r>
      <w:r w:rsidR="00C65E21">
        <w:t xml:space="preserve">ncome support for </w:t>
      </w:r>
      <w:r w:rsidR="00551AB9">
        <w:t>low-income working families, while maintaining support for beneficiary families</w:t>
      </w:r>
    </w:p>
    <w:p w14:paraId="16D97DD9" w14:textId="3C0F5863" w:rsidR="00551AB9" w:rsidRDefault="00C903C8" w:rsidP="005460D3">
      <w:pPr>
        <w:pStyle w:val="ListParagraph"/>
        <w:numPr>
          <w:ilvl w:val="0"/>
          <w:numId w:val="5"/>
        </w:numPr>
        <w:spacing w:after="120" w:line="288" w:lineRule="auto"/>
        <w:contextualSpacing w:val="0"/>
      </w:pPr>
      <w:r>
        <w:t>targeting</w:t>
      </w:r>
      <w:r w:rsidR="00551AB9">
        <w:t xml:space="preserve"> support more to lower-income families rather than more universal support</w:t>
      </w:r>
    </w:p>
    <w:p w14:paraId="30BDA521" w14:textId="2AB0AB9D" w:rsidR="00551AB9" w:rsidRDefault="00C65E21" w:rsidP="005460D3">
      <w:pPr>
        <w:pStyle w:val="ListParagraph"/>
        <w:numPr>
          <w:ilvl w:val="0"/>
          <w:numId w:val="5"/>
        </w:numPr>
        <w:spacing w:after="120" w:line="288" w:lineRule="auto"/>
        <w:contextualSpacing w:val="0"/>
      </w:pPr>
      <w:r>
        <w:t xml:space="preserve">considering </w:t>
      </w:r>
      <w:r w:rsidR="00551AB9">
        <w:t>the principle of making work pay and assisting with the costs for people in work.</w:t>
      </w:r>
    </w:p>
    <w:p w14:paraId="7674BEC6" w14:textId="5668159E" w:rsidR="00551AB9" w:rsidRDefault="00444E69" w:rsidP="00551AB9">
      <w:pPr>
        <w:pStyle w:val="TRNormal"/>
        <w:spacing w:after="200"/>
        <w:ind w:left="0" w:firstLine="0"/>
      </w:pPr>
      <w:r w:rsidRPr="00791162">
        <w:t>Ministers also agreed, following initial advice, that options for phase one mu</w:t>
      </w:r>
      <w:r w:rsidR="00E43A06" w:rsidRPr="00791162">
        <w:t>st</w:t>
      </w:r>
      <w:r w:rsidRPr="00791162">
        <w:t xml:space="preserve"> be </w:t>
      </w:r>
      <w:proofErr w:type="gramStart"/>
      <w:r w:rsidRPr="00791162">
        <w:t>modest-cost</w:t>
      </w:r>
      <w:proofErr w:type="gramEnd"/>
      <w:r w:rsidRPr="00791162">
        <w:t xml:space="preserve">. </w:t>
      </w:r>
      <w:r w:rsidR="00D32900" w:rsidRPr="00791162">
        <w:t xml:space="preserve">Ultimately, </w:t>
      </w:r>
      <w:r w:rsidR="00E43A06" w:rsidRPr="00791162">
        <w:t>Ministers narrowed the</w:t>
      </w:r>
      <w:r w:rsidR="00551AB9" w:rsidRPr="00791162">
        <w:t xml:space="preserve"> fiscal envelope</w:t>
      </w:r>
      <w:r w:rsidR="00A615FE" w:rsidRPr="00791162">
        <w:t xml:space="preserve"> of</w:t>
      </w:r>
      <w:r w:rsidR="00E43A06" w:rsidRPr="00791162">
        <w:t xml:space="preserve"> the final options </w:t>
      </w:r>
      <w:r w:rsidR="00327DA9" w:rsidRPr="00791162">
        <w:t xml:space="preserve">analysed in this RIS </w:t>
      </w:r>
      <w:r w:rsidR="00E43A06" w:rsidRPr="00791162">
        <w:t>to</w:t>
      </w:r>
      <w:r w:rsidR="00A615FE" w:rsidRPr="00791162">
        <w:t xml:space="preserve"> </w:t>
      </w:r>
      <w:r w:rsidR="00E43A06" w:rsidRPr="00791162">
        <w:t>between $50 -</w:t>
      </w:r>
      <w:r w:rsidR="00A615FE" w:rsidRPr="00791162">
        <w:t>100m</w:t>
      </w:r>
      <w:r w:rsidR="00551AB9" w:rsidRPr="00791162">
        <w:t>.</w:t>
      </w:r>
    </w:p>
    <w:p w14:paraId="562182DB" w14:textId="249FBABD" w:rsidR="00862EE1" w:rsidRDefault="00006E81" w:rsidP="008D28A9">
      <w:pPr>
        <w:spacing w:after="240"/>
        <w:jc w:val="both"/>
        <w:rPr>
          <w:rFonts w:cs="Arial"/>
          <w:szCs w:val="22"/>
        </w:rPr>
      </w:pPr>
      <w:r>
        <w:rPr>
          <w:rFonts w:cs="Arial"/>
          <w:szCs w:val="22"/>
        </w:rPr>
        <w:t xml:space="preserve">Although these review objectives </w:t>
      </w:r>
      <w:r w:rsidR="00BC4282">
        <w:rPr>
          <w:rFonts w:cs="Arial"/>
          <w:szCs w:val="22"/>
        </w:rPr>
        <w:t>maintain</w:t>
      </w:r>
      <w:r>
        <w:rPr>
          <w:rFonts w:cs="Arial"/>
          <w:szCs w:val="22"/>
        </w:rPr>
        <w:t xml:space="preserve"> </w:t>
      </w:r>
      <w:r w:rsidR="00F7149D">
        <w:rPr>
          <w:rFonts w:cs="Arial"/>
          <w:szCs w:val="22"/>
        </w:rPr>
        <w:t>the</w:t>
      </w:r>
      <w:r>
        <w:rPr>
          <w:rFonts w:cs="Arial"/>
          <w:szCs w:val="22"/>
        </w:rPr>
        <w:t xml:space="preserve"> original objectives, </w:t>
      </w:r>
      <w:r w:rsidR="0009786C">
        <w:rPr>
          <w:rFonts w:cs="Arial"/>
          <w:szCs w:val="22"/>
        </w:rPr>
        <w:t>their focus on targeting</w:t>
      </w:r>
      <w:r w:rsidR="00340BF9">
        <w:rPr>
          <w:rFonts w:cs="Arial"/>
          <w:szCs w:val="22"/>
        </w:rPr>
        <w:t xml:space="preserve"> and the modest fiscal envelope</w:t>
      </w:r>
      <w:r w:rsidR="0009786C">
        <w:rPr>
          <w:rFonts w:cs="Arial"/>
          <w:szCs w:val="22"/>
        </w:rPr>
        <w:t xml:space="preserve"> indicate that objective 3 </w:t>
      </w:r>
      <w:r w:rsidR="000B489B">
        <w:rPr>
          <w:rFonts w:cs="Arial"/>
          <w:szCs w:val="22"/>
        </w:rPr>
        <w:t>(</w:t>
      </w:r>
      <w:r w:rsidR="00A615FE">
        <w:rPr>
          <w:rFonts w:cs="Arial"/>
          <w:szCs w:val="22"/>
        </w:rPr>
        <w:t xml:space="preserve">to </w:t>
      </w:r>
      <w:r w:rsidR="008C166F" w:rsidRPr="00C903C8">
        <w:rPr>
          <w:rFonts w:cs="Arial"/>
        </w:rPr>
        <w:t>p</w:t>
      </w:r>
      <w:r w:rsidR="000B489B" w:rsidRPr="00C903C8">
        <w:rPr>
          <w:rFonts w:cs="Arial"/>
        </w:rPr>
        <w:t>ay</w:t>
      </w:r>
      <w:r w:rsidR="000B489B">
        <w:rPr>
          <w:rFonts w:cs="Arial"/>
        </w:rPr>
        <w:t xml:space="preserve"> welfare support at a sustainable cost to government)</w:t>
      </w:r>
      <w:r w:rsidR="0009786C" w:rsidRPr="000B489B">
        <w:rPr>
          <w:rFonts w:cs="Arial"/>
          <w:szCs w:val="22"/>
        </w:rPr>
        <w:t xml:space="preserve"> </w:t>
      </w:r>
      <w:r w:rsidR="0009786C">
        <w:rPr>
          <w:rFonts w:cs="Arial"/>
          <w:szCs w:val="22"/>
        </w:rPr>
        <w:t xml:space="preserve">is </w:t>
      </w:r>
      <w:r w:rsidR="002661D6">
        <w:rPr>
          <w:rFonts w:cs="Arial"/>
          <w:szCs w:val="22"/>
        </w:rPr>
        <w:t>a priority</w:t>
      </w:r>
      <w:r w:rsidR="0009786C">
        <w:rPr>
          <w:rFonts w:cs="Arial"/>
          <w:szCs w:val="22"/>
        </w:rPr>
        <w:t xml:space="preserve">. </w:t>
      </w:r>
      <w:r w:rsidR="0017301E">
        <w:rPr>
          <w:rFonts w:cs="Arial"/>
          <w:szCs w:val="22"/>
        </w:rPr>
        <w:t xml:space="preserve">As </w:t>
      </w:r>
      <w:r w:rsidR="000A4BED">
        <w:rPr>
          <w:rFonts w:cs="Arial"/>
          <w:szCs w:val="22"/>
        </w:rPr>
        <w:t>phase one</w:t>
      </w:r>
      <w:r w:rsidR="00B6635C">
        <w:rPr>
          <w:rFonts w:cs="Arial"/>
          <w:szCs w:val="22"/>
        </w:rPr>
        <w:t>’s scop</w:t>
      </w:r>
      <w:r w:rsidR="0017301E">
        <w:rPr>
          <w:rFonts w:cs="Arial"/>
          <w:szCs w:val="22"/>
        </w:rPr>
        <w:t>e is</w:t>
      </w:r>
      <w:r w:rsidR="00314721">
        <w:rPr>
          <w:rFonts w:cs="Arial"/>
          <w:szCs w:val="22"/>
        </w:rPr>
        <w:t xml:space="preserve"> limit</w:t>
      </w:r>
      <w:r w:rsidR="0017301E">
        <w:rPr>
          <w:rFonts w:cs="Arial"/>
          <w:szCs w:val="22"/>
        </w:rPr>
        <w:t>ed</w:t>
      </w:r>
      <w:r w:rsidR="00314721">
        <w:rPr>
          <w:rFonts w:cs="Arial"/>
          <w:szCs w:val="22"/>
        </w:rPr>
        <w:t xml:space="preserve"> to</w:t>
      </w:r>
      <w:r w:rsidR="000A4BED">
        <w:rPr>
          <w:rFonts w:cs="Arial"/>
          <w:szCs w:val="22"/>
        </w:rPr>
        <w:t xml:space="preserve"> </w:t>
      </w:r>
      <w:r w:rsidR="00314721">
        <w:rPr>
          <w:rFonts w:cs="Arial"/>
          <w:szCs w:val="22"/>
        </w:rPr>
        <w:t>options which</w:t>
      </w:r>
      <w:r w:rsidR="000A4BED">
        <w:rPr>
          <w:rFonts w:cs="Arial"/>
          <w:szCs w:val="22"/>
        </w:rPr>
        <w:t xml:space="preserve"> improv</w:t>
      </w:r>
      <w:r w:rsidR="00314721">
        <w:rPr>
          <w:rFonts w:cs="Arial"/>
          <w:szCs w:val="22"/>
        </w:rPr>
        <w:t>e</w:t>
      </w:r>
      <w:r w:rsidR="000A4BED">
        <w:rPr>
          <w:rFonts w:cs="Arial"/>
          <w:szCs w:val="22"/>
        </w:rPr>
        <w:t xml:space="preserve"> income adequacy and child poverty</w:t>
      </w:r>
      <w:r w:rsidR="006672EE">
        <w:rPr>
          <w:rFonts w:cs="Arial"/>
          <w:szCs w:val="22"/>
        </w:rPr>
        <w:t>,</w:t>
      </w:r>
      <w:r w:rsidR="00BC4282">
        <w:rPr>
          <w:rFonts w:cs="Arial"/>
          <w:szCs w:val="22"/>
        </w:rPr>
        <w:t xml:space="preserve"> </w:t>
      </w:r>
      <w:r w:rsidR="00390E8F">
        <w:rPr>
          <w:rFonts w:cs="Arial"/>
          <w:szCs w:val="22"/>
        </w:rPr>
        <w:t xml:space="preserve">objective 1 </w:t>
      </w:r>
      <w:r w:rsidR="00605824" w:rsidRPr="000B489B">
        <w:rPr>
          <w:rFonts w:cs="Arial"/>
          <w:szCs w:val="22"/>
        </w:rPr>
        <w:t>(</w:t>
      </w:r>
      <w:r w:rsidR="00A615FE">
        <w:rPr>
          <w:rFonts w:cs="Arial"/>
          <w:szCs w:val="22"/>
        </w:rPr>
        <w:t xml:space="preserve">to </w:t>
      </w:r>
      <w:r w:rsidR="008C166F" w:rsidRPr="00C903C8">
        <w:rPr>
          <w:rFonts w:cs="Arial"/>
        </w:rPr>
        <w:t>i</w:t>
      </w:r>
      <w:r w:rsidR="00605824" w:rsidRPr="00C903C8">
        <w:rPr>
          <w:rFonts w:cs="Arial"/>
        </w:rPr>
        <w:t>mprove</w:t>
      </w:r>
      <w:r w:rsidR="00605824" w:rsidRPr="000B489B">
        <w:rPr>
          <w:rFonts w:cs="Arial"/>
        </w:rPr>
        <w:t xml:space="preserve"> income adequacy for beneficiaries and low-income people</w:t>
      </w:r>
      <w:r w:rsidR="000B489B">
        <w:rPr>
          <w:rFonts w:cs="Arial"/>
        </w:rPr>
        <w:t>)</w:t>
      </w:r>
      <w:r w:rsidR="008D28A9">
        <w:rPr>
          <w:rFonts w:cs="Arial"/>
        </w:rPr>
        <w:t xml:space="preserve"> </w:t>
      </w:r>
      <w:r w:rsidR="00390E8F">
        <w:rPr>
          <w:rFonts w:cs="Arial"/>
          <w:szCs w:val="22"/>
        </w:rPr>
        <w:t>must also be a priority. Therefore, options</w:t>
      </w:r>
      <w:r w:rsidR="0017301E">
        <w:rPr>
          <w:rFonts w:cs="Arial"/>
          <w:szCs w:val="22"/>
        </w:rPr>
        <w:t xml:space="preserve"> </w:t>
      </w:r>
      <w:r w:rsidR="00B06F03">
        <w:rPr>
          <w:rFonts w:cs="Arial"/>
          <w:szCs w:val="22"/>
        </w:rPr>
        <w:t>have been</w:t>
      </w:r>
      <w:r w:rsidR="00530741">
        <w:rPr>
          <w:rFonts w:cs="Arial"/>
          <w:szCs w:val="22"/>
        </w:rPr>
        <w:t xml:space="preserve"> designed to fulfil</w:t>
      </w:r>
      <w:r w:rsidR="00314721">
        <w:rPr>
          <w:rFonts w:cs="Arial"/>
          <w:szCs w:val="22"/>
        </w:rPr>
        <w:t xml:space="preserve"> </w:t>
      </w:r>
      <w:r w:rsidR="00D837E0">
        <w:rPr>
          <w:rFonts w:cs="Arial"/>
          <w:szCs w:val="22"/>
        </w:rPr>
        <w:t xml:space="preserve">objectives 1 </w:t>
      </w:r>
      <w:r w:rsidR="006672EE">
        <w:rPr>
          <w:rFonts w:cs="Arial"/>
          <w:szCs w:val="22"/>
        </w:rPr>
        <w:t>and 3</w:t>
      </w:r>
      <w:r w:rsidR="002F7C96">
        <w:rPr>
          <w:rFonts w:cs="Arial"/>
          <w:szCs w:val="22"/>
        </w:rPr>
        <w:t>, even if th</w:t>
      </w:r>
      <w:r w:rsidR="009D4A2A">
        <w:rPr>
          <w:rFonts w:cs="Arial"/>
          <w:szCs w:val="22"/>
        </w:rPr>
        <w:t>at comes</w:t>
      </w:r>
      <w:r w:rsidR="002F7C96">
        <w:rPr>
          <w:rFonts w:cs="Arial"/>
          <w:szCs w:val="22"/>
        </w:rPr>
        <w:t xml:space="preserve"> at the</w:t>
      </w:r>
      <w:r w:rsidR="009C10CA">
        <w:rPr>
          <w:rFonts w:cs="Arial"/>
          <w:szCs w:val="22"/>
        </w:rPr>
        <w:t xml:space="preserve"> expense of o</w:t>
      </w:r>
      <w:r w:rsidR="00E636D9">
        <w:rPr>
          <w:rFonts w:cs="Arial"/>
          <w:szCs w:val="22"/>
        </w:rPr>
        <w:t>bjective</w:t>
      </w:r>
      <w:r w:rsidR="009C10CA">
        <w:rPr>
          <w:rFonts w:cs="Arial"/>
          <w:szCs w:val="22"/>
        </w:rPr>
        <w:t xml:space="preserve"> 2</w:t>
      </w:r>
      <w:r w:rsidR="000B489B">
        <w:rPr>
          <w:rFonts w:cs="Arial"/>
          <w:szCs w:val="22"/>
        </w:rPr>
        <w:t xml:space="preserve"> (</w:t>
      </w:r>
      <w:r w:rsidR="00A615FE">
        <w:rPr>
          <w:rFonts w:cs="Arial"/>
          <w:szCs w:val="22"/>
        </w:rPr>
        <w:t xml:space="preserve">to </w:t>
      </w:r>
      <w:r w:rsidR="008C166F" w:rsidRPr="00C903C8">
        <w:rPr>
          <w:rFonts w:cs="Arial"/>
        </w:rPr>
        <w:t>improve financial incentives</w:t>
      </w:r>
      <w:r w:rsidR="000B489B">
        <w:rPr>
          <w:rFonts w:cs="Arial"/>
        </w:rPr>
        <w:t xml:space="preserve"> to </w:t>
      </w:r>
      <w:r w:rsidR="008C166F" w:rsidRPr="00C903C8">
        <w:rPr>
          <w:rFonts w:cs="Arial"/>
        </w:rPr>
        <w:t>work</w:t>
      </w:r>
      <w:r w:rsidR="000B489B">
        <w:rPr>
          <w:rFonts w:cs="Arial"/>
        </w:rPr>
        <w:t>)</w:t>
      </w:r>
      <w:r w:rsidR="009C10CA">
        <w:rPr>
          <w:rFonts w:cs="Arial"/>
          <w:szCs w:val="22"/>
        </w:rPr>
        <w:t>.</w:t>
      </w:r>
      <w:r w:rsidR="00862EE1">
        <w:rPr>
          <w:rFonts w:cs="Arial"/>
          <w:szCs w:val="22"/>
        </w:rPr>
        <w:t xml:space="preserve"> </w:t>
      </w:r>
    </w:p>
    <w:p w14:paraId="60C6CF32" w14:textId="021D4B45" w:rsidR="008321F8" w:rsidRPr="00551AB9" w:rsidRDefault="008321F8" w:rsidP="00551AB9">
      <w:pPr>
        <w:jc w:val="both"/>
        <w:rPr>
          <w:lang w:val="en-NZ"/>
        </w:rPr>
      </w:pPr>
      <w:r w:rsidRPr="00551AB9">
        <w:rPr>
          <w:lang w:val="en-NZ"/>
        </w:rPr>
        <w:br w:type="page"/>
      </w:r>
    </w:p>
    <w:p w14:paraId="2B635B3D" w14:textId="7A24A31D" w:rsidR="008321F8" w:rsidRDefault="00F402DF" w:rsidP="00CD4B62">
      <w:pPr>
        <w:pStyle w:val="Heading2"/>
        <w:rPr>
          <w:lang w:val="en-NZ"/>
        </w:rPr>
      </w:pPr>
      <w:r w:rsidRPr="00A864A5">
        <w:rPr>
          <w:lang w:val="en-NZ"/>
        </w:rPr>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252D892" w14:textId="6EAB8221" w:rsidR="00E52B84" w:rsidRPr="002B1A7E" w:rsidRDefault="007D78A1" w:rsidP="00CD4B62">
      <w:pPr>
        <w:pStyle w:val="Heading3"/>
        <w:rPr>
          <w:lang w:val="en-NZ"/>
        </w:rPr>
      </w:pPr>
      <w:r w:rsidRPr="002B1A7E">
        <w:rPr>
          <w:lang w:val="en-NZ"/>
        </w:rPr>
        <w:t xml:space="preserve">What scope </w:t>
      </w:r>
      <w:r w:rsidR="003A6757" w:rsidRPr="002B1A7E">
        <w:rPr>
          <w:lang w:val="en-NZ"/>
        </w:rPr>
        <w:t>will</w:t>
      </w:r>
      <w:r w:rsidRPr="002B1A7E">
        <w:rPr>
          <w:lang w:val="en-NZ"/>
        </w:rPr>
        <w:t xml:space="preserve"> </w:t>
      </w:r>
      <w:r w:rsidR="007336C9" w:rsidRPr="002B1A7E">
        <w:rPr>
          <w:lang w:val="en-NZ"/>
        </w:rPr>
        <w:t>options be considered</w:t>
      </w:r>
      <w:r w:rsidRPr="002B1A7E">
        <w:rPr>
          <w:lang w:val="en-NZ"/>
        </w:rPr>
        <w:t xml:space="preserve"> within?</w:t>
      </w:r>
    </w:p>
    <w:p w14:paraId="34129B09" w14:textId="6A5C1EA3" w:rsidR="00934663" w:rsidRPr="00254386" w:rsidRDefault="00CC6985" w:rsidP="00AF6ECC">
      <w:pPr>
        <w:rPr>
          <w:lang w:val="en-NZ"/>
        </w:rPr>
      </w:pPr>
      <w:r w:rsidRPr="00791162">
        <w:rPr>
          <w:lang w:val="en-NZ"/>
        </w:rPr>
        <w:t xml:space="preserve">Options </w:t>
      </w:r>
      <w:r w:rsidR="00DA47E3" w:rsidRPr="00791162">
        <w:rPr>
          <w:lang w:val="en-NZ"/>
        </w:rPr>
        <w:t>were presented in two stage</w:t>
      </w:r>
      <w:r w:rsidR="00934663" w:rsidRPr="00791162">
        <w:rPr>
          <w:lang w:val="en-NZ"/>
        </w:rPr>
        <w:t>s</w:t>
      </w:r>
      <w:r w:rsidR="00DA47E3" w:rsidRPr="00791162">
        <w:rPr>
          <w:lang w:val="en-NZ"/>
        </w:rPr>
        <w:t>: initial and final.</w:t>
      </w:r>
      <w:r w:rsidR="00DA47E3" w:rsidRPr="00D005C7">
        <w:rPr>
          <w:lang w:val="en-NZ"/>
        </w:rPr>
        <w:t xml:space="preserve"> </w:t>
      </w:r>
      <w:r w:rsidR="007B04D5" w:rsidRPr="00D005C7">
        <w:rPr>
          <w:lang w:val="en-NZ"/>
        </w:rPr>
        <w:t xml:space="preserve">Subsequent to the confirmation of the WFF review objectives in April </w:t>
      </w:r>
      <w:r w:rsidR="00C439BD">
        <w:rPr>
          <w:lang w:val="en-NZ"/>
        </w:rPr>
        <w:t xml:space="preserve">2021 </w:t>
      </w:r>
      <w:r w:rsidR="007B04D5" w:rsidRPr="00D005C7">
        <w:rPr>
          <w:lang w:val="en-NZ"/>
        </w:rPr>
        <w:t>and the setting of the second set of three-year child poverty targets in June</w:t>
      </w:r>
      <w:r w:rsidR="00C439BD">
        <w:rPr>
          <w:lang w:val="en-NZ"/>
        </w:rPr>
        <w:t xml:space="preserve"> 2021</w:t>
      </w:r>
      <w:r w:rsidR="007B04D5" w:rsidRPr="00D005C7">
        <w:rPr>
          <w:lang w:val="en-NZ"/>
        </w:rPr>
        <w:t xml:space="preserve">, the </w:t>
      </w:r>
      <w:r w:rsidR="00DA47E3" w:rsidRPr="00791162">
        <w:rPr>
          <w:lang w:val="en-NZ"/>
        </w:rPr>
        <w:t>scope for initial options</w:t>
      </w:r>
      <w:r w:rsidR="007B04D5" w:rsidRPr="00D005C7">
        <w:rPr>
          <w:lang w:val="en-NZ"/>
        </w:rPr>
        <w:t xml:space="preserve"> was defined as </w:t>
      </w:r>
      <w:r w:rsidR="007B04D5" w:rsidRPr="00D005C7">
        <w:rPr>
          <w:szCs w:val="22"/>
        </w:rPr>
        <w:t>modest-cost options for Budget 202</w:t>
      </w:r>
      <w:r w:rsidR="007B04D5" w:rsidRPr="00254386">
        <w:rPr>
          <w:szCs w:val="22"/>
        </w:rPr>
        <w:t>2 that increase and redistribute support to low-income families.</w:t>
      </w:r>
      <w:r w:rsidR="007B04D5" w:rsidRPr="00254386">
        <w:rPr>
          <w:lang w:val="en-NZ"/>
        </w:rPr>
        <w:t xml:space="preserve"> </w:t>
      </w:r>
    </w:p>
    <w:p w14:paraId="095FCD20" w14:textId="08A00E88" w:rsidR="00D20CB7" w:rsidRDefault="00D20CB7" w:rsidP="00D20CB7">
      <w:pPr>
        <w:rPr>
          <w:rFonts w:ascii="Calibri" w:hAnsi="Calibri"/>
          <w:color w:val="1F497D"/>
          <w:lang w:val="en-NZ" w:eastAsia="en-US"/>
        </w:rPr>
      </w:pPr>
      <w:r w:rsidRPr="00791162">
        <w:rPr>
          <w:lang w:val="en-NZ"/>
        </w:rPr>
        <w:t>After analysing initial advice, Ministers narrow</w:t>
      </w:r>
      <w:r w:rsidR="008C4E7D" w:rsidRPr="00791162">
        <w:rPr>
          <w:lang w:val="en-NZ"/>
        </w:rPr>
        <w:t>ed the scope for final options. The following table summarises</w:t>
      </w:r>
      <w:r w:rsidR="00D15C0F" w:rsidRPr="00791162">
        <w:rPr>
          <w:lang w:val="en-NZ"/>
        </w:rPr>
        <w:t xml:space="preserve"> the factors considered by Ministers </w:t>
      </w:r>
      <w:r w:rsidR="00934663" w:rsidRPr="00791162">
        <w:rPr>
          <w:lang w:val="en-NZ"/>
        </w:rPr>
        <w:t xml:space="preserve">in initial advice </w:t>
      </w:r>
      <w:r w:rsidR="00D15C0F" w:rsidRPr="00791162">
        <w:rPr>
          <w:lang w:val="en-NZ"/>
        </w:rPr>
        <w:t xml:space="preserve">and their </w:t>
      </w:r>
      <w:r w:rsidR="00485D3C">
        <w:rPr>
          <w:lang w:val="en-NZ"/>
        </w:rPr>
        <w:t>decisions</w:t>
      </w:r>
      <w:r w:rsidR="00485D3C" w:rsidRPr="00791162">
        <w:rPr>
          <w:lang w:val="en-NZ"/>
        </w:rPr>
        <w:t xml:space="preserve"> </w:t>
      </w:r>
      <w:r w:rsidR="00934663" w:rsidRPr="00791162">
        <w:rPr>
          <w:lang w:val="en-NZ"/>
        </w:rPr>
        <w:t>on the scope for final options</w:t>
      </w:r>
      <w:r w:rsidR="00D15C0F" w:rsidRPr="00791162">
        <w:rPr>
          <w:lang w:val="en-NZ"/>
        </w:rPr>
        <w:t>. These are discussed in more detail below.</w:t>
      </w:r>
    </w:p>
    <w:tbl>
      <w:tblPr>
        <w:tblW w:w="5000" w:type="pct"/>
        <w:tblCellMar>
          <w:left w:w="0" w:type="dxa"/>
          <w:right w:w="0" w:type="dxa"/>
        </w:tblCellMar>
        <w:tblLook w:val="04A0" w:firstRow="1" w:lastRow="0" w:firstColumn="1" w:lastColumn="0" w:noHBand="0" w:noVBand="1"/>
      </w:tblPr>
      <w:tblGrid>
        <w:gridCol w:w="2050"/>
        <w:gridCol w:w="3499"/>
        <w:gridCol w:w="3501"/>
      </w:tblGrid>
      <w:tr w:rsidR="00D20CB7" w14:paraId="1359E826" w14:textId="77777777" w:rsidTr="00D1126F">
        <w:tc>
          <w:tcPr>
            <w:tcW w:w="113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B4CF3AE" w14:textId="77777777" w:rsidR="00D20CB7" w:rsidRPr="002C4184" w:rsidRDefault="00D20CB7" w:rsidP="00D1126F">
            <w:pPr>
              <w:spacing w:after="60"/>
              <w:rPr>
                <w:rFonts w:cs="Arial"/>
                <w:b/>
                <w:bCs/>
                <w:color w:val="1F497D"/>
              </w:rPr>
            </w:pPr>
          </w:p>
        </w:tc>
        <w:tc>
          <w:tcPr>
            <w:tcW w:w="193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22D36C0" w14:textId="7F5A264F" w:rsidR="00D20CB7" w:rsidRPr="002C4184" w:rsidRDefault="00D20CB7" w:rsidP="00D1126F">
            <w:pPr>
              <w:spacing w:after="60"/>
              <w:rPr>
                <w:rFonts w:cs="Arial"/>
                <w:b/>
                <w:bCs/>
                <w:color w:val="1F497D"/>
              </w:rPr>
            </w:pPr>
            <w:r w:rsidRPr="002C4184">
              <w:rPr>
                <w:rFonts w:cs="Arial"/>
                <w:b/>
                <w:bCs/>
                <w:color w:val="1F497D"/>
              </w:rPr>
              <w:t xml:space="preserve">Scale of </w:t>
            </w:r>
            <w:r w:rsidR="00D1206F">
              <w:rPr>
                <w:rFonts w:cs="Arial"/>
                <w:b/>
                <w:bCs/>
                <w:color w:val="1F497D"/>
              </w:rPr>
              <w:t>p</w:t>
            </w:r>
            <w:r w:rsidRPr="002C4184">
              <w:rPr>
                <w:rFonts w:cs="Arial"/>
                <w:b/>
                <w:bCs/>
                <w:color w:val="1F497D"/>
              </w:rPr>
              <w:t xml:space="preserve">ackage </w:t>
            </w:r>
          </w:p>
        </w:tc>
        <w:tc>
          <w:tcPr>
            <w:tcW w:w="193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B9A23BD" w14:textId="77777777" w:rsidR="00D20CB7" w:rsidRPr="002C4184" w:rsidRDefault="00D20CB7" w:rsidP="00D1126F">
            <w:pPr>
              <w:spacing w:after="60"/>
              <w:rPr>
                <w:rFonts w:cs="Arial"/>
                <w:b/>
                <w:bCs/>
                <w:color w:val="1F497D"/>
              </w:rPr>
            </w:pPr>
            <w:r w:rsidRPr="002C4184">
              <w:rPr>
                <w:rFonts w:cs="Arial"/>
                <w:b/>
                <w:bCs/>
                <w:color w:val="1F497D"/>
              </w:rPr>
              <w:t xml:space="preserve">Approach to abatement </w:t>
            </w:r>
          </w:p>
        </w:tc>
      </w:tr>
      <w:tr w:rsidR="00D20CB7" w14:paraId="1664F84C" w14:textId="77777777" w:rsidTr="00D1126F">
        <w:tc>
          <w:tcPr>
            <w:tcW w:w="11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BAF3A" w14:textId="77777777" w:rsidR="00D20CB7" w:rsidRPr="002C4184" w:rsidRDefault="00D20CB7" w:rsidP="00D1126F">
            <w:pPr>
              <w:spacing w:after="60"/>
              <w:rPr>
                <w:rFonts w:cs="Arial"/>
                <w:b/>
                <w:bCs/>
                <w:color w:val="1F497D"/>
              </w:rPr>
            </w:pPr>
            <w:r w:rsidRPr="002C4184">
              <w:rPr>
                <w:rFonts w:cs="Arial"/>
                <w:b/>
                <w:bCs/>
                <w:color w:val="1F497D"/>
              </w:rPr>
              <w:t xml:space="preserve">Link to criteria </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14:paraId="55EE3177" w14:textId="77777777" w:rsidR="00D20CB7" w:rsidRPr="002C4184" w:rsidRDefault="00D20CB7" w:rsidP="00D1126F">
            <w:pPr>
              <w:spacing w:after="60"/>
              <w:rPr>
                <w:rFonts w:cs="Arial"/>
              </w:rPr>
            </w:pPr>
            <w:r w:rsidRPr="002C4184">
              <w:rPr>
                <w:rFonts w:cs="Arial"/>
              </w:rPr>
              <w:t xml:space="preserve">Fiscal cost </w:t>
            </w:r>
          </w:p>
          <w:p w14:paraId="2DEC8390" w14:textId="77777777" w:rsidR="00D20CB7" w:rsidRPr="002C4184" w:rsidRDefault="00D20CB7" w:rsidP="00D1126F">
            <w:pPr>
              <w:spacing w:after="60"/>
              <w:rPr>
                <w:rFonts w:cs="Arial"/>
                <w:lang w:eastAsia="en-US"/>
              </w:rPr>
            </w:pPr>
            <w:r w:rsidRPr="002C4184">
              <w:rPr>
                <w:rFonts w:cs="Arial"/>
              </w:rPr>
              <w:t xml:space="preserve">Impacts on child poverty </w:t>
            </w:r>
          </w:p>
        </w:tc>
        <w:tc>
          <w:tcPr>
            <w:tcW w:w="1934" w:type="pct"/>
            <w:tcBorders>
              <w:top w:val="nil"/>
              <w:left w:val="nil"/>
              <w:bottom w:val="single" w:sz="8" w:space="0" w:color="auto"/>
              <w:right w:val="single" w:sz="8" w:space="0" w:color="auto"/>
            </w:tcBorders>
            <w:tcMar>
              <w:top w:w="0" w:type="dxa"/>
              <w:left w:w="108" w:type="dxa"/>
              <w:bottom w:w="0" w:type="dxa"/>
              <w:right w:w="108" w:type="dxa"/>
            </w:tcMar>
          </w:tcPr>
          <w:p w14:paraId="65800347" w14:textId="77777777" w:rsidR="00D20CB7" w:rsidRPr="002C4184" w:rsidRDefault="00D20CB7" w:rsidP="00D1126F">
            <w:pPr>
              <w:spacing w:after="60"/>
              <w:rPr>
                <w:rFonts w:cs="Arial"/>
              </w:rPr>
            </w:pPr>
            <w:r w:rsidRPr="002C4184">
              <w:rPr>
                <w:rFonts w:cs="Arial"/>
              </w:rPr>
              <w:t xml:space="preserve">Impacts on work incentives </w:t>
            </w:r>
          </w:p>
          <w:p w14:paraId="7B0A9E12" w14:textId="77777777" w:rsidR="00D20CB7" w:rsidRPr="002C4184" w:rsidRDefault="00D20CB7" w:rsidP="00D1126F">
            <w:pPr>
              <w:spacing w:after="60"/>
              <w:rPr>
                <w:rFonts w:cs="Arial"/>
              </w:rPr>
            </w:pPr>
            <w:r w:rsidRPr="002C4184">
              <w:rPr>
                <w:rFonts w:cs="Arial"/>
              </w:rPr>
              <w:t>Impacts on future reform</w:t>
            </w:r>
          </w:p>
          <w:p w14:paraId="615F0C3A" w14:textId="77777777" w:rsidR="00D20CB7" w:rsidRPr="002C4184" w:rsidRDefault="00D20CB7" w:rsidP="00D1126F">
            <w:pPr>
              <w:spacing w:after="60"/>
              <w:rPr>
                <w:rFonts w:cs="Arial"/>
              </w:rPr>
            </w:pPr>
          </w:p>
        </w:tc>
      </w:tr>
      <w:tr w:rsidR="00D20CB7" w14:paraId="3885D60E" w14:textId="77777777" w:rsidTr="00D1126F">
        <w:tc>
          <w:tcPr>
            <w:tcW w:w="11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62C50" w14:textId="77777777" w:rsidR="00D20CB7" w:rsidRPr="002C4184" w:rsidRDefault="00D20CB7" w:rsidP="00D1126F">
            <w:pPr>
              <w:spacing w:after="60"/>
              <w:rPr>
                <w:rFonts w:cs="Arial"/>
                <w:b/>
                <w:bCs/>
                <w:color w:val="1F497D"/>
              </w:rPr>
            </w:pPr>
            <w:r w:rsidRPr="002C4184">
              <w:rPr>
                <w:rFonts w:cs="Arial"/>
                <w:b/>
                <w:bCs/>
                <w:color w:val="1F497D"/>
              </w:rPr>
              <w:t xml:space="preserve">Options canvassed in initial advice </w:t>
            </w:r>
          </w:p>
        </w:tc>
        <w:tc>
          <w:tcPr>
            <w:tcW w:w="1933" w:type="pct"/>
            <w:tcBorders>
              <w:top w:val="nil"/>
              <w:left w:val="nil"/>
              <w:bottom w:val="single" w:sz="8" w:space="0" w:color="auto"/>
              <w:right w:val="single" w:sz="8" w:space="0" w:color="auto"/>
            </w:tcBorders>
            <w:tcMar>
              <w:top w:w="0" w:type="dxa"/>
              <w:left w:w="108" w:type="dxa"/>
              <w:bottom w:w="0" w:type="dxa"/>
              <w:right w:w="108" w:type="dxa"/>
            </w:tcMar>
          </w:tcPr>
          <w:p w14:paraId="2E2ED573" w14:textId="407C99AA" w:rsidR="00D20CB7" w:rsidRPr="002C4184" w:rsidRDefault="00D20CB7" w:rsidP="00D1126F">
            <w:pPr>
              <w:spacing w:after="60"/>
              <w:rPr>
                <w:rFonts w:cs="Arial"/>
              </w:rPr>
            </w:pPr>
            <w:r w:rsidRPr="002C4184">
              <w:rPr>
                <w:rFonts w:cs="Arial"/>
              </w:rPr>
              <w:t xml:space="preserve">A range of options for an FTC increase were presented to Ministers ranging from a $5 to $15 per child increase.  The options were broadly grouped into low cost ($50-$200m p.a.), and high cost ($200-$400m p.a.).   The larger increases to the FTC had greater impacts on child poverty. </w:t>
            </w:r>
          </w:p>
          <w:p w14:paraId="55BF7531" w14:textId="77777777" w:rsidR="00D20CB7" w:rsidRPr="002C4184" w:rsidRDefault="00D20CB7" w:rsidP="00D1126F">
            <w:pPr>
              <w:spacing w:after="60"/>
              <w:rPr>
                <w:rFonts w:cs="Arial"/>
              </w:rPr>
            </w:pPr>
          </w:p>
        </w:tc>
        <w:tc>
          <w:tcPr>
            <w:tcW w:w="1934" w:type="pct"/>
            <w:tcBorders>
              <w:top w:val="nil"/>
              <w:left w:val="nil"/>
              <w:bottom w:val="single" w:sz="8" w:space="0" w:color="auto"/>
              <w:right w:val="single" w:sz="8" w:space="0" w:color="auto"/>
            </w:tcBorders>
            <w:tcMar>
              <w:top w:w="0" w:type="dxa"/>
              <w:left w:w="108" w:type="dxa"/>
              <w:bottom w:w="0" w:type="dxa"/>
              <w:right w:w="108" w:type="dxa"/>
            </w:tcMar>
            <w:hideMark/>
          </w:tcPr>
          <w:p w14:paraId="2CFFBF87" w14:textId="77777777" w:rsidR="00D20CB7" w:rsidRPr="002C4184" w:rsidRDefault="00D20CB7" w:rsidP="00D1126F">
            <w:pPr>
              <w:spacing w:after="60"/>
              <w:rPr>
                <w:rFonts w:cs="Arial"/>
              </w:rPr>
            </w:pPr>
            <w:r w:rsidRPr="002C4184">
              <w:rPr>
                <w:rFonts w:cs="Arial"/>
              </w:rPr>
              <w:t xml:space="preserve">There were three broad sets of approaches to abatement explored: </w:t>
            </w:r>
          </w:p>
          <w:p w14:paraId="6A637901" w14:textId="77777777" w:rsidR="00D20CB7" w:rsidRPr="002C4184" w:rsidRDefault="00D20CB7" w:rsidP="005460D3">
            <w:pPr>
              <w:pStyle w:val="ListParagraph"/>
              <w:numPr>
                <w:ilvl w:val="0"/>
                <w:numId w:val="25"/>
              </w:numPr>
              <w:spacing w:after="60" w:line="240" w:lineRule="auto"/>
              <w:contextualSpacing w:val="0"/>
              <w:rPr>
                <w:rFonts w:cs="Arial"/>
              </w:rPr>
            </w:pPr>
            <w:r w:rsidRPr="002C4184">
              <w:rPr>
                <w:rFonts w:cs="Arial"/>
              </w:rPr>
              <w:t xml:space="preserve">Modest two-tier structure </w:t>
            </w:r>
          </w:p>
          <w:p w14:paraId="052608D6" w14:textId="77777777" w:rsidR="00D20CB7" w:rsidRPr="002C4184" w:rsidRDefault="00D20CB7" w:rsidP="005460D3">
            <w:pPr>
              <w:pStyle w:val="ListParagraph"/>
              <w:numPr>
                <w:ilvl w:val="0"/>
                <w:numId w:val="25"/>
              </w:numPr>
              <w:spacing w:after="60" w:line="240" w:lineRule="auto"/>
              <w:contextualSpacing w:val="0"/>
              <w:rPr>
                <w:rFonts w:cs="Arial"/>
              </w:rPr>
            </w:pPr>
            <w:r w:rsidRPr="002C4184">
              <w:rPr>
                <w:rFonts w:cs="Arial"/>
              </w:rPr>
              <w:t xml:space="preserve">Sharper two-tier structure </w:t>
            </w:r>
          </w:p>
          <w:p w14:paraId="1F2DBBAE" w14:textId="77777777" w:rsidR="00D20CB7" w:rsidRPr="002C4184" w:rsidRDefault="00D20CB7" w:rsidP="005460D3">
            <w:pPr>
              <w:pStyle w:val="ListParagraph"/>
              <w:numPr>
                <w:ilvl w:val="0"/>
                <w:numId w:val="25"/>
              </w:numPr>
              <w:spacing w:after="60" w:line="240" w:lineRule="auto"/>
              <w:contextualSpacing w:val="0"/>
              <w:rPr>
                <w:rFonts w:cs="Arial"/>
              </w:rPr>
            </w:pPr>
            <w:r w:rsidRPr="002C4184">
              <w:rPr>
                <w:rFonts w:cs="Arial"/>
              </w:rPr>
              <w:t xml:space="preserve">One-tier abatement structure </w:t>
            </w:r>
          </w:p>
        </w:tc>
      </w:tr>
      <w:tr w:rsidR="00D20CB7" w14:paraId="6C992F8F" w14:textId="77777777" w:rsidTr="00D1126F">
        <w:tc>
          <w:tcPr>
            <w:tcW w:w="11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1BABF" w14:textId="77777777" w:rsidR="00D20CB7" w:rsidRPr="002C4184" w:rsidRDefault="00D20CB7" w:rsidP="00D1126F">
            <w:pPr>
              <w:spacing w:after="60"/>
              <w:rPr>
                <w:rFonts w:eastAsiaTheme="minorHAnsi" w:cs="Arial"/>
                <w:b/>
                <w:bCs/>
                <w:color w:val="1F497D"/>
              </w:rPr>
            </w:pPr>
            <w:r w:rsidRPr="002C4184">
              <w:rPr>
                <w:rFonts w:cs="Arial"/>
                <w:b/>
                <w:bCs/>
                <w:color w:val="1F497D"/>
              </w:rPr>
              <w:t xml:space="preserve">Constraints from Ministers for final advice </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14:paraId="0315D4D5" w14:textId="77777777" w:rsidR="00D20CB7" w:rsidRPr="002C4184" w:rsidRDefault="00D20CB7" w:rsidP="00D1126F">
            <w:pPr>
              <w:spacing w:after="60"/>
              <w:rPr>
                <w:rFonts w:cs="Arial"/>
                <w:b/>
                <w:bCs/>
              </w:rPr>
            </w:pPr>
            <w:r w:rsidRPr="002C4184">
              <w:rPr>
                <w:rFonts w:cs="Arial"/>
              </w:rPr>
              <w:t xml:space="preserve">As a result of initial advice, Ministers agreed the following constraints around the </w:t>
            </w:r>
            <w:r w:rsidRPr="002C4184">
              <w:rPr>
                <w:rFonts w:cs="Arial"/>
                <w:b/>
                <w:bCs/>
              </w:rPr>
              <w:t xml:space="preserve">scale of the package: </w:t>
            </w:r>
          </w:p>
          <w:p w14:paraId="77929FA1" w14:textId="77777777" w:rsidR="00D20CB7" w:rsidRPr="002C4184" w:rsidRDefault="00D20CB7" w:rsidP="005460D3">
            <w:pPr>
              <w:pStyle w:val="ListParagraph"/>
              <w:numPr>
                <w:ilvl w:val="0"/>
                <w:numId w:val="25"/>
              </w:numPr>
              <w:spacing w:after="60" w:line="240" w:lineRule="auto"/>
              <w:contextualSpacing w:val="0"/>
              <w:rPr>
                <w:rFonts w:cs="Arial"/>
              </w:rPr>
            </w:pPr>
            <w:r w:rsidRPr="002C4184">
              <w:rPr>
                <w:rFonts w:cs="Arial"/>
              </w:rPr>
              <w:t xml:space="preserve">Modest increases to the rates of FTC </w:t>
            </w:r>
          </w:p>
          <w:p w14:paraId="4F02EE4A" w14:textId="77777777" w:rsidR="00D20CB7" w:rsidRPr="002C4184" w:rsidRDefault="00D20CB7" w:rsidP="005460D3">
            <w:pPr>
              <w:pStyle w:val="ListParagraph"/>
              <w:numPr>
                <w:ilvl w:val="0"/>
                <w:numId w:val="25"/>
              </w:numPr>
              <w:spacing w:after="60" w:line="240" w:lineRule="auto"/>
              <w:contextualSpacing w:val="0"/>
              <w:rPr>
                <w:rFonts w:cs="Arial"/>
              </w:rPr>
            </w:pPr>
            <w:r w:rsidRPr="002C4184">
              <w:rPr>
                <w:rFonts w:cs="Arial"/>
              </w:rPr>
              <w:t>Cost around $50 - $100 million per year</w:t>
            </w:r>
          </w:p>
          <w:p w14:paraId="3E7C75B5" w14:textId="77777777" w:rsidR="00D20CB7" w:rsidRPr="002C4184" w:rsidRDefault="00D20CB7" w:rsidP="005460D3">
            <w:pPr>
              <w:pStyle w:val="ReportBody"/>
              <w:numPr>
                <w:ilvl w:val="0"/>
                <w:numId w:val="25"/>
              </w:numPr>
              <w:tabs>
                <w:tab w:val="left" w:pos="720"/>
              </w:tabs>
              <w:spacing w:before="0" w:after="60"/>
              <w:rPr>
                <w:rFonts w:ascii="Arial" w:eastAsiaTheme="minorHAnsi" w:hAnsi="Arial"/>
                <w:color w:val="auto"/>
                <w:sz w:val="22"/>
                <w:szCs w:val="22"/>
                <w:lang w:eastAsia="en-US"/>
              </w:rPr>
            </w:pPr>
            <w:r w:rsidRPr="002C4184">
              <w:rPr>
                <w:rFonts w:ascii="Arial" w:hAnsi="Arial"/>
                <w:color w:val="auto"/>
                <w:sz w:val="22"/>
                <w:szCs w:val="22"/>
                <w:lang w:eastAsia="en-US"/>
              </w:rPr>
              <w:t>reduce child poverty</w:t>
            </w:r>
          </w:p>
        </w:tc>
        <w:tc>
          <w:tcPr>
            <w:tcW w:w="1934" w:type="pct"/>
            <w:tcBorders>
              <w:top w:val="nil"/>
              <w:left w:val="nil"/>
              <w:bottom w:val="single" w:sz="8" w:space="0" w:color="auto"/>
              <w:right w:val="single" w:sz="8" w:space="0" w:color="auto"/>
            </w:tcBorders>
            <w:tcMar>
              <w:top w:w="0" w:type="dxa"/>
              <w:left w:w="108" w:type="dxa"/>
              <w:bottom w:w="0" w:type="dxa"/>
              <w:right w:w="108" w:type="dxa"/>
            </w:tcMar>
          </w:tcPr>
          <w:p w14:paraId="47BC7F03" w14:textId="77777777" w:rsidR="00D20CB7" w:rsidRPr="002C4184" w:rsidRDefault="00D20CB7" w:rsidP="00D1126F">
            <w:pPr>
              <w:pStyle w:val="ReportBody"/>
              <w:numPr>
                <w:ilvl w:val="0"/>
                <w:numId w:val="0"/>
              </w:numPr>
              <w:tabs>
                <w:tab w:val="left" w:pos="720"/>
              </w:tabs>
              <w:spacing w:before="0" w:after="60"/>
              <w:rPr>
                <w:rFonts w:ascii="Arial" w:hAnsi="Arial"/>
                <w:b/>
                <w:bCs/>
                <w:color w:val="auto"/>
                <w:sz w:val="22"/>
                <w:szCs w:val="22"/>
                <w:lang w:eastAsia="en-US"/>
              </w:rPr>
            </w:pPr>
            <w:r w:rsidRPr="002C4184">
              <w:rPr>
                <w:rFonts w:ascii="Arial" w:hAnsi="Arial"/>
                <w:color w:val="auto"/>
                <w:sz w:val="22"/>
                <w:szCs w:val="22"/>
                <w:lang w:eastAsia="en-US"/>
              </w:rPr>
              <w:t xml:space="preserve">As a result of initial advice, Ministers agreed the following constraints on the </w:t>
            </w:r>
            <w:r w:rsidRPr="002C4184">
              <w:rPr>
                <w:rFonts w:ascii="Arial" w:hAnsi="Arial"/>
                <w:b/>
                <w:bCs/>
                <w:color w:val="auto"/>
                <w:sz w:val="22"/>
                <w:szCs w:val="22"/>
                <w:lang w:eastAsia="en-US"/>
              </w:rPr>
              <w:t xml:space="preserve">approach to abatement: </w:t>
            </w:r>
          </w:p>
          <w:p w14:paraId="25618343" w14:textId="77777777" w:rsidR="00D20CB7" w:rsidRPr="002C4184" w:rsidRDefault="00D20CB7" w:rsidP="005460D3">
            <w:pPr>
              <w:pStyle w:val="ReportBody"/>
              <w:numPr>
                <w:ilvl w:val="0"/>
                <w:numId w:val="25"/>
              </w:numPr>
              <w:tabs>
                <w:tab w:val="left" w:pos="720"/>
              </w:tabs>
              <w:spacing w:before="0" w:after="60"/>
              <w:rPr>
                <w:rFonts w:ascii="Arial" w:hAnsi="Arial"/>
                <w:color w:val="auto"/>
                <w:sz w:val="22"/>
                <w:szCs w:val="22"/>
                <w:lang w:eastAsia="en-US"/>
              </w:rPr>
            </w:pPr>
            <w:r w:rsidRPr="002C4184">
              <w:rPr>
                <w:rFonts w:ascii="Arial" w:hAnsi="Arial"/>
                <w:color w:val="auto"/>
                <w:sz w:val="22"/>
                <w:szCs w:val="22"/>
                <w:lang w:eastAsia="en-US"/>
              </w:rPr>
              <w:t>retain a single abatement threshold at the current level of $42,700</w:t>
            </w:r>
          </w:p>
          <w:p w14:paraId="28F56DC5" w14:textId="77777777" w:rsidR="00D20CB7" w:rsidRPr="002C4184" w:rsidRDefault="00D20CB7" w:rsidP="005460D3">
            <w:pPr>
              <w:pStyle w:val="ReportBody"/>
              <w:numPr>
                <w:ilvl w:val="0"/>
                <w:numId w:val="25"/>
              </w:numPr>
              <w:tabs>
                <w:tab w:val="left" w:pos="720"/>
              </w:tabs>
              <w:spacing w:before="0" w:after="60"/>
              <w:rPr>
                <w:rFonts w:ascii="Arial" w:hAnsi="Arial"/>
                <w:color w:val="auto"/>
                <w:sz w:val="22"/>
                <w:szCs w:val="22"/>
                <w:lang w:eastAsia="en-US"/>
              </w:rPr>
            </w:pPr>
            <w:r w:rsidRPr="002C4184">
              <w:rPr>
                <w:rFonts w:ascii="Arial" w:hAnsi="Arial"/>
                <w:color w:val="auto"/>
                <w:sz w:val="22"/>
                <w:szCs w:val="22"/>
                <w:lang w:eastAsia="en-US"/>
              </w:rPr>
              <w:t>minimise the number of losing families, particularly for those with incomes below $100,000 per year.</w:t>
            </w:r>
          </w:p>
          <w:p w14:paraId="6A80DC88" w14:textId="77777777" w:rsidR="00D20CB7" w:rsidRPr="002C4184" w:rsidRDefault="00D20CB7" w:rsidP="00D1126F">
            <w:pPr>
              <w:spacing w:after="60"/>
              <w:rPr>
                <w:rFonts w:cs="Arial"/>
                <w:szCs w:val="22"/>
                <w:lang w:eastAsia="en-US"/>
              </w:rPr>
            </w:pPr>
          </w:p>
        </w:tc>
      </w:tr>
    </w:tbl>
    <w:p w14:paraId="60C67E1D" w14:textId="77777777" w:rsidR="00D20CB7" w:rsidRDefault="00D20CB7" w:rsidP="00AF6ECC">
      <w:pPr>
        <w:rPr>
          <w:lang w:val="en-NZ"/>
        </w:rPr>
      </w:pPr>
    </w:p>
    <w:p w14:paraId="410F91C4" w14:textId="7249C61E" w:rsidR="009B11C7" w:rsidRPr="00527BA2" w:rsidRDefault="00466EAB" w:rsidP="00AF6ECC">
      <w:pPr>
        <w:rPr>
          <w:b/>
          <w:bCs/>
          <w:lang w:val="en-NZ"/>
        </w:rPr>
      </w:pPr>
      <w:r>
        <w:rPr>
          <w:b/>
          <w:bCs/>
          <w:lang w:val="en-NZ"/>
        </w:rPr>
        <w:t>Initial advice on options for phase one</w:t>
      </w:r>
    </w:p>
    <w:p w14:paraId="774C6F7F" w14:textId="416F7793" w:rsidR="004535DF" w:rsidRDefault="006973C0" w:rsidP="00AF6ECC">
      <w:pPr>
        <w:rPr>
          <w:lang w:val="en-NZ"/>
        </w:rPr>
      </w:pPr>
      <w:r>
        <w:rPr>
          <w:lang w:val="en-NZ"/>
        </w:rPr>
        <w:t>An initial</w:t>
      </w:r>
      <w:r w:rsidR="00BB08A2">
        <w:rPr>
          <w:lang w:val="en-NZ"/>
        </w:rPr>
        <w:t>, broader</w:t>
      </w:r>
      <w:r>
        <w:rPr>
          <w:lang w:val="en-NZ"/>
        </w:rPr>
        <w:t xml:space="preserve"> series of options </w:t>
      </w:r>
      <w:r w:rsidR="007B04D5">
        <w:rPr>
          <w:lang w:val="en-NZ"/>
        </w:rPr>
        <w:t xml:space="preserve">for phase one </w:t>
      </w:r>
      <w:r>
        <w:rPr>
          <w:lang w:val="en-NZ"/>
        </w:rPr>
        <w:t>w</w:t>
      </w:r>
      <w:r w:rsidR="00345E2D">
        <w:rPr>
          <w:lang w:val="en-NZ"/>
        </w:rPr>
        <w:t>as</w:t>
      </w:r>
      <w:r>
        <w:rPr>
          <w:lang w:val="en-NZ"/>
        </w:rPr>
        <w:t xml:space="preserve"> presented to Ministers in the 17 September </w:t>
      </w:r>
      <w:r w:rsidRPr="006973C0">
        <w:rPr>
          <w:i/>
          <w:iCs/>
          <w:lang w:val="en-NZ"/>
        </w:rPr>
        <w:t>Working for Families Review: update and options for Budget 2022</w:t>
      </w:r>
      <w:r>
        <w:rPr>
          <w:lang w:val="en-NZ"/>
        </w:rPr>
        <w:t xml:space="preserve"> report</w:t>
      </w:r>
      <w:r w:rsidR="00716CA0">
        <w:rPr>
          <w:lang w:val="en-NZ"/>
        </w:rPr>
        <w:t>.</w:t>
      </w:r>
      <w:r w:rsidR="00755936">
        <w:rPr>
          <w:lang w:val="en-NZ"/>
        </w:rPr>
        <w:t xml:space="preserve"> </w:t>
      </w:r>
      <w:r w:rsidR="004535DF">
        <w:rPr>
          <w:lang w:val="en-NZ"/>
        </w:rPr>
        <w:t xml:space="preserve">These </w:t>
      </w:r>
      <w:r w:rsidR="00345E2D">
        <w:rPr>
          <w:lang w:val="en-NZ"/>
        </w:rPr>
        <w:t xml:space="preserve">options </w:t>
      </w:r>
      <w:r w:rsidR="004535DF">
        <w:rPr>
          <w:lang w:val="en-NZ"/>
        </w:rPr>
        <w:t>included</w:t>
      </w:r>
      <w:r w:rsidR="00345E2D">
        <w:rPr>
          <w:lang w:val="en-NZ"/>
        </w:rPr>
        <w:t>:</w:t>
      </w:r>
    </w:p>
    <w:p w14:paraId="28602B08" w14:textId="63EA3893" w:rsidR="004535DF" w:rsidRDefault="004535DF" w:rsidP="005460D3">
      <w:pPr>
        <w:pStyle w:val="ListParagraph"/>
        <w:numPr>
          <w:ilvl w:val="0"/>
          <w:numId w:val="20"/>
        </w:numPr>
        <w:rPr>
          <w:lang w:val="en-NZ"/>
        </w:rPr>
      </w:pPr>
      <w:r>
        <w:rPr>
          <w:lang w:val="en-NZ"/>
        </w:rPr>
        <w:t>a redistributive package focused on changes to the FTC</w:t>
      </w:r>
    </w:p>
    <w:p w14:paraId="2B894B27" w14:textId="6ADFA7F2" w:rsidR="00985AE2" w:rsidRDefault="00985AE2" w:rsidP="005460D3">
      <w:pPr>
        <w:pStyle w:val="ListParagraph"/>
        <w:numPr>
          <w:ilvl w:val="0"/>
          <w:numId w:val="20"/>
        </w:numPr>
        <w:rPr>
          <w:lang w:val="en-NZ"/>
        </w:rPr>
      </w:pPr>
      <w:r>
        <w:rPr>
          <w:lang w:val="en-NZ"/>
        </w:rPr>
        <w:t>and concurrently</w:t>
      </w:r>
    </w:p>
    <w:p w14:paraId="5378D462" w14:textId="1949E958" w:rsidR="00047EDB" w:rsidRPr="00047EDB" w:rsidRDefault="00047EDB" w:rsidP="00047EDB">
      <w:pPr>
        <w:shd w:val="clear" w:color="auto" w:fill="BFBFBF" w:themeFill="background1" w:themeFillShade="BF"/>
        <w:spacing w:after="0"/>
        <w:ind w:left="1134"/>
        <w:rPr>
          <w:sz w:val="20"/>
          <w:lang w:val="en-NZ"/>
        </w:rPr>
      </w:pPr>
      <w:r w:rsidRPr="00047EDB">
        <w:rPr>
          <w:sz w:val="20"/>
          <w:lang w:val="en-NZ"/>
        </w:rPr>
        <w:t>s 9(2(f)(iv)</w:t>
      </w:r>
    </w:p>
    <w:p w14:paraId="751BF69E" w14:textId="4CD0F4F9" w:rsidR="00047EDB" w:rsidRDefault="00047EDB" w:rsidP="00047EDB">
      <w:pPr>
        <w:shd w:val="clear" w:color="auto" w:fill="BFBFBF" w:themeFill="background1" w:themeFillShade="BF"/>
        <w:spacing w:after="0"/>
        <w:ind w:left="1134"/>
        <w:rPr>
          <w:lang w:val="en-NZ"/>
        </w:rPr>
      </w:pPr>
    </w:p>
    <w:p w14:paraId="0752CBC1" w14:textId="0E5F4FAF" w:rsidR="00047EDB" w:rsidRDefault="00047EDB" w:rsidP="00047EDB">
      <w:pPr>
        <w:shd w:val="clear" w:color="auto" w:fill="BFBFBF" w:themeFill="background1" w:themeFillShade="BF"/>
        <w:spacing w:after="0"/>
        <w:ind w:left="1134"/>
        <w:rPr>
          <w:lang w:val="en-NZ"/>
        </w:rPr>
      </w:pPr>
    </w:p>
    <w:p w14:paraId="79809243" w14:textId="77777777" w:rsidR="00047EDB" w:rsidRPr="00047EDB" w:rsidRDefault="00047EDB" w:rsidP="00047EDB">
      <w:pPr>
        <w:shd w:val="clear" w:color="auto" w:fill="BFBFBF" w:themeFill="background1" w:themeFillShade="BF"/>
        <w:ind w:left="1134"/>
        <w:rPr>
          <w:lang w:val="en-NZ"/>
        </w:rPr>
      </w:pPr>
    </w:p>
    <w:p w14:paraId="10505540" w14:textId="493EA1FA" w:rsidR="008B4C5C" w:rsidRPr="008B4C5C" w:rsidRDefault="008B4C5C" w:rsidP="008B4C5C">
      <w:pPr>
        <w:rPr>
          <w:b/>
          <w:bCs/>
          <w:i/>
          <w:iCs/>
          <w:lang w:val="en-NZ"/>
        </w:rPr>
      </w:pPr>
      <w:r w:rsidRPr="008B4C5C">
        <w:rPr>
          <w:b/>
          <w:bCs/>
          <w:i/>
          <w:iCs/>
          <w:lang w:val="en-NZ"/>
        </w:rPr>
        <w:t>The redistributive package</w:t>
      </w:r>
    </w:p>
    <w:p w14:paraId="6203AAA9" w14:textId="507A202B" w:rsidR="006973C0" w:rsidRDefault="008B4C5C" w:rsidP="00AF6ECC">
      <w:pPr>
        <w:rPr>
          <w:lang w:val="en-NZ"/>
        </w:rPr>
      </w:pPr>
      <w:r>
        <w:rPr>
          <w:lang w:val="en-NZ"/>
        </w:rPr>
        <w:t>Options for the redistributive package</w:t>
      </w:r>
      <w:r w:rsidR="00755936">
        <w:rPr>
          <w:lang w:val="en-NZ"/>
        </w:rPr>
        <w:t xml:space="preserve"> included $5, $7.50, </w:t>
      </w:r>
      <w:proofErr w:type="gramStart"/>
      <w:r w:rsidR="00755936">
        <w:rPr>
          <w:lang w:val="en-NZ"/>
        </w:rPr>
        <w:t>$10</w:t>
      </w:r>
      <w:proofErr w:type="gramEnd"/>
      <w:r w:rsidR="00755936">
        <w:rPr>
          <w:lang w:val="en-NZ"/>
        </w:rPr>
        <w:t xml:space="preserve"> and $15 FTC rate increases combined with a series of abatement rate and threshold options</w:t>
      </w:r>
      <w:r w:rsidR="00BB08A2">
        <w:rPr>
          <w:lang w:val="en-NZ"/>
        </w:rPr>
        <w:t xml:space="preserve"> that included the possibility of introducing a second tier of abatement threshold. The details of these options and their outputs (modelled by TAWA) are outlined in the table below.</w:t>
      </w:r>
    </w:p>
    <w:tbl>
      <w:tblPr>
        <w:tblW w:w="8776" w:type="dxa"/>
        <w:tblInd w:w="433" w:type="dxa"/>
        <w:tblLook w:val="04A0" w:firstRow="1" w:lastRow="0" w:firstColumn="1" w:lastColumn="0" w:noHBand="0" w:noVBand="1"/>
      </w:tblPr>
      <w:tblGrid>
        <w:gridCol w:w="859"/>
        <w:gridCol w:w="800"/>
        <w:gridCol w:w="857"/>
        <w:gridCol w:w="856"/>
        <w:gridCol w:w="856"/>
        <w:gridCol w:w="315"/>
        <w:gridCol w:w="974"/>
        <w:gridCol w:w="974"/>
        <w:gridCol w:w="315"/>
        <w:gridCol w:w="985"/>
        <w:gridCol w:w="985"/>
      </w:tblGrid>
      <w:tr w:rsidR="00755936" w:rsidRPr="00B4481B" w14:paraId="46E61995" w14:textId="77777777" w:rsidTr="00272AD6">
        <w:trPr>
          <w:trHeight w:val="212"/>
        </w:trPr>
        <w:tc>
          <w:tcPr>
            <w:tcW w:w="859"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028D1F1"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Option</w:t>
            </w:r>
          </w:p>
        </w:tc>
        <w:tc>
          <w:tcPr>
            <w:tcW w:w="1657" w:type="dxa"/>
            <w:gridSpan w:val="2"/>
            <w:tcBorders>
              <w:top w:val="single" w:sz="4" w:space="0" w:color="auto"/>
              <w:left w:val="nil"/>
              <w:bottom w:val="single" w:sz="4" w:space="0" w:color="auto"/>
              <w:right w:val="single" w:sz="4" w:space="0" w:color="auto"/>
            </w:tcBorders>
            <w:shd w:val="clear" w:color="000000" w:fill="DAEEF3"/>
            <w:vAlign w:val="center"/>
            <w:hideMark/>
          </w:tcPr>
          <w:p w14:paraId="190AF374"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FTC increase</w:t>
            </w:r>
          </w:p>
        </w:tc>
        <w:tc>
          <w:tcPr>
            <w:tcW w:w="1712" w:type="dxa"/>
            <w:gridSpan w:val="2"/>
            <w:tcBorders>
              <w:top w:val="single" w:sz="4" w:space="0" w:color="auto"/>
              <w:left w:val="nil"/>
              <w:bottom w:val="single" w:sz="4" w:space="0" w:color="auto"/>
              <w:right w:val="single" w:sz="4" w:space="0" w:color="auto"/>
            </w:tcBorders>
            <w:shd w:val="clear" w:color="000000" w:fill="DAEEF3"/>
            <w:vAlign w:val="center"/>
            <w:hideMark/>
          </w:tcPr>
          <w:p w14:paraId="542A6801" w14:textId="3792E93A"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Child</w:t>
            </w:r>
            <w:r w:rsidR="00B85D12">
              <w:rPr>
                <w:rFonts w:cs="Calibri"/>
                <w:b/>
                <w:bCs/>
                <w:color w:val="000000"/>
                <w:sz w:val="16"/>
                <w:szCs w:val="16"/>
              </w:rPr>
              <w:t>ren</w:t>
            </w:r>
            <w:r w:rsidRPr="00B4481B">
              <w:rPr>
                <w:rFonts w:cs="Calibri"/>
                <w:b/>
                <w:bCs/>
                <w:color w:val="000000"/>
                <w:sz w:val="16"/>
                <w:szCs w:val="16"/>
              </w:rPr>
              <w:t xml:space="preserve"> </w:t>
            </w:r>
            <w:r w:rsidR="00985AE2">
              <w:rPr>
                <w:rFonts w:cs="Calibri"/>
                <w:b/>
                <w:bCs/>
                <w:color w:val="000000"/>
                <w:sz w:val="16"/>
                <w:szCs w:val="16"/>
              </w:rPr>
              <w:t xml:space="preserve">lifted from </w:t>
            </w:r>
            <w:r w:rsidRPr="00B4481B">
              <w:rPr>
                <w:rFonts w:cs="Calibri"/>
                <w:b/>
                <w:bCs/>
                <w:color w:val="000000"/>
                <w:sz w:val="16"/>
                <w:szCs w:val="16"/>
              </w:rPr>
              <w:t xml:space="preserve">poverty </w:t>
            </w:r>
          </w:p>
        </w:tc>
        <w:tc>
          <w:tcPr>
            <w:tcW w:w="2263" w:type="dxa"/>
            <w:gridSpan w:val="3"/>
            <w:tcBorders>
              <w:top w:val="single" w:sz="4" w:space="0" w:color="auto"/>
              <w:left w:val="nil"/>
              <w:bottom w:val="single" w:sz="4" w:space="0" w:color="auto"/>
              <w:right w:val="single" w:sz="4" w:space="0" w:color="auto"/>
            </w:tcBorders>
            <w:shd w:val="clear" w:color="000000" w:fill="9BC2E6"/>
            <w:vAlign w:val="center"/>
            <w:hideMark/>
          </w:tcPr>
          <w:p w14:paraId="79E4D769"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Two tier abatement approach</w:t>
            </w:r>
          </w:p>
        </w:tc>
        <w:tc>
          <w:tcPr>
            <w:tcW w:w="2285" w:type="dxa"/>
            <w:gridSpan w:val="3"/>
            <w:tcBorders>
              <w:top w:val="single" w:sz="4" w:space="0" w:color="auto"/>
              <w:left w:val="nil"/>
              <w:bottom w:val="single" w:sz="4" w:space="0" w:color="auto"/>
              <w:right w:val="single" w:sz="4" w:space="0" w:color="auto"/>
            </w:tcBorders>
            <w:shd w:val="clear" w:color="000000" w:fill="C6E0B4"/>
            <w:vAlign w:val="center"/>
            <w:hideMark/>
          </w:tcPr>
          <w:p w14:paraId="5B28CA4F"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Single tier abatement approach</w:t>
            </w:r>
          </w:p>
        </w:tc>
      </w:tr>
      <w:tr w:rsidR="00755936" w:rsidRPr="00B4481B" w14:paraId="66E132BA" w14:textId="77777777" w:rsidTr="00272AD6">
        <w:trPr>
          <w:trHeight w:val="447"/>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04703DA7" w14:textId="77777777" w:rsidR="00755936" w:rsidRPr="00B4481B" w:rsidRDefault="00755936" w:rsidP="00272AD6">
            <w:pPr>
              <w:spacing w:after="0" w:line="240" w:lineRule="auto"/>
              <w:rPr>
                <w:rFonts w:cs="Calibri"/>
                <w:b/>
                <w:bCs/>
                <w:color w:val="000000"/>
                <w:sz w:val="16"/>
                <w:szCs w:val="16"/>
              </w:rPr>
            </w:pPr>
          </w:p>
        </w:tc>
        <w:tc>
          <w:tcPr>
            <w:tcW w:w="800" w:type="dxa"/>
            <w:tcBorders>
              <w:top w:val="nil"/>
              <w:left w:val="nil"/>
              <w:bottom w:val="single" w:sz="4" w:space="0" w:color="auto"/>
              <w:right w:val="single" w:sz="4" w:space="0" w:color="auto"/>
            </w:tcBorders>
            <w:shd w:val="clear" w:color="000000" w:fill="DAEEF3"/>
            <w:vAlign w:val="center"/>
            <w:hideMark/>
          </w:tcPr>
          <w:p w14:paraId="60F9DEF2" w14:textId="77777777" w:rsidR="00755936" w:rsidRPr="00BB386F" w:rsidRDefault="00755936" w:rsidP="00272AD6">
            <w:pPr>
              <w:spacing w:after="0" w:line="240" w:lineRule="auto"/>
              <w:jc w:val="center"/>
              <w:rPr>
                <w:rFonts w:cs="Calibri"/>
                <w:color w:val="000000"/>
                <w:sz w:val="14"/>
                <w:szCs w:val="14"/>
              </w:rPr>
            </w:pPr>
            <w:r w:rsidRPr="00BB386F">
              <w:rPr>
                <w:rFonts w:cs="Calibri"/>
                <w:color w:val="000000"/>
                <w:sz w:val="14"/>
                <w:szCs w:val="14"/>
              </w:rPr>
              <w:t>FTC increase above CPI</w:t>
            </w:r>
          </w:p>
        </w:tc>
        <w:tc>
          <w:tcPr>
            <w:tcW w:w="857" w:type="dxa"/>
            <w:tcBorders>
              <w:top w:val="nil"/>
              <w:left w:val="nil"/>
              <w:bottom w:val="single" w:sz="4" w:space="0" w:color="auto"/>
              <w:right w:val="single" w:sz="4" w:space="0" w:color="auto"/>
            </w:tcBorders>
            <w:shd w:val="clear" w:color="000000" w:fill="DAEEF3"/>
            <w:vAlign w:val="center"/>
            <w:hideMark/>
          </w:tcPr>
          <w:p w14:paraId="6CEADB5A" w14:textId="77777777" w:rsidR="00755936" w:rsidRDefault="00755936" w:rsidP="00272AD6">
            <w:pPr>
              <w:spacing w:after="0" w:line="240" w:lineRule="auto"/>
              <w:jc w:val="center"/>
              <w:rPr>
                <w:rFonts w:cs="Calibri"/>
                <w:color w:val="000000"/>
                <w:sz w:val="14"/>
                <w:szCs w:val="14"/>
              </w:rPr>
            </w:pPr>
            <w:r w:rsidRPr="00BB386F">
              <w:rPr>
                <w:rFonts w:cs="Calibri"/>
                <w:color w:val="000000"/>
                <w:sz w:val="14"/>
                <w:szCs w:val="14"/>
              </w:rPr>
              <w:t>FTC</w:t>
            </w:r>
            <w:r>
              <w:rPr>
                <w:rFonts w:cs="Calibri"/>
                <w:color w:val="000000"/>
                <w:sz w:val="14"/>
                <w:szCs w:val="14"/>
              </w:rPr>
              <w:t xml:space="preserve"> increase</w:t>
            </w:r>
            <w:r w:rsidRPr="00BB386F">
              <w:rPr>
                <w:rFonts w:cs="Calibri"/>
                <w:color w:val="000000"/>
                <w:sz w:val="14"/>
                <w:szCs w:val="14"/>
              </w:rPr>
              <w:t xml:space="preserve"> with CPI</w:t>
            </w:r>
          </w:p>
          <w:p w14:paraId="08EE0C0D" w14:textId="77777777" w:rsidR="00755936" w:rsidRPr="00BB386F" w:rsidRDefault="00755936" w:rsidP="00272AD6">
            <w:pPr>
              <w:spacing w:after="0" w:line="240" w:lineRule="auto"/>
              <w:jc w:val="center"/>
              <w:rPr>
                <w:rFonts w:cs="Calibri"/>
                <w:color w:val="000000"/>
                <w:sz w:val="14"/>
                <w:szCs w:val="14"/>
              </w:rPr>
            </w:pPr>
            <w:r>
              <w:rPr>
                <w:rFonts w:cs="Calibri"/>
                <w:color w:val="000000"/>
                <w:sz w:val="14"/>
                <w:szCs w:val="14"/>
              </w:rPr>
              <w:t>(eldest &amp; subs. child)</w:t>
            </w:r>
          </w:p>
        </w:tc>
        <w:tc>
          <w:tcPr>
            <w:tcW w:w="856" w:type="dxa"/>
            <w:tcBorders>
              <w:top w:val="nil"/>
              <w:left w:val="nil"/>
              <w:bottom w:val="single" w:sz="4" w:space="0" w:color="auto"/>
              <w:right w:val="single" w:sz="4" w:space="0" w:color="auto"/>
            </w:tcBorders>
            <w:shd w:val="clear" w:color="000000" w:fill="DAEEF3"/>
            <w:vAlign w:val="center"/>
            <w:hideMark/>
          </w:tcPr>
          <w:p w14:paraId="2F51080B" w14:textId="385CA3F8" w:rsidR="00755936" w:rsidRPr="00BB386F" w:rsidRDefault="00755936" w:rsidP="00272AD6">
            <w:pPr>
              <w:spacing w:after="0" w:line="240" w:lineRule="auto"/>
              <w:jc w:val="center"/>
              <w:rPr>
                <w:rFonts w:cs="Calibri"/>
                <w:color w:val="000000"/>
                <w:sz w:val="14"/>
                <w:szCs w:val="14"/>
              </w:rPr>
            </w:pPr>
            <w:r w:rsidRPr="00BB386F">
              <w:rPr>
                <w:rFonts w:cs="Calibri"/>
                <w:color w:val="000000"/>
                <w:sz w:val="14"/>
                <w:szCs w:val="14"/>
              </w:rPr>
              <w:t>BHC50</w:t>
            </w:r>
            <w:r w:rsidR="00F06C1C" w:rsidRPr="00791162">
              <w:rPr>
                <w:rStyle w:val="FootnoteReference"/>
                <w:rFonts w:cs="Calibri"/>
                <w:sz w:val="14"/>
                <w:szCs w:val="12"/>
              </w:rPr>
              <w:footnoteReference w:id="22"/>
            </w:r>
          </w:p>
        </w:tc>
        <w:tc>
          <w:tcPr>
            <w:tcW w:w="856" w:type="dxa"/>
            <w:tcBorders>
              <w:top w:val="nil"/>
              <w:left w:val="nil"/>
              <w:bottom w:val="single" w:sz="4" w:space="0" w:color="auto"/>
              <w:right w:val="single" w:sz="4" w:space="0" w:color="auto"/>
            </w:tcBorders>
            <w:shd w:val="clear" w:color="000000" w:fill="DAEEF3"/>
            <w:vAlign w:val="center"/>
            <w:hideMark/>
          </w:tcPr>
          <w:p w14:paraId="52AE661C" w14:textId="64EB467B" w:rsidR="00755936" w:rsidRPr="00BB386F" w:rsidRDefault="00755936" w:rsidP="00272AD6">
            <w:pPr>
              <w:spacing w:after="0" w:line="240" w:lineRule="auto"/>
              <w:jc w:val="center"/>
              <w:rPr>
                <w:rFonts w:cs="Calibri"/>
                <w:color w:val="000000"/>
                <w:sz w:val="14"/>
                <w:szCs w:val="14"/>
              </w:rPr>
            </w:pPr>
            <w:r w:rsidRPr="00BB386F">
              <w:rPr>
                <w:rFonts w:cs="Calibri"/>
                <w:color w:val="000000"/>
                <w:sz w:val="14"/>
                <w:szCs w:val="14"/>
              </w:rPr>
              <w:t>AHC50</w:t>
            </w:r>
            <w:r w:rsidR="00050FDE" w:rsidRPr="00791162">
              <w:rPr>
                <w:rStyle w:val="FootnoteReference"/>
                <w:rFonts w:cs="Calibri"/>
                <w:sz w:val="14"/>
                <w:szCs w:val="12"/>
              </w:rPr>
              <w:footnoteReference w:id="23"/>
            </w:r>
          </w:p>
        </w:tc>
        <w:tc>
          <w:tcPr>
            <w:tcW w:w="315" w:type="dxa"/>
            <w:tcBorders>
              <w:top w:val="nil"/>
              <w:left w:val="nil"/>
              <w:bottom w:val="single" w:sz="4" w:space="0" w:color="auto"/>
              <w:right w:val="single" w:sz="4" w:space="0" w:color="auto"/>
            </w:tcBorders>
            <w:shd w:val="clear" w:color="000000" w:fill="9BC2E6"/>
            <w:vAlign w:val="center"/>
            <w:hideMark/>
          </w:tcPr>
          <w:p w14:paraId="07903164" w14:textId="77777777" w:rsidR="00755936" w:rsidRPr="00BB386F" w:rsidRDefault="00755936" w:rsidP="00272AD6">
            <w:pPr>
              <w:spacing w:after="0" w:line="240" w:lineRule="auto"/>
              <w:jc w:val="center"/>
              <w:rPr>
                <w:rFonts w:ascii="Calibri" w:hAnsi="Calibri" w:cs="Calibri"/>
                <w:color w:val="000000"/>
                <w:sz w:val="14"/>
                <w:szCs w:val="14"/>
              </w:rPr>
            </w:pPr>
            <w:r w:rsidRPr="00BB386F">
              <w:rPr>
                <w:rFonts w:ascii="Calibri" w:hAnsi="Calibri" w:cs="Calibri"/>
                <w:color w:val="000000"/>
                <w:sz w:val="14"/>
                <w:szCs w:val="14"/>
              </w:rPr>
              <w:t> </w:t>
            </w:r>
          </w:p>
        </w:tc>
        <w:tc>
          <w:tcPr>
            <w:tcW w:w="974" w:type="dxa"/>
            <w:tcBorders>
              <w:top w:val="nil"/>
              <w:left w:val="nil"/>
              <w:bottom w:val="single" w:sz="4" w:space="0" w:color="auto"/>
              <w:right w:val="single" w:sz="4" w:space="0" w:color="auto"/>
            </w:tcBorders>
            <w:shd w:val="clear" w:color="000000" w:fill="9BC2E6"/>
            <w:vAlign w:val="center"/>
            <w:hideMark/>
          </w:tcPr>
          <w:p w14:paraId="41C38E6A" w14:textId="071FD711" w:rsidR="00755936" w:rsidRPr="00BB386F" w:rsidRDefault="00755936" w:rsidP="00272AD6">
            <w:pPr>
              <w:spacing w:after="0" w:line="240" w:lineRule="auto"/>
              <w:jc w:val="center"/>
              <w:rPr>
                <w:rFonts w:cs="Calibri"/>
                <w:color w:val="000000"/>
                <w:sz w:val="14"/>
                <w:szCs w:val="14"/>
              </w:rPr>
            </w:pPr>
            <w:r w:rsidRPr="00BB386F">
              <w:rPr>
                <w:rFonts w:cs="Calibri"/>
                <w:color w:val="000000"/>
                <w:sz w:val="14"/>
                <w:szCs w:val="14"/>
              </w:rPr>
              <w:t xml:space="preserve">Second abatement </w:t>
            </w:r>
            <w:r w:rsidR="00985AE2">
              <w:rPr>
                <w:rFonts w:cs="Calibri"/>
                <w:color w:val="000000"/>
                <w:sz w:val="14"/>
                <w:szCs w:val="14"/>
              </w:rPr>
              <w:t>t</w:t>
            </w:r>
            <w:r w:rsidRPr="00BB386F">
              <w:rPr>
                <w:rFonts w:cs="Calibri"/>
                <w:color w:val="000000"/>
                <w:sz w:val="14"/>
                <w:szCs w:val="14"/>
              </w:rPr>
              <w:t>hreshold</w:t>
            </w:r>
          </w:p>
        </w:tc>
        <w:tc>
          <w:tcPr>
            <w:tcW w:w="974" w:type="dxa"/>
            <w:tcBorders>
              <w:top w:val="nil"/>
              <w:left w:val="nil"/>
              <w:bottom w:val="single" w:sz="4" w:space="0" w:color="auto"/>
              <w:right w:val="single" w:sz="4" w:space="0" w:color="auto"/>
            </w:tcBorders>
            <w:shd w:val="clear" w:color="000000" w:fill="9BC2E6"/>
            <w:vAlign w:val="center"/>
            <w:hideMark/>
          </w:tcPr>
          <w:p w14:paraId="063B3E1F" w14:textId="77777777" w:rsidR="00755936" w:rsidRPr="00BB386F" w:rsidRDefault="00755936" w:rsidP="00272AD6">
            <w:pPr>
              <w:spacing w:after="0" w:line="240" w:lineRule="auto"/>
              <w:jc w:val="center"/>
              <w:rPr>
                <w:rFonts w:cs="Calibri"/>
                <w:color w:val="000000"/>
                <w:sz w:val="14"/>
                <w:szCs w:val="14"/>
              </w:rPr>
            </w:pPr>
            <w:r w:rsidRPr="00BB386F">
              <w:rPr>
                <w:rFonts w:cs="Calibri"/>
                <w:color w:val="000000"/>
                <w:sz w:val="14"/>
                <w:szCs w:val="14"/>
              </w:rPr>
              <w:t>Second abatement rate</w:t>
            </w:r>
          </w:p>
        </w:tc>
        <w:tc>
          <w:tcPr>
            <w:tcW w:w="315" w:type="dxa"/>
            <w:tcBorders>
              <w:top w:val="nil"/>
              <w:left w:val="nil"/>
              <w:bottom w:val="single" w:sz="4" w:space="0" w:color="auto"/>
              <w:right w:val="single" w:sz="4" w:space="0" w:color="auto"/>
            </w:tcBorders>
            <w:shd w:val="clear" w:color="000000" w:fill="C6E0B4"/>
            <w:vAlign w:val="center"/>
            <w:hideMark/>
          </w:tcPr>
          <w:p w14:paraId="29CAD4EC" w14:textId="77777777" w:rsidR="00755936" w:rsidRPr="00BB386F" w:rsidRDefault="00755936" w:rsidP="00272AD6">
            <w:pPr>
              <w:spacing w:after="0" w:line="240" w:lineRule="auto"/>
              <w:jc w:val="center"/>
              <w:rPr>
                <w:rFonts w:ascii="Calibri" w:hAnsi="Calibri" w:cs="Calibri"/>
                <w:color w:val="000000"/>
                <w:sz w:val="14"/>
                <w:szCs w:val="14"/>
              </w:rPr>
            </w:pPr>
            <w:r w:rsidRPr="00BB386F">
              <w:rPr>
                <w:rFonts w:ascii="Calibri" w:hAnsi="Calibri" w:cs="Calibri"/>
                <w:color w:val="000000"/>
                <w:sz w:val="14"/>
                <w:szCs w:val="14"/>
              </w:rPr>
              <w:t> </w:t>
            </w:r>
          </w:p>
        </w:tc>
        <w:tc>
          <w:tcPr>
            <w:tcW w:w="985" w:type="dxa"/>
            <w:tcBorders>
              <w:top w:val="nil"/>
              <w:left w:val="nil"/>
              <w:bottom w:val="single" w:sz="4" w:space="0" w:color="auto"/>
              <w:right w:val="single" w:sz="4" w:space="0" w:color="auto"/>
            </w:tcBorders>
            <w:shd w:val="clear" w:color="000000" w:fill="C6E0B4"/>
            <w:vAlign w:val="center"/>
            <w:hideMark/>
          </w:tcPr>
          <w:p w14:paraId="65573B46" w14:textId="77777777" w:rsidR="00755936" w:rsidRPr="00BB386F" w:rsidRDefault="00755936" w:rsidP="00272AD6">
            <w:pPr>
              <w:spacing w:after="0" w:line="240" w:lineRule="auto"/>
              <w:jc w:val="center"/>
              <w:rPr>
                <w:rFonts w:cs="Calibri"/>
                <w:color w:val="000000"/>
                <w:sz w:val="14"/>
                <w:szCs w:val="14"/>
              </w:rPr>
            </w:pPr>
            <w:r w:rsidRPr="00BB386F">
              <w:rPr>
                <w:rFonts w:cs="Calibri"/>
                <w:color w:val="000000"/>
                <w:sz w:val="14"/>
                <w:szCs w:val="14"/>
              </w:rPr>
              <w:t>Abatement threshold</w:t>
            </w:r>
          </w:p>
        </w:tc>
        <w:tc>
          <w:tcPr>
            <w:tcW w:w="985" w:type="dxa"/>
            <w:tcBorders>
              <w:top w:val="nil"/>
              <w:left w:val="nil"/>
              <w:bottom w:val="single" w:sz="4" w:space="0" w:color="auto"/>
              <w:right w:val="single" w:sz="4" w:space="0" w:color="auto"/>
            </w:tcBorders>
            <w:shd w:val="clear" w:color="000000" w:fill="C6E0B4"/>
            <w:vAlign w:val="center"/>
            <w:hideMark/>
          </w:tcPr>
          <w:p w14:paraId="5E89C897" w14:textId="77777777" w:rsidR="00755936" w:rsidRPr="00BB386F" w:rsidRDefault="00755936" w:rsidP="00272AD6">
            <w:pPr>
              <w:spacing w:after="0" w:line="240" w:lineRule="auto"/>
              <w:jc w:val="center"/>
              <w:rPr>
                <w:rFonts w:cs="Calibri"/>
                <w:color w:val="000000"/>
                <w:sz w:val="14"/>
                <w:szCs w:val="14"/>
              </w:rPr>
            </w:pPr>
            <w:r w:rsidRPr="00BB386F">
              <w:rPr>
                <w:rFonts w:cs="Calibri"/>
                <w:color w:val="000000"/>
                <w:sz w:val="14"/>
                <w:szCs w:val="14"/>
              </w:rPr>
              <w:t>Abatement rate</w:t>
            </w:r>
          </w:p>
        </w:tc>
      </w:tr>
      <w:tr w:rsidR="00755936" w:rsidRPr="00B4481B" w14:paraId="4152E55F" w14:textId="77777777" w:rsidTr="00272AD6">
        <w:trPr>
          <w:trHeight w:val="212"/>
        </w:trPr>
        <w:tc>
          <w:tcPr>
            <w:tcW w:w="859" w:type="dxa"/>
            <w:vMerge w:val="restart"/>
            <w:tcBorders>
              <w:top w:val="nil"/>
              <w:left w:val="single" w:sz="4" w:space="0" w:color="auto"/>
              <w:right w:val="single" w:sz="4" w:space="0" w:color="auto"/>
            </w:tcBorders>
            <w:shd w:val="clear" w:color="auto" w:fill="auto"/>
            <w:vAlign w:val="center"/>
            <w:hideMark/>
          </w:tcPr>
          <w:p w14:paraId="6863FCA8"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Lowest cost ($60-90m)</w:t>
            </w:r>
          </w:p>
        </w:tc>
        <w:tc>
          <w:tcPr>
            <w:tcW w:w="800" w:type="dxa"/>
            <w:vMerge w:val="restart"/>
            <w:tcBorders>
              <w:top w:val="nil"/>
              <w:left w:val="single" w:sz="4" w:space="0" w:color="auto"/>
              <w:right w:val="single" w:sz="4" w:space="0" w:color="auto"/>
            </w:tcBorders>
            <w:shd w:val="clear" w:color="auto" w:fill="auto"/>
            <w:vAlign w:val="center"/>
            <w:hideMark/>
          </w:tcPr>
          <w:p w14:paraId="5EE0B93B"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$5</w:t>
            </w:r>
          </w:p>
        </w:tc>
        <w:tc>
          <w:tcPr>
            <w:tcW w:w="857" w:type="dxa"/>
            <w:vMerge w:val="restart"/>
            <w:tcBorders>
              <w:top w:val="nil"/>
              <w:left w:val="single" w:sz="4" w:space="0" w:color="auto"/>
              <w:right w:val="single" w:sz="4" w:space="0" w:color="auto"/>
            </w:tcBorders>
            <w:shd w:val="clear" w:color="auto" w:fill="auto"/>
            <w:vAlign w:val="center"/>
            <w:hideMark/>
          </w:tcPr>
          <w:p w14:paraId="6E2F0477"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$11.7</w:t>
            </w:r>
            <w:r>
              <w:rPr>
                <w:rFonts w:cs="Calibri"/>
                <w:color w:val="000000"/>
                <w:sz w:val="16"/>
                <w:szCs w:val="16"/>
              </w:rPr>
              <w:t>1</w:t>
            </w:r>
            <w:r w:rsidRPr="00B4481B">
              <w:rPr>
                <w:rFonts w:cs="Calibri"/>
                <w:color w:val="000000"/>
                <w:sz w:val="16"/>
                <w:szCs w:val="16"/>
              </w:rPr>
              <w:t xml:space="preserve"> and $10.4</w:t>
            </w:r>
            <w:r>
              <w:rPr>
                <w:rFonts w:cs="Calibri"/>
                <w:color w:val="000000"/>
                <w:sz w:val="16"/>
                <w:szCs w:val="16"/>
              </w:rPr>
              <w:t>2</w:t>
            </w:r>
          </w:p>
        </w:tc>
        <w:tc>
          <w:tcPr>
            <w:tcW w:w="856" w:type="dxa"/>
            <w:vMerge w:val="restart"/>
            <w:tcBorders>
              <w:top w:val="nil"/>
              <w:left w:val="single" w:sz="4" w:space="0" w:color="auto"/>
              <w:right w:val="single" w:sz="4" w:space="0" w:color="auto"/>
            </w:tcBorders>
            <w:shd w:val="clear" w:color="auto" w:fill="auto"/>
            <w:vAlign w:val="center"/>
            <w:hideMark/>
          </w:tcPr>
          <w:p w14:paraId="1CCB48FC"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5,000</w:t>
            </w:r>
          </w:p>
        </w:tc>
        <w:tc>
          <w:tcPr>
            <w:tcW w:w="856" w:type="dxa"/>
            <w:vMerge w:val="restart"/>
            <w:tcBorders>
              <w:top w:val="nil"/>
              <w:left w:val="single" w:sz="4" w:space="0" w:color="auto"/>
              <w:right w:val="single" w:sz="4" w:space="0" w:color="auto"/>
            </w:tcBorders>
            <w:shd w:val="clear" w:color="auto" w:fill="auto"/>
            <w:vAlign w:val="center"/>
            <w:hideMark/>
          </w:tcPr>
          <w:p w14:paraId="3DBBB9D9"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7,000-8,000</w:t>
            </w:r>
          </w:p>
        </w:tc>
        <w:tc>
          <w:tcPr>
            <w:tcW w:w="315" w:type="dxa"/>
            <w:vMerge w:val="restart"/>
            <w:tcBorders>
              <w:top w:val="nil"/>
              <w:left w:val="nil"/>
              <w:right w:val="single" w:sz="4" w:space="0" w:color="auto"/>
            </w:tcBorders>
            <w:shd w:val="clear" w:color="auto" w:fill="auto"/>
            <w:vAlign w:val="center"/>
            <w:hideMark/>
          </w:tcPr>
          <w:p w14:paraId="65D58C8D" w14:textId="77777777" w:rsidR="00755936" w:rsidRPr="00B4481B" w:rsidRDefault="00755936" w:rsidP="00272AD6">
            <w:pPr>
              <w:spacing w:after="0" w:line="240" w:lineRule="auto"/>
              <w:jc w:val="center"/>
              <w:rPr>
                <w:rFonts w:ascii="Calibri" w:hAnsi="Calibri" w:cs="Calibri"/>
                <w:color w:val="000000"/>
                <w:sz w:val="16"/>
                <w:szCs w:val="16"/>
              </w:rPr>
            </w:pPr>
            <w:r w:rsidRPr="00B4481B">
              <w:rPr>
                <w:rFonts w:ascii="Calibri" w:hAnsi="Calibri" w:cs="Calibri"/>
                <w:color w:val="000000"/>
                <w:sz w:val="16"/>
                <w:szCs w:val="16"/>
              </w:rPr>
              <w:t>A</w:t>
            </w:r>
          </w:p>
        </w:tc>
        <w:tc>
          <w:tcPr>
            <w:tcW w:w="974" w:type="dxa"/>
            <w:tcBorders>
              <w:top w:val="nil"/>
              <w:left w:val="nil"/>
              <w:bottom w:val="single" w:sz="4" w:space="0" w:color="auto"/>
              <w:right w:val="single" w:sz="4" w:space="0" w:color="auto"/>
            </w:tcBorders>
            <w:shd w:val="clear" w:color="auto" w:fill="auto"/>
            <w:vAlign w:val="center"/>
            <w:hideMark/>
          </w:tcPr>
          <w:p w14:paraId="4C7DEB71"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$60,000</w:t>
            </w:r>
          </w:p>
        </w:tc>
        <w:tc>
          <w:tcPr>
            <w:tcW w:w="974" w:type="dxa"/>
            <w:tcBorders>
              <w:top w:val="nil"/>
              <w:left w:val="nil"/>
              <w:bottom w:val="single" w:sz="4" w:space="0" w:color="auto"/>
              <w:right w:val="single" w:sz="4" w:space="0" w:color="auto"/>
            </w:tcBorders>
            <w:shd w:val="clear" w:color="auto" w:fill="auto"/>
            <w:vAlign w:val="center"/>
            <w:hideMark/>
          </w:tcPr>
          <w:p w14:paraId="15BE2F50"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c>
          <w:tcPr>
            <w:tcW w:w="315" w:type="dxa"/>
            <w:vMerge w:val="restart"/>
            <w:tcBorders>
              <w:top w:val="nil"/>
              <w:left w:val="nil"/>
              <w:right w:val="single" w:sz="4" w:space="0" w:color="auto"/>
            </w:tcBorders>
            <w:shd w:val="clear" w:color="auto" w:fill="auto"/>
            <w:vAlign w:val="center"/>
            <w:hideMark/>
          </w:tcPr>
          <w:p w14:paraId="3C29BAB2" w14:textId="77777777" w:rsidR="00755936" w:rsidRPr="00B4481B" w:rsidRDefault="00755936" w:rsidP="00272AD6">
            <w:pPr>
              <w:spacing w:after="0" w:line="240" w:lineRule="auto"/>
              <w:jc w:val="center"/>
              <w:rPr>
                <w:rFonts w:ascii="Calibri" w:hAnsi="Calibri" w:cs="Calibri"/>
                <w:color w:val="000000"/>
                <w:sz w:val="16"/>
                <w:szCs w:val="16"/>
              </w:rPr>
            </w:pPr>
            <w:r>
              <w:rPr>
                <w:rFonts w:ascii="Calibri" w:hAnsi="Calibri" w:cs="Calibri"/>
                <w:color w:val="000000"/>
                <w:sz w:val="16"/>
                <w:szCs w:val="16"/>
              </w:rPr>
              <w:t>C</w:t>
            </w:r>
          </w:p>
        </w:tc>
        <w:tc>
          <w:tcPr>
            <w:tcW w:w="985" w:type="dxa"/>
            <w:tcBorders>
              <w:top w:val="nil"/>
              <w:left w:val="nil"/>
              <w:bottom w:val="single" w:sz="4" w:space="0" w:color="auto"/>
              <w:right w:val="single" w:sz="4" w:space="0" w:color="auto"/>
            </w:tcBorders>
            <w:shd w:val="clear" w:color="auto" w:fill="auto"/>
            <w:vAlign w:val="center"/>
            <w:hideMark/>
          </w:tcPr>
          <w:p w14:paraId="27EC2611"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$42,700</w:t>
            </w:r>
          </w:p>
        </w:tc>
        <w:tc>
          <w:tcPr>
            <w:tcW w:w="985" w:type="dxa"/>
            <w:tcBorders>
              <w:top w:val="nil"/>
              <w:left w:val="nil"/>
              <w:bottom w:val="single" w:sz="4" w:space="0" w:color="auto"/>
              <w:right w:val="single" w:sz="4" w:space="0" w:color="auto"/>
            </w:tcBorders>
            <w:shd w:val="clear" w:color="auto" w:fill="auto"/>
            <w:vAlign w:val="center"/>
            <w:hideMark/>
          </w:tcPr>
          <w:p w14:paraId="297D2721"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27%</w:t>
            </w:r>
          </w:p>
        </w:tc>
      </w:tr>
      <w:tr w:rsidR="00755936" w:rsidRPr="00B4481B" w14:paraId="3512AB7D" w14:textId="77777777" w:rsidTr="00272AD6">
        <w:trPr>
          <w:trHeight w:val="212"/>
        </w:trPr>
        <w:tc>
          <w:tcPr>
            <w:tcW w:w="859" w:type="dxa"/>
            <w:vMerge/>
            <w:tcBorders>
              <w:left w:val="single" w:sz="4" w:space="0" w:color="auto"/>
              <w:right w:val="single" w:sz="4" w:space="0" w:color="auto"/>
            </w:tcBorders>
            <w:vAlign w:val="center"/>
            <w:hideMark/>
          </w:tcPr>
          <w:p w14:paraId="243632D3" w14:textId="77777777" w:rsidR="00755936" w:rsidRPr="00B4481B" w:rsidRDefault="00755936" w:rsidP="00272AD6">
            <w:pPr>
              <w:spacing w:after="0" w:line="240" w:lineRule="auto"/>
              <w:rPr>
                <w:rFonts w:cs="Calibri"/>
                <w:b/>
                <w:bCs/>
                <w:color w:val="000000"/>
                <w:sz w:val="16"/>
                <w:szCs w:val="16"/>
              </w:rPr>
            </w:pPr>
          </w:p>
        </w:tc>
        <w:tc>
          <w:tcPr>
            <w:tcW w:w="800" w:type="dxa"/>
            <w:vMerge/>
            <w:tcBorders>
              <w:left w:val="single" w:sz="4" w:space="0" w:color="auto"/>
              <w:right w:val="single" w:sz="4" w:space="0" w:color="auto"/>
            </w:tcBorders>
            <w:vAlign w:val="center"/>
            <w:hideMark/>
          </w:tcPr>
          <w:p w14:paraId="4E487CCD" w14:textId="77777777" w:rsidR="00755936" w:rsidRPr="00B4481B" w:rsidRDefault="00755936" w:rsidP="00272AD6">
            <w:pPr>
              <w:spacing w:after="0" w:line="240" w:lineRule="auto"/>
              <w:rPr>
                <w:rFonts w:cs="Calibri"/>
                <w:color w:val="000000"/>
                <w:sz w:val="16"/>
                <w:szCs w:val="16"/>
              </w:rPr>
            </w:pPr>
          </w:p>
        </w:tc>
        <w:tc>
          <w:tcPr>
            <w:tcW w:w="857" w:type="dxa"/>
            <w:vMerge/>
            <w:tcBorders>
              <w:left w:val="single" w:sz="4" w:space="0" w:color="auto"/>
              <w:right w:val="single" w:sz="4" w:space="0" w:color="auto"/>
            </w:tcBorders>
            <w:vAlign w:val="center"/>
            <w:hideMark/>
          </w:tcPr>
          <w:p w14:paraId="4DE8AE7F"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727B18CC"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77734211"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hideMark/>
          </w:tcPr>
          <w:p w14:paraId="1BBA7F0A"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hideMark/>
          </w:tcPr>
          <w:p w14:paraId="5CA855A8"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$65,000</w:t>
            </w:r>
          </w:p>
        </w:tc>
        <w:tc>
          <w:tcPr>
            <w:tcW w:w="974" w:type="dxa"/>
            <w:tcBorders>
              <w:top w:val="nil"/>
              <w:left w:val="nil"/>
              <w:bottom w:val="single" w:sz="4" w:space="0" w:color="auto"/>
              <w:right w:val="single" w:sz="4" w:space="0" w:color="auto"/>
            </w:tcBorders>
            <w:shd w:val="clear" w:color="auto" w:fill="auto"/>
            <w:vAlign w:val="center"/>
            <w:hideMark/>
          </w:tcPr>
          <w:p w14:paraId="40EB029F"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31%</w:t>
            </w:r>
          </w:p>
        </w:tc>
        <w:tc>
          <w:tcPr>
            <w:tcW w:w="315" w:type="dxa"/>
            <w:vMerge/>
            <w:tcBorders>
              <w:left w:val="nil"/>
              <w:bottom w:val="single" w:sz="4" w:space="0" w:color="auto"/>
              <w:right w:val="single" w:sz="4" w:space="0" w:color="auto"/>
            </w:tcBorders>
            <w:shd w:val="clear" w:color="auto" w:fill="auto"/>
            <w:vAlign w:val="center"/>
            <w:hideMark/>
          </w:tcPr>
          <w:p w14:paraId="12D05984" w14:textId="77777777" w:rsidR="00755936" w:rsidRPr="00B4481B" w:rsidRDefault="00755936" w:rsidP="00272AD6">
            <w:pPr>
              <w:spacing w:after="0" w:line="240" w:lineRule="auto"/>
              <w:jc w:val="center"/>
              <w:rPr>
                <w:rFonts w:ascii="Calibri" w:hAnsi="Calibri" w:cs="Calibri"/>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hideMark/>
          </w:tcPr>
          <w:p w14:paraId="5E06E8EE"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$45,200</w:t>
            </w:r>
          </w:p>
        </w:tc>
        <w:tc>
          <w:tcPr>
            <w:tcW w:w="985" w:type="dxa"/>
            <w:tcBorders>
              <w:top w:val="nil"/>
              <w:left w:val="nil"/>
              <w:bottom w:val="single" w:sz="4" w:space="0" w:color="auto"/>
              <w:right w:val="single" w:sz="4" w:space="0" w:color="auto"/>
            </w:tcBorders>
            <w:shd w:val="clear" w:color="auto" w:fill="auto"/>
            <w:vAlign w:val="center"/>
            <w:hideMark/>
          </w:tcPr>
          <w:p w14:paraId="4A22D358"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r>
      <w:tr w:rsidR="00755936" w:rsidRPr="00B4481B" w14:paraId="73CC9D4D" w14:textId="77777777" w:rsidTr="00272AD6">
        <w:trPr>
          <w:trHeight w:val="212"/>
        </w:trPr>
        <w:tc>
          <w:tcPr>
            <w:tcW w:w="859" w:type="dxa"/>
            <w:vMerge/>
            <w:tcBorders>
              <w:left w:val="single" w:sz="4" w:space="0" w:color="auto"/>
              <w:right w:val="single" w:sz="4" w:space="0" w:color="auto"/>
            </w:tcBorders>
            <w:vAlign w:val="center"/>
            <w:hideMark/>
          </w:tcPr>
          <w:p w14:paraId="2849B00E" w14:textId="77777777" w:rsidR="00755936" w:rsidRPr="00B4481B" w:rsidRDefault="00755936" w:rsidP="00272AD6">
            <w:pPr>
              <w:spacing w:after="0" w:line="240" w:lineRule="auto"/>
              <w:rPr>
                <w:rFonts w:cs="Calibri"/>
                <w:b/>
                <w:bCs/>
                <w:color w:val="000000"/>
                <w:sz w:val="16"/>
                <w:szCs w:val="16"/>
              </w:rPr>
            </w:pPr>
          </w:p>
        </w:tc>
        <w:tc>
          <w:tcPr>
            <w:tcW w:w="800" w:type="dxa"/>
            <w:vMerge/>
            <w:tcBorders>
              <w:left w:val="single" w:sz="4" w:space="0" w:color="auto"/>
              <w:right w:val="single" w:sz="4" w:space="0" w:color="auto"/>
            </w:tcBorders>
            <w:vAlign w:val="center"/>
            <w:hideMark/>
          </w:tcPr>
          <w:p w14:paraId="2DF3D42A" w14:textId="77777777" w:rsidR="00755936" w:rsidRPr="00B4481B" w:rsidRDefault="00755936" w:rsidP="00272AD6">
            <w:pPr>
              <w:spacing w:after="0" w:line="240" w:lineRule="auto"/>
              <w:rPr>
                <w:rFonts w:cs="Calibri"/>
                <w:color w:val="000000"/>
                <w:sz w:val="16"/>
                <w:szCs w:val="16"/>
              </w:rPr>
            </w:pPr>
          </w:p>
        </w:tc>
        <w:tc>
          <w:tcPr>
            <w:tcW w:w="857" w:type="dxa"/>
            <w:vMerge/>
            <w:tcBorders>
              <w:left w:val="single" w:sz="4" w:space="0" w:color="auto"/>
              <w:right w:val="single" w:sz="4" w:space="0" w:color="auto"/>
            </w:tcBorders>
            <w:vAlign w:val="center"/>
            <w:hideMark/>
          </w:tcPr>
          <w:p w14:paraId="7E1F293E"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0C7E3580"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60D71A48" w14:textId="77777777" w:rsidR="00755936" w:rsidRPr="00B4481B" w:rsidRDefault="00755936" w:rsidP="00272AD6">
            <w:pPr>
              <w:spacing w:after="0" w:line="240" w:lineRule="auto"/>
              <w:rPr>
                <w:rFonts w:cs="Calibri"/>
                <w:color w:val="000000"/>
                <w:sz w:val="16"/>
                <w:szCs w:val="16"/>
              </w:rPr>
            </w:pPr>
          </w:p>
        </w:tc>
        <w:tc>
          <w:tcPr>
            <w:tcW w:w="315" w:type="dxa"/>
            <w:vMerge w:val="restart"/>
            <w:tcBorders>
              <w:top w:val="single" w:sz="4" w:space="0" w:color="auto"/>
              <w:left w:val="nil"/>
              <w:right w:val="single" w:sz="4" w:space="0" w:color="auto"/>
            </w:tcBorders>
            <w:shd w:val="clear" w:color="auto" w:fill="auto"/>
            <w:vAlign w:val="center"/>
            <w:hideMark/>
          </w:tcPr>
          <w:p w14:paraId="3718317F" w14:textId="77777777" w:rsidR="00755936" w:rsidRPr="00B4481B" w:rsidRDefault="00755936" w:rsidP="00272AD6">
            <w:pPr>
              <w:spacing w:after="0" w:line="240" w:lineRule="auto"/>
              <w:rPr>
                <w:rFonts w:ascii="Calibri" w:hAnsi="Calibri" w:cs="Calibri"/>
                <w:color w:val="000000"/>
                <w:sz w:val="16"/>
                <w:szCs w:val="16"/>
              </w:rPr>
            </w:pPr>
            <w:r>
              <w:rPr>
                <w:rFonts w:ascii="Calibri" w:hAnsi="Calibri" w:cs="Calibri"/>
                <w:color w:val="000000"/>
                <w:sz w:val="16"/>
                <w:szCs w:val="16"/>
              </w:rPr>
              <w:t>B</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362F99D9"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w:t>
            </w:r>
            <w:r>
              <w:rPr>
                <w:rFonts w:cs="Calibri"/>
                <w:color w:val="000000"/>
                <w:sz w:val="16"/>
                <w:szCs w:val="16"/>
              </w:rPr>
              <w:t>75</w:t>
            </w:r>
            <w:r w:rsidRPr="00B4481B">
              <w:rPr>
                <w:rFonts w:cs="Calibri"/>
                <w:color w:val="000000"/>
                <w:sz w:val="16"/>
                <w:szCs w:val="16"/>
              </w:rPr>
              <w:t>,000</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5B2DE2F6"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w:t>
            </w:r>
            <w:r>
              <w:rPr>
                <w:rFonts w:cs="Calibri"/>
                <w:color w:val="000000"/>
                <w:sz w:val="16"/>
                <w:szCs w:val="16"/>
              </w:rPr>
              <w:t>3</w:t>
            </w:r>
            <w:r w:rsidRPr="00B4481B">
              <w:rPr>
                <w:rFonts w:cs="Calibri"/>
                <w:color w:val="000000"/>
                <w:sz w:val="16"/>
                <w:szCs w:val="16"/>
              </w:rPr>
              <w:t>%</w:t>
            </w:r>
          </w:p>
        </w:tc>
        <w:tc>
          <w:tcPr>
            <w:tcW w:w="2285" w:type="dxa"/>
            <w:gridSpan w:val="3"/>
            <w:vMerge w:val="restart"/>
            <w:tcBorders>
              <w:top w:val="nil"/>
              <w:left w:val="nil"/>
              <w:right w:val="single" w:sz="4" w:space="0" w:color="auto"/>
            </w:tcBorders>
            <w:shd w:val="clear" w:color="auto" w:fill="FFFFFF" w:themeFill="background1"/>
            <w:vAlign w:val="center"/>
            <w:hideMark/>
          </w:tcPr>
          <w:p w14:paraId="0A68DC00" w14:textId="77777777" w:rsidR="00755936" w:rsidRPr="00B4481B" w:rsidRDefault="00755936" w:rsidP="00272AD6">
            <w:pPr>
              <w:spacing w:after="0" w:line="240" w:lineRule="auto"/>
              <w:rPr>
                <w:rFonts w:cs="Calibri"/>
                <w:color w:val="000000"/>
                <w:sz w:val="16"/>
                <w:szCs w:val="16"/>
              </w:rPr>
            </w:pPr>
          </w:p>
        </w:tc>
      </w:tr>
      <w:tr w:rsidR="00755936" w:rsidRPr="00B4481B" w14:paraId="24ED527F" w14:textId="77777777" w:rsidTr="00272AD6">
        <w:trPr>
          <w:trHeight w:val="146"/>
        </w:trPr>
        <w:tc>
          <w:tcPr>
            <w:tcW w:w="859" w:type="dxa"/>
            <w:vMerge/>
            <w:tcBorders>
              <w:left w:val="single" w:sz="4" w:space="0" w:color="auto"/>
              <w:bottom w:val="single" w:sz="4" w:space="0" w:color="auto"/>
              <w:right w:val="single" w:sz="4" w:space="0" w:color="auto"/>
            </w:tcBorders>
            <w:vAlign w:val="center"/>
          </w:tcPr>
          <w:p w14:paraId="0BBB80BF" w14:textId="77777777" w:rsidR="00755936" w:rsidRPr="00B4481B" w:rsidRDefault="00755936" w:rsidP="00272AD6">
            <w:pPr>
              <w:spacing w:after="0" w:line="240" w:lineRule="auto"/>
              <w:rPr>
                <w:rFonts w:cs="Calibri"/>
                <w:b/>
                <w:bCs/>
                <w:color w:val="000000"/>
                <w:sz w:val="16"/>
                <w:szCs w:val="16"/>
              </w:rPr>
            </w:pPr>
          </w:p>
        </w:tc>
        <w:tc>
          <w:tcPr>
            <w:tcW w:w="800" w:type="dxa"/>
            <w:vMerge/>
            <w:tcBorders>
              <w:left w:val="single" w:sz="4" w:space="0" w:color="auto"/>
              <w:bottom w:val="single" w:sz="4" w:space="0" w:color="auto"/>
              <w:right w:val="single" w:sz="4" w:space="0" w:color="auto"/>
            </w:tcBorders>
            <w:vAlign w:val="center"/>
          </w:tcPr>
          <w:p w14:paraId="3346D6E9" w14:textId="77777777" w:rsidR="00755936" w:rsidRPr="00B4481B" w:rsidRDefault="00755936" w:rsidP="00272AD6">
            <w:pPr>
              <w:spacing w:after="0" w:line="240" w:lineRule="auto"/>
              <w:rPr>
                <w:rFonts w:cs="Calibri"/>
                <w:color w:val="000000"/>
                <w:sz w:val="16"/>
                <w:szCs w:val="16"/>
              </w:rPr>
            </w:pPr>
          </w:p>
        </w:tc>
        <w:tc>
          <w:tcPr>
            <w:tcW w:w="857" w:type="dxa"/>
            <w:vMerge/>
            <w:tcBorders>
              <w:left w:val="single" w:sz="4" w:space="0" w:color="auto"/>
              <w:bottom w:val="single" w:sz="4" w:space="0" w:color="auto"/>
              <w:right w:val="single" w:sz="4" w:space="0" w:color="auto"/>
            </w:tcBorders>
            <w:vAlign w:val="center"/>
          </w:tcPr>
          <w:p w14:paraId="3FAF72F9"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bottom w:val="single" w:sz="4" w:space="0" w:color="auto"/>
              <w:right w:val="single" w:sz="4" w:space="0" w:color="auto"/>
            </w:tcBorders>
            <w:vAlign w:val="center"/>
          </w:tcPr>
          <w:p w14:paraId="48DA9B7D"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bottom w:val="single" w:sz="4" w:space="0" w:color="auto"/>
              <w:right w:val="single" w:sz="4" w:space="0" w:color="auto"/>
            </w:tcBorders>
            <w:vAlign w:val="center"/>
          </w:tcPr>
          <w:p w14:paraId="058BECDF"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tcPr>
          <w:p w14:paraId="640ACE0C"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14:paraId="0D8F948E"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$75,000</w:t>
            </w:r>
          </w:p>
        </w:tc>
        <w:tc>
          <w:tcPr>
            <w:tcW w:w="974" w:type="dxa"/>
            <w:tcBorders>
              <w:top w:val="nil"/>
              <w:left w:val="nil"/>
              <w:bottom w:val="single" w:sz="4" w:space="0" w:color="auto"/>
              <w:right w:val="single" w:sz="4" w:space="0" w:color="auto"/>
            </w:tcBorders>
            <w:shd w:val="clear" w:color="auto" w:fill="auto"/>
            <w:vAlign w:val="center"/>
          </w:tcPr>
          <w:p w14:paraId="5842B82B"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35%</w:t>
            </w:r>
          </w:p>
        </w:tc>
        <w:tc>
          <w:tcPr>
            <w:tcW w:w="2285" w:type="dxa"/>
            <w:gridSpan w:val="3"/>
            <w:vMerge/>
            <w:tcBorders>
              <w:left w:val="nil"/>
              <w:bottom w:val="single" w:sz="4" w:space="0" w:color="auto"/>
              <w:right w:val="single" w:sz="4" w:space="0" w:color="auto"/>
            </w:tcBorders>
            <w:shd w:val="clear" w:color="auto" w:fill="FFFFFF" w:themeFill="background1"/>
            <w:vAlign w:val="center"/>
          </w:tcPr>
          <w:p w14:paraId="12A02663" w14:textId="77777777" w:rsidR="00755936" w:rsidRPr="00B4481B" w:rsidRDefault="00755936" w:rsidP="00272AD6">
            <w:pPr>
              <w:spacing w:after="0" w:line="240" w:lineRule="auto"/>
              <w:rPr>
                <w:rFonts w:cs="Calibri"/>
                <w:color w:val="000000"/>
                <w:sz w:val="16"/>
                <w:szCs w:val="16"/>
              </w:rPr>
            </w:pPr>
          </w:p>
        </w:tc>
      </w:tr>
      <w:tr w:rsidR="00755936" w:rsidRPr="00B4481B" w14:paraId="531FD1BA" w14:textId="77777777" w:rsidTr="00272AD6">
        <w:trPr>
          <w:trHeight w:val="212"/>
        </w:trPr>
        <w:tc>
          <w:tcPr>
            <w:tcW w:w="859" w:type="dxa"/>
            <w:tcBorders>
              <w:top w:val="nil"/>
              <w:left w:val="single" w:sz="4" w:space="0" w:color="auto"/>
              <w:bottom w:val="nil"/>
              <w:right w:val="nil"/>
            </w:tcBorders>
            <w:shd w:val="clear" w:color="auto" w:fill="auto"/>
            <w:vAlign w:val="center"/>
            <w:hideMark/>
          </w:tcPr>
          <w:p w14:paraId="3F82A442" w14:textId="77777777" w:rsidR="00755936" w:rsidRPr="00B4481B" w:rsidRDefault="00755936" w:rsidP="00272AD6">
            <w:pPr>
              <w:spacing w:after="0" w:line="240" w:lineRule="auto"/>
              <w:rPr>
                <w:rFonts w:cs="Calibri"/>
                <w:b/>
                <w:bCs/>
                <w:color w:val="000000"/>
                <w:sz w:val="16"/>
                <w:szCs w:val="16"/>
              </w:rPr>
            </w:pPr>
            <w:r w:rsidRPr="00B4481B">
              <w:rPr>
                <w:rFonts w:cs="Calibri"/>
                <w:b/>
                <w:bCs/>
                <w:color w:val="000000"/>
                <w:sz w:val="16"/>
                <w:szCs w:val="16"/>
              </w:rPr>
              <w:t> </w:t>
            </w:r>
          </w:p>
        </w:tc>
        <w:tc>
          <w:tcPr>
            <w:tcW w:w="800" w:type="dxa"/>
            <w:tcBorders>
              <w:top w:val="nil"/>
              <w:left w:val="nil"/>
              <w:bottom w:val="nil"/>
              <w:right w:val="nil"/>
            </w:tcBorders>
            <w:shd w:val="clear" w:color="auto" w:fill="auto"/>
            <w:vAlign w:val="center"/>
            <w:hideMark/>
          </w:tcPr>
          <w:p w14:paraId="11E454D1" w14:textId="77777777" w:rsidR="00755936" w:rsidRPr="00B4481B" w:rsidRDefault="00755936" w:rsidP="00272AD6">
            <w:pPr>
              <w:spacing w:after="0" w:line="240" w:lineRule="auto"/>
              <w:rPr>
                <w:rFonts w:cs="Calibri"/>
                <w:b/>
                <w:bCs/>
                <w:color w:val="000000"/>
                <w:sz w:val="16"/>
                <w:szCs w:val="16"/>
              </w:rPr>
            </w:pPr>
          </w:p>
        </w:tc>
        <w:tc>
          <w:tcPr>
            <w:tcW w:w="857" w:type="dxa"/>
            <w:tcBorders>
              <w:top w:val="nil"/>
              <w:left w:val="nil"/>
              <w:bottom w:val="nil"/>
              <w:right w:val="nil"/>
            </w:tcBorders>
            <w:shd w:val="clear" w:color="auto" w:fill="auto"/>
            <w:vAlign w:val="center"/>
            <w:hideMark/>
          </w:tcPr>
          <w:p w14:paraId="7F968B6C" w14:textId="77777777" w:rsidR="00755936" w:rsidRPr="00B4481B" w:rsidRDefault="00755936" w:rsidP="00272AD6">
            <w:pPr>
              <w:spacing w:after="0" w:line="240" w:lineRule="auto"/>
              <w:rPr>
                <w:rFonts w:ascii="Times New Roman" w:hAnsi="Times New Roman"/>
              </w:rPr>
            </w:pPr>
          </w:p>
        </w:tc>
        <w:tc>
          <w:tcPr>
            <w:tcW w:w="856" w:type="dxa"/>
            <w:tcBorders>
              <w:top w:val="nil"/>
              <w:left w:val="nil"/>
              <w:bottom w:val="nil"/>
              <w:right w:val="nil"/>
            </w:tcBorders>
            <w:shd w:val="clear" w:color="auto" w:fill="auto"/>
            <w:vAlign w:val="center"/>
            <w:hideMark/>
          </w:tcPr>
          <w:p w14:paraId="4D6FA299" w14:textId="77777777" w:rsidR="00755936" w:rsidRPr="00B4481B" w:rsidRDefault="00755936" w:rsidP="00272AD6">
            <w:pPr>
              <w:spacing w:after="0" w:line="240" w:lineRule="auto"/>
              <w:rPr>
                <w:rFonts w:ascii="Times New Roman" w:hAnsi="Times New Roman"/>
              </w:rPr>
            </w:pPr>
          </w:p>
        </w:tc>
        <w:tc>
          <w:tcPr>
            <w:tcW w:w="856" w:type="dxa"/>
            <w:tcBorders>
              <w:top w:val="nil"/>
              <w:left w:val="nil"/>
              <w:bottom w:val="nil"/>
              <w:right w:val="nil"/>
            </w:tcBorders>
            <w:shd w:val="clear" w:color="auto" w:fill="auto"/>
            <w:vAlign w:val="center"/>
            <w:hideMark/>
          </w:tcPr>
          <w:p w14:paraId="4EBDA4DE" w14:textId="77777777" w:rsidR="00755936" w:rsidRPr="00B4481B" w:rsidRDefault="00755936" w:rsidP="00272AD6">
            <w:pPr>
              <w:spacing w:after="0" w:line="240" w:lineRule="auto"/>
              <w:rPr>
                <w:rFonts w:ascii="Times New Roman" w:hAnsi="Times New Roman"/>
              </w:rPr>
            </w:pPr>
          </w:p>
        </w:tc>
        <w:tc>
          <w:tcPr>
            <w:tcW w:w="315" w:type="dxa"/>
            <w:tcBorders>
              <w:top w:val="nil"/>
              <w:left w:val="nil"/>
              <w:bottom w:val="nil"/>
              <w:right w:val="nil"/>
            </w:tcBorders>
            <w:shd w:val="clear" w:color="auto" w:fill="auto"/>
            <w:vAlign w:val="center"/>
            <w:hideMark/>
          </w:tcPr>
          <w:p w14:paraId="5C6AB7F5" w14:textId="77777777" w:rsidR="00755936" w:rsidRPr="00B4481B" w:rsidRDefault="00755936" w:rsidP="00272AD6">
            <w:pPr>
              <w:spacing w:after="0" w:line="240" w:lineRule="auto"/>
              <w:rPr>
                <w:rFonts w:ascii="Times New Roman" w:hAnsi="Times New Roman"/>
              </w:rPr>
            </w:pPr>
          </w:p>
        </w:tc>
        <w:tc>
          <w:tcPr>
            <w:tcW w:w="974" w:type="dxa"/>
            <w:tcBorders>
              <w:top w:val="nil"/>
              <w:left w:val="nil"/>
              <w:bottom w:val="nil"/>
              <w:right w:val="nil"/>
            </w:tcBorders>
            <w:shd w:val="clear" w:color="auto" w:fill="auto"/>
            <w:vAlign w:val="center"/>
            <w:hideMark/>
          </w:tcPr>
          <w:p w14:paraId="05200DA5" w14:textId="77777777" w:rsidR="00755936" w:rsidRPr="00B4481B" w:rsidRDefault="00755936" w:rsidP="00272AD6">
            <w:pPr>
              <w:spacing w:after="0" w:line="240" w:lineRule="auto"/>
              <w:rPr>
                <w:rFonts w:ascii="Times New Roman" w:hAnsi="Times New Roman"/>
              </w:rPr>
            </w:pPr>
          </w:p>
        </w:tc>
        <w:tc>
          <w:tcPr>
            <w:tcW w:w="974" w:type="dxa"/>
            <w:tcBorders>
              <w:top w:val="nil"/>
              <w:left w:val="nil"/>
              <w:bottom w:val="nil"/>
              <w:right w:val="nil"/>
            </w:tcBorders>
            <w:shd w:val="clear" w:color="auto" w:fill="auto"/>
            <w:vAlign w:val="center"/>
            <w:hideMark/>
          </w:tcPr>
          <w:p w14:paraId="39B82C0A" w14:textId="77777777" w:rsidR="00755936" w:rsidRPr="00B4481B" w:rsidRDefault="00755936" w:rsidP="00272AD6">
            <w:pPr>
              <w:spacing w:after="0" w:line="240" w:lineRule="auto"/>
              <w:rPr>
                <w:rFonts w:ascii="Times New Roman" w:hAnsi="Times New Roman"/>
              </w:rPr>
            </w:pPr>
          </w:p>
        </w:tc>
        <w:tc>
          <w:tcPr>
            <w:tcW w:w="315" w:type="dxa"/>
            <w:tcBorders>
              <w:top w:val="nil"/>
              <w:left w:val="nil"/>
              <w:bottom w:val="nil"/>
              <w:right w:val="nil"/>
            </w:tcBorders>
            <w:shd w:val="clear" w:color="auto" w:fill="auto"/>
            <w:vAlign w:val="center"/>
            <w:hideMark/>
          </w:tcPr>
          <w:p w14:paraId="697E3ED7" w14:textId="77777777" w:rsidR="00755936" w:rsidRPr="00B4481B" w:rsidRDefault="00755936" w:rsidP="00272AD6">
            <w:pPr>
              <w:spacing w:after="0" w:line="240" w:lineRule="auto"/>
              <w:rPr>
                <w:rFonts w:ascii="Times New Roman" w:hAnsi="Times New Roman"/>
              </w:rPr>
            </w:pPr>
          </w:p>
        </w:tc>
        <w:tc>
          <w:tcPr>
            <w:tcW w:w="985" w:type="dxa"/>
            <w:tcBorders>
              <w:top w:val="nil"/>
              <w:left w:val="nil"/>
              <w:bottom w:val="single" w:sz="4" w:space="0" w:color="auto"/>
              <w:right w:val="nil"/>
            </w:tcBorders>
            <w:shd w:val="clear" w:color="auto" w:fill="auto"/>
            <w:vAlign w:val="center"/>
            <w:hideMark/>
          </w:tcPr>
          <w:p w14:paraId="2B3DBBB0" w14:textId="77777777" w:rsidR="00755936" w:rsidRPr="00B4481B" w:rsidRDefault="00755936" w:rsidP="00272AD6">
            <w:pPr>
              <w:spacing w:after="0" w:line="240" w:lineRule="auto"/>
              <w:rPr>
                <w:rFonts w:ascii="Times New Roman" w:hAnsi="Times New Roman"/>
              </w:rPr>
            </w:pPr>
          </w:p>
        </w:tc>
        <w:tc>
          <w:tcPr>
            <w:tcW w:w="985" w:type="dxa"/>
            <w:tcBorders>
              <w:top w:val="nil"/>
              <w:left w:val="nil"/>
              <w:bottom w:val="single" w:sz="4" w:space="0" w:color="auto"/>
              <w:right w:val="nil"/>
            </w:tcBorders>
            <w:shd w:val="clear" w:color="auto" w:fill="auto"/>
            <w:vAlign w:val="center"/>
            <w:hideMark/>
          </w:tcPr>
          <w:p w14:paraId="7A5612E5" w14:textId="77777777" w:rsidR="00755936" w:rsidRPr="00B4481B" w:rsidRDefault="00755936" w:rsidP="00272AD6">
            <w:pPr>
              <w:spacing w:after="0" w:line="240" w:lineRule="auto"/>
              <w:rPr>
                <w:rFonts w:ascii="Times New Roman" w:hAnsi="Times New Roman"/>
              </w:rPr>
            </w:pPr>
          </w:p>
        </w:tc>
      </w:tr>
      <w:tr w:rsidR="00755936" w:rsidRPr="00B4481B" w14:paraId="3A8A8A57" w14:textId="77777777" w:rsidTr="00272AD6">
        <w:trPr>
          <w:trHeight w:val="212"/>
        </w:trPr>
        <w:tc>
          <w:tcPr>
            <w:tcW w:w="859" w:type="dxa"/>
            <w:vMerge w:val="restart"/>
            <w:tcBorders>
              <w:top w:val="single" w:sz="4" w:space="0" w:color="auto"/>
              <w:left w:val="single" w:sz="4" w:space="0" w:color="auto"/>
              <w:right w:val="single" w:sz="4" w:space="0" w:color="auto"/>
            </w:tcBorders>
            <w:shd w:val="clear" w:color="auto" w:fill="auto"/>
            <w:vAlign w:val="center"/>
            <w:hideMark/>
          </w:tcPr>
          <w:p w14:paraId="06BDB433"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Lower cost ($130-170m</w:t>
            </w:r>
          </w:p>
        </w:tc>
        <w:tc>
          <w:tcPr>
            <w:tcW w:w="800" w:type="dxa"/>
            <w:vMerge w:val="restart"/>
            <w:tcBorders>
              <w:top w:val="single" w:sz="4" w:space="0" w:color="auto"/>
              <w:left w:val="single" w:sz="4" w:space="0" w:color="auto"/>
              <w:right w:val="single" w:sz="4" w:space="0" w:color="auto"/>
            </w:tcBorders>
            <w:shd w:val="clear" w:color="auto" w:fill="auto"/>
            <w:vAlign w:val="center"/>
            <w:hideMark/>
          </w:tcPr>
          <w:p w14:paraId="36B6C405"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$7.50</w:t>
            </w:r>
          </w:p>
        </w:tc>
        <w:tc>
          <w:tcPr>
            <w:tcW w:w="857" w:type="dxa"/>
            <w:vMerge w:val="restart"/>
            <w:tcBorders>
              <w:top w:val="single" w:sz="4" w:space="0" w:color="auto"/>
              <w:left w:val="single" w:sz="4" w:space="0" w:color="auto"/>
              <w:right w:val="single" w:sz="4" w:space="0" w:color="auto"/>
            </w:tcBorders>
            <w:shd w:val="clear" w:color="auto" w:fill="auto"/>
            <w:vAlign w:val="center"/>
            <w:hideMark/>
          </w:tcPr>
          <w:p w14:paraId="1C8AD633"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$14.21 and $12.92</w:t>
            </w:r>
          </w:p>
        </w:tc>
        <w:tc>
          <w:tcPr>
            <w:tcW w:w="856" w:type="dxa"/>
            <w:vMerge w:val="restart"/>
            <w:tcBorders>
              <w:top w:val="single" w:sz="4" w:space="0" w:color="auto"/>
              <w:left w:val="single" w:sz="4" w:space="0" w:color="auto"/>
              <w:right w:val="single" w:sz="4" w:space="0" w:color="auto"/>
            </w:tcBorders>
            <w:shd w:val="clear" w:color="auto" w:fill="auto"/>
            <w:vAlign w:val="center"/>
            <w:hideMark/>
          </w:tcPr>
          <w:p w14:paraId="154828F6"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7,000-8,000</w:t>
            </w:r>
          </w:p>
        </w:tc>
        <w:tc>
          <w:tcPr>
            <w:tcW w:w="856" w:type="dxa"/>
            <w:vMerge w:val="restart"/>
            <w:tcBorders>
              <w:top w:val="single" w:sz="4" w:space="0" w:color="auto"/>
              <w:left w:val="single" w:sz="4" w:space="0" w:color="auto"/>
              <w:right w:val="single" w:sz="4" w:space="0" w:color="auto"/>
            </w:tcBorders>
            <w:shd w:val="clear" w:color="auto" w:fill="auto"/>
            <w:vAlign w:val="center"/>
            <w:hideMark/>
          </w:tcPr>
          <w:p w14:paraId="0C583552" w14:textId="6B8A6584"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11,000 -1</w:t>
            </w:r>
            <w:r w:rsidR="00C86E4C">
              <w:rPr>
                <w:rFonts w:cs="Calibri"/>
                <w:color w:val="000000"/>
                <w:sz w:val="16"/>
                <w:szCs w:val="16"/>
              </w:rPr>
              <w:t>2</w:t>
            </w:r>
            <w:r w:rsidRPr="00B4481B">
              <w:rPr>
                <w:rFonts w:cs="Calibri"/>
                <w:color w:val="000000"/>
                <w:sz w:val="16"/>
                <w:szCs w:val="16"/>
              </w:rPr>
              <w:t>,000</w:t>
            </w:r>
          </w:p>
        </w:tc>
        <w:tc>
          <w:tcPr>
            <w:tcW w:w="315" w:type="dxa"/>
            <w:vMerge w:val="restart"/>
            <w:tcBorders>
              <w:top w:val="single" w:sz="4" w:space="0" w:color="auto"/>
              <w:left w:val="nil"/>
              <w:right w:val="single" w:sz="4" w:space="0" w:color="auto"/>
            </w:tcBorders>
            <w:shd w:val="clear" w:color="auto" w:fill="auto"/>
            <w:vAlign w:val="center"/>
            <w:hideMark/>
          </w:tcPr>
          <w:p w14:paraId="2F023700" w14:textId="77777777" w:rsidR="00755936" w:rsidRPr="00B4481B" w:rsidRDefault="00755936" w:rsidP="00272AD6">
            <w:pPr>
              <w:spacing w:after="0" w:line="240" w:lineRule="auto"/>
              <w:jc w:val="center"/>
              <w:rPr>
                <w:rFonts w:ascii="Calibri" w:hAnsi="Calibri" w:cs="Calibri"/>
                <w:color w:val="000000"/>
                <w:sz w:val="16"/>
                <w:szCs w:val="16"/>
              </w:rPr>
            </w:pPr>
            <w:r w:rsidRPr="00B4481B">
              <w:rPr>
                <w:rFonts w:ascii="Calibri" w:hAnsi="Calibri" w:cs="Calibri"/>
                <w:color w:val="000000"/>
                <w:sz w:val="16"/>
                <w:szCs w:val="16"/>
              </w:rPr>
              <w:t>A</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304B4EC"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$60,000</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669D84DE"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c>
          <w:tcPr>
            <w:tcW w:w="315" w:type="dxa"/>
            <w:vMerge w:val="restart"/>
            <w:tcBorders>
              <w:top w:val="single" w:sz="4" w:space="0" w:color="auto"/>
              <w:left w:val="nil"/>
              <w:right w:val="single" w:sz="4" w:space="0" w:color="auto"/>
            </w:tcBorders>
            <w:shd w:val="clear" w:color="auto" w:fill="auto"/>
            <w:vAlign w:val="center"/>
            <w:hideMark/>
          </w:tcPr>
          <w:p w14:paraId="43FF2F43" w14:textId="77777777" w:rsidR="00755936" w:rsidRPr="00B4481B" w:rsidRDefault="00755936" w:rsidP="00272AD6">
            <w:pPr>
              <w:spacing w:after="0" w:line="240" w:lineRule="auto"/>
              <w:jc w:val="center"/>
              <w:rPr>
                <w:rFonts w:ascii="Calibri" w:hAnsi="Calibri" w:cs="Calibri"/>
                <w:color w:val="000000"/>
                <w:sz w:val="16"/>
                <w:szCs w:val="16"/>
              </w:rPr>
            </w:pPr>
            <w:r>
              <w:rPr>
                <w:rFonts w:ascii="Calibri" w:hAnsi="Calibri" w:cs="Calibri"/>
                <w:color w:val="000000"/>
                <w:sz w:val="16"/>
                <w:szCs w:val="16"/>
              </w:rPr>
              <w:t>C</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2FC4FC6D"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$42,700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314A855"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27%</w:t>
            </w:r>
          </w:p>
        </w:tc>
      </w:tr>
      <w:tr w:rsidR="00755936" w:rsidRPr="00B4481B" w14:paraId="25E3F66F" w14:textId="77777777" w:rsidTr="00272AD6">
        <w:trPr>
          <w:trHeight w:val="212"/>
        </w:trPr>
        <w:tc>
          <w:tcPr>
            <w:tcW w:w="859" w:type="dxa"/>
            <w:vMerge/>
            <w:tcBorders>
              <w:left w:val="single" w:sz="4" w:space="0" w:color="auto"/>
              <w:right w:val="single" w:sz="4" w:space="0" w:color="auto"/>
            </w:tcBorders>
            <w:vAlign w:val="center"/>
            <w:hideMark/>
          </w:tcPr>
          <w:p w14:paraId="6FE9EDB1" w14:textId="77777777" w:rsidR="00755936" w:rsidRPr="00B4481B" w:rsidRDefault="00755936" w:rsidP="00272AD6">
            <w:pPr>
              <w:spacing w:after="0" w:line="240" w:lineRule="auto"/>
              <w:rPr>
                <w:rFonts w:cs="Calibri"/>
                <w:b/>
                <w:bCs/>
                <w:color w:val="000000"/>
                <w:sz w:val="16"/>
                <w:szCs w:val="16"/>
              </w:rPr>
            </w:pPr>
          </w:p>
        </w:tc>
        <w:tc>
          <w:tcPr>
            <w:tcW w:w="800" w:type="dxa"/>
            <w:vMerge/>
            <w:tcBorders>
              <w:left w:val="single" w:sz="4" w:space="0" w:color="auto"/>
              <w:right w:val="single" w:sz="4" w:space="0" w:color="auto"/>
            </w:tcBorders>
            <w:vAlign w:val="center"/>
            <w:hideMark/>
          </w:tcPr>
          <w:p w14:paraId="7C508114" w14:textId="77777777" w:rsidR="00755936" w:rsidRPr="00B4481B" w:rsidRDefault="00755936" w:rsidP="00272AD6">
            <w:pPr>
              <w:spacing w:after="0" w:line="240" w:lineRule="auto"/>
              <w:rPr>
                <w:rFonts w:cs="Calibri"/>
                <w:color w:val="000000"/>
                <w:sz w:val="16"/>
                <w:szCs w:val="16"/>
              </w:rPr>
            </w:pPr>
          </w:p>
        </w:tc>
        <w:tc>
          <w:tcPr>
            <w:tcW w:w="857" w:type="dxa"/>
            <w:vMerge/>
            <w:tcBorders>
              <w:left w:val="single" w:sz="4" w:space="0" w:color="auto"/>
              <w:right w:val="single" w:sz="4" w:space="0" w:color="auto"/>
            </w:tcBorders>
            <w:vAlign w:val="center"/>
            <w:hideMark/>
          </w:tcPr>
          <w:p w14:paraId="3774DE1E"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1979F67F"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76F2388E"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hideMark/>
          </w:tcPr>
          <w:p w14:paraId="4570984C"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hideMark/>
          </w:tcPr>
          <w:p w14:paraId="0B8F6711"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$65,000</w:t>
            </w:r>
          </w:p>
        </w:tc>
        <w:tc>
          <w:tcPr>
            <w:tcW w:w="974" w:type="dxa"/>
            <w:tcBorders>
              <w:top w:val="nil"/>
              <w:left w:val="nil"/>
              <w:bottom w:val="single" w:sz="4" w:space="0" w:color="auto"/>
              <w:right w:val="single" w:sz="4" w:space="0" w:color="auto"/>
            </w:tcBorders>
            <w:shd w:val="clear" w:color="auto" w:fill="auto"/>
            <w:vAlign w:val="center"/>
            <w:hideMark/>
          </w:tcPr>
          <w:p w14:paraId="1771A748"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31%</w:t>
            </w:r>
          </w:p>
        </w:tc>
        <w:tc>
          <w:tcPr>
            <w:tcW w:w="315" w:type="dxa"/>
            <w:vMerge/>
            <w:tcBorders>
              <w:left w:val="nil"/>
              <w:bottom w:val="single" w:sz="4" w:space="0" w:color="auto"/>
              <w:right w:val="single" w:sz="4" w:space="0" w:color="auto"/>
            </w:tcBorders>
            <w:shd w:val="clear" w:color="auto" w:fill="auto"/>
            <w:vAlign w:val="center"/>
            <w:hideMark/>
          </w:tcPr>
          <w:p w14:paraId="7E2B4028" w14:textId="77777777" w:rsidR="00755936" w:rsidRPr="00B4481B" w:rsidRDefault="00755936" w:rsidP="00272AD6">
            <w:pPr>
              <w:spacing w:after="0" w:line="240" w:lineRule="auto"/>
              <w:jc w:val="center"/>
              <w:rPr>
                <w:rFonts w:ascii="Calibri" w:hAnsi="Calibri" w:cs="Calibri"/>
                <w:color w:val="000000"/>
                <w:sz w:val="16"/>
                <w:szCs w:val="16"/>
              </w:rPr>
            </w:pP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5C4937EA"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$45,200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FF2EFBC"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r>
      <w:tr w:rsidR="00755936" w:rsidRPr="00B4481B" w14:paraId="47201D8B" w14:textId="77777777" w:rsidTr="00272AD6">
        <w:trPr>
          <w:trHeight w:val="212"/>
        </w:trPr>
        <w:tc>
          <w:tcPr>
            <w:tcW w:w="859" w:type="dxa"/>
            <w:vMerge/>
            <w:tcBorders>
              <w:left w:val="single" w:sz="4" w:space="0" w:color="auto"/>
              <w:right w:val="single" w:sz="4" w:space="0" w:color="auto"/>
            </w:tcBorders>
            <w:vAlign w:val="center"/>
            <w:hideMark/>
          </w:tcPr>
          <w:p w14:paraId="3571D2F9" w14:textId="77777777" w:rsidR="00755936" w:rsidRPr="00B4481B" w:rsidRDefault="00755936" w:rsidP="00272AD6">
            <w:pPr>
              <w:spacing w:after="0" w:line="240" w:lineRule="auto"/>
              <w:rPr>
                <w:rFonts w:cs="Calibri"/>
                <w:b/>
                <w:bCs/>
                <w:color w:val="000000"/>
                <w:sz w:val="16"/>
                <w:szCs w:val="16"/>
              </w:rPr>
            </w:pPr>
          </w:p>
        </w:tc>
        <w:tc>
          <w:tcPr>
            <w:tcW w:w="800" w:type="dxa"/>
            <w:vMerge/>
            <w:tcBorders>
              <w:left w:val="single" w:sz="4" w:space="0" w:color="auto"/>
              <w:right w:val="single" w:sz="4" w:space="0" w:color="auto"/>
            </w:tcBorders>
            <w:vAlign w:val="center"/>
            <w:hideMark/>
          </w:tcPr>
          <w:p w14:paraId="6AB75B58" w14:textId="77777777" w:rsidR="00755936" w:rsidRPr="00B4481B" w:rsidRDefault="00755936" w:rsidP="00272AD6">
            <w:pPr>
              <w:spacing w:after="0" w:line="240" w:lineRule="auto"/>
              <w:rPr>
                <w:rFonts w:cs="Calibri"/>
                <w:color w:val="000000"/>
                <w:sz w:val="16"/>
                <w:szCs w:val="16"/>
              </w:rPr>
            </w:pPr>
          </w:p>
        </w:tc>
        <w:tc>
          <w:tcPr>
            <w:tcW w:w="857" w:type="dxa"/>
            <w:vMerge/>
            <w:tcBorders>
              <w:left w:val="single" w:sz="4" w:space="0" w:color="auto"/>
              <w:right w:val="single" w:sz="4" w:space="0" w:color="auto"/>
            </w:tcBorders>
            <w:vAlign w:val="center"/>
            <w:hideMark/>
          </w:tcPr>
          <w:p w14:paraId="17382459"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5FD73AF4"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right w:val="single" w:sz="4" w:space="0" w:color="auto"/>
            </w:tcBorders>
            <w:vAlign w:val="center"/>
            <w:hideMark/>
          </w:tcPr>
          <w:p w14:paraId="5EFD8D90" w14:textId="77777777" w:rsidR="00755936" w:rsidRPr="00B4481B" w:rsidRDefault="00755936" w:rsidP="00272AD6">
            <w:pPr>
              <w:spacing w:after="0" w:line="240" w:lineRule="auto"/>
              <w:rPr>
                <w:rFonts w:cs="Calibri"/>
                <w:color w:val="000000"/>
                <w:sz w:val="16"/>
                <w:szCs w:val="16"/>
              </w:rPr>
            </w:pPr>
          </w:p>
        </w:tc>
        <w:tc>
          <w:tcPr>
            <w:tcW w:w="315" w:type="dxa"/>
            <w:vMerge w:val="restart"/>
            <w:tcBorders>
              <w:top w:val="nil"/>
              <w:left w:val="nil"/>
              <w:right w:val="single" w:sz="4" w:space="0" w:color="auto"/>
            </w:tcBorders>
            <w:shd w:val="clear" w:color="auto" w:fill="auto"/>
            <w:vAlign w:val="center"/>
            <w:hideMark/>
          </w:tcPr>
          <w:p w14:paraId="402CAEDF" w14:textId="77777777" w:rsidR="00755936" w:rsidRPr="00B4481B" w:rsidRDefault="00755936" w:rsidP="00272AD6">
            <w:pPr>
              <w:spacing w:after="0" w:line="240" w:lineRule="auto"/>
              <w:jc w:val="center"/>
              <w:rPr>
                <w:rFonts w:ascii="Calibri" w:hAnsi="Calibri" w:cs="Calibri"/>
                <w:color w:val="000000"/>
                <w:sz w:val="16"/>
                <w:szCs w:val="16"/>
              </w:rPr>
            </w:pPr>
            <w:r>
              <w:rPr>
                <w:rFonts w:ascii="Calibri" w:hAnsi="Calibri" w:cs="Calibri"/>
                <w:color w:val="000000"/>
                <w:sz w:val="16"/>
                <w:szCs w:val="16"/>
              </w:rPr>
              <w:t>B</w:t>
            </w:r>
          </w:p>
        </w:tc>
        <w:tc>
          <w:tcPr>
            <w:tcW w:w="974" w:type="dxa"/>
            <w:tcBorders>
              <w:top w:val="nil"/>
              <w:left w:val="nil"/>
              <w:bottom w:val="single" w:sz="4" w:space="0" w:color="auto"/>
              <w:right w:val="single" w:sz="4" w:space="0" w:color="auto"/>
            </w:tcBorders>
            <w:shd w:val="clear" w:color="auto" w:fill="auto"/>
            <w:vAlign w:val="center"/>
          </w:tcPr>
          <w:p w14:paraId="0D3D6786"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w:t>
            </w:r>
            <w:r>
              <w:rPr>
                <w:rFonts w:cs="Calibri"/>
                <w:color w:val="000000"/>
                <w:sz w:val="16"/>
                <w:szCs w:val="16"/>
              </w:rPr>
              <w:t>75</w:t>
            </w:r>
            <w:r w:rsidRPr="00B4481B">
              <w:rPr>
                <w:rFonts w:cs="Calibri"/>
                <w:color w:val="000000"/>
                <w:sz w:val="16"/>
                <w:szCs w:val="16"/>
              </w:rPr>
              <w:t>,000</w:t>
            </w:r>
          </w:p>
        </w:tc>
        <w:tc>
          <w:tcPr>
            <w:tcW w:w="974" w:type="dxa"/>
            <w:tcBorders>
              <w:top w:val="nil"/>
              <w:left w:val="nil"/>
              <w:bottom w:val="single" w:sz="4" w:space="0" w:color="auto"/>
              <w:right w:val="single" w:sz="4" w:space="0" w:color="auto"/>
            </w:tcBorders>
            <w:shd w:val="clear" w:color="auto" w:fill="auto"/>
            <w:vAlign w:val="center"/>
          </w:tcPr>
          <w:p w14:paraId="07B9303D"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w:t>
            </w:r>
            <w:r>
              <w:rPr>
                <w:rFonts w:cs="Calibri"/>
                <w:color w:val="000000"/>
                <w:sz w:val="16"/>
                <w:szCs w:val="16"/>
              </w:rPr>
              <w:t>3</w:t>
            </w:r>
            <w:r w:rsidRPr="00B4481B">
              <w:rPr>
                <w:rFonts w:cs="Calibri"/>
                <w:color w:val="000000"/>
                <w:sz w:val="16"/>
                <w:szCs w:val="16"/>
              </w:rPr>
              <w:t>%</w:t>
            </w:r>
          </w:p>
        </w:tc>
        <w:tc>
          <w:tcPr>
            <w:tcW w:w="2285" w:type="dxa"/>
            <w:gridSpan w:val="3"/>
            <w:vMerge w:val="restart"/>
            <w:tcBorders>
              <w:top w:val="nil"/>
              <w:left w:val="nil"/>
              <w:right w:val="single" w:sz="4" w:space="0" w:color="auto"/>
            </w:tcBorders>
            <w:shd w:val="clear" w:color="auto" w:fill="auto"/>
            <w:vAlign w:val="center"/>
            <w:hideMark/>
          </w:tcPr>
          <w:p w14:paraId="667C3C3F" w14:textId="77777777" w:rsidR="00755936" w:rsidRPr="00B4481B" w:rsidRDefault="00755936" w:rsidP="00272AD6">
            <w:pPr>
              <w:spacing w:after="0" w:line="240" w:lineRule="auto"/>
              <w:jc w:val="center"/>
              <w:rPr>
                <w:rFonts w:cs="Calibri"/>
                <w:color w:val="000000"/>
                <w:sz w:val="16"/>
                <w:szCs w:val="16"/>
              </w:rPr>
            </w:pPr>
          </w:p>
        </w:tc>
      </w:tr>
      <w:tr w:rsidR="00755936" w:rsidRPr="00B4481B" w14:paraId="6122BE63" w14:textId="77777777" w:rsidTr="00272AD6">
        <w:trPr>
          <w:trHeight w:val="212"/>
        </w:trPr>
        <w:tc>
          <w:tcPr>
            <w:tcW w:w="859" w:type="dxa"/>
            <w:vMerge/>
            <w:tcBorders>
              <w:left w:val="single" w:sz="4" w:space="0" w:color="auto"/>
              <w:bottom w:val="single" w:sz="4" w:space="0" w:color="auto"/>
              <w:right w:val="single" w:sz="4" w:space="0" w:color="auto"/>
            </w:tcBorders>
            <w:vAlign w:val="center"/>
          </w:tcPr>
          <w:p w14:paraId="361A4379" w14:textId="77777777" w:rsidR="00755936" w:rsidRPr="00B4481B" w:rsidRDefault="00755936" w:rsidP="00272AD6">
            <w:pPr>
              <w:spacing w:after="0" w:line="240" w:lineRule="auto"/>
              <w:rPr>
                <w:rFonts w:cs="Calibri"/>
                <w:b/>
                <w:bCs/>
                <w:color w:val="000000"/>
                <w:sz w:val="16"/>
                <w:szCs w:val="16"/>
              </w:rPr>
            </w:pPr>
          </w:p>
        </w:tc>
        <w:tc>
          <w:tcPr>
            <w:tcW w:w="800" w:type="dxa"/>
            <w:vMerge/>
            <w:tcBorders>
              <w:left w:val="single" w:sz="4" w:space="0" w:color="auto"/>
              <w:bottom w:val="single" w:sz="4" w:space="0" w:color="auto"/>
              <w:right w:val="single" w:sz="4" w:space="0" w:color="auto"/>
            </w:tcBorders>
            <w:vAlign w:val="center"/>
          </w:tcPr>
          <w:p w14:paraId="289B5AF7" w14:textId="77777777" w:rsidR="00755936" w:rsidRPr="00B4481B" w:rsidRDefault="00755936" w:rsidP="00272AD6">
            <w:pPr>
              <w:spacing w:after="0" w:line="240" w:lineRule="auto"/>
              <w:rPr>
                <w:rFonts w:cs="Calibri"/>
                <w:color w:val="000000"/>
                <w:sz w:val="16"/>
                <w:szCs w:val="16"/>
              </w:rPr>
            </w:pPr>
          </w:p>
        </w:tc>
        <w:tc>
          <w:tcPr>
            <w:tcW w:w="857" w:type="dxa"/>
            <w:vMerge/>
            <w:tcBorders>
              <w:left w:val="single" w:sz="4" w:space="0" w:color="auto"/>
              <w:bottom w:val="single" w:sz="4" w:space="0" w:color="auto"/>
              <w:right w:val="single" w:sz="4" w:space="0" w:color="auto"/>
            </w:tcBorders>
            <w:vAlign w:val="center"/>
          </w:tcPr>
          <w:p w14:paraId="6AFD7FAF"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bottom w:val="single" w:sz="4" w:space="0" w:color="000000"/>
              <w:right w:val="single" w:sz="4" w:space="0" w:color="auto"/>
            </w:tcBorders>
            <w:vAlign w:val="center"/>
          </w:tcPr>
          <w:p w14:paraId="1A184121" w14:textId="77777777" w:rsidR="00755936" w:rsidRPr="00B4481B" w:rsidRDefault="00755936" w:rsidP="00272AD6">
            <w:pPr>
              <w:spacing w:after="0" w:line="240" w:lineRule="auto"/>
              <w:rPr>
                <w:rFonts w:cs="Calibri"/>
                <w:color w:val="000000"/>
                <w:sz w:val="16"/>
                <w:szCs w:val="16"/>
              </w:rPr>
            </w:pPr>
          </w:p>
        </w:tc>
        <w:tc>
          <w:tcPr>
            <w:tcW w:w="856" w:type="dxa"/>
            <w:vMerge/>
            <w:tcBorders>
              <w:left w:val="single" w:sz="4" w:space="0" w:color="auto"/>
              <w:bottom w:val="single" w:sz="4" w:space="0" w:color="auto"/>
              <w:right w:val="single" w:sz="4" w:space="0" w:color="auto"/>
            </w:tcBorders>
            <w:vAlign w:val="center"/>
          </w:tcPr>
          <w:p w14:paraId="2F875FD6"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tcPr>
          <w:p w14:paraId="77746E34"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14:paraId="48B4BC72"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$75,000</w:t>
            </w:r>
          </w:p>
        </w:tc>
        <w:tc>
          <w:tcPr>
            <w:tcW w:w="974" w:type="dxa"/>
            <w:tcBorders>
              <w:top w:val="nil"/>
              <w:left w:val="nil"/>
              <w:bottom w:val="single" w:sz="4" w:space="0" w:color="auto"/>
              <w:right w:val="single" w:sz="4" w:space="0" w:color="auto"/>
            </w:tcBorders>
            <w:shd w:val="clear" w:color="auto" w:fill="auto"/>
            <w:vAlign w:val="center"/>
          </w:tcPr>
          <w:p w14:paraId="58AE4F7C"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35%</w:t>
            </w:r>
          </w:p>
        </w:tc>
        <w:tc>
          <w:tcPr>
            <w:tcW w:w="2285" w:type="dxa"/>
            <w:gridSpan w:val="3"/>
            <w:vMerge/>
            <w:tcBorders>
              <w:left w:val="nil"/>
              <w:bottom w:val="single" w:sz="4" w:space="0" w:color="auto"/>
              <w:right w:val="single" w:sz="4" w:space="0" w:color="auto"/>
            </w:tcBorders>
            <w:shd w:val="clear" w:color="auto" w:fill="auto"/>
            <w:vAlign w:val="center"/>
          </w:tcPr>
          <w:p w14:paraId="322C1B5E" w14:textId="77777777" w:rsidR="00755936" w:rsidRPr="00B4481B" w:rsidRDefault="00755936" w:rsidP="00272AD6">
            <w:pPr>
              <w:spacing w:after="0" w:line="240" w:lineRule="auto"/>
              <w:jc w:val="center"/>
              <w:rPr>
                <w:rFonts w:cs="Calibri"/>
                <w:color w:val="000000"/>
                <w:sz w:val="16"/>
                <w:szCs w:val="16"/>
              </w:rPr>
            </w:pPr>
          </w:p>
        </w:tc>
      </w:tr>
      <w:tr w:rsidR="00755936" w:rsidRPr="00B4481B" w14:paraId="2F589561" w14:textId="77777777" w:rsidTr="00272AD6">
        <w:trPr>
          <w:trHeight w:val="212"/>
        </w:trPr>
        <w:tc>
          <w:tcPr>
            <w:tcW w:w="859" w:type="dxa"/>
            <w:tcBorders>
              <w:top w:val="nil"/>
              <w:left w:val="single" w:sz="4" w:space="0" w:color="auto"/>
              <w:bottom w:val="nil"/>
              <w:right w:val="nil"/>
            </w:tcBorders>
            <w:shd w:val="clear" w:color="auto" w:fill="auto"/>
            <w:vAlign w:val="center"/>
            <w:hideMark/>
          </w:tcPr>
          <w:p w14:paraId="0CEEC29F" w14:textId="77777777" w:rsidR="00755936" w:rsidRPr="00B4481B" w:rsidRDefault="00755936" w:rsidP="00272AD6">
            <w:pPr>
              <w:spacing w:after="0" w:line="240" w:lineRule="auto"/>
              <w:rPr>
                <w:rFonts w:cs="Calibri"/>
                <w:b/>
                <w:bCs/>
                <w:color w:val="000000"/>
                <w:sz w:val="16"/>
                <w:szCs w:val="16"/>
              </w:rPr>
            </w:pPr>
            <w:r w:rsidRPr="00B4481B">
              <w:rPr>
                <w:rFonts w:cs="Calibri"/>
                <w:b/>
                <w:bCs/>
                <w:color w:val="000000"/>
                <w:sz w:val="16"/>
                <w:szCs w:val="16"/>
              </w:rPr>
              <w:t> </w:t>
            </w:r>
          </w:p>
        </w:tc>
        <w:tc>
          <w:tcPr>
            <w:tcW w:w="800" w:type="dxa"/>
            <w:tcBorders>
              <w:top w:val="nil"/>
              <w:left w:val="nil"/>
              <w:bottom w:val="nil"/>
              <w:right w:val="nil"/>
            </w:tcBorders>
            <w:shd w:val="clear" w:color="auto" w:fill="auto"/>
            <w:vAlign w:val="center"/>
            <w:hideMark/>
          </w:tcPr>
          <w:p w14:paraId="3EACFB65" w14:textId="77777777" w:rsidR="00755936" w:rsidRPr="00B4481B" w:rsidRDefault="00755936" w:rsidP="00272AD6">
            <w:pPr>
              <w:spacing w:after="0" w:line="240" w:lineRule="auto"/>
              <w:rPr>
                <w:rFonts w:cs="Calibri"/>
                <w:b/>
                <w:bCs/>
                <w:color w:val="000000"/>
                <w:sz w:val="16"/>
                <w:szCs w:val="16"/>
              </w:rPr>
            </w:pPr>
          </w:p>
        </w:tc>
        <w:tc>
          <w:tcPr>
            <w:tcW w:w="857" w:type="dxa"/>
            <w:tcBorders>
              <w:top w:val="nil"/>
              <w:left w:val="nil"/>
              <w:bottom w:val="nil"/>
              <w:right w:val="nil"/>
            </w:tcBorders>
            <w:shd w:val="clear" w:color="auto" w:fill="auto"/>
            <w:vAlign w:val="center"/>
            <w:hideMark/>
          </w:tcPr>
          <w:p w14:paraId="0D351CEC" w14:textId="77777777" w:rsidR="00755936" w:rsidRPr="00B4481B" w:rsidRDefault="00755936" w:rsidP="00272AD6">
            <w:pPr>
              <w:spacing w:after="0" w:line="240" w:lineRule="auto"/>
              <w:rPr>
                <w:rFonts w:ascii="Times New Roman" w:hAnsi="Times New Roman"/>
              </w:rPr>
            </w:pPr>
          </w:p>
        </w:tc>
        <w:tc>
          <w:tcPr>
            <w:tcW w:w="856" w:type="dxa"/>
            <w:tcBorders>
              <w:top w:val="nil"/>
              <w:left w:val="nil"/>
              <w:bottom w:val="nil"/>
              <w:right w:val="nil"/>
            </w:tcBorders>
            <w:shd w:val="clear" w:color="auto" w:fill="auto"/>
            <w:vAlign w:val="center"/>
            <w:hideMark/>
          </w:tcPr>
          <w:p w14:paraId="49A34B4C" w14:textId="77777777" w:rsidR="00755936" w:rsidRPr="00B4481B" w:rsidRDefault="00755936" w:rsidP="00272AD6">
            <w:pPr>
              <w:spacing w:after="0" w:line="240" w:lineRule="auto"/>
              <w:rPr>
                <w:rFonts w:ascii="Times New Roman" w:hAnsi="Times New Roman"/>
              </w:rPr>
            </w:pPr>
          </w:p>
        </w:tc>
        <w:tc>
          <w:tcPr>
            <w:tcW w:w="856" w:type="dxa"/>
            <w:tcBorders>
              <w:top w:val="nil"/>
              <w:left w:val="nil"/>
              <w:bottom w:val="nil"/>
              <w:right w:val="nil"/>
            </w:tcBorders>
            <w:shd w:val="clear" w:color="auto" w:fill="auto"/>
            <w:vAlign w:val="center"/>
            <w:hideMark/>
          </w:tcPr>
          <w:p w14:paraId="188C79FA" w14:textId="77777777" w:rsidR="00755936" w:rsidRPr="00B4481B" w:rsidRDefault="00755936" w:rsidP="00272AD6">
            <w:pPr>
              <w:spacing w:after="0" w:line="240" w:lineRule="auto"/>
              <w:rPr>
                <w:rFonts w:ascii="Times New Roman" w:hAnsi="Times New Roman"/>
              </w:rPr>
            </w:pPr>
          </w:p>
        </w:tc>
        <w:tc>
          <w:tcPr>
            <w:tcW w:w="315" w:type="dxa"/>
            <w:tcBorders>
              <w:top w:val="nil"/>
              <w:left w:val="nil"/>
              <w:bottom w:val="nil"/>
              <w:right w:val="nil"/>
            </w:tcBorders>
            <w:shd w:val="clear" w:color="auto" w:fill="auto"/>
            <w:vAlign w:val="center"/>
            <w:hideMark/>
          </w:tcPr>
          <w:p w14:paraId="60303DB7" w14:textId="77777777" w:rsidR="00755936" w:rsidRPr="00B4481B" w:rsidRDefault="00755936" w:rsidP="00272AD6">
            <w:pPr>
              <w:spacing w:after="0" w:line="240" w:lineRule="auto"/>
              <w:rPr>
                <w:rFonts w:ascii="Times New Roman" w:hAnsi="Times New Roman"/>
              </w:rPr>
            </w:pPr>
          </w:p>
        </w:tc>
        <w:tc>
          <w:tcPr>
            <w:tcW w:w="974" w:type="dxa"/>
            <w:tcBorders>
              <w:top w:val="nil"/>
              <w:left w:val="nil"/>
              <w:bottom w:val="nil"/>
              <w:right w:val="nil"/>
            </w:tcBorders>
            <w:shd w:val="clear" w:color="auto" w:fill="auto"/>
            <w:vAlign w:val="center"/>
            <w:hideMark/>
          </w:tcPr>
          <w:p w14:paraId="35BC83C7" w14:textId="77777777" w:rsidR="00755936" w:rsidRPr="00B4481B" w:rsidRDefault="00755936" w:rsidP="00272AD6">
            <w:pPr>
              <w:spacing w:after="0" w:line="240" w:lineRule="auto"/>
              <w:rPr>
                <w:rFonts w:ascii="Times New Roman" w:hAnsi="Times New Roman"/>
              </w:rPr>
            </w:pPr>
          </w:p>
        </w:tc>
        <w:tc>
          <w:tcPr>
            <w:tcW w:w="974" w:type="dxa"/>
            <w:tcBorders>
              <w:top w:val="nil"/>
              <w:left w:val="nil"/>
              <w:bottom w:val="nil"/>
              <w:right w:val="nil"/>
            </w:tcBorders>
            <w:shd w:val="clear" w:color="auto" w:fill="auto"/>
            <w:vAlign w:val="center"/>
            <w:hideMark/>
          </w:tcPr>
          <w:p w14:paraId="1C182B28" w14:textId="77777777" w:rsidR="00755936" w:rsidRPr="00B4481B" w:rsidRDefault="00755936" w:rsidP="00272AD6">
            <w:pPr>
              <w:spacing w:after="0" w:line="240" w:lineRule="auto"/>
              <w:rPr>
                <w:rFonts w:ascii="Times New Roman" w:hAnsi="Times New Roman"/>
              </w:rPr>
            </w:pPr>
          </w:p>
        </w:tc>
        <w:tc>
          <w:tcPr>
            <w:tcW w:w="315" w:type="dxa"/>
            <w:tcBorders>
              <w:top w:val="nil"/>
              <w:left w:val="nil"/>
              <w:bottom w:val="nil"/>
              <w:right w:val="nil"/>
            </w:tcBorders>
            <w:shd w:val="clear" w:color="auto" w:fill="auto"/>
            <w:vAlign w:val="center"/>
            <w:hideMark/>
          </w:tcPr>
          <w:p w14:paraId="663C6A68" w14:textId="77777777" w:rsidR="00755936" w:rsidRPr="00B4481B" w:rsidRDefault="00755936" w:rsidP="00272AD6">
            <w:pPr>
              <w:spacing w:after="0" w:line="240" w:lineRule="auto"/>
              <w:rPr>
                <w:rFonts w:ascii="Times New Roman" w:hAnsi="Times New Roman"/>
              </w:rPr>
            </w:pPr>
          </w:p>
        </w:tc>
        <w:tc>
          <w:tcPr>
            <w:tcW w:w="985" w:type="dxa"/>
            <w:tcBorders>
              <w:top w:val="nil"/>
              <w:left w:val="nil"/>
              <w:bottom w:val="nil"/>
              <w:right w:val="nil"/>
            </w:tcBorders>
            <w:shd w:val="clear" w:color="auto" w:fill="auto"/>
            <w:vAlign w:val="center"/>
            <w:hideMark/>
          </w:tcPr>
          <w:p w14:paraId="36CAFF8F" w14:textId="77777777" w:rsidR="00755936" w:rsidRPr="00B4481B" w:rsidRDefault="00755936" w:rsidP="00272AD6">
            <w:pPr>
              <w:spacing w:after="0" w:line="240" w:lineRule="auto"/>
              <w:rPr>
                <w:rFonts w:ascii="Times New Roman" w:hAnsi="Times New Roman"/>
              </w:rPr>
            </w:pPr>
          </w:p>
        </w:tc>
        <w:tc>
          <w:tcPr>
            <w:tcW w:w="985" w:type="dxa"/>
            <w:tcBorders>
              <w:top w:val="nil"/>
              <w:left w:val="nil"/>
              <w:bottom w:val="nil"/>
              <w:right w:val="nil"/>
            </w:tcBorders>
            <w:shd w:val="clear" w:color="auto" w:fill="auto"/>
            <w:vAlign w:val="center"/>
            <w:hideMark/>
          </w:tcPr>
          <w:p w14:paraId="24BADA62" w14:textId="77777777" w:rsidR="00755936" w:rsidRPr="00B4481B" w:rsidRDefault="00755936" w:rsidP="00272AD6">
            <w:pPr>
              <w:spacing w:after="0" w:line="240" w:lineRule="auto"/>
              <w:rPr>
                <w:rFonts w:ascii="Times New Roman" w:hAnsi="Times New Roman"/>
              </w:rPr>
            </w:pPr>
          </w:p>
        </w:tc>
      </w:tr>
      <w:tr w:rsidR="00755936" w:rsidRPr="00B4481B" w14:paraId="65AF9726" w14:textId="77777777" w:rsidTr="00272AD6">
        <w:trPr>
          <w:trHeight w:val="212"/>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716B"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Higher cost ($200-240m)</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70524"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$10</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D05E0"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$16.71 and $15.42</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74D60"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11,000-13,000</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01E0A"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15,000-16,000</w:t>
            </w:r>
          </w:p>
        </w:tc>
        <w:tc>
          <w:tcPr>
            <w:tcW w:w="315" w:type="dxa"/>
            <w:vMerge w:val="restart"/>
            <w:tcBorders>
              <w:top w:val="single" w:sz="4" w:space="0" w:color="auto"/>
              <w:left w:val="nil"/>
              <w:right w:val="single" w:sz="4" w:space="0" w:color="auto"/>
            </w:tcBorders>
            <w:shd w:val="clear" w:color="auto" w:fill="auto"/>
            <w:vAlign w:val="center"/>
            <w:hideMark/>
          </w:tcPr>
          <w:p w14:paraId="179D2806" w14:textId="77777777" w:rsidR="00755936" w:rsidRPr="00B4481B" w:rsidRDefault="00755936" w:rsidP="00272AD6">
            <w:pPr>
              <w:spacing w:after="0" w:line="240" w:lineRule="auto"/>
              <w:jc w:val="center"/>
              <w:rPr>
                <w:rFonts w:ascii="Calibri" w:hAnsi="Calibri" w:cs="Calibri"/>
                <w:color w:val="000000"/>
                <w:sz w:val="16"/>
                <w:szCs w:val="16"/>
              </w:rPr>
            </w:pPr>
            <w:r w:rsidRPr="00B4481B">
              <w:rPr>
                <w:rFonts w:ascii="Calibri" w:hAnsi="Calibri" w:cs="Calibri"/>
                <w:color w:val="000000"/>
                <w:sz w:val="16"/>
                <w:szCs w:val="16"/>
              </w:rPr>
              <w:t>A</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3151F1D"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$60,000</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5C574019"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c>
          <w:tcPr>
            <w:tcW w:w="315" w:type="dxa"/>
            <w:vMerge w:val="restart"/>
            <w:tcBorders>
              <w:top w:val="single" w:sz="4" w:space="0" w:color="auto"/>
              <w:left w:val="nil"/>
              <w:right w:val="single" w:sz="4" w:space="0" w:color="auto"/>
            </w:tcBorders>
            <w:shd w:val="clear" w:color="auto" w:fill="auto"/>
            <w:vAlign w:val="center"/>
            <w:hideMark/>
          </w:tcPr>
          <w:p w14:paraId="1A42F181" w14:textId="77777777" w:rsidR="00755936" w:rsidRPr="00B4481B" w:rsidRDefault="00755936" w:rsidP="00272AD6">
            <w:pPr>
              <w:spacing w:after="0" w:line="240" w:lineRule="auto"/>
              <w:jc w:val="center"/>
              <w:rPr>
                <w:rFonts w:ascii="Calibri" w:hAnsi="Calibri" w:cs="Calibri"/>
                <w:color w:val="000000"/>
                <w:sz w:val="16"/>
                <w:szCs w:val="16"/>
              </w:rPr>
            </w:pPr>
            <w:r>
              <w:rPr>
                <w:rFonts w:ascii="Calibri" w:hAnsi="Calibri" w:cs="Calibri"/>
                <w:color w:val="000000"/>
                <w:sz w:val="16"/>
                <w:szCs w:val="16"/>
              </w:rPr>
              <w:t>C</w:t>
            </w:r>
          </w:p>
        </w:tc>
        <w:tc>
          <w:tcPr>
            <w:tcW w:w="985" w:type="dxa"/>
            <w:tcBorders>
              <w:top w:val="nil"/>
              <w:left w:val="nil"/>
              <w:bottom w:val="single" w:sz="4" w:space="0" w:color="auto"/>
              <w:right w:val="single" w:sz="4" w:space="0" w:color="auto"/>
            </w:tcBorders>
            <w:shd w:val="clear" w:color="auto" w:fill="auto"/>
            <w:vAlign w:val="center"/>
            <w:hideMark/>
          </w:tcPr>
          <w:p w14:paraId="153793FE"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$42,700</w:t>
            </w:r>
          </w:p>
        </w:tc>
        <w:tc>
          <w:tcPr>
            <w:tcW w:w="985" w:type="dxa"/>
            <w:tcBorders>
              <w:top w:val="nil"/>
              <w:left w:val="nil"/>
              <w:bottom w:val="single" w:sz="4" w:space="0" w:color="auto"/>
              <w:right w:val="single" w:sz="4" w:space="0" w:color="auto"/>
            </w:tcBorders>
            <w:shd w:val="clear" w:color="auto" w:fill="auto"/>
            <w:vAlign w:val="center"/>
            <w:hideMark/>
          </w:tcPr>
          <w:p w14:paraId="10353E9C"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27%</w:t>
            </w:r>
          </w:p>
        </w:tc>
      </w:tr>
      <w:tr w:rsidR="00755936" w:rsidRPr="00B4481B" w14:paraId="3D38FBB1" w14:textId="77777777" w:rsidTr="00272AD6">
        <w:trPr>
          <w:trHeight w:val="212"/>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1C467AA7" w14:textId="77777777" w:rsidR="00755936" w:rsidRPr="00B4481B" w:rsidRDefault="00755936" w:rsidP="00272AD6">
            <w:pPr>
              <w:spacing w:after="0" w:line="240" w:lineRule="auto"/>
              <w:rPr>
                <w:rFonts w:cs="Calibri"/>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6DC1715" w14:textId="77777777" w:rsidR="00755936" w:rsidRPr="00B4481B" w:rsidRDefault="00755936" w:rsidP="00272AD6">
            <w:pPr>
              <w:spacing w:after="0" w:line="240" w:lineRule="auto"/>
              <w:rPr>
                <w:rFonts w:cs="Calibri"/>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546E663B"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2A54CAF7"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1FB1DEE"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hideMark/>
          </w:tcPr>
          <w:p w14:paraId="69B7EFC7"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hideMark/>
          </w:tcPr>
          <w:p w14:paraId="50768799"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$65,000</w:t>
            </w:r>
          </w:p>
        </w:tc>
        <w:tc>
          <w:tcPr>
            <w:tcW w:w="974" w:type="dxa"/>
            <w:tcBorders>
              <w:top w:val="nil"/>
              <w:left w:val="nil"/>
              <w:bottom w:val="single" w:sz="4" w:space="0" w:color="auto"/>
              <w:right w:val="single" w:sz="4" w:space="0" w:color="auto"/>
            </w:tcBorders>
            <w:shd w:val="clear" w:color="auto" w:fill="auto"/>
            <w:vAlign w:val="center"/>
            <w:hideMark/>
          </w:tcPr>
          <w:p w14:paraId="6E3CDE68"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31%</w:t>
            </w:r>
          </w:p>
        </w:tc>
        <w:tc>
          <w:tcPr>
            <w:tcW w:w="315" w:type="dxa"/>
            <w:vMerge/>
            <w:tcBorders>
              <w:left w:val="nil"/>
              <w:bottom w:val="single" w:sz="4" w:space="0" w:color="auto"/>
              <w:right w:val="single" w:sz="4" w:space="0" w:color="auto"/>
            </w:tcBorders>
            <w:shd w:val="clear" w:color="auto" w:fill="auto"/>
            <w:vAlign w:val="center"/>
            <w:hideMark/>
          </w:tcPr>
          <w:p w14:paraId="302D3637" w14:textId="77777777" w:rsidR="00755936" w:rsidRPr="00B4481B" w:rsidRDefault="00755936" w:rsidP="00272AD6">
            <w:pPr>
              <w:spacing w:after="0" w:line="240" w:lineRule="auto"/>
              <w:jc w:val="center"/>
              <w:rPr>
                <w:rFonts w:ascii="Calibri" w:hAnsi="Calibri" w:cs="Calibri"/>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hideMark/>
          </w:tcPr>
          <w:p w14:paraId="5185AE53"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$45,200</w:t>
            </w:r>
          </w:p>
        </w:tc>
        <w:tc>
          <w:tcPr>
            <w:tcW w:w="985" w:type="dxa"/>
            <w:tcBorders>
              <w:top w:val="nil"/>
              <w:left w:val="nil"/>
              <w:bottom w:val="single" w:sz="4" w:space="0" w:color="auto"/>
              <w:right w:val="single" w:sz="4" w:space="0" w:color="auto"/>
            </w:tcBorders>
            <w:shd w:val="clear" w:color="auto" w:fill="auto"/>
            <w:vAlign w:val="center"/>
            <w:hideMark/>
          </w:tcPr>
          <w:p w14:paraId="107D97E6"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r>
      <w:tr w:rsidR="00755936" w:rsidRPr="00B4481B" w14:paraId="55EA74B9" w14:textId="77777777" w:rsidTr="00272AD6">
        <w:trPr>
          <w:trHeight w:val="212"/>
        </w:trPr>
        <w:tc>
          <w:tcPr>
            <w:tcW w:w="859" w:type="dxa"/>
            <w:vMerge/>
            <w:tcBorders>
              <w:top w:val="single" w:sz="4" w:space="0" w:color="auto"/>
              <w:left w:val="single" w:sz="4" w:space="0" w:color="auto"/>
              <w:bottom w:val="single" w:sz="4" w:space="0" w:color="auto"/>
              <w:right w:val="single" w:sz="4" w:space="0" w:color="auto"/>
            </w:tcBorders>
            <w:vAlign w:val="center"/>
          </w:tcPr>
          <w:p w14:paraId="4E1C846D" w14:textId="77777777" w:rsidR="00755936" w:rsidRPr="00B4481B" w:rsidRDefault="00755936" w:rsidP="00272AD6">
            <w:pPr>
              <w:spacing w:after="0" w:line="240" w:lineRule="auto"/>
              <w:rPr>
                <w:rFonts w:cs="Calibri"/>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7111C3F" w14:textId="77777777" w:rsidR="00755936" w:rsidRPr="00B4481B" w:rsidRDefault="00755936" w:rsidP="00272AD6">
            <w:pPr>
              <w:spacing w:after="0" w:line="240" w:lineRule="auto"/>
              <w:rPr>
                <w:rFonts w:cs="Calibri"/>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26755DC7"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tcPr>
          <w:p w14:paraId="7F9B5A4E"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05E45953" w14:textId="77777777" w:rsidR="00755936" w:rsidRPr="00B4481B" w:rsidRDefault="00755936" w:rsidP="00272AD6">
            <w:pPr>
              <w:spacing w:after="0" w:line="240" w:lineRule="auto"/>
              <w:rPr>
                <w:rFonts w:cs="Calibri"/>
                <w:color w:val="000000"/>
                <w:sz w:val="16"/>
                <w:szCs w:val="16"/>
              </w:rPr>
            </w:pPr>
          </w:p>
        </w:tc>
        <w:tc>
          <w:tcPr>
            <w:tcW w:w="315" w:type="dxa"/>
            <w:vMerge w:val="restart"/>
            <w:tcBorders>
              <w:top w:val="nil"/>
              <w:left w:val="nil"/>
              <w:right w:val="single" w:sz="4" w:space="0" w:color="auto"/>
            </w:tcBorders>
            <w:shd w:val="clear" w:color="auto" w:fill="auto"/>
            <w:vAlign w:val="center"/>
          </w:tcPr>
          <w:p w14:paraId="244389B7" w14:textId="77777777" w:rsidR="00755936" w:rsidRPr="00B4481B" w:rsidRDefault="00755936" w:rsidP="00272AD6">
            <w:pPr>
              <w:spacing w:after="0" w:line="240" w:lineRule="auto"/>
              <w:jc w:val="center"/>
              <w:rPr>
                <w:rFonts w:ascii="Calibri" w:hAnsi="Calibri" w:cs="Calibri"/>
                <w:color w:val="000000"/>
                <w:sz w:val="16"/>
                <w:szCs w:val="16"/>
              </w:rPr>
            </w:pPr>
            <w:r>
              <w:rPr>
                <w:rFonts w:ascii="Calibri" w:hAnsi="Calibri" w:cs="Calibri"/>
                <w:color w:val="000000"/>
                <w:sz w:val="16"/>
                <w:szCs w:val="16"/>
              </w:rPr>
              <w:t>B</w:t>
            </w:r>
          </w:p>
        </w:tc>
        <w:tc>
          <w:tcPr>
            <w:tcW w:w="974" w:type="dxa"/>
            <w:tcBorders>
              <w:top w:val="nil"/>
              <w:left w:val="nil"/>
              <w:bottom w:val="single" w:sz="4" w:space="0" w:color="auto"/>
              <w:right w:val="single" w:sz="4" w:space="0" w:color="auto"/>
            </w:tcBorders>
            <w:shd w:val="clear" w:color="auto" w:fill="auto"/>
            <w:vAlign w:val="center"/>
          </w:tcPr>
          <w:p w14:paraId="4E06ECAC"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w:t>
            </w:r>
            <w:r>
              <w:rPr>
                <w:rFonts w:cs="Calibri"/>
                <w:color w:val="000000"/>
                <w:sz w:val="16"/>
                <w:szCs w:val="16"/>
              </w:rPr>
              <w:t>75</w:t>
            </w:r>
            <w:r w:rsidRPr="00B4481B">
              <w:rPr>
                <w:rFonts w:cs="Calibri"/>
                <w:color w:val="000000"/>
                <w:sz w:val="16"/>
                <w:szCs w:val="16"/>
              </w:rPr>
              <w:t>,000</w:t>
            </w:r>
          </w:p>
        </w:tc>
        <w:tc>
          <w:tcPr>
            <w:tcW w:w="974" w:type="dxa"/>
            <w:tcBorders>
              <w:top w:val="nil"/>
              <w:left w:val="nil"/>
              <w:bottom w:val="single" w:sz="4" w:space="0" w:color="auto"/>
              <w:right w:val="single" w:sz="4" w:space="0" w:color="auto"/>
            </w:tcBorders>
            <w:shd w:val="clear" w:color="auto" w:fill="auto"/>
            <w:vAlign w:val="center"/>
          </w:tcPr>
          <w:p w14:paraId="7AB26F5A"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w:t>
            </w:r>
            <w:r>
              <w:rPr>
                <w:rFonts w:cs="Calibri"/>
                <w:color w:val="000000"/>
                <w:sz w:val="16"/>
                <w:szCs w:val="16"/>
              </w:rPr>
              <w:t>3</w:t>
            </w:r>
            <w:r w:rsidRPr="00B4481B">
              <w:rPr>
                <w:rFonts w:cs="Calibri"/>
                <w:color w:val="000000"/>
                <w:sz w:val="16"/>
                <w:szCs w:val="16"/>
              </w:rPr>
              <w:t>%</w:t>
            </w:r>
          </w:p>
        </w:tc>
        <w:tc>
          <w:tcPr>
            <w:tcW w:w="2285" w:type="dxa"/>
            <w:gridSpan w:val="3"/>
            <w:vMerge w:val="restart"/>
            <w:tcBorders>
              <w:top w:val="nil"/>
              <w:left w:val="nil"/>
              <w:right w:val="single" w:sz="4" w:space="0" w:color="auto"/>
            </w:tcBorders>
            <w:shd w:val="clear" w:color="auto" w:fill="auto"/>
            <w:vAlign w:val="center"/>
          </w:tcPr>
          <w:p w14:paraId="2A66CCFA" w14:textId="77777777" w:rsidR="00755936" w:rsidRPr="00227D7E" w:rsidRDefault="00755936" w:rsidP="00272AD6">
            <w:pPr>
              <w:spacing w:after="0" w:line="240" w:lineRule="auto"/>
              <w:rPr>
                <w:rFonts w:ascii="Calibri" w:hAnsi="Calibri" w:cs="Calibri"/>
                <w:color w:val="000000"/>
                <w:sz w:val="16"/>
                <w:szCs w:val="16"/>
              </w:rPr>
            </w:pPr>
          </w:p>
          <w:p w14:paraId="44D26145"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 </w:t>
            </w:r>
          </w:p>
        </w:tc>
      </w:tr>
      <w:tr w:rsidR="00755936" w:rsidRPr="00B4481B" w14:paraId="291E3A8E" w14:textId="77777777" w:rsidTr="00272AD6">
        <w:trPr>
          <w:trHeight w:val="178"/>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1E8CC330" w14:textId="77777777" w:rsidR="00755936" w:rsidRPr="00B4481B" w:rsidRDefault="00755936" w:rsidP="00272AD6">
            <w:pPr>
              <w:spacing w:after="0" w:line="240" w:lineRule="auto"/>
              <w:rPr>
                <w:rFonts w:cs="Calibri"/>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1928C415" w14:textId="77777777" w:rsidR="00755936" w:rsidRPr="00B4481B" w:rsidRDefault="00755936" w:rsidP="00272AD6">
            <w:pPr>
              <w:spacing w:after="0" w:line="240" w:lineRule="auto"/>
              <w:rPr>
                <w:rFonts w:cs="Calibri"/>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4BF72395"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631CEFAE"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6823DD45"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hideMark/>
          </w:tcPr>
          <w:p w14:paraId="42EC91F5"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hideMark/>
          </w:tcPr>
          <w:p w14:paraId="08A84171"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$75,000</w:t>
            </w:r>
          </w:p>
        </w:tc>
        <w:tc>
          <w:tcPr>
            <w:tcW w:w="974" w:type="dxa"/>
            <w:tcBorders>
              <w:top w:val="nil"/>
              <w:left w:val="nil"/>
              <w:bottom w:val="single" w:sz="4" w:space="0" w:color="auto"/>
              <w:right w:val="single" w:sz="4" w:space="0" w:color="auto"/>
            </w:tcBorders>
            <w:shd w:val="clear" w:color="auto" w:fill="auto"/>
            <w:vAlign w:val="center"/>
            <w:hideMark/>
          </w:tcPr>
          <w:p w14:paraId="39E352EF"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35%</w:t>
            </w:r>
          </w:p>
        </w:tc>
        <w:tc>
          <w:tcPr>
            <w:tcW w:w="2285" w:type="dxa"/>
            <w:gridSpan w:val="3"/>
            <w:vMerge/>
            <w:tcBorders>
              <w:left w:val="nil"/>
              <w:bottom w:val="single" w:sz="4" w:space="0" w:color="auto"/>
              <w:right w:val="single" w:sz="4" w:space="0" w:color="auto"/>
            </w:tcBorders>
            <w:shd w:val="clear" w:color="auto" w:fill="auto"/>
            <w:vAlign w:val="center"/>
            <w:hideMark/>
          </w:tcPr>
          <w:p w14:paraId="60F16E38" w14:textId="77777777" w:rsidR="00755936" w:rsidRPr="00B4481B" w:rsidRDefault="00755936" w:rsidP="00272AD6">
            <w:pPr>
              <w:spacing w:after="0" w:line="240" w:lineRule="auto"/>
              <w:jc w:val="center"/>
              <w:rPr>
                <w:rFonts w:cs="Calibri"/>
                <w:color w:val="000000"/>
                <w:sz w:val="16"/>
                <w:szCs w:val="16"/>
              </w:rPr>
            </w:pPr>
          </w:p>
        </w:tc>
      </w:tr>
      <w:tr w:rsidR="00755936" w:rsidRPr="00B4481B" w14:paraId="51EC7F48" w14:textId="77777777" w:rsidTr="00272AD6">
        <w:trPr>
          <w:trHeight w:val="212"/>
        </w:trPr>
        <w:tc>
          <w:tcPr>
            <w:tcW w:w="859" w:type="dxa"/>
            <w:tcBorders>
              <w:top w:val="nil"/>
              <w:left w:val="single" w:sz="4" w:space="0" w:color="auto"/>
              <w:bottom w:val="nil"/>
              <w:right w:val="nil"/>
            </w:tcBorders>
            <w:shd w:val="clear" w:color="auto" w:fill="auto"/>
            <w:vAlign w:val="center"/>
            <w:hideMark/>
          </w:tcPr>
          <w:p w14:paraId="07B915C2" w14:textId="77777777" w:rsidR="00755936" w:rsidRPr="00B4481B" w:rsidRDefault="00755936" w:rsidP="00272AD6">
            <w:pPr>
              <w:spacing w:after="0" w:line="240" w:lineRule="auto"/>
              <w:rPr>
                <w:rFonts w:cs="Calibri"/>
                <w:b/>
                <w:bCs/>
                <w:color w:val="000000"/>
                <w:sz w:val="16"/>
                <w:szCs w:val="16"/>
              </w:rPr>
            </w:pPr>
            <w:r w:rsidRPr="00B4481B">
              <w:rPr>
                <w:rFonts w:cs="Calibri"/>
                <w:b/>
                <w:bCs/>
                <w:color w:val="000000"/>
                <w:sz w:val="16"/>
                <w:szCs w:val="16"/>
              </w:rPr>
              <w:t> </w:t>
            </w:r>
          </w:p>
        </w:tc>
        <w:tc>
          <w:tcPr>
            <w:tcW w:w="800" w:type="dxa"/>
            <w:tcBorders>
              <w:top w:val="nil"/>
              <w:left w:val="nil"/>
              <w:bottom w:val="nil"/>
              <w:right w:val="nil"/>
            </w:tcBorders>
            <w:shd w:val="clear" w:color="auto" w:fill="auto"/>
            <w:vAlign w:val="center"/>
            <w:hideMark/>
          </w:tcPr>
          <w:p w14:paraId="6284617B" w14:textId="77777777" w:rsidR="00755936" w:rsidRPr="00B4481B" w:rsidRDefault="00755936" w:rsidP="00272AD6">
            <w:pPr>
              <w:spacing w:after="0" w:line="240" w:lineRule="auto"/>
              <w:rPr>
                <w:rFonts w:cs="Calibri"/>
                <w:b/>
                <w:bCs/>
                <w:color w:val="000000"/>
                <w:sz w:val="16"/>
                <w:szCs w:val="16"/>
              </w:rPr>
            </w:pPr>
          </w:p>
        </w:tc>
        <w:tc>
          <w:tcPr>
            <w:tcW w:w="857" w:type="dxa"/>
            <w:tcBorders>
              <w:top w:val="nil"/>
              <w:left w:val="nil"/>
              <w:bottom w:val="nil"/>
              <w:right w:val="nil"/>
            </w:tcBorders>
            <w:shd w:val="clear" w:color="auto" w:fill="auto"/>
            <w:vAlign w:val="center"/>
            <w:hideMark/>
          </w:tcPr>
          <w:p w14:paraId="0B9C99C2" w14:textId="77777777" w:rsidR="00755936" w:rsidRPr="00B4481B" w:rsidRDefault="00755936" w:rsidP="00272AD6">
            <w:pPr>
              <w:spacing w:after="0" w:line="240" w:lineRule="auto"/>
              <w:rPr>
                <w:rFonts w:ascii="Times New Roman" w:hAnsi="Times New Roman"/>
              </w:rPr>
            </w:pPr>
          </w:p>
        </w:tc>
        <w:tc>
          <w:tcPr>
            <w:tcW w:w="856" w:type="dxa"/>
            <w:tcBorders>
              <w:top w:val="nil"/>
              <w:left w:val="nil"/>
              <w:bottom w:val="nil"/>
              <w:right w:val="nil"/>
            </w:tcBorders>
            <w:shd w:val="clear" w:color="auto" w:fill="auto"/>
            <w:vAlign w:val="center"/>
            <w:hideMark/>
          </w:tcPr>
          <w:p w14:paraId="11C35470" w14:textId="77777777" w:rsidR="00755936" w:rsidRPr="00B4481B" w:rsidRDefault="00755936" w:rsidP="00272AD6">
            <w:pPr>
              <w:spacing w:after="0" w:line="240" w:lineRule="auto"/>
              <w:rPr>
                <w:rFonts w:ascii="Times New Roman" w:hAnsi="Times New Roman"/>
              </w:rPr>
            </w:pPr>
          </w:p>
        </w:tc>
        <w:tc>
          <w:tcPr>
            <w:tcW w:w="856" w:type="dxa"/>
            <w:tcBorders>
              <w:top w:val="nil"/>
              <w:left w:val="nil"/>
              <w:bottom w:val="nil"/>
              <w:right w:val="nil"/>
            </w:tcBorders>
            <w:shd w:val="clear" w:color="auto" w:fill="auto"/>
            <w:vAlign w:val="center"/>
            <w:hideMark/>
          </w:tcPr>
          <w:p w14:paraId="0D8AFF91" w14:textId="77777777" w:rsidR="00755936" w:rsidRPr="00B4481B" w:rsidRDefault="00755936" w:rsidP="00272AD6">
            <w:pPr>
              <w:spacing w:after="0" w:line="240" w:lineRule="auto"/>
              <w:rPr>
                <w:rFonts w:ascii="Times New Roman" w:hAnsi="Times New Roman"/>
              </w:rPr>
            </w:pPr>
          </w:p>
        </w:tc>
        <w:tc>
          <w:tcPr>
            <w:tcW w:w="315" w:type="dxa"/>
            <w:tcBorders>
              <w:top w:val="nil"/>
              <w:left w:val="nil"/>
              <w:bottom w:val="nil"/>
              <w:right w:val="nil"/>
            </w:tcBorders>
            <w:shd w:val="clear" w:color="auto" w:fill="auto"/>
            <w:vAlign w:val="center"/>
            <w:hideMark/>
          </w:tcPr>
          <w:p w14:paraId="287B1DF7" w14:textId="77777777" w:rsidR="00755936" w:rsidRPr="00B4481B" w:rsidRDefault="00755936" w:rsidP="00272AD6">
            <w:pPr>
              <w:spacing w:after="0" w:line="240" w:lineRule="auto"/>
              <w:rPr>
                <w:rFonts w:ascii="Times New Roman" w:hAnsi="Times New Roman"/>
              </w:rPr>
            </w:pPr>
          </w:p>
        </w:tc>
        <w:tc>
          <w:tcPr>
            <w:tcW w:w="974" w:type="dxa"/>
            <w:tcBorders>
              <w:top w:val="nil"/>
              <w:left w:val="nil"/>
              <w:bottom w:val="nil"/>
              <w:right w:val="nil"/>
            </w:tcBorders>
            <w:shd w:val="clear" w:color="auto" w:fill="auto"/>
            <w:vAlign w:val="center"/>
            <w:hideMark/>
          </w:tcPr>
          <w:p w14:paraId="163960BA" w14:textId="77777777" w:rsidR="00755936" w:rsidRPr="00B4481B" w:rsidRDefault="00755936" w:rsidP="00272AD6">
            <w:pPr>
              <w:spacing w:after="0" w:line="240" w:lineRule="auto"/>
              <w:rPr>
                <w:rFonts w:ascii="Times New Roman" w:hAnsi="Times New Roman"/>
              </w:rPr>
            </w:pPr>
          </w:p>
        </w:tc>
        <w:tc>
          <w:tcPr>
            <w:tcW w:w="974" w:type="dxa"/>
            <w:tcBorders>
              <w:top w:val="nil"/>
              <w:left w:val="nil"/>
              <w:bottom w:val="nil"/>
              <w:right w:val="nil"/>
            </w:tcBorders>
            <w:shd w:val="clear" w:color="auto" w:fill="auto"/>
            <w:vAlign w:val="center"/>
            <w:hideMark/>
          </w:tcPr>
          <w:p w14:paraId="32408ACD" w14:textId="77777777" w:rsidR="00755936" w:rsidRPr="00B4481B" w:rsidRDefault="00755936" w:rsidP="00272AD6">
            <w:pPr>
              <w:spacing w:after="0" w:line="240" w:lineRule="auto"/>
              <w:rPr>
                <w:rFonts w:ascii="Times New Roman" w:hAnsi="Times New Roman"/>
              </w:rPr>
            </w:pPr>
          </w:p>
        </w:tc>
        <w:tc>
          <w:tcPr>
            <w:tcW w:w="315" w:type="dxa"/>
            <w:tcBorders>
              <w:top w:val="nil"/>
              <w:left w:val="nil"/>
              <w:bottom w:val="nil"/>
              <w:right w:val="nil"/>
            </w:tcBorders>
            <w:shd w:val="clear" w:color="auto" w:fill="auto"/>
            <w:vAlign w:val="center"/>
            <w:hideMark/>
          </w:tcPr>
          <w:p w14:paraId="71199C08" w14:textId="77777777" w:rsidR="00755936" w:rsidRPr="00B4481B" w:rsidRDefault="00755936" w:rsidP="00272AD6">
            <w:pPr>
              <w:spacing w:after="0" w:line="240" w:lineRule="auto"/>
              <w:rPr>
                <w:rFonts w:ascii="Times New Roman" w:hAnsi="Times New Roman"/>
              </w:rPr>
            </w:pPr>
          </w:p>
        </w:tc>
        <w:tc>
          <w:tcPr>
            <w:tcW w:w="985" w:type="dxa"/>
            <w:tcBorders>
              <w:top w:val="nil"/>
              <w:left w:val="nil"/>
              <w:bottom w:val="nil"/>
              <w:right w:val="nil"/>
            </w:tcBorders>
            <w:shd w:val="clear" w:color="auto" w:fill="auto"/>
            <w:vAlign w:val="center"/>
            <w:hideMark/>
          </w:tcPr>
          <w:p w14:paraId="7E83DCA2" w14:textId="77777777" w:rsidR="00755936" w:rsidRPr="00B4481B" w:rsidRDefault="00755936" w:rsidP="00272AD6">
            <w:pPr>
              <w:spacing w:after="0" w:line="240" w:lineRule="auto"/>
              <w:rPr>
                <w:rFonts w:ascii="Times New Roman" w:hAnsi="Times New Roman"/>
              </w:rPr>
            </w:pPr>
          </w:p>
        </w:tc>
        <w:tc>
          <w:tcPr>
            <w:tcW w:w="985" w:type="dxa"/>
            <w:tcBorders>
              <w:top w:val="nil"/>
              <w:left w:val="nil"/>
              <w:bottom w:val="nil"/>
              <w:right w:val="nil"/>
            </w:tcBorders>
            <w:shd w:val="clear" w:color="auto" w:fill="auto"/>
            <w:vAlign w:val="center"/>
            <w:hideMark/>
          </w:tcPr>
          <w:p w14:paraId="23B42B43" w14:textId="77777777" w:rsidR="00755936" w:rsidRPr="00B4481B" w:rsidRDefault="00755936" w:rsidP="00272AD6">
            <w:pPr>
              <w:spacing w:after="0" w:line="240" w:lineRule="auto"/>
              <w:rPr>
                <w:rFonts w:ascii="Times New Roman" w:hAnsi="Times New Roman"/>
              </w:rPr>
            </w:pPr>
          </w:p>
        </w:tc>
      </w:tr>
      <w:tr w:rsidR="00755936" w:rsidRPr="00B4481B" w14:paraId="32003C05" w14:textId="77777777" w:rsidTr="00272AD6">
        <w:trPr>
          <w:trHeight w:val="212"/>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BD41B" w14:textId="77777777" w:rsidR="00755936" w:rsidRPr="00B4481B" w:rsidRDefault="00755936" w:rsidP="00272AD6">
            <w:pPr>
              <w:spacing w:after="0" w:line="240" w:lineRule="auto"/>
              <w:jc w:val="center"/>
              <w:rPr>
                <w:rFonts w:cs="Calibri"/>
                <w:b/>
                <w:bCs/>
                <w:color w:val="000000"/>
                <w:sz w:val="16"/>
                <w:szCs w:val="16"/>
              </w:rPr>
            </w:pPr>
            <w:r w:rsidRPr="00B4481B">
              <w:rPr>
                <w:rFonts w:cs="Calibri"/>
                <w:b/>
                <w:bCs/>
                <w:color w:val="000000"/>
                <w:sz w:val="16"/>
                <w:szCs w:val="16"/>
              </w:rPr>
              <w:t>High cost ($360-400m)</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4FFAE"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$15</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17107"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$21.71 and $20.42</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A09F0"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16,000-17,000</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6C0158"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22,000-23</w:t>
            </w:r>
            <w:r>
              <w:rPr>
                <w:rFonts w:cs="Calibri"/>
                <w:color w:val="000000"/>
                <w:sz w:val="16"/>
                <w:szCs w:val="16"/>
              </w:rPr>
              <w:t>,</w:t>
            </w:r>
            <w:r w:rsidRPr="00B4481B">
              <w:rPr>
                <w:rFonts w:cs="Calibri"/>
                <w:color w:val="000000"/>
                <w:sz w:val="16"/>
                <w:szCs w:val="16"/>
              </w:rPr>
              <w:t>000</w:t>
            </w:r>
          </w:p>
        </w:tc>
        <w:tc>
          <w:tcPr>
            <w:tcW w:w="315" w:type="dxa"/>
            <w:vMerge w:val="restart"/>
            <w:tcBorders>
              <w:top w:val="single" w:sz="4" w:space="0" w:color="auto"/>
              <w:left w:val="nil"/>
              <w:right w:val="single" w:sz="4" w:space="0" w:color="auto"/>
            </w:tcBorders>
            <w:shd w:val="clear" w:color="auto" w:fill="auto"/>
            <w:vAlign w:val="center"/>
            <w:hideMark/>
          </w:tcPr>
          <w:p w14:paraId="287C7FE9" w14:textId="77777777" w:rsidR="00755936" w:rsidRPr="00B4481B" w:rsidRDefault="00755936" w:rsidP="00272AD6">
            <w:pPr>
              <w:spacing w:after="0" w:line="240" w:lineRule="auto"/>
              <w:jc w:val="center"/>
              <w:rPr>
                <w:rFonts w:ascii="Calibri" w:hAnsi="Calibri" w:cs="Calibri"/>
                <w:color w:val="000000"/>
                <w:sz w:val="16"/>
                <w:szCs w:val="16"/>
              </w:rPr>
            </w:pPr>
            <w:r w:rsidRPr="00B4481B">
              <w:rPr>
                <w:rFonts w:ascii="Calibri" w:hAnsi="Calibri" w:cs="Calibri"/>
                <w:color w:val="000000"/>
                <w:sz w:val="16"/>
                <w:szCs w:val="16"/>
              </w:rPr>
              <w:t>A</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4B43D9B2"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$60,000</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5036985"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c>
          <w:tcPr>
            <w:tcW w:w="315" w:type="dxa"/>
            <w:vMerge w:val="restart"/>
            <w:tcBorders>
              <w:top w:val="single" w:sz="4" w:space="0" w:color="auto"/>
              <w:left w:val="nil"/>
              <w:right w:val="single" w:sz="4" w:space="0" w:color="auto"/>
            </w:tcBorders>
            <w:shd w:val="clear" w:color="auto" w:fill="auto"/>
            <w:vAlign w:val="center"/>
            <w:hideMark/>
          </w:tcPr>
          <w:p w14:paraId="6EF3BD59" w14:textId="77777777" w:rsidR="00755936" w:rsidRPr="00B4481B" w:rsidRDefault="00755936" w:rsidP="00272AD6">
            <w:pPr>
              <w:spacing w:after="0" w:line="240" w:lineRule="auto"/>
              <w:jc w:val="center"/>
              <w:rPr>
                <w:rFonts w:ascii="Calibri" w:hAnsi="Calibri" w:cs="Calibri"/>
                <w:color w:val="000000"/>
                <w:sz w:val="16"/>
                <w:szCs w:val="16"/>
              </w:rPr>
            </w:pPr>
            <w:r>
              <w:rPr>
                <w:rFonts w:ascii="Calibri" w:hAnsi="Calibri" w:cs="Calibri"/>
                <w:color w:val="000000"/>
                <w:sz w:val="16"/>
                <w:szCs w:val="16"/>
              </w:rPr>
              <w:t>C</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17B3FBB7"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$42,700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6ECC6309"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27%</w:t>
            </w:r>
          </w:p>
        </w:tc>
      </w:tr>
      <w:tr w:rsidR="00755936" w:rsidRPr="00B4481B" w14:paraId="0707A302" w14:textId="77777777" w:rsidTr="00272AD6">
        <w:trPr>
          <w:trHeight w:val="212"/>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4E0B4716" w14:textId="77777777" w:rsidR="00755936" w:rsidRPr="00B4481B" w:rsidRDefault="00755936" w:rsidP="00272AD6">
            <w:pPr>
              <w:spacing w:after="0" w:line="240" w:lineRule="auto"/>
              <w:rPr>
                <w:rFonts w:cs="Calibri"/>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21B2E478" w14:textId="77777777" w:rsidR="00755936" w:rsidRPr="00B4481B" w:rsidRDefault="00755936" w:rsidP="00272AD6">
            <w:pPr>
              <w:spacing w:after="0" w:line="240" w:lineRule="auto"/>
              <w:rPr>
                <w:rFonts w:cs="Calibri"/>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66F3A263"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2BA9A527"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2631A64E"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hideMark/>
          </w:tcPr>
          <w:p w14:paraId="59C5CFB5"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hideMark/>
          </w:tcPr>
          <w:p w14:paraId="14BE36A3"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$65,000</w:t>
            </w:r>
          </w:p>
        </w:tc>
        <w:tc>
          <w:tcPr>
            <w:tcW w:w="974" w:type="dxa"/>
            <w:tcBorders>
              <w:top w:val="nil"/>
              <w:left w:val="nil"/>
              <w:bottom w:val="single" w:sz="4" w:space="0" w:color="auto"/>
              <w:right w:val="single" w:sz="4" w:space="0" w:color="auto"/>
            </w:tcBorders>
            <w:shd w:val="clear" w:color="auto" w:fill="auto"/>
            <w:vAlign w:val="center"/>
            <w:hideMark/>
          </w:tcPr>
          <w:p w14:paraId="6042C38F"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31%</w:t>
            </w:r>
          </w:p>
        </w:tc>
        <w:tc>
          <w:tcPr>
            <w:tcW w:w="315" w:type="dxa"/>
            <w:vMerge/>
            <w:tcBorders>
              <w:left w:val="nil"/>
              <w:bottom w:val="single" w:sz="4" w:space="0" w:color="auto"/>
              <w:right w:val="single" w:sz="4" w:space="0" w:color="auto"/>
            </w:tcBorders>
            <w:shd w:val="clear" w:color="auto" w:fill="auto"/>
            <w:vAlign w:val="center"/>
            <w:hideMark/>
          </w:tcPr>
          <w:p w14:paraId="7C553590" w14:textId="77777777" w:rsidR="00755936" w:rsidRPr="00B4481B" w:rsidRDefault="00755936" w:rsidP="00272AD6">
            <w:pPr>
              <w:spacing w:after="0" w:line="240" w:lineRule="auto"/>
              <w:jc w:val="center"/>
              <w:rPr>
                <w:rFonts w:ascii="Calibri" w:hAnsi="Calibri" w:cs="Calibri"/>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hideMark/>
          </w:tcPr>
          <w:p w14:paraId="6BF4D5BD"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$45,200</w:t>
            </w:r>
          </w:p>
        </w:tc>
        <w:tc>
          <w:tcPr>
            <w:tcW w:w="985" w:type="dxa"/>
            <w:tcBorders>
              <w:top w:val="nil"/>
              <w:left w:val="nil"/>
              <w:bottom w:val="single" w:sz="4" w:space="0" w:color="auto"/>
              <w:right w:val="single" w:sz="4" w:space="0" w:color="auto"/>
            </w:tcBorders>
            <w:shd w:val="clear" w:color="auto" w:fill="auto"/>
            <w:vAlign w:val="center"/>
            <w:hideMark/>
          </w:tcPr>
          <w:p w14:paraId="2AB89A63"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29%</w:t>
            </w:r>
          </w:p>
        </w:tc>
      </w:tr>
      <w:tr w:rsidR="00755936" w:rsidRPr="00B4481B" w14:paraId="7D8FCC33" w14:textId="77777777" w:rsidTr="00272AD6">
        <w:trPr>
          <w:trHeight w:val="212"/>
        </w:trPr>
        <w:tc>
          <w:tcPr>
            <w:tcW w:w="859" w:type="dxa"/>
            <w:vMerge/>
            <w:tcBorders>
              <w:top w:val="single" w:sz="4" w:space="0" w:color="auto"/>
              <w:left w:val="single" w:sz="4" w:space="0" w:color="auto"/>
              <w:bottom w:val="single" w:sz="4" w:space="0" w:color="auto"/>
              <w:right w:val="single" w:sz="4" w:space="0" w:color="auto"/>
            </w:tcBorders>
            <w:vAlign w:val="center"/>
          </w:tcPr>
          <w:p w14:paraId="4B052B70" w14:textId="77777777" w:rsidR="00755936" w:rsidRPr="00B4481B" w:rsidRDefault="00755936" w:rsidP="00272AD6">
            <w:pPr>
              <w:spacing w:after="0" w:line="240" w:lineRule="auto"/>
              <w:rPr>
                <w:rFonts w:cs="Calibri"/>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0604BDE" w14:textId="77777777" w:rsidR="00755936" w:rsidRPr="00B4481B" w:rsidRDefault="00755936" w:rsidP="00272AD6">
            <w:pPr>
              <w:spacing w:after="0" w:line="240" w:lineRule="auto"/>
              <w:rPr>
                <w:rFonts w:cs="Calibri"/>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294B57DF"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tcPr>
          <w:p w14:paraId="4A76BFC8"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tcPr>
          <w:p w14:paraId="48A83738" w14:textId="77777777" w:rsidR="00755936" w:rsidRPr="00B4481B" w:rsidRDefault="00755936" w:rsidP="00272AD6">
            <w:pPr>
              <w:spacing w:after="0" w:line="240" w:lineRule="auto"/>
              <w:rPr>
                <w:rFonts w:cs="Calibri"/>
                <w:color w:val="000000"/>
                <w:sz w:val="16"/>
                <w:szCs w:val="16"/>
              </w:rPr>
            </w:pPr>
          </w:p>
        </w:tc>
        <w:tc>
          <w:tcPr>
            <w:tcW w:w="315" w:type="dxa"/>
            <w:vMerge w:val="restart"/>
            <w:tcBorders>
              <w:top w:val="nil"/>
              <w:left w:val="nil"/>
              <w:right w:val="single" w:sz="4" w:space="0" w:color="auto"/>
            </w:tcBorders>
            <w:shd w:val="clear" w:color="auto" w:fill="auto"/>
            <w:vAlign w:val="center"/>
          </w:tcPr>
          <w:p w14:paraId="785B37D5" w14:textId="77777777" w:rsidR="00755936" w:rsidRPr="00B4481B" w:rsidRDefault="00755936" w:rsidP="00272AD6">
            <w:pPr>
              <w:spacing w:after="0" w:line="240" w:lineRule="auto"/>
              <w:jc w:val="center"/>
              <w:rPr>
                <w:rFonts w:ascii="Calibri" w:hAnsi="Calibri" w:cs="Calibri"/>
                <w:color w:val="000000"/>
                <w:sz w:val="16"/>
                <w:szCs w:val="16"/>
              </w:rPr>
            </w:pPr>
            <w:r>
              <w:rPr>
                <w:rFonts w:ascii="Calibri" w:hAnsi="Calibri" w:cs="Calibri"/>
                <w:color w:val="000000"/>
                <w:sz w:val="16"/>
                <w:szCs w:val="16"/>
              </w:rPr>
              <w:t>B</w:t>
            </w:r>
          </w:p>
        </w:tc>
        <w:tc>
          <w:tcPr>
            <w:tcW w:w="974" w:type="dxa"/>
            <w:tcBorders>
              <w:top w:val="nil"/>
              <w:left w:val="nil"/>
              <w:bottom w:val="single" w:sz="4" w:space="0" w:color="auto"/>
              <w:right w:val="single" w:sz="4" w:space="0" w:color="auto"/>
            </w:tcBorders>
            <w:shd w:val="clear" w:color="auto" w:fill="auto"/>
            <w:vAlign w:val="center"/>
          </w:tcPr>
          <w:p w14:paraId="5E79D413"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w:t>
            </w:r>
            <w:r>
              <w:rPr>
                <w:rFonts w:cs="Calibri"/>
                <w:color w:val="000000"/>
                <w:sz w:val="16"/>
                <w:szCs w:val="16"/>
              </w:rPr>
              <w:t>75</w:t>
            </w:r>
            <w:r w:rsidRPr="00B4481B">
              <w:rPr>
                <w:rFonts w:cs="Calibri"/>
                <w:color w:val="000000"/>
                <w:sz w:val="16"/>
                <w:szCs w:val="16"/>
              </w:rPr>
              <w:t>,000</w:t>
            </w:r>
          </w:p>
        </w:tc>
        <w:tc>
          <w:tcPr>
            <w:tcW w:w="974" w:type="dxa"/>
            <w:tcBorders>
              <w:top w:val="nil"/>
              <w:left w:val="nil"/>
              <w:bottom w:val="single" w:sz="4" w:space="0" w:color="auto"/>
              <w:right w:val="single" w:sz="4" w:space="0" w:color="auto"/>
            </w:tcBorders>
            <w:shd w:val="clear" w:color="auto" w:fill="auto"/>
            <w:vAlign w:val="center"/>
          </w:tcPr>
          <w:p w14:paraId="02C9B3C0"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w:t>
            </w:r>
            <w:r>
              <w:rPr>
                <w:rFonts w:cs="Calibri"/>
                <w:color w:val="000000"/>
                <w:sz w:val="16"/>
                <w:szCs w:val="16"/>
              </w:rPr>
              <w:t>3</w:t>
            </w:r>
            <w:r w:rsidRPr="00B4481B">
              <w:rPr>
                <w:rFonts w:cs="Calibri"/>
                <w:color w:val="000000"/>
                <w:sz w:val="16"/>
                <w:szCs w:val="16"/>
              </w:rPr>
              <w:t>%</w:t>
            </w:r>
          </w:p>
        </w:tc>
        <w:tc>
          <w:tcPr>
            <w:tcW w:w="2285" w:type="dxa"/>
            <w:gridSpan w:val="3"/>
            <w:vMerge w:val="restart"/>
            <w:tcBorders>
              <w:top w:val="nil"/>
              <w:left w:val="nil"/>
              <w:right w:val="single" w:sz="4" w:space="0" w:color="auto"/>
            </w:tcBorders>
            <w:shd w:val="clear" w:color="auto" w:fill="auto"/>
            <w:vAlign w:val="center"/>
          </w:tcPr>
          <w:p w14:paraId="0F016DDF" w14:textId="77777777" w:rsidR="00755936" w:rsidRPr="00227D7E" w:rsidRDefault="00755936" w:rsidP="00272AD6">
            <w:pPr>
              <w:spacing w:after="0" w:line="240" w:lineRule="auto"/>
              <w:jc w:val="center"/>
              <w:rPr>
                <w:rFonts w:ascii="Calibri" w:hAnsi="Calibri" w:cs="Calibri"/>
                <w:color w:val="000000"/>
                <w:sz w:val="16"/>
                <w:szCs w:val="16"/>
              </w:rPr>
            </w:pPr>
          </w:p>
          <w:p w14:paraId="44E0C26E"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 </w:t>
            </w:r>
          </w:p>
        </w:tc>
      </w:tr>
      <w:tr w:rsidR="00755936" w:rsidRPr="00B4481B" w14:paraId="0A6C72A0" w14:textId="77777777" w:rsidTr="00272AD6">
        <w:trPr>
          <w:trHeight w:val="212"/>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1099C35B" w14:textId="77777777" w:rsidR="00755936" w:rsidRPr="00B4481B" w:rsidRDefault="00755936" w:rsidP="00272AD6">
            <w:pPr>
              <w:spacing w:after="0" w:line="240" w:lineRule="auto"/>
              <w:rPr>
                <w:rFonts w:cs="Calibri"/>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75E8333A" w14:textId="77777777" w:rsidR="00755936" w:rsidRPr="00B4481B" w:rsidRDefault="00755936" w:rsidP="00272AD6">
            <w:pPr>
              <w:spacing w:after="0" w:line="240" w:lineRule="auto"/>
              <w:rPr>
                <w:rFonts w:cs="Calibri"/>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6802289C"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35DCE248" w14:textId="77777777" w:rsidR="00755936" w:rsidRPr="00B4481B" w:rsidRDefault="00755936" w:rsidP="00272AD6">
            <w:pPr>
              <w:spacing w:after="0" w:line="240" w:lineRule="auto"/>
              <w:rPr>
                <w:rFonts w:cs="Calibri"/>
                <w:color w:val="000000"/>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75E1B66D" w14:textId="77777777" w:rsidR="00755936" w:rsidRPr="00B4481B" w:rsidRDefault="00755936" w:rsidP="00272AD6">
            <w:pPr>
              <w:spacing w:after="0" w:line="240" w:lineRule="auto"/>
              <w:rPr>
                <w:rFonts w:cs="Calibri"/>
                <w:color w:val="000000"/>
                <w:sz w:val="16"/>
                <w:szCs w:val="16"/>
              </w:rPr>
            </w:pPr>
          </w:p>
        </w:tc>
        <w:tc>
          <w:tcPr>
            <w:tcW w:w="315" w:type="dxa"/>
            <w:vMerge/>
            <w:tcBorders>
              <w:left w:val="nil"/>
              <w:bottom w:val="single" w:sz="4" w:space="0" w:color="auto"/>
              <w:right w:val="single" w:sz="4" w:space="0" w:color="auto"/>
            </w:tcBorders>
            <w:shd w:val="clear" w:color="auto" w:fill="auto"/>
            <w:vAlign w:val="center"/>
            <w:hideMark/>
          </w:tcPr>
          <w:p w14:paraId="6F205E5E" w14:textId="77777777" w:rsidR="00755936" w:rsidRPr="00B4481B" w:rsidRDefault="00755936" w:rsidP="00272AD6">
            <w:pPr>
              <w:spacing w:after="0" w:line="240" w:lineRule="auto"/>
              <w:jc w:val="center"/>
              <w:rPr>
                <w:rFonts w:ascii="Calibri" w:hAnsi="Calibri" w:cs="Calibri"/>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hideMark/>
          </w:tcPr>
          <w:p w14:paraId="47D13635"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$75,000</w:t>
            </w:r>
          </w:p>
        </w:tc>
        <w:tc>
          <w:tcPr>
            <w:tcW w:w="974" w:type="dxa"/>
            <w:tcBorders>
              <w:top w:val="nil"/>
              <w:left w:val="nil"/>
              <w:bottom w:val="single" w:sz="4" w:space="0" w:color="auto"/>
              <w:right w:val="single" w:sz="4" w:space="0" w:color="auto"/>
            </w:tcBorders>
            <w:shd w:val="clear" w:color="auto" w:fill="auto"/>
            <w:vAlign w:val="center"/>
            <w:hideMark/>
          </w:tcPr>
          <w:p w14:paraId="4019650C" w14:textId="77777777" w:rsidR="00755936" w:rsidRPr="00B4481B" w:rsidRDefault="00755936" w:rsidP="00272AD6">
            <w:pPr>
              <w:spacing w:after="0" w:line="240" w:lineRule="auto"/>
              <w:jc w:val="center"/>
              <w:rPr>
                <w:rFonts w:cs="Calibri"/>
                <w:color w:val="000000"/>
                <w:sz w:val="16"/>
                <w:szCs w:val="16"/>
              </w:rPr>
            </w:pPr>
            <w:r w:rsidRPr="00B4481B">
              <w:rPr>
                <w:rFonts w:cs="Calibri"/>
                <w:color w:val="000000"/>
                <w:sz w:val="16"/>
                <w:szCs w:val="16"/>
              </w:rPr>
              <w:t>35%</w:t>
            </w:r>
          </w:p>
        </w:tc>
        <w:tc>
          <w:tcPr>
            <w:tcW w:w="2285" w:type="dxa"/>
            <w:gridSpan w:val="3"/>
            <w:vMerge/>
            <w:tcBorders>
              <w:left w:val="nil"/>
              <w:bottom w:val="single" w:sz="4" w:space="0" w:color="auto"/>
              <w:right w:val="single" w:sz="4" w:space="0" w:color="auto"/>
            </w:tcBorders>
            <w:shd w:val="clear" w:color="auto" w:fill="auto"/>
            <w:vAlign w:val="center"/>
            <w:hideMark/>
          </w:tcPr>
          <w:p w14:paraId="29465660" w14:textId="77777777" w:rsidR="00755936" w:rsidRPr="00B4481B" w:rsidRDefault="00755936" w:rsidP="00272AD6">
            <w:pPr>
              <w:spacing w:after="0" w:line="240" w:lineRule="auto"/>
              <w:jc w:val="center"/>
              <w:rPr>
                <w:rFonts w:cs="Calibri"/>
                <w:color w:val="000000"/>
                <w:sz w:val="16"/>
                <w:szCs w:val="16"/>
              </w:rPr>
            </w:pPr>
          </w:p>
        </w:tc>
      </w:tr>
    </w:tbl>
    <w:p w14:paraId="221E814F" w14:textId="77777777" w:rsidR="006973C0" w:rsidRDefault="006973C0" w:rsidP="00A85B24">
      <w:pPr>
        <w:spacing w:after="0"/>
        <w:rPr>
          <w:lang w:val="en-NZ"/>
        </w:rPr>
      </w:pPr>
    </w:p>
    <w:p w14:paraId="594FF4E9" w14:textId="5D1E0AF0" w:rsidR="000F7C47" w:rsidRDefault="000F7C47" w:rsidP="00AF6ECC">
      <w:pPr>
        <w:rPr>
          <w:lang w:val="en-NZ"/>
        </w:rPr>
      </w:pPr>
      <w:r>
        <w:rPr>
          <w:lang w:val="en-NZ"/>
        </w:rPr>
        <w:t xml:space="preserve">Ministers </w:t>
      </w:r>
      <w:r w:rsidR="004535DF">
        <w:rPr>
          <w:lang w:val="en-NZ"/>
        </w:rPr>
        <w:t xml:space="preserve">were </w:t>
      </w:r>
      <w:r>
        <w:rPr>
          <w:lang w:val="en-NZ"/>
        </w:rPr>
        <w:t>advised that</w:t>
      </w:r>
      <w:r w:rsidR="00B9150C">
        <w:rPr>
          <w:lang w:val="en-NZ"/>
        </w:rPr>
        <w:t>:</w:t>
      </w:r>
    </w:p>
    <w:p w14:paraId="28214FFE" w14:textId="68953FBC" w:rsidR="000F7C47" w:rsidRDefault="000F7C47" w:rsidP="005460D3">
      <w:pPr>
        <w:pStyle w:val="ListParagraph"/>
        <w:numPr>
          <w:ilvl w:val="0"/>
          <w:numId w:val="19"/>
        </w:numPr>
        <w:ind w:left="714" w:hanging="357"/>
        <w:contextualSpacing w:val="0"/>
      </w:pPr>
      <w:r w:rsidRPr="000F7C47">
        <w:t>The single-tier options redistribute funding from a much broader range of middle-higher income families and have a more modest impact on EMTRs.</w:t>
      </w:r>
    </w:p>
    <w:p w14:paraId="05FB6EEE" w14:textId="77777777" w:rsidR="004535DF" w:rsidRDefault="000F7C47" w:rsidP="005460D3">
      <w:pPr>
        <w:pStyle w:val="ListParagraph"/>
        <w:numPr>
          <w:ilvl w:val="0"/>
          <w:numId w:val="19"/>
        </w:numPr>
        <w:ind w:left="714" w:hanging="357"/>
        <w:contextualSpacing w:val="0"/>
      </w:pPr>
      <w:r w:rsidRPr="00742F16">
        <w:t xml:space="preserve">The </w:t>
      </w:r>
      <w:r>
        <w:t xml:space="preserve">two-tier </w:t>
      </w:r>
      <w:r w:rsidRPr="00742F16">
        <w:t>options</w:t>
      </w:r>
      <w:r>
        <w:t xml:space="preserve"> </w:t>
      </w:r>
      <w:r w:rsidRPr="00742F16">
        <w:t>redistribute funding from a smaller group of comparatively higher income families, and a significant increase in EMTRs is concentrated within this group.</w:t>
      </w:r>
    </w:p>
    <w:p w14:paraId="093415EA" w14:textId="1342738C" w:rsidR="004535DF" w:rsidRPr="00982842" w:rsidRDefault="004535DF" w:rsidP="005460D3">
      <w:pPr>
        <w:pStyle w:val="ListParagraph"/>
        <w:numPr>
          <w:ilvl w:val="0"/>
          <w:numId w:val="19"/>
        </w:numPr>
        <w:ind w:left="714" w:hanging="357"/>
        <w:contextualSpacing w:val="0"/>
      </w:pPr>
      <w:r w:rsidRPr="004535DF">
        <w:rPr>
          <w:rFonts w:cstheme="minorBidi"/>
        </w:rPr>
        <w:t xml:space="preserve">Some of the impacts on work incentives created by the options in this paper could potentially be mitigated by further changes progressed as part of phase two of </w:t>
      </w:r>
      <w:r w:rsidR="007F67AA">
        <w:rPr>
          <w:rFonts w:cstheme="minorBidi"/>
        </w:rPr>
        <w:t>the review</w:t>
      </w:r>
      <w:r w:rsidRPr="004535DF">
        <w:rPr>
          <w:rFonts w:cstheme="minorBidi"/>
        </w:rPr>
        <w:t xml:space="preserve">. However, such options may turn out to be limited if fiscal, operational, or other constraints arise in the intervening period, and some of the more expensive options in this paper may limit ‘headroom’ for further WFF reform. </w:t>
      </w:r>
    </w:p>
    <w:p w14:paraId="407CE3B6" w14:textId="4EF17F34" w:rsidR="00AA4B9E" w:rsidRPr="00613CF3" w:rsidRDefault="00996809" w:rsidP="00982842">
      <w:r>
        <w:t>O</w:t>
      </w:r>
      <w:r w:rsidR="00376012">
        <w:t>ptions that increase the FTC rate by $10 or $15</w:t>
      </w:r>
      <w:r w:rsidR="00812755">
        <w:t xml:space="preserve"> and most of the $7.50 increase options </w:t>
      </w:r>
      <w:r w:rsidR="00423C6B" w:rsidRPr="00791162">
        <w:t xml:space="preserve">have the greatest impact on child poverty but </w:t>
      </w:r>
      <w:r w:rsidR="00AA4B9E" w:rsidRPr="00791162">
        <w:t xml:space="preserve">are </w:t>
      </w:r>
      <w:r w:rsidR="00423C6B" w:rsidRPr="00791162">
        <w:t xml:space="preserve">also </w:t>
      </w:r>
      <w:r w:rsidR="00C72718" w:rsidRPr="00791162">
        <w:t xml:space="preserve">relatively </w:t>
      </w:r>
      <w:r w:rsidR="00AA4B9E" w:rsidRPr="00791162">
        <w:t>higher</w:t>
      </w:r>
      <w:r w:rsidR="00681279" w:rsidRPr="00791162">
        <w:t xml:space="preserve"> cost</w:t>
      </w:r>
      <w:r w:rsidR="0090141A" w:rsidRPr="00791162">
        <w:t>.</w:t>
      </w:r>
      <w:r w:rsidR="00681279" w:rsidRPr="00791162">
        <w:t xml:space="preserve"> </w:t>
      </w:r>
      <w:r w:rsidR="0090141A" w:rsidRPr="00791162">
        <w:t>Ultimately, Ministers ruled these out</w:t>
      </w:r>
      <w:r w:rsidR="0090141A" w:rsidRPr="00613CF3">
        <w:t>.</w:t>
      </w:r>
    </w:p>
    <w:p w14:paraId="5F456FC1" w14:textId="7094C622" w:rsidR="00742578" w:rsidRPr="002D4301" w:rsidRDefault="00812755" w:rsidP="00982842">
      <w:r w:rsidRPr="00254386">
        <w:t>Options that change the existing WFF abatement threshold or which introduce a second WFF abatement threshold</w:t>
      </w:r>
      <w:r w:rsidR="00996809" w:rsidRPr="009E1D30">
        <w:t xml:space="preserve"> </w:t>
      </w:r>
      <w:r w:rsidR="00D852B6" w:rsidRPr="009E1D30">
        <w:t>are more significant structural changes that could pre-empt the work that will take place in</w:t>
      </w:r>
      <w:r w:rsidR="00996809" w:rsidRPr="00006761">
        <w:t xml:space="preserve"> phase two</w:t>
      </w:r>
      <w:r w:rsidR="00534BF1" w:rsidRPr="00006761">
        <w:t>.</w:t>
      </w:r>
      <w:r w:rsidR="00FB205D" w:rsidRPr="004133F8">
        <w:t xml:space="preserve"> They </w:t>
      </w:r>
      <w:r w:rsidR="004F4FA4">
        <w:t>often resulted in</w:t>
      </w:r>
      <w:r w:rsidR="00FB205D" w:rsidRPr="004133F8">
        <w:t xml:space="preserve"> high increases to EMTRs</w:t>
      </w:r>
      <w:r w:rsidR="00996809" w:rsidRPr="006A0DF1">
        <w:t xml:space="preserve"> </w:t>
      </w:r>
      <w:r w:rsidR="00FB205D" w:rsidRPr="006A0DF1">
        <w:t xml:space="preserve">and </w:t>
      </w:r>
      <w:r w:rsidR="00806E7A" w:rsidRPr="00CC3F0E">
        <w:t>a significant number of losers</w:t>
      </w:r>
      <w:r w:rsidR="006609D8" w:rsidRPr="00CC3F0E">
        <w:t xml:space="preserve">. </w:t>
      </w:r>
      <w:r w:rsidR="004C2169" w:rsidRPr="002D4301">
        <w:t>T</w:t>
      </w:r>
      <w:r w:rsidR="00534BF1" w:rsidRPr="002D4301">
        <w:t xml:space="preserve">hese options </w:t>
      </w:r>
      <w:r w:rsidR="00996809" w:rsidRPr="002D4301">
        <w:t xml:space="preserve">were </w:t>
      </w:r>
      <w:r w:rsidR="00C72718" w:rsidRPr="002D4301">
        <w:t xml:space="preserve">also </w:t>
      </w:r>
      <w:r w:rsidR="00996809" w:rsidRPr="002D4301">
        <w:t>ruled out by Ministers.</w:t>
      </w:r>
    </w:p>
    <w:p w14:paraId="084773A7" w14:textId="1681E870" w:rsidR="00C772E1" w:rsidRPr="00254386" w:rsidRDefault="004C2169" w:rsidP="00982842">
      <w:r w:rsidRPr="00C104A9">
        <w:t>Most of the options</w:t>
      </w:r>
      <w:r w:rsidR="00742578" w:rsidRPr="00C104A9">
        <w:t xml:space="preserve"> </w:t>
      </w:r>
      <w:r w:rsidR="00D852B6" w:rsidRPr="00C104A9">
        <w:t xml:space="preserve">that were </w:t>
      </w:r>
      <w:r w:rsidR="00742578" w:rsidRPr="00C104A9">
        <w:t>progressed in the</w:t>
      </w:r>
      <w:r w:rsidR="0076589E" w:rsidRPr="00C104A9">
        <w:t xml:space="preserve"> </w:t>
      </w:r>
      <w:r w:rsidR="0076589E" w:rsidRPr="00C104A9">
        <w:rPr>
          <w:i/>
          <w:iCs/>
        </w:rPr>
        <w:t>Working for Families Review: further advice on options for Budget 2022</w:t>
      </w:r>
      <w:r w:rsidR="0076589E" w:rsidRPr="00D56A77">
        <w:t xml:space="preserve"> </w:t>
      </w:r>
      <w:r w:rsidRPr="00D56A77">
        <w:t>(A2</w:t>
      </w:r>
      <w:r w:rsidR="00B85D12">
        <w:t xml:space="preserve">, A3 and </w:t>
      </w:r>
      <w:r w:rsidRPr="00D56A77">
        <w:t xml:space="preserve">B) </w:t>
      </w:r>
      <w:r w:rsidR="0076589E" w:rsidRPr="00D56A77">
        <w:t>were chosen for their low</w:t>
      </w:r>
      <w:r w:rsidR="00D852B6" w:rsidRPr="00D56A77">
        <w:t>er</w:t>
      </w:r>
      <w:r w:rsidR="0076589E" w:rsidRPr="00D56A77">
        <w:t xml:space="preserve"> fiscal cost</w:t>
      </w:r>
      <w:r w:rsidR="00FC3B97" w:rsidRPr="00D56A77">
        <w:t>,</w:t>
      </w:r>
      <w:r w:rsidR="0076589E" w:rsidRPr="00D56A77">
        <w:t xml:space="preserve"> minimal impact on EMTRs and </w:t>
      </w:r>
      <w:r w:rsidR="00FC3B97" w:rsidRPr="00D56A77">
        <w:t>relative simplicity.</w:t>
      </w:r>
      <w:r w:rsidR="00D35352" w:rsidRPr="00D56A77">
        <w:t xml:space="preserve"> Although </w:t>
      </w:r>
      <w:r w:rsidR="00D35352" w:rsidRPr="00791162">
        <w:t xml:space="preserve">option A1 was outside of the fiscal envelope </w:t>
      </w:r>
      <w:r w:rsidR="00F26C93" w:rsidRPr="00791162">
        <w:t>Ministers outlined</w:t>
      </w:r>
      <w:r w:rsidR="00F26C93" w:rsidRPr="00613CF3">
        <w:t xml:space="preserve"> </w:t>
      </w:r>
      <w:r w:rsidR="00D35352" w:rsidRPr="00791162">
        <w:t xml:space="preserve">for </w:t>
      </w:r>
      <w:r w:rsidR="003B0EC8" w:rsidRPr="00791162">
        <w:t>options in this stage of advice</w:t>
      </w:r>
      <w:r w:rsidR="00D35352" w:rsidRPr="00613CF3">
        <w:t xml:space="preserve">, it was included to allow for comparison with an option that did not tighten </w:t>
      </w:r>
      <w:r w:rsidR="00D35352" w:rsidRPr="00254386">
        <w:t>targeting.</w:t>
      </w:r>
    </w:p>
    <w:p w14:paraId="36C8351C" w14:textId="5904DDA1" w:rsidR="00890704" w:rsidRPr="00791162" w:rsidRDefault="00451829" w:rsidP="00431D54">
      <w:pPr>
        <w:spacing w:before="240"/>
        <w:rPr>
          <w:b/>
          <w:bCs/>
          <w:i/>
          <w:iCs/>
          <w:lang w:val="en-NZ"/>
        </w:rPr>
      </w:pPr>
      <w:r w:rsidRPr="00791162">
        <w:rPr>
          <w:b/>
          <w:bCs/>
          <w:i/>
          <w:iCs/>
          <w:lang w:val="en-NZ"/>
        </w:rPr>
        <w:t>Concurrent options</w:t>
      </w:r>
    </w:p>
    <w:p w14:paraId="2AB74893" w14:textId="06B79926" w:rsidR="00451829" w:rsidRDefault="00451829" w:rsidP="00431D54">
      <w:pPr>
        <w:spacing w:before="240"/>
        <w:rPr>
          <w:lang w:val="en-NZ"/>
        </w:rPr>
      </w:pPr>
      <w:r w:rsidRPr="00791162">
        <w:rPr>
          <w:lang w:val="en-NZ"/>
        </w:rPr>
        <w:t>The following options were presented to Ministers as part of initial advice alongside the redistributive package.</w:t>
      </w:r>
    </w:p>
    <w:p w14:paraId="4C7B097E" w14:textId="1C016990" w:rsidR="00CF0405" w:rsidRDefault="00CF0405" w:rsidP="00CF0405">
      <w:pPr>
        <w:shd w:val="clear" w:color="auto" w:fill="BFBFBF" w:themeFill="background1" w:themeFillShade="BF"/>
        <w:spacing w:before="240"/>
        <w:rPr>
          <w:lang w:val="en-NZ"/>
        </w:rPr>
      </w:pPr>
      <w:r>
        <w:rPr>
          <w:lang w:val="en-NZ"/>
        </w:rPr>
        <w:t>s 9(2)(f)(iv)</w:t>
      </w:r>
    </w:p>
    <w:p w14:paraId="7D3B7D7E" w14:textId="6E4A5636" w:rsidR="00CF0405" w:rsidRDefault="00CF0405" w:rsidP="00CF0405">
      <w:pPr>
        <w:shd w:val="clear" w:color="auto" w:fill="BFBFBF" w:themeFill="background1" w:themeFillShade="BF"/>
        <w:spacing w:before="240"/>
        <w:rPr>
          <w:lang w:val="en-NZ"/>
        </w:rPr>
      </w:pPr>
    </w:p>
    <w:p w14:paraId="34DA572B" w14:textId="374EE8B5" w:rsidR="00CF0405" w:rsidRDefault="00CF0405" w:rsidP="00CF0405">
      <w:pPr>
        <w:shd w:val="clear" w:color="auto" w:fill="BFBFBF" w:themeFill="background1" w:themeFillShade="BF"/>
        <w:spacing w:before="240"/>
        <w:rPr>
          <w:lang w:val="en-NZ"/>
        </w:rPr>
      </w:pPr>
    </w:p>
    <w:p w14:paraId="69424AA8" w14:textId="2F37063E" w:rsidR="00CF0405" w:rsidRDefault="00CF0405" w:rsidP="00CF0405">
      <w:pPr>
        <w:shd w:val="clear" w:color="auto" w:fill="BFBFBF" w:themeFill="background1" w:themeFillShade="BF"/>
        <w:spacing w:before="240"/>
        <w:rPr>
          <w:lang w:val="en-NZ"/>
        </w:rPr>
      </w:pPr>
    </w:p>
    <w:p w14:paraId="6CF751FC" w14:textId="67112C1A" w:rsidR="00CF0405" w:rsidRDefault="00CF0405" w:rsidP="00CF0405">
      <w:pPr>
        <w:shd w:val="clear" w:color="auto" w:fill="BFBFBF" w:themeFill="background1" w:themeFillShade="BF"/>
        <w:spacing w:before="240"/>
        <w:rPr>
          <w:lang w:val="en-NZ"/>
        </w:rPr>
      </w:pPr>
    </w:p>
    <w:p w14:paraId="18D5CF85" w14:textId="5D86CE46" w:rsidR="00CF0405" w:rsidRDefault="00CF0405" w:rsidP="00CF0405">
      <w:pPr>
        <w:shd w:val="clear" w:color="auto" w:fill="BFBFBF" w:themeFill="background1" w:themeFillShade="BF"/>
        <w:spacing w:before="240"/>
        <w:rPr>
          <w:lang w:val="en-NZ"/>
        </w:rPr>
      </w:pPr>
    </w:p>
    <w:p w14:paraId="17A42CAC" w14:textId="105282C7" w:rsidR="00CF0405" w:rsidRDefault="00CF0405" w:rsidP="00CF0405">
      <w:pPr>
        <w:shd w:val="clear" w:color="auto" w:fill="BFBFBF" w:themeFill="background1" w:themeFillShade="BF"/>
        <w:spacing w:before="240"/>
        <w:rPr>
          <w:lang w:val="en-NZ"/>
        </w:rPr>
      </w:pPr>
    </w:p>
    <w:p w14:paraId="486FB9ED" w14:textId="013C8454" w:rsidR="00CF0405" w:rsidRDefault="00CF0405" w:rsidP="00CF0405">
      <w:pPr>
        <w:shd w:val="clear" w:color="auto" w:fill="BFBFBF" w:themeFill="background1" w:themeFillShade="BF"/>
        <w:spacing w:before="240"/>
        <w:rPr>
          <w:lang w:val="en-NZ"/>
        </w:rPr>
      </w:pPr>
    </w:p>
    <w:p w14:paraId="09AD4C15" w14:textId="584C72A2" w:rsidR="00CF0405" w:rsidRDefault="00CF0405" w:rsidP="00CF0405">
      <w:pPr>
        <w:shd w:val="clear" w:color="auto" w:fill="BFBFBF" w:themeFill="background1" w:themeFillShade="BF"/>
        <w:spacing w:before="240"/>
        <w:rPr>
          <w:lang w:val="en-NZ"/>
        </w:rPr>
      </w:pPr>
    </w:p>
    <w:p w14:paraId="07D68E41" w14:textId="4D1C03DE" w:rsidR="00CF0405" w:rsidRDefault="00CF0405" w:rsidP="00CF0405">
      <w:pPr>
        <w:shd w:val="clear" w:color="auto" w:fill="BFBFBF" w:themeFill="background1" w:themeFillShade="BF"/>
        <w:spacing w:before="240"/>
        <w:rPr>
          <w:lang w:val="en-NZ"/>
        </w:rPr>
      </w:pPr>
    </w:p>
    <w:p w14:paraId="46CD3497" w14:textId="49674FA2" w:rsidR="00CF0405" w:rsidRDefault="00CF0405" w:rsidP="00CF0405">
      <w:pPr>
        <w:shd w:val="clear" w:color="auto" w:fill="BFBFBF" w:themeFill="background1" w:themeFillShade="BF"/>
        <w:spacing w:before="240"/>
        <w:rPr>
          <w:lang w:val="en-NZ"/>
        </w:rPr>
      </w:pPr>
    </w:p>
    <w:p w14:paraId="1B66DE55" w14:textId="546C2C9C" w:rsidR="00CF0405" w:rsidRDefault="00CF0405" w:rsidP="00CF0405">
      <w:pPr>
        <w:shd w:val="clear" w:color="auto" w:fill="BFBFBF" w:themeFill="background1" w:themeFillShade="BF"/>
        <w:spacing w:before="240"/>
        <w:rPr>
          <w:lang w:val="en-NZ"/>
        </w:rPr>
      </w:pPr>
    </w:p>
    <w:p w14:paraId="54F82C52" w14:textId="4FC922D9" w:rsidR="00CF0405" w:rsidRDefault="00CF0405" w:rsidP="00CF0405">
      <w:pPr>
        <w:shd w:val="clear" w:color="auto" w:fill="BFBFBF" w:themeFill="background1" w:themeFillShade="BF"/>
        <w:spacing w:before="240"/>
        <w:rPr>
          <w:lang w:val="en-NZ"/>
        </w:rPr>
      </w:pPr>
    </w:p>
    <w:p w14:paraId="724ACF99" w14:textId="3B0B0895" w:rsidR="00CF0405" w:rsidRDefault="00CF0405" w:rsidP="00CF0405">
      <w:pPr>
        <w:shd w:val="clear" w:color="auto" w:fill="BFBFBF" w:themeFill="background1" w:themeFillShade="BF"/>
        <w:spacing w:before="240"/>
        <w:rPr>
          <w:lang w:val="en-NZ"/>
        </w:rPr>
      </w:pPr>
    </w:p>
    <w:p w14:paraId="31551A77" w14:textId="28E51502" w:rsidR="00CF0405" w:rsidRDefault="00CF0405" w:rsidP="00CF0405">
      <w:pPr>
        <w:shd w:val="clear" w:color="auto" w:fill="BFBFBF" w:themeFill="background1" w:themeFillShade="BF"/>
        <w:spacing w:before="240"/>
        <w:rPr>
          <w:lang w:val="en-NZ"/>
        </w:rPr>
      </w:pPr>
    </w:p>
    <w:p w14:paraId="7763B608" w14:textId="474B359C" w:rsidR="00CF0405" w:rsidRDefault="00CF0405" w:rsidP="00CF0405">
      <w:pPr>
        <w:shd w:val="clear" w:color="auto" w:fill="BFBFBF" w:themeFill="background1" w:themeFillShade="BF"/>
        <w:spacing w:before="240"/>
        <w:rPr>
          <w:lang w:val="en-NZ"/>
        </w:rPr>
      </w:pPr>
    </w:p>
    <w:p w14:paraId="2B54804F" w14:textId="63CB19FC" w:rsidR="00CF0405" w:rsidRDefault="00CF0405" w:rsidP="00CF0405">
      <w:pPr>
        <w:shd w:val="clear" w:color="auto" w:fill="BFBFBF" w:themeFill="background1" w:themeFillShade="BF"/>
        <w:spacing w:before="240"/>
        <w:rPr>
          <w:lang w:val="en-NZ"/>
        </w:rPr>
      </w:pPr>
    </w:p>
    <w:p w14:paraId="01B0B6BC" w14:textId="735F0A22" w:rsidR="00CF0405" w:rsidRDefault="00CF0405" w:rsidP="00CF0405">
      <w:pPr>
        <w:shd w:val="clear" w:color="auto" w:fill="BFBFBF" w:themeFill="background1" w:themeFillShade="BF"/>
        <w:spacing w:before="240"/>
        <w:rPr>
          <w:lang w:val="en-NZ"/>
        </w:rPr>
      </w:pPr>
    </w:p>
    <w:p w14:paraId="2014B144" w14:textId="50038EB7" w:rsidR="00CF0405" w:rsidRDefault="00BB1F8C" w:rsidP="00CF0405">
      <w:pPr>
        <w:shd w:val="clear" w:color="auto" w:fill="BFBFBF" w:themeFill="background1" w:themeFillShade="BF"/>
        <w:spacing w:before="240"/>
        <w:rPr>
          <w:lang w:val="en-NZ"/>
        </w:rPr>
      </w:pPr>
      <w:r>
        <w:rPr>
          <w:lang w:val="en-NZ"/>
        </w:rPr>
        <w:t>s 9(2)(f)(iv)</w:t>
      </w:r>
    </w:p>
    <w:p w14:paraId="631F0A38" w14:textId="38D7F3AA" w:rsidR="00CF0405" w:rsidRDefault="00CF0405" w:rsidP="00CF0405">
      <w:pPr>
        <w:shd w:val="clear" w:color="auto" w:fill="BFBFBF" w:themeFill="background1" w:themeFillShade="BF"/>
        <w:spacing w:before="240"/>
        <w:rPr>
          <w:lang w:val="en-NZ"/>
        </w:rPr>
      </w:pPr>
    </w:p>
    <w:p w14:paraId="4FAB9B1F" w14:textId="056AD05A" w:rsidR="00CF0405" w:rsidRDefault="00CF0405" w:rsidP="00CF0405">
      <w:pPr>
        <w:shd w:val="clear" w:color="auto" w:fill="BFBFBF" w:themeFill="background1" w:themeFillShade="BF"/>
        <w:spacing w:before="240"/>
        <w:rPr>
          <w:lang w:val="en-NZ"/>
        </w:rPr>
      </w:pPr>
    </w:p>
    <w:p w14:paraId="5CA6F844" w14:textId="0C8F24DE" w:rsidR="00CF0405" w:rsidRDefault="00CF0405" w:rsidP="00CF0405">
      <w:pPr>
        <w:shd w:val="clear" w:color="auto" w:fill="BFBFBF" w:themeFill="background1" w:themeFillShade="BF"/>
        <w:spacing w:before="240"/>
        <w:rPr>
          <w:lang w:val="en-NZ"/>
        </w:rPr>
      </w:pPr>
    </w:p>
    <w:p w14:paraId="7B5B7D48" w14:textId="7FE22E09" w:rsidR="00CF0405" w:rsidRDefault="00CF0405" w:rsidP="00CF0405">
      <w:pPr>
        <w:shd w:val="clear" w:color="auto" w:fill="BFBFBF" w:themeFill="background1" w:themeFillShade="BF"/>
        <w:spacing w:before="240"/>
        <w:rPr>
          <w:lang w:val="en-NZ"/>
        </w:rPr>
      </w:pPr>
    </w:p>
    <w:p w14:paraId="06651553" w14:textId="77777777" w:rsidR="00CF0405" w:rsidRPr="00431D54" w:rsidRDefault="00CF0405" w:rsidP="00CF0405">
      <w:pPr>
        <w:shd w:val="clear" w:color="auto" w:fill="BFBFBF" w:themeFill="background1" w:themeFillShade="BF"/>
        <w:spacing w:before="240"/>
        <w:rPr>
          <w:lang w:val="en-NZ"/>
        </w:rPr>
      </w:pPr>
    </w:p>
    <w:p w14:paraId="49594D97" w14:textId="2955AAF9" w:rsidR="00F60DE0" w:rsidRPr="00252CED" w:rsidRDefault="00F60DE0" w:rsidP="00AF6ECC">
      <w:pPr>
        <w:rPr>
          <w:b/>
          <w:bCs/>
          <w:lang w:val="en-NZ"/>
        </w:rPr>
      </w:pPr>
      <w:r w:rsidRPr="00252CED">
        <w:rPr>
          <w:b/>
          <w:bCs/>
          <w:lang w:val="en-NZ"/>
        </w:rPr>
        <w:t xml:space="preserve">Subsequent advice to Ministers on </w:t>
      </w:r>
      <w:r w:rsidR="004421A1" w:rsidRPr="00791162">
        <w:rPr>
          <w:b/>
          <w:bCs/>
          <w:lang w:val="en-NZ"/>
        </w:rPr>
        <w:t>final</w:t>
      </w:r>
      <w:r w:rsidR="004421A1" w:rsidRPr="00613CF3">
        <w:rPr>
          <w:b/>
          <w:bCs/>
          <w:lang w:val="en-NZ"/>
        </w:rPr>
        <w:t xml:space="preserve"> </w:t>
      </w:r>
      <w:r w:rsidRPr="00613CF3">
        <w:rPr>
          <w:b/>
          <w:bCs/>
          <w:lang w:val="en-NZ"/>
        </w:rPr>
        <w:t>o</w:t>
      </w:r>
      <w:r w:rsidRPr="00252CED">
        <w:rPr>
          <w:b/>
          <w:bCs/>
          <w:lang w:val="en-NZ"/>
        </w:rPr>
        <w:t>ptions for phase one</w:t>
      </w:r>
    </w:p>
    <w:p w14:paraId="4A742789" w14:textId="02C10A18" w:rsidR="00F60DE0" w:rsidRDefault="00F60DE0" w:rsidP="00F60DE0">
      <w:pPr>
        <w:rPr>
          <w:lang w:val="en-NZ"/>
        </w:rPr>
      </w:pPr>
      <w:r>
        <w:rPr>
          <w:lang w:val="en-NZ"/>
        </w:rPr>
        <w:t>Following the first round of ad</w:t>
      </w:r>
      <w:r w:rsidR="00351B00">
        <w:rPr>
          <w:lang w:val="en-NZ"/>
        </w:rPr>
        <w:t>v</w:t>
      </w:r>
      <w:r>
        <w:rPr>
          <w:lang w:val="en-NZ"/>
        </w:rPr>
        <w:t>ice, Ministers requested further advice on Budget 2022 options which:</w:t>
      </w:r>
    </w:p>
    <w:p w14:paraId="36263940" w14:textId="77777777" w:rsidR="006B3C77" w:rsidRDefault="00F60DE0" w:rsidP="006B3C77">
      <w:pPr>
        <w:pStyle w:val="ReportBody"/>
        <w:numPr>
          <w:ilvl w:val="0"/>
          <w:numId w:val="27"/>
        </w:numPr>
        <w:tabs>
          <w:tab w:val="left" w:pos="720"/>
        </w:tabs>
        <w:spacing w:before="0" w:after="0"/>
        <w:rPr>
          <w:rFonts w:ascii="Arial" w:hAnsi="Arial"/>
          <w:sz w:val="22"/>
          <w:szCs w:val="22"/>
        </w:rPr>
      </w:pPr>
      <w:r>
        <w:rPr>
          <w:rFonts w:ascii="Arial" w:hAnsi="Arial"/>
          <w:sz w:val="22"/>
          <w:szCs w:val="22"/>
        </w:rPr>
        <w:t xml:space="preserve">have </w:t>
      </w:r>
      <w:r w:rsidRPr="00E06088">
        <w:rPr>
          <w:rFonts w:ascii="Arial" w:hAnsi="Arial"/>
          <w:sz w:val="22"/>
          <w:szCs w:val="22"/>
        </w:rPr>
        <w:t>modest increases to the rate of FTC</w:t>
      </w:r>
    </w:p>
    <w:p w14:paraId="151FBE1B" w14:textId="77777777" w:rsidR="006B3C77" w:rsidRDefault="00F60DE0" w:rsidP="006B3C77">
      <w:pPr>
        <w:pStyle w:val="ReportBody"/>
        <w:numPr>
          <w:ilvl w:val="0"/>
          <w:numId w:val="27"/>
        </w:numPr>
        <w:tabs>
          <w:tab w:val="left" w:pos="720"/>
        </w:tabs>
        <w:spacing w:before="0" w:after="0"/>
        <w:rPr>
          <w:rFonts w:ascii="Arial" w:hAnsi="Arial"/>
          <w:sz w:val="22"/>
          <w:szCs w:val="22"/>
        </w:rPr>
      </w:pPr>
      <w:r w:rsidRPr="006B3C77">
        <w:rPr>
          <w:rFonts w:ascii="Arial" w:hAnsi="Arial"/>
          <w:sz w:val="22"/>
          <w:szCs w:val="22"/>
        </w:rPr>
        <w:t>cost around $50 - $100 million per year</w:t>
      </w:r>
    </w:p>
    <w:p w14:paraId="10BC6EA5" w14:textId="77777777" w:rsidR="006B3C77" w:rsidRDefault="00F60DE0" w:rsidP="006B3C77">
      <w:pPr>
        <w:pStyle w:val="ReportBody"/>
        <w:numPr>
          <w:ilvl w:val="0"/>
          <w:numId w:val="27"/>
        </w:numPr>
        <w:tabs>
          <w:tab w:val="left" w:pos="720"/>
        </w:tabs>
        <w:spacing w:before="0" w:after="0"/>
        <w:rPr>
          <w:rFonts w:ascii="Arial" w:hAnsi="Arial"/>
          <w:sz w:val="22"/>
          <w:szCs w:val="22"/>
        </w:rPr>
      </w:pPr>
      <w:r w:rsidRPr="006B3C77">
        <w:rPr>
          <w:rFonts w:ascii="Arial" w:hAnsi="Arial"/>
          <w:sz w:val="22"/>
          <w:szCs w:val="22"/>
        </w:rPr>
        <w:t>retain a single abatement threshold at the current level of $42,700</w:t>
      </w:r>
    </w:p>
    <w:p w14:paraId="7075B892" w14:textId="77777777" w:rsidR="006B3C77" w:rsidRDefault="00F60DE0" w:rsidP="006B3C77">
      <w:pPr>
        <w:pStyle w:val="ReportBody"/>
        <w:numPr>
          <w:ilvl w:val="0"/>
          <w:numId w:val="27"/>
        </w:numPr>
        <w:tabs>
          <w:tab w:val="left" w:pos="720"/>
        </w:tabs>
        <w:spacing w:before="0" w:after="0"/>
        <w:rPr>
          <w:rFonts w:ascii="Arial" w:hAnsi="Arial"/>
          <w:sz w:val="22"/>
          <w:szCs w:val="22"/>
        </w:rPr>
      </w:pPr>
      <w:r w:rsidRPr="006B3C77">
        <w:rPr>
          <w:rFonts w:ascii="Arial" w:hAnsi="Arial"/>
          <w:sz w:val="22"/>
          <w:szCs w:val="22"/>
        </w:rPr>
        <w:t>reduce child poverty</w:t>
      </w:r>
    </w:p>
    <w:p w14:paraId="78E51762" w14:textId="5873E06E" w:rsidR="00F60DE0" w:rsidRPr="006B3C77" w:rsidRDefault="00F60DE0" w:rsidP="006B3C77">
      <w:pPr>
        <w:pStyle w:val="ReportBody"/>
        <w:numPr>
          <w:ilvl w:val="0"/>
          <w:numId w:val="27"/>
        </w:numPr>
        <w:tabs>
          <w:tab w:val="left" w:pos="720"/>
        </w:tabs>
        <w:spacing w:before="0" w:after="0"/>
        <w:rPr>
          <w:rFonts w:ascii="Arial" w:hAnsi="Arial"/>
          <w:sz w:val="22"/>
          <w:szCs w:val="22"/>
        </w:rPr>
      </w:pPr>
      <w:r w:rsidRPr="006B3C77">
        <w:rPr>
          <w:rFonts w:ascii="Arial" w:hAnsi="Arial"/>
          <w:sz w:val="22"/>
          <w:szCs w:val="22"/>
        </w:rPr>
        <w:t>minimise the number of losing families, particularly for those with incomes below $100,000 per year.</w:t>
      </w:r>
    </w:p>
    <w:p w14:paraId="07BEF6F4" w14:textId="77777777" w:rsidR="00F60DE0" w:rsidRPr="00192605" w:rsidRDefault="00F60DE0" w:rsidP="00F60DE0">
      <w:pPr>
        <w:rPr>
          <w:highlight w:val="yellow"/>
          <w:lang w:val="en-NZ"/>
        </w:rPr>
      </w:pPr>
      <w:r>
        <w:br/>
      </w:r>
      <w:r>
        <w:rPr>
          <w:lang w:val="en-NZ"/>
        </w:rPr>
        <w:t>This commissioning, combined with timing considerations, has limited options</w:t>
      </w:r>
      <w:r w:rsidRPr="00B35411">
        <w:rPr>
          <w:lang w:val="en-NZ"/>
        </w:rPr>
        <w:t xml:space="preserve"> to</w:t>
      </w:r>
      <w:r>
        <w:rPr>
          <w:lang w:val="en-NZ"/>
        </w:rPr>
        <w:t xml:space="preserve"> minor</w:t>
      </w:r>
      <w:r w:rsidRPr="00B35411">
        <w:rPr>
          <w:lang w:val="en-NZ"/>
        </w:rPr>
        <w:t xml:space="preserve"> increases to the FTC rate</w:t>
      </w:r>
      <w:r>
        <w:rPr>
          <w:lang w:val="en-NZ"/>
        </w:rPr>
        <w:t xml:space="preserve"> and</w:t>
      </w:r>
      <w:r w:rsidRPr="00B35411">
        <w:rPr>
          <w:lang w:val="en-NZ"/>
        </w:rPr>
        <w:t xml:space="preserve"> changes to the WFF abatement rate</w:t>
      </w:r>
      <w:r>
        <w:rPr>
          <w:lang w:val="en-NZ"/>
        </w:rPr>
        <w:t>.</w:t>
      </w:r>
      <w:r w:rsidRPr="00B35411">
        <w:rPr>
          <w:lang w:val="en-NZ"/>
        </w:rPr>
        <w:t xml:space="preserve"> Phase </w:t>
      </w:r>
      <w:r>
        <w:rPr>
          <w:lang w:val="en-NZ"/>
        </w:rPr>
        <w:t>o</w:t>
      </w:r>
      <w:r w:rsidRPr="00B35411">
        <w:rPr>
          <w:lang w:val="en-NZ"/>
        </w:rPr>
        <w:t>ne will also include the annually required MFTC threshold increase</w:t>
      </w:r>
      <w:r>
        <w:rPr>
          <w:lang w:val="en-NZ"/>
        </w:rPr>
        <w:t xml:space="preserve"> to reflect 2022 increases in benefit </w:t>
      </w:r>
      <w:r w:rsidRPr="00756D1A">
        <w:rPr>
          <w:lang w:val="en-NZ"/>
        </w:rPr>
        <w:t xml:space="preserve">rates. </w:t>
      </w:r>
    </w:p>
    <w:p w14:paraId="441494EE" w14:textId="7F408593" w:rsidR="00F60DE0" w:rsidRPr="008D05D9" w:rsidRDefault="00F60DE0" w:rsidP="00F60DE0">
      <w:pPr>
        <w:rPr>
          <w:lang w:val="en-NZ"/>
        </w:rPr>
      </w:pPr>
      <w:r w:rsidRPr="008D05D9">
        <w:rPr>
          <w:lang w:val="en-NZ"/>
        </w:rPr>
        <w:t xml:space="preserve">The options canvassed for phase one of </w:t>
      </w:r>
      <w:r w:rsidR="007F67AA">
        <w:rPr>
          <w:lang w:val="en-NZ"/>
        </w:rPr>
        <w:t>the review</w:t>
      </w:r>
      <w:r w:rsidRPr="008D05D9">
        <w:rPr>
          <w:lang w:val="en-NZ"/>
        </w:rPr>
        <w:t xml:space="preserve"> are Budget sensitive</w:t>
      </w:r>
      <w:r>
        <w:rPr>
          <w:lang w:val="en-NZ"/>
        </w:rPr>
        <w:t>, meaning that</w:t>
      </w:r>
      <w:r w:rsidRPr="008D05D9">
        <w:rPr>
          <w:lang w:val="en-NZ"/>
        </w:rPr>
        <w:t xml:space="preserve"> no stakeholder engag</w:t>
      </w:r>
      <w:r>
        <w:rPr>
          <w:lang w:val="en-NZ"/>
        </w:rPr>
        <w:t>ement</w:t>
      </w:r>
      <w:r w:rsidRPr="008D05D9">
        <w:rPr>
          <w:lang w:val="en-NZ"/>
        </w:rPr>
        <w:t xml:space="preserve"> has </w:t>
      </w:r>
      <w:r>
        <w:rPr>
          <w:lang w:val="en-NZ"/>
        </w:rPr>
        <w:t>taken place</w:t>
      </w:r>
      <w:r w:rsidRPr="008D05D9">
        <w:rPr>
          <w:lang w:val="en-NZ"/>
        </w:rPr>
        <w:t xml:space="preserve"> (other than with other government agencies). </w:t>
      </w:r>
    </w:p>
    <w:p w14:paraId="64A24154" w14:textId="77777777" w:rsidR="00F60DE0" w:rsidRPr="008D05D9" w:rsidRDefault="00F60DE0" w:rsidP="00F60DE0">
      <w:pPr>
        <w:rPr>
          <w:lang w:val="en-NZ"/>
        </w:rPr>
      </w:pPr>
      <w:r w:rsidRPr="008D05D9">
        <w:rPr>
          <w:lang w:val="en-NZ"/>
        </w:rPr>
        <w:t xml:space="preserve">No in-depth review of international literature has taken place in relation to the options in this RIS. This is </w:t>
      </w:r>
      <w:r>
        <w:rPr>
          <w:lang w:val="en-NZ"/>
        </w:rPr>
        <w:t>due to timing constraints and that</w:t>
      </w:r>
      <w:r w:rsidRPr="008D05D9">
        <w:rPr>
          <w:lang w:val="en-NZ"/>
        </w:rPr>
        <w:t xml:space="preserve"> the options considered consist of simple changes to rates within the existing WFF regime, rather than substantive policy changes.</w:t>
      </w:r>
    </w:p>
    <w:p w14:paraId="669703A8" w14:textId="5291A940" w:rsidR="00F60DE0" w:rsidRDefault="00F60DE0" w:rsidP="00AF6ECC">
      <w:pPr>
        <w:rPr>
          <w:lang w:val="en-NZ"/>
        </w:rPr>
      </w:pPr>
      <w:r w:rsidRPr="008D05D9">
        <w:rPr>
          <w:lang w:val="en-NZ"/>
        </w:rPr>
        <w:t>Non regulatory options have not been considered because financial transfers from gov</w:t>
      </w:r>
      <w:r w:rsidRPr="0060055C">
        <w:rPr>
          <w:lang w:val="en-NZ"/>
        </w:rPr>
        <w:t>ernment need appropriation, which requires legislative authority.</w:t>
      </w:r>
    </w:p>
    <w:p w14:paraId="6E09482F" w14:textId="77777777" w:rsidR="00546F19" w:rsidRDefault="00546F19" w:rsidP="00546F19">
      <w:pPr>
        <w:pStyle w:val="Heading3"/>
        <w:rPr>
          <w:lang w:val="en-NZ"/>
        </w:rPr>
        <w:sectPr w:rsidR="00546F19" w:rsidSect="00150D58">
          <w:pgSz w:w="11906" w:h="16838" w:code="9"/>
          <w:pgMar w:top="1134" w:right="1418" w:bottom="992" w:left="1418" w:header="454" w:footer="454" w:gutter="0"/>
          <w:cols w:space="708"/>
          <w:docGrid w:linePitch="360"/>
        </w:sectPr>
      </w:pPr>
    </w:p>
    <w:p w14:paraId="3A99139E" w14:textId="33C37FC4" w:rsidR="00546F19" w:rsidRPr="00D503D3" w:rsidRDefault="00546F19" w:rsidP="00546F19">
      <w:pPr>
        <w:pStyle w:val="Heading3"/>
        <w:rPr>
          <w:lang w:val="en-NZ"/>
        </w:rPr>
      </w:pPr>
      <w:r w:rsidRPr="00A864A5">
        <w:rPr>
          <w:lang w:val="en-NZ"/>
        </w:rPr>
        <w:t xml:space="preserve">What criteria will </w:t>
      </w:r>
      <w:r>
        <w:rPr>
          <w:lang w:val="en-NZ"/>
        </w:rPr>
        <w:t>be used to</w:t>
      </w:r>
      <w:r w:rsidRPr="00A864A5">
        <w:rPr>
          <w:lang w:val="en-NZ"/>
        </w:rPr>
        <w:t xml:space="preserve"> </w:t>
      </w:r>
      <w:r w:rsidRPr="00613CF3">
        <w:rPr>
          <w:lang w:val="en-NZ"/>
        </w:rPr>
        <w:t xml:space="preserve">compare </w:t>
      </w:r>
      <w:r w:rsidRPr="00791162">
        <w:rPr>
          <w:lang w:val="en-NZ"/>
        </w:rPr>
        <w:t>final</w:t>
      </w:r>
      <w:r w:rsidRPr="00A864A5">
        <w:rPr>
          <w:lang w:val="en-NZ"/>
        </w:rPr>
        <w:t xml:space="preserve"> options </w:t>
      </w:r>
      <w:r>
        <w:rPr>
          <w:lang w:val="en-NZ"/>
        </w:rPr>
        <w:t>to</w:t>
      </w:r>
      <w:r w:rsidRPr="00A864A5">
        <w:rPr>
          <w:lang w:val="en-NZ"/>
        </w:rPr>
        <w:t xml:space="preserve"> the </w:t>
      </w:r>
      <w:r>
        <w:rPr>
          <w:lang w:val="en-NZ"/>
        </w:rPr>
        <w:t>counterfactual</w:t>
      </w:r>
      <w:r w:rsidRPr="00A864A5">
        <w:rPr>
          <w:lang w:val="en-NZ"/>
        </w:rPr>
        <w:t>?</w:t>
      </w:r>
    </w:p>
    <w:p w14:paraId="1D925ECE" w14:textId="77777777" w:rsidR="00546F19" w:rsidRPr="00D503D3" w:rsidRDefault="00546F19" w:rsidP="00546F19">
      <w:pPr>
        <w:rPr>
          <w:lang w:val="en-NZ"/>
        </w:rPr>
      </w:pPr>
      <w:r w:rsidRPr="00D503D3">
        <w:rPr>
          <w:b/>
          <w:bCs/>
          <w:lang w:val="en-NZ"/>
        </w:rPr>
        <w:t>Fiscal cost</w:t>
      </w:r>
      <w:r w:rsidRPr="00D503D3">
        <w:rPr>
          <w:lang w:val="en-NZ"/>
        </w:rPr>
        <w:t xml:space="preserve"> </w:t>
      </w:r>
    </w:p>
    <w:p w14:paraId="134BC67A" w14:textId="77777777" w:rsidR="00546F19" w:rsidRPr="00285BE6" w:rsidRDefault="00546F19" w:rsidP="00546F19">
      <w:pPr>
        <w:rPr>
          <w:lang w:val="en-NZ"/>
        </w:rPr>
      </w:pPr>
      <w:r>
        <w:rPr>
          <w:lang w:val="en-NZ"/>
        </w:rPr>
        <w:t xml:space="preserve">Ministers prefer options of $100m or less, in line with the modest fiscal envelope available for phase one of the review. This limits the impact of options on the criteria of child poverty and work incentives. </w:t>
      </w:r>
    </w:p>
    <w:p w14:paraId="5D09EE4A" w14:textId="77777777" w:rsidR="00546F19" w:rsidRPr="00D503D3" w:rsidRDefault="00546F19" w:rsidP="00546F19">
      <w:pPr>
        <w:rPr>
          <w:b/>
          <w:bCs/>
          <w:lang w:val="en-NZ"/>
        </w:rPr>
      </w:pPr>
      <w:r w:rsidRPr="00D503D3">
        <w:rPr>
          <w:b/>
          <w:bCs/>
          <w:lang w:val="en-NZ"/>
        </w:rPr>
        <w:t xml:space="preserve">Impacts on child poverty </w:t>
      </w:r>
    </w:p>
    <w:p w14:paraId="61078105" w14:textId="77777777" w:rsidR="00546F19" w:rsidRPr="00285BE6" w:rsidRDefault="00546F19" w:rsidP="00546F19">
      <w:pPr>
        <w:rPr>
          <w:lang w:val="en-NZ"/>
        </w:rPr>
      </w:pPr>
      <w:r>
        <w:rPr>
          <w:lang w:val="en-NZ"/>
        </w:rPr>
        <w:t>These will be measured using fixed line AHC50</w:t>
      </w:r>
      <w:r>
        <w:rPr>
          <w:rStyle w:val="FootnoteReference"/>
          <w:lang w:val="en-NZ"/>
        </w:rPr>
        <w:footnoteReference w:id="24"/>
      </w:r>
      <w:r>
        <w:rPr>
          <w:lang w:val="en-NZ"/>
        </w:rPr>
        <w:t xml:space="preserve"> and BHC50.</w:t>
      </w:r>
      <w:r>
        <w:rPr>
          <w:rStyle w:val="FootnoteReference"/>
          <w:lang w:val="en-NZ"/>
        </w:rPr>
        <w:footnoteReference w:id="25"/>
      </w:r>
      <w:r>
        <w:rPr>
          <w:lang w:val="en-NZ"/>
        </w:rPr>
        <w:t xml:space="preserve"> </w:t>
      </w:r>
      <w:r w:rsidRPr="00195E2B">
        <w:rPr>
          <w:lang w:val="en-NZ"/>
        </w:rPr>
        <w:t xml:space="preserve">Options which have greater reductions in the number of children in AHC50 and BHC50 poverty are preferred. </w:t>
      </w:r>
      <w:r>
        <w:rPr>
          <w:lang w:val="en-NZ"/>
        </w:rPr>
        <w:t>Options should not be so tightly targeted that they push more children into poverty or deepen the poverty of those already under the line.</w:t>
      </w:r>
    </w:p>
    <w:p w14:paraId="77ED8B7B" w14:textId="77777777" w:rsidR="00546F19" w:rsidRPr="00D503D3" w:rsidRDefault="00546F19" w:rsidP="00546F19">
      <w:pPr>
        <w:rPr>
          <w:b/>
          <w:bCs/>
          <w:lang w:val="en-NZ"/>
        </w:rPr>
      </w:pPr>
      <w:r w:rsidRPr="00D503D3">
        <w:rPr>
          <w:b/>
          <w:bCs/>
          <w:lang w:val="en-NZ"/>
        </w:rPr>
        <w:t>Impacts on work incentives</w:t>
      </w:r>
    </w:p>
    <w:p w14:paraId="6F0CF8BF" w14:textId="097D5BF7" w:rsidR="00546F19" w:rsidRPr="001626FF" w:rsidRDefault="00546F19" w:rsidP="00546F19">
      <w:pPr>
        <w:rPr>
          <w:highlight w:val="yellow"/>
          <w:lang w:val="en-NZ"/>
        </w:rPr>
      </w:pPr>
      <w:r>
        <w:rPr>
          <w:lang w:val="en-NZ"/>
        </w:rPr>
        <w:t>The impact of these proposals on financial incentives to work are considered. These will be measured using EMTRs, which are incentives to earn an additional dollar, and participation tax rates (PTRs) which are incentives to enter employment. Ministers have indicated they prefer options that will not significantly increase already high EMTRs.</w:t>
      </w:r>
    </w:p>
    <w:p w14:paraId="5FAFBC62" w14:textId="77777777" w:rsidR="00546F19" w:rsidRPr="00D503D3" w:rsidRDefault="00546F19" w:rsidP="00546F19">
      <w:pPr>
        <w:rPr>
          <w:b/>
          <w:bCs/>
          <w:lang w:val="en-NZ"/>
        </w:rPr>
      </w:pPr>
      <w:r w:rsidRPr="00D503D3">
        <w:rPr>
          <w:b/>
          <w:bCs/>
          <w:lang w:val="en-NZ"/>
        </w:rPr>
        <w:t>Impacts on future reform</w:t>
      </w:r>
    </w:p>
    <w:p w14:paraId="73DAE553" w14:textId="77777777" w:rsidR="00546F19" w:rsidRPr="003E410E" w:rsidRDefault="00546F19" w:rsidP="00546F19">
      <w:pPr>
        <w:rPr>
          <w:lang w:val="en-NZ"/>
        </w:rPr>
      </w:pPr>
      <w:r w:rsidRPr="004D0BEF">
        <w:rPr>
          <w:lang w:val="en-NZ"/>
        </w:rPr>
        <w:t>Changes should not be so substantial that they limit the scope of options available for Ministers to consider through phase two of the review.</w:t>
      </w:r>
    </w:p>
    <w:p w14:paraId="2F9C864F" w14:textId="77777777" w:rsidR="00546F19" w:rsidRPr="005956D5" w:rsidRDefault="00546F19" w:rsidP="00546F19">
      <w:pPr>
        <w:rPr>
          <w:b/>
          <w:bCs/>
          <w:lang w:val="en-NZ"/>
        </w:rPr>
      </w:pPr>
      <w:r w:rsidRPr="005956D5">
        <w:rPr>
          <w:b/>
          <w:bCs/>
          <w:lang w:val="en-NZ"/>
        </w:rPr>
        <w:t>Weighting</w:t>
      </w:r>
    </w:p>
    <w:p w14:paraId="22D94092" w14:textId="77777777" w:rsidR="00546F19" w:rsidRPr="009257C0" w:rsidRDefault="00546F19" w:rsidP="00546F19">
      <w:pPr>
        <w:pStyle w:val="TRNormal"/>
        <w:spacing w:after="200"/>
        <w:ind w:left="0" w:firstLine="0"/>
        <w:rPr>
          <w:rFonts w:cs="Arial"/>
          <w:szCs w:val="22"/>
        </w:rPr>
      </w:pPr>
      <w:r>
        <w:t xml:space="preserve">The fiscal cost and child poverty impact criteria will be given the highest weighting as they are prioritised in this phase of the review. </w:t>
      </w:r>
      <w:r w:rsidRPr="00A305BE">
        <w:rPr>
          <w:rStyle w:val="normaltextrun"/>
          <w:rFonts w:cs="Arial"/>
          <w:color w:val="000000"/>
          <w:szCs w:val="22"/>
          <w:shd w:val="clear" w:color="auto" w:fill="FFFFFF"/>
        </w:rPr>
        <w:t xml:space="preserve">Incentives to work will be addressed in phase two of </w:t>
      </w:r>
      <w:r>
        <w:rPr>
          <w:rStyle w:val="normaltextrun"/>
          <w:rFonts w:cs="Arial"/>
          <w:color w:val="000000"/>
          <w:szCs w:val="22"/>
          <w:shd w:val="clear" w:color="auto" w:fill="FFFFFF"/>
        </w:rPr>
        <w:t>the review</w:t>
      </w:r>
      <w:r w:rsidRPr="00A305BE">
        <w:rPr>
          <w:rStyle w:val="normaltextrun"/>
          <w:rFonts w:cs="Arial"/>
          <w:color w:val="000000"/>
          <w:szCs w:val="22"/>
          <w:shd w:val="clear" w:color="auto" w:fill="FFFFFF"/>
        </w:rPr>
        <w:t>.</w:t>
      </w:r>
    </w:p>
    <w:p w14:paraId="3916CBE6" w14:textId="77777777" w:rsidR="00546F19" w:rsidRDefault="00546F19" w:rsidP="00AF6ECC">
      <w:pPr>
        <w:rPr>
          <w:lang w:val="en-NZ"/>
        </w:rPr>
      </w:pPr>
    </w:p>
    <w:p w14:paraId="54F4162E" w14:textId="25A652ED" w:rsidR="00E33AAF" w:rsidRPr="00E33AAF" w:rsidRDefault="00BF1286" w:rsidP="00E50155">
      <w:pPr>
        <w:pStyle w:val="Heading3"/>
        <w:rPr>
          <w:lang w:val="en-NZ"/>
        </w:rPr>
      </w:pPr>
      <w:r w:rsidRPr="00A864A5">
        <w:rPr>
          <w:lang w:val="en-NZ"/>
        </w:rPr>
        <w:br w:type="page"/>
      </w:r>
      <w:r w:rsidR="00373851">
        <w:rPr>
          <w:lang w:val="en-NZ"/>
        </w:rPr>
        <w:t xml:space="preserve">What options </w:t>
      </w:r>
      <w:r w:rsidR="003A6757">
        <w:rPr>
          <w:lang w:val="en-NZ"/>
        </w:rPr>
        <w:t xml:space="preserve">are </w:t>
      </w:r>
      <w:r w:rsidR="007336C9">
        <w:rPr>
          <w:lang w:val="en-NZ"/>
        </w:rPr>
        <w:t>being considered</w:t>
      </w:r>
      <w:r w:rsidR="00373851">
        <w:rPr>
          <w:lang w:val="en-NZ"/>
        </w:rPr>
        <w:t>?</w:t>
      </w:r>
    </w:p>
    <w:p w14:paraId="00861FFE" w14:textId="468E9FC0" w:rsidR="00294646" w:rsidRPr="005219DE" w:rsidRDefault="00C62B87" w:rsidP="00EE03E6">
      <w:pPr>
        <w:pStyle w:val="Heading4"/>
        <w:rPr>
          <w:color w:val="auto"/>
          <w:lang w:val="en-NZ"/>
        </w:rPr>
      </w:pPr>
      <w:r>
        <w:rPr>
          <w:color w:val="auto"/>
          <w:lang w:val="en-NZ"/>
        </w:rPr>
        <w:t>The c</w:t>
      </w:r>
      <w:r w:rsidR="00600704" w:rsidRPr="005219DE">
        <w:rPr>
          <w:color w:val="auto"/>
          <w:lang w:val="en-NZ"/>
        </w:rPr>
        <w:t>ounterfactual</w:t>
      </w:r>
    </w:p>
    <w:p w14:paraId="6B4446F7" w14:textId="7AD3DCD5" w:rsidR="0075183E" w:rsidRDefault="0075183E" w:rsidP="00EB0D3A">
      <w:pPr>
        <w:rPr>
          <w:lang w:val="en-NZ"/>
        </w:rPr>
      </w:pPr>
      <w:r>
        <w:rPr>
          <w:lang w:val="en-NZ"/>
        </w:rPr>
        <w:t xml:space="preserve">Currently, the FTC rates are </w:t>
      </w:r>
      <w:r w:rsidR="006209C7">
        <w:rPr>
          <w:lang w:val="en-NZ"/>
        </w:rPr>
        <w:t>$113</w:t>
      </w:r>
      <w:r w:rsidR="00B04AA9">
        <w:rPr>
          <w:lang w:val="en-NZ"/>
        </w:rPr>
        <w:t xml:space="preserve"> </w:t>
      </w:r>
      <w:r w:rsidR="00C74525">
        <w:rPr>
          <w:lang w:val="en-NZ"/>
        </w:rPr>
        <w:t>p/w ($</w:t>
      </w:r>
      <w:r w:rsidR="00835589">
        <w:rPr>
          <w:lang w:val="en-NZ"/>
        </w:rPr>
        <w:t xml:space="preserve">5,878 p/a) </w:t>
      </w:r>
      <w:r w:rsidR="00B04AA9">
        <w:rPr>
          <w:lang w:val="en-NZ"/>
        </w:rPr>
        <w:t xml:space="preserve">per eldest child and </w:t>
      </w:r>
      <w:r w:rsidR="00ED66CC">
        <w:rPr>
          <w:lang w:val="en-NZ"/>
        </w:rPr>
        <w:t>$91</w:t>
      </w:r>
      <w:r w:rsidR="00835589">
        <w:rPr>
          <w:lang w:val="en-NZ"/>
        </w:rPr>
        <w:t xml:space="preserve"> p/w (</w:t>
      </w:r>
      <w:r w:rsidR="00026F6F">
        <w:rPr>
          <w:lang w:val="en-NZ"/>
        </w:rPr>
        <w:t>$</w:t>
      </w:r>
      <w:r w:rsidR="0067677C">
        <w:rPr>
          <w:lang w:val="en-NZ"/>
        </w:rPr>
        <w:t>4,745 p/w)</w:t>
      </w:r>
      <w:r w:rsidR="00ED66CC">
        <w:rPr>
          <w:lang w:val="en-NZ"/>
        </w:rPr>
        <w:t xml:space="preserve"> for each additional child. </w:t>
      </w:r>
      <w:r w:rsidR="00EE00BC">
        <w:rPr>
          <w:lang w:val="en-NZ"/>
        </w:rPr>
        <w:t xml:space="preserve">For every dollar of </w:t>
      </w:r>
      <w:proofErr w:type="gramStart"/>
      <w:r w:rsidR="00EE00BC">
        <w:rPr>
          <w:lang w:val="en-NZ"/>
        </w:rPr>
        <w:t>income</w:t>
      </w:r>
      <w:proofErr w:type="gramEnd"/>
      <w:r w:rsidR="00EE00BC">
        <w:rPr>
          <w:lang w:val="en-NZ"/>
        </w:rPr>
        <w:t xml:space="preserve"> a family earns above $42,700</w:t>
      </w:r>
      <w:r w:rsidR="00B85D12">
        <w:rPr>
          <w:lang w:val="en-NZ"/>
        </w:rPr>
        <w:t>,</w:t>
      </w:r>
      <w:r w:rsidR="00045DF9">
        <w:rPr>
          <w:lang w:val="en-NZ"/>
        </w:rPr>
        <w:t xml:space="preserve"> they will lose 25c of </w:t>
      </w:r>
      <w:r w:rsidR="00E14834">
        <w:rPr>
          <w:lang w:val="en-NZ"/>
        </w:rPr>
        <w:t xml:space="preserve">their annual </w:t>
      </w:r>
      <w:r w:rsidR="00045DF9">
        <w:rPr>
          <w:lang w:val="en-NZ"/>
        </w:rPr>
        <w:t>FTC</w:t>
      </w:r>
      <w:r w:rsidR="00E14834">
        <w:rPr>
          <w:lang w:val="en-NZ"/>
        </w:rPr>
        <w:t xml:space="preserve"> entitlement</w:t>
      </w:r>
      <w:r w:rsidR="00045DF9">
        <w:rPr>
          <w:lang w:val="en-NZ"/>
        </w:rPr>
        <w:t>.</w:t>
      </w:r>
    </w:p>
    <w:p w14:paraId="192F8788" w14:textId="3D3CDEF6" w:rsidR="009A04EA" w:rsidRDefault="00020AE3" w:rsidP="00EB0D3A">
      <w:pPr>
        <w:rPr>
          <w:lang w:val="en-NZ"/>
        </w:rPr>
      </w:pPr>
      <w:r w:rsidRPr="00EB0D3A">
        <w:rPr>
          <w:lang w:val="en-NZ"/>
        </w:rPr>
        <w:t xml:space="preserve">Under the status </w:t>
      </w:r>
      <w:r w:rsidR="009A04EA" w:rsidRPr="00EB0D3A">
        <w:rPr>
          <w:lang w:val="en-NZ"/>
        </w:rPr>
        <w:t xml:space="preserve">quo, FTC and BSTC rates </w:t>
      </w:r>
      <w:r w:rsidR="003A30A1">
        <w:rPr>
          <w:lang w:val="en-NZ"/>
        </w:rPr>
        <w:t xml:space="preserve">are </w:t>
      </w:r>
      <w:r w:rsidR="0089198B" w:rsidRPr="00EB0D3A">
        <w:rPr>
          <w:lang w:val="en-NZ"/>
        </w:rPr>
        <w:t>increase</w:t>
      </w:r>
      <w:r w:rsidR="003A30A1">
        <w:rPr>
          <w:lang w:val="en-NZ"/>
        </w:rPr>
        <w:t>d by a corresponding amount</w:t>
      </w:r>
      <w:r w:rsidR="0089198B" w:rsidRPr="00EB0D3A">
        <w:rPr>
          <w:lang w:val="en-NZ"/>
        </w:rPr>
        <w:t xml:space="preserve"> once cumulative increases to CPI </w:t>
      </w:r>
      <w:r w:rsidR="005F258A">
        <w:rPr>
          <w:lang w:val="en-NZ"/>
        </w:rPr>
        <w:t>(</w:t>
      </w:r>
      <w:r w:rsidR="00EB0D3A" w:rsidRPr="00EB0D3A">
        <w:rPr>
          <w:lang w:val="en-NZ"/>
        </w:rPr>
        <w:t>since the</w:t>
      </w:r>
      <w:r w:rsidR="005F258A">
        <w:rPr>
          <w:lang w:val="en-NZ"/>
        </w:rPr>
        <w:t xml:space="preserve"> </w:t>
      </w:r>
      <w:r w:rsidR="00DE7A84">
        <w:rPr>
          <w:lang w:val="en-NZ"/>
        </w:rPr>
        <w:t>rates</w:t>
      </w:r>
      <w:r w:rsidR="005F258A">
        <w:rPr>
          <w:lang w:val="en-NZ"/>
        </w:rPr>
        <w:t xml:space="preserve"> were</w:t>
      </w:r>
      <w:r w:rsidR="00EB0D3A" w:rsidRPr="00EB0D3A">
        <w:rPr>
          <w:lang w:val="en-NZ"/>
        </w:rPr>
        <w:t xml:space="preserve"> last increase</w:t>
      </w:r>
      <w:r w:rsidR="00115B83">
        <w:rPr>
          <w:lang w:val="en-NZ"/>
        </w:rPr>
        <w:t>d</w:t>
      </w:r>
      <w:r w:rsidR="005F258A">
        <w:rPr>
          <w:lang w:val="en-NZ"/>
        </w:rPr>
        <w:t>)</w:t>
      </w:r>
      <w:r w:rsidR="00EB0D3A" w:rsidRPr="00EB0D3A">
        <w:rPr>
          <w:lang w:val="en-NZ"/>
        </w:rPr>
        <w:t xml:space="preserve"> </w:t>
      </w:r>
      <w:r w:rsidR="00BE600D" w:rsidRPr="00EB0D3A">
        <w:rPr>
          <w:lang w:val="en-NZ"/>
        </w:rPr>
        <w:t xml:space="preserve">reach 5%. This is forecast to </w:t>
      </w:r>
      <w:r w:rsidR="009D26BC">
        <w:rPr>
          <w:lang w:val="en-NZ"/>
        </w:rPr>
        <w:t>trigger increases in FTC and BSTC rates for the</w:t>
      </w:r>
      <w:r w:rsidR="006B3C77">
        <w:rPr>
          <w:lang w:val="en-NZ"/>
        </w:rPr>
        <w:t xml:space="preserve"> income year starting</w:t>
      </w:r>
      <w:r w:rsidR="009D26BC">
        <w:rPr>
          <w:lang w:val="en-NZ"/>
        </w:rPr>
        <w:t xml:space="preserve"> </w:t>
      </w:r>
      <w:r w:rsidR="006B3C77">
        <w:rPr>
          <w:lang w:val="en-NZ"/>
        </w:rPr>
        <w:t xml:space="preserve">1 April </w:t>
      </w:r>
      <w:r w:rsidR="00BE600D" w:rsidRPr="00EB0D3A">
        <w:rPr>
          <w:lang w:val="en-NZ"/>
        </w:rPr>
        <w:t>2022</w:t>
      </w:r>
      <w:r w:rsidR="00192605">
        <w:rPr>
          <w:lang w:val="en-NZ"/>
        </w:rPr>
        <w:t>.</w:t>
      </w:r>
    </w:p>
    <w:p w14:paraId="6D0A7EF9" w14:textId="0CC48A5B" w:rsidR="005825D4" w:rsidRDefault="005825D4" w:rsidP="005825D4">
      <w:pPr>
        <w:rPr>
          <w:lang w:val="en-NZ"/>
        </w:rPr>
      </w:pPr>
      <w:r>
        <w:rPr>
          <w:lang w:val="en-NZ"/>
        </w:rPr>
        <w:t xml:space="preserve">All options considered in phase one of </w:t>
      </w:r>
      <w:r w:rsidR="007F67AA">
        <w:rPr>
          <w:lang w:val="en-NZ"/>
        </w:rPr>
        <w:t>the review</w:t>
      </w:r>
      <w:r>
        <w:rPr>
          <w:lang w:val="en-NZ"/>
        </w:rPr>
        <w:t xml:space="preserve"> would be </w:t>
      </w:r>
      <w:r w:rsidR="00F1523A">
        <w:rPr>
          <w:lang w:val="en-NZ"/>
        </w:rPr>
        <w:t>effective from 1</w:t>
      </w:r>
      <w:r>
        <w:rPr>
          <w:lang w:val="en-NZ"/>
        </w:rPr>
        <w:t xml:space="preserve"> April 2022, coinciding with the CPI indexation increases to the FTC and BSTC rates. Therefore, the impact of these options has been modelled both including and excluding the impact of counterfactual indexation to demonstrate what customers will experience and the real value of the options themselves respectively.</w:t>
      </w:r>
    </w:p>
    <w:p w14:paraId="2B9E2552" w14:textId="7C3BDF13" w:rsidR="005825D4" w:rsidRDefault="005825D4" w:rsidP="00EB0D3A">
      <w:pPr>
        <w:rPr>
          <w:lang w:val="en-NZ"/>
        </w:rPr>
      </w:pPr>
      <w:r>
        <w:rPr>
          <w:lang w:val="en-NZ"/>
        </w:rPr>
        <w:t xml:space="preserve">Because modelling took place ahead of time, </w:t>
      </w:r>
      <w:r w:rsidR="00B85D12">
        <w:rPr>
          <w:lang w:val="en-NZ"/>
        </w:rPr>
        <w:t>officials</w:t>
      </w:r>
      <w:r>
        <w:rPr>
          <w:lang w:val="en-NZ"/>
        </w:rPr>
        <w:t xml:space="preserve"> do not know the final rate of CPI inflation up to April 2022. Therefore, all outputs relating to counterfactual indexation were calculated using the CPI increases forecast in the 2021 </w:t>
      </w:r>
      <w:r w:rsidRPr="00112E3C">
        <w:rPr>
          <w:lang w:val="en-NZ"/>
        </w:rPr>
        <w:t>BEFU</w:t>
      </w:r>
      <w:r>
        <w:rPr>
          <w:lang w:val="en-NZ"/>
        </w:rPr>
        <w:t>. Thus, all outputs that include the impact of (forecast) counterfactual indexation are subject to change.</w:t>
      </w:r>
    </w:p>
    <w:p w14:paraId="36D64BE3" w14:textId="77777777" w:rsidR="00CE3E06" w:rsidRPr="00B75208" w:rsidRDefault="00CE3E06" w:rsidP="00CE3E06">
      <w:pPr>
        <w:rPr>
          <w:i/>
          <w:iCs/>
        </w:rPr>
      </w:pPr>
      <w:r w:rsidRPr="00B75208">
        <w:rPr>
          <w:i/>
          <w:iCs/>
        </w:rPr>
        <w:t>CPI measure – remedial amendment</w:t>
      </w:r>
    </w:p>
    <w:p w14:paraId="2849EB58" w14:textId="63426239" w:rsidR="00CE3E06" w:rsidRDefault="00CE3E06" w:rsidP="00EB0D3A">
      <w:pPr>
        <w:rPr>
          <w:lang w:val="en-NZ"/>
        </w:rPr>
      </w:pPr>
      <w:r>
        <w:t>A CPI remedial amendment</w:t>
      </w:r>
      <w:r w:rsidR="00F71BF5">
        <w:t>,</w:t>
      </w:r>
      <w:r>
        <w:t xml:space="preserve"> updating the CPI measure used in the FTC and BSTC CPI indexation provisions of the Income Tax Act 2007</w:t>
      </w:r>
      <w:r w:rsidR="00F71BF5">
        <w:t>,</w:t>
      </w:r>
      <w:r>
        <w:t xml:space="preserve"> will be required. </w:t>
      </w:r>
      <w:r w:rsidRPr="00592E27">
        <w:t xml:space="preserve">Legislation currently requires FTC and BSTC rates to be increased in line with cumulative increases to all groups of the CPI excluding tobacco and cigarette products (CPIX). However, Cabinet only intended the exclusion of tobacco to last the duration of the 10% annual increases to tobacco excise taxes, the last of which took place in 2020 (CAB-16-MIN-0189). Therefore, </w:t>
      </w:r>
      <w:r>
        <w:t>the</w:t>
      </w:r>
      <w:r w:rsidRPr="00592E27">
        <w:t xml:space="preserve"> remedial a</w:t>
      </w:r>
      <w:r>
        <w:t>mendment</w:t>
      </w:r>
      <w:r w:rsidRPr="00592E27">
        <w:t xml:space="preserve"> </w:t>
      </w:r>
      <w:r>
        <w:t>would return</w:t>
      </w:r>
      <w:r w:rsidRPr="00592E27">
        <w:t xml:space="preserve"> FTC and BSTC indexation to CPI </w:t>
      </w:r>
      <w:r>
        <w:t>(</w:t>
      </w:r>
      <w:r w:rsidRPr="00592E27">
        <w:t>all groups</w:t>
      </w:r>
      <w:r>
        <w:t>)</w:t>
      </w:r>
      <w:r w:rsidRPr="00592E27">
        <w:t xml:space="preserve"> from quarter 1 </w:t>
      </w:r>
      <w:r w:rsidR="00B85D12">
        <w:t xml:space="preserve">of </w:t>
      </w:r>
      <w:r w:rsidRPr="00592E27">
        <w:t xml:space="preserve">2021. Although increases measured by CPI </w:t>
      </w:r>
      <w:r>
        <w:t>(</w:t>
      </w:r>
      <w:r w:rsidRPr="00592E27">
        <w:t>all groups</w:t>
      </w:r>
      <w:r>
        <w:t>)</w:t>
      </w:r>
      <w:r w:rsidRPr="00592E27">
        <w:t xml:space="preserve"> are slightly </w:t>
      </w:r>
      <w:r w:rsidR="00712313">
        <w:t>different</w:t>
      </w:r>
      <w:r w:rsidR="00B96050" w:rsidRPr="00A30DC0">
        <w:t xml:space="preserve"> </w:t>
      </w:r>
      <w:r>
        <w:t xml:space="preserve">than under </w:t>
      </w:r>
      <w:r w:rsidRPr="00592E27">
        <w:t>CPIX, t</w:t>
      </w:r>
      <w:r>
        <w:t xml:space="preserve">he remedial amendment is not expected to materially </w:t>
      </w:r>
      <w:r w:rsidR="00975736">
        <w:t>change</w:t>
      </w:r>
      <w:r w:rsidR="00277DE0" w:rsidRPr="00592E27">
        <w:t xml:space="preserve"> </w:t>
      </w:r>
      <w:r w:rsidRPr="00592E27">
        <w:t xml:space="preserve">the fiscal impact of the </w:t>
      </w:r>
      <w:r>
        <w:t xml:space="preserve">FTC and BSTC </w:t>
      </w:r>
      <w:r w:rsidRPr="00592E27">
        <w:t xml:space="preserve">indexation increases. </w:t>
      </w:r>
      <w:r w:rsidR="00F71BF5">
        <w:t>This remedial is considered part of the counterfactual for analysis of the options in phase one of the WFF review.</w:t>
      </w:r>
    </w:p>
    <w:p w14:paraId="69695DAA" w14:textId="77777777" w:rsidR="0035247F" w:rsidRPr="00A56142" w:rsidRDefault="0035247F" w:rsidP="0035247F">
      <w:pPr>
        <w:rPr>
          <w:b/>
          <w:lang w:val="en-NZ"/>
        </w:rPr>
      </w:pPr>
      <w:r>
        <w:rPr>
          <w:b/>
          <w:lang w:val="en-NZ"/>
        </w:rPr>
        <w:t>Annual MFTC</w:t>
      </w:r>
      <w:r w:rsidRPr="00A56142">
        <w:rPr>
          <w:b/>
          <w:lang w:val="en-NZ"/>
        </w:rPr>
        <w:t xml:space="preserve"> </w:t>
      </w:r>
      <w:r>
        <w:rPr>
          <w:b/>
          <w:lang w:val="en-NZ"/>
        </w:rPr>
        <w:t>adjustment</w:t>
      </w:r>
    </w:p>
    <w:p w14:paraId="0A3B3B05" w14:textId="392057D2" w:rsidR="0035247F" w:rsidRPr="00921101" w:rsidRDefault="0035247F" w:rsidP="0035247F">
      <w:pPr>
        <w:rPr>
          <w:rFonts w:cs="Arial"/>
          <w:szCs w:val="22"/>
          <w:lang w:eastAsia="en-AU"/>
        </w:rPr>
      </w:pPr>
      <w:r w:rsidRPr="00921101">
        <w:rPr>
          <w:rFonts w:cs="Arial"/>
          <w:szCs w:val="22"/>
          <w:lang w:eastAsia="en-NZ"/>
        </w:rPr>
        <w:t>The purpose of the MFTC is to ensure that families</w:t>
      </w:r>
      <w:r>
        <w:rPr>
          <w:rFonts w:cs="Arial"/>
          <w:szCs w:val="22"/>
          <w:lang w:eastAsia="en-NZ"/>
        </w:rPr>
        <w:t xml:space="preserve"> who are</w:t>
      </w:r>
      <w:r w:rsidRPr="00921101">
        <w:rPr>
          <w:rFonts w:cs="Arial"/>
          <w:szCs w:val="22"/>
          <w:lang w:eastAsia="en-NZ"/>
        </w:rPr>
        <w:t xml:space="preserve"> </w:t>
      </w:r>
      <w:r>
        <w:rPr>
          <w:rFonts w:cs="Arial"/>
          <w:szCs w:val="22"/>
          <w:lang w:eastAsia="en-NZ"/>
        </w:rPr>
        <w:t>in-work and off-benefit</w:t>
      </w:r>
      <w:r w:rsidRPr="00921101">
        <w:rPr>
          <w:rFonts w:cs="Arial"/>
          <w:szCs w:val="22"/>
          <w:lang w:eastAsia="en-NZ"/>
        </w:rPr>
        <w:t xml:space="preserve"> are financially better off than they would be on a benefit. </w:t>
      </w:r>
      <w:r w:rsidRPr="00AD4DCE">
        <w:rPr>
          <w:rFonts w:cs="Arial"/>
          <w:szCs w:val="22"/>
          <w:lang w:eastAsia="en-NZ"/>
        </w:rPr>
        <w:t>This is done by “topping-up” families’ earned income to a prescribed level (the MFTC threshold)</w:t>
      </w:r>
      <w:r>
        <w:rPr>
          <w:rFonts w:cs="Arial"/>
          <w:szCs w:val="22"/>
          <w:lang w:eastAsia="en-NZ"/>
        </w:rPr>
        <w:t xml:space="preserve"> that is higher than what their income could be when on a benefit. This intends to</w:t>
      </w:r>
      <w:r w:rsidRPr="00921101">
        <w:rPr>
          <w:rFonts w:cs="Arial"/>
          <w:szCs w:val="22"/>
          <w:lang w:eastAsia="en-NZ"/>
        </w:rPr>
        <w:t xml:space="preserve"> </w:t>
      </w:r>
      <w:r w:rsidRPr="00921101">
        <w:rPr>
          <w:rFonts w:cs="Arial"/>
          <w:szCs w:val="22"/>
          <w:lang w:eastAsia="en-AU"/>
        </w:rPr>
        <w:t>incentivise</w:t>
      </w:r>
      <w:r w:rsidR="0008146D">
        <w:rPr>
          <w:rFonts w:cs="Arial"/>
          <w:szCs w:val="22"/>
          <w:lang w:eastAsia="en-AU"/>
        </w:rPr>
        <w:t xml:space="preserve"> sole parent</w:t>
      </w:r>
      <w:r w:rsidRPr="00921101">
        <w:rPr>
          <w:rFonts w:cs="Arial"/>
          <w:szCs w:val="22"/>
          <w:lang w:eastAsia="en-AU"/>
        </w:rPr>
        <w:t xml:space="preserve"> families with children to move off</w:t>
      </w:r>
      <w:r>
        <w:rPr>
          <w:rFonts w:cs="Arial"/>
          <w:szCs w:val="22"/>
          <w:lang w:eastAsia="en-AU"/>
        </w:rPr>
        <w:t>-</w:t>
      </w:r>
      <w:r w:rsidRPr="00921101">
        <w:rPr>
          <w:rFonts w:cs="Arial"/>
          <w:szCs w:val="22"/>
          <w:lang w:eastAsia="en-AU"/>
        </w:rPr>
        <w:t>benefit and into greater amounts of paid work</w:t>
      </w:r>
      <w:r>
        <w:rPr>
          <w:rFonts w:cs="Arial"/>
          <w:szCs w:val="22"/>
          <w:lang w:eastAsia="en-AU"/>
        </w:rPr>
        <w:t>.</w:t>
      </w:r>
    </w:p>
    <w:p w14:paraId="392DE59D" w14:textId="131FF625" w:rsidR="0035247F" w:rsidRDefault="0035247F" w:rsidP="0035247F">
      <w:pPr>
        <w:rPr>
          <w:lang w:val="en-NZ"/>
        </w:rPr>
      </w:pPr>
      <w:r>
        <w:rPr>
          <w:lang w:val="en-NZ"/>
        </w:rPr>
        <w:t>If the MFTC threshold is not adjusted in line with benefit changes</w:t>
      </w:r>
      <w:r w:rsidR="00B85D12">
        <w:rPr>
          <w:lang w:val="en-NZ"/>
        </w:rPr>
        <w:t>,</w:t>
      </w:r>
      <w:r>
        <w:rPr>
          <w:lang w:val="en-NZ"/>
        </w:rPr>
        <w:t xml:space="preserve"> the policy objective would not be met. Therefore, t</w:t>
      </w:r>
      <w:r w:rsidRPr="236AC2D8">
        <w:rPr>
          <w:lang w:val="en-NZ"/>
        </w:rPr>
        <w:t>he MFTC threshold</w:t>
      </w:r>
      <w:r>
        <w:rPr>
          <w:lang w:val="en-NZ"/>
        </w:rPr>
        <w:t xml:space="preserve"> should be adjusted to </w:t>
      </w:r>
      <w:r w:rsidRPr="236AC2D8">
        <w:rPr>
          <w:lang w:val="en-NZ"/>
        </w:rPr>
        <w:t>reflect increases to main benefit rates</w:t>
      </w:r>
      <w:r>
        <w:rPr>
          <w:lang w:val="en-NZ"/>
        </w:rPr>
        <w:t xml:space="preserve"> (which are indexed to wage growth) that will take place under the status quo</w:t>
      </w:r>
      <w:r w:rsidRPr="236AC2D8">
        <w:rPr>
          <w:lang w:val="en-NZ"/>
        </w:rPr>
        <w:t xml:space="preserve">. </w:t>
      </w:r>
    </w:p>
    <w:p w14:paraId="7DCDC66B" w14:textId="07B9DEB7" w:rsidR="0035247F" w:rsidRDefault="00C74963" w:rsidP="0035247F">
      <w:pPr>
        <w:rPr>
          <w:lang w:val="en-NZ"/>
        </w:rPr>
      </w:pPr>
      <w:r>
        <w:rPr>
          <w:lang w:val="en-NZ"/>
        </w:rPr>
        <w:t>I</w:t>
      </w:r>
      <w:r w:rsidR="006958A5">
        <w:rPr>
          <w:lang w:val="en-NZ"/>
        </w:rPr>
        <w:t xml:space="preserve">n April 2021, </w:t>
      </w:r>
      <w:r w:rsidR="0035247F">
        <w:rPr>
          <w:lang w:val="en-NZ"/>
        </w:rPr>
        <w:t>Cabinet a</w:t>
      </w:r>
      <w:r w:rsidR="003458BA">
        <w:rPr>
          <w:lang w:val="en-NZ"/>
        </w:rPr>
        <w:t xml:space="preserve">greed to </w:t>
      </w:r>
      <w:r>
        <w:rPr>
          <w:lang w:val="en-NZ"/>
        </w:rPr>
        <w:t xml:space="preserve">an April 2022 increase in the MFTC threshold to reflect increases in main benefits </w:t>
      </w:r>
      <w:r w:rsidR="006958A5">
        <w:rPr>
          <w:lang w:val="en-NZ"/>
        </w:rPr>
        <w:t>[Cab-21-Min-0116]</w:t>
      </w:r>
      <w:r>
        <w:rPr>
          <w:lang w:val="en-NZ"/>
        </w:rPr>
        <w:t>.</w:t>
      </w:r>
      <w:r w:rsidR="0035247F">
        <w:rPr>
          <w:lang w:val="en-NZ"/>
        </w:rPr>
        <w:t xml:space="preserve"> </w:t>
      </w:r>
    </w:p>
    <w:p w14:paraId="5A41E6AA" w14:textId="11FB10D3" w:rsidR="0035247F" w:rsidRDefault="00116526" w:rsidP="0035247F">
      <w:pPr>
        <w:rPr>
          <w:lang w:val="en-NZ"/>
        </w:rPr>
      </w:pPr>
      <w:r>
        <w:rPr>
          <w:lang w:val="en-NZ"/>
        </w:rPr>
        <w:t>F</w:t>
      </w:r>
      <w:r w:rsidR="0035247F">
        <w:rPr>
          <w:lang w:val="en-NZ"/>
        </w:rPr>
        <w:t>orecast changes</w:t>
      </w:r>
      <w:r>
        <w:rPr>
          <w:lang w:val="en-NZ"/>
        </w:rPr>
        <w:t xml:space="preserve"> </w:t>
      </w:r>
      <w:r w:rsidR="0035247F">
        <w:rPr>
          <w:lang w:val="en-NZ"/>
        </w:rPr>
        <w:t>to the MFTC threshold are summarised in the table below.</w:t>
      </w:r>
      <w:r w:rsidR="00D543E1">
        <w:rPr>
          <w:lang w:val="en-NZ"/>
        </w:rPr>
        <w:t xml:space="preserve"> C</w:t>
      </w:r>
      <w:r w:rsidR="00D543E1" w:rsidRPr="236AC2D8">
        <w:rPr>
          <w:lang w:val="en-NZ"/>
        </w:rPr>
        <w:t xml:space="preserve">hanges to the FTC rate or </w:t>
      </w:r>
      <w:r w:rsidR="00CE3E06">
        <w:rPr>
          <w:lang w:val="en-NZ"/>
        </w:rPr>
        <w:t xml:space="preserve">WFF </w:t>
      </w:r>
      <w:r w:rsidR="00D543E1" w:rsidRPr="236AC2D8">
        <w:rPr>
          <w:lang w:val="en-NZ"/>
        </w:rPr>
        <w:t xml:space="preserve">abatement </w:t>
      </w:r>
      <w:r w:rsidR="00CE7EC4">
        <w:rPr>
          <w:lang w:val="en-NZ"/>
        </w:rPr>
        <w:t>rate</w:t>
      </w:r>
      <w:r w:rsidR="00D543E1" w:rsidRPr="236AC2D8">
        <w:rPr>
          <w:lang w:val="en-NZ"/>
        </w:rPr>
        <w:t xml:space="preserve"> will not </w:t>
      </w:r>
      <w:r w:rsidR="00D543E1">
        <w:rPr>
          <w:lang w:val="en-NZ"/>
        </w:rPr>
        <w:t xml:space="preserve">impact the </w:t>
      </w:r>
      <w:r w:rsidR="00D543E1" w:rsidRPr="236AC2D8">
        <w:rPr>
          <w:lang w:val="en-NZ"/>
        </w:rPr>
        <w:t>MFTC threshold.</w:t>
      </w:r>
    </w:p>
    <w:p w14:paraId="67C122CD" w14:textId="77777777" w:rsidR="00F1523A" w:rsidRDefault="00F1523A" w:rsidP="0035247F">
      <w:pPr>
        <w:rPr>
          <w:lang w:val="en-NZ"/>
        </w:rPr>
      </w:pPr>
    </w:p>
    <w:tbl>
      <w:tblPr>
        <w:tblStyle w:val="TableGrid"/>
        <w:tblW w:w="0" w:type="auto"/>
        <w:shd w:val="clear" w:color="auto" w:fill="FFFFFF" w:themeFill="background1"/>
        <w:tblLook w:val="04A0" w:firstRow="1" w:lastRow="0" w:firstColumn="1" w:lastColumn="0" w:noHBand="0" w:noVBand="1"/>
      </w:tblPr>
      <w:tblGrid>
        <w:gridCol w:w="1860"/>
        <w:gridCol w:w="1800"/>
        <w:gridCol w:w="1800"/>
        <w:gridCol w:w="1800"/>
        <w:gridCol w:w="1800"/>
      </w:tblGrid>
      <w:tr w:rsidR="0035247F" w14:paraId="4B223746" w14:textId="77777777" w:rsidTr="00D1126F">
        <w:trPr>
          <w:trHeight w:val="552"/>
        </w:trPr>
        <w:tc>
          <w:tcPr>
            <w:tcW w:w="2124" w:type="dxa"/>
            <w:shd w:val="clear" w:color="auto" w:fill="FFFFFF" w:themeFill="background1"/>
          </w:tcPr>
          <w:p w14:paraId="2D3AE1E6" w14:textId="77777777" w:rsidR="0035247F" w:rsidRPr="006316A4" w:rsidRDefault="0035247F" w:rsidP="00D1126F">
            <w:pPr>
              <w:rPr>
                <w:rFonts w:cs="Arial"/>
                <w:b/>
                <w:szCs w:val="22"/>
                <w:lang w:val="en-NZ"/>
              </w:rPr>
            </w:pPr>
            <w:r>
              <w:rPr>
                <w:rFonts w:cs="Arial"/>
                <w:b/>
                <w:szCs w:val="22"/>
                <w:lang w:val="en-NZ"/>
              </w:rPr>
              <w:t>Tax y</w:t>
            </w:r>
            <w:r w:rsidRPr="006316A4">
              <w:rPr>
                <w:rFonts w:cs="Arial"/>
                <w:b/>
                <w:szCs w:val="22"/>
                <w:lang w:val="en-NZ"/>
              </w:rPr>
              <w:t>ear</w:t>
            </w:r>
          </w:p>
        </w:tc>
        <w:tc>
          <w:tcPr>
            <w:tcW w:w="2124" w:type="dxa"/>
            <w:shd w:val="clear" w:color="auto" w:fill="FFFFFF" w:themeFill="background1"/>
          </w:tcPr>
          <w:p w14:paraId="46F8FBBD" w14:textId="60615B5E" w:rsidR="0035247F" w:rsidRPr="006316A4" w:rsidRDefault="0035247F" w:rsidP="00D1126F">
            <w:pPr>
              <w:rPr>
                <w:rFonts w:cs="Arial"/>
                <w:b/>
                <w:szCs w:val="22"/>
                <w:lang w:val="en-NZ"/>
              </w:rPr>
            </w:pPr>
            <w:r w:rsidRPr="006316A4">
              <w:rPr>
                <w:rFonts w:cs="Arial"/>
                <w:b/>
                <w:bCs/>
                <w:szCs w:val="22"/>
                <w:lang w:val="en-NZ"/>
              </w:rPr>
              <w:t>1 April 2022</w:t>
            </w:r>
          </w:p>
        </w:tc>
        <w:tc>
          <w:tcPr>
            <w:tcW w:w="2124" w:type="dxa"/>
            <w:shd w:val="clear" w:color="auto" w:fill="FFFFFF" w:themeFill="background1"/>
          </w:tcPr>
          <w:p w14:paraId="58DE4A90" w14:textId="77777777" w:rsidR="0035247F" w:rsidRPr="006316A4" w:rsidRDefault="0035247F" w:rsidP="00D1126F">
            <w:pPr>
              <w:rPr>
                <w:rFonts w:cs="Arial"/>
                <w:b/>
                <w:szCs w:val="22"/>
                <w:lang w:val="en-NZ"/>
              </w:rPr>
            </w:pPr>
            <w:r w:rsidRPr="006316A4">
              <w:rPr>
                <w:rFonts w:cs="Arial"/>
                <w:b/>
                <w:bCs/>
                <w:szCs w:val="22"/>
                <w:lang w:val="en-NZ"/>
              </w:rPr>
              <w:t>1 April 2023</w:t>
            </w:r>
          </w:p>
        </w:tc>
        <w:tc>
          <w:tcPr>
            <w:tcW w:w="2124" w:type="dxa"/>
            <w:shd w:val="clear" w:color="auto" w:fill="FFFFFF" w:themeFill="background1"/>
          </w:tcPr>
          <w:p w14:paraId="62DF6C66" w14:textId="77777777" w:rsidR="0035247F" w:rsidRPr="006316A4" w:rsidRDefault="0035247F" w:rsidP="00D1126F">
            <w:pPr>
              <w:rPr>
                <w:rFonts w:cs="Arial"/>
                <w:b/>
                <w:szCs w:val="22"/>
                <w:lang w:val="en-NZ"/>
              </w:rPr>
            </w:pPr>
            <w:r w:rsidRPr="006316A4">
              <w:rPr>
                <w:rFonts w:cs="Arial"/>
                <w:b/>
                <w:bCs/>
                <w:szCs w:val="22"/>
                <w:lang w:val="en-NZ"/>
              </w:rPr>
              <w:t>1 April 2024</w:t>
            </w:r>
          </w:p>
        </w:tc>
        <w:tc>
          <w:tcPr>
            <w:tcW w:w="2124" w:type="dxa"/>
            <w:shd w:val="clear" w:color="auto" w:fill="FFFFFF" w:themeFill="background1"/>
          </w:tcPr>
          <w:p w14:paraId="304E6916" w14:textId="77777777" w:rsidR="0035247F" w:rsidRPr="006316A4" w:rsidRDefault="0035247F" w:rsidP="00D1126F">
            <w:pPr>
              <w:rPr>
                <w:rFonts w:cs="Arial"/>
                <w:b/>
                <w:szCs w:val="22"/>
                <w:lang w:val="en-NZ"/>
              </w:rPr>
            </w:pPr>
            <w:r w:rsidRPr="006316A4">
              <w:rPr>
                <w:rFonts w:cs="Arial"/>
                <w:b/>
                <w:bCs/>
                <w:szCs w:val="22"/>
                <w:lang w:val="en-NZ"/>
              </w:rPr>
              <w:t>1 April 2025</w:t>
            </w:r>
          </w:p>
        </w:tc>
      </w:tr>
      <w:tr w:rsidR="0035247F" w14:paraId="7F7A7EBB" w14:textId="77777777" w:rsidTr="00D1126F">
        <w:trPr>
          <w:trHeight w:val="552"/>
        </w:trPr>
        <w:tc>
          <w:tcPr>
            <w:tcW w:w="2124" w:type="dxa"/>
            <w:shd w:val="clear" w:color="auto" w:fill="FFFFFF" w:themeFill="background1"/>
          </w:tcPr>
          <w:p w14:paraId="7AAF60CD" w14:textId="77777777" w:rsidR="0035247F" w:rsidRPr="006316A4" w:rsidRDefault="0035247F" w:rsidP="00D1126F">
            <w:pPr>
              <w:rPr>
                <w:rFonts w:cs="Arial"/>
                <w:b/>
                <w:szCs w:val="22"/>
                <w:lang w:val="en-NZ"/>
              </w:rPr>
            </w:pPr>
            <w:r w:rsidRPr="006316A4">
              <w:rPr>
                <w:rFonts w:cs="Arial"/>
                <w:b/>
                <w:szCs w:val="22"/>
                <w:lang w:val="en-NZ"/>
              </w:rPr>
              <w:t>MFTC threshold</w:t>
            </w:r>
          </w:p>
        </w:tc>
        <w:tc>
          <w:tcPr>
            <w:tcW w:w="2124" w:type="dxa"/>
            <w:shd w:val="clear" w:color="auto" w:fill="FFFFFF" w:themeFill="background1"/>
          </w:tcPr>
          <w:p w14:paraId="352199A6" w14:textId="77777777" w:rsidR="0035247F" w:rsidRDefault="0035247F" w:rsidP="00D1126F">
            <w:pPr>
              <w:rPr>
                <w:lang w:val="en-NZ"/>
              </w:rPr>
            </w:pPr>
            <w:r>
              <w:rPr>
                <w:rFonts w:cs="Arial"/>
                <w:color w:val="000000"/>
                <w:szCs w:val="22"/>
              </w:rPr>
              <w:t>$</w:t>
            </w:r>
            <w:r w:rsidRPr="006316A4">
              <w:rPr>
                <w:rFonts w:cs="Arial"/>
                <w:color w:val="000000"/>
                <w:szCs w:val="22"/>
              </w:rPr>
              <w:t>32,864</w:t>
            </w:r>
          </w:p>
        </w:tc>
        <w:tc>
          <w:tcPr>
            <w:tcW w:w="2124" w:type="dxa"/>
            <w:shd w:val="clear" w:color="auto" w:fill="FFFFFF" w:themeFill="background1"/>
          </w:tcPr>
          <w:p w14:paraId="651054D6" w14:textId="77777777" w:rsidR="0035247F" w:rsidRDefault="0035247F" w:rsidP="00D1126F">
            <w:pPr>
              <w:rPr>
                <w:lang w:val="en-NZ"/>
              </w:rPr>
            </w:pPr>
            <w:r>
              <w:rPr>
                <w:rFonts w:cs="Arial"/>
                <w:color w:val="000000"/>
                <w:szCs w:val="22"/>
              </w:rPr>
              <w:t>$</w:t>
            </w:r>
            <w:r w:rsidRPr="006316A4">
              <w:rPr>
                <w:rFonts w:cs="Arial"/>
                <w:color w:val="000000"/>
                <w:szCs w:val="22"/>
              </w:rPr>
              <w:t>33,280</w:t>
            </w:r>
          </w:p>
        </w:tc>
        <w:tc>
          <w:tcPr>
            <w:tcW w:w="2124" w:type="dxa"/>
            <w:shd w:val="clear" w:color="auto" w:fill="FFFFFF" w:themeFill="background1"/>
          </w:tcPr>
          <w:p w14:paraId="3E938649" w14:textId="77777777" w:rsidR="0035247F" w:rsidRDefault="0035247F" w:rsidP="00D1126F">
            <w:pPr>
              <w:rPr>
                <w:lang w:val="en-NZ"/>
              </w:rPr>
            </w:pPr>
            <w:r>
              <w:rPr>
                <w:rFonts w:cs="Arial"/>
                <w:color w:val="000000"/>
                <w:szCs w:val="22"/>
              </w:rPr>
              <w:t>$</w:t>
            </w:r>
            <w:r w:rsidRPr="006316A4">
              <w:rPr>
                <w:rFonts w:cs="Arial"/>
                <w:color w:val="000000"/>
                <w:szCs w:val="22"/>
              </w:rPr>
              <w:t>33,644</w:t>
            </w:r>
          </w:p>
        </w:tc>
        <w:tc>
          <w:tcPr>
            <w:tcW w:w="2124" w:type="dxa"/>
            <w:shd w:val="clear" w:color="auto" w:fill="FFFFFF" w:themeFill="background1"/>
          </w:tcPr>
          <w:p w14:paraId="3C93719E" w14:textId="77777777" w:rsidR="0035247F" w:rsidRDefault="0035247F" w:rsidP="00D1126F">
            <w:pPr>
              <w:rPr>
                <w:lang w:val="en-NZ"/>
              </w:rPr>
            </w:pPr>
            <w:r>
              <w:rPr>
                <w:rFonts w:cs="Arial"/>
                <w:color w:val="000000"/>
                <w:szCs w:val="22"/>
              </w:rPr>
              <w:t>$</w:t>
            </w:r>
            <w:r w:rsidRPr="006316A4">
              <w:rPr>
                <w:rFonts w:cs="Arial"/>
                <w:color w:val="000000"/>
                <w:szCs w:val="22"/>
              </w:rPr>
              <w:t>34,112</w:t>
            </w:r>
          </w:p>
        </w:tc>
      </w:tr>
    </w:tbl>
    <w:p w14:paraId="09D3D423" w14:textId="77762320" w:rsidR="0035247F" w:rsidRDefault="0035247F" w:rsidP="00EB0D3A">
      <w:pPr>
        <w:rPr>
          <w:lang w:val="en-NZ"/>
        </w:rPr>
      </w:pPr>
    </w:p>
    <w:p w14:paraId="5F2A00B1" w14:textId="41364699" w:rsidR="0035247F" w:rsidRDefault="00EF3492" w:rsidP="00EB0D3A">
      <w:pPr>
        <w:rPr>
          <w:lang w:val="en-NZ"/>
        </w:rPr>
      </w:pPr>
      <w:r>
        <w:rPr>
          <w:lang w:val="en-NZ"/>
        </w:rPr>
        <w:t>Adjustments to the MFTC threshold are not being considered as part of phase one of the WFF review</w:t>
      </w:r>
      <w:r w:rsidR="00CE7EC4">
        <w:rPr>
          <w:lang w:val="en-NZ"/>
        </w:rPr>
        <w:t xml:space="preserve"> and are therefore not analysed further.</w:t>
      </w:r>
    </w:p>
    <w:p w14:paraId="7C1A3564" w14:textId="5A320F3E" w:rsidR="00E50155" w:rsidRPr="00217730" w:rsidRDefault="00217730" w:rsidP="00217730">
      <w:pPr>
        <w:pStyle w:val="Heading4"/>
        <w:rPr>
          <w:color w:val="auto"/>
          <w:lang w:val="en-NZ"/>
        </w:rPr>
      </w:pPr>
      <w:r>
        <w:rPr>
          <w:color w:val="auto"/>
          <w:lang w:val="en-NZ"/>
        </w:rPr>
        <w:t>Options A and B</w:t>
      </w:r>
    </w:p>
    <w:p w14:paraId="130DD3AC" w14:textId="79352CBB" w:rsidR="00C26329" w:rsidRPr="00C26329" w:rsidRDefault="00C26329" w:rsidP="00C26329">
      <w:pPr>
        <w:rPr>
          <w:lang w:val="en-NZ"/>
        </w:rPr>
      </w:pPr>
      <w:r w:rsidRPr="00C26329">
        <w:rPr>
          <w:lang w:val="en-NZ"/>
        </w:rPr>
        <w:t xml:space="preserve">The </w:t>
      </w:r>
      <w:r w:rsidRPr="006F5736">
        <w:rPr>
          <w:lang w:val="en-NZ"/>
        </w:rPr>
        <w:t xml:space="preserve">following </w:t>
      </w:r>
      <w:r w:rsidR="00943B45" w:rsidRPr="006F5736">
        <w:rPr>
          <w:lang w:val="en-NZ"/>
        </w:rPr>
        <w:t xml:space="preserve">make up the final </w:t>
      </w:r>
      <w:r w:rsidRPr="006F5736">
        <w:rPr>
          <w:lang w:val="en-NZ"/>
        </w:rPr>
        <w:t>options</w:t>
      </w:r>
      <w:r w:rsidR="003657F1" w:rsidRPr="006F5736">
        <w:rPr>
          <w:lang w:val="en-NZ"/>
        </w:rPr>
        <w:t xml:space="preserve"> that</w:t>
      </w:r>
      <w:r w:rsidRPr="006F5736">
        <w:rPr>
          <w:lang w:val="en-NZ"/>
        </w:rPr>
        <w:t xml:space="preserve"> </w:t>
      </w:r>
      <w:r w:rsidR="009E02CD" w:rsidRPr="006F5736">
        <w:rPr>
          <w:lang w:val="en-NZ"/>
        </w:rPr>
        <w:t>were presented to Income Support Ministers</w:t>
      </w:r>
      <w:r w:rsidR="003657F1" w:rsidRPr="006F5736">
        <w:rPr>
          <w:lang w:val="en-NZ"/>
        </w:rPr>
        <w:t xml:space="preserve"> for phase one of the WFF review</w:t>
      </w:r>
      <w:r w:rsidR="005E7E06" w:rsidRPr="006F5736">
        <w:rPr>
          <w:lang w:val="en-NZ"/>
        </w:rPr>
        <w:t>:</w:t>
      </w:r>
      <w:r w:rsidRPr="00C26329">
        <w:rPr>
          <w:lang w:val="en-NZ"/>
        </w:rPr>
        <w:t xml:space="preserve"> </w:t>
      </w:r>
    </w:p>
    <w:p w14:paraId="0313959A" w14:textId="77777777" w:rsidR="00E50155" w:rsidRDefault="00E50155" w:rsidP="005460D3">
      <w:pPr>
        <w:pStyle w:val="ListParagraph"/>
        <w:numPr>
          <w:ilvl w:val="0"/>
          <w:numId w:val="13"/>
        </w:numPr>
        <w:rPr>
          <w:lang w:val="en-NZ"/>
        </w:rPr>
      </w:pPr>
      <w:r>
        <w:rPr>
          <w:lang w:val="en-NZ"/>
        </w:rPr>
        <w:t>A1: $5 FTC increase and no abatement change</w:t>
      </w:r>
    </w:p>
    <w:p w14:paraId="215ED95D" w14:textId="77777777" w:rsidR="00E50155" w:rsidRDefault="00E50155" w:rsidP="005460D3">
      <w:pPr>
        <w:pStyle w:val="ListParagraph"/>
        <w:numPr>
          <w:ilvl w:val="0"/>
          <w:numId w:val="13"/>
        </w:numPr>
        <w:rPr>
          <w:lang w:val="en-NZ"/>
        </w:rPr>
      </w:pPr>
      <w:r>
        <w:rPr>
          <w:lang w:val="en-NZ"/>
        </w:rPr>
        <w:t>A2: $5 FTC increase and 26% abatement rate</w:t>
      </w:r>
    </w:p>
    <w:p w14:paraId="0A3BB8A7" w14:textId="52FB0B85" w:rsidR="00E50155" w:rsidRPr="00A65D79" w:rsidRDefault="00E50155" w:rsidP="005460D3">
      <w:pPr>
        <w:pStyle w:val="ListParagraph"/>
        <w:numPr>
          <w:ilvl w:val="0"/>
          <w:numId w:val="13"/>
        </w:numPr>
        <w:rPr>
          <w:lang w:val="en-NZ"/>
        </w:rPr>
      </w:pPr>
      <w:r>
        <w:rPr>
          <w:lang w:val="en-NZ"/>
        </w:rPr>
        <w:t>A3: $5 FTC increase and 27% abatement rate</w:t>
      </w:r>
    </w:p>
    <w:p w14:paraId="3027A540" w14:textId="03DA1E5C" w:rsidR="00E50155" w:rsidRDefault="00A65D79" w:rsidP="005460D3">
      <w:pPr>
        <w:pStyle w:val="ListParagraph"/>
        <w:numPr>
          <w:ilvl w:val="0"/>
          <w:numId w:val="13"/>
        </w:numPr>
        <w:rPr>
          <w:lang w:val="en-NZ"/>
        </w:rPr>
      </w:pPr>
      <w:r>
        <w:rPr>
          <w:lang w:val="en-NZ"/>
        </w:rPr>
        <w:t>B</w:t>
      </w:r>
      <w:r w:rsidR="00E50155">
        <w:rPr>
          <w:lang w:val="en-NZ"/>
        </w:rPr>
        <w:t>: $7.50 FTC increase, 28% abatement rate</w:t>
      </w:r>
    </w:p>
    <w:p w14:paraId="4C4F7C1E" w14:textId="77777777" w:rsidR="00944B4E" w:rsidRDefault="008969D9" w:rsidP="00EB0D3A">
      <w:pPr>
        <w:rPr>
          <w:lang w:val="en-NZ"/>
        </w:rPr>
      </w:pPr>
      <w:r>
        <w:rPr>
          <w:lang w:val="en-NZ"/>
        </w:rPr>
        <w:t>Each</w:t>
      </w:r>
      <w:r w:rsidR="00E50155">
        <w:rPr>
          <w:lang w:val="en-NZ"/>
        </w:rPr>
        <w:t xml:space="preserve"> </w:t>
      </w:r>
      <w:r>
        <w:rPr>
          <w:lang w:val="en-NZ"/>
        </w:rPr>
        <w:t xml:space="preserve">of these options </w:t>
      </w:r>
      <w:r w:rsidR="00A8320E">
        <w:rPr>
          <w:lang w:val="en-NZ"/>
        </w:rPr>
        <w:t>is</w:t>
      </w:r>
      <w:r>
        <w:rPr>
          <w:lang w:val="en-NZ"/>
        </w:rPr>
        <w:t xml:space="preserve"> mutually exclusive</w:t>
      </w:r>
      <w:r w:rsidR="003E2F5A">
        <w:rPr>
          <w:lang w:val="en-NZ"/>
        </w:rPr>
        <w:t xml:space="preserve"> but a</w:t>
      </w:r>
      <w:r w:rsidR="003E2F5A" w:rsidRPr="00C26329">
        <w:rPr>
          <w:lang w:val="en-NZ"/>
        </w:rPr>
        <w:t xml:space="preserve">ll would take place </w:t>
      </w:r>
      <w:r w:rsidR="003E2F5A">
        <w:rPr>
          <w:lang w:val="en-NZ"/>
        </w:rPr>
        <w:t>on top of the indexation changes anticipated in the</w:t>
      </w:r>
      <w:r w:rsidR="003E2F5A" w:rsidRPr="00C26329">
        <w:rPr>
          <w:lang w:val="en-NZ"/>
        </w:rPr>
        <w:t xml:space="preserve"> counterfactual.</w:t>
      </w:r>
      <w:r w:rsidR="00122E58">
        <w:rPr>
          <w:lang w:val="en-NZ"/>
        </w:rPr>
        <w:t xml:space="preserve"> </w:t>
      </w:r>
    </w:p>
    <w:p w14:paraId="6A04A1B3" w14:textId="48E966EE" w:rsidR="00E50155" w:rsidRDefault="00122E58" w:rsidP="00EB0D3A">
      <w:pPr>
        <w:rPr>
          <w:lang w:val="en-NZ"/>
        </w:rPr>
      </w:pPr>
      <w:r>
        <w:rPr>
          <w:lang w:val="en-NZ"/>
        </w:rPr>
        <w:t>The impacts of these options are outlined below. All outputs</w:t>
      </w:r>
      <w:r w:rsidR="009E20CE">
        <w:rPr>
          <w:lang w:val="en-NZ"/>
        </w:rPr>
        <w:t>,</w:t>
      </w:r>
      <w:r w:rsidR="009B1F93">
        <w:rPr>
          <w:lang w:val="en-NZ"/>
        </w:rPr>
        <w:t xml:space="preserve"> except the settings</w:t>
      </w:r>
      <w:r w:rsidR="004F6292">
        <w:rPr>
          <w:lang w:val="en-NZ"/>
        </w:rPr>
        <w:t xml:space="preserve"> (produced by I</w:t>
      </w:r>
      <w:r w:rsidR="00B85D12">
        <w:rPr>
          <w:lang w:val="en-NZ"/>
        </w:rPr>
        <w:t xml:space="preserve">nland </w:t>
      </w:r>
      <w:r w:rsidR="004F6292">
        <w:rPr>
          <w:lang w:val="en-NZ"/>
        </w:rPr>
        <w:t>R</w:t>
      </w:r>
      <w:r w:rsidR="00B85D12">
        <w:rPr>
          <w:lang w:val="en-NZ"/>
        </w:rPr>
        <w:t>evenue</w:t>
      </w:r>
      <w:r w:rsidR="004F6292">
        <w:rPr>
          <w:lang w:val="en-NZ"/>
        </w:rPr>
        <w:t>)</w:t>
      </w:r>
      <w:r w:rsidR="009E20CE">
        <w:rPr>
          <w:lang w:val="en-NZ"/>
        </w:rPr>
        <w:t>,</w:t>
      </w:r>
      <w:r>
        <w:rPr>
          <w:lang w:val="en-NZ"/>
        </w:rPr>
        <w:t xml:space="preserve"> have been produced using T</w:t>
      </w:r>
      <w:r w:rsidR="00944B4E">
        <w:rPr>
          <w:lang w:val="en-NZ"/>
        </w:rPr>
        <w:t>reasury’s TAWA</w:t>
      </w:r>
      <w:r w:rsidR="00B85D12">
        <w:rPr>
          <w:lang w:val="en-NZ"/>
        </w:rPr>
        <w:t xml:space="preserve"> model</w:t>
      </w:r>
      <w:r w:rsidR="00243DBF">
        <w:rPr>
          <w:lang w:val="en-NZ"/>
        </w:rPr>
        <w:t>.</w:t>
      </w:r>
      <w:r w:rsidR="001F0918">
        <w:rPr>
          <w:lang w:val="en-NZ"/>
        </w:rPr>
        <w:t xml:space="preserve"> </w:t>
      </w:r>
    </w:p>
    <w:p w14:paraId="32EB355E" w14:textId="3EAC58D8" w:rsidR="003871F1" w:rsidRPr="003871F1" w:rsidRDefault="003871F1" w:rsidP="00EB0D3A">
      <w:pPr>
        <w:rPr>
          <w:b/>
          <w:bCs/>
          <w:i/>
          <w:iCs/>
          <w:lang w:val="en-NZ"/>
        </w:rPr>
      </w:pPr>
      <w:r w:rsidRPr="003871F1">
        <w:rPr>
          <w:b/>
          <w:bCs/>
          <w:i/>
          <w:iCs/>
          <w:lang w:val="en-NZ"/>
        </w:rPr>
        <w:t>Settings</w:t>
      </w:r>
    </w:p>
    <w:p w14:paraId="5B3C6892" w14:textId="095CD1E9" w:rsidR="00E35787" w:rsidRDefault="00E35787" w:rsidP="00EB0D3A">
      <w:pPr>
        <w:rPr>
          <w:lang w:val="en-NZ"/>
        </w:rPr>
      </w:pPr>
      <w:r>
        <w:rPr>
          <w:lang w:val="en-NZ"/>
        </w:rPr>
        <w:t xml:space="preserve">The following table </w:t>
      </w:r>
      <w:r w:rsidR="00782C6F">
        <w:rPr>
          <w:lang w:val="en-NZ"/>
        </w:rPr>
        <w:t xml:space="preserve">demonstrates </w:t>
      </w:r>
      <w:r w:rsidR="004455E0">
        <w:rPr>
          <w:lang w:val="en-NZ"/>
        </w:rPr>
        <w:t xml:space="preserve">what the WFF settings would look like in </w:t>
      </w:r>
      <w:r w:rsidR="00C82EE4">
        <w:rPr>
          <w:lang w:val="en-NZ"/>
        </w:rPr>
        <w:t>April 2022 under each option</w:t>
      </w:r>
      <w:r w:rsidR="00F726E3">
        <w:rPr>
          <w:lang w:val="en-NZ"/>
        </w:rPr>
        <w:t>.</w:t>
      </w:r>
      <w:r w:rsidR="00A858F3">
        <w:rPr>
          <w:lang w:val="en-NZ"/>
        </w:rPr>
        <w:t xml:space="preserve"> </w:t>
      </w:r>
      <w:r w:rsidR="00C82EE4">
        <w:rPr>
          <w:lang w:val="en-NZ"/>
        </w:rPr>
        <w:t>The status quo</w:t>
      </w:r>
      <w:r w:rsidR="00D264DB">
        <w:rPr>
          <w:lang w:val="en-NZ"/>
        </w:rPr>
        <w:t xml:space="preserve"> FTC and BSTC rates</w:t>
      </w:r>
      <w:r w:rsidR="00C82EE4">
        <w:rPr>
          <w:lang w:val="en-NZ"/>
        </w:rPr>
        <w:t xml:space="preserve"> ha</w:t>
      </w:r>
      <w:r w:rsidR="00D264DB">
        <w:rPr>
          <w:lang w:val="en-NZ"/>
        </w:rPr>
        <w:t>ve</w:t>
      </w:r>
      <w:r w:rsidR="00C82EE4">
        <w:rPr>
          <w:lang w:val="en-NZ"/>
        </w:rPr>
        <w:t xml:space="preserve"> increased</w:t>
      </w:r>
      <w:r w:rsidR="00D264DB">
        <w:rPr>
          <w:lang w:val="en-NZ"/>
        </w:rPr>
        <w:t xml:space="preserve"> from current settings due to indexation.</w:t>
      </w:r>
      <w:r w:rsidR="000A1837">
        <w:rPr>
          <w:lang w:val="en-NZ"/>
        </w:rPr>
        <w:t xml:space="preserve"> All amounts are annual.</w:t>
      </w:r>
    </w:p>
    <w:tbl>
      <w:tblPr>
        <w:tblStyle w:val="TableGrid"/>
        <w:tblW w:w="0" w:type="auto"/>
        <w:tblLook w:val="04A0" w:firstRow="1" w:lastRow="0" w:firstColumn="1" w:lastColumn="0" w:noHBand="0" w:noVBand="1"/>
      </w:tblPr>
      <w:tblGrid>
        <w:gridCol w:w="1202"/>
        <w:gridCol w:w="1097"/>
        <w:gridCol w:w="1354"/>
        <w:gridCol w:w="1093"/>
        <w:gridCol w:w="1067"/>
        <w:gridCol w:w="1265"/>
        <w:gridCol w:w="970"/>
        <w:gridCol w:w="1012"/>
      </w:tblGrid>
      <w:tr w:rsidR="00B85D12" w14:paraId="6C1A7B6F" w14:textId="2E0EF93A" w:rsidTr="00A858F3">
        <w:tc>
          <w:tcPr>
            <w:tcW w:w="1222" w:type="dxa"/>
          </w:tcPr>
          <w:p w14:paraId="1FF6A04D" w14:textId="08708A99" w:rsidR="00F76E6B" w:rsidRDefault="00F76E6B" w:rsidP="00AF3421">
            <w:pPr>
              <w:contextualSpacing/>
              <w:rPr>
                <w:lang w:val="en-NZ"/>
              </w:rPr>
            </w:pPr>
            <w:r>
              <w:rPr>
                <w:lang w:val="en-NZ"/>
              </w:rPr>
              <w:t>Scenario</w:t>
            </w:r>
          </w:p>
        </w:tc>
        <w:tc>
          <w:tcPr>
            <w:tcW w:w="1133" w:type="dxa"/>
          </w:tcPr>
          <w:p w14:paraId="53705EF2" w14:textId="0BC752DF" w:rsidR="00F76E6B" w:rsidRDefault="00F76E6B" w:rsidP="00AF3421">
            <w:pPr>
              <w:contextualSpacing/>
              <w:rPr>
                <w:lang w:val="en-NZ"/>
              </w:rPr>
            </w:pPr>
            <w:r>
              <w:rPr>
                <w:lang w:val="en-NZ"/>
              </w:rPr>
              <w:t>FTC eldest child</w:t>
            </w:r>
          </w:p>
        </w:tc>
        <w:tc>
          <w:tcPr>
            <w:tcW w:w="1196" w:type="dxa"/>
          </w:tcPr>
          <w:p w14:paraId="18F753DE" w14:textId="56BD3E37" w:rsidR="00F76E6B" w:rsidRDefault="00F76E6B" w:rsidP="00AF3421">
            <w:pPr>
              <w:contextualSpacing/>
              <w:rPr>
                <w:lang w:val="en-NZ"/>
              </w:rPr>
            </w:pPr>
            <w:r>
              <w:rPr>
                <w:lang w:val="en-NZ"/>
              </w:rPr>
              <w:t xml:space="preserve">FTC </w:t>
            </w:r>
            <w:r w:rsidR="00B85D12">
              <w:rPr>
                <w:lang w:val="en-NZ"/>
              </w:rPr>
              <w:t>subsequent</w:t>
            </w:r>
            <w:r>
              <w:rPr>
                <w:lang w:val="en-NZ"/>
              </w:rPr>
              <w:t xml:space="preserve"> child</w:t>
            </w:r>
          </w:p>
        </w:tc>
        <w:tc>
          <w:tcPr>
            <w:tcW w:w="1129" w:type="dxa"/>
          </w:tcPr>
          <w:p w14:paraId="635918FA" w14:textId="28D51AC5" w:rsidR="00F76E6B" w:rsidRDefault="00F76E6B" w:rsidP="00AF3421">
            <w:pPr>
              <w:contextualSpacing/>
              <w:rPr>
                <w:lang w:val="en-NZ"/>
              </w:rPr>
            </w:pPr>
            <w:r>
              <w:rPr>
                <w:lang w:val="en-NZ"/>
              </w:rPr>
              <w:t>IWTC per family</w:t>
            </w:r>
          </w:p>
        </w:tc>
        <w:tc>
          <w:tcPr>
            <w:tcW w:w="1117" w:type="dxa"/>
          </w:tcPr>
          <w:p w14:paraId="6C202AE6" w14:textId="6B131C6B" w:rsidR="00F76E6B" w:rsidRDefault="00F76E6B" w:rsidP="00AF3421">
            <w:pPr>
              <w:contextualSpacing/>
              <w:rPr>
                <w:lang w:val="en-NZ"/>
              </w:rPr>
            </w:pPr>
            <w:r>
              <w:rPr>
                <w:lang w:val="en-NZ"/>
              </w:rPr>
              <w:t>IWTC extra child</w:t>
            </w:r>
          </w:p>
        </w:tc>
        <w:tc>
          <w:tcPr>
            <w:tcW w:w="1267" w:type="dxa"/>
          </w:tcPr>
          <w:p w14:paraId="291AB1F7" w14:textId="75F2FA18" w:rsidR="00F76E6B" w:rsidRDefault="001942BE" w:rsidP="00AF3421">
            <w:pPr>
              <w:contextualSpacing/>
              <w:rPr>
                <w:lang w:val="en-NZ"/>
              </w:rPr>
            </w:pPr>
            <w:r>
              <w:rPr>
                <w:lang w:val="en-NZ"/>
              </w:rPr>
              <w:t>WFF</w:t>
            </w:r>
            <w:r w:rsidR="00945B5D">
              <w:rPr>
                <w:lang w:val="en-NZ"/>
              </w:rPr>
              <w:t xml:space="preserve"> abatement rate</w:t>
            </w:r>
          </w:p>
        </w:tc>
        <w:tc>
          <w:tcPr>
            <w:tcW w:w="984" w:type="dxa"/>
          </w:tcPr>
          <w:p w14:paraId="002A26AD" w14:textId="5684DBBB" w:rsidR="00F76E6B" w:rsidRDefault="00945B5D" w:rsidP="00AF3421">
            <w:pPr>
              <w:contextualSpacing/>
              <w:rPr>
                <w:lang w:val="en-NZ"/>
              </w:rPr>
            </w:pPr>
            <w:r>
              <w:rPr>
                <w:lang w:val="en-NZ"/>
              </w:rPr>
              <w:t>BSTC</w:t>
            </w:r>
          </w:p>
        </w:tc>
        <w:tc>
          <w:tcPr>
            <w:tcW w:w="1012" w:type="dxa"/>
          </w:tcPr>
          <w:p w14:paraId="0F7BFC51" w14:textId="2F96D98C" w:rsidR="00F76E6B" w:rsidRDefault="00945B5D" w:rsidP="00AF3421">
            <w:pPr>
              <w:contextualSpacing/>
              <w:rPr>
                <w:lang w:val="en-NZ"/>
              </w:rPr>
            </w:pPr>
            <w:r>
              <w:rPr>
                <w:lang w:val="en-NZ"/>
              </w:rPr>
              <w:t>MFTC</w:t>
            </w:r>
          </w:p>
        </w:tc>
      </w:tr>
      <w:tr w:rsidR="00B85D12" w14:paraId="6E4DF6D5" w14:textId="3E43396B" w:rsidTr="004D0406">
        <w:tc>
          <w:tcPr>
            <w:tcW w:w="1222" w:type="dxa"/>
            <w:shd w:val="clear" w:color="auto" w:fill="E2EFD9" w:themeFill="accent6" w:themeFillTint="33"/>
          </w:tcPr>
          <w:p w14:paraId="4EFE4131" w14:textId="5C245035" w:rsidR="00F76E6B" w:rsidRDefault="00F16158" w:rsidP="00AF3421">
            <w:pPr>
              <w:contextualSpacing/>
              <w:rPr>
                <w:lang w:val="en-NZ"/>
              </w:rPr>
            </w:pPr>
            <w:r>
              <w:rPr>
                <w:lang w:val="en-NZ"/>
              </w:rPr>
              <w:t>CF</w:t>
            </w:r>
          </w:p>
        </w:tc>
        <w:tc>
          <w:tcPr>
            <w:tcW w:w="1133" w:type="dxa"/>
            <w:shd w:val="clear" w:color="auto" w:fill="E2EFD9" w:themeFill="accent6" w:themeFillTint="33"/>
          </w:tcPr>
          <w:p w14:paraId="0B17E45F" w14:textId="080F3DEF" w:rsidR="00F76E6B" w:rsidRDefault="000A1837" w:rsidP="00AF3421">
            <w:pPr>
              <w:contextualSpacing/>
              <w:rPr>
                <w:lang w:val="en-NZ"/>
              </w:rPr>
            </w:pPr>
            <w:r>
              <w:rPr>
                <w:lang w:val="en-NZ"/>
              </w:rPr>
              <w:t>$6,227</w:t>
            </w:r>
          </w:p>
        </w:tc>
        <w:tc>
          <w:tcPr>
            <w:tcW w:w="1196" w:type="dxa"/>
            <w:shd w:val="clear" w:color="auto" w:fill="E2EFD9" w:themeFill="accent6" w:themeFillTint="33"/>
          </w:tcPr>
          <w:p w14:paraId="2EA0D5BF" w14:textId="20016955" w:rsidR="00F76E6B" w:rsidRDefault="00576979" w:rsidP="00AF3421">
            <w:pPr>
              <w:contextualSpacing/>
              <w:rPr>
                <w:lang w:val="en-NZ"/>
              </w:rPr>
            </w:pPr>
            <w:r>
              <w:rPr>
                <w:lang w:val="en-NZ"/>
              </w:rPr>
              <w:t>$5,027</w:t>
            </w:r>
          </w:p>
        </w:tc>
        <w:tc>
          <w:tcPr>
            <w:tcW w:w="1129" w:type="dxa"/>
            <w:shd w:val="clear" w:color="auto" w:fill="E2EFD9" w:themeFill="accent6" w:themeFillTint="33"/>
          </w:tcPr>
          <w:p w14:paraId="6B34D3EE" w14:textId="23CECA8F" w:rsidR="00F76E6B" w:rsidRDefault="00280D96" w:rsidP="00AF3421">
            <w:pPr>
              <w:contextualSpacing/>
              <w:rPr>
                <w:lang w:val="en-NZ"/>
              </w:rPr>
            </w:pPr>
            <w:r>
              <w:rPr>
                <w:lang w:val="en-NZ"/>
              </w:rPr>
              <w:t>$3,770</w:t>
            </w:r>
          </w:p>
        </w:tc>
        <w:tc>
          <w:tcPr>
            <w:tcW w:w="1117" w:type="dxa"/>
            <w:shd w:val="clear" w:color="auto" w:fill="E2EFD9" w:themeFill="accent6" w:themeFillTint="33"/>
          </w:tcPr>
          <w:p w14:paraId="64B33F9B" w14:textId="714E7420" w:rsidR="00F76E6B" w:rsidRDefault="00280D96" w:rsidP="00AF3421">
            <w:pPr>
              <w:contextualSpacing/>
              <w:rPr>
                <w:lang w:val="en-NZ"/>
              </w:rPr>
            </w:pPr>
            <w:r>
              <w:rPr>
                <w:lang w:val="en-NZ"/>
              </w:rPr>
              <w:t>780</w:t>
            </w:r>
          </w:p>
        </w:tc>
        <w:tc>
          <w:tcPr>
            <w:tcW w:w="1267" w:type="dxa"/>
            <w:shd w:val="clear" w:color="auto" w:fill="E2EFD9" w:themeFill="accent6" w:themeFillTint="33"/>
          </w:tcPr>
          <w:p w14:paraId="4B9BF7BF" w14:textId="3B7DC1C6" w:rsidR="00F76E6B" w:rsidRDefault="001532DC" w:rsidP="00AF3421">
            <w:pPr>
              <w:contextualSpacing/>
              <w:rPr>
                <w:lang w:val="en-NZ"/>
              </w:rPr>
            </w:pPr>
            <w:r>
              <w:rPr>
                <w:lang w:val="en-NZ"/>
              </w:rPr>
              <w:t>25%</w:t>
            </w:r>
          </w:p>
        </w:tc>
        <w:tc>
          <w:tcPr>
            <w:tcW w:w="984" w:type="dxa"/>
            <w:shd w:val="clear" w:color="auto" w:fill="E2EFD9" w:themeFill="accent6" w:themeFillTint="33"/>
          </w:tcPr>
          <w:p w14:paraId="397C3D71" w14:textId="3508AD1B" w:rsidR="00F76E6B" w:rsidRDefault="00280D96" w:rsidP="00AF3421">
            <w:pPr>
              <w:contextualSpacing/>
              <w:rPr>
                <w:lang w:val="en-NZ"/>
              </w:rPr>
            </w:pPr>
            <w:r>
              <w:rPr>
                <w:lang w:val="en-NZ"/>
              </w:rPr>
              <w:t>$3,30</w:t>
            </w:r>
            <w:r w:rsidR="006B3888">
              <w:rPr>
                <w:lang w:val="en-NZ"/>
              </w:rPr>
              <w:t>6</w:t>
            </w:r>
          </w:p>
        </w:tc>
        <w:tc>
          <w:tcPr>
            <w:tcW w:w="1012" w:type="dxa"/>
            <w:shd w:val="clear" w:color="auto" w:fill="E2EFD9" w:themeFill="accent6" w:themeFillTint="33"/>
          </w:tcPr>
          <w:p w14:paraId="33FE9936" w14:textId="625EF701" w:rsidR="00F76E6B" w:rsidRDefault="00217E91" w:rsidP="00AF3421">
            <w:pPr>
              <w:contextualSpacing/>
              <w:rPr>
                <w:lang w:val="en-NZ"/>
              </w:rPr>
            </w:pPr>
            <w:r w:rsidRPr="005B4CEA">
              <w:rPr>
                <w:lang w:val="en-NZ"/>
              </w:rPr>
              <w:t>$32,864</w:t>
            </w:r>
          </w:p>
        </w:tc>
      </w:tr>
      <w:tr w:rsidR="00B85D12" w14:paraId="0D5F837A" w14:textId="15A4A637" w:rsidTr="004D0406">
        <w:tc>
          <w:tcPr>
            <w:tcW w:w="1222" w:type="dxa"/>
            <w:shd w:val="clear" w:color="auto" w:fill="D9E2F3" w:themeFill="accent5" w:themeFillTint="33"/>
          </w:tcPr>
          <w:p w14:paraId="400340F7" w14:textId="641F7BAD" w:rsidR="00F76E6B" w:rsidRDefault="00F16158" w:rsidP="00AF3421">
            <w:pPr>
              <w:contextualSpacing/>
              <w:rPr>
                <w:lang w:val="en-NZ"/>
              </w:rPr>
            </w:pPr>
            <w:r>
              <w:rPr>
                <w:lang w:val="en-NZ"/>
              </w:rPr>
              <w:t>A1</w:t>
            </w:r>
          </w:p>
        </w:tc>
        <w:tc>
          <w:tcPr>
            <w:tcW w:w="1133" w:type="dxa"/>
            <w:shd w:val="clear" w:color="auto" w:fill="D9E2F3" w:themeFill="accent5" w:themeFillTint="33"/>
          </w:tcPr>
          <w:p w14:paraId="57E019AC" w14:textId="0E4B19C6" w:rsidR="00F76E6B" w:rsidRDefault="00D37111" w:rsidP="00AF3421">
            <w:pPr>
              <w:contextualSpacing/>
              <w:rPr>
                <w:lang w:val="en-NZ"/>
              </w:rPr>
            </w:pPr>
            <w:r>
              <w:rPr>
                <w:lang w:val="en-NZ"/>
              </w:rPr>
              <w:t>$6,4</w:t>
            </w:r>
            <w:r w:rsidR="00442902">
              <w:rPr>
                <w:lang w:val="en-NZ"/>
              </w:rPr>
              <w:t>87</w:t>
            </w:r>
          </w:p>
        </w:tc>
        <w:tc>
          <w:tcPr>
            <w:tcW w:w="1196" w:type="dxa"/>
            <w:shd w:val="clear" w:color="auto" w:fill="D9E2F3" w:themeFill="accent5" w:themeFillTint="33"/>
          </w:tcPr>
          <w:p w14:paraId="4B45C26F" w14:textId="299C9615" w:rsidR="00F76E6B" w:rsidRDefault="00442902" w:rsidP="00AF3421">
            <w:pPr>
              <w:contextualSpacing/>
              <w:rPr>
                <w:lang w:val="en-NZ"/>
              </w:rPr>
            </w:pPr>
            <w:r>
              <w:rPr>
                <w:lang w:val="en-NZ"/>
              </w:rPr>
              <w:t>$5,287</w:t>
            </w:r>
          </w:p>
        </w:tc>
        <w:tc>
          <w:tcPr>
            <w:tcW w:w="1129" w:type="dxa"/>
            <w:shd w:val="clear" w:color="auto" w:fill="D9E2F3" w:themeFill="accent5" w:themeFillTint="33"/>
          </w:tcPr>
          <w:p w14:paraId="4E410C31" w14:textId="04492F92" w:rsidR="00F76E6B" w:rsidRDefault="00C02A29" w:rsidP="00AF3421">
            <w:pPr>
              <w:contextualSpacing/>
              <w:rPr>
                <w:lang w:val="en-NZ"/>
              </w:rPr>
            </w:pPr>
            <w:r>
              <w:rPr>
                <w:lang w:val="en-NZ"/>
              </w:rPr>
              <w:t>$3,770</w:t>
            </w:r>
          </w:p>
        </w:tc>
        <w:tc>
          <w:tcPr>
            <w:tcW w:w="1117" w:type="dxa"/>
            <w:shd w:val="clear" w:color="auto" w:fill="D9E2F3" w:themeFill="accent5" w:themeFillTint="33"/>
          </w:tcPr>
          <w:p w14:paraId="307D94E9" w14:textId="1B7C9D31" w:rsidR="00F76E6B" w:rsidRDefault="00C02A29" w:rsidP="00AF3421">
            <w:pPr>
              <w:contextualSpacing/>
              <w:rPr>
                <w:lang w:val="en-NZ"/>
              </w:rPr>
            </w:pPr>
            <w:r>
              <w:rPr>
                <w:lang w:val="en-NZ"/>
              </w:rPr>
              <w:t>780</w:t>
            </w:r>
          </w:p>
        </w:tc>
        <w:tc>
          <w:tcPr>
            <w:tcW w:w="1267" w:type="dxa"/>
            <w:shd w:val="clear" w:color="auto" w:fill="D9E2F3" w:themeFill="accent5" w:themeFillTint="33"/>
          </w:tcPr>
          <w:p w14:paraId="5CC671B4" w14:textId="5AADECD3" w:rsidR="00F76E6B" w:rsidRDefault="00C02A29" w:rsidP="00AF3421">
            <w:pPr>
              <w:contextualSpacing/>
              <w:rPr>
                <w:lang w:val="en-NZ"/>
              </w:rPr>
            </w:pPr>
            <w:r>
              <w:rPr>
                <w:lang w:val="en-NZ"/>
              </w:rPr>
              <w:t>25%</w:t>
            </w:r>
          </w:p>
        </w:tc>
        <w:tc>
          <w:tcPr>
            <w:tcW w:w="984" w:type="dxa"/>
            <w:shd w:val="clear" w:color="auto" w:fill="D9E2F3" w:themeFill="accent5" w:themeFillTint="33"/>
          </w:tcPr>
          <w:p w14:paraId="4404F609" w14:textId="28E5B895" w:rsidR="00F76E6B" w:rsidRDefault="006D7099" w:rsidP="00AF3421">
            <w:pPr>
              <w:contextualSpacing/>
              <w:rPr>
                <w:lang w:val="en-NZ"/>
              </w:rPr>
            </w:pPr>
            <w:r w:rsidRPr="006D7099">
              <w:rPr>
                <w:lang w:val="en-NZ"/>
              </w:rPr>
              <w:t>$3,30</w:t>
            </w:r>
            <w:r w:rsidR="006B3888">
              <w:rPr>
                <w:lang w:val="en-NZ"/>
              </w:rPr>
              <w:t>6</w:t>
            </w:r>
          </w:p>
        </w:tc>
        <w:tc>
          <w:tcPr>
            <w:tcW w:w="1012" w:type="dxa"/>
            <w:shd w:val="clear" w:color="auto" w:fill="D9E2F3" w:themeFill="accent5" w:themeFillTint="33"/>
          </w:tcPr>
          <w:p w14:paraId="688937A9" w14:textId="4737AC4D" w:rsidR="00F76E6B" w:rsidRDefault="00BD27EF" w:rsidP="00AF3421">
            <w:pPr>
              <w:contextualSpacing/>
              <w:rPr>
                <w:lang w:val="en-NZ"/>
              </w:rPr>
            </w:pPr>
            <w:r w:rsidRPr="005B4CEA">
              <w:rPr>
                <w:lang w:val="en-NZ"/>
              </w:rPr>
              <w:t>$32,864</w:t>
            </w:r>
          </w:p>
        </w:tc>
      </w:tr>
      <w:tr w:rsidR="00B85D12" w14:paraId="7E4547D3" w14:textId="0CDD4BE0" w:rsidTr="004D0406">
        <w:tc>
          <w:tcPr>
            <w:tcW w:w="1222" w:type="dxa"/>
            <w:shd w:val="clear" w:color="auto" w:fill="D9E2F3" w:themeFill="accent5" w:themeFillTint="33"/>
          </w:tcPr>
          <w:p w14:paraId="24438862" w14:textId="61B45DF9" w:rsidR="00F76E6B" w:rsidRDefault="00F16158" w:rsidP="00AF3421">
            <w:pPr>
              <w:contextualSpacing/>
              <w:rPr>
                <w:lang w:val="en-NZ"/>
              </w:rPr>
            </w:pPr>
            <w:r>
              <w:rPr>
                <w:lang w:val="en-NZ"/>
              </w:rPr>
              <w:t>A2</w:t>
            </w:r>
          </w:p>
        </w:tc>
        <w:tc>
          <w:tcPr>
            <w:tcW w:w="1133" w:type="dxa"/>
            <w:shd w:val="clear" w:color="auto" w:fill="D9E2F3" w:themeFill="accent5" w:themeFillTint="33"/>
          </w:tcPr>
          <w:p w14:paraId="4DD3DFC2" w14:textId="1897AE32" w:rsidR="00F76E6B" w:rsidRDefault="00AC12B5" w:rsidP="00AF3421">
            <w:pPr>
              <w:contextualSpacing/>
              <w:rPr>
                <w:lang w:val="en-NZ"/>
              </w:rPr>
            </w:pPr>
            <w:r>
              <w:rPr>
                <w:lang w:val="en-NZ"/>
              </w:rPr>
              <w:t>$6,487</w:t>
            </w:r>
          </w:p>
        </w:tc>
        <w:tc>
          <w:tcPr>
            <w:tcW w:w="1196" w:type="dxa"/>
            <w:shd w:val="clear" w:color="auto" w:fill="D9E2F3" w:themeFill="accent5" w:themeFillTint="33"/>
          </w:tcPr>
          <w:p w14:paraId="543BEC3E" w14:textId="50780C04" w:rsidR="00F76E6B" w:rsidRDefault="00AC12B5" w:rsidP="00AF3421">
            <w:pPr>
              <w:contextualSpacing/>
              <w:rPr>
                <w:lang w:val="en-NZ"/>
              </w:rPr>
            </w:pPr>
            <w:r>
              <w:rPr>
                <w:lang w:val="en-NZ"/>
              </w:rPr>
              <w:t>$5,287</w:t>
            </w:r>
          </w:p>
        </w:tc>
        <w:tc>
          <w:tcPr>
            <w:tcW w:w="1129" w:type="dxa"/>
            <w:shd w:val="clear" w:color="auto" w:fill="D9E2F3" w:themeFill="accent5" w:themeFillTint="33"/>
          </w:tcPr>
          <w:p w14:paraId="19E2ED67" w14:textId="358654FC" w:rsidR="00F76E6B" w:rsidRDefault="00A858F3" w:rsidP="00AF3421">
            <w:pPr>
              <w:contextualSpacing/>
              <w:rPr>
                <w:lang w:val="en-NZ"/>
              </w:rPr>
            </w:pPr>
            <w:r>
              <w:rPr>
                <w:lang w:val="en-NZ"/>
              </w:rPr>
              <w:t>$3,770</w:t>
            </w:r>
          </w:p>
        </w:tc>
        <w:tc>
          <w:tcPr>
            <w:tcW w:w="1117" w:type="dxa"/>
            <w:shd w:val="clear" w:color="auto" w:fill="D9E2F3" w:themeFill="accent5" w:themeFillTint="33"/>
          </w:tcPr>
          <w:p w14:paraId="31BA4AF5" w14:textId="7A5162F8" w:rsidR="00F76E6B" w:rsidRDefault="00A758D8" w:rsidP="00AF3421">
            <w:pPr>
              <w:contextualSpacing/>
              <w:rPr>
                <w:lang w:val="en-NZ"/>
              </w:rPr>
            </w:pPr>
            <w:r>
              <w:rPr>
                <w:lang w:val="en-NZ"/>
              </w:rPr>
              <w:t>780</w:t>
            </w:r>
          </w:p>
        </w:tc>
        <w:tc>
          <w:tcPr>
            <w:tcW w:w="1267" w:type="dxa"/>
            <w:shd w:val="clear" w:color="auto" w:fill="D9E2F3" w:themeFill="accent5" w:themeFillTint="33"/>
          </w:tcPr>
          <w:p w14:paraId="52DA57DE" w14:textId="3E6B7E37" w:rsidR="00F76E6B" w:rsidRDefault="00E10546" w:rsidP="00AF3421">
            <w:pPr>
              <w:contextualSpacing/>
              <w:rPr>
                <w:lang w:val="en-NZ"/>
              </w:rPr>
            </w:pPr>
            <w:r>
              <w:rPr>
                <w:lang w:val="en-NZ"/>
              </w:rPr>
              <w:t>26%</w:t>
            </w:r>
          </w:p>
        </w:tc>
        <w:tc>
          <w:tcPr>
            <w:tcW w:w="984" w:type="dxa"/>
            <w:shd w:val="clear" w:color="auto" w:fill="D9E2F3" w:themeFill="accent5" w:themeFillTint="33"/>
          </w:tcPr>
          <w:p w14:paraId="1D69C8B3" w14:textId="0FE6E275" w:rsidR="00F76E6B" w:rsidRDefault="006D7099" w:rsidP="00AF3421">
            <w:pPr>
              <w:contextualSpacing/>
              <w:rPr>
                <w:lang w:val="en-NZ"/>
              </w:rPr>
            </w:pPr>
            <w:r w:rsidRPr="006D7099">
              <w:rPr>
                <w:lang w:val="en-NZ"/>
              </w:rPr>
              <w:t>$3,30</w:t>
            </w:r>
            <w:r w:rsidR="006B3888">
              <w:rPr>
                <w:lang w:val="en-NZ"/>
              </w:rPr>
              <w:t>6</w:t>
            </w:r>
          </w:p>
        </w:tc>
        <w:tc>
          <w:tcPr>
            <w:tcW w:w="1012" w:type="dxa"/>
            <w:shd w:val="clear" w:color="auto" w:fill="D9E2F3" w:themeFill="accent5" w:themeFillTint="33"/>
          </w:tcPr>
          <w:p w14:paraId="20B491B7" w14:textId="3DD9CF54" w:rsidR="00F76E6B" w:rsidRDefault="00BD27EF" w:rsidP="00AF3421">
            <w:pPr>
              <w:contextualSpacing/>
              <w:rPr>
                <w:lang w:val="en-NZ"/>
              </w:rPr>
            </w:pPr>
            <w:r w:rsidRPr="005B4CEA">
              <w:rPr>
                <w:lang w:val="en-NZ"/>
              </w:rPr>
              <w:t>$32,864</w:t>
            </w:r>
          </w:p>
        </w:tc>
      </w:tr>
      <w:tr w:rsidR="00B85D12" w14:paraId="2B4A4339" w14:textId="478A145F" w:rsidTr="004D0406">
        <w:tc>
          <w:tcPr>
            <w:tcW w:w="1222" w:type="dxa"/>
            <w:shd w:val="clear" w:color="auto" w:fill="D9E2F3" w:themeFill="accent5" w:themeFillTint="33"/>
          </w:tcPr>
          <w:p w14:paraId="42E170D3" w14:textId="32156DCC" w:rsidR="00F76E6B" w:rsidRDefault="00F16158" w:rsidP="00AF3421">
            <w:pPr>
              <w:contextualSpacing/>
              <w:rPr>
                <w:lang w:val="en-NZ"/>
              </w:rPr>
            </w:pPr>
            <w:r>
              <w:rPr>
                <w:lang w:val="en-NZ"/>
              </w:rPr>
              <w:t>A3</w:t>
            </w:r>
          </w:p>
        </w:tc>
        <w:tc>
          <w:tcPr>
            <w:tcW w:w="1133" w:type="dxa"/>
            <w:shd w:val="clear" w:color="auto" w:fill="D9E2F3" w:themeFill="accent5" w:themeFillTint="33"/>
          </w:tcPr>
          <w:p w14:paraId="5DB21C34" w14:textId="0E028311" w:rsidR="00F76E6B" w:rsidRDefault="00AC12B5" w:rsidP="00AF3421">
            <w:pPr>
              <w:contextualSpacing/>
              <w:rPr>
                <w:lang w:val="en-NZ"/>
              </w:rPr>
            </w:pPr>
            <w:r>
              <w:rPr>
                <w:lang w:val="en-NZ"/>
              </w:rPr>
              <w:t>$6,487</w:t>
            </w:r>
          </w:p>
        </w:tc>
        <w:tc>
          <w:tcPr>
            <w:tcW w:w="1196" w:type="dxa"/>
            <w:shd w:val="clear" w:color="auto" w:fill="D9E2F3" w:themeFill="accent5" w:themeFillTint="33"/>
          </w:tcPr>
          <w:p w14:paraId="14F0D0A8" w14:textId="2871D0A5" w:rsidR="00F76E6B" w:rsidRDefault="00AC12B5" w:rsidP="00AF3421">
            <w:pPr>
              <w:contextualSpacing/>
              <w:rPr>
                <w:lang w:val="en-NZ"/>
              </w:rPr>
            </w:pPr>
            <w:r>
              <w:rPr>
                <w:lang w:val="en-NZ"/>
              </w:rPr>
              <w:t>$5,287</w:t>
            </w:r>
          </w:p>
        </w:tc>
        <w:tc>
          <w:tcPr>
            <w:tcW w:w="1129" w:type="dxa"/>
            <w:shd w:val="clear" w:color="auto" w:fill="D9E2F3" w:themeFill="accent5" w:themeFillTint="33"/>
          </w:tcPr>
          <w:p w14:paraId="758187BB" w14:textId="7D7714B8" w:rsidR="00F76E6B" w:rsidRDefault="00A858F3" w:rsidP="00AF3421">
            <w:pPr>
              <w:contextualSpacing/>
              <w:rPr>
                <w:lang w:val="en-NZ"/>
              </w:rPr>
            </w:pPr>
            <w:r>
              <w:rPr>
                <w:lang w:val="en-NZ"/>
              </w:rPr>
              <w:t>$3,770</w:t>
            </w:r>
          </w:p>
        </w:tc>
        <w:tc>
          <w:tcPr>
            <w:tcW w:w="1117" w:type="dxa"/>
            <w:shd w:val="clear" w:color="auto" w:fill="D9E2F3" w:themeFill="accent5" w:themeFillTint="33"/>
          </w:tcPr>
          <w:p w14:paraId="054114D0" w14:textId="1F4ECFA6" w:rsidR="00F76E6B" w:rsidRDefault="00A758D8" w:rsidP="00AF3421">
            <w:pPr>
              <w:contextualSpacing/>
              <w:rPr>
                <w:lang w:val="en-NZ"/>
              </w:rPr>
            </w:pPr>
            <w:r>
              <w:rPr>
                <w:lang w:val="en-NZ"/>
              </w:rPr>
              <w:t>780</w:t>
            </w:r>
          </w:p>
        </w:tc>
        <w:tc>
          <w:tcPr>
            <w:tcW w:w="1267" w:type="dxa"/>
            <w:shd w:val="clear" w:color="auto" w:fill="D9E2F3" w:themeFill="accent5" w:themeFillTint="33"/>
          </w:tcPr>
          <w:p w14:paraId="2CC8170D" w14:textId="577C88F0" w:rsidR="00F76E6B" w:rsidRDefault="00E10546" w:rsidP="00AF3421">
            <w:pPr>
              <w:contextualSpacing/>
              <w:rPr>
                <w:lang w:val="en-NZ"/>
              </w:rPr>
            </w:pPr>
            <w:r>
              <w:rPr>
                <w:lang w:val="en-NZ"/>
              </w:rPr>
              <w:t>27%</w:t>
            </w:r>
          </w:p>
        </w:tc>
        <w:tc>
          <w:tcPr>
            <w:tcW w:w="984" w:type="dxa"/>
            <w:shd w:val="clear" w:color="auto" w:fill="D9E2F3" w:themeFill="accent5" w:themeFillTint="33"/>
          </w:tcPr>
          <w:p w14:paraId="13291D00" w14:textId="278A4A11" w:rsidR="00F76E6B" w:rsidRDefault="006D7099" w:rsidP="00AF3421">
            <w:pPr>
              <w:contextualSpacing/>
              <w:rPr>
                <w:lang w:val="en-NZ"/>
              </w:rPr>
            </w:pPr>
            <w:r w:rsidRPr="006D7099">
              <w:rPr>
                <w:lang w:val="en-NZ"/>
              </w:rPr>
              <w:t>$3,30</w:t>
            </w:r>
            <w:r w:rsidR="006B3888">
              <w:rPr>
                <w:lang w:val="en-NZ"/>
              </w:rPr>
              <w:t>6</w:t>
            </w:r>
          </w:p>
        </w:tc>
        <w:tc>
          <w:tcPr>
            <w:tcW w:w="1012" w:type="dxa"/>
            <w:shd w:val="clear" w:color="auto" w:fill="D9E2F3" w:themeFill="accent5" w:themeFillTint="33"/>
          </w:tcPr>
          <w:p w14:paraId="173C4CF1" w14:textId="67F39CAF" w:rsidR="00F76E6B" w:rsidRDefault="00BD27EF" w:rsidP="00AF3421">
            <w:pPr>
              <w:contextualSpacing/>
              <w:rPr>
                <w:lang w:val="en-NZ"/>
              </w:rPr>
            </w:pPr>
            <w:r w:rsidRPr="005B4CEA">
              <w:rPr>
                <w:lang w:val="en-NZ"/>
              </w:rPr>
              <w:t>$32,864</w:t>
            </w:r>
          </w:p>
        </w:tc>
      </w:tr>
      <w:tr w:rsidR="00B85D12" w14:paraId="3B1C740B" w14:textId="0A11224B" w:rsidTr="0025675A">
        <w:tc>
          <w:tcPr>
            <w:tcW w:w="1222" w:type="dxa"/>
            <w:shd w:val="clear" w:color="auto" w:fill="B4C6E7" w:themeFill="accent5" w:themeFillTint="66"/>
          </w:tcPr>
          <w:p w14:paraId="0D909914" w14:textId="116A63FD" w:rsidR="00F76E6B" w:rsidRDefault="00F16158" w:rsidP="00AF3421">
            <w:pPr>
              <w:contextualSpacing/>
              <w:rPr>
                <w:lang w:val="en-NZ"/>
              </w:rPr>
            </w:pPr>
            <w:r>
              <w:rPr>
                <w:lang w:val="en-NZ"/>
              </w:rPr>
              <w:t>B</w:t>
            </w:r>
          </w:p>
        </w:tc>
        <w:tc>
          <w:tcPr>
            <w:tcW w:w="1133" w:type="dxa"/>
            <w:shd w:val="clear" w:color="auto" w:fill="B4C6E7" w:themeFill="accent5" w:themeFillTint="66"/>
          </w:tcPr>
          <w:p w14:paraId="7F4D415E" w14:textId="6A07976F" w:rsidR="00F76E6B" w:rsidRDefault="00F86AB9" w:rsidP="00AF3421">
            <w:pPr>
              <w:contextualSpacing/>
              <w:rPr>
                <w:lang w:val="en-NZ"/>
              </w:rPr>
            </w:pPr>
            <w:r>
              <w:rPr>
                <w:lang w:val="en-NZ"/>
              </w:rPr>
              <w:t>$</w:t>
            </w:r>
            <w:r w:rsidRPr="00F86AB9">
              <w:rPr>
                <w:lang w:val="en-NZ"/>
              </w:rPr>
              <w:t>6,617</w:t>
            </w:r>
          </w:p>
        </w:tc>
        <w:tc>
          <w:tcPr>
            <w:tcW w:w="1196" w:type="dxa"/>
            <w:shd w:val="clear" w:color="auto" w:fill="B4C6E7" w:themeFill="accent5" w:themeFillTint="66"/>
          </w:tcPr>
          <w:p w14:paraId="51D1C0B0" w14:textId="71229A45" w:rsidR="00F76E6B" w:rsidRDefault="00650985" w:rsidP="00AF3421">
            <w:pPr>
              <w:contextualSpacing/>
              <w:rPr>
                <w:lang w:val="en-NZ"/>
              </w:rPr>
            </w:pPr>
            <w:r>
              <w:rPr>
                <w:lang w:val="en-NZ"/>
              </w:rPr>
              <w:t>$</w:t>
            </w:r>
            <w:r w:rsidRPr="00650985">
              <w:rPr>
                <w:lang w:val="en-NZ"/>
              </w:rPr>
              <w:t>5,417</w:t>
            </w:r>
          </w:p>
        </w:tc>
        <w:tc>
          <w:tcPr>
            <w:tcW w:w="1129" w:type="dxa"/>
            <w:shd w:val="clear" w:color="auto" w:fill="B4C6E7" w:themeFill="accent5" w:themeFillTint="66"/>
          </w:tcPr>
          <w:p w14:paraId="76D9FE6B" w14:textId="5764F328" w:rsidR="00F76E6B" w:rsidRDefault="00A858F3" w:rsidP="00AF3421">
            <w:pPr>
              <w:contextualSpacing/>
              <w:rPr>
                <w:lang w:val="en-NZ"/>
              </w:rPr>
            </w:pPr>
            <w:r>
              <w:rPr>
                <w:lang w:val="en-NZ"/>
              </w:rPr>
              <w:t>$3,770</w:t>
            </w:r>
          </w:p>
        </w:tc>
        <w:tc>
          <w:tcPr>
            <w:tcW w:w="1117" w:type="dxa"/>
            <w:shd w:val="clear" w:color="auto" w:fill="B4C6E7" w:themeFill="accent5" w:themeFillTint="66"/>
          </w:tcPr>
          <w:p w14:paraId="240250F3" w14:textId="44FCC2CA" w:rsidR="00F76E6B" w:rsidRDefault="00A758D8" w:rsidP="00AF3421">
            <w:pPr>
              <w:contextualSpacing/>
              <w:rPr>
                <w:lang w:val="en-NZ"/>
              </w:rPr>
            </w:pPr>
            <w:r>
              <w:rPr>
                <w:lang w:val="en-NZ"/>
              </w:rPr>
              <w:t>780</w:t>
            </w:r>
          </w:p>
        </w:tc>
        <w:tc>
          <w:tcPr>
            <w:tcW w:w="1267" w:type="dxa"/>
            <w:shd w:val="clear" w:color="auto" w:fill="B4C6E7" w:themeFill="accent5" w:themeFillTint="66"/>
          </w:tcPr>
          <w:p w14:paraId="07E83A58" w14:textId="6267DE52" w:rsidR="00F76E6B" w:rsidRDefault="00E10546" w:rsidP="00AF3421">
            <w:pPr>
              <w:contextualSpacing/>
              <w:rPr>
                <w:lang w:val="en-NZ"/>
              </w:rPr>
            </w:pPr>
            <w:r>
              <w:rPr>
                <w:lang w:val="en-NZ"/>
              </w:rPr>
              <w:t>28%</w:t>
            </w:r>
          </w:p>
        </w:tc>
        <w:tc>
          <w:tcPr>
            <w:tcW w:w="984" w:type="dxa"/>
            <w:shd w:val="clear" w:color="auto" w:fill="B4C6E7" w:themeFill="accent5" w:themeFillTint="66"/>
          </w:tcPr>
          <w:p w14:paraId="7313010E" w14:textId="7F48446A" w:rsidR="00F76E6B" w:rsidRDefault="006D7099" w:rsidP="00AF3421">
            <w:pPr>
              <w:contextualSpacing/>
              <w:rPr>
                <w:lang w:val="en-NZ"/>
              </w:rPr>
            </w:pPr>
            <w:r w:rsidRPr="006D7099">
              <w:rPr>
                <w:lang w:val="en-NZ"/>
              </w:rPr>
              <w:t>$3,30</w:t>
            </w:r>
            <w:r w:rsidR="006B3888">
              <w:rPr>
                <w:lang w:val="en-NZ"/>
              </w:rPr>
              <w:t>6</w:t>
            </w:r>
          </w:p>
        </w:tc>
        <w:tc>
          <w:tcPr>
            <w:tcW w:w="1012" w:type="dxa"/>
            <w:shd w:val="clear" w:color="auto" w:fill="B4C6E7" w:themeFill="accent5" w:themeFillTint="66"/>
          </w:tcPr>
          <w:p w14:paraId="4E5D5F07" w14:textId="07CED73F" w:rsidR="00F76E6B" w:rsidRDefault="00BD27EF" w:rsidP="00AF3421">
            <w:pPr>
              <w:contextualSpacing/>
              <w:rPr>
                <w:lang w:val="en-NZ"/>
              </w:rPr>
            </w:pPr>
            <w:r w:rsidRPr="005B4CEA">
              <w:rPr>
                <w:lang w:val="en-NZ"/>
              </w:rPr>
              <w:t>$32,864</w:t>
            </w:r>
          </w:p>
        </w:tc>
      </w:tr>
    </w:tbl>
    <w:p w14:paraId="795DEA96" w14:textId="77777777" w:rsidR="00825FF4" w:rsidRDefault="00825FF4" w:rsidP="00EB0D3A">
      <w:pPr>
        <w:rPr>
          <w:lang w:val="en-NZ"/>
        </w:rPr>
      </w:pPr>
    </w:p>
    <w:p w14:paraId="45CAF031" w14:textId="42F52725" w:rsidR="00B32EBD" w:rsidRPr="00B919D2" w:rsidRDefault="00841805" w:rsidP="00EB0D3A">
      <w:pPr>
        <w:rPr>
          <w:b/>
          <w:bCs/>
          <w:i/>
          <w:iCs/>
          <w:lang w:val="en-NZ"/>
        </w:rPr>
      </w:pPr>
      <w:r>
        <w:rPr>
          <w:b/>
          <w:bCs/>
          <w:i/>
          <w:iCs/>
          <w:lang w:val="en-NZ"/>
        </w:rPr>
        <w:t>C</w:t>
      </w:r>
      <w:r w:rsidR="00B32EBD" w:rsidRPr="00B919D2">
        <w:rPr>
          <w:b/>
          <w:bCs/>
          <w:i/>
          <w:iCs/>
          <w:lang w:val="en-NZ"/>
        </w:rPr>
        <w:t xml:space="preserve">hild poverty </w:t>
      </w:r>
      <w:r>
        <w:rPr>
          <w:b/>
          <w:bCs/>
          <w:i/>
          <w:iCs/>
          <w:lang w:val="en-NZ"/>
        </w:rPr>
        <w:t>impacts</w:t>
      </w:r>
    </w:p>
    <w:p w14:paraId="4B79C9DA" w14:textId="3CF36B3D" w:rsidR="005709FF" w:rsidRDefault="00362E7A" w:rsidP="00EB0D3A">
      <w:pPr>
        <w:rPr>
          <w:lang w:val="en-NZ"/>
        </w:rPr>
      </w:pPr>
      <w:r>
        <w:rPr>
          <w:lang w:val="en-NZ"/>
        </w:rPr>
        <w:t>The following table</w:t>
      </w:r>
      <w:r w:rsidR="001707D2">
        <w:rPr>
          <w:lang w:val="en-NZ"/>
        </w:rPr>
        <w:t>s</w:t>
      </w:r>
      <w:r>
        <w:rPr>
          <w:lang w:val="en-NZ"/>
        </w:rPr>
        <w:t xml:space="preserve"> demonstrate </w:t>
      </w:r>
      <w:r w:rsidR="0082583E">
        <w:rPr>
          <w:lang w:val="en-NZ"/>
        </w:rPr>
        <w:t xml:space="preserve">the </w:t>
      </w:r>
      <w:r w:rsidR="00725532">
        <w:rPr>
          <w:lang w:val="en-NZ"/>
        </w:rPr>
        <w:t>reduction in child poverty that would take place under each</w:t>
      </w:r>
      <w:r w:rsidR="00691DEA">
        <w:rPr>
          <w:lang w:val="en-NZ"/>
        </w:rPr>
        <w:t xml:space="preserve"> </w:t>
      </w:r>
      <w:r w:rsidR="00B54EA8">
        <w:rPr>
          <w:lang w:val="en-NZ"/>
        </w:rPr>
        <w:t>scenario</w:t>
      </w:r>
      <w:r w:rsidR="00691DEA">
        <w:rPr>
          <w:lang w:val="en-NZ"/>
        </w:rPr>
        <w:t xml:space="preserve"> when measured against </w:t>
      </w:r>
      <w:r w:rsidR="00137B1C">
        <w:rPr>
          <w:lang w:val="en-NZ"/>
        </w:rPr>
        <w:t xml:space="preserve">the </w:t>
      </w:r>
      <w:r w:rsidR="007D77A2">
        <w:rPr>
          <w:lang w:val="en-NZ"/>
        </w:rPr>
        <w:t>AHC50</w:t>
      </w:r>
      <w:bookmarkStart w:id="9" w:name="_Hlk85813981"/>
      <w:bookmarkStart w:id="10" w:name="_Hlk85813972"/>
      <w:r w:rsidR="001707D2" w:rsidRPr="001707D2">
        <w:rPr>
          <w:position w:val="8"/>
          <w:sz w:val="16"/>
          <w:lang w:val="en-NZ"/>
        </w:rPr>
        <w:footnoteReference w:id="26"/>
      </w:r>
      <w:bookmarkEnd w:id="9"/>
      <w:bookmarkEnd w:id="10"/>
      <w:r w:rsidR="001707D2">
        <w:rPr>
          <w:lang w:val="en-NZ"/>
        </w:rPr>
        <w:t xml:space="preserve"> and BHC50</w:t>
      </w:r>
      <w:r w:rsidR="001707D2" w:rsidRPr="001707D2">
        <w:rPr>
          <w:position w:val="8"/>
          <w:sz w:val="16"/>
          <w:lang w:val="en-NZ"/>
        </w:rPr>
        <w:footnoteReference w:id="27"/>
      </w:r>
      <w:r w:rsidR="001707D2" w:rsidRPr="001707D2">
        <w:rPr>
          <w:lang w:val="en-NZ"/>
        </w:rPr>
        <w:t xml:space="preserve"> </w:t>
      </w:r>
      <w:r w:rsidR="007D77A2">
        <w:rPr>
          <w:lang w:val="en-NZ"/>
        </w:rPr>
        <w:t>poverty thresh</w:t>
      </w:r>
      <w:r w:rsidR="007F09B2">
        <w:rPr>
          <w:lang w:val="en-NZ"/>
        </w:rPr>
        <w:t>old</w:t>
      </w:r>
      <w:r w:rsidR="001707D2">
        <w:rPr>
          <w:lang w:val="en-NZ"/>
        </w:rPr>
        <w:t>s</w:t>
      </w:r>
      <w:r w:rsidR="007D77A2">
        <w:rPr>
          <w:lang w:val="en-NZ"/>
        </w:rPr>
        <w:t xml:space="preserve">. </w:t>
      </w:r>
      <w:r w:rsidR="0021143E">
        <w:rPr>
          <w:lang w:val="en-NZ"/>
        </w:rPr>
        <w:t xml:space="preserve">As TAWA modelling </w:t>
      </w:r>
      <w:r w:rsidR="0021143E">
        <w:t>assumes full take up</w:t>
      </w:r>
      <w:r w:rsidR="00806494">
        <w:t>,</w:t>
      </w:r>
      <w:r w:rsidR="0021143E">
        <w:t xml:space="preserve"> results will overestimate the number of families impacted. </w:t>
      </w:r>
      <w:r w:rsidR="001F41B1">
        <w:rPr>
          <w:lang w:val="en-NZ"/>
        </w:rPr>
        <w:t>Some numbers may seem not to correspond due to rounding.</w:t>
      </w:r>
      <w:r w:rsidR="00372F12">
        <w:rPr>
          <w:lang w:val="en-NZ"/>
        </w:rPr>
        <w:t xml:space="preserve"> </w:t>
      </w:r>
    </w:p>
    <w:tbl>
      <w:tblPr>
        <w:tblStyle w:val="TableGrid"/>
        <w:tblW w:w="0" w:type="auto"/>
        <w:tblLook w:val="04A0" w:firstRow="1" w:lastRow="0" w:firstColumn="1" w:lastColumn="0" w:noHBand="0" w:noVBand="1"/>
      </w:tblPr>
      <w:tblGrid>
        <w:gridCol w:w="1838"/>
        <w:gridCol w:w="2266"/>
        <w:gridCol w:w="1946"/>
        <w:gridCol w:w="1505"/>
        <w:gridCol w:w="1505"/>
      </w:tblGrid>
      <w:tr w:rsidR="00B62F63" w14:paraId="29674F68" w14:textId="62AF69D9" w:rsidTr="004D3378">
        <w:trPr>
          <w:trHeight w:val="345"/>
        </w:trPr>
        <w:tc>
          <w:tcPr>
            <w:tcW w:w="1838" w:type="dxa"/>
            <w:vMerge w:val="restart"/>
            <w:vAlign w:val="center"/>
          </w:tcPr>
          <w:p w14:paraId="0663DAB7" w14:textId="322FAFB5" w:rsidR="00B62F63" w:rsidRDefault="00B62F63" w:rsidP="004D3378">
            <w:pPr>
              <w:contextualSpacing/>
              <w:jc w:val="center"/>
              <w:rPr>
                <w:lang w:val="en-NZ"/>
              </w:rPr>
            </w:pPr>
            <w:r>
              <w:rPr>
                <w:lang w:val="en-NZ"/>
              </w:rPr>
              <w:t>Scenario</w:t>
            </w:r>
          </w:p>
        </w:tc>
        <w:tc>
          <w:tcPr>
            <w:tcW w:w="4212" w:type="dxa"/>
            <w:gridSpan w:val="2"/>
            <w:vAlign w:val="center"/>
          </w:tcPr>
          <w:p w14:paraId="4EABA1B4" w14:textId="6165D8F4" w:rsidR="00B62F63" w:rsidRDefault="00B62F63" w:rsidP="004D3378">
            <w:pPr>
              <w:contextualSpacing/>
              <w:jc w:val="center"/>
              <w:rPr>
                <w:lang w:val="en-NZ"/>
              </w:rPr>
            </w:pPr>
            <w:r>
              <w:rPr>
                <w:lang w:val="en-NZ"/>
              </w:rPr>
              <w:t xml:space="preserve">Population (,000) with income below </w:t>
            </w:r>
            <w:r w:rsidR="003478EC">
              <w:rPr>
                <w:lang w:val="en-NZ"/>
              </w:rPr>
              <w:t>the</w:t>
            </w:r>
            <w:r>
              <w:rPr>
                <w:lang w:val="en-NZ"/>
              </w:rPr>
              <w:t xml:space="preserve"> AHC</w:t>
            </w:r>
            <w:r w:rsidR="00F82EB2">
              <w:rPr>
                <w:lang w:val="en-NZ"/>
              </w:rPr>
              <w:t>50</w:t>
            </w:r>
            <w:r w:rsidR="003478EC">
              <w:rPr>
                <w:lang w:val="en-NZ"/>
              </w:rPr>
              <w:t xml:space="preserve"> poverty threshold</w:t>
            </w:r>
          </w:p>
        </w:tc>
        <w:tc>
          <w:tcPr>
            <w:tcW w:w="3010" w:type="dxa"/>
            <w:gridSpan w:val="2"/>
            <w:vAlign w:val="center"/>
          </w:tcPr>
          <w:p w14:paraId="7E7C8CF5" w14:textId="4DA4D811" w:rsidR="00B62F63" w:rsidRDefault="004D3378" w:rsidP="004D3378">
            <w:pPr>
              <w:contextualSpacing/>
              <w:jc w:val="center"/>
              <w:rPr>
                <w:lang w:val="en-NZ"/>
              </w:rPr>
            </w:pPr>
            <w:r>
              <w:rPr>
                <w:lang w:val="en-NZ"/>
              </w:rPr>
              <w:t>Difference (,000) from counterfactual</w:t>
            </w:r>
          </w:p>
        </w:tc>
      </w:tr>
      <w:tr w:rsidR="00B62F63" w14:paraId="647BFCF7" w14:textId="453AC6D8" w:rsidTr="004D3378">
        <w:trPr>
          <w:trHeight w:val="232"/>
        </w:trPr>
        <w:tc>
          <w:tcPr>
            <w:tcW w:w="1838" w:type="dxa"/>
            <w:vMerge/>
            <w:vAlign w:val="center"/>
          </w:tcPr>
          <w:p w14:paraId="4AB20390" w14:textId="77777777" w:rsidR="00B62F63" w:rsidRDefault="00B62F63" w:rsidP="004D3378">
            <w:pPr>
              <w:contextualSpacing/>
              <w:jc w:val="center"/>
              <w:rPr>
                <w:lang w:val="en-NZ"/>
              </w:rPr>
            </w:pPr>
          </w:p>
        </w:tc>
        <w:tc>
          <w:tcPr>
            <w:tcW w:w="2266" w:type="dxa"/>
            <w:vAlign w:val="center"/>
          </w:tcPr>
          <w:p w14:paraId="7172EDBA" w14:textId="5E4C9B8A" w:rsidR="00B62F63" w:rsidRDefault="006B6B65" w:rsidP="004D3378">
            <w:pPr>
              <w:contextualSpacing/>
              <w:jc w:val="center"/>
              <w:rPr>
                <w:lang w:val="en-NZ"/>
              </w:rPr>
            </w:pPr>
            <w:r>
              <w:rPr>
                <w:lang w:val="en-NZ"/>
              </w:rPr>
              <w:t>Fa</w:t>
            </w:r>
            <w:r w:rsidR="00660E5D">
              <w:rPr>
                <w:lang w:val="en-NZ"/>
              </w:rPr>
              <w:t>m</w:t>
            </w:r>
            <w:r>
              <w:rPr>
                <w:lang w:val="en-NZ"/>
              </w:rPr>
              <w:t>ilies</w:t>
            </w:r>
            <w:r w:rsidR="00660E5D">
              <w:rPr>
                <w:rStyle w:val="FootnoteReference"/>
                <w:lang w:val="en-NZ"/>
              </w:rPr>
              <w:footnoteReference w:id="28"/>
            </w:r>
          </w:p>
        </w:tc>
        <w:tc>
          <w:tcPr>
            <w:tcW w:w="1946" w:type="dxa"/>
            <w:vAlign w:val="center"/>
          </w:tcPr>
          <w:p w14:paraId="2A3F9676" w14:textId="3BF7F4A5" w:rsidR="00B62F63" w:rsidRDefault="00B62F63" w:rsidP="004D3378">
            <w:pPr>
              <w:contextualSpacing/>
              <w:jc w:val="center"/>
              <w:rPr>
                <w:lang w:val="en-NZ"/>
              </w:rPr>
            </w:pPr>
            <w:r>
              <w:rPr>
                <w:lang w:val="en-NZ"/>
              </w:rPr>
              <w:t>Children</w:t>
            </w:r>
            <w:r w:rsidR="004E4CD3">
              <w:rPr>
                <w:rStyle w:val="FootnoteReference"/>
                <w:lang w:val="en-NZ"/>
              </w:rPr>
              <w:footnoteReference w:id="29"/>
            </w:r>
          </w:p>
        </w:tc>
        <w:tc>
          <w:tcPr>
            <w:tcW w:w="1505" w:type="dxa"/>
            <w:vAlign w:val="center"/>
          </w:tcPr>
          <w:p w14:paraId="07EEB38A" w14:textId="4CF4DF1C" w:rsidR="00B62F63" w:rsidRDefault="00D25A3B" w:rsidP="004D3378">
            <w:pPr>
              <w:contextualSpacing/>
              <w:jc w:val="center"/>
              <w:rPr>
                <w:lang w:val="en-NZ"/>
              </w:rPr>
            </w:pPr>
            <w:r>
              <w:rPr>
                <w:lang w:val="en-NZ"/>
              </w:rPr>
              <w:t>Families</w:t>
            </w:r>
          </w:p>
        </w:tc>
        <w:tc>
          <w:tcPr>
            <w:tcW w:w="1505" w:type="dxa"/>
            <w:vAlign w:val="center"/>
          </w:tcPr>
          <w:p w14:paraId="7AEB27A7" w14:textId="3342F1A3" w:rsidR="00B62F63" w:rsidRDefault="004D3378" w:rsidP="004D3378">
            <w:pPr>
              <w:contextualSpacing/>
              <w:jc w:val="center"/>
              <w:rPr>
                <w:lang w:val="en-NZ"/>
              </w:rPr>
            </w:pPr>
            <w:r>
              <w:rPr>
                <w:lang w:val="en-NZ"/>
              </w:rPr>
              <w:t>Children</w:t>
            </w:r>
          </w:p>
        </w:tc>
      </w:tr>
      <w:tr w:rsidR="00B62F63" w14:paraId="6CE40CAF" w14:textId="752D56CA" w:rsidTr="00C068DA">
        <w:tc>
          <w:tcPr>
            <w:tcW w:w="1838" w:type="dxa"/>
            <w:shd w:val="clear" w:color="auto" w:fill="E2EFD9" w:themeFill="accent6" w:themeFillTint="33"/>
            <w:vAlign w:val="center"/>
          </w:tcPr>
          <w:p w14:paraId="10BE9846" w14:textId="11F2BA90" w:rsidR="00B62F63" w:rsidRDefault="00B62F63" w:rsidP="004D3378">
            <w:pPr>
              <w:contextualSpacing/>
              <w:jc w:val="center"/>
              <w:rPr>
                <w:lang w:val="en-NZ"/>
              </w:rPr>
            </w:pPr>
            <w:r>
              <w:rPr>
                <w:lang w:val="en-NZ"/>
              </w:rPr>
              <w:t>CF</w:t>
            </w:r>
          </w:p>
        </w:tc>
        <w:tc>
          <w:tcPr>
            <w:tcW w:w="2266" w:type="dxa"/>
            <w:shd w:val="clear" w:color="auto" w:fill="E2EFD9" w:themeFill="accent6" w:themeFillTint="33"/>
            <w:vAlign w:val="center"/>
          </w:tcPr>
          <w:p w14:paraId="7AE46EAC" w14:textId="32A8333F" w:rsidR="00B62F63" w:rsidRDefault="00D25A3B" w:rsidP="004D3378">
            <w:pPr>
              <w:contextualSpacing/>
              <w:jc w:val="center"/>
              <w:rPr>
                <w:lang w:val="en-NZ"/>
              </w:rPr>
            </w:pPr>
            <w:r>
              <w:rPr>
                <w:lang w:val="en-NZ"/>
              </w:rPr>
              <w:t>323</w:t>
            </w:r>
          </w:p>
        </w:tc>
        <w:tc>
          <w:tcPr>
            <w:tcW w:w="1946" w:type="dxa"/>
            <w:shd w:val="clear" w:color="auto" w:fill="E2EFD9" w:themeFill="accent6" w:themeFillTint="33"/>
            <w:vAlign w:val="center"/>
          </w:tcPr>
          <w:p w14:paraId="2876B3FF" w14:textId="0A5B2D1E" w:rsidR="00B62F63" w:rsidRDefault="00B62F63" w:rsidP="004D3378">
            <w:pPr>
              <w:contextualSpacing/>
              <w:jc w:val="center"/>
              <w:rPr>
                <w:lang w:val="en-NZ"/>
              </w:rPr>
            </w:pPr>
            <w:r>
              <w:rPr>
                <w:lang w:val="en-NZ"/>
              </w:rPr>
              <w:t>160</w:t>
            </w:r>
          </w:p>
        </w:tc>
        <w:tc>
          <w:tcPr>
            <w:tcW w:w="1505" w:type="dxa"/>
            <w:shd w:val="clear" w:color="auto" w:fill="E2EFD9" w:themeFill="accent6" w:themeFillTint="33"/>
            <w:vAlign w:val="center"/>
          </w:tcPr>
          <w:p w14:paraId="35D1E896" w14:textId="2A1E027B" w:rsidR="00B62F63" w:rsidRDefault="007D00A3" w:rsidP="004D3378">
            <w:pPr>
              <w:contextualSpacing/>
              <w:jc w:val="center"/>
              <w:rPr>
                <w:lang w:val="en-NZ"/>
              </w:rPr>
            </w:pPr>
            <w:r>
              <w:rPr>
                <w:lang w:val="en-NZ"/>
              </w:rPr>
              <w:t>-</w:t>
            </w:r>
          </w:p>
        </w:tc>
        <w:tc>
          <w:tcPr>
            <w:tcW w:w="1505" w:type="dxa"/>
            <w:shd w:val="clear" w:color="auto" w:fill="E2EFD9" w:themeFill="accent6" w:themeFillTint="33"/>
            <w:vAlign w:val="center"/>
          </w:tcPr>
          <w:p w14:paraId="676782D5" w14:textId="5C51FEED" w:rsidR="00B62F63" w:rsidRDefault="007D00A3" w:rsidP="004D3378">
            <w:pPr>
              <w:contextualSpacing/>
              <w:jc w:val="center"/>
              <w:rPr>
                <w:lang w:val="en-NZ"/>
              </w:rPr>
            </w:pPr>
            <w:r>
              <w:rPr>
                <w:lang w:val="en-NZ"/>
              </w:rPr>
              <w:t>-</w:t>
            </w:r>
          </w:p>
        </w:tc>
      </w:tr>
      <w:tr w:rsidR="00B62F63" w14:paraId="0A513DF3" w14:textId="03ED4566" w:rsidTr="00C068DA">
        <w:tc>
          <w:tcPr>
            <w:tcW w:w="1838" w:type="dxa"/>
            <w:shd w:val="clear" w:color="auto" w:fill="D9E2F3" w:themeFill="accent5" w:themeFillTint="33"/>
            <w:vAlign w:val="center"/>
          </w:tcPr>
          <w:p w14:paraId="03C7879E" w14:textId="1F50DD93" w:rsidR="00B62F63" w:rsidRDefault="00B62F63" w:rsidP="004D3378">
            <w:pPr>
              <w:contextualSpacing/>
              <w:jc w:val="center"/>
              <w:rPr>
                <w:lang w:val="en-NZ"/>
              </w:rPr>
            </w:pPr>
            <w:r>
              <w:rPr>
                <w:lang w:val="en-NZ"/>
              </w:rPr>
              <w:t>A1</w:t>
            </w:r>
          </w:p>
        </w:tc>
        <w:tc>
          <w:tcPr>
            <w:tcW w:w="2266" w:type="dxa"/>
            <w:shd w:val="clear" w:color="auto" w:fill="D9E2F3" w:themeFill="accent5" w:themeFillTint="33"/>
            <w:vAlign w:val="center"/>
          </w:tcPr>
          <w:p w14:paraId="18AA7D8F" w14:textId="3E93A5D0" w:rsidR="00B62F63" w:rsidRDefault="00D25A3B" w:rsidP="004D3378">
            <w:pPr>
              <w:contextualSpacing/>
              <w:jc w:val="center"/>
              <w:rPr>
                <w:lang w:val="en-NZ"/>
              </w:rPr>
            </w:pPr>
            <w:r>
              <w:rPr>
                <w:lang w:val="en-NZ"/>
              </w:rPr>
              <w:t>320</w:t>
            </w:r>
          </w:p>
        </w:tc>
        <w:tc>
          <w:tcPr>
            <w:tcW w:w="1946" w:type="dxa"/>
            <w:shd w:val="clear" w:color="auto" w:fill="D9E2F3" w:themeFill="accent5" w:themeFillTint="33"/>
            <w:vAlign w:val="center"/>
          </w:tcPr>
          <w:p w14:paraId="5F9FA386" w14:textId="7E72C30E" w:rsidR="00B62F63" w:rsidRDefault="00B62F63" w:rsidP="004D3378">
            <w:pPr>
              <w:contextualSpacing/>
              <w:jc w:val="center"/>
              <w:rPr>
                <w:lang w:val="en-NZ"/>
              </w:rPr>
            </w:pPr>
            <w:r>
              <w:rPr>
                <w:lang w:val="en-NZ"/>
              </w:rPr>
              <w:t>151</w:t>
            </w:r>
          </w:p>
        </w:tc>
        <w:tc>
          <w:tcPr>
            <w:tcW w:w="1505" w:type="dxa"/>
            <w:shd w:val="clear" w:color="auto" w:fill="D9E2F3" w:themeFill="accent5" w:themeFillTint="33"/>
            <w:vAlign w:val="center"/>
          </w:tcPr>
          <w:p w14:paraId="0244AC5C" w14:textId="2FD17243" w:rsidR="00B62F63" w:rsidRDefault="007D00A3" w:rsidP="004D3378">
            <w:pPr>
              <w:contextualSpacing/>
              <w:jc w:val="center"/>
              <w:rPr>
                <w:lang w:val="en-NZ"/>
              </w:rPr>
            </w:pPr>
            <w:r>
              <w:rPr>
                <w:lang w:val="en-NZ"/>
              </w:rPr>
              <w:t>-</w:t>
            </w:r>
            <w:r w:rsidR="0049220E">
              <w:rPr>
                <w:lang w:val="en-NZ"/>
              </w:rPr>
              <w:t>4</w:t>
            </w:r>
          </w:p>
        </w:tc>
        <w:tc>
          <w:tcPr>
            <w:tcW w:w="1505" w:type="dxa"/>
            <w:shd w:val="clear" w:color="auto" w:fill="D9E2F3" w:themeFill="accent5" w:themeFillTint="33"/>
            <w:vAlign w:val="center"/>
          </w:tcPr>
          <w:p w14:paraId="408BFCAC" w14:textId="4ECEA51B" w:rsidR="00B62F63" w:rsidRDefault="008F2EDB" w:rsidP="004D3378">
            <w:pPr>
              <w:contextualSpacing/>
              <w:jc w:val="center"/>
              <w:rPr>
                <w:lang w:val="en-NZ"/>
              </w:rPr>
            </w:pPr>
            <w:r>
              <w:rPr>
                <w:lang w:val="en-NZ"/>
              </w:rPr>
              <w:t>-9</w:t>
            </w:r>
          </w:p>
        </w:tc>
      </w:tr>
      <w:tr w:rsidR="00B62F63" w14:paraId="0E9EB593" w14:textId="248141A3" w:rsidTr="00C068DA">
        <w:tc>
          <w:tcPr>
            <w:tcW w:w="1838" w:type="dxa"/>
            <w:shd w:val="clear" w:color="auto" w:fill="D9E2F3" w:themeFill="accent5" w:themeFillTint="33"/>
            <w:vAlign w:val="center"/>
          </w:tcPr>
          <w:p w14:paraId="69C246D3" w14:textId="4ACF6341" w:rsidR="00B62F63" w:rsidRDefault="00B62F63" w:rsidP="004D3378">
            <w:pPr>
              <w:contextualSpacing/>
              <w:jc w:val="center"/>
              <w:rPr>
                <w:lang w:val="en-NZ"/>
              </w:rPr>
            </w:pPr>
            <w:r>
              <w:rPr>
                <w:lang w:val="en-NZ"/>
              </w:rPr>
              <w:t>A2</w:t>
            </w:r>
          </w:p>
        </w:tc>
        <w:tc>
          <w:tcPr>
            <w:tcW w:w="2266" w:type="dxa"/>
            <w:shd w:val="clear" w:color="auto" w:fill="D9E2F3" w:themeFill="accent5" w:themeFillTint="33"/>
            <w:vAlign w:val="center"/>
          </w:tcPr>
          <w:p w14:paraId="5D240BA8" w14:textId="7C7E1FB0" w:rsidR="00B62F63" w:rsidRDefault="00D25A3B" w:rsidP="004D3378">
            <w:pPr>
              <w:contextualSpacing/>
              <w:jc w:val="center"/>
              <w:rPr>
                <w:lang w:val="en-NZ"/>
              </w:rPr>
            </w:pPr>
            <w:r>
              <w:rPr>
                <w:lang w:val="en-NZ"/>
              </w:rPr>
              <w:t>320</w:t>
            </w:r>
          </w:p>
        </w:tc>
        <w:tc>
          <w:tcPr>
            <w:tcW w:w="1946" w:type="dxa"/>
            <w:shd w:val="clear" w:color="auto" w:fill="D9E2F3" w:themeFill="accent5" w:themeFillTint="33"/>
            <w:vAlign w:val="center"/>
          </w:tcPr>
          <w:p w14:paraId="4AE0014D" w14:textId="01B4E630" w:rsidR="00B62F63" w:rsidRDefault="00B62F63" w:rsidP="004D3378">
            <w:pPr>
              <w:contextualSpacing/>
              <w:jc w:val="center"/>
              <w:rPr>
                <w:lang w:val="en-NZ"/>
              </w:rPr>
            </w:pPr>
            <w:r>
              <w:rPr>
                <w:lang w:val="en-NZ"/>
              </w:rPr>
              <w:t>151</w:t>
            </w:r>
          </w:p>
        </w:tc>
        <w:tc>
          <w:tcPr>
            <w:tcW w:w="1505" w:type="dxa"/>
            <w:shd w:val="clear" w:color="auto" w:fill="D9E2F3" w:themeFill="accent5" w:themeFillTint="33"/>
            <w:vAlign w:val="center"/>
          </w:tcPr>
          <w:p w14:paraId="056CC3AD" w14:textId="0E7ADEB2" w:rsidR="00B62F63" w:rsidRDefault="007D00A3" w:rsidP="004D3378">
            <w:pPr>
              <w:contextualSpacing/>
              <w:jc w:val="center"/>
              <w:rPr>
                <w:lang w:val="en-NZ"/>
              </w:rPr>
            </w:pPr>
            <w:r>
              <w:rPr>
                <w:lang w:val="en-NZ"/>
              </w:rPr>
              <w:t>-</w:t>
            </w:r>
            <w:r w:rsidR="0049220E">
              <w:rPr>
                <w:lang w:val="en-NZ"/>
              </w:rPr>
              <w:t>4</w:t>
            </w:r>
          </w:p>
        </w:tc>
        <w:tc>
          <w:tcPr>
            <w:tcW w:w="1505" w:type="dxa"/>
            <w:shd w:val="clear" w:color="auto" w:fill="D9E2F3" w:themeFill="accent5" w:themeFillTint="33"/>
            <w:vAlign w:val="center"/>
          </w:tcPr>
          <w:p w14:paraId="0DBFC8B5" w14:textId="7D3D9123" w:rsidR="00B62F63" w:rsidRDefault="008F2EDB" w:rsidP="004D3378">
            <w:pPr>
              <w:contextualSpacing/>
              <w:jc w:val="center"/>
              <w:rPr>
                <w:lang w:val="en-NZ"/>
              </w:rPr>
            </w:pPr>
            <w:r>
              <w:rPr>
                <w:lang w:val="en-NZ"/>
              </w:rPr>
              <w:t>-9</w:t>
            </w:r>
          </w:p>
        </w:tc>
      </w:tr>
      <w:tr w:rsidR="00B62F63" w14:paraId="0F481709" w14:textId="70D345DC" w:rsidTr="00C068DA">
        <w:tc>
          <w:tcPr>
            <w:tcW w:w="1838" w:type="dxa"/>
            <w:shd w:val="clear" w:color="auto" w:fill="D9E2F3" w:themeFill="accent5" w:themeFillTint="33"/>
            <w:vAlign w:val="center"/>
          </w:tcPr>
          <w:p w14:paraId="79A890A1" w14:textId="04AE328A" w:rsidR="00B62F63" w:rsidRDefault="00B62F63" w:rsidP="004D3378">
            <w:pPr>
              <w:contextualSpacing/>
              <w:jc w:val="center"/>
              <w:rPr>
                <w:lang w:val="en-NZ"/>
              </w:rPr>
            </w:pPr>
            <w:r>
              <w:rPr>
                <w:lang w:val="en-NZ"/>
              </w:rPr>
              <w:t>A3</w:t>
            </w:r>
          </w:p>
        </w:tc>
        <w:tc>
          <w:tcPr>
            <w:tcW w:w="2266" w:type="dxa"/>
            <w:shd w:val="clear" w:color="auto" w:fill="D9E2F3" w:themeFill="accent5" w:themeFillTint="33"/>
            <w:vAlign w:val="center"/>
          </w:tcPr>
          <w:p w14:paraId="52C17496" w14:textId="05671046" w:rsidR="00B62F63" w:rsidRDefault="00D25A3B" w:rsidP="004D3378">
            <w:pPr>
              <w:contextualSpacing/>
              <w:jc w:val="center"/>
              <w:rPr>
                <w:lang w:val="en-NZ"/>
              </w:rPr>
            </w:pPr>
            <w:r>
              <w:rPr>
                <w:lang w:val="en-NZ"/>
              </w:rPr>
              <w:t>320</w:t>
            </w:r>
          </w:p>
        </w:tc>
        <w:tc>
          <w:tcPr>
            <w:tcW w:w="1946" w:type="dxa"/>
            <w:shd w:val="clear" w:color="auto" w:fill="D9E2F3" w:themeFill="accent5" w:themeFillTint="33"/>
            <w:vAlign w:val="center"/>
          </w:tcPr>
          <w:p w14:paraId="62A28152" w14:textId="601BDE72" w:rsidR="00B62F63" w:rsidRDefault="00B62F63" w:rsidP="004D3378">
            <w:pPr>
              <w:contextualSpacing/>
              <w:jc w:val="center"/>
              <w:rPr>
                <w:lang w:val="en-NZ"/>
              </w:rPr>
            </w:pPr>
            <w:r>
              <w:rPr>
                <w:lang w:val="en-NZ"/>
              </w:rPr>
              <w:t>152</w:t>
            </w:r>
          </w:p>
        </w:tc>
        <w:tc>
          <w:tcPr>
            <w:tcW w:w="1505" w:type="dxa"/>
            <w:shd w:val="clear" w:color="auto" w:fill="D9E2F3" w:themeFill="accent5" w:themeFillTint="33"/>
            <w:vAlign w:val="center"/>
          </w:tcPr>
          <w:p w14:paraId="0A41572D" w14:textId="05B3D3A0" w:rsidR="00B62F63" w:rsidRDefault="007D00A3" w:rsidP="004D3378">
            <w:pPr>
              <w:contextualSpacing/>
              <w:jc w:val="center"/>
              <w:rPr>
                <w:lang w:val="en-NZ"/>
              </w:rPr>
            </w:pPr>
            <w:r>
              <w:rPr>
                <w:lang w:val="en-NZ"/>
              </w:rPr>
              <w:t>-</w:t>
            </w:r>
            <w:r w:rsidR="0049220E">
              <w:rPr>
                <w:lang w:val="en-NZ"/>
              </w:rPr>
              <w:t>3</w:t>
            </w:r>
          </w:p>
        </w:tc>
        <w:tc>
          <w:tcPr>
            <w:tcW w:w="1505" w:type="dxa"/>
            <w:shd w:val="clear" w:color="auto" w:fill="D9E2F3" w:themeFill="accent5" w:themeFillTint="33"/>
            <w:vAlign w:val="center"/>
          </w:tcPr>
          <w:p w14:paraId="742C0E84" w14:textId="1E264B05" w:rsidR="00B62F63" w:rsidRDefault="008F2EDB" w:rsidP="004D3378">
            <w:pPr>
              <w:contextualSpacing/>
              <w:jc w:val="center"/>
              <w:rPr>
                <w:lang w:val="en-NZ"/>
              </w:rPr>
            </w:pPr>
            <w:r>
              <w:rPr>
                <w:lang w:val="en-NZ"/>
              </w:rPr>
              <w:t>-8</w:t>
            </w:r>
          </w:p>
        </w:tc>
      </w:tr>
      <w:tr w:rsidR="00B62F63" w14:paraId="7654673A" w14:textId="46B26F23" w:rsidTr="00C068DA">
        <w:tc>
          <w:tcPr>
            <w:tcW w:w="1838" w:type="dxa"/>
            <w:shd w:val="clear" w:color="auto" w:fill="B4C6E7" w:themeFill="accent5" w:themeFillTint="66"/>
            <w:vAlign w:val="center"/>
          </w:tcPr>
          <w:p w14:paraId="4158EB15" w14:textId="79478D3A" w:rsidR="00B62F63" w:rsidRPr="00C068DA" w:rsidRDefault="00B62F63" w:rsidP="004D3378">
            <w:pPr>
              <w:contextualSpacing/>
              <w:jc w:val="center"/>
              <w:rPr>
                <w:lang w:val="en-NZ"/>
              </w:rPr>
            </w:pPr>
            <w:r w:rsidRPr="00C068DA">
              <w:rPr>
                <w:lang w:val="en-NZ"/>
              </w:rPr>
              <w:t>B</w:t>
            </w:r>
          </w:p>
        </w:tc>
        <w:tc>
          <w:tcPr>
            <w:tcW w:w="2266" w:type="dxa"/>
            <w:shd w:val="clear" w:color="auto" w:fill="B4C6E7" w:themeFill="accent5" w:themeFillTint="66"/>
            <w:vAlign w:val="center"/>
          </w:tcPr>
          <w:p w14:paraId="0B3F5628" w14:textId="421E443D" w:rsidR="00B62F63" w:rsidRPr="00C068DA" w:rsidRDefault="00D25A3B" w:rsidP="004D3378">
            <w:pPr>
              <w:contextualSpacing/>
              <w:jc w:val="center"/>
              <w:rPr>
                <w:lang w:val="en-NZ"/>
              </w:rPr>
            </w:pPr>
            <w:r>
              <w:rPr>
                <w:lang w:val="en-NZ"/>
              </w:rPr>
              <w:t>319</w:t>
            </w:r>
          </w:p>
        </w:tc>
        <w:tc>
          <w:tcPr>
            <w:tcW w:w="1946" w:type="dxa"/>
            <w:shd w:val="clear" w:color="auto" w:fill="B4C6E7" w:themeFill="accent5" w:themeFillTint="66"/>
            <w:vAlign w:val="center"/>
          </w:tcPr>
          <w:p w14:paraId="17D8E1A0" w14:textId="6A649243" w:rsidR="00B62F63" w:rsidRPr="00C068DA" w:rsidRDefault="00B62F63" w:rsidP="004D3378">
            <w:pPr>
              <w:contextualSpacing/>
              <w:jc w:val="center"/>
              <w:rPr>
                <w:lang w:val="en-NZ"/>
              </w:rPr>
            </w:pPr>
            <w:r w:rsidRPr="00C068DA">
              <w:rPr>
                <w:lang w:val="en-NZ"/>
              </w:rPr>
              <w:t>150</w:t>
            </w:r>
          </w:p>
        </w:tc>
        <w:tc>
          <w:tcPr>
            <w:tcW w:w="1505" w:type="dxa"/>
            <w:shd w:val="clear" w:color="auto" w:fill="B4C6E7" w:themeFill="accent5" w:themeFillTint="66"/>
            <w:vAlign w:val="center"/>
          </w:tcPr>
          <w:p w14:paraId="340B318E" w14:textId="36B77D95" w:rsidR="00B62F63" w:rsidRPr="00C068DA" w:rsidRDefault="007D00A3" w:rsidP="004D3378">
            <w:pPr>
              <w:contextualSpacing/>
              <w:jc w:val="center"/>
              <w:rPr>
                <w:lang w:val="en-NZ"/>
              </w:rPr>
            </w:pPr>
            <w:r w:rsidRPr="00C068DA">
              <w:rPr>
                <w:lang w:val="en-NZ"/>
              </w:rPr>
              <w:t>-4</w:t>
            </w:r>
          </w:p>
        </w:tc>
        <w:tc>
          <w:tcPr>
            <w:tcW w:w="1505" w:type="dxa"/>
            <w:shd w:val="clear" w:color="auto" w:fill="B4C6E7" w:themeFill="accent5" w:themeFillTint="66"/>
            <w:vAlign w:val="center"/>
          </w:tcPr>
          <w:p w14:paraId="465E7E23" w14:textId="2D018374" w:rsidR="00B62F63" w:rsidRPr="00C068DA" w:rsidRDefault="008F2EDB" w:rsidP="004D3378">
            <w:pPr>
              <w:contextualSpacing/>
              <w:jc w:val="center"/>
              <w:rPr>
                <w:lang w:val="en-NZ"/>
              </w:rPr>
            </w:pPr>
            <w:r w:rsidRPr="00C068DA">
              <w:rPr>
                <w:lang w:val="en-NZ"/>
              </w:rPr>
              <w:t>-10</w:t>
            </w:r>
          </w:p>
        </w:tc>
      </w:tr>
    </w:tbl>
    <w:p w14:paraId="25DE92F9" w14:textId="708FB63C" w:rsidR="00165B85" w:rsidRDefault="00165B85" w:rsidP="00EB0D3A">
      <w:pPr>
        <w:rPr>
          <w:lang w:val="en-NZ"/>
        </w:rPr>
      </w:pPr>
    </w:p>
    <w:tbl>
      <w:tblPr>
        <w:tblStyle w:val="TableGrid"/>
        <w:tblW w:w="0" w:type="auto"/>
        <w:tblLook w:val="04A0" w:firstRow="1" w:lastRow="0" w:firstColumn="1" w:lastColumn="0" w:noHBand="0" w:noVBand="1"/>
      </w:tblPr>
      <w:tblGrid>
        <w:gridCol w:w="1838"/>
        <w:gridCol w:w="2266"/>
        <w:gridCol w:w="1946"/>
        <w:gridCol w:w="1505"/>
        <w:gridCol w:w="1505"/>
      </w:tblGrid>
      <w:tr w:rsidR="00165B85" w14:paraId="435332DB" w14:textId="77777777" w:rsidTr="007F67AA">
        <w:trPr>
          <w:trHeight w:val="345"/>
        </w:trPr>
        <w:tc>
          <w:tcPr>
            <w:tcW w:w="1838" w:type="dxa"/>
            <w:vMerge w:val="restart"/>
            <w:vAlign w:val="center"/>
          </w:tcPr>
          <w:p w14:paraId="66B92336" w14:textId="28F4BC75" w:rsidR="00165B85" w:rsidRDefault="00165B85" w:rsidP="007F67AA">
            <w:pPr>
              <w:contextualSpacing/>
              <w:jc w:val="center"/>
              <w:rPr>
                <w:lang w:val="en-NZ"/>
              </w:rPr>
            </w:pPr>
            <w:r>
              <w:rPr>
                <w:lang w:val="en-NZ"/>
              </w:rPr>
              <w:t>Scenario</w:t>
            </w:r>
          </w:p>
        </w:tc>
        <w:tc>
          <w:tcPr>
            <w:tcW w:w="4212" w:type="dxa"/>
            <w:gridSpan w:val="2"/>
            <w:vAlign w:val="center"/>
          </w:tcPr>
          <w:p w14:paraId="6788B6C4" w14:textId="46B9A1A7" w:rsidR="00165B85" w:rsidRDefault="00165B85" w:rsidP="007F67AA">
            <w:pPr>
              <w:contextualSpacing/>
              <w:jc w:val="center"/>
              <w:rPr>
                <w:lang w:val="en-NZ"/>
              </w:rPr>
            </w:pPr>
            <w:r>
              <w:rPr>
                <w:lang w:val="en-NZ"/>
              </w:rPr>
              <w:t xml:space="preserve">Population (,000) with income below </w:t>
            </w:r>
            <w:r w:rsidR="003478EC">
              <w:rPr>
                <w:lang w:val="en-NZ"/>
              </w:rPr>
              <w:t xml:space="preserve">the </w:t>
            </w:r>
            <w:r w:rsidR="00A97085">
              <w:rPr>
                <w:lang w:val="en-NZ"/>
              </w:rPr>
              <w:t>B</w:t>
            </w:r>
            <w:r>
              <w:rPr>
                <w:lang w:val="en-NZ"/>
              </w:rPr>
              <w:t>HC50</w:t>
            </w:r>
            <w:r w:rsidR="003478EC">
              <w:rPr>
                <w:lang w:val="en-NZ"/>
              </w:rPr>
              <w:t xml:space="preserve"> poverty threshold</w:t>
            </w:r>
          </w:p>
        </w:tc>
        <w:tc>
          <w:tcPr>
            <w:tcW w:w="3010" w:type="dxa"/>
            <w:gridSpan w:val="2"/>
            <w:vAlign w:val="center"/>
          </w:tcPr>
          <w:p w14:paraId="02D8697B" w14:textId="77777777" w:rsidR="00165B85" w:rsidRDefault="00165B85" w:rsidP="007F67AA">
            <w:pPr>
              <w:contextualSpacing/>
              <w:jc w:val="center"/>
              <w:rPr>
                <w:lang w:val="en-NZ"/>
              </w:rPr>
            </w:pPr>
            <w:r>
              <w:rPr>
                <w:lang w:val="en-NZ"/>
              </w:rPr>
              <w:t>Difference (,000) from counterfactual</w:t>
            </w:r>
          </w:p>
        </w:tc>
      </w:tr>
      <w:tr w:rsidR="00165B85" w14:paraId="34FE27AD" w14:textId="77777777" w:rsidTr="007F67AA">
        <w:trPr>
          <w:trHeight w:val="232"/>
        </w:trPr>
        <w:tc>
          <w:tcPr>
            <w:tcW w:w="1838" w:type="dxa"/>
            <w:vMerge/>
            <w:vAlign w:val="center"/>
          </w:tcPr>
          <w:p w14:paraId="69D2C49D" w14:textId="77777777" w:rsidR="00165B85" w:rsidRDefault="00165B85" w:rsidP="007F67AA">
            <w:pPr>
              <w:contextualSpacing/>
              <w:jc w:val="center"/>
              <w:rPr>
                <w:lang w:val="en-NZ"/>
              </w:rPr>
            </w:pPr>
          </w:p>
        </w:tc>
        <w:tc>
          <w:tcPr>
            <w:tcW w:w="2266" w:type="dxa"/>
            <w:vAlign w:val="center"/>
          </w:tcPr>
          <w:p w14:paraId="55CDAFB3" w14:textId="77777777" w:rsidR="00165B85" w:rsidRDefault="00165B85" w:rsidP="007F67AA">
            <w:pPr>
              <w:contextualSpacing/>
              <w:jc w:val="center"/>
              <w:rPr>
                <w:lang w:val="en-NZ"/>
              </w:rPr>
            </w:pPr>
            <w:r>
              <w:rPr>
                <w:lang w:val="en-NZ"/>
              </w:rPr>
              <w:t>Families</w:t>
            </w:r>
            <w:r>
              <w:rPr>
                <w:rStyle w:val="FootnoteReference"/>
                <w:lang w:val="en-NZ"/>
              </w:rPr>
              <w:footnoteReference w:id="30"/>
            </w:r>
          </w:p>
        </w:tc>
        <w:tc>
          <w:tcPr>
            <w:tcW w:w="1946" w:type="dxa"/>
            <w:vAlign w:val="center"/>
          </w:tcPr>
          <w:p w14:paraId="4EDA38BF" w14:textId="77777777" w:rsidR="00165B85" w:rsidRDefault="00165B85" w:rsidP="007F67AA">
            <w:pPr>
              <w:contextualSpacing/>
              <w:jc w:val="center"/>
              <w:rPr>
                <w:lang w:val="en-NZ"/>
              </w:rPr>
            </w:pPr>
            <w:r>
              <w:rPr>
                <w:lang w:val="en-NZ"/>
              </w:rPr>
              <w:t>Children</w:t>
            </w:r>
            <w:r>
              <w:rPr>
                <w:rStyle w:val="FootnoteReference"/>
                <w:lang w:val="en-NZ"/>
              </w:rPr>
              <w:footnoteReference w:id="31"/>
            </w:r>
          </w:p>
        </w:tc>
        <w:tc>
          <w:tcPr>
            <w:tcW w:w="1505" w:type="dxa"/>
            <w:vAlign w:val="center"/>
          </w:tcPr>
          <w:p w14:paraId="24BFE59C" w14:textId="77777777" w:rsidR="00165B85" w:rsidRDefault="00165B85" w:rsidP="007F67AA">
            <w:pPr>
              <w:contextualSpacing/>
              <w:jc w:val="center"/>
              <w:rPr>
                <w:lang w:val="en-NZ"/>
              </w:rPr>
            </w:pPr>
            <w:r>
              <w:rPr>
                <w:lang w:val="en-NZ"/>
              </w:rPr>
              <w:t>Families</w:t>
            </w:r>
          </w:p>
        </w:tc>
        <w:tc>
          <w:tcPr>
            <w:tcW w:w="1505" w:type="dxa"/>
            <w:vAlign w:val="center"/>
          </w:tcPr>
          <w:p w14:paraId="70D84C90" w14:textId="77777777" w:rsidR="00165B85" w:rsidRDefault="00165B85" w:rsidP="007F67AA">
            <w:pPr>
              <w:contextualSpacing/>
              <w:jc w:val="center"/>
              <w:rPr>
                <w:lang w:val="en-NZ"/>
              </w:rPr>
            </w:pPr>
            <w:r>
              <w:rPr>
                <w:lang w:val="en-NZ"/>
              </w:rPr>
              <w:t>Children</w:t>
            </w:r>
          </w:p>
        </w:tc>
      </w:tr>
      <w:tr w:rsidR="00165B85" w14:paraId="517AB5D1" w14:textId="77777777" w:rsidTr="007F67AA">
        <w:tc>
          <w:tcPr>
            <w:tcW w:w="1838" w:type="dxa"/>
            <w:shd w:val="clear" w:color="auto" w:fill="E2EFD9" w:themeFill="accent6" w:themeFillTint="33"/>
            <w:vAlign w:val="center"/>
          </w:tcPr>
          <w:p w14:paraId="1544D8F7" w14:textId="77777777" w:rsidR="00165B85" w:rsidRDefault="00165B85" w:rsidP="007F67AA">
            <w:pPr>
              <w:contextualSpacing/>
              <w:jc w:val="center"/>
              <w:rPr>
                <w:lang w:val="en-NZ"/>
              </w:rPr>
            </w:pPr>
            <w:r>
              <w:rPr>
                <w:lang w:val="en-NZ"/>
              </w:rPr>
              <w:t>CF</w:t>
            </w:r>
          </w:p>
        </w:tc>
        <w:tc>
          <w:tcPr>
            <w:tcW w:w="2266" w:type="dxa"/>
            <w:shd w:val="clear" w:color="auto" w:fill="E2EFD9" w:themeFill="accent6" w:themeFillTint="33"/>
            <w:vAlign w:val="center"/>
          </w:tcPr>
          <w:p w14:paraId="0D44294A" w14:textId="4A79E88C" w:rsidR="00165B85" w:rsidRDefault="003478EC" w:rsidP="007F67AA">
            <w:pPr>
              <w:contextualSpacing/>
              <w:jc w:val="center"/>
              <w:rPr>
                <w:lang w:val="en-NZ"/>
              </w:rPr>
            </w:pPr>
            <w:r>
              <w:rPr>
                <w:lang w:val="en-NZ"/>
              </w:rPr>
              <w:t>183</w:t>
            </w:r>
          </w:p>
        </w:tc>
        <w:tc>
          <w:tcPr>
            <w:tcW w:w="1946" w:type="dxa"/>
            <w:shd w:val="clear" w:color="auto" w:fill="E2EFD9" w:themeFill="accent6" w:themeFillTint="33"/>
            <w:vAlign w:val="center"/>
          </w:tcPr>
          <w:p w14:paraId="0AF0C025" w14:textId="52975CAF" w:rsidR="00165B85" w:rsidRDefault="003478EC" w:rsidP="007F67AA">
            <w:pPr>
              <w:contextualSpacing/>
              <w:jc w:val="center"/>
              <w:rPr>
                <w:lang w:val="en-NZ"/>
              </w:rPr>
            </w:pPr>
            <w:r>
              <w:rPr>
                <w:lang w:val="en-NZ"/>
              </w:rPr>
              <w:t>92</w:t>
            </w:r>
          </w:p>
        </w:tc>
        <w:tc>
          <w:tcPr>
            <w:tcW w:w="1505" w:type="dxa"/>
            <w:shd w:val="clear" w:color="auto" w:fill="E2EFD9" w:themeFill="accent6" w:themeFillTint="33"/>
            <w:vAlign w:val="center"/>
          </w:tcPr>
          <w:p w14:paraId="51081120" w14:textId="42D92883" w:rsidR="00165B85" w:rsidRDefault="003478EC" w:rsidP="007F67AA">
            <w:pPr>
              <w:contextualSpacing/>
              <w:jc w:val="center"/>
              <w:rPr>
                <w:lang w:val="en-NZ"/>
              </w:rPr>
            </w:pPr>
            <w:r>
              <w:rPr>
                <w:lang w:val="en-NZ"/>
              </w:rPr>
              <w:t>-</w:t>
            </w:r>
          </w:p>
        </w:tc>
        <w:tc>
          <w:tcPr>
            <w:tcW w:w="1505" w:type="dxa"/>
            <w:shd w:val="clear" w:color="auto" w:fill="E2EFD9" w:themeFill="accent6" w:themeFillTint="33"/>
            <w:vAlign w:val="center"/>
          </w:tcPr>
          <w:p w14:paraId="3D85CF9E" w14:textId="1FF3FBF0" w:rsidR="00165B85" w:rsidRDefault="003478EC" w:rsidP="007F67AA">
            <w:pPr>
              <w:contextualSpacing/>
              <w:jc w:val="center"/>
              <w:rPr>
                <w:lang w:val="en-NZ"/>
              </w:rPr>
            </w:pPr>
            <w:r>
              <w:rPr>
                <w:lang w:val="en-NZ"/>
              </w:rPr>
              <w:t>-</w:t>
            </w:r>
          </w:p>
        </w:tc>
      </w:tr>
      <w:tr w:rsidR="00165B85" w14:paraId="5EA21F7E" w14:textId="77777777" w:rsidTr="007F67AA">
        <w:tc>
          <w:tcPr>
            <w:tcW w:w="1838" w:type="dxa"/>
            <w:shd w:val="clear" w:color="auto" w:fill="D9E2F3" w:themeFill="accent5" w:themeFillTint="33"/>
            <w:vAlign w:val="center"/>
          </w:tcPr>
          <w:p w14:paraId="6B9DEF76" w14:textId="77777777" w:rsidR="00165B85" w:rsidRDefault="00165B85" w:rsidP="007F67AA">
            <w:pPr>
              <w:contextualSpacing/>
              <w:jc w:val="center"/>
              <w:rPr>
                <w:lang w:val="en-NZ"/>
              </w:rPr>
            </w:pPr>
            <w:r>
              <w:rPr>
                <w:lang w:val="en-NZ"/>
              </w:rPr>
              <w:t>A1</w:t>
            </w:r>
          </w:p>
        </w:tc>
        <w:tc>
          <w:tcPr>
            <w:tcW w:w="2266" w:type="dxa"/>
            <w:shd w:val="clear" w:color="auto" w:fill="D9E2F3" w:themeFill="accent5" w:themeFillTint="33"/>
            <w:vAlign w:val="center"/>
          </w:tcPr>
          <w:p w14:paraId="24F86839" w14:textId="09F67B72" w:rsidR="00165B85" w:rsidRDefault="009604AC" w:rsidP="007F67AA">
            <w:pPr>
              <w:contextualSpacing/>
              <w:jc w:val="center"/>
              <w:rPr>
                <w:lang w:val="en-NZ"/>
              </w:rPr>
            </w:pPr>
            <w:r>
              <w:rPr>
                <w:lang w:val="en-NZ"/>
              </w:rPr>
              <w:t>181</w:t>
            </w:r>
          </w:p>
        </w:tc>
        <w:tc>
          <w:tcPr>
            <w:tcW w:w="1946" w:type="dxa"/>
            <w:shd w:val="clear" w:color="auto" w:fill="D9E2F3" w:themeFill="accent5" w:themeFillTint="33"/>
            <w:vAlign w:val="center"/>
          </w:tcPr>
          <w:p w14:paraId="68C30AFA" w14:textId="6F7F4916" w:rsidR="00165B85" w:rsidRDefault="009604AC" w:rsidP="007F67AA">
            <w:pPr>
              <w:contextualSpacing/>
              <w:jc w:val="center"/>
              <w:rPr>
                <w:lang w:val="en-NZ"/>
              </w:rPr>
            </w:pPr>
            <w:r>
              <w:rPr>
                <w:lang w:val="en-NZ"/>
              </w:rPr>
              <w:t>87</w:t>
            </w:r>
          </w:p>
        </w:tc>
        <w:tc>
          <w:tcPr>
            <w:tcW w:w="1505" w:type="dxa"/>
            <w:shd w:val="clear" w:color="auto" w:fill="D9E2F3" w:themeFill="accent5" w:themeFillTint="33"/>
            <w:vAlign w:val="center"/>
          </w:tcPr>
          <w:p w14:paraId="1D890279" w14:textId="53CD178D" w:rsidR="00165B85" w:rsidRDefault="009604AC" w:rsidP="007F67AA">
            <w:pPr>
              <w:contextualSpacing/>
              <w:jc w:val="center"/>
              <w:rPr>
                <w:lang w:val="en-NZ"/>
              </w:rPr>
            </w:pPr>
            <w:r>
              <w:rPr>
                <w:lang w:val="en-NZ"/>
              </w:rPr>
              <w:t>-3</w:t>
            </w:r>
          </w:p>
        </w:tc>
        <w:tc>
          <w:tcPr>
            <w:tcW w:w="1505" w:type="dxa"/>
            <w:shd w:val="clear" w:color="auto" w:fill="D9E2F3" w:themeFill="accent5" w:themeFillTint="33"/>
            <w:vAlign w:val="center"/>
          </w:tcPr>
          <w:p w14:paraId="2C3093C8" w14:textId="62634D29" w:rsidR="00165B85" w:rsidRDefault="009604AC" w:rsidP="007F67AA">
            <w:pPr>
              <w:contextualSpacing/>
              <w:jc w:val="center"/>
              <w:rPr>
                <w:lang w:val="en-NZ"/>
              </w:rPr>
            </w:pPr>
            <w:r>
              <w:rPr>
                <w:lang w:val="en-NZ"/>
              </w:rPr>
              <w:t>-5</w:t>
            </w:r>
          </w:p>
        </w:tc>
      </w:tr>
      <w:tr w:rsidR="00165B85" w14:paraId="763C600D" w14:textId="77777777" w:rsidTr="007F67AA">
        <w:tc>
          <w:tcPr>
            <w:tcW w:w="1838" w:type="dxa"/>
            <w:shd w:val="clear" w:color="auto" w:fill="D9E2F3" w:themeFill="accent5" w:themeFillTint="33"/>
            <w:vAlign w:val="center"/>
          </w:tcPr>
          <w:p w14:paraId="0C9F1BB0" w14:textId="77777777" w:rsidR="00165B85" w:rsidRDefault="00165B85" w:rsidP="007F67AA">
            <w:pPr>
              <w:contextualSpacing/>
              <w:jc w:val="center"/>
              <w:rPr>
                <w:lang w:val="en-NZ"/>
              </w:rPr>
            </w:pPr>
            <w:r>
              <w:rPr>
                <w:lang w:val="en-NZ"/>
              </w:rPr>
              <w:t>A2</w:t>
            </w:r>
          </w:p>
        </w:tc>
        <w:tc>
          <w:tcPr>
            <w:tcW w:w="2266" w:type="dxa"/>
            <w:shd w:val="clear" w:color="auto" w:fill="D9E2F3" w:themeFill="accent5" w:themeFillTint="33"/>
            <w:vAlign w:val="center"/>
          </w:tcPr>
          <w:p w14:paraId="4EF5EC87" w14:textId="1F94A83E" w:rsidR="00165B85" w:rsidRDefault="009604AC" w:rsidP="007F67AA">
            <w:pPr>
              <w:contextualSpacing/>
              <w:jc w:val="center"/>
              <w:rPr>
                <w:lang w:val="en-NZ"/>
              </w:rPr>
            </w:pPr>
            <w:r>
              <w:rPr>
                <w:lang w:val="en-NZ"/>
              </w:rPr>
              <w:t>181</w:t>
            </w:r>
          </w:p>
        </w:tc>
        <w:tc>
          <w:tcPr>
            <w:tcW w:w="1946" w:type="dxa"/>
            <w:shd w:val="clear" w:color="auto" w:fill="D9E2F3" w:themeFill="accent5" w:themeFillTint="33"/>
            <w:vAlign w:val="center"/>
          </w:tcPr>
          <w:p w14:paraId="4B7FDCB8" w14:textId="1BE24421" w:rsidR="00165B85" w:rsidRDefault="009604AC" w:rsidP="007F67AA">
            <w:pPr>
              <w:contextualSpacing/>
              <w:jc w:val="center"/>
              <w:rPr>
                <w:lang w:val="en-NZ"/>
              </w:rPr>
            </w:pPr>
            <w:r>
              <w:rPr>
                <w:lang w:val="en-NZ"/>
              </w:rPr>
              <w:t>87</w:t>
            </w:r>
          </w:p>
        </w:tc>
        <w:tc>
          <w:tcPr>
            <w:tcW w:w="1505" w:type="dxa"/>
            <w:shd w:val="clear" w:color="auto" w:fill="D9E2F3" w:themeFill="accent5" w:themeFillTint="33"/>
            <w:vAlign w:val="center"/>
          </w:tcPr>
          <w:p w14:paraId="03436B58" w14:textId="3C7F14CA" w:rsidR="00165B85" w:rsidRDefault="009604AC" w:rsidP="007F67AA">
            <w:pPr>
              <w:contextualSpacing/>
              <w:jc w:val="center"/>
              <w:rPr>
                <w:lang w:val="en-NZ"/>
              </w:rPr>
            </w:pPr>
            <w:r>
              <w:rPr>
                <w:lang w:val="en-NZ"/>
              </w:rPr>
              <w:t>-3</w:t>
            </w:r>
          </w:p>
        </w:tc>
        <w:tc>
          <w:tcPr>
            <w:tcW w:w="1505" w:type="dxa"/>
            <w:shd w:val="clear" w:color="auto" w:fill="D9E2F3" w:themeFill="accent5" w:themeFillTint="33"/>
            <w:vAlign w:val="center"/>
          </w:tcPr>
          <w:p w14:paraId="4C79C30B" w14:textId="1E5A2E14" w:rsidR="00165B85" w:rsidRDefault="009604AC" w:rsidP="007F67AA">
            <w:pPr>
              <w:contextualSpacing/>
              <w:jc w:val="center"/>
              <w:rPr>
                <w:lang w:val="en-NZ"/>
              </w:rPr>
            </w:pPr>
            <w:r>
              <w:rPr>
                <w:lang w:val="en-NZ"/>
              </w:rPr>
              <w:t>-5</w:t>
            </w:r>
          </w:p>
        </w:tc>
      </w:tr>
      <w:tr w:rsidR="00165B85" w14:paraId="590DF26B" w14:textId="77777777" w:rsidTr="007F67AA">
        <w:tc>
          <w:tcPr>
            <w:tcW w:w="1838" w:type="dxa"/>
            <w:shd w:val="clear" w:color="auto" w:fill="D9E2F3" w:themeFill="accent5" w:themeFillTint="33"/>
            <w:vAlign w:val="center"/>
          </w:tcPr>
          <w:p w14:paraId="053DC884" w14:textId="77777777" w:rsidR="00165B85" w:rsidRDefault="00165B85" w:rsidP="007F67AA">
            <w:pPr>
              <w:contextualSpacing/>
              <w:jc w:val="center"/>
              <w:rPr>
                <w:lang w:val="en-NZ"/>
              </w:rPr>
            </w:pPr>
            <w:r>
              <w:rPr>
                <w:lang w:val="en-NZ"/>
              </w:rPr>
              <w:t>A3</w:t>
            </w:r>
          </w:p>
        </w:tc>
        <w:tc>
          <w:tcPr>
            <w:tcW w:w="2266" w:type="dxa"/>
            <w:shd w:val="clear" w:color="auto" w:fill="D9E2F3" w:themeFill="accent5" w:themeFillTint="33"/>
            <w:vAlign w:val="center"/>
          </w:tcPr>
          <w:p w14:paraId="2E4211BF" w14:textId="6E172740" w:rsidR="00165B85" w:rsidRDefault="009604AC" w:rsidP="007F67AA">
            <w:pPr>
              <w:contextualSpacing/>
              <w:jc w:val="center"/>
              <w:rPr>
                <w:lang w:val="en-NZ"/>
              </w:rPr>
            </w:pPr>
            <w:r>
              <w:rPr>
                <w:lang w:val="en-NZ"/>
              </w:rPr>
              <w:t>181</w:t>
            </w:r>
          </w:p>
        </w:tc>
        <w:tc>
          <w:tcPr>
            <w:tcW w:w="1946" w:type="dxa"/>
            <w:shd w:val="clear" w:color="auto" w:fill="D9E2F3" w:themeFill="accent5" w:themeFillTint="33"/>
            <w:vAlign w:val="center"/>
          </w:tcPr>
          <w:p w14:paraId="37AFA328" w14:textId="6B90BD97" w:rsidR="00165B85" w:rsidRDefault="009604AC" w:rsidP="007F67AA">
            <w:pPr>
              <w:contextualSpacing/>
              <w:jc w:val="center"/>
              <w:rPr>
                <w:lang w:val="en-NZ"/>
              </w:rPr>
            </w:pPr>
            <w:r>
              <w:rPr>
                <w:lang w:val="en-NZ"/>
              </w:rPr>
              <w:t>87</w:t>
            </w:r>
          </w:p>
        </w:tc>
        <w:tc>
          <w:tcPr>
            <w:tcW w:w="1505" w:type="dxa"/>
            <w:shd w:val="clear" w:color="auto" w:fill="D9E2F3" w:themeFill="accent5" w:themeFillTint="33"/>
            <w:vAlign w:val="center"/>
          </w:tcPr>
          <w:p w14:paraId="6812F60B" w14:textId="10EC379D" w:rsidR="00165B85" w:rsidRDefault="009604AC" w:rsidP="007F67AA">
            <w:pPr>
              <w:contextualSpacing/>
              <w:jc w:val="center"/>
              <w:rPr>
                <w:lang w:val="en-NZ"/>
              </w:rPr>
            </w:pPr>
            <w:r>
              <w:rPr>
                <w:lang w:val="en-NZ"/>
              </w:rPr>
              <w:t>-3</w:t>
            </w:r>
          </w:p>
        </w:tc>
        <w:tc>
          <w:tcPr>
            <w:tcW w:w="1505" w:type="dxa"/>
            <w:shd w:val="clear" w:color="auto" w:fill="D9E2F3" w:themeFill="accent5" w:themeFillTint="33"/>
            <w:vAlign w:val="center"/>
          </w:tcPr>
          <w:p w14:paraId="3A75ECE5" w14:textId="120E30B3" w:rsidR="00165B85" w:rsidRDefault="009604AC" w:rsidP="007F67AA">
            <w:pPr>
              <w:contextualSpacing/>
              <w:jc w:val="center"/>
              <w:rPr>
                <w:lang w:val="en-NZ"/>
              </w:rPr>
            </w:pPr>
            <w:r>
              <w:rPr>
                <w:lang w:val="en-NZ"/>
              </w:rPr>
              <w:t>-5</w:t>
            </w:r>
          </w:p>
        </w:tc>
      </w:tr>
      <w:tr w:rsidR="00165B85" w14:paraId="255F2F82" w14:textId="77777777" w:rsidTr="007F67AA">
        <w:tc>
          <w:tcPr>
            <w:tcW w:w="1838" w:type="dxa"/>
            <w:shd w:val="clear" w:color="auto" w:fill="B4C6E7" w:themeFill="accent5" w:themeFillTint="66"/>
            <w:vAlign w:val="center"/>
          </w:tcPr>
          <w:p w14:paraId="0719DBED" w14:textId="77777777" w:rsidR="00165B85" w:rsidRPr="00C068DA" w:rsidRDefault="00165B85" w:rsidP="007F67AA">
            <w:pPr>
              <w:contextualSpacing/>
              <w:jc w:val="center"/>
              <w:rPr>
                <w:lang w:val="en-NZ"/>
              </w:rPr>
            </w:pPr>
            <w:r w:rsidRPr="00C068DA">
              <w:rPr>
                <w:lang w:val="en-NZ"/>
              </w:rPr>
              <w:t>B</w:t>
            </w:r>
          </w:p>
        </w:tc>
        <w:tc>
          <w:tcPr>
            <w:tcW w:w="2266" w:type="dxa"/>
            <w:shd w:val="clear" w:color="auto" w:fill="B4C6E7" w:themeFill="accent5" w:themeFillTint="66"/>
            <w:vAlign w:val="center"/>
          </w:tcPr>
          <w:p w14:paraId="0616B98A" w14:textId="6FDB3348" w:rsidR="00165B85" w:rsidRPr="00C068DA" w:rsidRDefault="007E21E2" w:rsidP="007F67AA">
            <w:pPr>
              <w:contextualSpacing/>
              <w:jc w:val="center"/>
              <w:rPr>
                <w:lang w:val="en-NZ"/>
              </w:rPr>
            </w:pPr>
            <w:r>
              <w:rPr>
                <w:lang w:val="en-NZ"/>
              </w:rPr>
              <w:t>179</w:t>
            </w:r>
          </w:p>
        </w:tc>
        <w:tc>
          <w:tcPr>
            <w:tcW w:w="1946" w:type="dxa"/>
            <w:shd w:val="clear" w:color="auto" w:fill="B4C6E7" w:themeFill="accent5" w:themeFillTint="66"/>
            <w:vAlign w:val="center"/>
          </w:tcPr>
          <w:p w14:paraId="30D89D94" w14:textId="45DAFDC9" w:rsidR="00165B85" w:rsidRPr="00C068DA" w:rsidRDefault="007E21E2" w:rsidP="007F67AA">
            <w:pPr>
              <w:contextualSpacing/>
              <w:jc w:val="center"/>
              <w:rPr>
                <w:lang w:val="en-NZ"/>
              </w:rPr>
            </w:pPr>
            <w:r>
              <w:rPr>
                <w:lang w:val="en-NZ"/>
              </w:rPr>
              <w:t>84</w:t>
            </w:r>
          </w:p>
        </w:tc>
        <w:tc>
          <w:tcPr>
            <w:tcW w:w="1505" w:type="dxa"/>
            <w:shd w:val="clear" w:color="auto" w:fill="B4C6E7" w:themeFill="accent5" w:themeFillTint="66"/>
            <w:vAlign w:val="center"/>
          </w:tcPr>
          <w:p w14:paraId="01220452" w14:textId="23310826" w:rsidR="00165B85" w:rsidRPr="00C068DA" w:rsidRDefault="007E21E2" w:rsidP="007F67AA">
            <w:pPr>
              <w:contextualSpacing/>
              <w:jc w:val="center"/>
              <w:rPr>
                <w:lang w:val="en-NZ"/>
              </w:rPr>
            </w:pPr>
            <w:r>
              <w:rPr>
                <w:lang w:val="en-NZ"/>
              </w:rPr>
              <w:t>-4</w:t>
            </w:r>
          </w:p>
        </w:tc>
        <w:tc>
          <w:tcPr>
            <w:tcW w:w="1505" w:type="dxa"/>
            <w:shd w:val="clear" w:color="auto" w:fill="B4C6E7" w:themeFill="accent5" w:themeFillTint="66"/>
            <w:vAlign w:val="center"/>
          </w:tcPr>
          <w:p w14:paraId="110C7131" w14:textId="79C98234" w:rsidR="00165B85" w:rsidRPr="00C068DA" w:rsidRDefault="007E21E2" w:rsidP="007F67AA">
            <w:pPr>
              <w:contextualSpacing/>
              <w:jc w:val="center"/>
              <w:rPr>
                <w:lang w:val="en-NZ"/>
              </w:rPr>
            </w:pPr>
            <w:r>
              <w:rPr>
                <w:lang w:val="en-NZ"/>
              </w:rPr>
              <w:t>-7</w:t>
            </w:r>
          </w:p>
        </w:tc>
      </w:tr>
    </w:tbl>
    <w:p w14:paraId="2B82971A" w14:textId="4BEB8873" w:rsidR="00165B85" w:rsidRDefault="00165B85" w:rsidP="00EB0D3A">
      <w:pPr>
        <w:rPr>
          <w:lang w:val="en-NZ"/>
        </w:rPr>
      </w:pPr>
    </w:p>
    <w:p w14:paraId="5D660784" w14:textId="4CF514E8" w:rsidR="00862578" w:rsidRDefault="00481E51" w:rsidP="00EB0D3A">
      <w:pPr>
        <w:rPr>
          <w:lang w:val="en-NZ"/>
        </w:rPr>
      </w:pPr>
      <w:r>
        <w:rPr>
          <w:lang w:val="en-NZ"/>
        </w:rPr>
        <w:t>Option B</w:t>
      </w:r>
      <w:r w:rsidR="009872DF">
        <w:rPr>
          <w:lang w:val="en-NZ"/>
        </w:rPr>
        <w:t xml:space="preserve">, with </w:t>
      </w:r>
      <w:r w:rsidR="00AF3421">
        <w:rPr>
          <w:lang w:val="en-NZ"/>
        </w:rPr>
        <w:t>its</w:t>
      </w:r>
      <w:r w:rsidR="009872DF">
        <w:rPr>
          <w:lang w:val="en-NZ"/>
        </w:rPr>
        <w:t xml:space="preserve"> greater weekly increase of $7.50,</w:t>
      </w:r>
      <w:r>
        <w:rPr>
          <w:lang w:val="en-NZ"/>
        </w:rPr>
        <w:t xml:space="preserve"> ha</w:t>
      </w:r>
      <w:r w:rsidR="00AF3421">
        <w:rPr>
          <w:lang w:val="en-NZ"/>
        </w:rPr>
        <w:t>s</w:t>
      </w:r>
      <w:r>
        <w:rPr>
          <w:lang w:val="en-NZ"/>
        </w:rPr>
        <w:t xml:space="preserve"> the greatest positive impact on child poverty</w:t>
      </w:r>
      <w:r w:rsidR="007A7F04">
        <w:rPr>
          <w:lang w:val="en-NZ"/>
        </w:rPr>
        <w:t xml:space="preserve"> measured by either threshold</w:t>
      </w:r>
      <w:r w:rsidR="00B430DD">
        <w:rPr>
          <w:lang w:val="en-NZ"/>
        </w:rPr>
        <w:t>.</w:t>
      </w:r>
      <w:r w:rsidR="009872DF">
        <w:rPr>
          <w:lang w:val="en-NZ"/>
        </w:rPr>
        <w:t xml:space="preserve"> </w:t>
      </w:r>
      <w:r w:rsidR="007A7F04">
        <w:rPr>
          <w:lang w:val="en-NZ"/>
        </w:rPr>
        <w:t>When measuring against AHC50, o</w:t>
      </w:r>
      <w:r w:rsidR="0007581D">
        <w:rPr>
          <w:lang w:val="en-NZ"/>
        </w:rPr>
        <w:t>ption A3,</w:t>
      </w:r>
      <w:r w:rsidR="00B430DD">
        <w:rPr>
          <w:lang w:val="en-NZ"/>
        </w:rPr>
        <w:t xml:space="preserve"> which combine</w:t>
      </w:r>
      <w:r w:rsidR="0007581D">
        <w:rPr>
          <w:lang w:val="en-NZ"/>
        </w:rPr>
        <w:t>s</w:t>
      </w:r>
      <w:r w:rsidR="00B430DD">
        <w:rPr>
          <w:lang w:val="en-NZ"/>
        </w:rPr>
        <w:t xml:space="preserve"> the smaller increase of $5 with </w:t>
      </w:r>
      <w:r w:rsidR="001E2396">
        <w:rPr>
          <w:lang w:val="en-NZ"/>
        </w:rPr>
        <w:t>a 2%</w:t>
      </w:r>
      <w:r w:rsidR="00B430DD">
        <w:rPr>
          <w:lang w:val="en-NZ"/>
        </w:rPr>
        <w:t xml:space="preserve"> abatement rate</w:t>
      </w:r>
      <w:r w:rsidR="001E2396">
        <w:rPr>
          <w:lang w:val="en-NZ"/>
        </w:rPr>
        <w:t xml:space="preserve"> increase</w:t>
      </w:r>
      <w:r w:rsidR="00B430DD">
        <w:rPr>
          <w:lang w:val="en-NZ"/>
        </w:rPr>
        <w:t>, ha</w:t>
      </w:r>
      <w:r w:rsidR="001E2396">
        <w:rPr>
          <w:lang w:val="en-NZ"/>
        </w:rPr>
        <w:t>s</w:t>
      </w:r>
      <w:r w:rsidR="00B430DD">
        <w:rPr>
          <w:lang w:val="en-NZ"/>
        </w:rPr>
        <w:t xml:space="preserve"> the </w:t>
      </w:r>
      <w:r w:rsidR="000D1848">
        <w:rPr>
          <w:lang w:val="en-NZ"/>
        </w:rPr>
        <w:t>smallest positive impact on child poverty.</w:t>
      </w:r>
      <w:r w:rsidR="007A7F04">
        <w:rPr>
          <w:lang w:val="en-NZ"/>
        </w:rPr>
        <w:t xml:space="preserve"> When measuring against BHC50 options A1-3 appear to have the same impact.</w:t>
      </w:r>
    </w:p>
    <w:p w14:paraId="4ADD2325" w14:textId="7FCA7B16" w:rsidR="000D1848" w:rsidRPr="00250776" w:rsidRDefault="00B919D2" w:rsidP="00EB0D3A">
      <w:pPr>
        <w:rPr>
          <w:b/>
          <w:bCs/>
          <w:i/>
          <w:iCs/>
          <w:lang w:val="en-NZ"/>
        </w:rPr>
      </w:pPr>
      <w:r w:rsidRPr="00250776">
        <w:rPr>
          <w:b/>
          <w:bCs/>
          <w:i/>
          <w:iCs/>
          <w:lang w:val="en-NZ"/>
        </w:rPr>
        <w:t xml:space="preserve">Fiscal </w:t>
      </w:r>
      <w:r w:rsidR="00420469">
        <w:rPr>
          <w:b/>
          <w:bCs/>
          <w:i/>
          <w:iCs/>
          <w:lang w:val="en-NZ"/>
        </w:rPr>
        <w:t>impact</w:t>
      </w:r>
    </w:p>
    <w:p w14:paraId="5186DB7C" w14:textId="4654871C" w:rsidR="000D1848" w:rsidRDefault="007E77DC" w:rsidP="00EB0D3A">
      <w:pPr>
        <w:rPr>
          <w:lang w:val="en-NZ"/>
        </w:rPr>
      </w:pPr>
      <w:r>
        <w:rPr>
          <w:lang w:val="en-NZ"/>
        </w:rPr>
        <w:t xml:space="preserve">The following table breaks down the </w:t>
      </w:r>
      <w:r w:rsidR="00027FF3">
        <w:rPr>
          <w:lang w:val="en-NZ"/>
        </w:rPr>
        <w:t xml:space="preserve">annual </w:t>
      </w:r>
      <w:r>
        <w:rPr>
          <w:lang w:val="en-NZ"/>
        </w:rPr>
        <w:t xml:space="preserve">fiscal </w:t>
      </w:r>
      <w:r w:rsidR="00010303">
        <w:rPr>
          <w:lang w:val="en-NZ"/>
        </w:rPr>
        <w:t>impact</w:t>
      </w:r>
      <w:r>
        <w:rPr>
          <w:lang w:val="en-NZ"/>
        </w:rPr>
        <w:t xml:space="preserve"> of </w:t>
      </w:r>
      <w:r w:rsidR="009266D4">
        <w:rPr>
          <w:lang w:val="en-NZ"/>
        </w:rPr>
        <w:t xml:space="preserve">each option </w:t>
      </w:r>
      <w:r w:rsidR="00FD3805">
        <w:rPr>
          <w:lang w:val="en-NZ"/>
        </w:rPr>
        <w:t xml:space="preserve">by </w:t>
      </w:r>
      <w:r w:rsidR="00E933BE">
        <w:rPr>
          <w:lang w:val="en-NZ"/>
        </w:rPr>
        <w:t>source</w:t>
      </w:r>
      <w:r w:rsidR="0055677E">
        <w:rPr>
          <w:lang w:val="en-NZ"/>
        </w:rPr>
        <w:t>.</w:t>
      </w:r>
      <w:r w:rsidR="00CE28CC">
        <w:rPr>
          <w:lang w:val="en-NZ"/>
        </w:rPr>
        <w:t xml:space="preserve"> Although the FTC is the only payment rate which would change, </w:t>
      </w:r>
      <w:r w:rsidR="003A14B1">
        <w:rPr>
          <w:lang w:val="en-NZ"/>
        </w:rPr>
        <w:t>th</w:t>
      </w:r>
      <w:r w:rsidR="00FC5A8F">
        <w:rPr>
          <w:lang w:val="en-NZ"/>
        </w:rPr>
        <w:t>e</w:t>
      </w:r>
      <w:r w:rsidR="004F127C">
        <w:rPr>
          <w:lang w:val="en-NZ"/>
        </w:rPr>
        <w:t xml:space="preserve"> </w:t>
      </w:r>
      <w:r w:rsidR="00F10E0B">
        <w:rPr>
          <w:lang w:val="en-NZ"/>
        </w:rPr>
        <w:t xml:space="preserve">interlinked </w:t>
      </w:r>
      <w:r w:rsidR="004F127C">
        <w:rPr>
          <w:lang w:val="en-NZ"/>
        </w:rPr>
        <w:t xml:space="preserve">abatement </w:t>
      </w:r>
      <w:r w:rsidR="00F10E0B">
        <w:rPr>
          <w:lang w:val="en-NZ"/>
        </w:rPr>
        <w:t xml:space="preserve">and </w:t>
      </w:r>
      <w:r w:rsidR="00713BAA">
        <w:rPr>
          <w:lang w:val="en-NZ"/>
        </w:rPr>
        <w:t xml:space="preserve">eligibility </w:t>
      </w:r>
      <w:r w:rsidR="004F127C">
        <w:rPr>
          <w:lang w:val="en-NZ"/>
        </w:rPr>
        <w:t xml:space="preserve">settings of </w:t>
      </w:r>
      <w:r w:rsidR="003A14B1">
        <w:rPr>
          <w:lang w:val="en-NZ"/>
        </w:rPr>
        <w:t>social assistance payments</w:t>
      </w:r>
      <w:r w:rsidR="00F10E0B">
        <w:rPr>
          <w:lang w:val="en-NZ"/>
        </w:rPr>
        <w:t xml:space="preserve"> mean</w:t>
      </w:r>
      <w:r w:rsidR="003A14B1">
        <w:rPr>
          <w:lang w:val="en-NZ"/>
        </w:rPr>
        <w:t xml:space="preserve"> these increases have flow-on </w:t>
      </w:r>
      <w:r w:rsidR="006318D8">
        <w:rPr>
          <w:lang w:val="en-NZ"/>
        </w:rPr>
        <w:t>e</w:t>
      </w:r>
      <w:r w:rsidR="003A14B1">
        <w:rPr>
          <w:lang w:val="en-NZ"/>
        </w:rPr>
        <w:t>ffects</w:t>
      </w:r>
      <w:r w:rsidR="006D3A10">
        <w:rPr>
          <w:lang w:val="en-NZ"/>
        </w:rPr>
        <w:t xml:space="preserve"> to the accommodation supplement (AS), the IWTC and the IETC.</w:t>
      </w:r>
    </w:p>
    <w:tbl>
      <w:tblPr>
        <w:tblStyle w:val="TableGrid"/>
        <w:tblW w:w="0" w:type="auto"/>
        <w:tblLook w:val="04A0" w:firstRow="1" w:lastRow="0" w:firstColumn="1" w:lastColumn="0" w:noHBand="0" w:noVBand="1"/>
      </w:tblPr>
      <w:tblGrid>
        <w:gridCol w:w="1510"/>
        <w:gridCol w:w="1510"/>
        <w:gridCol w:w="1510"/>
        <w:gridCol w:w="1510"/>
        <w:gridCol w:w="1510"/>
        <w:gridCol w:w="1510"/>
      </w:tblGrid>
      <w:tr w:rsidR="00E933BE" w14:paraId="08BA9065" w14:textId="77777777" w:rsidTr="00E933BE">
        <w:tc>
          <w:tcPr>
            <w:tcW w:w="1510" w:type="dxa"/>
          </w:tcPr>
          <w:p w14:paraId="07280694" w14:textId="6E7E411A" w:rsidR="00E933BE" w:rsidRDefault="00E933BE" w:rsidP="00AF3421">
            <w:pPr>
              <w:contextualSpacing/>
              <w:rPr>
                <w:lang w:val="en-NZ"/>
              </w:rPr>
            </w:pPr>
            <w:r>
              <w:rPr>
                <w:lang w:val="en-NZ"/>
              </w:rPr>
              <w:t>Option</w:t>
            </w:r>
          </w:p>
        </w:tc>
        <w:tc>
          <w:tcPr>
            <w:tcW w:w="1510" w:type="dxa"/>
          </w:tcPr>
          <w:p w14:paraId="25911743" w14:textId="6BCFB473" w:rsidR="00E933BE" w:rsidRDefault="00E933BE" w:rsidP="00AF3421">
            <w:pPr>
              <w:contextualSpacing/>
              <w:rPr>
                <w:lang w:val="en-NZ"/>
              </w:rPr>
            </w:pPr>
            <w:r>
              <w:rPr>
                <w:lang w:val="en-NZ"/>
              </w:rPr>
              <w:t>Total</w:t>
            </w:r>
            <w:r w:rsidR="00221C0C">
              <w:rPr>
                <w:lang w:val="en-NZ"/>
              </w:rPr>
              <w:t xml:space="preserve"> ($m)</w:t>
            </w:r>
          </w:p>
        </w:tc>
        <w:tc>
          <w:tcPr>
            <w:tcW w:w="1510" w:type="dxa"/>
          </w:tcPr>
          <w:p w14:paraId="4A36215B" w14:textId="03727FCF" w:rsidR="00E933BE" w:rsidRDefault="00221C0C" w:rsidP="00AF3421">
            <w:pPr>
              <w:contextualSpacing/>
              <w:rPr>
                <w:lang w:val="en-NZ"/>
              </w:rPr>
            </w:pPr>
            <w:r>
              <w:rPr>
                <w:lang w:val="en-NZ"/>
              </w:rPr>
              <w:t>AS</w:t>
            </w:r>
            <w:r w:rsidR="0055677E">
              <w:rPr>
                <w:lang w:val="en-NZ"/>
              </w:rPr>
              <w:t xml:space="preserve"> ($m)</w:t>
            </w:r>
          </w:p>
        </w:tc>
        <w:tc>
          <w:tcPr>
            <w:tcW w:w="1510" w:type="dxa"/>
          </w:tcPr>
          <w:p w14:paraId="19AA8CDB" w14:textId="5BBA7AF2" w:rsidR="00E933BE" w:rsidRDefault="00221C0C" w:rsidP="00AF3421">
            <w:pPr>
              <w:contextualSpacing/>
              <w:rPr>
                <w:lang w:val="en-NZ"/>
              </w:rPr>
            </w:pPr>
            <w:r>
              <w:rPr>
                <w:lang w:val="en-NZ"/>
              </w:rPr>
              <w:t>FTC ($m)</w:t>
            </w:r>
          </w:p>
        </w:tc>
        <w:tc>
          <w:tcPr>
            <w:tcW w:w="1510" w:type="dxa"/>
          </w:tcPr>
          <w:p w14:paraId="3EEA7D82" w14:textId="074C7416" w:rsidR="00E933BE" w:rsidRDefault="00221C0C" w:rsidP="00AF3421">
            <w:pPr>
              <w:contextualSpacing/>
              <w:rPr>
                <w:lang w:val="en-NZ"/>
              </w:rPr>
            </w:pPr>
            <w:r>
              <w:rPr>
                <w:lang w:val="en-NZ"/>
              </w:rPr>
              <w:t>IWTC ($m)</w:t>
            </w:r>
          </w:p>
        </w:tc>
        <w:tc>
          <w:tcPr>
            <w:tcW w:w="1510" w:type="dxa"/>
          </w:tcPr>
          <w:p w14:paraId="44DDB6CC" w14:textId="2D1F3AC9" w:rsidR="00E933BE" w:rsidRDefault="00221C0C" w:rsidP="00AF3421">
            <w:pPr>
              <w:contextualSpacing/>
              <w:rPr>
                <w:lang w:val="en-NZ"/>
              </w:rPr>
            </w:pPr>
            <w:r>
              <w:rPr>
                <w:lang w:val="en-NZ"/>
              </w:rPr>
              <w:t>IETC ($m)</w:t>
            </w:r>
          </w:p>
        </w:tc>
      </w:tr>
      <w:tr w:rsidR="00E933BE" w14:paraId="20C13DE1" w14:textId="77777777" w:rsidTr="00713BAA">
        <w:tc>
          <w:tcPr>
            <w:tcW w:w="1510" w:type="dxa"/>
            <w:shd w:val="clear" w:color="auto" w:fill="D9E2F3" w:themeFill="accent5" w:themeFillTint="33"/>
          </w:tcPr>
          <w:p w14:paraId="784235D3" w14:textId="76883BEE" w:rsidR="00E933BE" w:rsidRDefault="0055677E" w:rsidP="00AF3421">
            <w:pPr>
              <w:contextualSpacing/>
              <w:rPr>
                <w:lang w:val="en-NZ"/>
              </w:rPr>
            </w:pPr>
            <w:r>
              <w:rPr>
                <w:lang w:val="en-NZ"/>
              </w:rPr>
              <w:t>A1</w:t>
            </w:r>
          </w:p>
        </w:tc>
        <w:tc>
          <w:tcPr>
            <w:tcW w:w="1510" w:type="dxa"/>
            <w:shd w:val="clear" w:color="auto" w:fill="D9E2F3" w:themeFill="accent5" w:themeFillTint="33"/>
          </w:tcPr>
          <w:p w14:paraId="1F17D644" w14:textId="7F4AB544" w:rsidR="00E933BE" w:rsidRDefault="001F24BA" w:rsidP="00AF3421">
            <w:pPr>
              <w:contextualSpacing/>
              <w:rPr>
                <w:lang w:val="en-NZ"/>
              </w:rPr>
            </w:pPr>
            <w:r>
              <w:rPr>
                <w:lang w:val="en-NZ"/>
              </w:rPr>
              <w:t>$158</w:t>
            </w:r>
          </w:p>
        </w:tc>
        <w:tc>
          <w:tcPr>
            <w:tcW w:w="1510" w:type="dxa"/>
            <w:shd w:val="clear" w:color="auto" w:fill="D9E2F3" w:themeFill="accent5" w:themeFillTint="33"/>
          </w:tcPr>
          <w:p w14:paraId="7083B6DB" w14:textId="5BFA13F2" w:rsidR="00E933BE" w:rsidRDefault="004D15DD" w:rsidP="00AF3421">
            <w:pPr>
              <w:contextualSpacing/>
              <w:rPr>
                <w:lang w:val="en-NZ"/>
              </w:rPr>
            </w:pPr>
            <w:r>
              <w:rPr>
                <w:lang w:val="en-NZ"/>
              </w:rPr>
              <w:t>-$3</w:t>
            </w:r>
          </w:p>
        </w:tc>
        <w:tc>
          <w:tcPr>
            <w:tcW w:w="1510" w:type="dxa"/>
            <w:shd w:val="clear" w:color="auto" w:fill="D9E2F3" w:themeFill="accent5" w:themeFillTint="33"/>
          </w:tcPr>
          <w:p w14:paraId="080AECB1" w14:textId="4C93FE34" w:rsidR="00E933BE" w:rsidRDefault="00B62016" w:rsidP="00AF3421">
            <w:pPr>
              <w:contextualSpacing/>
              <w:rPr>
                <w:lang w:val="en-NZ"/>
              </w:rPr>
            </w:pPr>
            <w:r>
              <w:rPr>
                <w:lang w:val="en-NZ"/>
              </w:rPr>
              <w:t>$143</w:t>
            </w:r>
          </w:p>
        </w:tc>
        <w:tc>
          <w:tcPr>
            <w:tcW w:w="1510" w:type="dxa"/>
            <w:shd w:val="clear" w:color="auto" w:fill="D9E2F3" w:themeFill="accent5" w:themeFillTint="33"/>
          </w:tcPr>
          <w:p w14:paraId="262702F7" w14:textId="6BA7ABD5" w:rsidR="00E933BE" w:rsidRDefault="00B62016" w:rsidP="00AF3421">
            <w:pPr>
              <w:contextualSpacing/>
              <w:rPr>
                <w:lang w:val="en-NZ"/>
              </w:rPr>
            </w:pPr>
            <w:r>
              <w:rPr>
                <w:lang w:val="en-NZ"/>
              </w:rPr>
              <w:t>$20</w:t>
            </w:r>
          </w:p>
        </w:tc>
        <w:tc>
          <w:tcPr>
            <w:tcW w:w="1510" w:type="dxa"/>
            <w:shd w:val="clear" w:color="auto" w:fill="D9E2F3" w:themeFill="accent5" w:themeFillTint="33"/>
          </w:tcPr>
          <w:p w14:paraId="41A98E34" w14:textId="6A20EDD5" w:rsidR="00E933BE" w:rsidRDefault="00B62016" w:rsidP="00AF3421">
            <w:pPr>
              <w:contextualSpacing/>
              <w:rPr>
                <w:lang w:val="en-NZ"/>
              </w:rPr>
            </w:pPr>
            <w:r>
              <w:rPr>
                <w:lang w:val="en-NZ"/>
              </w:rPr>
              <w:t>-$1</w:t>
            </w:r>
          </w:p>
        </w:tc>
      </w:tr>
      <w:tr w:rsidR="00E933BE" w14:paraId="4BFC1284" w14:textId="77777777" w:rsidTr="00713BAA">
        <w:tc>
          <w:tcPr>
            <w:tcW w:w="1510" w:type="dxa"/>
            <w:shd w:val="clear" w:color="auto" w:fill="D9E2F3" w:themeFill="accent5" w:themeFillTint="33"/>
          </w:tcPr>
          <w:p w14:paraId="306FA42D" w14:textId="5B0349A1" w:rsidR="00E933BE" w:rsidRDefault="0055677E" w:rsidP="00AF3421">
            <w:pPr>
              <w:contextualSpacing/>
              <w:rPr>
                <w:lang w:val="en-NZ"/>
              </w:rPr>
            </w:pPr>
            <w:r>
              <w:rPr>
                <w:lang w:val="en-NZ"/>
              </w:rPr>
              <w:t>A2</w:t>
            </w:r>
          </w:p>
        </w:tc>
        <w:tc>
          <w:tcPr>
            <w:tcW w:w="1510" w:type="dxa"/>
            <w:shd w:val="clear" w:color="auto" w:fill="D9E2F3" w:themeFill="accent5" w:themeFillTint="33"/>
          </w:tcPr>
          <w:p w14:paraId="45FA181B" w14:textId="30672F72" w:rsidR="00E933BE" w:rsidRDefault="001F24BA" w:rsidP="00AF3421">
            <w:pPr>
              <w:contextualSpacing/>
              <w:rPr>
                <w:lang w:val="en-NZ"/>
              </w:rPr>
            </w:pPr>
            <w:r>
              <w:rPr>
                <w:lang w:val="en-NZ"/>
              </w:rPr>
              <w:t>$111</w:t>
            </w:r>
          </w:p>
        </w:tc>
        <w:tc>
          <w:tcPr>
            <w:tcW w:w="1510" w:type="dxa"/>
            <w:shd w:val="clear" w:color="auto" w:fill="D9E2F3" w:themeFill="accent5" w:themeFillTint="33"/>
          </w:tcPr>
          <w:p w14:paraId="267BA1C5" w14:textId="47B756D6" w:rsidR="00E933BE" w:rsidRDefault="004D15DD" w:rsidP="00AF3421">
            <w:pPr>
              <w:contextualSpacing/>
              <w:rPr>
                <w:lang w:val="en-NZ"/>
              </w:rPr>
            </w:pPr>
            <w:r>
              <w:rPr>
                <w:lang w:val="en-NZ"/>
              </w:rPr>
              <w:t>-$3</w:t>
            </w:r>
          </w:p>
        </w:tc>
        <w:tc>
          <w:tcPr>
            <w:tcW w:w="1510" w:type="dxa"/>
            <w:shd w:val="clear" w:color="auto" w:fill="D9E2F3" w:themeFill="accent5" w:themeFillTint="33"/>
          </w:tcPr>
          <w:p w14:paraId="6FF9D3DC" w14:textId="0DA5EBBF" w:rsidR="00E933BE" w:rsidRDefault="00B62016" w:rsidP="00AF3421">
            <w:pPr>
              <w:contextualSpacing/>
              <w:rPr>
                <w:lang w:val="en-NZ"/>
              </w:rPr>
            </w:pPr>
            <w:r>
              <w:rPr>
                <w:lang w:val="en-NZ"/>
              </w:rPr>
              <w:t>$115</w:t>
            </w:r>
          </w:p>
        </w:tc>
        <w:tc>
          <w:tcPr>
            <w:tcW w:w="1510" w:type="dxa"/>
            <w:shd w:val="clear" w:color="auto" w:fill="D9E2F3" w:themeFill="accent5" w:themeFillTint="33"/>
          </w:tcPr>
          <w:p w14:paraId="5E41A232" w14:textId="089F6C0F" w:rsidR="00E933BE" w:rsidRDefault="00B62016" w:rsidP="00AF3421">
            <w:pPr>
              <w:contextualSpacing/>
              <w:rPr>
                <w:lang w:val="en-NZ"/>
              </w:rPr>
            </w:pPr>
            <w:r>
              <w:rPr>
                <w:lang w:val="en-NZ"/>
              </w:rPr>
              <w:t>-$1</w:t>
            </w:r>
          </w:p>
        </w:tc>
        <w:tc>
          <w:tcPr>
            <w:tcW w:w="1510" w:type="dxa"/>
            <w:shd w:val="clear" w:color="auto" w:fill="D9E2F3" w:themeFill="accent5" w:themeFillTint="33"/>
          </w:tcPr>
          <w:p w14:paraId="16F83AFF" w14:textId="1749E66C" w:rsidR="00E933BE" w:rsidRDefault="00B62016" w:rsidP="00AF3421">
            <w:pPr>
              <w:contextualSpacing/>
              <w:rPr>
                <w:lang w:val="en-NZ"/>
              </w:rPr>
            </w:pPr>
            <w:r>
              <w:rPr>
                <w:lang w:val="en-NZ"/>
              </w:rPr>
              <w:t>$0</w:t>
            </w:r>
          </w:p>
        </w:tc>
      </w:tr>
      <w:tr w:rsidR="00E933BE" w14:paraId="3A8416FF" w14:textId="77777777" w:rsidTr="00713BAA">
        <w:tc>
          <w:tcPr>
            <w:tcW w:w="1510" w:type="dxa"/>
            <w:shd w:val="clear" w:color="auto" w:fill="D9E2F3" w:themeFill="accent5" w:themeFillTint="33"/>
          </w:tcPr>
          <w:p w14:paraId="205F2F8A" w14:textId="50035555" w:rsidR="00E933BE" w:rsidRDefault="0055677E" w:rsidP="00AF3421">
            <w:pPr>
              <w:contextualSpacing/>
              <w:rPr>
                <w:lang w:val="en-NZ"/>
              </w:rPr>
            </w:pPr>
            <w:r>
              <w:rPr>
                <w:lang w:val="en-NZ"/>
              </w:rPr>
              <w:t>A3</w:t>
            </w:r>
          </w:p>
        </w:tc>
        <w:tc>
          <w:tcPr>
            <w:tcW w:w="1510" w:type="dxa"/>
            <w:shd w:val="clear" w:color="auto" w:fill="D9E2F3" w:themeFill="accent5" w:themeFillTint="33"/>
          </w:tcPr>
          <w:p w14:paraId="7EAF95F3" w14:textId="3E669E09" w:rsidR="00E933BE" w:rsidRDefault="001F24BA" w:rsidP="00AF3421">
            <w:pPr>
              <w:contextualSpacing/>
              <w:rPr>
                <w:lang w:val="en-NZ"/>
              </w:rPr>
            </w:pPr>
            <w:r>
              <w:rPr>
                <w:lang w:val="en-NZ"/>
              </w:rPr>
              <w:t>$68</w:t>
            </w:r>
          </w:p>
        </w:tc>
        <w:tc>
          <w:tcPr>
            <w:tcW w:w="1510" w:type="dxa"/>
            <w:shd w:val="clear" w:color="auto" w:fill="D9E2F3" w:themeFill="accent5" w:themeFillTint="33"/>
          </w:tcPr>
          <w:p w14:paraId="31187CCC" w14:textId="65A825EB" w:rsidR="00E933BE" w:rsidRDefault="004D15DD" w:rsidP="00AF3421">
            <w:pPr>
              <w:contextualSpacing/>
              <w:rPr>
                <w:lang w:val="en-NZ"/>
              </w:rPr>
            </w:pPr>
            <w:r>
              <w:rPr>
                <w:lang w:val="en-NZ"/>
              </w:rPr>
              <w:t>-$3</w:t>
            </w:r>
          </w:p>
        </w:tc>
        <w:tc>
          <w:tcPr>
            <w:tcW w:w="1510" w:type="dxa"/>
            <w:shd w:val="clear" w:color="auto" w:fill="D9E2F3" w:themeFill="accent5" w:themeFillTint="33"/>
          </w:tcPr>
          <w:p w14:paraId="137858C8" w14:textId="5A8ACAF7" w:rsidR="00E933BE" w:rsidRDefault="00B62016" w:rsidP="00AF3421">
            <w:pPr>
              <w:contextualSpacing/>
              <w:rPr>
                <w:lang w:val="en-NZ"/>
              </w:rPr>
            </w:pPr>
            <w:r>
              <w:rPr>
                <w:lang w:val="en-NZ"/>
              </w:rPr>
              <w:t>$90</w:t>
            </w:r>
          </w:p>
        </w:tc>
        <w:tc>
          <w:tcPr>
            <w:tcW w:w="1510" w:type="dxa"/>
            <w:shd w:val="clear" w:color="auto" w:fill="D9E2F3" w:themeFill="accent5" w:themeFillTint="33"/>
          </w:tcPr>
          <w:p w14:paraId="0AF2ACC1" w14:textId="26E9B78F" w:rsidR="00E933BE" w:rsidRDefault="00B62016" w:rsidP="00AF3421">
            <w:pPr>
              <w:contextualSpacing/>
              <w:rPr>
                <w:lang w:val="en-NZ"/>
              </w:rPr>
            </w:pPr>
            <w:r>
              <w:rPr>
                <w:lang w:val="en-NZ"/>
              </w:rPr>
              <w:t>-$20</w:t>
            </w:r>
          </w:p>
        </w:tc>
        <w:tc>
          <w:tcPr>
            <w:tcW w:w="1510" w:type="dxa"/>
            <w:shd w:val="clear" w:color="auto" w:fill="D9E2F3" w:themeFill="accent5" w:themeFillTint="33"/>
          </w:tcPr>
          <w:p w14:paraId="1ADA0F27" w14:textId="5AF39A63" w:rsidR="00E933BE" w:rsidRDefault="00B62016" w:rsidP="00AF3421">
            <w:pPr>
              <w:contextualSpacing/>
              <w:rPr>
                <w:lang w:val="en-NZ"/>
              </w:rPr>
            </w:pPr>
            <w:r>
              <w:rPr>
                <w:lang w:val="en-NZ"/>
              </w:rPr>
              <w:t>$</w:t>
            </w:r>
            <w:r w:rsidR="00FC5A8F">
              <w:rPr>
                <w:lang w:val="en-NZ"/>
              </w:rPr>
              <w:t>1</w:t>
            </w:r>
          </w:p>
        </w:tc>
      </w:tr>
      <w:tr w:rsidR="00E933BE" w14:paraId="77AE53BF" w14:textId="77777777" w:rsidTr="00713BAA">
        <w:tc>
          <w:tcPr>
            <w:tcW w:w="1510" w:type="dxa"/>
            <w:shd w:val="clear" w:color="auto" w:fill="B4C6E7" w:themeFill="accent5" w:themeFillTint="66"/>
          </w:tcPr>
          <w:p w14:paraId="21A33BAC" w14:textId="4901ECAC" w:rsidR="00E933BE" w:rsidRDefault="0055677E" w:rsidP="00AF3421">
            <w:pPr>
              <w:contextualSpacing/>
              <w:rPr>
                <w:lang w:val="en-NZ"/>
              </w:rPr>
            </w:pPr>
            <w:r>
              <w:rPr>
                <w:lang w:val="en-NZ"/>
              </w:rPr>
              <w:t>B</w:t>
            </w:r>
          </w:p>
        </w:tc>
        <w:tc>
          <w:tcPr>
            <w:tcW w:w="1510" w:type="dxa"/>
            <w:shd w:val="clear" w:color="auto" w:fill="B4C6E7" w:themeFill="accent5" w:themeFillTint="66"/>
          </w:tcPr>
          <w:p w14:paraId="0E34FD0B" w14:textId="023918A7" w:rsidR="00E933BE" w:rsidRDefault="001F24BA" w:rsidP="00AF3421">
            <w:pPr>
              <w:contextualSpacing/>
              <w:rPr>
                <w:lang w:val="en-NZ"/>
              </w:rPr>
            </w:pPr>
            <w:r>
              <w:rPr>
                <w:lang w:val="en-NZ"/>
              </w:rPr>
              <w:t>$103</w:t>
            </w:r>
          </w:p>
        </w:tc>
        <w:tc>
          <w:tcPr>
            <w:tcW w:w="1510" w:type="dxa"/>
            <w:shd w:val="clear" w:color="auto" w:fill="B4C6E7" w:themeFill="accent5" w:themeFillTint="66"/>
          </w:tcPr>
          <w:p w14:paraId="21DC5462" w14:textId="767650A2" w:rsidR="00E933BE" w:rsidRDefault="004D15DD" w:rsidP="00AF3421">
            <w:pPr>
              <w:contextualSpacing/>
              <w:rPr>
                <w:lang w:val="en-NZ"/>
              </w:rPr>
            </w:pPr>
            <w:r>
              <w:rPr>
                <w:lang w:val="en-NZ"/>
              </w:rPr>
              <w:t>-$5</w:t>
            </w:r>
          </w:p>
        </w:tc>
        <w:tc>
          <w:tcPr>
            <w:tcW w:w="1510" w:type="dxa"/>
            <w:shd w:val="clear" w:color="auto" w:fill="B4C6E7" w:themeFill="accent5" w:themeFillTint="66"/>
          </w:tcPr>
          <w:p w14:paraId="1C9DEEB9" w14:textId="23B9AA2F" w:rsidR="00E933BE" w:rsidRDefault="00B62016" w:rsidP="00AF3421">
            <w:pPr>
              <w:contextualSpacing/>
              <w:rPr>
                <w:lang w:val="en-NZ"/>
              </w:rPr>
            </w:pPr>
            <w:r>
              <w:rPr>
                <w:lang w:val="en-NZ"/>
              </w:rPr>
              <w:t>$136</w:t>
            </w:r>
          </w:p>
        </w:tc>
        <w:tc>
          <w:tcPr>
            <w:tcW w:w="1510" w:type="dxa"/>
            <w:shd w:val="clear" w:color="auto" w:fill="B4C6E7" w:themeFill="accent5" w:themeFillTint="66"/>
          </w:tcPr>
          <w:p w14:paraId="71DBEEBE" w14:textId="24CD7F33" w:rsidR="00E933BE" w:rsidRDefault="00B62016" w:rsidP="00AF3421">
            <w:pPr>
              <w:contextualSpacing/>
              <w:rPr>
                <w:lang w:val="en-NZ"/>
              </w:rPr>
            </w:pPr>
            <w:r>
              <w:rPr>
                <w:lang w:val="en-NZ"/>
              </w:rPr>
              <w:t>-$29</w:t>
            </w:r>
          </w:p>
        </w:tc>
        <w:tc>
          <w:tcPr>
            <w:tcW w:w="1510" w:type="dxa"/>
            <w:shd w:val="clear" w:color="auto" w:fill="B4C6E7" w:themeFill="accent5" w:themeFillTint="66"/>
          </w:tcPr>
          <w:p w14:paraId="1D62F06D" w14:textId="02939B42" w:rsidR="00E933BE" w:rsidRDefault="00FC5A8F" w:rsidP="00AF3421">
            <w:pPr>
              <w:contextualSpacing/>
              <w:rPr>
                <w:lang w:val="en-NZ"/>
              </w:rPr>
            </w:pPr>
            <w:r>
              <w:rPr>
                <w:lang w:val="en-NZ"/>
              </w:rPr>
              <w:t>$1</w:t>
            </w:r>
          </w:p>
        </w:tc>
      </w:tr>
    </w:tbl>
    <w:p w14:paraId="1E40DFF6" w14:textId="33D011EB" w:rsidR="00492D0B" w:rsidRDefault="0093151F" w:rsidP="00EB0D3A">
      <w:pPr>
        <w:rPr>
          <w:lang w:val="en-NZ"/>
        </w:rPr>
      </w:pPr>
      <w:r>
        <w:rPr>
          <w:lang w:val="en-NZ"/>
        </w:rPr>
        <w:br/>
      </w:r>
      <w:r w:rsidR="00626DC9">
        <w:rPr>
          <w:lang w:val="en-NZ"/>
        </w:rPr>
        <w:t>Option</w:t>
      </w:r>
      <w:r w:rsidR="002A25D9">
        <w:rPr>
          <w:lang w:val="en-NZ"/>
        </w:rPr>
        <w:t xml:space="preserve"> A1 has the greatest fiscal cost as, although </w:t>
      </w:r>
      <w:r w:rsidR="00F215B7">
        <w:rPr>
          <w:lang w:val="en-NZ"/>
        </w:rPr>
        <w:t xml:space="preserve">it </w:t>
      </w:r>
      <w:r w:rsidR="00814B9D">
        <w:rPr>
          <w:lang w:val="en-NZ"/>
        </w:rPr>
        <w:t>consists of the</w:t>
      </w:r>
      <w:r w:rsidR="00F215B7">
        <w:rPr>
          <w:lang w:val="en-NZ"/>
        </w:rPr>
        <w:t xml:space="preserve"> smaller $5 increase, it offsets none of the extra cost with increased targeting (abatement).</w:t>
      </w:r>
      <w:r w:rsidR="00814B9D">
        <w:rPr>
          <w:lang w:val="en-NZ"/>
        </w:rPr>
        <w:t xml:space="preserve"> </w:t>
      </w:r>
      <w:r w:rsidR="00F74825">
        <w:rPr>
          <w:lang w:val="en-NZ"/>
        </w:rPr>
        <w:t xml:space="preserve">This means expenditure will be spread higher up the income scale. </w:t>
      </w:r>
      <w:r w:rsidR="00492D0B">
        <w:rPr>
          <w:lang w:val="en-NZ"/>
        </w:rPr>
        <w:t xml:space="preserve">Option A3 has the smallest cost </w:t>
      </w:r>
      <w:r w:rsidR="00D333DD">
        <w:rPr>
          <w:lang w:val="en-NZ"/>
        </w:rPr>
        <w:t xml:space="preserve">as it offsets the costs of </w:t>
      </w:r>
      <w:r w:rsidR="00D0457B">
        <w:rPr>
          <w:lang w:val="en-NZ"/>
        </w:rPr>
        <w:t>its</w:t>
      </w:r>
      <w:r w:rsidR="00D333DD">
        <w:rPr>
          <w:lang w:val="en-NZ"/>
        </w:rPr>
        <w:t xml:space="preserve"> </w:t>
      </w:r>
      <w:r w:rsidR="00D0457B">
        <w:rPr>
          <w:lang w:val="en-NZ"/>
        </w:rPr>
        <w:t xml:space="preserve">payment </w:t>
      </w:r>
      <w:r w:rsidR="00D333DD">
        <w:rPr>
          <w:lang w:val="en-NZ"/>
        </w:rPr>
        <w:t>rate increase with a 2% abatement rate increase</w:t>
      </w:r>
      <w:r w:rsidR="00A03154">
        <w:rPr>
          <w:lang w:val="en-NZ"/>
        </w:rPr>
        <w:t>, more tightly targeting expenditure</w:t>
      </w:r>
      <w:r w:rsidR="00D333DD">
        <w:rPr>
          <w:lang w:val="en-NZ"/>
        </w:rPr>
        <w:t>.</w:t>
      </w:r>
      <w:r w:rsidR="005C4C57">
        <w:rPr>
          <w:lang w:val="en-NZ"/>
        </w:rPr>
        <w:t xml:space="preserve"> Although option B has the highest payment rate increase of $7.50, the fiscal cost of this is </w:t>
      </w:r>
      <w:r w:rsidR="008E73C7">
        <w:rPr>
          <w:lang w:val="en-NZ"/>
        </w:rPr>
        <w:t>partially</w:t>
      </w:r>
      <w:r w:rsidR="005C4C57">
        <w:rPr>
          <w:lang w:val="en-NZ"/>
        </w:rPr>
        <w:t xml:space="preserve"> offset by the largest abatement rate increase of 3%.</w:t>
      </w:r>
    </w:p>
    <w:p w14:paraId="64E03D5E" w14:textId="0E1745E6" w:rsidR="00D54CD9" w:rsidRPr="00D54CD9" w:rsidRDefault="00757D29" w:rsidP="00D86CBC">
      <w:pPr>
        <w:rPr>
          <w:b/>
          <w:bCs/>
          <w:i/>
          <w:iCs/>
          <w:lang w:val="en-NZ"/>
        </w:rPr>
      </w:pPr>
      <w:r w:rsidRPr="00D333DD">
        <w:rPr>
          <w:b/>
          <w:bCs/>
          <w:i/>
          <w:iCs/>
          <w:lang w:val="en-NZ"/>
        </w:rPr>
        <w:t>Winners and losers</w:t>
      </w:r>
    </w:p>
    <w:p w14:paraId="095A30A7" w14:textId="165AC59A" w:rsidR="00D86CBC" w:rsidRDefault="00D86CBC" w:rsidP="00D86CBC">
      <w:pPr>
        <w:rPr>
          <w:lang w:val="en-NZ"/>
        </w:rPr>
      </w:pPr>
      <w:r>
        <w:rPr>
          <w:lang w:val="en-NZ"/>
        </w:rPr>
        <w:t xml:space="preserve">The following table summarises the </w:t>
      </w:r>
      <w:r w:rsidR="00B358FA">
        <w:rPr>
          <w:lang w:val="en-NZ"/>
        </w:rPr>
        <w:t xml:space="preserve">average </w:t>
      </w:r>
      <w:r w:rsidR="005019E5">
        <w:rPr>
          <w:lang w:val="en-NZ"/>
        </w:rPr>
        <w:t>gains and losses</w:t>
      </w:r>
      <w:r w:rsidR="00B358FA">
        <w:rPr>
          <w:lang w:val="en-NZ"/>
        </w:rPr>
        <w:t xml:space="preserve"> and the total</w:t>
      </w:r>
      <w:r w:rsidR="005019E5">
        <w:rPr>
          <w:lang w:val="en-NZ"/>
        </w:rPr>
        <w:t xml:space="preserve"> winners and losers </w:t>
      </w:r>
      <w:r w:rsidR="00B358FA">
        <w:rPr>
          <w:lang w:val="en-NZ"/>
        </w:rPr>
        <w:t>seen under</w:t>
      </w:r>
      <w:r w:rsidR="008E24E4">
        <w:rPr>
          <w:lang w:val="en-NZ"/>
        </w:rPr>
        <w:t xml:space="preserve"> each option</w:t>
      </w:r>
      <w:r w:rsidR="00B740BF">
        <w:rPr>
          <w:lang w:val="en-NZ"/>
        </w:rPr>
        <w:t>. Results are presented</w:t>
      </w:r>
      <w:r w:rsidR="008E24E4">
        <w:rPr>
          <w:lang w:val="en-NZ"/>
        </w:rPr>
        <w:t xml:space="preserve"> </w:t>
      </w:r>
      <w:r w:rsidR="005019E5">
        <w:rPr>
          <w:lang w:val="en-NZ"/>
        </w:rPr>
        <w:t xml:space="preserve">both including and excluding </w:t>
      </w:r>
      <w:r w:rsidR="008E24E4">
        <w:rPr>
          <w:lang w:val="en-NZ"/>
        </w:rPr>
        <w:t xml:space="preserve">the </w:t>
      </w:r>
      <w:r>
        <w:rPr>
          <w:lang w:val="en-NZ"/>
        </w:rPr>
        <w:t xml:space="preserve">impact </w:t>
      </w:r>
      <w:r w:rsidR="00215BBD">
        <w:rPr>
          <w:lang w:val="en-NZ"/>
        </w:rPr>
        <w:t xml:space="preserve">of </w:t>
      </w:r>
      <w:r w:rsidR="008E24E4">
        <w:rPr>
          <w:lang w:val="en-NZ"/>
        </w:rPr>
        <w:t>counterfactual indexation</w:t>
      </w:r>
      <w:r w:rsidR="00F44DE2">
        <w:rPr>
          <w:lang w:val="en-NZ"/>
        </w:rPr>
        <w:t>.</w:t>
      </w:r>
    </w:p>
    <w:tbl>
      <w:tblPr>
        <w:tblStyle w:val="TableGrid"/>
        <w:tblW w:w="11199" w:type="dxa"/>
        <w:tblInd w:w="-1033" w:type="dxa"/>
        <w:tblLayout w:type="fixed"/>
        <w:tblLook w:val="04A0" w:firstRow="1" w:lastRow="0" w:firstColumn="1" w:lastColumn="0" w:noHBand="0" w:noVBand="1"/>
      </w:tblPr>
      <w:tblGrid>
        <w:gridCol w:w="907"/>
        <w:gridCol w:w="908"/>
        <w:gridCol w:w="1211"/>
        <w:gridCol w:w="1210"/>
        <w:gridCol w:w="908"/>
        <w:gridCol w:w="907"/>
        <w:gridCol w:w="756"/>
        <w:gridCol w:w="911"/>
        <w:gridCol w:w="907"/>
        <w:gridCol w:w="908"/>
        <w:gridCol w:w="755"/>
        <w:gridCol w:w="911"/>
      </w:tblGrid>
      <w:tr w:rsidR="009B3457" w14:paraId="2D22CB68" w14:textId="58859F86" w:rsidTr="00D54CD9">
        <w:trPr>
          <w:trHeight w:val="486"/>
        </w:trPr>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93562" w14:textId="77777777" w:rsidR="009B3457" w:rsidRPr="005B43AD" w:rsidRDefault="009B3457" w:rsidP="00EC28DB">
            <w:pPr>
              <w:spacing w:after="0" w:line="240" w:lineRule="auto"/>
              <w:contextualSpacing/>
              <w:jc w:val="center"/>
              <w:rPr>
                <w:rFonts w:cs="Arial"/>
                <w:b/>
                <w:bCs/>
                <w:sz w:val="16"/>
                <w:szCs w:val="16"/>
                <w:lang w:val="en-NZ" w:eastAsia="en-NZ"/>
              </w:rPr>
            </w:pPr>
            <w:r w:rsidRPr="005B43AD">
              <w:rPr>
                <w:rFonts w:cs="Arial"/>
                <w:b/>
                <w:bCs/>
                <w:sz w:val="16"/>
                <w:szCs w:val="16"/>
              </w:rPr>
              <w:t>Option</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1CBB7" w14:textId="77777777" w:rsidR="009B3457" w:rsidRPr="005B43AD" w:rsidRDefault="009B3457" w:rsidP="00EC28DB">
            <w:pPr>
              <w:spacing w:after="0" w:line="240" w:lineRule="auto"/>
              <w:contextualSpacing/>
              <w:jc w:val="center"/>
              <w:rPr>
                <w:rFonts w:cs="Arial"/>
                <w:b/>
                <w:bCs/>
                <w:sz w:val="16"/>
                <w:szCs w:val="16"/>
              </w:rPr>
            </w:pPr>
            <w:r w:rsidRPr="005B43AD">
              <w:rPr>
                <w:rFonts w:cs="Arial"/>
                <w:b/>
                <w:bCs/>
                <w:sz w:val="16"/>
                <w:szCs w:val="16"/>
              </w:rPr>
              <w:t>FTC increase per child</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10086" w14:textId="77777777" w:rsidR="009B3457" w:rsidRPr="005B43AD" w:rsidRDefault="009B3457" w:rsidP="00EC28DB">
            <w:pPr>
              <w:spacing w:after="0" w:line="240" w:lineRule="auto"/>
              <w:contextualSpacing/>
              <w:jc w:val="center"/>
              <w:rPr>
                <w:rFonts w:cs="Arial"/>
                <w:b/>
                <w:bCs/>
                <w:sz w:val="16"/>
                <w:szCs w:val="16"/>
              </w:rPr>
            </w:pPr>
            <w:r w:rsidRPr="005B43AD">
              <w:rPr>
                <w:rFonts w:cs="Arial"/>
                <w:b/>
                <w:bCs/>
                <w:sz w:val="16"/>
                <w:szCs w:val="16"/>
              </w:rPr>
              <w:t>Abatement rate</w:t>
            </w:r>
          </w:p>
        </w:tc>
        <w:tc>
          <w:tcPr>
            <w:tcW w:w="3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F4BD" w14:textId="5A2106FA" w:rsidR="009B3457" w:rsidRPr="005B43AD" w:rsidRDefault="00474552" w:rsidP="00EC28DB">
            <w:pPr>
              <w:spacing w:after="0" w:line="240" w:lineRule="auto"/>
              <w:contextualSpacing/>
              <w:jc w:val="center"/>
              <w:rPr>
                <w:rFonts w:cs="Arial"/>
                <w:b/>
                <w:bCs/>
                <w:sz w:val="16"/>
                <w:szCs w:val="16"/>
              </w:rPr>
            </w:pPr>
            <w:r w:rsidRPr="005B43AD">
              <w:rPr>
                <w:rFonts w:cs="Arial"/>
                <w:b/>
                <w:bCs/>
                <w:sz w:val="16"/>
                <w:szCs w:val="16"/>
              </w:rPr>
              <w:t>Gains and losses for households (excluding CPI indexation)</w:t>
            </w:r>
          </w:p>
        </w:tc>
        <w:tc>
          <w:tcPr>
            <w:tcW w:w="3481" w:type="dxa"/>
            <w:gridSpan w:val="4"/>
            <w:tcBorders>
              <w:top w:val="single" w:sz="4" w:space="0" w:color="000000"/>
              <w:left w:val="single" w:sz="4" w:space="0" w:color="000000"/>
              <w:bottom w:val="single" w:sz="4" w:space="0" w:color="000000"/>
              <w:right w:val="single" w:sz="4" w:space="0" w:color="000000"/>
            </w:tcBorders>
            <w:vAlign w:val="center"/>
          </w:tcPr>
          <w:p w14:paraId="1945AEF9" w14:textId="5BE08671" w:rsidR="009B3457" w:rsidRPr="005B43AD" w:rsidRDefault="009C5C23" w:rsidP="00EC28DB">
            <w:pPr>
              <w:spacing w:after="0" w:line="240" w:lineRule="auto"/>
              <w:contextualSpacing/>
              <w:jc w:val="center"/>
              <w:rPr>
                <w:rFonts w:cs="Arial"/>
                <w:b/>
                <w:bCs/>
                <w:sz w:val="16"/>
                <w:szCs w:val="16"/>
              </w:rPr>
            </w:pPr>
            <w:r w:rsidRPr="005B43AD">
              <w:rPr>
                <w:rFonts w:cs="Arial"/>
                <w:b/>
                <w:bCs/>
                <w:sz w:val="16"/>
                <w:szCs w:val="16"/>
              </w:rPr>
              <w:t>Gains and losses for households (including CPI indexation)</w:t>
            </w:r>
          </w:p>
        </w:tc>
      </w:tr>
      <w:tr w:rsidR="005B43AD" w14:paraId="3307D2D9" w14:textId="63B5F44D" w:rsidTr="00D54CD9">
        <w:trPr>
          <w:trHeight w:val="486"/>
        </w:trPr>
        <w:tc>
          <w:tcPr>
            <w:tcW w:w="9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218F8" w14:textId="77777777" w:rsidR="00474552" w:rsidRPr="005B43AD" w:rsidRDefault="00474552" w:rsidP="00EC28DB">
            <w:pPr>
              <w:spacing w:after="0" w:line="240" w:lineRule="auto"/>
              <w:contextualSpacing/>
              <w:jc w:val="center"/>
              <w:rPr>
                <w:rFonts w:cs="Arial"/>
                <w:b/>
                <w:bCs/>
                <w:sz w:val="16"/>
                <w:szCs w:val="16"/>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4A0CF" w14:textId="77777777" w:rsidR="00474552" w:rsidRPr="005B43AD" w:rsidRDefault="00474552" w:rsidP="00EC28DB">
            <w:pPr>
              <w:spacing w:after="0" w:line="240" w:lineRule="auto"/>
              <w:contextualSpacing/>
              <w:jc w:val="center"/>
              <w:rPr>
                <w:rFonts w:cs="Arial"/>
                <w:sz w:val="16"/>
                <w:szCs w:val="16"/>
              </w:rPr>
            </w:pPr>
            <w:r w:rsidRPr="005B43AD">
              <w:rPr>
                <w:rFonts w:cs="Arial"/>
                <w:sz w:val="16"/>
                <w:szCs w:val="16"/>
              </w:rPr>
              <w:t>Rate change</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A004F" w14:textId="77777777" w:rsidR="00474552" w:rsidRPr="005B43AD" w:rsidRDefault="00474552" w:rsidP="00EC28DB">
            <w:pPr>
              <w:spacing w:after="0" w:line="240" w:lineRule="auto"/>
              <w:contextualSpacing/>
              <w:jc w:val="center"/>
              <w:rPr>
                <w:rFonts w:cs="Arial"/>
                <w:sz w:val="16"/>
                <w:szCs w:val="16"/>
              </w:rPr>
            </w:pPr>
            <w:r w:rsidRPr="005B43AD">
              <w:rPr>
                <w:rFonts w:cs="Arial"/>
                <w:sz w:val="16"/>
                <w:szCs w:val="16"/>
              </w:rPr>
              <w:t>Total with CPI (eldest &amp; subs. child)</w:t>
            </w:r>
          </w:p>
        </w:tc>
        <w:tc>
          <w:tcPr>
            <w:tcW w:w="12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AD21C" w14:textId="77777777" w:rsidR="00474552" w:rsidRPr="005B43AD" w:rsidRDefault="00474552" w:rsidP="00EC28DB">
            <w:pPr>
              <w:spacing w:after="0" w:line="240" w:lineRule="auto"/>
              <w:contextualSpacing/>
              <w:jc w:val="center"/>
              <w:rPr>
                <w:rFonts w:cs="Arial"/>
                <w:b/>
                <w:bCs/>
                <w:sz w:val="16"/>
                <w:szCs w:val="16"/>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35DE" w14:textId="77777777" w:rsidR="00474552" w:rsidRPr="005B43AD" w:rsidRDefault="00474552" w:rsidP="00EC28DB">
            <w:pPr>
              <w:spacing w:after="0" w:line="240" w:lineRule="auto"/>
              <w:contextualSpacing/>
              <w:jc w:val="center"/>
              <w:rPr>
                <w:rFonts w:cs="Arial"/>
                <w:sz w:val="16"/>
                <w:szCs w:val="16"/>
              </w:rPr>
            </w:pPr>
            <w:r w:rsidRPr="005B43AD">
              <w:rPr>
                <w:rFonts w:cs="Arial"/>
                <w:sz w:val="16"/>
                <w:szCs w:val="16"/>
              </w:rPr>
              <w:t>Winners</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E5A3D" w14:textId="77777777" w:rsidR="00474552" w:rsidRPr="005B43AD" w:rsidRDefault="00474552" w:rsidP="00EC28DB">
            <w:pPr>
              <w:spacing w:after="0" w:line="240" w:lineRule="auto"/>
              <w:contextualSpacing/>
              <w:jc w:val="center"/>
              <w:rPr>
                <w:rFonts w:cs="Arial"/>
                <w:sz w:val="16"/>
                <w:szCs w:val="16"/>
              </w:rPr>
            </w:pPr>
            <w:r w:rsidRPr="005B43AD">
              <w:rPr>
                <w:rFonts w:cs="Arial"/>
                <w:sz w:val="16"/>
                <w:szCs w:val="16"/>
              </w:rPr>
              <w:t>Average gain</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D923" w14:textId="77777777" w:rsidR="00474552" w:rsidRPr="005B43AD" w:rsidRDefault="00474552" w:rsidP="00EC28DB">
            <w:pPr>
              <w:spacing w:after="0" w:line="240" w:lineRule="auto"/>
              <w:contextualSpacing/>
              <w:jc w:val="center"/>
              <w:rPr>
                <w:rFonts w:cs="Arial"/>
                <w:sz w:val="16"/>
                <w:szCs w:val="16"/>
              </w:rPr>
            </w:pPr>
            <w:r w:rsidRPr="005B43AD">
              <w:rPr>
                <w:rFonts w:cs="Arial"/>
                <w:sz w:val="16"/>
                <w:szCs w:val="16"/>
              </w:rPr>
              <w:t>Losers</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EDAAC" w14:textId="77777777" w:rsidR="00474552" w:rsidRPr="005B43AD" w:rsidRDefault="00474552" w:rsidP="00EC28DB">
            <w:pPr>
              <w:spacing w:after="0" w:line="240" w:lineRule="auto"/>
              <w:contextualSpacing/>
              <w:jc w:val="center"/>
              <w:rPr>
                <w:rFonts w:cs="Arial"/>
                <w:sz w:val="16"/>
                <w:szCs w:val="16"/>
              </w:rPr>
            </w:pPr>
            <w:r w:rsidRPr="005B43AD">
              <w:rPr>
                <w:rFonts w:cs="Arial"/>
                <w:sz w:val="16"/>
                <w:szCs w:val="16"/>
              </w:rPr>
              <w:t>Average losses</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0F40" w14:textId="6CAD081F" w:rsidR="00474552" w:rsidRPr="005B43AD" w:rsidRDefault="00474552" w:rsidP="00EC28DB">
            <w:pPr>
              <w:spacing w:after="0" w:line="240" w:lineRule="auto"/>
              <w:contextualSpacing/>
              <w:jc w:val="center"/>
              <w:rPr>
                <w:rFonts w:cs="Arial"/>
                <w:sz w:val="16"/>
                <w:szCs w:val="16"/>
              </w:rPr>
            </w:pPr>
            <w:r w:rsidRPr="005B43AD">
              <w:rPr>
                <w:rFonts w:cs="Arial"/>
                <w:sz w:val="16"/>
                <w:szCs w:val="16"/>
              </w:rPr>
              <w:t>Winners</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AFAE9" w14:textId="451D84B3" w:rsidR="00474552" w:rsidRPr="005B43AD" w:rsidRDefault="00474552" w:rsidP="00EC28DB">
            <w:pPr>
              <w:spacing w:after="0" w:line="240" w:lineRule="auto"/>
              <w:contextualSpacing/>
              <w:jc w:val="center"/>
              <w:rPr>
                <w:rFonts w:cs="Arial"/>
                <w:sz w:val="16"/>
                <w:szCs w:val="16"/>
              </w:rPr>
            </w:pPr>
            <w:r w:rsidRPr="005B43AD">
              <w:rPr>
                <w:rFonts w:cs="Arial"/>
                <w:sz w:val="16"/>
                <w:szCs w:val="16"/>
              </w:rPr>
              <w:t>Average gain</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C55C" w14:textId="18788F30" w:rsidR="00474552" w:rsidRPr="005B43AD" w:rsidRDefault="00474552" w:rsidP="00EC28DB">
            <w:pPr>
              <w:spacing w:after="0" w:line="240" w:lineRule="auto"/>
              <w:contextualSpacing/>
              <w:jc w:val="center"/>
              <w:rPr>
                <w:rFonts w:cs="Arial"/>
                <w:sz w:val="16"/>
                <w:szCs w:val="16"/>
              </w:rPr>
            </w:pPr>
            <w:r w:rsidRPr="005B43AD">
              <w:rPr>
                <w:rFonts w:cs="Arial"/>
                <w:sz w:val="16"/>
                <w:szCs w:val="16"/>
              </w:rPr>
              <w:t>Losers</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A24BC" w14:textId="6419D4D7" w:rsidR="00474552" w:rsidRPr="005B43AD" w:rsidRDefault="00474552" w:rsidP="00EC28DB">
            <w:pPr>
              <w:spacing w:after="0" w:line="240" w:lineRule="auto"/>
              <w:contextualSpacing/>
              <w:jc w:val="center"/>
              <w:rPr>
                <w:rFonts w:cs="Arial"/>
                <w:sz w:val="16"/>
                <w:szCs w:val="16"/>
              </w:rPr>
            </w:pPr>
            <w:r w:rsidRPr="005B43AD">
              <w:rPr>
                <w:rFonts w:cs="Arial"/>
                <w:sz w:val="16"/>
                <w:szCs w:val="16"/>
              </w:rPr>
              <w:t>Average losses</w:t>
            </w:r>
          </w:p>
        </w:tc>
      </w:tr>
      <w:tr w:rsidR="00BA51E4" w14:paraId="003286BE" w14:textId="05DAD0EF" w:rsidTr="00D54CD9">
        <w:trPr>
          <w:trHeight w:val="455"/>
        </w:trPr>
        <w:tc>
          <w:tcPr>
            <w:tcW w:w="9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4E30AAEB" w14:textId="77777777" w:rsidR="00B0316E" w:rsidRPr="005B43AD" w:rsidRDefault="00B0316E" w:rsidP="00EC28DB">
            <w:pPr>
              <w:spacing w:after="0" w:line="240" w:lineRule="auto"/>
              <w:contextualSpacing/>
              <w:jc w:val="center"/>
              <w:rPr>
                <w:rFonts w:cs="Arial"/>
                <w:b/>
                <w:bCs/>
                <w:sz w:val="16"/>
                <w:szCs w:val="16"/>
              </w:rPr>
            </w:pPr>
            <w:r w:rsidRPr="005B43AD">
              <w:rPr>
                <w:rFonts w:cs="Arial"/>
                <w:b/>
                <w:bCs/>
                <w:sz w:val="16"/>
                <w:szCs w:val="16"/>
              </w:rPr>
              <w:t>A1</w:t>
            </w:r>
          </w:p>
        </w:tc>
        <w:tc>
          <w:tcPr>
            <w:tcW w:w="90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3C19DC47" w14:textId="77777777" w:rsidR="00B0316E" w:rsidRPr="005B43AD" w:rsidRDefault="00B0316E" w:rsidP="00EC28DB">
            <w:pPr>
              <w:spacing w:after="0" w:line="240" w:lineRule="auto"/>
              <w:contextualSpacing/>
              <w:jc w:val="center"/>
              <w:rPr>
                <w:rFonts w:cs="Arial"/>
                <w:sz w:val="16"/>
                <w:szCs w:val="16"/>
              </w:rPr>
            </w:pPr>
            <w:r w:rsidRPr="005B43AD">
              <w:rPr>
                <w:rFonts w:cs="Arial"/>
                <w:sz w:val="16"/>
                <w:szCs w:val="16"/>
              </w:rPr>
              <w:t>$5</w:t>
            </w:r>
          </w:p>
        </w:tc>
        <w:tc>
          <w:tcPr>
            <w:tcW w:w="12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472460A4" w14:textId="77777777" w:rsidR="00B0316E" w:rsidRPr="005B43AD" w:rsidRDefault="00B0316E" w:rsidP="00EC28DB">
            <w:pPr>
              <w:spacing w:after="0" w:line="240" w:lineRule="auto"/>
              <w:contextualSpacing/>
              <w:jc w:val="center"/>
              <w:rPr>
                <w:rFonts w:cs="Arial"/>
                <w:sz w:val="16"/>
                <w:szCs w:val="16"/>
              </w:rPr>
            </w:pPr>
            <w:r w:rsidRPr="005B43AD">
              <w:rPr>
                <w:rFonts w:cs="Arial"/>
                <w:color w:val="000000"/>
                <w:sz w:val="16"/>
                <w:szCs w:val="16"/>
              </w:rPr>
              <w:t>$11.71 and $10.42</w:t>
            </w:r>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599C4D0B" w14:textId="77777777" w:rsidR="00B0316E" w:rsidRPr="005B43AD" w:rsidRDefault="00B0316E" w:rsidP="00EC28DB">
            <w:pPr>
              <w:spacing w:after="0" w:line="240" w:lineRule="auto"/>
              <w:contextualSpacing/>
              <w:jc w:val="center"/>
              <w:rPr>
                <w:rFonts w:cs="Arial"/>
                <w:sz w:val="16"/>
                <w:szCs w:val="16"/>
              </w:rPr>
            </w:pPr>
            <w:r w:rsidRPr="005B43AD">
              <w:rPr>
                <w:rFonts w:cs="Arial"/>
                <w:sz w:val="16"/>
                <w:szCs w:val="16"/>
              </w:rPr>
              <w:t>25%</w:t>
            </w:r>
          </w:p>
          <w:p w14:paraId="5C447430" w14:textId="77777777" w:rsidR="00B0316E" w:rsidRPr="005B43AD" w:rsidRDefault="00B0316E" w:rsidP="00EC28DB">
            <w:pPr>
              <w:spacing w:after="0" w:line="240" w:lineRule="auto"/>
              <w:contextualSpacing/>
              <w:jc w:val="center"/>
              <w:rPr>
                <w:rFonts w:cs="Arial"/>
                <w:sz w:val="16"/>
                <w:szCs w:val="16"/>
              </w:rPr>
            </w:pPr>
            <w:r w:rsidRPr="005B43AD">
              <w:rPr>
                <w:rFonts w:cs="Arial"/>
                <w:sz w:val="16"/>
                <w:szCs w:val="16"/>
              </w:rPr>
              <w:t>(No change)</w:t>
            </w:r>
          </w:p>
        </w:tc>
        <w:tc>
          <w:tcPr>
            <w:tcW w:w="908" w:type="dxa"/>
            <w:shd w:val="clear" w:color="auto" w:fill="D9E2F3" w:themeFill="accent5" w:themeFillTint="33"/>
            <w:vAlign w:val="center"/>
          </w:tcPr>
          <w:p w14:paraId="492A436F" w14:textId="685BDBDD" w:rsidR="00B0316E" w:rsidRPr="005B43AD" w:rsidRDefault="00B0316E" w:rsidP="00EC28DB">
            <w:pPr>
              <w:spacing w:after="0" w:line="240" w:lineRule="auto"/>
              <w:contextualSpacing/>
              <w:jc w:val="center"/>
              <w:rPr>
                <w:rFonts w:cs="Arial"/>
                <w:sz w:val="16"/>
                <w:szCs w:val="16"/>
              </w:rPr>
            </w:pPr>
            <w:r w:rsidRPr="005B43AD">
              <w:rPr>
                <w:rFonts w:cs="Arial"/>
                <w:sz w:val="16"/>
                <w:szCs w:val="16"/>
              </w:rPr>
              <w:t>316,000</w:t>
            </w:r>
          </w:p>
        </w:tc>
        <w:tc>
          <w:tcPr>
            <w:tcW w:w="907" w:type="dxa"/>
            <w:shd w:val="clear" w:color="auto" w:fill="D9E2F3" w:themeFill="accent5" w:themeFillTint="33"/>
            <w:vAlign w:val="center"/>
          </w:tcPr>
          <w:p w14:paraId="7569C5AC" w14:textId="270EAD31" w:rsidR="00B0316E" w:rsidRPr="005B43AD" w:rsidRDefault="00B0316E" w:rsidP="00EC28DB">
            <w:pPr>
              <w:spacing w:after="0" w:line="240" w:lineRule="auto"/>
              <w:contextualSpacing/>
              <w:jc w:val="center"/>
              <w:rPr>
                <w:rFonts w:cs="Arial"/>
                <w:sz w:val="16"/>
                <w:szCs w:val="16"/>
              </w:rPr>
            </w:pPr>
            <w:r w:rsidRPr="005B43AD">
              <w:rPr>
                <w:rFonts w:cs="Arial"/>
                <w:sz w:val="16"/>
                <w:szCs w:val="16"/>
              </w:rPr>
              <w:t>$10</w:t>
            </w:r>
          </w:p>
        </w:tc>
        <w:tc>
          <w:tcPr>
            <w:tcW w:w="756" w:type="dxa"/>
            <w:shd w:val="clear" w:color="auto" w:fill="D9E2F3" w:themeFill="accent5" w:themeFillTint="33"/>
            <w:vAlign w:val="center"/>
          </w:tcPr>
          <w:p w14:paraId="75D15B35" w14:textId="7916E699" w:rsidR="00B0316E" w:rsidRPr="005B43AD" w:rsidRDefault="00B0316E" w:rsidP="00EC28DB">
            <w:pPr>
              <w:spacing w:after="0" w:line="240" w:lineRule="auto"/>
              <w:contextualSpacing/>
              <w:jc w:val="center"/>
              <w:rPr>
                <w:rFonts w:cs="Arial"/>
                <w:sz w:val="16"/>
                <w:szCs w:val="16"/>
              </w:rPr>
            </w:pPr>
            <w:r w:rsidRPr="005B43AD">
              <w:rPr>
                <w:rFonts w:cs="Arial"/>
                <w:sz w:val="16"/>
                <w:szCs w:val="16"/>
              </w:rPr>
              <w:t>S</w:t>
            </w:r>
          </w:p>
        </w:tc>
        <w:tc>
          <w:tcPr>
            <w:tcW w:w="911" w:type="dxa"/>
            <w:shd w:val="clear" w:color="auto" w:fill="D9E2F3" w:themeFill="accent5" w:themeFillTint="33"/>
            <w:vAlign w:val="center"/>
          </w:tcPr>
          <w:p w14:paraId="7BA4E6AD" w14:textId="7E996574" w:rsidR="00B0316E" w:rsidRPr="005B43AD" w:rsidRDefault="00B0316E" w:rsidP="00EC28DB">
            <w:pPr>
              <w:spacing w:after="0" w:line="240" w:lineRule="auto"/>
              <w:contextualSpacing/>
              <w:jc w:val="center"/>
              <w:rPr>
                <w:rFonts w:cs="Arial"/>
                <w:sz w:val="16"/>
                <w:szCs w:val="16"/>
              </w:rPr>
            </w:pPr>
            <w:r w:rsidRPr="005B43AD">
              <w:rPr>
                <w:rFonts w:cs="Arial"/>
                <w:sz w:val="16"/>
                <w:szCs w:val="16"/>
              </w:rPr>
              <w:t>S</w:t>
            </w:r>
          </w:p>
        </w:tc>
        <w:tc>
          <w:tcPr>
            <w:tcW w:w="9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1464919" w14:textId="3FC5DC1C" w:rsidR="00B0316E" w:rsidRPr="005B43AD" w:rsidRDefault="00B0316E" w:rsidP="00EC28DB">
            <w:pPr>
              <w:spacing w:after="0" w:line="240" w:lineRule="auto"/>
              <w:contextualSpacing/>
              <w:jc w:val="center"/>
              <w:rPr>
                <w:rFonts w:cs="Arial"/>
                <w:sz w:val="16"/>
                <w:szCs w:val="16"/>
              </w:rPr>
            </w:pPr>
            <w:r w:rsidRPr="005B43AD">
              <w:rPr>
                <w:rFonts w:cs="Arial"/>
                <w:sz w:val="16"/>
                <w:szCs w:val="16"/>
              </w:rPr>
              <w:t>345,000</w:t>
            </w:r>
          </w:p>
        </w:tc>
        <w:tc>
          <w:tcPr>
            <w:tcW w:w="90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4AC432F8" w14:textId="249A013B" w:rsidR="00B0316E" w:rsidRPr="005B43AD" w:rsidRDefault="00B0316E" w:rsidP="00EC28DB">
            <w:pPr>
              <w:spacing w:after="0" w:line="240" w:lineRule="auto"/>
              <w:contextualSpacing/>
              <w:jc w:val="center"/>
              <w:rPr>
                <w:rFonts w:cs="Arial"/>
                <w:sz w:val="16"/>
                <w:szCs w:val="16"/>
              </w:rPr>
            </w:pPr>
            <w:r w:rsidRPr="005B43AD">
              <w:rPr>
                <w:rFonts w:cs="Arial"/>
                <w:sz w:val="16"/>
                <w:szCs w:val="16"/>
              </w:rPr>
              <w:t>$20</w:t>
            </w:r>
          </w:p>
        </w:tc>
        <w:tc>
          <w:tcPr>
            <w:tcW w:w="75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0D68E95" w14:textId="432DECDB" w:rsidR="00B0316E" w:rsidRPr="005B43AD" w:rsidRDefault="00B0316E" w:rsidP="00EC28DB">
            <w:pPr>
              <w:spacing w:after="0" w:line="240" w:lineRule="auto"/>
              <w:contextualSpacing/>
              <w:jc w:val="center"/>
              <w:rPr>
                <w:rFonts w:cs="Arial"/>
                <w:sz w:val="16"/>
                <w:szCs w:val="16"/>
              </w:rPr>
            </w:pPr>
            <w:r w:rsidRPr="005B43AD">
              <w:rPr>
                <w:rFonts w:cs="Arial"/>
                <w:sz w:val="16"/>
                <w:szCs w:val="16"/>
              </w:rPr>
              <w:t>s</w:t>
            </w:r>
          </w:p>
        </w:tc>
        <w:tc>
          <w:tcPr>
            <w:tcW w:w="9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68E1BF2" w14:textId="53E45EC8" w:rsidR="00B0316E" w:rsidRPr="005B43AD" w:rsidRDefault="00B0316E" w:rsidP="00EC28DB">
            <w:pPr>
              <w:spacing w:after="0" w:line="240" w:lineRule="auto"/>
              <w:contextualSpacing/>
              <w:jc w:val="center"/>
              <w:rPr>
                <w:rFonts w:cs="Arial"/>
                <w:sz w:val="16"/>
                <w:szCs w:val="16"/>
              </w:rPr>
            </w:pPr>
            <w:r w:rsidRPr="005B43AD">
              <w:rPr>
                <w:rFonts w:cs="Arial"/>
                <w:sz w:val="16"/>
                <w:szCs w:val="16"/>
              </w:rPr>
              <w:t>s</w:t>
            </w:r>
          </w:p>
        </w:tc>
      </w:tr>
      <w:tr w:rsidR="00BA51E4" w14:paraId="7A00BFA3" w14:textId="0EAEBDCA" w:rsidTr="00D54CD9">
        <w:trPr>
          <w:trHeight w:val="628"/>
        </w:trPr>
        <w:tc>
          <w:tcPr>
            <w:tcW w:w="9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2D67DF4C" w14:textId="77777777" w:rsidR="00B0316E" w:rsidRPr="005B43AD" w:rsidRDefault="00B0316E" w:rsidP="00EC28DB">
            <w:pPr>
              <w:spacing w:line="240" w:lineRule="auto"/>
              <w:contextualSpacing/>
              <w:jc w:val="center"/>
              <w:rPr>
                <w:rFonts w:cs="Arial"/>
                <w:b/>
                <w:bCs/>
                <w:sz w:val="16"/>
                <w:szCs w:val="16"/>
              </w:rPr>
            </w:pPr>
            <w:r w:rsidRPr="005B43AD">
              <w:rPr>
                <w:rFonts w:cs="Arial"/>
                <w:b/>
                <w:bCs/>
                <w:sz w:val="16"/>
                <w:szCs w:val="16"/>
              </w:rPr>
              <w:t>A2</w:t>
            </w:r>
          </w:p>
        </w:tc>
        <w:tc>
          <w:tcPr>
            <w:tcW w:w="90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04EE29E6" w14:textId="77777777" w:rsidR="00B0316E" w:rsidRPr="005B43AD" w:rsidRDefault="00B0316E" w:rsidP="00EC28DB">
            <w:pPr>
              <w:spacing w:line="240" w:lineRule="auto"/>
              <w:contextualSpacing/>
              <w:jc w:val="center"/>
              <w:rPr>
                <w:rFonts w:cs="Arial"/>
                <w:sz w:val="16"/>
                <w:szCs w:val="16"/>
              </w:rPr>
            </w:pPr>
            <w:r w:rsidRPr="005B43AD">
              <w:rPr>
                <w:rFonts w:cs="Arial"/>
                <w:sz w:val="16"/>
                <w:szCs w:val="16"/>
              </w:rPr>
              <w:t>$5</w:t>
            </w:r>
          </w:p>
        </w:tc>
        <w:tc>
          <w:tcPr>
            <w:tcW w:w="12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3FCA22C3" w14:textId="77777777" w:rsidR="00B0316E" w:rsidRPr="005B43AD" w:rsidRDefault="00B0316E" w:rsidP="00EC28DB">
            <w:pPr>
              <w:spacing w:line="240" w:lineRule="auto"/>
              <w:contextualSpacing/>
              <w:jc w:val="center"/>
              <w:rPr>
                <w:rFonts w:cs="Arial"/>
                <w:sz w:val="16"/>
                <w:szCs w:val="16"/>
              </w:rPr>
            </w:pPr>
            <w:r w:rsidRPr="005B43AD">
              <w:rPr>
                <w:rFonts w:cs="Arial"/>
                <w:color w:val="000000"/>
                <w:sz w:val="16"/>
                <w:szCs w:val="16"/>
              </w:rPr>
              <w:t>$11.71 and $10.42</w:t>
            </w:r>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48A4743F" w14:textId="77777777" w:rsidR="00B0316E" w:rsidRPr="005B43AD" w:rsidRDefault="00B0316E" w:rsidP="00EC28DB">
            <w:pPr>
              <w:spacing w:line="240" w:lineRule="auto"/>
              <w:contextualSpacing/>
              <w:jc w:val="center"/>
              <w:rPr>
                <w:rFonts w:cs="Arial"/>
                <w:sz w:val="16"/>
                <w:szCs w:val="16"/>
              </w:rPr>
            </w:pPr>
            <w:r w:rsidRPr="005B43AD">
              <w:rPr>
                <w:rFonts w:cs="Arial"/>
                <w:sz w:val="16"/>
                <w:szCs w:val="16"/>
              </w:rPr>
              <w:t>26%</w:t>
            </w:r>
          </w:p>
        </w:tc>
        <w:tc>
          <w:tcPr>
            <w:tcW w:w="908" w:type="dxa"/>
            <w:shd w:val="clear" w:color="auto" w:fill="D9E2F3" w:themeFill="accent5" w:themeFillTint="33"/>
            <w:vAlign w:val="center"/>
          </w:tcPr>
          <w:p w14:paraId="680C73D2" w14:textId="5DD6064E" w:rsidR="00B0316E" w:rsidRPr="005B43AD" w:rsidRDefault="00B0316E" w:rsidP="00EC28DB">
            <w:pPr>
              <w:spacing w:line="240" w:lineRule="auto"/>
              <w:contextualSpacing/>
              <w:jc w:val="center"/>
              <w:rPr>
                <w:rFonts w:cs="Arial"/>
                <w:sz w:val="16"/>
                <w:szCs w:val="16"/>
              </w:rPr>
            </w:pPr>
            <w:r w:rsidRPr="005B43AD">
              <w:rPr>
                <w:rFonts w:cs="Arial"/>
                <w:sz w:val="16"/>
                <w:szCs w:val="16"/>
              </w:rPr>
              <w:t>287,000</w:t>
            </w:r>
          </w:p>
        </w:tc>
        <w:tc>
          <w:tcPr>
            <w:tcW w:w="907" w:type="dxa"/>
            <w:shd w:val="clear" w:color="auto" w:fill="D9E2F3" w:themeFill="accent5" w:themeFillTint="33"/>
            <w:vAlign w:val="center"/>
          </w:tcPr>
          <w:p w14:paraId="40C41E73" w14:textId="76BCBF37" w:rsidR="00B0316E" w:rsidRPr="005B43AD" w:rsidRDefault="00B0316E" w:rsidP="00EC28DB">
            <w:pPr>
              <w:spacing w:line="240" w:lineRule="auto"/>
              <w:contextualSpacing/>
              <w:jc w:val="center"/>
              <w:rPr>
                <w:rFonts w:cs="Arial"/>
                <w:sz w:val="16"/>
                <w:szCs w:val="16"/>
              </w:rPr>
            </w:pPr>
            <w:r w:rsidRPr="005B43AD">
              <w:rPr>
                <w:rFonts w:cs="Arial"/>
                <w:sz w:val="16"/>
                <w:szCs w:val="16"/>
              </w:rPr>
              <w:t>$8</w:t>
            </w:r>
          </w:p>
        </w:tc>
        <w:tc>
          <w:tcPr>
            <w:tcW w:w="756" w:type="dxa"/>
            <w:shd w:val="clear" w:color="auto" w:fill="D9E2F3" w:themeFill="accent5" w:themeFillTint="33"/>
            <w:vAlign w:val="center"/>
          </w:tcPr>
          <w:p w14:paraId="3ED0EF7A" w14:textId="42009BDD" w:rsidR="00B0316E" w:rsidRPr="005B43AD" w:rsidRDefault="00B0316E" w:rsidP="00EC28DB">
            <w:pPr>
              <w:spacing w:line="240" w:lineRule="auto"/>
              <w:contextualSpacing/>
              <w:jc w:val="center"/>
              <w:rPr>
                <w:rFonts w:cs="Arial"/>
                <w:sz w:val="16"/>
                <w:szCs w:val="16"/>
              </w:rPr>
            </w:pPr>
            <w:r w:rsidRPr="005B43AD">
              <w:rPr>
                <w:rFonts w:cs="Arial"/>
                <w:sz w:val="16"/>
                <w:szCs w:val="16"/>
              </w:rPr>
              <w:t>26,000</w:t>
            </w:r>
          </w:p>
        </w:tc>
        <w:tc>
          <w:tcPr>
            <w:tcW w:w="911" w:type="dxa"/>
            <w:shd w:val="clear" w:color="auto" w:fill="D9E2F3" w:themeFill="accent5" w:themeFillTint="33"/>
            <w:vAlign w:val="center"/>
          </w:tcPr>
          <w:p w14:paraId="70800305" w14:textId="2C6842EE" w:rsidR="00B0316E" w:rsidRPr="005B43AD" w:rsidRDefault="00B0316E" w:rsidP="00EC28DB">
            <w:pPr>
              <w:spacing w:line="240" w:lineRule="auto"/>
              <w:contextualSpacing/>
              <w:jc w:val="center"/>
              <w:rPr>
                <w:rFonts w:cs="Arial"/>
                <w:sz w:val="16"/>
                <w:szCs w:val="16"/>
              </w:rPr>
            </w:pPr>
            <w:r w:rsidRPr="005B43AD">
              <w:rPr>
                <w:rFonts w:cs="Arial"/>
                <w:sz w:val="16"/>
                <w:szCs w:val="16"/>
              </w:rPr>
              <w:t>-$1</w:t>
            </w:r>
          </w:p>
        </w:tc>
        <w:tc>
          <w:tcPr>
            <w:tcW w:w="9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38D9CB7" w14:textId="7B14F499" w:rsidR="00B0316E" w:rsidRPr="005B43AD" w:rsidRDefault="00B0316E" w:rsidP="00EC28DB">
            <w:pPr>
              <w:spacing w:line="240" w:lineRule="auto"/>
              <w:contextualSpacing/>
              <w:jc w:val="center"/>
              <w:rPr>
                <w:rFonts w:cs="Arial"/>
                <w:sz w:val="16"/>
                <w:szCs w:val="16"/>
              </w:rPr>
            </w:pPr>
            <w:r w:rsidRPr="005B43AD">
              <w:rPr>
                <w:rFonts w:cs="Arial"/>
                <w:sz w:val="16"/>
                <w:szCs w:val="16"/>
              </w:rPr>
              <w:t>340,000</w:t>
            </w:r>
          </w:p>
        </w:tc>
        <w:tc>
          <w:tcPr>
            <w:tcW w:w="90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13EAFED" w14:textId="6DF87888" w:rsidR="00B0316E" w:rsidRPr="005B43AD" w:rsidRDefault="00B0316E" w:rsidP="00EC28DB">
            <w:pPr>
              <w:spacing w:line="240" w:lineRule="auto"/>
              <w:contextualSpacing/>
              <w:jc w:val="center"/>
              <w:rPr>
                <w:rFonts w:cs="Arial"/>
                <w:sz w:val="16"/>
                <w:szCs w:val="16"/>
              </w:rPr>
            </w:pPr>
            <w:r w:rsidRPr="005B43AD">
              <w:rPr>
                <w:rFonts w:cs="Arial"/>
                <w:sz w:val="16"/>
                <w:szCs w:val="16"/>
              </w:rPr>
              <w:t>$18</w:t>
            </w:r>
          </w:p>
        </w:tc>
        <w:tc>
          <w:tcPr>
            <w:tcW w:w="75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4350740B" w14:textId="7034E96C" w:rsidR="00B0316E" w:rsidRPr="005B43AD" w:rsidRDefault="00B0316E" w:rsidP="00EC28DB">
            <w:pPr>
              <w:spacing w:line="240" w:lineRule="auto"/>
              <w:contextualSpacing/>
              <w:jc w:val="center"/>
              <w:rPr>
                <w:rFonts w:cs="Arial"/>
                <w:sz w:val="16"/>
                <w:szCs w:val="16"/>
              </w:rPr>
            </w:pPr>
            <w:r w:rsidRPr="005B43AD">
              <w:rPr>
                <w:rFonts w:cs="Arial"/>
                <w:sz w:val="16"/>
                <w:szCs w:val="16"/>
              </w:rPr>
              <w:t>s</w:t>
            </w:r>
          </w:p>
        </w:tc>
        <w:tc>
          <w:tcPr>
            <w:tcW w:w="9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0B3AC32" w14:textId="38EBC35B" w:rsidR="00B0316E" w:rsidRPr="005B43AD" w:rsidRDefault="00B0316E" w:rsidP="00EC28DB">
            <w:pPr>
              <w:spacing w:line="240" w:lineRule="auto"/>
              <w:contextualSpacing/>
              <w:jc w:val="center"/>
              <w:rPr>
                <w:rFonts w:cs="Arial"/>
                <w:sz w:val="16"/>
                <w:szCs w:val="16"/>
              </w:rPr>
            </w:pPr>
            <w:r w:rsidRPr="005B43AD">
              <w:rPr>
                <w:rFonts w:cs="Arial"/>
                <w:sz w:val="16"/>
                <w:szCs w:val="16"/>
              </w:rPr>
              <w:t>s</w:t>
            </w:r>
          </w:p>
        </w:tc>
      </w:tr>
      <w:tr w:rsidR="00BA51E4" w14:paraId="0DB4A883" w14:textId="0F9A80E2" w:rsidTr="00D54CD9">
        <w:trPr>
          <w:trHeight w:val="480"/>
        </w:trPr>
        <w:tc>
          <w:tcPr>
            <w:tcW w:w="9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09C4D4EB" w14:textId="77777777" w:rsidR="00B0316E" w:rsidRPr="005B43AD" w:rsidRDefault="00B0316E" w:rsidP="00EC28DB">
            <w:pPr>
              <w:spacing w:line="240" w:lineRule="auto"/>
              <w:contextualSpacing/>
              <w:jc w:val="center"/>
              <w:rPr>
                <w:rFonts w:cs="Arial"/>
                <w:b/>
                <w:bCs/>
                <w:sz w:val="16"/>
                <w:szCs w:val="16"/>
              </w:rPr>
            </w:pPr>
            <w:r w:rsidRPr="005B43AD">
              <w:rPr>
                <w:rFonts w:cs="Arial"/>
                <w:b/>
                <w:bCs/>
                <w:sz w:val="16"/>
                <w:szCs w:val="16"/>
              </w:rPr>
              <w:t>A3</w:t>
            </w:r>
          </w:p>
        </w:tc>
        <w:tc>
          <w:tcPr>
            <w:tcW w:w="90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5F28E2DB" w14:textId="77777777" w:rsidR="00B0316E" w:rsidRPr="005B43AD" w:rsidRDefault="00B0316E" w:rsidP="00EC28DB">
            <w:pPr>
              <w:spacing w:line="240" w:lineRule="auto"/>
              <w:contextualSpacing/>
              <w:jc w:val="center"/>
              <w:rPr>
                <w:rFonts w:cs="Arial"/>
                <w:sz w:val="16"/>
                <w:szCs w:val="16"/>
              </w:rPr>
            </w:pPr>
            <w:r w:rsidRPr="005B43AD">
              <w:rPr>
                <w:rFonts w:cs="Arial"/>
                <w:sz w:val="16"/>
                <w:szCs w:val="16"/>
              </w:rPr>
              <w:t>$5</w:t>
            </w:r>
          </w:p>
        </w:tc>
        <w:tc>
          <w:tcPr>
            <w:tcW w:w="12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3E93E132" w14:textId="77777777" w:rsidR="00B0316E" w:rsidRPr="005B43AD" w:rsidRDefault="00B0316E" w:rsidP="00EC28DB">
            <w:pPr>
              <w:spacing w:line="240" w:lineRule="auto"/>
              <w:contextualSpacing/>
              <w:jc w:val="center"/>
              <w:rPr>
                <w:rFonts w:cs="Arial"/>
                <w:sz w:val="16"/>
                <w:szCs w:val="16"/>
              </w:rPr>
            </w:pPr>
            <w:r w:rsidRPr="005B43AD">
              <w:rPr>
                <w:rFonts w:cs="Arial"/>
                <w:color w:val="000000"/>
                <w:sz w:val="16"/>
                <w:szCs w:val="16"/>
              </w:rPr>
              <w:t>$11.71 and $10.42</w:t>
            </w:r>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4A331BBF" w14:textId="77777777" w:rsidR="00B0316E" w:rsidRPr="005B43AD" w:rsidRDefault="00B0316E" w:rsidP="00EC28DB">
            <w:pPr>
              <w:spacing w:line="240" w:lineRule="auto"/>
              <w:contextualSpacing/>
              <w:jc w:val="center"/>
              <w:rPr>
                <w:rFonts w:cs="Arial"/>
                <w:sz w:val="16"/>
                <w:szCs w:val="16"/>
              </w:rPr>
            </w:pPr>
            <w:r w:rsidRPr="005B43AD">
              <w:rPr>
                <w:rFonts w:cs="Arial"/>
                <w:sz w:val="16"/>
                <w:szCs w:val="16"/>
              </w:rPr>
              <w:t>27%</w:t>
            </w:r>
          </w:p>
        </w:tc>
        <w:tc>
          <w:tcPr>
            <w:tcW w:w="908" w:type="dxa"/>
            <w:shd w:val="clear" w:color="auto" w:fill="D9E2F3" w:themeFill="accent5" w:themeFillTint="33"/>
            <w:vAlign w:val="center"/>
          </w:tcPr>
          <w:p w14:paraId="25BC4D66" w14:textId="36DC6F8A" w:rsidR="00B0316E" w:rsidRPr="005B43AD" w:rsidRDefault="00B0316E" w:rsidP="00EC28DB">
            <w:pPr>
              <w:spacing w:line="240" w:lineRule="auto"/>
              <w:contextualSpacing/>
              <w:jc w:val="center"/>
              <w:rPr>
                <w:rFonts w:cs="Arial"/>
                <w:sz w:val="16"/>
                <w:szCs w:val="16"/>
              </w:rPr>
            </w:pPr>
            <w:r w:rsidRPr="005B43AD">
              <w:rPr>
                <w:rFonts w:cs="Arial"/>
                <w:sz w:val="16"/>
                <w:szCs w:val="16"/>
              </w:rPr>
              <w:t>223,000</w:t>
            </w:r>
          </w:p>
        </w:tc>
        <w:tc>
          <w:tcPr>
            <w:tcW w:w="907" w:type="dxa"/>
            <w:shd w:val="clear" w:color="auto" w:fill="D9E2F3" w:themeFill="accent5" w:themeFillTint="33"/>
            <w:vAlign w:val="center"/>
          </w:tcPr>
          <w:p w14:paraId="43F201D2" w14:textId="41AFDB1F" w:rsidR="00B0316E" w:rsidRPr="005B43AD" w:rsidRDefault="00B0316E" w:rsidP="00EC28DB">
            <w:pPr>
              <w:spacing w:line="240" w:lineRule="auto"/>
              <w:contextualSpacing/>
              <w:jc w:val="center"/>
              <w:rPr>
                <w:rFonts w:cs="Arial"/>
                <w:sz w:val="16"/>
                <w:szCs w:val="16"/>
              </w:rPr>
            </w:pPr>
            <w:r w:rsidRPr="005B43AD">
              <w:rPr>
                <w:rFonts w:cs="Arial"/>
                <w:sz w:val="16"/>
                <w:szCs w:val="16"/>
              </w:rPr>
              <w:t>$8</w:t>
            </w:r>
          </w:p>
        </w:tc>
        <w:tc>
          <w:tcPr>
            <w:tcW w:w="756" w:type="dxa"/>
            <w:shd w:val="clear" w:color="auto" w:fill="D9E2F3" w:themeFill="accent5" w:themeFillTint="33"/>
            <w:vAlign w:val="center"/>
          </w:tcPr>
          <w:p w14:paraId="363C9EDF" w14:textId="127613E0" w:rsidR="00B0316E" w:rsidRPr="005B43AD" w:rsidRDefault="00B0316E" w:rsidP="00EC28DB">
            <w:pPr>
              <w:spacing w:line="240" w:lineRule="auto"/>
              <w:contextualSpacing/>
              <w:jc w:val="center"/>
              <w:rPr>
                <w:rFonts w:cs="Arial"/>
                <w:sz w:val="16"/>
                <w:szCs w:val="16"/>
              </w:rPr>
            </w:pPr>
            <w:r w:rsidRPr="005B43AD">
              <w:rPr>
                <w:rFonts w:cs="Arial"/>
                <w:sz w:val="16"/>
                <w:szCs w:val="16"/>
              </w:rPr>
              <w:t>89,000</w:t>
            </w:r>
          </w:p>
        </w:tc>
        <w:tc>
          <w:tcPr>
            <w:tcW w:w="911" w:type="dxa"/>
            <w:shd w:val="clear" w:color="auto" w:fill="D9E2F3" w:themeFill="accent5" w:themeFillTint="33"/>
            <w:vAlign w:val="center"/>
          </w:tcPr>
          <w:p w14:paraId="4EA792B9" w14:textId="56E52328" w:rsidR="00B0316E" w:rsidRPr="005B43AD" w:rsidRDefault="00B0316E" w:rsidP="00EC28DB">
            <w:pPr>
              <w:spacing w:line="240" w:lineRule="auto"/>
              <w:contextualSpacing/>
              <w:jc w:val="center"/>
              <w:rPr>
                <w:rFonts w:cs="Arial"/>
                <w:sz w:val="16"/>
                <w:szCs w:val="16"/>
              </w:rPr>
            </w:pPr>
            <w:r w:rsidRPr="005B43AD">
              <w:rPr>
                <w:rFonts w:cs="Arial"/>
                <w:sz w:val="16"/>
                <w:szCs w:val="16"/>
              </w:rPr>
              <w:t>-$6</w:t>
            </w:r>
          </w:p>
        </w:tc>
        <w:tc>
          <w:tcPr>
            <w:tcW w:w="9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2751285" w14:textId="47B23BEC" w:rsidR="00B0316E" w:rsidRPr="005B43AD" w:rsidRDefault="00B0316E" w:rsidP="00EC28DB">
            <w:pPr>
              <w:spacing w:line="240" w:lineRule="auto"/>
              <w:contextualSpacing/>
              <w:jc w:val="center"/>
              <w:rPr>
                <w:rFonts w:cs="Arial"/>
                <w:sz w:val="16"/>
                <w:szCs w:val="16"/>
              </w:rPr>
            </w:pPr>
            <w:r w:rsidRPr="005B43AD">
              <w:rPr>
                <w:rFonts w:cs="Arial"/>
                <w:sz w:val="16"/>
                <w:szCs w:val="16"/>
              </w:rPr>
              <w:t>330,000</w:t>
            </w:r>
          </w:p>
        </w:tc>
        <w:tc>
          <w:tcPr>
            <w:tcW w:w="90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650FEA" w14:textId="1BB1999D" w:rsidR="00B0316E" w:rsidRPr="005B43AD" w:rsidRDefault="00B0316E" w:rsidP="00EC28DB">
            <w:pPr>
              <w:spacing w:line="240" w:lineRule="auto"/>
              <w:contextualSpacing/>
              <w:jc w:val="center"/>
              <w:rPr>
                <w:rFonts w:cs="Arial"/>
                <w:sz w:val="16"/>
                <w:szCs w:val="16"/>
              </w:rPr>
            </w:pPr>
            <w:r w:rsidRPr="005B43AD">
              <w:rPr>
                <w:rFonts w:cs="Arial"/>
                <w:sz w:val="16"/>
                <w:szCs w:val="16"/>
              </w:rPr>
              <w:t>$16</w:t>
            </w:r>
          </w:p>
        </w:tc>
        <w:tc>
          <w:tcPr>
            <w:tcW w:w="75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EAB74D4" w14:textId="075EDD74" w:rsidR="00B0316E" w:rsidRPr="005B43AD" w:rsidRDefault="00B0316E" w:rsidP="00EC28DB">
            <w:pPr>
              <w:spacing w:line="240" w:lineRule="auto"/>
              <w:contextualSpacing/>
              <w:jc w:val="center"/>
              <w:rPr>
                <w:rFonts w:cs="Arial"/>
                <w:sz w:val="16"/>
                <w:szCs w:val="16"/>
              </w:rPr>
            </w:pPr>
            <w:r w:rsidRPr="005B43AD">
              <w:rPr>
                <w:rFonts w:cs="Arial"/>
                <w:sz w:val="16"/>
                <w:szCs w:val="16"/>
              </w:rPr>
              <w:t>8,000</w:t>
            </w:r>
          </w:p>
        </w:tc>
        <w:tc>
          <w:tcPr>
            <w:tcW w:w="9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54F103B" w14:textId="5D624E35" w:rsidR="00B0316E" w:rsidRPr="005B43AD" w:rsidRDefault="00B0316E" w:rsidP="00EC28DB">
            <w:pPr>
              <w:spacing w:line="240" w:lineRule="auto"/>
              <w:contextualSpacing/>
              <w:jc w:val="center"/>
              <w:rPr>
                <w:rFonts w:cs="Arial"/>
                <w:sz w:val="16"/>
                <w:szCs w:val="16"/>
              </w:rPr>
            </w:pPr>
            <w:r w:rsidRPr="005B43AD">
              <w:rPr>
                <w:rFonts w:cs="Arial"/>
                <w:sz w:val="16"/>
                <w:szCs w:val="16"/>
              </w:rPr>
              <w:t>-$1</w:t>
            </w:r>
          </w:p>
        </w:tc>
      </w:tr>
      <w:tr w:rsidR="00BA51E4" w14:paraId="3F723825" w14:textId="58128FD7" w:rsidTr="00D54CD9">
        <w:trPr>
          <w:trHeight w:val="556"/>
        </w:trPr>
        <w:tc>
          <w:tcPr>
            <w:tcW w:w="90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66B1733E" w14:textId="77777777" w:rsidR="00B0316E" w:rsidRPr="005B43AD" w:rsidRDefault="00B0316E" w:rsidP="00EC28DB">
            <w:pPr>
              <w:spacing w:line="240" w:lineRule="auto"/>
              <w:contextualSpacing/>
              <w:jc w:val="center"/>
              <w:rPr>
                <w:rFonts w:cs="Arial"/>
                <w:b/>
                <w:bCs/>
                <w:sz w:val="16"/>
                <w:szCs w:val="16"/>
              </w:rPr>
            </w:pPr>
            <w:r w:rsidRPr="005B43AD">
              <w:rPr>
                <w:rFonts w:cs="Arial"/>
                <w:b/>
                <w:bCs/>
                <w:sz w:val="16"/>
                <w:szCs w:val="16"/>
              </w:rPr>
              <w:t>B</w:t>
            </w:r>
          </w:p>
        </w:tc>
        <w:tc>
          <w:tcPr>
            <w:tcW w:w="90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409F0091" w14:textId="77777777" w:rsidR="00B0316E" w:rsidRPr="005B43AD" w:rsidRDefault="00B0316E" w:rsidP="00EC28DB">
            <w:pPr>
              <w:spacing w:line="240" w:lineRule="auto"/>
              <w:contextualSpacing/>
              <w:jc w:val="center"/>
              <w:rPr>
                <w:rFonts w:cs="Arial"/>
                <w:sz w:val="16"/>
                <w:szCs w:val="16"/>
              </w:rPr>
            </w:pPr>
            <w:r w:rsidRPr="005B43AD">
              <w:rPr>
                <w:rFonts w:cs="Arial"/>
                <w:sz w:val="16"/>
                <w:szCs w:val="16"/>
              </w:rPr>
              <w:t>$7.50</w:t>
            </w:r>
          </w:p>
        </w:tc>
        <w:tc>
          <w:tcPr>
            <w:tcW w:w="121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2EE59BDC" w14:textId="77777777" w:rsidR="00B0316E" w:rsidRPr="005B43AD" w:rsidRDefault="00B0316E" w:rsidP="00EC28DB">
            <w:pPr>
              <w:spacing w:line="240" w:lineRule="auto"/>
              <w:contextualSpacing/>
              <w:jc w:val="center"/>
              <w:rPr>
                <w:rFonts w:cs="Arial"/>
                <w:sz w:val="16"/>
                <w:szCs w:val="16"/>
              </w:rPr>
            </w:pPr>
            <w:r w:rsidRPr="005B43AD">
              <w:rPr>
                <w:rFonts w:cs="Arial"/>
                <w:color w:val="000000"/>
                <w:sz w:val="16"/>
                <w:szCs w:val="16"/>
              </w:rPr>
              <w:t>$14.21 and $12.92</w:t>
            </w:r>
          </w:p>
        </w:tc>
        <w:tc>
          <w:tcPr>
            <w:tcW w:w="121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14:paraId="399910F4" w14:textId="77777777" w:rsidR="00B0316E" w:rsidRPr="005B43AD" w:rsidRDefault="00B0316E" w:rsidP="00EC28DB">
            <w:pPr>
              <w:spacing w:line="240" w:lineRule="auto"/>
              <w:contextualSpacing/>
              <w:jc w:val="center"/>
              <w:rPr>
                <w:rFonts w:cs="Arial"/>
                <w:sz w:val="16"/>
                <w:szCs w:val="16"/>
              </w:rPr>
            </w:pPr>
            <w:r w:rsidRPr="005B43AD">
              <w:rPr>
                <w:rFonts w:cs="Arial"/>
                <w:sz w:val="16"/>
                <w:szCs w:val="16"/>
              </w:rPr>
              <w:t>28%</w:t>
            </w:r>
          </w:p>
        </w:tc>
        <w:tc>
          <w:tcPr>
            <w:tcW w:w="908" w:type="dxa"/>
            <w:shd w:val="clear" w:color="auto" w:fill="B4C6E7" w:themeFill="accent5" w:themeFillTint="66"/>
            <w:vAlign w:val="center"/>
          </w:tcPr>
          <w:p w14:paraId="402C25CD" w14:textId="2F82AADF" w:rsidR="00B0316E" w:rsidRPr="005B43AD" w:rsidRDefault="00B0316E" w:rsidP="00EC28DB">
            <w:pPr>
              <w:spacing w:line="240" w:lineRule="auto"/>
              <w:contextualSpacing/>
              <w:jc w:val="center"/>
              <w:rPr>
                <w:rFonts w:cs="Arial"/>
                <w:sz w:val="16"/>
                <w:szCs w:val="16"/>
              </w:rPr>
            </w:pPr>
            <w:r w:rsidRPr="005B43AD">
              <w:rPr>
                <w:rFonts w:cs="Arial"/>
                <w:sz w:val="16"/>
                <w:szCs w:val="16"/>
              </w:rPr>
              <w:t>223,000</w:t>
            </w:r>
          </w:p>
        </w:tc>
        <w:tc>
          <w:tcPr>
            <w:tcW w:w="907" w:type="dxa"/>
            <w:shd w:val="clear" w:color="auto" w:fill="B4C6E7" w:themeFill="accent5" w:themeFillTint="66"/>
            <w:vAlign w:val="center"/>
          </w:tcPr>
          <w:p w14:paraId="78B2F60C" w14:textId="42E1F1B9" w:rsidR="00B0316E" w:rsidRPr="005B43AD" w:rsidRDefault="00B0316E" w:rsidP="00EC28DB">
            <w:pPr>
              <w:spacing w:line="240" w:lineRule="auto"/>
              <w:contextualSpacing/>
              <w:jc w:val="center"/>
              <w:rPr>
                <w:rFonts w:cs="Arial"/>
                <w:sz w:val="16"/>
                <w:szCs w:val="16"/>
              </w:rPr>
            </w:pPr>
            <w:r w:rsidRPr="005B43AD">
              <w:rPr>
                <w:rFonts w:cs="Arial"/>
                <w:sz w:val="16"/>
                <w:szCs w:val="16"/>
              </w:rPr>
              <w:t>$12</w:t>
            </w:r>
          </w:p>
        </w:tc>
        <w:tc>
          <w:tcPr>
            <w:tcW w:w="756" w:type="dxa"/>
            <w:shd w:val="clear" w:color="auto" w:fill="B4C6E7" w:themeFill="accent5" w:themeFillTint="66"/>
            <w:vAlign w:val="center"/>
          </w:tcPr>
          <w:p w14:paraId="04961CA1" w14:textId="71030F56" w:rsidR="00B0316E" w:rsidRPr="005B43AD" w:rsidRDefault="00B0316E" w:rsidP="00EC28DB">
            <w:pPr>
              <w:spacing w:line="240" w:lineRule="auto"/>
              <w:contextualSpacing/>
              <w:jc w:val="center"/>
              <w:rPr>
                <w:rFonts w:cs="Arial"/>
                <w:sz w:val="16"/>
                <w:szCs w:val="16"/>
              </w:rPr>
            </w:pPr>
            <w:r w:rsidRPr="005B43AD">
              <w:rPr>
                <w:rFonts w:cs="Arial"/>
                <w:sz w:val="16"/>
                <w:szCs w:val="16"/>
              </w:rPr>
              <w:t>89,000</w:t>
            </w:r>
          </w:p>
        </w:tc>
        <w:tc>
          <w:tcPr>
            <w:tcW w:w="911" w:type="dxa"/>
            <w:shd w:val="clear" w:color="auto" w:fill="B4C6E7" w:themeFill="accent5" w:themeFillTint="66"/>
            <w:vAlign w:val="center"/>
          </w:tcPr>
          <w:p w14:paraId="0DD5001E" w14:textId="1D703AE0" w:rsidR="00B0316E" w:rsidRPr="005B43AD" w:rsidRDefault="00B0316E" w:rsidP="00EC28DB">
            <w:pPr>
              <w:spacing w:line="240" w:lineRule="auto"/>
              <w:contextualSpacing/>
              <w:jc w:val="center"/>
              <w:rPr>
                <w:rFonts w:cs="Arial"/>
                <w:sz w:val="16"/>
                <w:szCs w:val="16"/>
              </w:rPr>
            </w:pPr>
            <w:r w:rsidRPr="005B43AD">
              <w:rPr>
                <w:rFonts w:cs="Arial"/>
                <w:sz w:val="16"/>
                <w:szCs w:val="16"/>
              </w:rPr>
              <w:t>-$8</w:t>
            </w:r>
          </w:p>
        </w:tc>
        <w:tc>
          <w:tcPr>
            <w:tcW w:w="90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7EFFD632" w14:textId="1F5F2165" w:rsidR="00B0316E" w:rsidRPr="005B43AD" w:rsidRDefault="00B0316E" w:rsidP="00EC28DB">
            <w:pPr>
              <w:spacing w:line="240" w:lineRule="auto"/>
              <w:contextualSpacing/>
              <w:jc w:val="center"/>
              <w:rPr>
                <w:rFonts w:cs="Arial"/>
                <w:sz w:val="16"/>
                <w:szCs w:val="16"/>
              </w:rPr>
            </w:pPr>
            <w:r w:rsidRPr="005B43AD">
              <w:rPr>
                <w:rFonts w:cs="Arial"/>
                <w:sz w:val="16"/>
                <w:szCs w:val="16"/>
              </w:rPr>
              <w:t>309,000</w:t>
            </w:r>
          </w:p>
        </w:tc>
        <w:tc>
          <w:tcPr>
            <w:tcW w:w="90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39BC2371" w14:textId="1F90E6E0" w:rsidR="00B0316E" w:rsidRPr="005B43AD" w:rsidRDefault="00B0316E" w:rsidP="00EC28DB">
            <w:pPr>
              <w:spacing w:line="240" w:lineRule="auto"/>
              <w:contextualSpacing/>
              <w:jc w:val="center"/>
              <w:rPr>
                <w:rFonts w:cs="Arial"/>
                <w:sz w:val="16"/>
                <w:szCs w:val="16"/>
              </w:rPr>
            </w:pPr>
            <w:r w:rsidRPr="005B43AD">
              <w:rPr>
                <w:rFonts w:cs="Arial"/>
                <w:sz w:val="16"/>
                <w:szCs w:val="16"/>
              </w:rPr>
              <w:t>$20</w:t>
            </w:r>
          </w:p>
        </w:tc>
        <w:tc>
          <w:tcPr>
            <w:tcW w:w="75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51093945" w14:textId="14F5E848" w:rsidR="00B0316E" w:rsidRPr="005B43AD" w:rsidRDefault="00B0316E" w:rsidP="00EC28DB">
            <w:pPr>
              <w:spacing w:line="240" w:lineRule="auto"/>
              <w:contextualSpacing/>
              <w:jc w:val="center"/>
              <w:rPr>
                <w:rFonts w:cs="Arial"/>
                <w:sz w:val="16"/>
                <w:szCs w:val="16"/>
              </w:rPr>
            </w:pPr>
            <w:r w:rsidRPr="005B43AD">
              <w:rPr>
                <w:rFonts w:cs="Arial"/>
                <w:sz w:val="16"/>
                <w:szCs w:val="16"/>
              </w:rPr>
              <w:t>27,000</w:t>
            </w:r>
          </w:p>
        </w:tc>
        <w:tc>
          <w:tcPr>
            <w:tcW w:w="91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5B250FE2" w14:textId="38DCE1E1" w:rsidR="00B0316E" w:rsidRPr="005B43AD" w:rsidRDefault="00B0316E" w:rsidP="00EC28DB">
            <w:pPr>
              <w:spacing w:line="240" w:lineRule="auto"/>
              <w:contextualSpacing/>
              <w:jc w:val="center"/>
              <w:rPr>
                <w:rFonts w:cs="Arial"/>
                <w:sz w:val="16"/>
                <w:szCs w:val="16"/>
              </w:rPr>
            </w:pPr>
            <w:r w:rsidRPr="005B43AD">
              <w:rPr>
                <w:rFonts w:cs="Arial"/>
                <w:sz w:val="16"/>
                <w:szCs w:val="16"/>
              </w:rPr>
              <w:t>-$3</w:t>
            </w:r>
          </w:p>
        </w:tc>
      </w:tr>
    </w:tbl>
    <w:p w14:paraId="32AEF6A3" w14:textId="77777777" w:rsidR="002D5AA4" w:rsidRDefault="002D5AA4" w:rsidP="00B1389B">
      <w:pPr>
        <w:rPr>
          <w:lang w:val="en-NZ"/>
        </w:rPr>
      </w:pPr>
    </w:p>
    <w:p w14:paraId="1CE635CD" w14:textId="4929CC2E" w:rsidR="00B1389B" w:rsidRDefault="00063CF8" w:rsidP="00B1389B">
      <w:pPr>
        <w:rPr>
          <w:lang w:val="en-NZ"/>
        </w:rPr>
      </w:pPr>
      <w:r>
        <w:rPr>
          <w:lang w:val="en-NZ"/>
        </w:rPr>
        <w:t>To assess the targeting of the gains and losses of these options</w:t>
      </w:r>
      <w:r w:rsidR="00EE25D3">
        <w:rPr>
          <w:lang w:val="en-NZ"/>
        </w:rPr>
        <w:t xml:space="preserve"> these results </w:t>
      </w:r>
      <w:r w:rsidR="004A7305">
        <w:rPr>
          <w:lang w:val="en-NZ"/>
        </w:rPr>
        <w:t>have been modelled by</w:t>
      </w:r>
      <w:r w:rsidR="00EE25D3">
        <w:rPr>
          <w:lang w:val="en-NZ"/>
        </w:rPr>
        <w:t xml:space="preserve"> income distribution. </w:t>
      </w:r>
      <w:r w:rsidR="001447A6">
        <w:rPr>
          <w:lang w:val="en-NZ"/>
        </w:rPr>
        <w:t xml:space="preserve">The </w:t>
      </w:r>
      <w:r w:rsidR="00001D18">
        <w:rPr>
          <w:lang w:val="en-NZ"/>
        </w:rPr>
        <w:t xml:space="preserve">following </w:t>
      </w:r>
      <w:r w:rsidR="001447A6">
        <w:rPr>
          <w:lang w:val="en-NZ"/>
        </w:rPr>
        <w:t>graphs</w:t>
      </w:r>
      <w:r w:rsidR="00635A1D">
        <w:rPr>
          <w:lang w:val="en-NZ"/>
        </w:rPr>
        <w:t xml:space="preserve"> are divided by their exclusion or inclusion of </w:t>
      </w:r>
      <w:r w:rsidR="00684885">
        <w:rPr>
          <w:lang w:val="en-NZ"/>
        </w:rPr>
        <w:t>the impacts of counterfactual indexation and by their income measure</w:t>
      </w:r>
      <w:r w:rsidR="004B4D7D">
        <w:rPr>
          <w:lang w:val="en-NZ"/>
        </w:rPr>
        <w:t xml:space="preserve"> in the following order:</w:t>
      </w:r>
    </w:p>
    <w:p w14:paraId="550A2BEA" w14:textId="504C288E" w:rsidR="004B4D7D" w:rsidRDefault="004B4D7D" w:rsidP="005460D3">
      <w:pPr>
        <w:pStyle w:val="ListParagraph"/>
        <w:numPr>
          <w:ilvl w:val="0"/>
          <w:numId w:val="15"/>
        </w:numPr>
        <w:rPr>
          <w:lang w:val="en-NZ"/>
        </w:rPr>
      </w:pPr>
      <w:r>
        <w:rPr>
          <w:lang w:val="en-NZ"/>
        </w:rPr>
        <w:t xml:space="preserve">Exclusion of </w:t>
      </w:r>
      <w:r w:rsidR="00B85D12">
        <w:rPr>
          <w:lang w:val="en-NZ"/>
        </w:rPr>
        <w:t>counterfactual</w:t>
      </w:r>
      <w:r w:rsidR="005A5EAD">
        <w:rPr>
          <w:lang w:val="en-NZ"/>
        </w:rPr>
        <w:t>,</w:t>
      </w:r>
      <w:r>
        <w:rPr>
          <w:lang w:val="en-NZ"/>
        </w:rPr>
        <w:t xml:space="preserve"> by taxable income</w:t>
      </w:r>
    </w:p>
    <w:p w14:paraId="69C9B13C" w14:textId="14BCB4AB" w:rsidR="004B4D7D" w:rsidRDefault="004B4D7D" w:rsidP="005460D3">
      <w:pPr>
        <w:pStyle w:val="ListParagraph"/>
        <w:numPr>
          <w:ilvl w:val="0"/>
          <w:numId w:val="15"/>
        </w:numPr>
        <w:rPr>
          <w:lang w:val="en-NZ"/>
        </w:rPr>
      </w:pPr>
      <w:r>
        <w:rPr>
          <w:lang w:val="en-NZ"/>
        </w:rPr>
        <w:t xml:space="preserve">Exclusion of </w:t>
      </w:r>
      <w:r w:rsidR="00B85D12">
        <w:rPr>
          <w:lang w:val="en-NZ"/>
        </w:rPr>
        <w:t>counterfactual</w:t>
      </w:r>
      <w:r w:rsidR="005A5EAD">
        <w:rPr>
          <w:lang w:val="en-NZ"/>
        </w:rPr>
        <w:t>,</w:t>
      </w:r>
      <w:r>
        <w:rPr>
          <w:lang w:val="en-NZ"/>
        </w:rPr>
        <w:t xml:space="preserve"> by HEDI</w:t>
      </w:r>
      <w:r w:rsidR="006E7659">
        <w:rPr>
          <w:rStyle w:val="FootnoteReference"/>
          <w:lang w:val="en-NZ"/>
        </w:rPr>
        <w:footnoteReference w:id="32"/>
      </w:r>
    </w:p>
    <w:p w14:paraId="12C7B7AC" w14:textId="266BB8DF" w:rsidR="004B4D7D" w:rsidRDefault="004B4D7D" w:rsidP="005460D3">
      <w:pPr>
        <w:pStyle w:val="ListParagraph"/>
        <w:numPr>
          <w:ilvl w:val="0"/>
          <w:numId w:val="15"/>
        </w:numPr>
        <w:rPr>
          <w:lang w:val="en-NZ"/>
        </w:rPr>
      </w:pPr>
      <w:r>
        <w:rPr>
          <w:lang w:val="en-NZ"/>
        </w:rPr>
        <w:t xml:space="preserve">Inclusion of </w:t>
      </w:r>
      <w:r w:rsidR="00B85D12">
        <w:rPr>
          <w:lang w:val="en-NZ"/>
        </w:rPr>
        <w:t>counterfactual</w:t>
      </w:r>
      <w:r w:rsidR="005A5EAD">
        <w:rPr>
          <w:lang w:val="en-NZ"/>
        </w:rPr>
        <w:t>,</w:t>
      </w:r>
      <w:r>
        <w:rPr>
          <w:lang w:val="en-NZ"/>
        </w:rPr>
        <w:t xml:space="preserve"> by taxable income</w:t>
      </w:r>
    </w:p>
    <w:p w14:paraId="5381A62F" w14:textId="0DA0180F" w:rsidR="004B4D7D" w:rsidRPr="004B4D7D" w:rsidRDefault="004B4D7D" w:rsidP="005460D3">
      <w:pPr>
        <w:pStyle w:val="ListParagraph"/>
        <w:numPr>
          <w:ilvl w:val="0"/>
          <w:numId w:val="15"/>
        </w:numPr>
        <w:rPr>
          <w:lang w:val="en-NZ"/>
        </w:rPr>
      </w:pPr>
      <w:r>
        <w:rPr>
          <w:lang w:val="en-NZ"/>
        </w:rPr>
        <w:t xml:space="preserve">Inclusion of </w:t>
      </w:r>
      <w:r w:rsidR="00B85D12">
        <w:rPr>
          <w:lang w:val="en-NZ"/>
        </w:rPr>
        <w:t>counterfactual</w:t>
      </w:r>
      <w:r w:rsidR="005A5EAD">
        <w:rPr>
          <w:lang w:val="en-NZ"/>
        </w:rPr>
        <w:t>,</w:t>
      </w:r>
      <w:r>
        <w:rPr>
          <w:lang w:val="en-NZ"/>
        </w:rPr>
        <w:t xml:space="preserve"> by HEDI</w:t>
      </w:r>
    </w:p>
    <w:p w14:paraId="1A9395DB" w14:textId="3BB46BFB" w:rsidR="0035705A" w:rsidRDefault="00317EE7" w:rsidP="00BD2867">
      <w:pPr>
        <w:rPr>
          <w:lang w:val="en-NZ"/>
        </w:rPr>
      </w:pPr>
      <w:r>
        <w:rPr>
          <w:lang w:val="en-NZ"/>
        </w:rPr>
        <w:t>Graphs excluding the impacts of counterfactual indexation</w:t>
      </w:r>
      <w:r w:rsidR="00513D28">
        <w:rPr>
          <w:lang w:val="en-NZ"/>
        </w:rPr>
        <w:t xml:space="preserve"> will demonstrate the real value of </w:t>
      </w:r>
      <w:r w:rsidR="00FB3C37">
        <w:rPr>
          <w:lang w:val="en-NZ"/>
        </w:rPr>
        <w:t>each</w:t>
      </w:r>
      <w:r w:rsidR="00513D28">
        <w:rPr>
          <w:lang w:val="en-NZ"/>
        </w:rPr>
        <w:t xml:space="preserve"> option</w:t>
      </w:r>
      <w:r>
        <w:rPr>
          <w:lang w:val="en-NZ"/>
        </w:rPr>
        <w:t xml:space="preserve"> versus doing nothing</w:t>
      </w:r>
      <w:r w:rsidR="00595CBA">
        <w:rPr>
          <w:lang w:val="en-NZ"/>
        </w:rPr>
        <w:t>.</w:t>
      </w:r>
      <w:r w:rsidR="00513D28">
        <w:rPr>
          <w:lang w:val="en-NZ"/>
        </w:rPr>
        <w:t xml:space="preserve"> </w:t>
      </w:r>
      <w:r>
        <w:rPr>
          <w:lang w:val="en-NZ"/>
        </w:rPr>
        <w:t xml:space="preserve">Graphs including </w:t>
      </w:r>
      <w:r w:rsidR="004D62D8">
        <w:rPr>
          <w:lang w:val="en-NZ"/>
        </w:rPr>
        <w:t>these impacts</w:t>
      </w:r>
      <w:r w:rsidR="00EA1B7A">
        <w:rPr>
          <w:lang w:val="en-NZ"/>
        </w:rPr>
        <w:t xml:space="preserve"> will demonstrate what customers will experience </w:t>
      </w:r>
      <w:r w:rsidR="003C709D">
        <w:rPr>
          <w:lang w:val="en-NZ"/>
        </w:rPr>
        <w:t>i</w:t>
      </w:r>
      <w:r w:rsidR="00A0009D">
        <w:rPr>
          <w:lang w:val="en-NZ"/>
        </w:rPr>
        <w:t xml:space="preserve">f </w:t>
      </w:r>
      <w:r w:rsidR="003C709D">
        <w:rPr>
          <w:lang w:val="en-NZ"/>
        </w:rPr>
        <w:t>one of</w:t>
      </w:r>
      <w:r w:rsidR="00EA1B7A">
        <w:rPr>
          <w:lang w:val="en-NZ"/>
        </w:rPr>
        <w:t xml:space="preserve"> these options </w:t>
      </w:r>
      <w:r w:rsidR="003C709D">
        <w:rPr>
          <w:lang w:val="en-NZ"/>
        </w:rPr>
        <w:t xml:space="preserve">is introduced </w:t>
      </w:r>
      <w:r w:rsidR="00FB3C37">
        <w:rPr>
          <w:lang w:val="en-NZ"/>
        </w:rPr>
        <w:t>alongside indexation in April 2022.</w:t>
      </w:r>
    </w:p>
    <w:p w14:paraId="54253AD7" w14:textId="285DD2F3" w:rsidR="00AF302B" w:rsidRDefault="00705AAB" w:rsidP="00AF302B">
      <w:pPr>
        <w:rPr>
          <w:lang w:val="en-NZ"/>
        </w:rPr>
      </w:pPr>
      <w:r>
        <w:rPr>
          <w:lang w:val="en-NZ"/>
        </w:rPr>
        <w:t>Graphs using</w:t>
      </w:r>
      <w:r w:rsidR="00AF302B">
        <w:rPr>
          <w:lang w:val="en-NZ"/>
        </w:rPr>
        <w:t xml:space="preserve"> taxable income band </w:t>
      </w:r>
      <w:r>
        <w:rPr>
          <w:lang w:val="en-NZ"/>
        </w:rPr>
        <w:t xml:space="preserve">demonstrate the </w:t>
      </w:r>
      <w:r w:rsidR="00644AE6">
        <w:rPr>
          <w:lang w:val="en-NZ"/>
        </w:rPr>
        <w:t xml:space="preserve">actual income </w:t>
      </w:r>
      <w:r w:rsidR="00BE187F">
        <w:rPr>
          <w:lang w:val="en-NZ"/>
        </w:rPr>
        <w:t xml:space="preserve">available to families who are experiencing the gains or losses. Graphs using </w:t>
      </w:r>
      <w:r w:rsidR="00A4054E">
        <w:rPr>
          <w:lang w:val="en-NZ"/>
        </w:rPr>
        <w:t>h</w:t>
      </w:r>
      <w:r w:rsidR="00BE187F">
        <w:rPr>
          <w:lang w:val="en-NZ"/>
        </w:rPr>
        <w:t xml:space="preserve">ousehold </w:t>
      </w:r>
      <w:r w:rsidR="00A4054E">
        <w:rPr>
          <w:lang w:val="en-NZ"/>
        </w:rPr>
        <w:t>equivalised d</w:t>
      </w:r>
      <w:r w:rsidR="00BE187F">
        <w:rPr>
          <w:lang w:val="en-NZ"/>
        </w:rPr>
        <w:t xml:space="preserve">isposable </w:t>
      </w:r>
      <w:r w:rsidR="00A4054E">
        <w:rPr>
          <w:lang w:val="en-NZ"/>
        </w:rPr>
        <w:t>i</w:t>
      </w:r>
      <w:r w:rsidR="00BE187F">
        <w:rPr>
          <w:lang w:val="en-NZ"/>
        </w:rPr>
        <w:t>ncome (HEDI)</w:t>
      </w:r>
      <w:r w:rsidR="005367D0">
        <w:rPr>
          <w:lang w:val="en-NZ"/>
        </w:rPr>
        <w:t xml:space="preserve"> </w:t>
      </w:r>
      <w:r w:rsidR="00B543AE">
        <w:rPr>
          <w:lang w:val="en-NZ"/>
        </w:rPr>
        <w:t xml:space="preserve">adjust income </w:t>
      </w:r>
      <w:r w:rsidR="005367D0">
        <w:rPr>
          <w:lang w:val="en-NZ"/>
        </w:rPr>
        <w:t xml:space="preserve">for </w:t>
      </w:r>
      <w:r w:rsidR="009A5490">
        <w:rPr>
          <w:lang w:val="en-NZ"/>
        </w:rPr>
        <w:t>household size</w:t>
      </w:r>
      <w:r w:rsidR="00CE6365">
        <w:rPr>
          <w:lang w:val="en-NZ"/>
        </w:rPr>
        <w:t>. This</w:t>
      </w:r>
      <w:r w:rsidR="009A5490">
        <w:rPr>
          <w:lang w:val="en-NZ"/>
        </w:rPr>
        <w:t xml:space="preserve"> remov</w:t>
      </w:r>
      <w:r w:rsidR="00B543AE">
        <w:rPr>
          <w:lang w:val="en-NZ"/>
        </w:rPr>
        <w:t>es</w:t>
      </w:r>
      <w:r w:rsidR="009A5490">
        <w:rPr>
          <w:lang w:val="en-NZ"/>
        </w:rPr>
        <w:t xml:space="preserve"> anomalies seen in taxable income graphs </w:t>
      </w:r>
      <w:r w:rsidR="004D372F">
        <w:rPr>
          <w:lang w:val="en-NZ"/>
        </w:rPr>
        <w:t>where greater average gains appear to be received by higher income bands when this is</w:t>
      </w:r>
      <w:r w:rsidR="009B4F91">
        <w:rPr>
          <w:lang w:val="en-NZ"/>
        </w:rPr>
        <w:t xml:space="preserve"> merely</w:t>
      </w:r>
      <w:r w:rsidR="004D372F">
        <w:rPr>
          <w:lang w:val="en-NZ"/>
        </w:rPr>
        <w:t xml:space="preserve"> </w:t>
      </w:r>
      <w:r w:rsidR="00D74C16">
        <w:rPr>
          <w:lang w:val="en-NZ"/>
        </w:rPr>
        <w:t>a result</w:t>
      </w:r>
      <w:r w:rsidR="004D372F">
        <w:rPr>
          <w:lang w:val="en-NZ"/>
        </w:rPr>
        <w:t xml:space="preserve"> </w:t>
      </w:r>
      <w:r w:rsidR="00D74C16">
        <w:rPr>
          <w:lang w:val="en-NZ"/>
        </w:rPr>
        <w:t>of</w:t>
      </w:r>
      <w:r w:rsidR="004D372F">
        <w:rPr>
          <w:lang w:val="en-NZ"/>
        </w:rPr>
        <w:t xml:space="preserve"> </w:t>
      </w:r>
      <w:r w:rsidR="009B4F91">
        <w:rPr>
          <w:lang w:val="en-NZ"/>
        </w:rPr>
        <w:t>larger families receiving greater entitlements to meet their greater needs</w:t>
      </w:r>
      <w:r w:rsidR="004D372F">
        <w:rPr>
          <w:lang w:val="en-NZ"/>
        </w:rPr>
        <w:t>.</w:t>
      </w:r>
    </w:p>
    <w:p w14:paraId="74D46BE2" w14:textId="77777777" w:rsidR="002D3624" w:rsidRDefault="002D3624" w:rsidP="00AF302B">
      <w:pPr>
        <w:rPr>
          <w:lang w:val="en-NZ"/>
        </w:rPr>
      </w:pPr>
    </w:p>
    <w:p w14:paraId="2763B5E8" w14:textId="77777777" w:rsidR="00F255E9" w:rsidRDefault="00F255E9" w:rsidP="00AF302B">
      <w:pPr>
        <w:rPr>
          <w:lang w:val="en-NZ"/>
        </w:rPr>
      </w:pPr>
    </w:p>
    <w:p w14:paraId="6D685663" w14:textId="1D06C296" w:rsidR="00F255E9" w:rsidRDefault="00F255E9" w:rsidP="00AF302B">
      <w:pPr>
        <w:rPr>
          <w:lang w:val="en-NZ"/>
        </w:rPr>
        <w:sectPr w:rsidR="00F255E9" w:rsidSect="00150D58">
          <w:pgSz w:w="11906" w:h="16838" w:code="9"/>
          <w:pgMar w:top="1134" w:right="1418" w:bottom="992" w:left="1418" w:header="454" w:footer="454" w:gutter="0"/>
          <w:cols w:space="708"/>
          <w:docGrid w:linePitch="360"/>
        </w:sectPr>
      </w:pPr>
    </w:p>
    <w:p w14:paraId="14B79605" w14:textId="6C148154" w:rsidR="00F85AD4" w:rsidRPr="001A2D13" w:rsidRDefault="00F85AD4" w:rsidP="0083487F">
      <w:pPr>
        <w:rPr>
          <w:i/>
          <w:iCs/>
          <w:lang w:val="en-NZ"/>
        </w:rPr>
      </w:pPr>
      <w:bookmarkStart w:id="11" w:name="_Hlk84581924"/>
      <w:r w:rsidRPr="001A2D13">
        <w:rPr>
          <w:i/>
          <w:iCs/>
          <w:lang w:val="en-NZ"/>
        </w:rPr>
        <w:t xml:space="preserve">Impacts excluding </w:t>
      </w:r>
      <w:r w:rsidR="001A2D13" w:rsidRPr="001A2D13">
        <w:rPr>
          <w:i/>
          <w:iCs/>
          <w:lang w:val="en-NZ"/>
        </w:rPr>
        <w:t>counterfactual indexation</w:t>
      </w:r>
      <w:r w:rsidR="00455DB8">
        <w:rPr>
          <w:i/>
          <w:iCs/>
          <w:lang w:val="en-NZ"/>
        </w:rPr>
        <w:t>,</w:t>
      </w:r>
      <w:r w:rsidR="001A2D13" w:rsidRPr="001A2D13">
        <w:rPr>
          <w:i/>
          <w:iCs/>
          <w:lang w:val="en-NZ"/>
        </w:rPr>
        <w:t xml:space="preserve"> by taxable income</w:t>
      </w:r>
    </w:p>
    <w:bookmarkEnd w:id="11"/>
    <w:p w14:paraId="0B3E215B" w14:textId="022904DB" w:rsidR="00AD3F78" w:rsidRDefault="004C2E8E" w:rsidP="0083487F">
      <w:pPr>
        <w:rPr>
          <w:lang w:val="en-NZ"/>
        </w:rPr>
      </w:pPr>
      <w:r>
        <w:rPr>
          <w:lang w:val="en-NZ"/>
        </w:rPr>
        <w:t>Options</w:t>
      </w:r>
      <w:r w:rsidR="009B79D3">
        <w:rPr>
          <w:lang w:val="en-NZ"/>
        </w:rPr>
        <w:t xml:space="preserve"> are in order </w:t>
      </w:r>
      <w:r w:rsidR="00221D2C">
        <w:rPr>
          <w:lang w:val="en-NZ"/>
        </w:rPr>
        <w:t>from A1 on the left</w:t>
      </w:r>
      <w:r w:rsidR="00AD2E4C">
        <w:rPr>
          <w:lang w:val="en-NZ"/>
        </w:rPr>
        <w:t xml:space="preserve"> to B on the right</w:t>
      </w:r>
      <w:r w:rsidR="00221D2C">
        <w:rPr>
          <w:lang w:val="en-NZ"/>
        </w:rPr>
        <w:t>.</w:t>
      </w:r>
    </w:p>
    <w:p w14:paraId="0641A490" w14:textId="3ACC2776" w:rsidR="0007560F" w:rsidRDefault="008335E0" w:rsidP="0083487F">
      <w:pPr>
        <w:rPr>
          <w:lang w:val="en-NZ"/>
        </w:rPr>
      </w:pPr>
      <w:r w:rsidRPr="008335E0">
        <w:rPr>
          <w:noProof/>
          <w:lang w:val="en-NZ"/>
        </w:rPr>
        <w:drawing>
          <wp:inline distT="0" distB="0" distL="0" distR="0" wp14:anchorId="491DE5F3" wp14:editId="66BE20FC">
            <wp:extent cx="9748119" cy="29337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52200" cy="2934928"/>
                    </a:xfrm>
                    <a:prstGeom prst="rect">
                      <a:avLst/>
                    </a:prstGeom>
                  </pic:spPr>
                </pic:pic>
              </a:graphicData>
            </a:graphic>
          </wp:inline>
        </w:drawing>
      </w:r>
    </w:p>
    <w:p w14:paraId="161D8FBF" w14:textId="51C7B125" w:rsidR="007B6A7D" w:rsidRDefault="00DB310A" w:rsidP="0083487F">
      <w:pPr>
        <w:rPr>
          <w:lang w:val="en-NZ"/>
        </w:rPr>
        <w:sectPr w:rsidR="007B6A7D" w:rsidSect="007159DD">
          <w:pgSz w:w="16838" w:h="11906" w:orient="landscape" w:code="9"/>
          <w:pgMar w:top="1418" w:right="1134" w:bottom="1418" w:left="992" w:header="454" w:footer="454" w:gutter="0"/>
          <w:cols w:space="708"/>
          <w:docGrid w:linePitch="360"/>
        </w:sectPr>
      </w:pPr>
      <w:r>
        <w:rPr>
          <w:lang w:val="en-NZ"/>
        </w:rPr>
        <w:t xml:space="preserve">A1 is the only option </w:t>
      </w:r>
      <w:r w:rsidR="00441E3E">
        <w:rPr>
          <w:lang w:val="en-NZ"/>
        </w:rPr>
        <w:t>without losers as it is the only option that does not increase targeting through abatement rate increases.</w:t>
      </w:r>
      <w:r w:rsidR="00265874">
        <w:rPr>
          <w:lang w:val="en-NZ"/>
        </w:rPr>
        <w:t xml:space="preserve"> However, A1’s greatest weekly increases </w:t>
      </w:r>
      <w:r w:rsidR="003054D1">
        <w:rPr>
          <w:lang w:val="en-NZ"/>
        </w:rPr>
        <w:t>appear to be</w:t>
      </w:r>
      <w:r w:rsidR="00265874">
        <w:rPr>
          <w:lang w:val="en-NZ"/>
        </w:rPr>
        <w:t xml:space="preserve"> in the highest income b</w:t>
      </w:r>
      <w:r w:rsidR="006A5015">
        <w:rPr>
          <w:lang w:val="en-NZ"/>
        </w:rPr>
        <w:t>ands</w:t>
      </w:r>
      <w:r w:rsidR="00265874">
        <w:rPr>
          <w:lang w:val="en-NZ"/>
        </w:rPr>
        <w:t>.</w:t>
      </w:r>
      <w:r w:rsidR="00000D53">
        <w:rPr>
          <w:lang w:val="en-NZ"/>
        </w:rPr>
        <w:t xml:space="preserve"> </w:t>
      </w:r>
      <w:r w:rsidR="0084425A" w:rsidRPr="0084425A">
        <w:rPr>
          <w:lang w:val="en-NZ"/>
        </w:rPr>
        <w:t xml:space="preserve">This may be because families who are receiving the FTC with higher incomes have multiple children, </w:t>
      </w:r>
      <w:r w:rsidR="00B85D12">
        <w:rPr>
          <w:lang w:val="en-NZ"/>
        </w:rPr>
        <w:t xml:space="preserve">and </w:t>
      </w:r>
      <w:r w:rsidR="0084425A" w:rsidRPr="0084425A">
        <w:rPr>
          <w:lang w:val="en-NZ"/>
        </w:rPr>
        <w:t xml:space="preserve">therefore </w:t>
      </w:r>
      <w:r w:rsidR="00B85D12">
        <w:rPr>
          <w:lang w:val="en-NZ"/>
        </w:rPr>
        <w:t xml:space="preserve">they </w:t>
      </w:r>
      <w:r w:rsidR="0084425A" w:rsidRPr="0084425A">
        <w:rPr>
          <w:lang w:val="en-NZ"/>
        </w:rPr>
        <w:t>would receive the $5 increase per child per week</w:t>
      </w:r>
      <w:r w:rsidR="00CE0778">
        <w:rPr>
          <w:lang w:val="en-NZ"/>
        </w:rPr>
        <w:t>.</w:t>
      </w:r>
      <w:r w:rsidR="0084425A" w:rsidRPr="0084425A">
        <w:rPr>
          <w:lang w:val="en-NZ"/>
        </w:rPr>
        <w:t xml:space="preserve"> </w:t>
      </w:r>
      <w:r w:rsidR="00000D53">
        <w:rPr>
          <w:lang w:val="en-NZ"/>
        </w:rPr>
        <w:t xml:space="preserve">Option B </w:t>
      </w:r>
      <w:r w:rsidR="00E00347">
        <w:rPr>
          <w:lang w:val="en-NZ"/>
        </w:rPr>
        <w:t xml:space="preserve">creates the </w:t>
      </w:r>
      <w:r w:rsidR="00EB57AE">
        <w:rPr>
          <w:lang w:val="en-NZ"/>
        </w:rPr>
        <w:t xml:space="preserve">greatest weekly </w:t>
      </w:r>
      <w:r w:rsidR="00ED761A">
        <w:rPr>
          <w:lang w:val="en-NZ"/>
        </w:rPr>
        <w:t>gains</w:t>
      </w:r>
      <w:r w:rsidR="00B677A6">
        <w:rPr>
          <w:lang w:val="en-NZ"/>
        </w:rPr>
        <w:t xml:space="preserve">, albeit with the greatest </w:t>
      </w:r>
      <w:r w:rsidR="001C747A">
        <w:rPr>
          <w:lang w:val="en-NZ"/>
        </w:rPr>
        <w:t>losses</w:t>
      </w:r>
      <w:r w:rsidR="00841C8D">
        <w:rPr>
          <w:lang w:val="en-NZ"/>
        </w:rPr>
        <w:t>. However, the</w:t>
      </w:r>
      <w:r w:rsidR="00B85D12">
        <w:rPr>
          <w:lang w:val="en-NZ"/>
        </w:rPr>
        <w:t xml:space="preserve"> gains</w:t>
      </w:r>
      <w:r w:rsidR="00841C8D">
        <w:rPr>
          <w:lang w:val="en-NZ"/>
        </w:rPr>
        <w:t xml:space="preserve"> are targeted</w:t>
      </w:r>
      <w:r w:rsidR="005D5E39">
        <w:rPr>
          <w:lang w:val="en-NZ"/>
        </w:rPr>
        <w:t xml:space="preserve"> to benefit low-income families,</w:t>
      </w:r>
      <w:r w:rsidR="00841C8D">
        <w:rPr>
          <w:lang w:val="en-NZ"/>
        </w:rPr>
        <w:t xml:space="preserve"> </w:t>
      </w:r>
      <w:r w:rsidR="006373F8">
        <w:rPr>
          <w:lang w:val="en-NZ"/>
        </w:rPr>
        <w:t xml:space="preserve">with increases averaging </w:t>
      </w:r>
      <w:r w:rsidR="00532381">
        <w:rPr>
          <w:lang w:val="en-NZ"/>
        </w:rPr>
        <w:t>from $11</w:t>
      </w:r>
      <w:r w:rsidR="001D173C">
        <w:rPr>
          <w:lang w:val="en-NZ"/>
        </w:rPr>
        <w:t xml:space="preserve"> to $</w:t>
      </w:r>
      <w:r w:rsidR="00532381">
        <w:rPr>
          <w:lang w:val="en-NZ"/>
        </w:rPr>
        <w:t xml:space="preserve">15 p/w </w:t>
      </w:r>
      <w:r w:rsidR="00841C8D">
        <w:rPr>
          <w:lang w:val="en-NZ"/>
        </w:rPr>
        <w:t>in</w:t>
      </w:r>
      <w:r w:rsidR="00265874">
        <w:rPr>
          <w:lang w:val="en-NZ"/>
        </w:rPr>
        <w:t xml:space="preserve"> the</w:t>
      </w:r>
      <w:r w:rsidR="006A5015">
        <w:rPr>
          <w:lang w:val="en-NZ"/>
        </w:rPr>
        <w:t xml:space="preserve"> $0-</w:t>
      </w:r>
      <w:r w:rsidR="009710BB">
        <w:rPr>
          <w:lang w:val="en-NZ"/>
        </w:rPr>
        <w:t>6</w:t>
      </w:r>
      <w:r w:rsidR="006A5015">
        <w:rPr>
          <w:lang w:val="en-NZ"/>
        </w:rPr>
        <w:t>0k income bands</w:t>
      </w:r>
      <w:r w:rsidR="004C63A2">
        <w:rPr>
          <w:lang w:val="en-NZ"/>
        </w:rPr>
        <w:t xml:space="preserve"> while</w:t>
      </w:r>
      <w:r w:rsidR="00841C8D">
        <w:rPr>
          <w:lang w:val="en-NZ"/>
        </w:rPr>
        <w:t xml:space="preserve"> losses</w:t>
      </w:r>
      <w:r w:rsidR="00F319CF">
        <w:rPr>
          <w:lang w:val="en-NZ"/>
        </w:rPr>
        <w:t xml:space="preserve"> </w:t>
      </w:r>
      <w:r w:rsidR="004C63A2">
        <w:rPr>
          <w:lang w:val="en-NZ"/>
        </w:rPr>
        <w:t xml:space="preserve">only </w:t>
      </w:r>
      <w:r w:rsidR="00F319CF">
        <w:rPr>
          <w:lang w:val="en-NZ"/>
        </w:rPr>
        <w:t>occur for families earning $</w:t>
      </w:r>
      <w:r w:rsidR="000D0F3F">
        <w:rPr>
          <w:lang w:val="en-NZ"/>
        </w:rPr>
        <w:t>6</w:t>
      </w:r>
      <w:r w:rsidR="00F319CF">
        <w:rPr>
          <w:lang w:val="en-NZ"/>
        </w:rPr>
        <w:t xml:space="preserve">0k </w:t>
      </w:r>
      <w:r w:rsidR="000D0F3F">
        <w:rPr>
          <w:lang w:val="en-NZ"/>
        </w:rPr>
        <w:t xml:space="preserve">or more </w:t>
      </w:r>
      <w:r w:rsidR="00F319CF">
        <w:rPr>
          <w:lang w:val="en-NZ"/>
        </w:rPr>
        <w:t>a year</w:t>
      </w:r>
      <w:r w:rsidR="006E15A9">
        <w:rPr>
          <w:lang w:val="en-NZ"/>
        </w:rPr>
        <w:t>.</w:t>
      </w:r>
    </w:p>
    <w:p w14:paraId="7D2E8373" w14:textId="61C8B6AA" w:rsidR="00534384" w:rsidRPr="001A2D13" w:rsidRDefault="00534384" w:rsidP="00534384">
      <w:pPr>
        <w:rPr>
          <w:i/>
          <w:iCs/>
          <w:lang w:val="en-NZ"/>
        </w:rPr>
      </w:pPr>
      <w:r w:rsidRPr="001A2D13">
        <w:rPr>
          <w:i/>
          <w:iCs/>
          <w:lang w:val="en-NZ"/>
        </w:rPr>
        <w:t>Impacts excluding counterfactual indexation</w:t>
      </w:r>
      <w:r w:rsidR="00455DB8">
        <w:rPr>
          <w:i/>
          <w:iCs/>
          <w:lang w:val="en-NZ"/>
        </w:rPr>
        <w:t>,</w:t>
      </w:r>
      <w:r w:rsidRPr="001A2D13">
        <w:rPr>
          <w:i/>
          <w:iCs/>
          <w:lang w:val="en-NZ"/>
        </w:rPr>
        <w:t xml:space="preserve"> by </w:t>
      </w:r>
      <w:r>
        <w:rPr>
          <w:i/>
          <w:iCs/>
          <w:lang w:val="en-NZ"/>
        </w:rPr>
        <w:t>HEDI</w:t>
      </w:r>
    </w:p>
    <w:p w14:paraId="36D5946A" w14:textId="72D32A96" w:rsidR="000B7B9E" w:rsidRDefault="007B6038" w:rsidP="0083487F">
      <w:pPr>
        <w:rPr>
          <w:lang w:val="en-NZ"/>
        </w:rPr>
      </w:pPr>
      <w:r w:rsidRPr="007B6038">
        <w:rPr>
          <w:noProof/>
          <w:lang w:val="en-NZ"/>
        </w:rPr>
        <w:drawing>
          <wp:inline distT="0" distB="0" distL="0" distR="0" wp14:anchorId="2A15B6ED" wp14:editId="21A62595">
            <wp:extent cx="9715500"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15500" cy="2914650"/>
                    </a:xfrm>
                    <a:prstGeom prst="rect">
                      <a:avLst/>
                    </a:prstGeom>
                  </pic:spPr>
                </pic:pic>
              </a:graphicData>
            </a:graphic>
          </wp:inline>
        </w:drawing>
      </w:r>
    </w:p>
    <w:p w14:paraId="01479F9E" w14:textId="4CBC18C5" w:rsidR="00CC3093" w:rsidRDefault="00B5129F" w:rsidP="0083487F">
      <w:pPr>
        <w:rPr>
          <w:lang w:val="en-NZ"/>
        </w:rPr>
      </w:pPr>
      <w:r>
        <w:rPr>
          <w:lang w:val="en-NZ"/>
        </w:rPr>
        <w:t>Measuring by</w:t>
      </w:r>
      <w:r w:rsidR="00FE36A4">
        <w:rPr>
          <w:lang w:val="en-NZ"/>
        </w:rPr>
        <w:t xml:space="preserve"> </w:t>
      </w:r>
      <w:r>
        <w:rPr>
          <w:lang w:val="en-NZ"/>
        </w:rPr>
        <w:t>HEDI</w:t>
      </w:r>
      <w:r w:rsidR="00FE36A4">
        <w:rPr>
          <w:lang w:val="en-NZ"/>
        </w:rPr>
        <w:t xml:space="preserve"> demonstrates that</w:t>
      </w:r>
      <w:r w:rsidR="00A5772A">
        <w:rPr>
          <w:lang w:val="en-NZ"/>
        </w:rPr>
        <w:t>, despite what the previous graph might imply,</w:t>
      </w:r>
      <w:r w:rsidR="00FE36A4">
        <w:rPr>
          <w:lang w:val="en-NZ"/>
        </w:rPr>
        <w:t xml:space="preserve"> option A1</w:t>
      </w:r>
      <w:r w:rsidR="0061395F">
        <w:rPr>
          <w:lang w:val="en-NZ"/>
        </w:rPr>
        <w:t xml:space="preserve"> </w:t>
      </w:r>
      <w:r w:rsidR="00D01548">
        <w:rPr>
          <w:lang w:val="en-NZ"/>
        </w:rPr>
        <w:t>provides</w:t>
      </w:r>
      <w:r w:rsidR="0061395F">
        <w:rPr>
          <w:lang w:val="en-NZ"/>
        </w:rPr>
        <w:t xml:space="preserve"> the </w:t>
      </w:r>
      <w:r w:rsidR="00D01548">
        <w:rPr>
          <w:lang w:val="en-NZ"/>
        </w:rPr>
        <w:t>great</w:t>
      </w:r>
      <w:r w:rsidR="0061395F">
        <w:rPr>
          <w:lang w:val="en-NZ"/>
        </w:rPr>
        <w:t>est gains (</w:t>
      </w:r>
      <w:r w:rsidR="00FB4D69">
        <w:rPr>
          <w:lang w:val="en-NZ"/>
        </w:rPr>
        <w:t xml:space="preserve">$10 to $11 p/w) </w:t>
      </w:r>
      <w:r w:rsidR="00C728F3">
        <w:rPr>
          <w:lang w:val="en-NZ"/>
        </w:rPr>
        <w:t xml:space="preserve">to families with the </w:t>
      </w:r>
      <w:r w:rsidR="002F7E4A">
        <w:rPr>
          <w:lang w:val="en-NZ"/>
        </w:rPr>
        <w:t>greatest need</w:t>
      </w:r>
      <w:r w:rsidR="00711F2E">
        <w:rPr>
          <w:lang w:val="en-NZ"/>
        </w:rPr>
        <w:t>. However, it still spreads expenditure higher up the income bands than other options as it is not combined with an abatement rate increase.</w:t>
      </w:r>
      <w:r w:rsidR="00B450D0">
        <w:rPr>
          <w:lang w:val="en-NZ"/>
        </w:rPr>
        <w:t xml:space="preserve"> This </w:t>
      </w:r>
      <w:r w:rsidR="00B92075">
        <w:rPr>
          <w:lang w:val="en-NZ"/>
        </w:rPr>
        <w:t>makes it less effectively targeted than the other option</w:t>
      </w:r>
      <w:r w:rsidR="00A73FBF">
        <w:rPr>
          <w:lang w:val="en-NZ"/>
        </w:rPr>
        <w:t>s</w:t>
      </w:r>
      <w:r w:rsidR="00B92075">
        <w:rPr>
          <w:lang w:val="en-NZ"/>
        </w:rPr>
        <w:t xml:space="preserve"> as</w:t>
      </w:r>
      <w:r w:rsidR="00B450D0">
        <w:rPr>
          <w:lang w:val="en-NZ"/>
        </w:rPr>
        <w:t xml:space="preserve"> </w:t>
      </w:r>
      <w:r w:rsidR="005F7ECA">
        <w:rPr>
          <w:lang w:val="en-NZ"/>
        </w:rPr>
        <w:t>a smaller proportion</w:t>
      </w:r>
      <w:r w:rsidR="00A73FBF">
        <w:rPr>
          <w:lang w:val="en-NZ"/>
        </w:rPr>
        <w:t xml:space="preserve"> of</w:t>
      </w:r>
      <w:r w:rsidR="00B450D0">
        <w:rPr>
          <w:lang w:val="en-NZ"/>
        </w:rPr>
        <w:t xml:space="preserve"> its </w:t>
      </w:r>
      <w:r w:rsidR="0061101F">
        <w:rPr>
          <w:lang w:val="en-NZ"/>
        </w:rPr>
        <w:t xml:space="preserve">(much larger) </w:t>
      </w:r>
      <w:r w:rsidR="00B450D0">
        <w:rPr>
          <w:lang w:val="en-NZ"/>
        </w:rPr>
        <w:t>fiscal cost is concentrated towards lifting children out of poverty</w:t>
      </w:r>
      <w:r>
        <w:rPr>
          <w:lang w:val="en-NZ"/>
        </w:rPr>
        <w:t>.</w:t>
      </w:r>
      <w:r w:rsidR="00EE23B5">
        <w:rPr>
          <w:lang w:val="en-NZ"/>
        </w:rPr>
        <w:t xml:space="preserve"> </w:t>
      </w:r>
      <w:r>
        <w:rPr>
          <w:lang w:val="en-NZ"/>
        </w:rPr>
        <w:t>However,</w:t>
      </w:r>
      <w:r w:rsidR="00EE23B5">
        <w:rPr>
          <w:lang w:val="en-NZ"/>
        </w:rPr>
        <w:t xml:space="preserve"> </w:t>
      </w:r>
      <w:r w:rsidR="0061101F">
        <w:rPr>
          <w:lang w:val="en-NZ"/>
        </w:rPr>
        <w:t>t</w:t>
      </w:r>
      <w:r w:rsidR="006841F9">
        <w:rPr>
          <w:lang w:val="en-NZ"/>
        </w:rPr>
        <w:t xml:space="preserve">his </w:t>
      </w:r>
      <w:r w:rsidR="00242156">
        <w:rPr>
          <w:lang w:val="en-NZ"/>
        </w:rPr>
        <w:t xml:space="preserve">less targeted </w:t>
      </w:r>
      <w:r w:rsidR="006841F9">
        <w:rPr>
          <w:lang w:val="en-NZ"/>
        </w:rPr>
        <w:t>expenditure</w:t>
      </w:r>
      <w:r w:rsidR="00EE23B5">
        <w:rPr>
          <w:lang w:val="en-NZ"/>
        </w:rPr>
        <w:t xml:space="preserve"> will</w:t>
      </w:r>
      <w:r w:rsidR="006841F9">
        <w:rPr>
          <w:lang w:val="en-NZ"/>
        </w:rPr>
        <w:t xml:space="preserve"> </w:t>
      </w:r>
      <w:r w:rsidR="00D01548">
        <w:rPr>
          <w:lang w:val="en-NZ"/>
        </w:rPr>
        <w:t xml:space="preserve">still be beneficial </w:t>
      </w:r>
      <w:r w:rsidR="00331017">
        <w:rPr>
          <w:lang w:val="en-NZ"/>
        </w:rPr>
        <w:t xml:space="preserve">to </w:t>
      </w:r>
      <w:r w:rsidR="006841F9">
        <w:rPr>
          <w:lang w:val="en-NZ"/>
        </w:rPr>
        <w:t xml:space="preserve">other </w:t>
      </w:r>
      <w:r w:rsidR="00F05F9B">
        <w:rPr>
          <w:lang w:val="en-NZ"/>
        </w:rPr>
        <w:t>low</w:t>
      </w:r>
      <w:r w:rsidR="0000377D">
        <w:rPr>
          <w:lang w:val="en-NZ"/>
        </w:rPr>
        <w:t>- and medium</w:t>
      </w:r>
      <w:r w:rsidR="00F05F9B">
        <w:rPr>
          <w:lang w:val="en-NZ"/>
        </w:rPr>
        <w:t>-income families</w:t>
      </w:r>
      <w:r w:rsidR="00331017">
        <w:rPr>
          <w:lang w:val="en-NZ"/>
        </w:rPr>
        <w:t xml:space="preserve"> </w:t>
      </w:r>
      <w:r w:rsidR="00242156">
        <w:rPr>
          <w:lang w:val="en-NZ"/>
        </w:rPr>
        <w:t>as it will</w:t>
      </w:r>
      <w:r w:rsidR="00331017">
        <w:rPr>
          <w:lang w:val="en-NZ"/>
        </w:rPr>
        <w:t xml:space="preserve"> improv</w:t>
      </w:r>
      <w:r w:rsidR="00242156">
        <w:rPr>
          <w:lang w:val="en-NZ"/>
        </w:rPr>
        <w:t>e</w:t>
      </w:r>
      <w:r w:rsidR="00331017">
        <w:rPr>
          <w:lang w:val="en-NZ"/>
        </w:rPr>
        <w:t xml:space="preserve"> their income adequacy.</w:t>
      </w:r>
    </w:p>
    <w:p w14:paraId="095AA05C" w14:textId="77777777" w:rsidR="000E3F18" w:rsidRDefault="000E3F18" w:rsidP="0083487F">
      <w:pPr>
        <w:rPr>
          <w:lang w:val="en-NZ"/>
        </w:rPr>
        <w:sectPr w:rsidR="000E3F18" w:rsidSect="007159DD">
          <w:pgSz w:w="16838" w:h="11906" w:orient="landscape" w:code="9"/>
          <w:pgMar w:top="1418" w:right="1134" w:bottom="1418" w:left="992" w:header="454" w:footer="454" w:gutter="0"/>
          <w:cols w:space="708"/>
          <w:docGrid w:linePitch="360"/>
        </w:sectPr>
      </w:pPr>
    </w:p>
    <w:p w14:paraId="36EEFC16" w14:textId="2F22B6B9" w:rsidR="000E3F18" w:rsidRPr="001A2D13" w:rsidRDefault="000E3F18" w:rsidP="000E3F18">
      <w:pPr>
        <w:rPr>
          <w:i/>
          <w:iCs/>
          <w:lang w:val="en-NZ"/>
        </w:rPr>
      </w:pPr>
      <w:r w:rsidRPr="001A2D13">
        <w:rPr>
          <w:i/>
          <w:iCs/>
          <w:lang w:val="en-NZ"/>
        </w:rPr>
        <w:t xml:space="preserve">Impacts </w:t>
      </w:r>
      <w:r>
        <w:rPr>
          <w:i/>
          <w:iCs/>
          <w:lang w:val="en-NZ"/>
        </w:rPr>
        <w:t>in</w:t>
      </w:r>
      <w:r w:rsidRPr="001A2D13">
        <w:rPr>
          <w:i/>
          <w:iCs/>
          <w:lang w:val="en-NZ"/>
        </w:rPr>
        <w:t>cluding counterfactual indexation</w:t>
      </w:r>
      <w:r w:rsidR="00455DB8">
        <w:rPr>
          <w:i/>
          <w:iCs/>
          <w:lang w:val="en-NZ"/>
        </w:rPr>
        <w:t>,</w:t>
      </w:r>
      <w:r w:rsidRPr="001A2D13">
        <w:rPr>
          <w:i/>
          <w:iCs/>
          <w:lang w:val="en-NZ"/>
        </w:rPr>
        <w:t xml:space="preserve"> by taxable income</w:t>
      </w:r>
    </w:p>
    <w:p w14:paraId="092D8F2D" w14:textId="496F5968" w:rsidR="002E2C0B" w:rsidRDefault="00455DB8" w:rsidP="00EB0D3A">
      <w:pPr>
        <w:rPr>
          <w:lang w:val="en-NZ"/>
        </w:rPr>
      </w:pPr>
      <w:r w:rsidRPr="00455DB8">
        <w:rPr>
          <w:noProof/>
          <w:lang w:val="en-NZ"/>
        </w:rPr>
        <w:drawing>
          <wp:inline distT="0" distB="0" distL="0" distR="0" wp14:anchorId="4FC5CF09" wp14:editId="73611A1C">
            <wp:extent cx="9714262" cy="283845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20861" cy="2840378"/>
                    </a:xfrm>
                    <a:prstGeom prst="rect">
                      <a:avLst/>
                    </a:prstGeom>
                  </pic:spPr>
                </pic:pic>
              </a:graphicData>
            </a:graphic>
          </wp:inline>
        </w:drawing>
      </w:r>
    </w:p>
    <w:p w14:paraId="70FB4394" w14:textId="74E3AD08" w:rsidR="0035361C" w:rsidRDefault="002E2C0B" w:rsidP="00EB0D3A">
      <w:pPr>
        <w:rPr>
          <w:lang w:val="en-NZ"/>
        </w:rPr>
      </w:pPr>
      <w:r>
        <w:rPr>
          <w:lang w:val="en-NZ"/>
        </w:rPr>
        <w:t>When options are combined with counterfactual indexation</w:t>
      </w:r>
      <w:r w:rsidR="00402D8E">
        <w:rPr>
          <w:lang w:val="en-NZ"/>
        </w:rPr>
        <w:t xml:space="preserve"> </w:t>
      </w:r>
      <w:r w:rsidR="00455DB8">
        <w:rPr>
          <w:lang w:val="en-NZ"/>
        </w:rPr>
        <w:t>very few</w:t>
      </w:r>
      <w:r w:rsidR="00402D8E">
        <w:rPr>
          <w:lang w:val="en-NZ"/>
        </w:rPr>
        <w:t xml:space="preserve"> </w:t>
      </w:r>
      <w:r w:rsidR="00B078DF">
        <w:rPr>
          <w:lang w:val="en-NZ"/>
        </w:rPr>
        <w:t>customers experience losses</w:t>
      </w:r>
      <w:r w:rsidR="00287696">
        <w:rPr>
          <w:lang w:val="en-NZ"/>
        </w:rPr>
        <w:t>. Similar to t</w:t>
      </w:r>
      <w:r w:rsidR="00AF344C">
        <w:rPr>
          <w:lang w:val="en-NZ"/>
        </w:rPr>
        <w:t>he results in the previous graphs, o</w:t>
      </w:r>
      <w:r w:rsidR="00364BA7">
        <w:rPr>
          <w:lang w:val="en-NZ"/>
        </w:rPr>
        <w:t>ption B</w:t>
      </w:r>
      <w:r w:rsidR="00FD2587">
        <w:rPr>
          <w:lang w:val="en-NZ"/>
        </w:rPr>
        <w:t xml:space="preserve"> </w:t>
      </w:r>
      <w:r w:rsidR="00346276">
        <w:rPr>
          <w:lang w:val="en-NZ"/>
        </w:rPr>
        <w:t>produce</w:t>
      </w:r>
      <w:r w:rsidR="00FD2587">
        <w:rPr>
          <w:lang w:val="en-NZ"/>
        </w:rPr>
        <w:t>s</w:t>
      </w:r>
      <w:r w:rsidR="00346276">
        <w:rPr>
          <w:lang w:val="en-NZ"/>
        </w:rPr>
        <w:t xml:space="preserve"> the largest weekly increases </w:t>
      </w:r>
      <w:r w:rsidR="00EB6E98">
        <w:rPr>
          <w:lang w:val="en-NZ"/>
        </w:rPr>
        <w:t>(from $2</w:t>
      </w:r>
      <w:r w:rsidR="003670BE">
        <w:rPr>
          <w:lang w:val="en-NZ"/>
        </w:rPr>
        <w:t>0</w:t>
      </w:r>
      <w:r w:rsidR="00EB6E98">
        <w:rPr>
          <w:lang w:val="en-NZ"/>
        </w:rPr>
        <w:t xml:space="preserve"> to $27 p/w) </w:t>
      </w:r>
      <w:r w:rsidR="00346276">
        <w:rPr>
          <w:lang w:val="en-NZ"/>
        </w:rPr>
        <w:t>for families in the bottom income bands</w:t>
      </w:r>
      <w:r w:rsidR="00404196">
        <w:rPr>
          <w:lang w:val="en-NZ"/>
        </w:rPr>
        <w:t xml:space="preserve"> </w:t>
      </w:r>
      <w:r w:rsidR="00AF344C">
        <w:rPr>
          <w:lang w:val="en-NZ"/>
        </w:rPr>
        <w:t>($</w:t>
      </w:r>
      <w:r w:rsidR="00BB73AB">
        <w:rPr>
          <w:lang w:val="en-NZ"/>
        </w:rPr>
        <w:t xml:space="preserve">0-60k) </w:t>
      </w:r>
      <w:r w:rsidR="00404196">
        <w:rPr>
          <w:lang w:val="en-NZ"/>
        </w:rPr>
        <w:t xml:space="preserve">while options A2 and A3 </w:t>
      </w:r>
      <w:r w:rsidR="00803E1B">
        <w:rPr>
          <w:lang w:val="en-NZ"/>
        </w:rPr>
        <w:t>produce lower increases</w:t>
      </w:r>
      <w:r w:rsidR="006B3656">
        <w:rPr>
          <w:lang w:val="en-NZ"/>
        </w:rPr>
        <w:t xml:space="preserve"> ($18 to $22</w:t>
      </w:r>
      <w:r w:rsidR="00D860C9">
        <w:rPr>
          <w:lang w:val="en-NZ"/>
        </w:rPr>
        <w:t xml:space="preserve"> p/w for the same bands)</w:t>
      </w:r>
      <w:r w:rsidR="00803E1B">
        <w:rPr>
          <w:lang w:val="en-NZ"/>
        </w:rPr>
        <w:t>.</w:t>
      </w:r>
      <w:r w:rsidR="00190785">
        <w:rPr>
          <w:lang w:val="en-NZ"/>
        </w:rPr>
        <w:t xml:space="preserve"> </w:t>
      </w:r>
      <w:r w:rsidR="00F23A1B">
        <w:rPr>
          <w:lang w:val="en-NZ"/>
        </w:rPr>
        <w:t xml:space="preserve">Although option B still produces some losers in </w:t>
      </w:r>
      <w:r w:rsidR="00F95C9A">
        <w:rPr>
          <w:lang w:val="en-NZ"/>
        </w:rPr>
        <w:t>the &gt;$60k income bands,</w:t>
      </w:r>
      <w:r w:rsidR="00B44980">
        <w:rPr>
          <w:lang w:val="en-NZ"/>
        </w:rPr>
        <w:t xml:space="preserve"> </w:t>
      </w:r>
      <w:r w:rsidR="00023518">
        <w:rPr>
          <w:lang w:val="en-NZ"/>
        </w:rPr>
        <w:t>on average</w:t>
      </w:r>
      <w:r w:rsidR="00F95C9A">
        <w:rPr>
          <w:lang w:val="en-NZ"/>
        </w:rPr>
        <w:t xml:space="preserve"> customers in these bands experience increases of </w:t>
      </w:r>
      <w:r w:rsidR="00B44980">
        <w:rPr>
          <w:lang w:val="en-NZ"/>
        </w:rPr>
        <w:t xml:space="preserve">$3 to $15. </w:t>
      </w:r>
      <w:r w:rsidR="00190785">
        <w:rPr>
          <w:lang w:val="en-NZ"/>
        </w:rPr>
        <w:t xml:space="preserve">When combined with indexation, option A1 produces </w:t>
      </w:r>
      <w:r w:rsidR="00C607AB">
        <w:rPr>
          <w:lang w:val="en-NZ"/>
        </w:rPr>
        <w:t xml:space="preserve">average gains </w:t>
      </w:r>
      <w:r w:rsidR="00AD1DAA">
        <w:rPr>
          <w:lang w:val="en-NZ"/>
        </w:rPr>
        <w:t xml:space="preserve">of </w:t>
      </w:r>
      <w:r w:rsidR="00C607AB">
        <w:rPr>
          <w:lang w:val="en-NZ"/>
        </w:rPr>
        <w:t xml:space="preserve">around </w:t>
      </w:r>
      <w:r w:rsidR="00AD1DAA">
        <w:rPr>
          <w:lang w:val="en-NZ"/>
        </w:rPr>
        <w:t xml:space="preserve">$20 p/w </w:t>
      </w:r>
      <w:r w:rsidR="00262ED2">
        <w:rPr>
          <w:lang w:val="en-NZ"/>
        </w:rPr>
        <w:t>spread reasonably evenly across income bands</w:t>
      </w:r>
      <w:r w:rsidR="00073EB6">
        <w:rPr>
          <w:lang w:val="en-NZ"/>
        </w:rPr>
        <w:t xml:space="preserve">. </w:t>
      </w:r>
    </w:p>
    <w:p w14:paraId="5D33979E" w14:textId="77777777" w:rsidR="000E3F18" w:rsidRDefault="000E3F18" w:rsidP="00EB0D3A">
      <w:pPr>
        <w:rPr>
          <w:lang w:val="en-NZ"/>
        </w:rPr>
        <w:sectPr w:rsidR="000E3F18" w:rsidSect="007159DD">
          <w:pgSz w:w="16838" w:h="11906" w:orient="landscape" w:code="9"/>
          <w:pgMar w:top="1418" w:right="1134" w:bottom="1418" w:left="992" w:header="454" w:footer="454" w:gutter="0"/>
          <w:cols w:space="708"/>
          <w:docGrid w:linePitch="360"/>
        </w:sectPr>
      </w:pPr>
    </w:p>
    <w:p w14:paraId="51734806" w14:textId="0E0423DD" w:rsidR="000E3F18" w:rsidRPr="001A2D13" w:rsidRDefault="000E3F18" w:rsidP="000E3F18">
      <w:pPr>
        <w:rPr>
          <w:i/>
          <w:iCs/>
          <w:lang w:val="en-NZ"/>
        </w:rPr>
      </w:pPr>
      <w:r w:rsidRPr="001A2D13">
        <w:rPr>
          <w:i/>
          <w:iCs/>
          <w:lang w:val="en-NZ"/>
        </w:rPr>
        <w:t xml:space="preserve">Impacts </w:t>
      </w:r>
      <w:r>
        <w:rPr>
          <w:i/>
          <w:iCs/>
          <w:lang w:val="en-NZ"/>
        </w:rPr>
        <w:t>in</w:t>
      </w:r>
      <w:r w:rsidRPr="001A2D13">
        <w:rPr>
          <w:i/>
          <w:iCs/>
          <w:lang w:val="en-NZ"/>
        </w:rPr>
        <w:t>cluding counterfactual indexation</w:t>
      </w:r>
      <w:r w:rsidR="000C32EE">
        <w:rPr>
          <w:i/>
          <w:iCs/>
          <w:lang w:val="en-NZ"/>
        </w:rPr>
        <w:t>,</w:t>
      </w:r>
      <w:r w:rsidRPr="001A2D13">
        <w:rPr>
          <w:i/>
          <w:iCs/>
          <w:lang w:val="en-NZ"/>
        </w:rPr>
        <w:t xml:space="preserve"> by </w:t>
      </w:r>
      <w:r>
        <w:rPr>
          <w:i/>
          <w:iCs/>
          <w:lang w:val="en-NZ"/>
        </w:rPr>
        <w:t>HEDI</w:t>
      </w:r>
    </w:p>
    <w:p w14:paraId="7EB23F27" w14:textId="512FB6AC" w:rsidR="00384558" w:rsidRDefault="00932AD2" w:rsidP="00EB0D3A">
      <w:pPr>
        <w:rPr>
          <w:lang w:val="en-NZ"/>
        </w:rPr>
      </w:pPr>
      <w:r w:rsidRPr="00932AD2">
        <w:rPr>
          <w:noProof/>
          <w:lang w:val="en-NZ"/>
        </w:rPr>
        <w:drawing>
          <wp:inline distT="0" distB="0" distL="0" distR="0" wp14:anchorId="2E7FC79E" wp14:editId="753D682E">
            <wp:extent cx="9525000" cy="28274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7507" cy="2837070"/>
                    </a:xfrm>
                    <a:prstGeom prst="rect">
                      <a:avLst/>
                    </a:prstGeom>
                  </pic:spPr>
                </pic:pic>
              </a:graphicData>
            </a:graphic>
          </wp:inline>
        </w:drawing>
      </w:r>
    </w:p>
    <w:p w14:paraId="67FC48AD" w14:textId="409F5632" w:rsidR="00DA3839" w:rsidRDefault="00D0650E" w:rsidP="00EB0D3A">
      <w:pPr>
        <w:rPr>
          <w:lang w:val="en-NZ"/>
        </w:rPr>
      </w:pPr>
      <w:r>
        <w:rPr>
          <w:lang w:val="en-NZ"/>
        </w:rPr>
        <w:t xml:space="preserve">As </w:t>
      </w:r>
      <w:r w:rsidR="00961279">
        <w:rPr>
          <w:lang w:val="en-NZ"/>
        </w:rPr>
        <w:t>was</w:t>
      </w:r>
      <w:r w:rsidR="000C32EE">
        <w:rPr>
          <w:lang w:val="en-NZ"/>
        </w:rPr>
        <w:t xml:space="preserve"> also</w:t>
      </w:r>
      <w:r w:rsidR="00961279">
        <w:rPr>
          <w:lang w:val="en-NZ"/>
        </w:rPr>
        <w:t xml:space="preserve"> demonstrated by</w:t>
      </w:r>
      <w:r>
        <w:rPr>
          <w:lang w:val="en-NZ"/>
        </w:rPr>
        <w:t xml:space="preserve"> the previous HEDI graph, </w:t>
      </w:r>
      <w:r w:rsidR="00F454CC">
        <w:rPr>
          <w:lang w:val="en-NZ"/>
        </w:rPr>
        <w:t>most of the</w:t>
      </w:r>
      <w:r>
        <w:rPr>
          <w:lang w:val="en-NZ"/>
        </w:rPr>
        <w:t xml:space="preserve"> expenditure for each option will be concentrated in families with the greatest need.</w:t>
      </w:r>
      <w:r w:rsidR="007E6A36">
        <w:rPr>
          <w:lang w:val="en-NZ"/>
        </w:rPr>
        <w:t xml:space="preserve"> Although A1 </w:t>
      </w:r>
      <w:r w:rsidR="00E53446">
        <w:rPr>
          <w:lang w:val="en-NZ"/>
        </w:rPr>
        <w:t xml:space="preserve">(when combined with indexation) </w:t>
      </w:r>
      <w:r w:rsidR="007E6A36">
        <w:rPr>
          <w:lang w:val="en-NZ"/>
        </w:rPr>
        <w:t xml:space="preserve">appeared to </w:t>
      </w:r>
      <w:r w:rsidR="003C761B">
        <w:rPr>
          <w:lang w:val="en-NZ"/>
        </w:rPr>
        <w:t>provide a</w:t>
      </w:r>
      <w:r w:rsidR="00F454CC">
        <w:rPr>
          <w:lang w:val="en-NZ"/>
        </w:rPr>
        <w:t xml:space="preserve"> total</w:t>
      </w:r>
      <w:r w:rsidR="003C761B">
        <w:rPr>
          <w:lang w:val="en-NZ"/>
        </w:rPr>
        <w:t xml:space="preserve"> average gain of $20 when measured by </w:t>
      </w:r>
      <w:r w:rsidR="00CA2EBF">
        <w:rPr>
          <w:lang w:val="en-NZ"/>
        </w:rPr>
        <w:t xml:space="preserve">family </w:t>
      </w:r>
      <w:r w:rsidR="003C761B">
        <w:rPr>
          <w:lang w:val="en-NZ"/>
        </w:rPr>
        <w:t>taxable income, when measured by HEDI</w:t>
      </w:r>
      <w:r w:rsidR="005D6C00">
        <w:rPr>
          <w:lang w:val="en-NZ"/>
        </w:rPr>
        <w:t>,</w:t>
      </w:r>
      <w:r w:rsidR="003C761B">
        <w:rPr>
          <w:lang w:val="en-NZ"/>
        </w:rPr>
        <w:t xml:space="preserve"> </w:t>
      </w:r>
      <w:r w:rsidR="006B2591">
        <w:rPr>
          <w:lang w:val="en-NZ"/>
        </w:rPr>
        <w:t xml:space="preserve">the first four deciles see average gains of $22 to $25 p/w </w:t>
      </w:r>
      <w:r w:rsidR="00D64F2C">
        <w:rPr>
          <w:lang w:val="en-NZ"/>
        </w:rPr>
        <w:t xml:space="preserve">with $6 to $17 </w:t>
      </w:r>
      <w:r w:rsidR="005D6C00">
        <w:rPr>
          <w:lang w:val="en-NZ"/>
        </w:rPr>
        <w:t>gains</w:t>
      </w:r>
      <w:r w:rsidR="00D64F2C">
        <w:rPr>
          <w:lang w:val="en-NZ"/>
        </w:rPr>
        <w:t xml:space="preserve"> in the </w:t>
      </w:r>
      <w:r w:rsidR="005D6C00">
        <w:rPr>
          <w:lang w:val="en-NZ"/>
        </w:rPr>
        <w:t>upper deciles.</w:t>
      </w:r>
      <w:r w:rsidR="002737B8">
        <w:rPr>
          <w:lang w:val="en-NZ"/>
        </w:rPr>
        <w:t xml:space="preserve"> The targeting of option B also appears tighter </w:t>
      </w:r>
      <w:r w:rsidR="000F0303">
        <w:rPr>
          <w:lang w:val="en-NZ"/>
        </w:rPr>
        <w:t xml:space="preserve">when </w:t>
      </w:r>
      <w:r w:rsidR="002737B8">
        <w:rPr>
          <w:lang w:val="en-NZ"/>
        </w:rPr>
        <w:t xml:space="preserve">measured by HEDI, with </w:t>
      </w:r>
      <w:r w:rsidR="005D582D">
        <w:rPr>
          <w:lang w:val="en-NZ"/>
        </w:rPr>
        <w:t xml:space="preserve">average gains of $23 to $29 pw in the first three deciles and </w:t>
      </w:r>
      <w:r w:rsidR="00DD3530">
        <w:rPr>
          <w:lang w:val="en-NZ"/>
        </w:rPr>
        <w:t>$4 to $16 in the higher deciles. However</w:t>
      </w:r>
      <w:r w:rsidR="005506D0">
        <w:rPr>
          <w:lang w:val="en-NZ"/>
        </w:rPr>
        <w:t xml:space="preserve">, this graph does raise concern that option B </w:t>
      </w:r>
      <w:r w:rsidR="002C1FC3">
        <w:rPr>
          <w:lang w:val="en-NZ"/>
        </w:rPr>
        <w:t xml:space="preserve">creates </w:t>
      </w:r>
      <w:r w:rsidR="000A41A5">
        <w:rPr>
          <w:lang w:val="en-NZ"/>
        </w:rPr>
        <w:t>losers</w:t>
      </w:r>
      <w:r w:rsidR="002C1FC3">
        <w:rPr>
          <w:lang w:val="en-NZ"/>
        </w:rPr>
        <w:t xml:space="preserve"> in the low-</w:t>
      </w:r>
      <w:r w:rsidR="00644790">
        <w:rPr>
          <w:lang w:val="en-NZ"/>
        </w:rPr>
        <w:t xml:space="preserve"> to </w:t>
      </w:r>
      <w:r w:rsidR="002C1FC3">
        <w:rPr>
          <w:lang w:val="en-NZ"/>
        </w:rPr>
        <w:t>middle</w:t>
      </w:r>
      <w:r w:rsidR="00644790">
        <w:rPr>
          <w:lang w:val="en-NZ"/>
        </w:rPr>
        <w:t>-</w:t>
      </w:r>
      <w:r w:rsidR="002C1FC3">
        <w:rPr>
          <w:lang w:val="en-NZ"/>
        </w:rPr>
        <w:t>income deciles of 3, 4 and 5.</w:t>
      </w:r>
    </w:p>
    <w:p w14:paraId="4CC9EB5C" w14:textId="3261A8CC" w:rsidR="009B10C5" w:rsidRDefault="00BC4469" w:rsidP="00EB0D3A">
      <w:pPr>
        <w:rPr>
          <w:b/>
          <w:bCs/>
          <w:i/>
          <w:iCs/>
          <w:lang w:val="en-NZ"/>
        </w:rPr>
      </w:pPr>
      <w:r>
        <w:rPr>
          <w:b/>
          <w:bCs/>
          <w:i/>
          <w:iCs/>
          <w:lang w:val="en-NZ"/>
        </w:rPr>
        <w:t>Work incentive impacts</w:t>
      </w:r>
    </w:p>
    <w:p w14:paraId="68EF0332" w14:textId="5678E059" w:rsidR="007C7C91" w:rsidRDefault="009A4563" w:rsidP="007C7C91">
      <w:r>
        <w:t xml:space="preserve">The </w:t>
      </w:r>
      <w:r w:rsidR="00A219CE">
        <w:t>impact each option would have o</w:t>
      </w:r>
      <w:r>
        <w:t>n</w:t>
      </w:r>
      <w:r w:rsidR="00A219CE">
        <w:t xml:space="preserve"> </w:t>
      </w:r>
      <w:r w:rsidR="00076DB0">
        <w:t xml:space="preserve">a family’s total income has been modelled to assess how the changes affect </w:t>
      </w:r>
      <w:r w:rsidR="00B147DB">
        <w:rPr>
          <w:lang w:val="en-NZ"/>
        </w:rPr>
        <w:t>EMTR</w:t>
      </w:r>
      <w:r w:rsidR="003F0A1A">
        <w:rPr>
          <w:lang w:val="en-NZ"/>
        </w:rPr>
        <w:t>s</w:t>
      </w:r>
      <w:r w:rsidR="00510E21">
        <w:rPr>
          <w:rStyle w:val="FootnoteReference"/>
          <w:lang w:val="en-NZ"/>
        </w:rPr>
        <w:footnoteReference w:id="33"/>
      </w:r>
      <w:r>
        <w:rPr>
          <w:lang w:val="en-NZ"/>
        </w:rPr>
        <w:t xml:space="preserve"> </w:t>
      </w:r>
      <w:r w:rsidR="00076DB0">
        <w:t xml:space="preserve"> and </w:t>
      </w:r>
      <w:r w:rsidR="0051744B">
        <w:rPr>
          <w:lang w:val="en-NZ"/>
        </w:rPr>
        <w:t>PTRs</w:t>
      </w:r>
      <w:r w:rsidR="0051744B">
        <w:rPr>
          <w:rStyle w:val="FootnoteReference"/>
          <w:lang w:val="en-NZ"/>
        </w:rPr>
        <w:footnoteReference w:id="34"/>
      </w:r>
      <w:r w:rsidR="00076DB0">
        <w:t xml:space="preserve"> at different hours of work for different family types</w:t>
      </w:r>
      <w:r w:rsidR="00076DB0">
        <w:rPr>
          <w:lang w:val="en-NZ"/>
        </w:rPr>
        <w:t>.</w:t>
      </w:r>
      <w:r w:rsidR="008D2558">
        <w:rPr>
          <w:lang w:val="en-NZ"/>
        </w:rPr>
        <w:t xml:space="preserve"> </w:t>
      </w:r>
      <w:r>
        <w:rPr>
          <w:lang w:val="en-NZ"/>
        </w:rPr>
        <w:t xml:space="preserve">The </w:t>
      </w:r>
      <w:r w:rsidR="00A219CE">
        <w:rPr>
          <w:lang w:val="en-NZ"/>
        </w:rPr>
        <w:t>three example families</w:t>
      </w:r>
      <w:r w:rsidR="008D2558">
        <w:rPr>
          <w:lang w:val="en-NZ"/>
        </w:rPr>
        <w:t xml:space="preserve"> are</w:t>
      </w:r>
      <w:r w:rsidR="00A219CE">
        <w:rPr>
          <w:lang w:val="en-NZ"/>
        </w:rPr>
        <w:t xml:space="preserve"> </w:t>
      </w:r>
      <w:r w:rsidR="00252A03">
        <w:rPr>
          <w:lang w:val="en-NZ"/>
        </w:rPr>
        <w:t>a</w:t>
      </w:r>
      <w:r w:rsidR="00A219CE">
        <w:rPr>
          <w:lang w:val="en-NZ"/>
        </w:rPr>
        <w:t xml:space="preserve"> sole parent, </w:t>
      </w:r>
      <w:r w:rsidR="00252A03">
        <w:rPr>
          <w:lang w:val="en-NZ"/>
        </w:rPr>
        <w:t>a</w:t>
      </w:r>
      <w:r w:rsidR="00A219CE">
        <w:rPr>
          <w:lang w:val="en-NZ"/>
        </w:rPr>
        <w:t xml:space="preserve"> couple with on</w:t>
      </w:r>
      <w:r w:rsidR="00252A03">
        <w:rPr>
          <w:lang w:val="en-NZ"/>
        </w:rPr>
        <w:t>e</w:t>
      </w:r>
      <w:r w:rsidR="00A219CE">
        <w:rPr>
          <w:lang w:val="en-NZ"/>
        </w:rPr>
        <w:t xml:space="preserve"> earner and </w:t>
      </w:r>
      <w:r w:rsidR="00252A03">
        <w:rPr>
          <w:lang w:val="en-NZ"/>
        </w:rPr>
        <w:t>a</w:t>
      </w:r>
      <w:r w:rsidR="00A219CE">
        <w:rPr>
          <w:lang w:val="en-NZ"/>
        </w:rPr>
        <w:t xml:space="preserve"> couple with two earners.</w:t>
      </w:r>
      <w:r w:rsidR="007C7C91">
        <w:rPr>
          <w:lang w:val="en-NZ"/>
        </w:rPr>
        <w:t xml:space="preserve"> </w:t>
      </w:r>
      <w:r w:rsidR="007C7C91">
        <w:t>The examples assume each family has two children age</w:t>
      </w:r>
      <w:r w:rsidR="00252A03">
        <w:t>d</w:t>
      </w:r>
      <w:r w:rsidR="007C7C91">
        <w:t xml:space="preserve"> 2 and 5, has weekly rental costs of $500 and receives Accommodation Supplement (area 1) if eligible, earns $20 per hour, and pays ACC levy.</w:t>
      </w:r>
      <w:r w:rsidR="008722F3">
        <w:rPr>
          <w:rStyle w:val="FootnoteReference"/>
        </w:rPr>
        <w:footnoteReference w:id="35"/>
      </w:r>
      <w:r w:rsidR="00535321">
        <w:t xml:space="preserve"> </w:t>
      </w:r>
    </w:p>
    <w:p w14:paraId="17BD0454" w14:textId="690165E0" w:rsidR="001A73B9" w:rsidRDefault="00EF5284" w:rsidP="007C7C91">
      <w:r>
        <w:t>The following table outlines the impact of the options on income and work incentives.</w:t>
      </w:r>
      <w:r w:rsidR="0024163A">
        <w:rPr>
          <w:rStyle w:val="FootnoteReference"/>
        </w:rPr>
        <w:footnoteReference w:id="36"/>
      </w:r>
    </w:p>
    <w:tbl>
      <w:tblPr>
        <w:tblStyle w:val="TableGrid"/>
        <w:tblW w:w="15163" w:type="dxa"/>
        <w:tblLook w:val="04A0" w:firstRow="1" w:lastRow="0" w:firstColumn="1" w:lastColumn="0" w:noHBand="0" w:noVBand="1"/>
      </w:tblPr>
      <w:tblGrid>
        <w:gridCol w:w="1293"/>
        <w:gridCol w:w="1679"/>
        <w:gridCol w:w="1985"/>
        <w:gridCol w:w="2835"/>
        <w:gridCol w:w="2976"/>
        <w:gridCol w:w="4395"/>
      </w:tblGrid>
      <w:tr w:rsidR="00433D27" w14:paraId="559807AA" w14:textId="77777777" w:rsidTr="00F87D2B">
        <w:tc>
          <w:tcPr>
            <w:tcW w:w="1293" w:type="dxa"/>
            <w:vMerge w:val="restart"/>
            <w:vAlign w:val="center"/>
          </w:tcPr>
          <w:p w14:paraId="22DB32EF" w14:textId="77777777" w:rsidR="00433D27" w:rsidRDefault="00433D27" w:rsidP="00F87D2B">
            <w:pPr>
              <w:jc w:val="center"/>
            </w:pPr>
            <w:r>
              <w:t>Option</w:t>
            </w:r>
          </w:p>
        </w:tc>
        <w:tc>
          <w:tcPr>
            <w:tcW w:w="3664" w:type="dxa"/>
            <w:gridSpan w:val="2"/>
            <w:tcBorders>
              <w:bottom w:val="single" w:sz="4" w:space="0" w:color="auto"/>
            </w:tcBorders>
            <w:vAlign w:val="center"/>
          </w:tcPr>
          <w:p w14:paraId="09330DFA" w14:textId="72C90EDD" w:rsidR="00433D27" w:rsidRDefault="00433D27" w:rsidP="00F87D2B">
            <w:pPr>
              <w:jc w:val="center"/>
            </w:pPr>
            <w:r>
              <w:t>Impact</w:t>
            </w:r>
          </w:p>
        </w:tc>
        <w:tc>
          <w:tcPr>
            <w:tcW w:w="2835" w:type="dxa"/>
            <w:vMerge w:val="restart"/>
            <w:vAlign w:val="center"/>
          </w:tcPr>
          <w:p w14:paraId="581F8058" w14:textId="1BA44D38" w:rsidR="00433D27" w:rsidRDefault="00433D27" w:rsidP="00F87D2B">
            <w:pPr>
              <w:jc w:val="center"/>
            </w:pPr>
            <w:r>
              <w:t>Sole parent</w:t>
            </w:r>
          </w:p>
        </w:tc>
        <w:tc>
          <w:tcPr>
            <w:tcW w:w="2976" w:type="dxa"/>
            <w:vMerge w:val="restart"/>
            <w:vAlign w:val="center"/>
          </w:tcPr>
          <w:p w14:paraId="4B8BA7C7" w14:textId="5B92C532" w:rsidR="00433D27" w:rsidRDefault="00433D27" w:rsidP="00F87D2B">
            <w:pPr>
              <w:jc w:val="center"/>
            </w:pPr>
            <w:r>
              <w:t>Couple with one earner</w:t>
            </w:r>
          </w:p>
        </w:tc>
        <w:tc>
          <w:tcPr>
            <w:tcW w:w="4395" w:type="dxa"/>
            <w:vMerge w:val="restart"/>
            <w:vAlign w:val="center"/>
          </w:tcPr>
          <w:p w14:paraId="47B06824" w14:textId="4E2ADBC9" w:rsidR="00433D27" w:rsidRDefault="00433D27" w:rsidP="00F87D2B">
            <w:pPr>
              <w:jc w:val="center"/>
            </w:pPr>
            <w:r>
              <w:t>Couple with two earners</w:t>
            </w:r>
            <w:r>
              <w:rPr>
                <w:rStyle w:val="FootnoteReference"/>
              </w:rPr>
              <w:footnoteReference w:id="37"/>
            </w:r>
          </w:p>
        </w:tc>
      </w:tr>
      <w:tr w:rsidR="00433D27" w14:paraId="46035183" w14:textId="77777777" w:rsidTr="00F87D2B">
        <w:tc>
          <w:tcPr>
            <w:tcW w:w="1293" w:type="dxa"/>
            <w:vMerge/>
            <w:vAlign w:val="center"/>
          </w:tcPr>
          <w:p w14:paraId="5490F5D2" w14:textId="77777777" w:rsidR="00433D27" w:rsidRDefault="00433D27" w:rsidP="00F87D2B">
            <w:pPr>
              <w:jc w:val="center"/>
            </w:pPr>
          </w:p>
        </w:tc>
        <w:tc>
          <w:tcPr>
            <w:tcW w:w="1679" w:type="dxa"/>
            <w:tcBorders>
              <w:bottom w:val="single" w:sz="12" w:space="0" w:color="auto"/>
            </w:tcBorders>
            <w:vAlign w:val="center"/>
          </w:tcPr>
          <w:p w14:paraId="58336662" w14:textId="0712A798" w:rsidR="00433D27" w:rsidRDefault="00433D27" w:rsidP="00F87D2B">
            <w:pPr>
              <w:jc w:val="center"/>
            </w:pPr>
            <w:r>
              <w:t>On income</w:t>
            </w:r>
          </w:p>
        </w:tc>
        <w:tc>
          <w:tcPr>
            <w:tcW w:w="1985" w:type="dxa"/>
            <w:tcBorders>
              <w:bottom w:val="single" w:sz="12" w:space="0" w:color="auto"/>
            </w:tcBorders>
            <w:vAlign w:val="center"/>
          </w:tcPr>
          <w:p w14:paraId="46EBA96C" w14:textId="35C3428B" w:rsidR="00433D27" w:rsidRDefault="00433D27" w:rsidP="00F87D2B">
            <w:pPr>
              <w:jc w:val="center"/>
            </w:pPr>
            <w:r>
              <w:t>By hours worked</w:t>
            </w:r>
          </w:p>
        </w:tc>
        <w:tc>
          <w:tcPr>
            <w:tcW w:w="2835" w:type="dxa"/>
            <w:vMerge/>
            <w:vAlign w:val="center"/>
          </w:tcPr>
          <w:p w14:paraId="59CF7CAF" w14:textId="77777777" w:rsidR="00433D27" w:rsidRDefault="00433D27" w:rsidP="00F87D2B">
            <w:pPr>
              <w:jc w:val="center"/>
            </w:pPr>
          </w:p>
        </w:tc>
        <w:tc>
          <w:tcPr>
            <w:tcW w:w="2976" w:type="dxa"/>
            <w:vMerge/>
            <w:vAlign w:val="center"/>
          </w:tcPr>
          <w:p w14:paraId="07EF275C" w14:textId="77777777" w:rsidR="00433D27" w:rsidRDefault="00433D27" w:rsidP="00F87D2B">
            <w:pPr>
              <w:jc w:val="center"/>
            </w:pPr>
          </w:p>
        </w:tc>
        <w:tc>
          <w:tcPr>
            <w:tcW w:w="4395" w:type="dxa"/>
            <w:vMerge/>
            <w:vAlign w:val="center"/>
          </w:tcPr>
          <w:p w14:paraId="7CC5A978" w14:textId="77777777" w:rsidR="00433D27" w:rsidRDefault="00433D27" w:rsidP="00F87D2B">
            <w:pPr>
              <w:jc w:val="center"/>
            </w:pPr>
          </w:p>
        </w:tc>
      </w:tr>
      <w:tr w:rsidR="00E97B88" w14:paraId="2FEB5394" w14:textId="77777777" w:rsidTr="00F87D2B">
        <w:trPr>
          <w:trHeight w:val="653"/>
        </w:trPr>
        <w:tc>
          <w:tcPr>
            <w:tcW w:w="1293" w:type="dxa"/>
            <w:vMerge w:val="restart"/>
            <w:tcBorders>
              <w:top w:val="single" w:sz="12" w:space="0" w:color="auto"/>
            </w:tcBorders>
            <w:shd w:val="clear" w:color="auto" w:fill="E2EFD9" w:themeFill="accent6" w:themeFillTint="33"/>
            <w:vAlign w:val="center"/>
          </w:tcPr>
          <w:p w14:paraId="10C8771A" w14:textId="36E95A77" w:rsidR="00F63239" w:rsidRDefault="00F63239" w:rsidP="00F87D2B">
            <w:pPr>
              <w:jc w:val="center"/>
            </w:pPr>
            <w:r>
              <w:t>C</w:t>
            </w:r>
            <w:r w:rsidR="000262D5">
              <w:t>F</w:t>
            </w:r>
            <w:r w:rsidR="00017C91">
              <w:t xml:space="preserve"> (excluding indexation)</w:t>
            </w:r>
          </w:p>
        </w:tc>
        <w:tc>
          <w:tcPr>
            <w:tcW w:w="1679" w:type="dxa"/>
            <w:vMerge w:val="restart"/>
            <w:tcBorders>
              <w:top w:val="single" w:sz="12" w:space="0" w:color="auto"/>
            </w:tcBorders>
            <w:shd w:val="clear" w:color="auto" w:fill="E2EFD9" w:themeFill="accent6" w:themeFillTint="33"/>
            <w:vAlign w:val="center"/>
          </w:tcPr>
          <w:p w14:paraId="05161E0E" w14:textId="5391EE7E" w:rsidR="00F63239" w:rsidRDefault="00F63239" w:rsidP="00F87D2B">
            <w:pPr>
              <w:jc w:val="center"/>
            </w:pPr>
            <w:r>
              <w:t>Income after taxes and rental costs</w:t>
            </w:r>
            <w:r>
              <w:rPr>
                <w:rStyle w:val="FootnoteReference"/>
              </w:rPr>
              <w:footnoteReference w:id="38"/>
            </w:r>
          </w:p>
        </w:tc>
        <w:tc>
          <w:tcPr>
            <w:tcW w:w="1985" w:type="dxa"/>
            <w:tcBorders>
              <w:top w:val="single" w:sz="12" w:space="0" w:color="auto"/>
              <w:bottom w:val="dashed" w:sz="4" w:space="0" w:color="auto"/>
            </w:tcBorders>
            <w:shd w:val="clear" w:color="auto" w:fill="E2EFD9" w:themeFill="accent6" w:themeFillTint="33"/>
            <w:vAlign w:val="center"/>
          </w:tcPr>
          <w:p w14:paraId="6629901F" w14:textId="21714292" w:rsidR="00F63239" w:rsidRDefault="00F63239" w:rsidP="00F87D2B">
            <w:pPr>
              <w:jc w:val="center"/>
            </w:pPr>
            <w:r>
              <w:t>20</w:t>
            </w:r>
          </w:p>
        </w:tc>
        <w:tc>
          <w:tcPr>
            <w:tcW w:w="2835" w:type="dxa"/>
            <w:tcBorders>
              <w:top w:val="single" w:sz="12" w:space="0" w:color="auto"/>
              <w:bottom w:val="dashed" w:sz="4" w:space="0" w:color="auto"/>
            </w:tcBorders>
            <w:shd w:val="clear" w:color="auto" w:fill="E2EFD9" w:themeFill="accent6" w:themeFillTint="33"/>
            <w:vAlign w:val="center"/>
          </w:tcPr>
          <w:p w14:paraId="3C8BB5A2" w14:textId="29A2E103" w:rsidR="00F63239" w:rsidRDefault="00333266" w:rsidP="00F87D2B">
            <w:pPr>
              <w:jc w:val="center"/>
            </w:pPr>
            <w:r w:rsidRPr="00333266">
              <w:t>$</w:t>
            </w:r>
            <w:r w:rsidR="001C6C51">
              <w:t>731.0</w:t>
            </w:r>
            <w:r w:rsidR="006F2D90">
              <w:t>6</w:t>
            </w:r>
          </w:p>
        </w:tc>
        <w:tc>
          <w:tcPr>
            <w:tcW w:w="2976" w:type="dxa"/>
            <w:tcBorders>
              <w:top w:val="single" w:sz="12" w:space="0" w:color="auto"/>
              <w:bottom w:val="dashed" w:sz="4" w:space="0" w:color="auto"/>
            </w:tcBorders>
            <w:shd w:val="clear" w:color="auto" w:fill="E2EFD9" w:themeFill="accent6" w:themeFillTint="33"/>
            <w:vAlign w:val="center"/>
          </w:tcPr>
          <w:p w14:paraId="56C3EAAE" w14:textId="689EF519" w:rsidR="00F63239" w:rsidRDefault="00814144" w:rsidP="00F87D2B">
            <w:pPr>
              <w:jc w:val="center"/>
            </w:pPr>
            <w:r w:rsidRPr="00814144">
              <w:t>$</w:t>
            </w:r>
            <w:r w:rsidR="00C20C8D">
              <w:t>742.02</w:t>
            </w:r>
          </w:p>
        </w:tc>
        <w:tc>
          <w:tcPr>
            <w:tcW w:w="4395" w:type="dxa"/>
            <w:tcBorders>
              <w:top w:val="single" w:sz="12" w:space="0" w:color="auto"/>
              <w:bottom w:val="dashed" w:sz="4" w:space="0" w:color="auto"/>
            </w:tcBorders>
            <w:shd w:val="clear" w:color="auto" w:fill="E2EFD9" w:themeFill="accent6" w:themeFillTint="33"/>
            <w:vAlign w:val="center"/>
          </w:tcPr>
          <w:p w14:paraId="378622A1" w14:textId="68EB4BC3" w:rsidR="00F63239" w:rsidRDefault="00F26EA0" w:rsidP="00F87D2B">
            <w:pPr>
              <w:jc w:val="center"/>
            </w:pPr>
            <w:r w:rsidRPr="00F26EA0">
              <w:t>$</w:t>
            </w:r>
            <w:r w:rsidR="000F17B3">
              <w:t>939.66</w:t>
            </w:r>
          </w:p>
        </w:tc>
      </w:tr>
      <w:tr w:rsidR="00E97B88" w14:paraId="474CD7BF" w14:textId="77777777" w:rsidTr="00F87D2B">
        <w:trPr>
          <w:trHeight w:val="652"/>
        </w:trPr>
        <w:tc>
          <w:tcPr>
            <w:tcW w:w="1293" w:type="dxa"/>
            <w:vMerge/>
            <w:vAlign w:val="center"/>
          </w:tcPr>
          <w:p w14:paraId="7BB2729C" w14:textId="77777777" w:rsidR="00F63239" w:rsidRDefault="00F63239" w:rsidP="00F87D2B">
            <w:pPr>
              <w:jc w:val="center"/>
            </w:pPr>
          </w:p>
        </w:tc>
        <w:tc>
          <w:tcPr>
            <w:tcW w:w="1679" w:type="dxa"/>
            <w:vMerge/>
            <w:vAlign w:val="center"/>
          </w:tcPr>
          <w:p w14:paraId="4B0124A7" w14:textId="413FAA4B" w:rsidR="00F63239" w:rsidRDefault="00F63239" w:rsidP="00F87D2B">
            <w:pPr>
              <w:jc w:val="center"/>
            </w:pPr>
          </w:p>
        </w:tc>
        <w:tc>
          <w:tcPr>
            <w:tcW w:w="1985" w:type="dxa"/>
            <w:tcBorders>
              <w:top w:val="dashed" w:sz="4" w:space="0" w:color="auto"/>
            </w:tcBorders>
            <w:shd w:val="clear" w:color="auto" w:fill="E2EFD9" w:themeFill="accent6" w:themeFillTint="33"/>
            <w:vAlign w:val="center"/>
          </w:tcPr>
          <w:p w14:paraId="76916C2D" w14:textId="39D00747" w:rsidR="00F63239" w:rsidRDefault="00F63239" w:rsidP="00F87D2B">
            <w:pPr>
              <w:jc w:val="center"/>
            </w:pPr>
            <w:r>
              <w:t>40</w:t>
            </w:r>
          </w:p>
        </w:tc>
        <w:tc>
          <w:tcPr>
            <w:tcW w:w="2835" w:type="dxa"/>
            <w:tcBorders>
              <w:top w:val="dashed" w:sz="4" w:space="0" w:color="auto"/>
            </w:tcBorders>
            <w:shd w:val="clear" w:color="auto" w:fill="E2EFD9" w:themeFill="accent6" w:themeFillTint="33"/>
            <w:vAlign w:val="center"/>
          </w:tcPr>
          <w:p w14:paraId="05E7EB25" w14:textId="352DA516" w:rsidR="00F63239" w:rsidRDefault="00F95ED4" w:rsidP="00F87D2B">
            <w:pPr>
              <w:jc w:val="center"/>
            </w:pPr>
            <w:r>
              <w:t>$</w:t>
            </w:r>
            <w:r w:rsidR="00D57F76">
              <w:t>767.88</w:t>
            </w:r>
          </w:p>
        </w:tc>
        <w:tc>
          <w:tcPr>
            <w:tcW w:w="2976" w:type="dxa"/>
            <w:tcBorders>
              <w:top w:val="dashed" w:sz="4" w:space="0" w:color="auto"/>
            </w:tcBorders>
            <w:shd w:val="clear" w:color="auto" w:fill="E2EFD9" w:themeFill="accent6" w:themeFillTint="33"/>
            <w:vAlign w:val="center"/>
          </w:tcPr>
          <w:p w14:paraId="2D34A111" w14:textId="33231123" w:rsidR="00F63239" w:rsidRDefault="00E91509" w:rsidP="00F87D2B">
            <w:pPr>
              <w:jc w:val="center"/>
            </w:pPr>
            <w:r w:rsidRPr="00E91509">
              <w:t>$</w:t>
            </w:r>
            <w:r w:rsidR="00D874AA">
              <w:t>775.62</w:t>
            </w:r>
          </w:p>
        </w:tc>
        <w:tc>
          <w:tcPr>
            <w:tcW w:w="4395" w:type="dxa"/>
            <w:tcBorders>
              <w:top w:val="dashed" w:sz="4" w:space="0" w:color="auto"/>
            </w:tcBorders>
            <w:shd w:val="clear" w:color="auto" w:fill="E2EFD9" w:themeFill="accent6" w:themeFillTint="33"/>
            <w:vAlign w:val="center"/>
          </w:tcPr>
          <w:p w14:paraId="07E3C017" w14:textId="7643A1B4" w:rsidR="00F63239" w:rsidRDefault="00F0221A" w:rsidP="00F87D2B">
            <w:pPr>
              <w:jc w:val="center"/>
            </w:pPr>
            <w:r w:rsidRPr="00F0221A">
              <w:t>$</w:t>
            </w:r>
            <w:r w:rsidR="000F17B3">
              <w:t>1046.2</w:t>
            </w:r>
            <w:r w:rsidR="00017C91">
              <w:t>7</w:t>
            </w:r>
          </w:p>
        </w:tc>
      </w:tr>
      <w:tr w:rsidR="00E97B88" w14:paraId="72E78DA0" w14:textId="77777777" w:rsidTr="00F87D2B">
        <w:tc>
          <w:tcPr>
            <w:tcW w:w="1293" w:type="dxa"/>
            <w:vMerge w:val="restart"/>
            <w:tcBorders>
              <w:top w:val="single" w:sz="4" w:space="0" w:color="auto"/>
            </w:tcBorders>
            <w:shd w:val="clear" w:color="auto" w:fill="D9E2F3" w:themeFill="accent5" w:themeFillTint="33"/>
            <w:vAlign w:val="center"/>
          </w:tcPr>
          <w:p w14:paraId="0CC76A2D" w14:textId="77777777" w:rsidR="00F26EA0" w:rsidRDefault="00F26EA0" w:rsidP="00F87D2B">
            <w:pPr>
              <w:jc w:val="center"/>
            </w:pPr>
            <w:bookmarkStart w:id="13" w:name="_Hlk84486876"/>
            <w:r>
              <w:t>A1</w:t>
            </w:r>
          </w:p>
          <w:p w14:paraId="5CDE282B" w14:textId="422DDC4E" w:rsidR="00F26EA0" w:rsidRDefault="00C63D66" w:rsidP="00F87D2B">
            <w:pPr>
              <w:jc w:val="center"/>
            </w:pPr>
            <w:r>
              <w:t>($5 FTC, 25%)</w:t>
            </w:r>
          </w:p>
        </w:tc>
        <w:tc>
          <w:tcPr>
            <w:tcW w:w="1679" w:type="dxa"/>
            <w:vMerge w:val="restart"/>
            <w:tcBorders>
              <w:top w:val="single" w:sz="4" w:space="0" w:color="auto"/>
            </w:tcBorders>
            <w:shd w:val="clear" w:color="auto" w:fill="D9E2F3" w:themeFill="accent5" w:themeFillTint="33"/>
            <w:vAlign w:val="center"/>
          </w:tcPr>
          <w:p w14:paraId="446AF5C0" w14:textId="2739F443" w:rsidR="00F26EA0" w:rsidRDefault="00F26EA0" w:rsidP="00F87D2B">
            <w:pPr>
              <w:jc w:val="center"/>
            </w:pPr>
            <w:r>
              <w:t>Income gain from work at</w:t>
            </w:r>
          </w:p>
        </w:tc>
        <w:tc>
          <w:tcPr>
            <w:tcW w:w="1985" w:type="dxa"/>
            <w:tcBorders>
              <w:bottom w:val="dashed" w:sz="4" w:space="0" w:color="auto"/>
            </w:tcBorders>
            <w:shd w:val="clear" w:color="auto" w:fill="D9E2F3" w:themeFill="accent5" w:themeFillTint="33"/>
            <w:vAlign w:val="center"/>
          </w:tcPr>
          <w:p w14:paraId="65C4139D" w14:textId="4D2D827A" w:rsidR="00F26EA0" w:rsidRDefault="00F26EA0" w:rsidP="00F87D2B">
            <w:pPr>
              <w:jc w:val="center"/>
            </w:pPr>
            <w:r>
              <w:t>0-10 hours</w:t>
            </w:r>
          </w:p>
        </w:tc>
        <w:tc>
          <w:tcPr>
            <w:tcW w:w="2835" w:type="dxa"/>
            <w:tcBorders>
              <w:bottom w:val="dashed" w:sz="4" w:space="0" w:color="auto"/>
            </w:tcBorders>
            <w:shd w:val="clear" w:color="auto" w:fill="D9E2F3" w:themeFill="accent5" w:themeFillTint="33"/>
            <w:vAlign w:val="center"/>
          </w:tcPr>
          <w:p w14:paraId="56629D4B" w14:textId="635544E1" w:rsidR="00F26EA0" w:rsidRDefault="00383BEB" w:rsidP="00F87D2B">
            <w:pPr>
              <w:jc w:val="center"/>
            </w:pPr>
            <w:r w:rsidRPr="00383BEB">
              <w:t>$</w:t>
            </w:r>
            <w:r w:rsidR="006A09AF">
              <w:t>15</w:t>
            </w:r>
            <w:r w:rsidR="006F2D90">
              <w:t>0</w:t>
            </w:r>
            <w:r w:rsidR="006A09AF">
              <w:t>.</w:t>
            </w:r>
            <w:r w:rsidRPr="00383BEB">
              <w:t>22</w:t>
            </w:r>
          </w:p>
        </w:tc>
        <w:tc>
          <w:tcPr>
            <w:tcW w:w="2976" w:type="dxa"/>
            <w:tcBorders>
              <w:bottom w:val="dashed" w:sz="4" w:space="0" w:color="auto"/>
            </w:tcBorders>
            <w:shd w:val="clear" w:color="auto" w:fill="D9E2F3" w:themeFill="accent5" w:themeFillTint="33"/>
            <w:vAlign w:val="center"/>
          </w:tcPr>
          <w:p w14:paraId="20391838" w14:textId="59404B6C" w:rsidR="00F26EA0" w:rsidRDefault="00E4193F" w:rsidP="00F87D2B">
            <w:pPr>
              <w:jc w:val="center"/>
            </w:pPr>
            <w:r w:rsidRPr="00E4193F">
              <w:t>$</w:t>
            </w:r>
            <w:r w:rsidR="00735BA6">
              <w:t>134</w:t>
            </w:r>
            <w:r w:rsidRPr="00E4193F">
              <w:t>.22</w:t>
            </w:r>
          </w:p>
        </w:tc>
        <w:tc>
          <w:tcPr>
            <w:tcW w:w="4395" w:type="dxa"/>
            <w:tcBorders>
              <w:bottom w:val="dashed" w:sz="4" w:space="0" w:color="auto"/>
            </w:tcBorders>
            <w:shd w:val="clear" w:color="auto" w:fill="D9E2F3" w:themeFill="accent5" w:themeFillTint="33"/>
            <w:vAlign w:val="center"/>
          </w:tcPr>
          <w:p w14:paraId="4962EB3E" w14:textId="1B9F5B66" w:rsidR="00F26EA0" w:rsidRDefault="00C01272" w:rsidP="00F87D2B">
            <w:pPr>
              <w:jc w:val="center"/>
            </w:pPr>
            <w:r w:rsidRPr="00C01272">
              <w:t>$</w:t>
            </w:r>
            <w:r w:rsidR="009F25F0">
              <w:t>96.</w:t>
            </w:r>
            <w:r w:rsidR="00017C91">
              <w:t>98</w:t>
            </w:r>
          </w:p>
        </w:tc>
      </w:tr>
      <w:tr w:rsidR="00E97B88" w14:paraId="0BAEF19E" w14:textId="77777777" w:rsidTr="00F87D2B">
        <w:tc>
          <w:tcPr>
            <w:tcW w:w="1293" w:type="dxa"/>
            <w:vMerge/>
            <w:vAlign w:val="center"/>
          </w:tcPr>
          <w:p w14:paraId="248A469D" w14:textId="77777777" w:rsidR="00F26EA0" w:rsidRDefault="00F26EA0" w:rsidP="00F87D2B">
            <w:pPr>
              <w:jc w:val="center"/>
            </w:pPr>
          </w:p>
        </w:tc>
        <w:tc>
          <w:tcPr>
            <w:tcW w:w="1679" w:type="dxa"/>
            <w:vMerge/>
            <w:vAlign w:val="center"/>
          </w:tcPr>
          <w:p w14:paraId="67C3C68E" w14:textId="77777777" w:rsidR="00F26EA0" w:rsidRDefault="00F26EA0" w:rsidP="00F87D2B">
            <w:pPr>
              <w:jc w:val="center"/>
            </w:pPr>
          </w:p>
        </w:tc>
        <w:tc>
          <w:tcPr>
            <w:tcW w:w="1985" w:type="dxa"/>
            <w:tcBorders>
              <w:top w:val="dashed" w:sz="4" w:space="0" w:color="auto"/>
              <w:bottom w:val="dashed" w:sz="4" w:space="0" w:color="auto"/>
            </w:tcBorders>
            <w:shd w:val="clear" w:color="auto" w:fill="D9E2F3" w:themeFill="accent5" w:themeFillTint="33"/>
            <w:vAlign w:val="center"/>
          </w:tcPr>
          <w:p w14:paraId="2F203D7A" w14:textId="7D0ECDA1" w:rsidR="00F26EA0" w:rsidRDefault="00F26EA0" w:rsidP="00F87D2B">
            <w:pPr>
              <w:jc w:val="center"/>
            </w:pPr>
            <w:r>
              <w:t>10 to 20 hours</w:t>
            </w:r>
          </w:p>
        </w:tc>
        <w:tc>
          <w:tcPr>
            <w:tcW w:w="2835" w:type="dxa"/>
            <w:tcBorders>
              <w:top w:val="dashed" w:sz="4" w:space="0" w:color="auto"/>
              <w:bottom w:val="dashed" w:sz="4" w:space="0" w:color="auto"/>
            </w:tcBorders>
            <w:shd w:val="clear" w:color="auto" w:fill="D9E2F3" w:themeFill="accent5" w:themeFillTint="33"/>
            <w:vAlign w:val="center"/>
          </w:tcPr>
          <w:p w14:paraId="5CA52767" w14:textId="4B8205D6" w:rsidR="00F26EA0" w:rsidRDefault="000315C7" w:rsidP="00F87D2B">
            <w:pPr>
              <w:jc w:val="center"/>
            </w:pPr>
            <w:r w:rsidRPr="000315C7">
              <w:t>$</w:t>
            </w:r>
            <w:r w:rsidR="007565B3">
              <w:t>99.7</w:t>
            </w:r>
            <w:r w:rsidR="00017C91">
              <w:t>7</w:t>
            </w:r>
          </w:p>
        </w:tc>
        <w:tc>
          <w:tcPr>
            <w:tcW w:w="2976" w:type="dxa"/>
            <w:tcBorders>
              <w:top w:val="dashed" w:sz="4" w:space="0" w:color="auto"/>
              <w:bottom w:val="dashed" w:sz="4" w:space="0" w:color="auto"/>
            </w:tcBorders>
            <w:shd w:val="clear" w:color="auto" w:fill="D9E2F3" w:themeFill="accent5" w:themeFillTint="33"/>
            <w:vAlign w:val="center"/>
          </w:tcPr>
          <w:p w14:paraId="46E570E3" w14:textId="4389B58C" w:rsidR="00F26EA0" w:rsidRDefault="00882011" w:rsidP="00F87D2B">
            <w:pPr>
              <w:jc w:val="center"/>
            </w:pPr>
            <w:r w:rsidRPr="00882011">
              <w:t>$</w:t>
            </w:r>
            <w:r w:rsidR="00D6175A">
              <w:t>19.05</w:t>
            </w:r>
          </w:p>
        </w:tc>
        <w:tc>
          <w:tcPr>
            <w:tcW w:w="4395" w:type="dxa"/>
            <w:tcBorders>
              <w:top w:val="dashed" w:sz="4" w:space="0" w:color="auto"/>
              <w:bottom w:val="dashed" w:sz="4" w:space="0" w:color="auto"/>
            </w:tcBorders>
            <w:shd w:val="clear" w:color="auto" w:fill="D9E2F3" w:themeFill="accent5" w:themeFillTint="33"/>
            <w:vAlign w:val="center"/>
          </w:tcPr>
          <w:p w14:paraId="6B287F77" w14:textId="5626BBE8" w:rsidR="00F26EA0" w:rsidRDefault="00C804DF" w:rsidP="00F87D2B">
            <w:pPr>
              <w:jc w:val="center"/>
            </w:pPr>
            <w:r w:rsidRPr="00C804DF">
              <w:t>$</w:t>
            </w:r>
            <w:r w:rsidR="009F25F0">
              <w:t>67.0</w:t>
            </w:r>
            <w:r w:rsidR="00017C91">
              <w:t>7</w:t>
            </w:r>
          </w:p>
        </w:tc>
      </w:tr>
      <w:tr w:rsidR="00E97B88" w14:paraId="7CEADB4D" w14:textId="77777777" w:rsidTr="00F87D2B">
        <w:tc>
          <w:tcPr>
            <w:tcW w:w="1293" w:type="dxa"/>
            <w:vMerge/>
            <w:vAlign w:val="center"/>
          </w:tcPr>
          <w:p w14:paraId="0C6D7D50" w14:textId="77777777" w:rsidR="00F26EA0" w:rsidRDefault="00F26EA0" w:rsidP="00F87D2B">
            <w:pPr>
              <w:jc w:val="center"/>
            </w:pPr>
          </w:p>
        </w:tc>
        <w:tc>
          <w:tcPr>
            <w:tcW w:w="1679" w:type="dxa"/>
            <w:vMerge/>
            <w:vAlign w:val="center"/>
          </w:tcPr>
          <w:p w14:paraId="5F6D236D" w14:textId="77777777" w:rsidR="00F26EA0" w:rsidRDefault="00F26EA0" w:rsidP="00F87D2B">
            <w:pPr>
              <w:jc w:val="center"/>
            </w:pPr>
          </w:p>
        </w:tc>
        <w:tc>
          <w:tcPr>
            <w:tcW w:w="1985" w:type="dxa"/>
            <w:tcBorders>
              <w:top w:val="dashed" w:sz="4" w:space="0" w:color="auto"/>
            </w:tcBorders>
            <w:shd w:val="clear" w:color="auto" w:fill="D9E2F3" w:themeFill="accent5" w:themeFillTint="33"/>
            <w:vAlign w:val="center"/>
          </w:tcPr>
          <w:p w14:paraId="78F503BB" w14:textId="3D261B59" w:rsidR="00F26EA0" w:rsidRDefault="00F26EA0" w:rsidP="00F87D2B">
            <w:pPr>
              <w:jc w:val="center"/>
            </w:pPr>
            <w:r>
              <w:t>20 to 40 hours</w:t>
            </w:r>
          </w:p>
        </w:tc>
        <w:tc>
          <w:tcPr>
            <w:tcW w:w="2835" w:type="dxa"/>
            <w:tcBorders>
              <w:top w:val="dashed" w:sz="4" w:space="0" w:color="auto"/>
            </w:tcBorders>
            <w:shd w:val="clear" w:color="auto" w:fill="D9E2F3" w:themeFill="accent5" w:themeFillTint="33"/>
            <w:vAlign w:val="center"/>
          </w:tcPr>
          <w:p w14:paraId="6A9D15CA" w14:textId="270392F7" w:rsidR="00F26EA0" w:rsidRDefault="0071680D" w:rsidP="00F87D2B">
            <w:pPr>
              <w:jc w:val="center"/>
            </w:pPr>
            <w:r w:rsidRPr="0071680D">
              <w:t>$</w:t>
            </w:r>
            <w:r w:rsidR="00E1715A">
              <w:t>36.8</w:t>
            </w:r>
            <w:r w:rsidR="00017C91">
              <w:t>2</w:t>
            </w:r>
          </w:p>
        </w:tc>
        <w:tc>
          <w:tcPr>
            <w:tcW w:w="2976" w:type="dxa"/>
            <w:tcBorders>
              <w:top w:val="dashed" w:sz="4" w:space="0" w:color="auto"/>
            </w:tcBorders>
            <w:shd w:val="clear" w:color="auto" w:fill="D9E2F3" w:themeFill="accent5" w:themeFillTint="33"/>
            <w:vAlign w:val="center"/>
          </w:tcPr>
          <w:p w14:paraId="2759E623" w14:textId="1506A74F" w:rsidR="00F26EA0" w:rsidRDefault="000B1C69" w:rsidP="00F87D2B">
            <w:pPr>
              <w:jc w:val="center"/>
            </w:pPr>
            <w:r w:rsidRPr="000B1C69">
              <w:t>$</w:t>
            </w:r>
            <w:r w:rsidR="00A4166F">
              <w:t>33.60</w:t>
            </w:r>
          </w:p>
        </w:tc>
        <w:tc>
          <w:tcPr>
            <w:tcW w:w="4395" w:type="dxa"/>
            <w:tcBorders>
              <w:top w:val="dashed" w:sz="4" w:space="0" w:color="auto"/>
            </w:tcBorders>
            <w:shd w:val="clear" w:color="auto" w:fill="D9E2F3" w:themeFill="accent5" w:themeFillTint="33"/>
            <w:vAlign w:val="center"/>
          </w:tcPr>
          <w:p w14:paraId="3EDE9AF1" w14:textId="5B7B8B83" w:rsidR="00F26EA0" w:rsidRDefault="001150D9" w:rsidP="00F87D2B">
            <w:pPr>
              <w:jc w:val="center"/>
            </w:pPr>
            <w:r w:rsidRPr="001150D9">
              <w:t>$106.60</w:t>
            </w:r>
          </w:p>
        </w:tc>
      </w:tr>
      <w:tr w:rsidR="00E97B88" w14:paraId="519CA74F" w14:textId="77777777" w:rsidTr="00F87D2B">
        <w:trPr>
          <w:trHeight w:val="510"/>
        </w:trPr>
        <w:tc>
          <w:tcPr>
            <w:tcW w:w="1293" w:type="dxa"/>
            <w:vMerge/>
            <w:vAlign w:val="center"/>
          </w:tcPr>
          <w:p w14:paraId="4280A554" w14:textId="77777777" w:rsidR="00F26EA0" w:rsidRDefault="00F26EA0" w:rsidP="00F87D2B">
            <w:pPr>
              <w:jc w:val="center"/>
            </w:pPr>
          </w:p>
        </w:tc>
        <w:tc>
          <w:tcPr>
            <w:tcW w:w="1679" w:type="dxa"/>
            <w:vMerge w:val="restart"/>
            <w:shd w:val="clear" w:color="auto" w:fill="D9E2F3" w:themeFill="accent5" w:themeFillTint="33"/>
            <w:vAlign w:val="center"/>
          </w:tcPr>
          <w:p w14:paraId="5C535404" w14:textId="3F81CC72" w:rsidR="00F26EA0" w:rsidRDefault="00F26EA0" w:rsidP="00F87D2B">
            <w:pPr>
              <w:jc w:val="center"/>
            </w:pPr>
            <w:r>
              <w:t>Income change from CF</w:t>
            </w:r>
          </w:p>
        </w:tc>
        <w:tc>
          <w:tcPr>
            <w:tcW w:w="1985" w:type="dxa"/>
            <w:tcBorders>
              <w:bottom w:val="dashed" w:sz="4" w:space="0" w:color="auto"/>
            </w:tcBorders>
            <w:shd w:val="clear" w:color="auto" w:fill="D9E2F3" w:themeFill="accent5" w:themeFillTint="33"/>
            <w:vAlign w:val="center"/>
          </w:tcPr>
          <w:p w14:paraId="59263C0E" w14:textId="45E1F3C2" w:rsidR="00F26EA0" w:rsidRDefault="00F26EA0" w:rsidP="00F87D2B">
            <w:pPr>
              <w:jc w:val="center"/>
            </w:pPr>
            <w:r>
              <w:t>20</w:t>
            </w:r>
          </w:p>
        </w:tc>
        <w:tc>
          <w:tcPr>
            <w:tcW w:w="2835" w:type="dxa"/>
            <w:tcBorders>
              <w:bottom w:val="dashed" w:sz="4" w:space="0" w:color="auto"/>
            </w:tcBorders>
            <w:shd w:val="clear" w:color="auto" w:fill="D9E2F3" w:themeFill="accent5" w:themeFillTint="33"/>
            <w:vAlign w:val="center"/>
          </w:tcPr>
          <w:p w14:paraId="2ADACED0" w14:textId="31A53AC2" w:rsidR="00F26EA0" w:rsidRDefault="00334324" w:rsidP="00F87D2B">
            <w:pPr>
              <w:jc w:val="center"/>
            </w:pPr>
            <w:r w:rsidRPr="00334324">
              <w:t>$9.10</w:t>
            </w:r>
          </w:p>
        </w:tc>
        <w:tc>
          <w:tcPr>
            <w:tcW w:w="2976" w:type="dxa"/>
            <w:tcBorders>
              <w:bottom w:val="dashed" w:sz="4" w:space="0" w:color="auto"/>
            </w:tcBorders>
            <w:shd w:val="clear" w:color="auto" w:fill="D9E2F3" w:themeFill="accent5" w:themeFillTint="33"/>
            <w:vAlign w:val="center"/>
          </w:tcPr>
          <w:p w14:paraId="273CC05B" w14:textId="6334D4FB" w:rsidR="00F26EA0" w:rsidRDefault="00334324" w:rsidP="00F87D2B">
            <w:pPr>
              <w:jc w:val="center"/>
            </w:pPr>
            <w:r w:rsidRPr="00334324">
              <w:t>$9.10</w:t>
            </w:r>
          </w:p>
        </w:tc>
        <w:tc>
          <w:tcPr>
            <w:tcW w:w="4395" w:type="dxa"/>
            <w:tcBorders>
              <w:bottom w:val="dashed" w:sz="4" w:space="0" w:color="auto"/>
            </w:tcBorders>
            <w:shd w:val="clear" w:color="auto" w:fill="D9E2F3" w:themeFill="accent5" w:themeFillTint="33"/>
            <w:vAlign w:val="center"/>
          </w:tcPr>
          <w:p w14:paraId="7ECE7648" w14:textId="771E8092" w:rsidR="00F26EA0" w:rsidRDefault="00334324" w:rsidP="00F87D2B">
            <w:pPr>
              <w:jc w:val="center"/>
            </w:pPr>
            <w:r w:rsidRPr="00334324">
              <w:t>$9.10</w:t>
            </w:r>
          </w:p>
        </w:tc>
      </w:tr>
      <w:tr w:rsidR="00E97B88" w14:paraId="501816C0" w14:textId="77777777" w:rsidTr="00F87D2B">
        <w:trPr>
          <w:trHeight w:val="510"/>
        </w:trPr>
        <w:tc>
          <w:tcPr>
            <w:tcW w:w="1293" w:type="dxa"/>
            <w:vMerge/>
            <w:vAlign w:val="center"/>
          </w:tcPr>
          <w:p w14:paraId="60CA0E7F" w14:textId="77777777" w:rsidR="00F26EA0" w:rsidRDefault="00F26EA0" w:rsidP="00F87D2B">
            <w:pPr>
              <w:jc w:val="center"/>
            </w:pPr>
          </w:p>
        </w:tc>
        <w:tc>
          <w:tcPr>
            <w:tcW w:w="1679" w:type="dxa"/>
            <w:vMerge/>
            <w:vAlign w:val="center"/>
          </w:tcPr>
          <w:p w14:paraId="429B0C22" w14:textId="77777777" w:rsidR="00F26EA0" w:rsidRDefault="00F26EA0" w:rsidP="00F87D2B">
            <w:pPr>
              <w:jc w:val="center"/>
            </w:pPr>
          </w:p>
        </w:tc>
        <w:tc>
          <w:tcPr>
            <w:tcW w:w="1985" w:type="dxa"/>
            <w:tcBorders>
              <w:top w:val="dashed" w:sz="4" w:space="0" w:color="auto"/>
            </w:tcBorders>
            <w:shd w:val="clear" w:color="auto" w:fill="D9E2F3" w:themeFill="accent5" w:themeFillTint="33"/>
            <w:vAlign w:val="center"/>
          </w:tcPr>
          <w:p w14:paraId="6F64F06A" w14:textId="2BB4F86C" w:rsidR="00F26EA0" w:rsidRDefault="00F26EA0" w:rsidP="00F87D2B">
            <w:pPr>
              <w:jc w:val="center"/>
            </w:pPr>
            <w:r>
              <w:t>40</w:t>
            </w:r>
          </w:p>
        </w:tc>
        <w:tc>
          <w:tcPr>
            <w:tcW w:w="2835" w:type="dxa"/>
            <w:tcBorders>
              <w:top w:val="dashed" w:sz="4" w:space="0" w:color="auto"/>
            </w:tcBorders>
            <w:shd w:val="clear" w:color="auto" w:fill="D9E2F3" w:themeFill="accent5" w:themeFillTint="33"/>
            <w:vAlign w:val="center"/>
          </w:tcPr>
          <w:p w14:paraId="0E67FB56" w14:textId="6DFDCC10" w:rsidR="00F26EA0" w:rsidRDefault="00334324" w:rsidP="00F87D2B">
            <w:pPr>
              <w:jc w:val="center"/>
            </w:pPr>
            <w:r w:rsidRPr="00334324">
              <w:t>$9.10</w:t>
            </w:r>
          </w:p>
        </w:tc>
        <w:tc>
          <w:tcPr>
            <w:tcW w:w="2976" w:type="dxa"/>
            <w:tcBorders>
              <w:top w:val="dashed" w:sz="4" w:space="0" w:color="auto"/>
            </w:tcBorders>
            <w:shd w:val="clear" w:color="auto" w:fill="D9E2F3" w:themeFill="accent5" w:themeFillTint="33"/>
            <w:vAlign w:val="center"/>
          </w:tcPr>
          <w:p w14:paraId="4621CA37" w14:textId="6CC2CD3D" w:rsidR="00F26EA0" w:rsidRDefault="00334324" w:rsidP="00F87D2B">
            <w:pPr>
              <w:jc w:val="center"/>
            </w:pPr>
            <w:r w:rsidRPr="00334324">
              <w:t>$9.10</w:t>
            </w:r>
          </w:p>
        </w:tc>
        <w:tc>
          <w:tcPr>
            <w:tcW w:w="4395" w:type="dxa"/>
            <w:tcBorders>
              <w:top w:val="dashed" w:sz="4" w:space="0" w:color="auto"/>
            </w:tcBorders>
            <w:shd w:val="clear" w:color="auto" w:fill="D9E2F3" w:themeFill="accent5" w:themeFillTint="33"/>
            <w:vAlign w:val="center"/>
          </w:tcPr>
          <w:p w14:paraId="512D40B4" w14:textId="497D44E0" w:rsidR="00F26EA0" w:rsidRDefault="00334324" w:rsidP="00F87D2B">
            <w:pPr>
              <w:jc w:val="center"/>
            </w:pPr>
            <w:r w:rsidRPr="00334324">
              <w:t>$9.10</w:t>
            </w:r>
          </w:p>
        </w:tc>
      </w:tr>
      <w:tr w:rsidR="00383BEB" w14:paraId="65E75219" w14:textId="77777777" w:rsidTr="00F87D2B">
        <w:trPr>
          <w:trHeight w:val="60"/>
        </w:trPr>
        <w:tc>
          <w:tcPr>
            <w:tcW w:w="1293" w:type="dxa"/>
            <w:vMerge/>
            <w:vAlign w:val="center"/>
          </w:tcPr>
          <w:p w14:paraId="2F6507E5" w14:textId="77777777" w:rsidR="00383BEB" w:rsidRDefault="00383BEB" w:rsidP="00F87D2B">
            <w:pPr>
              <w:jc w:val="center"/>
            </w:pPr>
          </w:p>
        </w:tc>
        <w:tc>
          <w:tcPr>
            <w:tcW w:w="3664" w:type="dxa"/>
            <w:gridSpan w:val="2"/>
            <w:tcBorders>
              <w:bottom w:val="single" w:sz="4" w:space="0" w:color="auto"/>
            </w:tcBorders>
            <w:shd w:val="clear" w:color="auto" w:fill="D9E2F3" w:themeFill="accent5" w:themeFillTint="33"/>
            <w:vAlign w:val="center"/>
          </w:tcPr>
          <w:p w14:paraId="7F4CD6E1" w14:textId="4F29E5D8" w:rsidR="00383BEB" w:rsidRPr="009679B6" w:rsidRDefault="009679B6" w:rsidP="00F87D2B">
            <w:pPr>
              <w:jc w:val="center"/>
              <w:rPr>
                <w:b/>
                <w:bCs/>
              </w:rPr>
            </w:pPr>
            <w:r>
              <w:rPr>
                <w:b/>
                <w:bCs/>
              </w:rPr>
              <w:t xml:space="preserve">Change to </w:t>
            </w:r>
            <w:r w:rsidR="0010382E">
              <w:rPr>
                <w:b/>
                <w:bCs/>
              </w:rPr>
              <w:t>EMTRs and/or PTRs</w:t>
            </w:r>
          </w:p>
        </w:tc>
        <w:tc>
          <w:tcPr>
            <w:tcW w:w="2835" w:type="dxa"/>
            <w:tcBorders>
              <w:top w:val="dashed" w:sz="4" w:space="0" w:color="auto"/>
            </w:tcBorders>
            <w:shd w:val="clear" w:color="auto" w:fill="D9E2F3" w:themeFill="accent5" w:themeFillTint="33"/>
            <w:vAlign w:val="center"/>
          </w:tcPr>
          <w:p w14:paraId="41DC7052" w14:textId="15CCE32F" w:rsidR="00383BEB" w:rsidRPr="009679B6" w:rsidRDefault="009679B6" w:rsidP="00F87D2B">
            <w:pPr>
              <w:jc w:val="center"/>
              <w:rPr>
                <w:b/>
                <w:bCs/>
              </w:rPr>
            </w:pPr>
            <w:r>
              <w:rPr>
                <w:b/>
                <w:bCs/>
              </w:rPr>
              <w:t>None</w:t>
            </w:r>
          </w:p>
        </w:tc>
        <w:tc>
          <w:tcPr>
            <w:tcW w:w="2976" w:type="dxa"/>
            <w:tcBorders>
              <w:top w:val="dashed" w:sz="4" w:space="0" w:color="auto"/>
            </w:tcBorders>
            <w:shd w:val="clear" w:color="auto" w:fill="D9E2F3" w:themeFill="accent5" w:themeFillTint="33"/>
            <w:vAlign w:val="center"/>
          </w:tcPr>
          <w:p w14:paraId="40CDD9EC" w14:textId="08B30597" w:rsidR="00383BEB" w:rsidRPr="009679B6" w:rsidRDefault="009679B6" w:rsidP="00F87D2B">
            <w:pPr>
              <w:jc w:val="center"/>
              <w:rPr>
                <w:b/>
                <w:bCs/>
              </w:rPr>
            </w:pPr>
            <w:r>
              <w:rPr>
                <w:b/>
                <w:bCs/>
              </w:rPr>
              <w:t>None</w:t>
            </w:r>
          </w:p>
        </w:tc>
        <w:tc>
          <w:tcPr>
            <w:tcW w:w="4395" w:type="dxa"/>
            <w:tcBorders>
              <w:top w:val="dashed" w:sz="4" w:space="0" w:color="auto"/>
            </w:tcBorders>
            <w:shd w:val="clear" w:color="auto" w:fill="D9E2F3" w:themeFill="accent5" w:themeFillTint="33"/>
            <w:vAlign w:val="center"/>
          </w:tcPr>
          <w:p w14:paraId="342E0E4C" w14:textId="0CE4BC46" w:rsidR="00383BEB" w:rsidRPr="009679B6" w:rsidRDefault="009679B6" w:rsidP="00F87D2B">
            <w:pPr>
              <w:jc w:val="center"/>
              <w:rPr>
                <w:b/>
                <w:bCs/>
              </w:rPr>
            </w:pPr>
            <w:r>
              <w:rPr>
                <w:b/>
                <w:bCs/>
              </w:rPr>
              <w:t>None</w:t>
            </w:r>
          </w:p>
        </w:tc>
      </w:tr>
      <w:bookmarkEnd w:id="13"/>
      <w:tr w:rsidR="00D81740" w14:paraId="10691E58" w14:textId="77777777" w:rsidTr="00F87D2B">
        <w:tc>
          <w:tcPr>
            <w:tcW w:w="1293" w:type="dxa"/>
            <w:vMerge w:val="restart"/>
            <w:tcBorders>
              <w:top w:val="single" w:sz="4" w:space="0" w:color="auto"/>
            </w:tcBorders>
            <w:shd w:val="clear" w:color="auto" w:fill="B4C6E7" w:themeFill="accent5" w:themeFillTint="66"/>
            <w:vAlign w:val="center"/>
          </w:tcPr>
          <w:p w14:paraId="0A5DCB40" w14:textId="77777777" w:rsidR="00D81740" w:rsidRDefault="00D81740" w:rsidP="00F87D2B">
            <w:pPr>
              <w:jc w:val="center"/>
            </w:pPr>
            <w:r>
              <w:t>A2</w:t>
            </w:r>
          </w:p>
          <w:p w14:paraId="25EDFE27" w14:textId="5993C9F9" w:rsidR="00D81740" w:rsidRDefault="00C63D66" w:rsidP="00F87D2B">
            <w:pPr>
              <w:jc w:val="center"/>
            </w:pPr>
            <w:r>
              <w:t>($5 FTC, 26%)</w:t>
            </w:r>
          </w:p>
        </w:tc>
        <w:tc>
          <w:tcPr>
            <w:tcW w:w="1679" w:type="dxa"/>
            <w:vMerge w:val="restart"/>
            <w:tcBorders>
              <w:top w:val="single" w:sz="4" w:space="0" w:color="auto"/>
            </w:tcBorders>
            <w:shd w:val="clear" w:color="auto" w:fill="B4C6E7" w:themeFill="accent5" w:themeFillTint="66"/>
            <w:vAlign w:val="center"/>
          </w:tcPr>
          <w:p w14:paraId="363BF203" w14:textId="77777777" w:rsidR="00D81740" w:rsidRDefault="00D81740" w:rsidP="00F87D2B">
            <w:pPr>
              <w:jc w:val="center"/>
            </w:pPr>
            <w:r>
              <w:t>Income gain from work at</w:t>
            </w:r>
          </w:p>
        </w:tc>
        <w:tc>
          <w:tcPr>
            <w:tcW w:w="1985" w:type="dxa"/>
            <w:tcBorders>
              <w:top w:val="single" w:sz="4" w:space="0" w:color="auto"/>
              <w:bottom w:val="dashed" w:sz="4" w:space="0" w:color="auto"/>
            </w:tcBorders>
            <w:shd w:val="clear" w:color="auto" w:fill="B4C6E7" w:themeFill="accent5" w:themeFillTint="66"/>
            <w:vAlign w:val="center"/>
          </w:tcPr>
          <w:p w14:paraId="34C040BF" w14:textId="77777777" w:rsidR="00D81740" w:rsidRDefault="00D81740" w:rsidP="00F87D2B">
            <w:pPr>
              <w:jc w:val="center"/>
            </w:pPr>
            <w:r>
              <w:t>0-10 hours</w:t>
            </w:r>
          </w:p>
        </w:tc>
        <w:tc>
          <w:tcPr>
            <w:tcW w:w="2835" w:type="dxa"/>
            <w:tcBorders>
              <w:bottom w:val="dashed" w:sz="4" w:space="0" w:color="auto"/>
            </w:tcBorders>
            <w:shd w:val="clear" w:color="auto" w:fill="B4C6E7" w:themeFill="accent5" w:themeFillTint="66"/>
            <w:vAlign w:val="center"/>
          </w:tcPr>
          <w:p w14:paraId="4E80A931" w14:textId="52ED6ABB" w:rsidR="00D81740" w:rsidRDefault="00D81740" w:rsidP="00F87D2B">
            <w:pPr>
              <w:jc w:val="center"/>
            </w:pPr>
            <w:r w:rsidRPr="00383BEB">
              <w:t>$</w:t>
            </w:r>
            <w:r w:rsidR="00AB6DA3">
              <w:t>150</w:t>
            </w:r>
            <w:r w:rsidRPr="00383BEB">
              <w:t>.22</w:t>
            </w:r>
          </w:p>
        </w:tc>
        <w:tc>
          <w:tcPr>
            <w:tcW w:w="2976" w:type="dxa"/>
            <w:tcBorders>
              <w:bottom w:val="dashed" w:sz="4" w:space="0" w:color="auto"/>
            </w:tcBorders>
            <w:shd w:val="clear" w:color="auto" w:fill="B4C6E7" w:themeFill="accent5" w:themeFillTint="66"/>
            <w:vAlign w:val="center"/>
          </w:tcPr>
          <w:p w14:paraId="38E7936B" w14:textId="79247B05" w:rsidR="00D81740" w:rsidRDefault="00D81740" w:rsidP="00F87D2B">
            <w:pPr>
              <w:jc w:val="center"/>
            </w:pPr>
            <w:r w:rsidRPr="00E4193F">
              <w:t>$</w:t>
            </w:r>
            <w:r w:rsidR="00A72F29">
              <w:t>134</w:t>
            </w:r>
            <w:r w:rsidRPr="00E4193F">
              <w:t>.22</w:t>
            </w:r>
          </w:p>
        </w:tc>
        <w:tc>
          <w:tcPr>
            <w:tcW w:w="4395" w:type="dxa"/>
            <w:tcBorders>
              <w:bottom w:val="dashed" w:sz="4" w:space="0" w:color="auto"/>
            </w:tcBorders>
            <w:shd w:val="clear" w:color="auto" w:fill="B4C6E7" w:themeFill="accent5" w:themeFillTint="66"/>
            <w:vAlign w:val="center"/>
          </w:tcPr>
          <w:p w14:paraId="270F48D0" w14:textId="32BB78B1" w:rsidR="00D81740" w:rsidRDefault="00121008" w:rsidP="00F87D2B">
            <w:pPr>
              <w:jc w:val="center"/>
            </w:pPr>
            <w:r w:rsidRPr="00121008">
              <w:t>$</w:t>
            </w:r>
            <w:r w:rsidR="00FB2B32">
              <w:t>96.</w:t>
            </w:r>
            <w:r w:rsidR="001E5D93">
              <w:t>30</w:t>
            </w:r>
          </w:p>
        </w:tc>
      </w:tr>
      <w:tr w:rsidR="00D81740" w14:paraId="4751BE3E" w14:textId="77777777" w:rsidTr="00F87D2B">
        <w:tc>
          <w:tcPr>
            <w:tcW w:w="1293" w:type="dxa"/>
            <w:vMerge/>
            <w:vAlign w:val="center"/>
          </w:tcPr>
          <w:p w14:paraId="2BBDD416" w14:textId="77777777" w:rsidR="00D81740" w:rsidRDefault="00D81740" w:rsidP="00F87D2B">
            <w:pPr>
              <w:jc w:val="center"/>
            </w:pPr>
          </w:p>
        </w:tc>
        <w:tc>
          <w:tcPr>
            <w:tcW w:w="1679" w:type="dxa"/>
            <w:vMerge/>
            <w:vAlign w:val="center"/>
          </w:tcPr>
          <w:p w14:paraId="2C7E19B9" w14:textId="77777777" w:rsidR="00D81740" w:rsidRDefault="00D81740" w:rsidP="00F87D2B">
            <w:pPr>
              <w:jc w:val="center"/>
            </w:pPr>
          </w:p>
        </w:tc>
        <w:tc>
          <w:tcPr>
            <w:tcW w:w="1985" w:type="dxa"/>
            <w:tcBorders>
              <w:top w:val="dashed" w:sz="4" w:space="0" w:color="auto"/>
              <w:bottom w:val="dashed" w:sz="4" w:space="0" w:color="auto"/>
            </w:tcBorders>
            <w:shd w:val="clear" w:color="auto" w:fill="B4C6E7" w:themeFill="accent5" w:themeFillTint="66"/>
            <w:vAlign w:val="center"/>
          </w:tcPr>
          <w:p w14:paraId="7CAD9DDA" w14:textId="77777777" w:rsidR="00D81740" w:rsidRDefault="00D81740" w:rsidP="00F87D2B">
            <w:pPr>
              <w:jc w:val="center"/>
            </w:pPr>
            <w:r>
              <w:t>10 to 20 hours</w:t>
            </w:r>
          </w:p>
        </w:tc>
        <w:tc>
          <w:tcPr>
            <w:tcW w:w="2835" w:type="dxa"/>
            <w:tcBorders>
              <w:top w:val="dashed" w:sz="4" w:space="0" w:color="auto"/>
              <w:bottom w:val="dashed" w:sz="4" w:space="0" w:color="auto"/>
            </w:tcBorders>
            <w:shd w:val="clear" w:color="auto" w:fill="B4C6E7" w:themeFill="accent5" w:themeFillTint="66"/>
            <w:vAlign w:val="center"/>
          </w:tcPr>
          <w:p w14:paraId="2B8DB79F" w14:textId="5D11E0FC" w:rsidR="00D81740" w:rsidRDefault="00D81740" w:rsidP="00F87D2B">
            <w:pPr>
              <w:jc w:val="center"/>
            </w:pPr>
            <w:r w:rsidRPr="000315C7">
              <w:t>$</w:t>
            </w:r>
            <w:r w:rsidR="00AB6DA3">
              <w:t>99.7</w:t>
            </w:r>
            <w:r w:rsidR="001E5D93">
              <w:t>7</w:t>
            </w:r>
          </w:p>
        </w:tc>
        <w:tc>
          <w:tcPr>
            <w:tcW w:w="2976" w:type="dxa"/>
            <w:tcBorders>
              <w:top w:val="dashed" w:sz="4" w:space="0" w:color="auto"/>
              <w:bottom w:val="dashed" w:sz="4" w:space="0" w:color="auto"/>
            </w:tcBorders>
            <w:shd w:val="clear" w:color="auto" w:fill="B4C6E7" w:themeFill="accent5" w:themeFillTint="66"/>
            <w:vAlign w:val="center"/>
          </w:tcPr>
          <w:p w14:paraId="76CA1950" w14:textId="11F116B7" w:rsidR="00D81740" w:rsidRDefault="00D81740" w:rsidP="00F87D2B">
            <w:pPr>
              <w:jc w:val="center"/>
            </w:pPr>
            <w:r w:rsidRPr="00882011">
              <w:t>$</w:t>
            </w:r>
            <w:r w:rsidR="00205FD6">
              <w:t>18</w:t>
            </w:r>
            <w:r w:rsidR="0037711A">
              <w:t>.</w:t>
            </w:r>
            <w:r w:rsidR="001E5D93">
              <w:t>80</w:t>
            </w:r>
          </w:p>
        </w:tc>
        <w:tc>
          <w:tcPr>
            <w:tcW w:w="4395" w:type="dxa"/>
            <w:tcBorders>
              <w:top w:val="dashed" w:sz="4" w:space="0" w:color="auto"/>
              <w:bottom w:val="dashed" w:sz="4" w:space="0" w:color="auto"/>
            </w:tcBorders>
            <w:shd w:val="clear" w:color="auto" w:fill="B4C6E7" w:themeFill="accent5" w:themeFillTint="66"/>
            <w:vAlign w:val="center"/>
          </w:tcPr>
          <w:p w14:paraId="423A0800" w14:textId="690124EC" w:rsidR="00D81740" w:rsidRDefault="00891942" w:rsidP="00F87D2B">
            <w:pPr>
              <w:jc w:val="center"/>
            </w:pPr>
            <w:r w:rsidRPr="00891942">
              <w:t>$</w:t>
            </w:r>
            <w:r w:rsidR="00986FB0">
              <w:t>62.0</w:t>
            </w:r>
            <w:r w:rsidR="001E5D93">
              <w:t>7</w:t>
            </w:r>
          </w:p>
        </w:tc>
      </w:tr>
      <w:tr w:rsidR="00D81740" w14:paraId="360600BC" w14:textId="77777777" w:rsidTr="00F87D2B">
        <w:tc>
          <w:tcPr>
            <w:tcW w:w="1293" w:type="dxa"/>
            <w:vMerge/>
            <w:vAlign w:val="center"/>
          </w:tcPr>
          <w:p w14:paraId="25FC2CFD" w14:textId="77777777" w:rsidR="00D81740" w:rsidRDefault="00D81740" w:rsidP="00F87D2B">
            <w:pPr>
              <w:jc w:val="center"/>
            </w:pPr>
          </w:p>
        </w:tc>
        <w:tc>
          <w:tcPr>
            <w:tcW w:w="1679" w:type="dxa"/>
            <w:vMerge/>
            <w:vAlign w:val="center"/>
          </w:tcPr>
          <w:p w14:paraId="56569EEE" w14:textId="77777777" w:rsidR="00D81740" w:rsidRDefault="00D81740" w:rsidP="00F87D2B">
            <w:pPr>
              <w:jc w:val="center"/>
            </w:pPr>
          </w:p>
        </w:tc>
        <w:tc>
          <w:tcPr>
            <w:tcW w:w="1985" w:type="dxa"/>
            <w:tcBorders>
              <w:top w:val="dashed" w:sz="4" w:space="0" w:color="auto"/>
            </w:tcBorders>
            <w:shd w:val="clear" w:color="auto" w:fill="B4C6E7" w:themeFill="accent5" w:themeFillTint="66"/>
            <w:vAlign w:val="center"/>
          </w:tcPr>
          <w:p w14:paraId="541BF311" w14:textId="77777777" w:rsidR="00D81740" w:rsidRDefault="00D81740" w:rsidP="00F87D2B">
            <w:pPr>
              <w:jc w:val="center"/>
            </w:pPr>
            <w:r>
              <w:t>20 to 40 hours</w:t>
            </w:r>
          </w:p>
        </w:tc>
        <w:tc>
          <w:tcPr>
            <w:tcW w:w="2835" w:type="dxa"/>
            <w:tcBorders>
              <w:top w:val="dashed" w:sz="4" w:space="0" w:color="auto"/>
            </w:tcBorders>
            <w:shd w:val="clear" w:color="auto" w:fill="B4C6E7" w:themeFill="accent5" w:themeFillTint="66"/>
            <w:vAlign w:val="center"/>
          </w:tcPr>
          <w:p w14:paraId="4F48AE83" w14:textId="6BF265A5" w:rsidR="00D81740" w:rsidRDefault="00D81740" w:rsidP="00F87D2B">
            <w:pPr>
              <w:jc w:val="center"/>
            </w:pPr>
            <w:r w:rsidRPr="0071680D">
              <w:t>$</w:t>
            </w:r>
            <w:r w:rsidR="00C4328B">
              <w:t>36.8</w:t>
            </w:r>
            <w:r w:rsidR="001E5D93">
              <w:t>2</w:t>
            </w:r>
          </w:p>
        </w:tc>
        <w:tc>
          <w:tcPr>
            <w:tcW w:w="2976" w:type="dxa"/>
            <w:tcBorders>
              <w:top w:val="dashed" w:sz="4" w:space="0" w:color="auto"/>
            </w:tcBorders>
            <w:shd w:val="clear" w:color="auto" w:fill="B4C6E7" w:themeFill="accent5" w:themeFillTint="66"/>
            <w:vAlign w:val="center"/>
          </w:tcPr>
          <w:p w14:paraId="325BC18A" w14:textId="4D326B11" w:rsidR="00D81740" w:rsidRDefault="00D81740" w:rsidP="00F87D2B">
            <w:pPr>
              <w:jc w:val="center"/>
            </w:pPr>
            <w:r w:rsidRPr="000B1C69">
              <w:t>$</w:t>
            </w:r>
            <w:r w:rsidR="001E5D93">
              <w:t>32.73</w:t>
            </w:r>
          </w:p>
        </w:tc>
        <w:tc>
          <w:tcPr>
            <w:tcW w:w="4395" w:type="dxa"/>
            <w:tcBorders>
              <w:top w:val="dashed" w:sz="4" w:space="0" w:color="auto"/>
            </w:tcBorders>
            <w:shd w:val="clear" w:color="auto" w:fill="B4C6E7" w:themeFill="accent5" w:themeFillTint="66"/>
            <w:vAlign w:val="center"/>
          </w:tcPr>
          <w:p w14:paraId="051C9ED5" w14:textId="0BB92F91" w:rsidR="00D81740" w:rsidRDefault="00D63717" w:rsidP="00F87D2B">
            <w:pPr>
              <w:jc w:val="center"/>
            </w:pPr>
            <w:r w:rsidRPr="00D63717">
              <w:t>$102.60</w:t>
            </w:r>
          </w:p>
        </w:tc>
      </w:tr>
      <w:tr w:rsidR="00D81740" w14:paraId="0410019B" w14:textId="77777777" w:rsidTr="00F87D2B">
        <w:trPr>
          <w:trHeight w:val="510"/>
        </w:trPr>
        <w:tc>
          <w:tcPr>
            <w:tcW w:w="1293" w:type="dxa"/>
            <w:vMerge/>
            <w:vAlign w:val="center"/>
          </w:tcPr>
          <w:p w14:paraId="1F56FE58" w14:textId="77777777" w:rsidR="00D81740" w:rsidRDefault="00D81740" w:rsidP="00F87D2B">
            <w:pPr>
              <w:jc w:val="center"/>
            </w:pPr>
          </w:p>
        </w:tc>
        <w:tc>
          <w:tcPr>
            <w:tcW w:w="1679" w:type="dxa"/>
            <w:vMerge w:val="restart"/>
            <w:shd w:val="clear" w:color="auto" w:fill="B4C6E7" w:themeFill="accent5" w:themeFillTint="66"/>
            <w:vAlign w:val="center"/>
          </w:tcPr>
          <w:p w14:paraId="67684BD6" w14:textId="77777777" w:rsidR="00D81740" w:rsidRDefault="00D81740" w:rsidP="00F87D2B">
            <w:pPr>
              <w:jc w:val="center"/>
            </w:pPr>
            <w:r>
              <w:t>Income change from CF</w:t>
            </w:r>
          </w:p>
        </w:tc>
        <w:tc>
          <w:tcPr>
            <w:tcW w:w="1985" w:type="dxa"/>
            <w:tcBorders>
              <w:bottom w:val="dashed" w:sz="4" w:space="0" w:color="auto"/>
            </w:tcBorders>
            <w:shd w:val="clear" w:color="auto" w:fill="B4C6E7" w:themeFill="accent5" w:themeFillTint="66"/>
            <w:vAlign w:val="center"/>
          </w:tcPr>
          <w:p w14:paraId="273230BA" w14:textId="77777777" w:rsidR="00D81740" w:rsidRDefault="00D81740" w:rsidP="00F87D2B">
            <w:pPr>
              <w:jc w:val="center"/>
            </w:pPr>
            <w:r>
              <w:t>20</w:t>
            </w:r>
          </w:p>
        </w:tc>
        <w:tc>
          <w:tcPr>
            <w:tcW w:w="2835" w:type="dxa"/>
            <w:tcBorders>
              <w:bottom w:val="dashed" w:sz="4" w:space="0" w:color="auto"/>
            </w:tcBorders>
            <w:shd w:val="clear" w:color="auto" w:fill="B4C6E7" w:themeFill="accent5" w:themeFillTint="66"/>
            <w:vAlign w:val="center"/>
          </w:tcPr>
          <w:p w14:paraId="4B841D32" w14:textId="15FD4562" w:rsidR="00D81740" w:rsidRDefault="00D81740" w:rsidP="00F87D2B">
            <w:pPr>
              <w:jc w:val="center"/>
            </w:pPr>
            <w:r w:rsidRPr="00C46612">
              <w:t>$9.10</w:t>
            </w:r>
          </w:p>
        </w:tc>
        <w:tc>
          <w:tcPr>
            <w:tcW w:w="2976" w:type="dxa"/>
            <w:tcBorders>
              <w:bottom w:val="dashed" w:sz="4" w:space="0" w:color="auto"/>
            </w:tcBorders>
            <w:shd w:val="clear" w:color="auto" w:fill="B4C6E7" w:themeFill="accent5" w:themeFillTint="66"/>
            <w:vAlign w:val="center"/>
          </w:tcPr>
          <w:p w14:paraId="2660E7E6" w14:textId="22425C65" w:rsidR="00D81740" w:rsidRDefault="00D81740" w:rsidP="00F87D2B">
            <w:pPr>
              <w:jc w:val="center"/>
            </w:pPr>
            <w:r w:rsidRPr="00C46612">
              <w:t>$</w:t>
            </w:r>
            <w:r w:rsidR="001E5D93">
              <w:t>8.84</w:t>
            </w:r>
          </w:p>
        </w:tc>
        <w:tc>
          <w:tcPr>
            <w:tcW w:w="4395" w:type="dxa"/>
            <w:tcBorders>
              <w:bottom w:val="dashed" w:sz="4" w:space="0" w:color="auto"/>
            </w:tcBorders>
            <w:shd w:val="clear" w:color="auto" w:fill="B4C6E7" w:themeFill="accent5" w:themeFillTint="66"/>
            <w:vAlign w:val="center"/>
          </w:tcPr>
          <w:p w14:paraId="6EAD2922" w14:textId="58F9236E" w:rsidR="00D81740" w:rsidRDefault="00D81740" w:rsidP="00F87D2B">
            <w:pPr>
              <w:jc w:val="center"/>
            </w:pPr>
            <w:r w:rsidRPr="00270D5D">
              <w:t>$5.29</w:t>
            </w:r>
          </w:p>
        </w:tc>
      </w:tr>
      <w:tr w:rsidR="00D81740" w14:paraId="73E2060E" w14:textId="77777777" w:rsidTr="00F87D2B">
        <w:trPr>
          <w:trHeight w:val="510"/>
        </w:trPr>
        <w:tc>
          <w:tcPr>
            <w:tcW w:w="1293" w:type="dxa"/>
            <w:vMerge/>
            <w:vAlign w:val="center"/>
          </w:tcPr>
          <w:p w14:paraId="751A3B59" w14:textId="77777777" w:rsidR="00D81740" w:rsidRDefault="00D81740" w:rsidP="00F87D2B">
            <w:pPr>
              <w:jc w:val="center"/>
            </w:pPr>
          </w:p>
        </w:tc>
        <w:tc>
          <w:tcPr>
            <w:tcW w:w="1679" w:type="dxa"/>
            <w:vMerge/>
            <w:vAlign w:val="center"/>
          </w:tcPr>
          <w:p w14:paraId="0A63AD56" w14:textId="77777777" w:rsidR="00D81740" w:rsidRDefault="00D81740" w:rsidP="00F87D2B">
            <w:pPr>
              <w:jc w:val="center"/>
            </w:pPr>
          </w:p>
        </w:tc>
        <w:tc>
          <w:tcPr>
            <w:tcW w:w="1985" w:type="dxa"/>
            <w:tcBorders>
              <w:top w:val="dashed" w:sz="4" w:space="0" w:color="auto"/>
            </w:tcBorders>
            <w:shd w:val="clear" w:color="auto" w:fill="B4C6E7" w:themeFill="accent5" w:themeFillTint="66"/>
            <w:vAlign w:val="center"/>
          </w:tcPr>
          <w:p w14:paraId="2CFD7437" w14:textId="77777777" w:rsidR="00D81740" w:rsidRDefault="00D81740" w:rsidP="00F87D2B">
            <w:pPr>
              <w:jc w:val="center"/>
            </w:pPr>
            <w:r>
              <w:t>40</w:t>
            </w:r>
          </w:p>
        </w:tc>
        <w:tc>
          <w:tcPr>
            <w:tcW w:w="2835" w:type="dxa"/>
            <w:tcBorders>
              <w:top w:val="dashed" w:sz="4" w:space="0" w:color="auto"/>
            </w:tcBorders>
            <w:shd w:val="clear" w:color="auto" w:fill="B4C6E7" w:themeFill="accent5" w:themeFillTint="66"/>
            <w:vAlign w:val="center"/>
          </w:tcPr>
          <w:p w14:paraId="12602FC2" w14:textId="020F9990" w:rsidR="00D81740" w:rsidRDefault="00D81740" w:rsidP="00F87D2B">
            <w:pPr>
              <w:jc w:val="center"/>
            </w:pPr>
            <w:r w:rsidRPr="00C46612">
              <w:t>$9.10</w:t>
            </w:r>
          </w:p>
        </w:tc>
        <w:tc>
          <w:tcPr>
            <w:tcW w:w="2976" w:type="dxa"/>
            <w:tcBorders>
              <w:top w:val="dashed" w:sz="4" w:space="0" w:color="auto"/>
            </w:tcBorders>
            <w:shd w:val="clear" w:color="auto" w:fill="B4C6E7" w:themeFill="accent5" w:themeFillTint="66"/>
            <w:vAlign w:val="center"/>
          </w:tcPr>
          <w:p w14:paraId="0F14EDC9" w14:textId="66DF53C6" w:rsidR="00D81740" w:rsidRDefault="00D81740" w:rsidP="00F87D2B">
            <w:pPr>
              <w:jc w:val="center"/>
            </w:pPr>
            <w:r w:rsidRPr="00C46612">
              <w:t>$</w:t>
            </w:r>
            <w:r w:rsidR="001E5D93">
              <w:t>7.97</w:t>
            </w:r>
          </w:p>
        </w:tc>
        <w:tc>
          <w:tcPr>
            <w:tcW w:w="4395" w:type="dxa"/>
            <w:tcBorders>
              <w:top w:val="dashed" w:sz="4" w:space="0" w:color="auto"/>
            </w:tcBorders>
            <w:shd w:val="clear" w:color="auto" w:fill="B4C6E7" w:themeFill="accent5" w:themeFillTint="66"/>
            <w:vAlign w:val="center"/>
          </w:tcPr>
          <w:p w14:paraId="30F2F65C" w14:textId="2ED3E30F" w:rsidR="00D81740" w:rsidRDefault="00D81740" w:rsidP="00F87D2B">
            <w:pPr>
              <w:jc w:val="center"/>
            </w:pPr>
            <w:r w:rsidRPr="00D926BF">
              <w:t>$1.29</w:t>
            </w:r>
          </w:p>
        </w:tc>
      </w:tr>
      <w:tr w:rsidR="00D81740" w14:paraId="6D207034" w14:textId="77777777" w:rsidTr="00F87D2B">
        <w:trPr>
          <w:trHeight w:val="510"/>
        </w:trPr>
        <w:tc>
          <w:tcPr>
            <w:tcW w:w="1293" w:type="dxa"/>
            <w:vMerge/>
            <w:vAlign w:val="center"/>
          </w:tcPr>
          <w:p w14:paraId="5DDCB9A5" w14:textId="77777777" w:rsidR="00D81740" w:rsidRDefault="00D81740" w:rsidP="00F87D2B">
            <w:pPr>
              <w:jc w:val="center"/>
            </w:pPr>
          </w:p>
        </w:tc>
        <w:tc>
          <w:tcPr>
            <w:tcW w:w="3664" w:type="dxa"/>
            <w:gridSpan w:val="2"/>
            <w:tcBorders>
              <w:bottom w:val="single" w:sz="4" w:space="0" w:color="auto"/>
            </w:tcBorders>
            <w:shd w:val="clear" w:color="auto" w:fill="B4C6E7" w:themeFill="accent5" w:themeFillTint="66"/>
            <w:vAlign w:val="center"/>
          </w:tcPr>
          <w:p w14:paraId="39013847" w14:textId="5EB173F1" w:rsidR="00D81740" w:rsidRPr="002250C9" w:rsidRDefault="00D81740" w:rsidP="00F87D2B">
            <w:pPr>
              <w:jc w:val="center"/>
              <w:rPr>
                <w:b/>
                <w:bCs/>
              </w:rPr>
            </w:pPr>
            <w:r w:rsidRPr="002250C9">
              <w:rPr>
                <w:b/>
                <w:bCs/>
              </w:rPr>
              <w:t xml:space="preserve">Change to </w:t>
            </w:r>
            <w:r w:rsidR="00A42108">
              <w:rPr>
                <w:b/>
                <w:bCs/>
              </w:rPr>
              <w:t>EMTRs and/or PTRs</w:t>
            </w:r>
          </w:p>
        </w:tc>
        <w:tc>
          <w:tcPr>
            <w:tcW w:w="2835" w:type="dxa"/>
            <w:tcBorders>
              <w:top w:val="dashed" w:sz="4" w:space="0" w:color="auto"/>
            </w:tcBorders>
            <w:shd w:val="clear" w:color="auto" w:fill="B4C6E7" w:themeFill="accent5" w:themeFillTint="66"/>
            <w:vAlign w:val="center"/>
          </w:tcPr>
          <w:p w14:paraId="7ED8D2EE" w14:textId="553ABB4F" w:rsidR="00D81740" w:rsidRPr="002250C9" w:rsidRDefault="00712213" w:rsidP="00F87D2B">
            <w:pPr>
              <w:jc w:val="center"/>
              <w:rPr>
                <w:b/>
                <w:bCs/>
              </w:rPr>
            </w:pPr>
            <w:r>
              <w:rPr>
                <w:b/>
                <w:bCs/>
              </w:rPr>
              <w:t>This option would minimally increase EMTRs by 1% beyond 4</w:t>
            </w:r>
            <w:r w:rsidR="001E5D93">
              <w:rPr>
                <w:b/>
                <w:bCs/>
              </w:rPr>
              <w:t>0.95</w:t>
            </w:r>
            <w:r>
              <w:rPr>
                <w:b/>
                <w:bCs/>
              </w:rPr>
              <w:t xml:space="preserve"> hours of work </w:t>
            </w:r>
            <w:r w:rsidR="00706CC2">
              <w:rPr>
                <w:b/>
                <w:bCs/>
              </w:rPr>
              <w:t>once</w:t>
            </w:r>
            <w:r>
              <w:rPr>
                <w:b/>
                <w:bCs/>
              </w:rPr>
              <w:t xml:space="preserve"> $66,9</w:t>
            </w:r>
            <w:r w:rsidR="001E5D93">
              <w:rPr>
                <w:b/>
                <w:bCs/>
              </w:rPr>
              <w:t>56</w:t>
            </w:r>
            <w:r>
              <w:rPr>
                <w:b/>
                <w:bCs/>
              </w:rPr>
              <w:t xml:space="preserve"> of net income</w:t>
            </w:r>
            <w:r w:rsidR="00706CC2">
              <w:rPr>
                <w:b/>
                <w:bCs/>
              </w:rPr>
              <w:t xml:space="preserve"> is exceeded</w:t>
            </w:r>
            <w:r>
              <w:rPr>
                <w:b/>
                <w:bCs/>
              </w:rPr>
              <w:t>.</w:t>
            </w:r>
          </w:p>
        </w:tc>
        <w:tc>
          <w:tcPr>
            <w:tcW w:w="2976" w:type="dxa"/>
            <w:tcBorders>
              <w:top w:val="dashed" w:sz="4" w:space="0" w:color="auto"/>
            </w:tcBorders>
            <w:shd w:val="clear" w:color="auto" w:fill="B4C6E7" w:themeFill="accent5" w:themeFillTint="66"/>
            <w:vAlign w:val="center"/>
          </w:tcPr>
          <w:p w14:paraId="5F20FE2D" w14:textId="0751C3BB" w:rsidR="00D81740" w:rsidRPr="002250C9" w:rsidRDefault="007B6AC5" w:rsidP="00F87D2B">
            <w:pPr>
              <w:jc w:val="center"/>
              <w:rPr>
                <w:b/>
                <w:bCs/>
              </w:rPr>
            </w:pPr>
            <w:r>
              <w:rPr>
                <w:b/>
                <w:bCs/>
              </w:rPr>
              <w:t xml:space="preserve">This option would minimally increase EMTRs by 1% beyond 42.25 hours of work </w:t>
            </w:r>
            <w:r w:rsidR="00706CC2">
              <w:rPr>
                <w:b/>
                <w:bCs/>
              </w:rPr>
              <w:t>once</w:t>
            </w:r>
            <w:r>
              <w:rPr>
                <w:b/>
                <w:bCs/>
              </w:rPr>
              <w:t xml:space="preserve"> $66,99</w:t>
            </w:r>
            <w:r w:rsidR="00577481">
              <w:rPr>
                <w:b/>
                <w:bCs/>
              </w:rPr>
              <w:t>3</w:t>
            </w:r>
            <w:r>
              <w:rPr>
                <w:b/>
                <w:bCs/>
              </w:rPr>
              <w:t xml:space="preserve"> of net income</w:t>
            </w:r>
            <w:r w:rsidR="00706CC2">
              <w:rPr>
                <w:b/>
                <w:bCs/>
              </w:rPr>
              <w:t xml:space="preserve"> is exceeded</w:t>
            </w:r>
            <w:r>
              <w:rPr>
                <w:b/>
                <w:bCs/>
              </w:rPr>
              <w:t>.</w:t>
            </w:r>
          </w:p>
        </w:tc>
        <w:tc>
          <w:tcPr>
            <w:tcW w:w="4395" w:type="dxa"/>
            <w:tcBorders>
              <w:top w:val="dashed" w:sz="4" w:space="0" w:color="auto"/>
            </w:tcBorders>
            <w:shd w:val="clear" w:color="auto" w:fill="B4C6E7" w:themeFill="accent5" w:themeFillTint="66"/>
            <w:vAlign w:val="center"/>
          </w:tcPr>
          <w:p w14:paraId="0FC3FF29" w14:textId="6B596C4D" w:rsidR="00D81740" w:rsidRPr="002250C9" w:rsidRDefault="00DA22C5" w:rsidP="00F87D2B">
            <w:pPr>
              <w:jc w:val="center"/>
              <w:rPr>
                <w:b/>
                <w:bCs/>
              </w:rPr>
            </w:pPr>
            <w:r>
              <w:rPr>
                <w:b/>
                <w:bCs/>
              </w:rPr>
              <w:t xml:space="preserve">This option would increase EMTRs by </w:t>
            </w:r>
            <w:r w:rsidR="00D81740">
              <w:rPr>
                <w:b/>
                <w:bCs/>
              </w:rPr>
              <w:t xml:space="preserve">1% </w:t>
            </w:r>
            <w:r w:rsidR="00E77FA7">
              <w:rPr>
                <w:b/>
                <w:bCs/>
              </w:rPr>
              <w:t xml:space="preserve">between </w:t>
            </w:r>
            <w:r w:rsidR="00ED5F24">
              <w:rPr>
                <w:b/>
                <w:bCs/>
              </w:rPr>
              <w:t>2.25 hours and</w:t>
            </w:r>
            <w:r w:rsidR="00623472">
              <w:rPr>
                <w:b/>
                <w:bCs/>
              </w:rPr>
              <w:t xml:space="preserve"> 5</w:t>
            </w:r>
            <w:r w:rsidR="00577481">
              <w:rPr>
                <w:b/>
                <w:bCs/>
              </w:rPr>
              <w:t>6.44</w:t>
            </w:r>
            <w:r w:rsidR="00623472">
              <w:rPr>
                <w:b/>
                <w:bCs/>
              </w:rPr>
              <w:t xml:space="preserve"> hours </w:t>
            </w:r>
            <w:r w:rsidR="008063ED">
              <w:rPr>
                <w:b/>
                <w:bCs/>
              </w:rPr>
              <w:t xml:space="preserve">of work </w:t>
            </w:r>
            <w:r w:rsidR="00B53A27">
              <w:rPr>
                <w:b/>
                <w:bCs/>
              </w:rPr>
              <w:t>once</w:t>
            </w:r>
            <w:r w:rsidR="008063ED">
              <w:rPr>
                <w:b/>
                <w:bCs/>
              </w:rPr>
              <w:t xml:space="preserve"> $6</w:t>
            </w:r>
            <w:r w:rsidR="00577481">
              <w:rPr>
                <w:b/>
                <w:bCs/>
              </w:rPr>
              <w:t>7</w:t>
            </w:r>
            <w:r w:rsidR="008063ED">
              <w:rPr>
                <w:b/>
                <w:bCs/>
              </w:rPr>
              <w:t>,</w:t>
            </w:r>
            <w:r w:rsidR="00E863CF">
              <w:rPr>
                <w:b/>
                <w:bCs/>
              </w:rPr>
              <w:t>15</w:t>
            </w:r>
            <w:r w:rsidR="00577481">
              <w:rPr>
                <w:b/>
                <w:bCs/>
              </w:rPr>
              <w:t>7</w:t>
            </w:r>
            <w:r w:rsidR="00E863CF">
              <w:rPr>
                <w:b/>
                <w:bCs/>
              </w:rPr>
              <w:t xml:space="preserve"> of net income</w:t>
            </w:r>
            <w:r w:rsidR="00706CC2">
              <w:rPr>
                <w:b/>
                <w:bCs/>
              </w:rPr>
              <w:t xml:space="preserve"> is exceeded</w:t>
            </w:r>
            <w:r w:rsidR="00E863CF">
              <w:rPr>
                <w:b/>
                <w:bCs/>
              </w:rPr>
              <w:t>.</w:t>
            </w:r>
            <w:r w:rsidR="00F535EB">
              <w:rPr>
                <w:b/>
                <w:bCs/>
              </w:rPr>
              <w:t xml:space="preserve"> Similarly</w:t>
            </w:r>
            <w:r w:rsidR="004F7DF8">
              <w:rPr>
                <w:b/>
                <w:bCs/>
              </w:rPr>
              <w:t>, this option would increase PTRs by around 1% for the second earner entering the workforce.</w:t>
            </w:r>
          </w:p>
        </w:tc>
      </w:tr>
      <w:tr w:rsidR="00A372CF" w14:paraId="1B29B2D9" w14:textId="77777777" w:rsidTr="00F87D2B">
        <w:tc>
          <w:tcPr>
            <w:tcW w:w="1293" w:type="dxa"/>
            <w:vMerge w:val="restart"/>
            <w:tcBorders>
              <w:top w:val="single" w:sz="4" w:space="0" w:color="auto"/>
            </w:tcBorders>
            <w:shd w:val="clear" w:color="auto" w:fill="8EAADB" w:themeFill="accent5" w:themeFillTint="99"/>
            <w:vAlign w:val="center"/>
          </w:tcPr>
          <w:p w14:paraId="380D31E2" w14:textId="38089B53" w:rsidR="00A372CF" w:rsidRDefault="00A372CF" w:rsidP="00F87D2B">
            <w:pPr>
              <w:jc w:val="center"/>
            </w:pPr>
            <w:r>
              <w:t>A3</w:t>
            </w:r>
          </w:p>
          <w:p w14:paraId="6D3F792D" w14:textId="32E4B463" w:rsidR="00A372CF" w:rsidRDefault="00A372CF" w:rsidP="00F87D2B">
            <w:pPr>
              <w:jc w:val="center"/>
            </w:pPr>
            <w:r>
              <w:t>($5 FTC, 27%)</w:t>
            </w:r>
          </w:p>
        </w:tc>
        <w:tc>
          <w:tcPr>
            <w:tcW w:w="1679" w:type="dxa"/>
            <w:vMerge w:val="restart"/>
            <w:tcBorders>
              <w:top w:val="single" w:sz="4" w:space="0" w:color="auto"/>
            </w:tcBorders>
            <w:shd w:val="clear" w:color="auto" w:fill="8EAADB" w:themeFill="accent5" w:themeFillTint="99"/>
            <w:vAlign w:val="center"/>
          </w:tcPr>
          <w:p w14:paraId="37189787" w14:textId="77777777" w:rsidR="00A372CF" w:rsidRDefault="00A372CF" w:rsidP="00F87D2B">
            <w:pPr>
              <w:jc w:val="center"/>
            </w:pPr>
            <w:r>
              <w:t>Income gain from work at</w:t>
            </w:r>
          </w:p>
        </w:tc>
        <w:tc>
          <w:tcPr>
            <w:tcW w:w="1985" w:type="dxa"/>
            <w:tcBorders>
              <w:top w:val="single" w:sz="4" w:space="0" w:color="auto"/>
              <w:bottom w:val="dashed" w:sz="4" w:space="0" w:color="auto"/>
            </w:tcBorders>
            <w:shd w:val="clear" w:color="auto" w:fill="8EAADB" w:themeFill="accent5" w:themeFillTint="99"/>
            <w:vAlign w:val="center"/>
          </w:tcPr>
          <w:p w14:paraId="4579EA56" w14:textId="77777777" w:rsidR="00A372CF" w:rsidRDefault="00A372CF" w:rsidP="00F87D2B">
            <w:pPr>
              <w:jc w:val="center"/>
            </w:pPr>
            <w:r>
              <w:t>0-10 hours</w:t>
            </w:r>
          </w:p>
        </w:tc>
        <w:tc>
          <w:tcPr>
            <w:tcW w:w="2835" w:type="dxa"/>
            <w:tcBorders>
              <w:bottom w:val="dashed" w:sz="4" w:space="0" w:color="auto"/>
            </w:tcBorders>
            <w:shd w:val="clear" w:color="auto" w:fill="8EAADB" w:themeFill="accent5" w:themeFillTint="99"/>
            <w:vAlign w:val="center"/>
          </w:tcPr>
          <w:p w14:paraId="711FCC57" w14:textId="4C8BF040" w:rsidR="00A372CF" w:rsidRDefault="008A239D" w:rsidP="00F87D2B">
            <w:pPr>
              <w:jc w:val="center"/>
            </w:pPr>
            <w:r>
              <w:t>$150.22</w:t>
            </w:r>
          </w:p>
        </w:tc>
        <w:tc>
          <w:tcPr>
            <w:tcW w:w="2976" w:type="dxa"/>
            <w:tcBorders>
              <w:bottom w:val="dashed" w:sz="4" w:space="0" w:color="auto"/>
            </w:tcBorders>
            <w:shd w:val="clear" w:color="auto" w:fill="8EAADB" w:themeFill="accent5" w:themeFillTint="99"/>
            <w:vAlign w:val="center"/>
          </w:tcPr>
          <w:p w14:paraId="6BEF2368" w14:textId="33CBF81A" w:rsidR="00A372CF" w:rsidRDefault="00EC5E73" w:rsidP="00F87D2B">
            <w:pPr>
              <w:jc w:val="center"/>
            </w:pPr>
            <w:r>
              <w:t>$134.22</w:t>
            </w:r>
          </w:p>
        </w:tc>
        <w:tc>
          <w:tcPr>
            <w:tcW w:w="4395" w:type="dxa"/>
            <w:tcBorders>
              <w:bottom w:val="dashed" w:sz="4" w:space="0" w:color="auto"/>
            </w:tcBorders>
            <w:shd w:val="clear" w:color="auto" w:fill="8EAADB" w:themeFill="accent5" w:themeFillTint="99"/>
            <w:vAlign w:val="center"/>
          </w:tcPr>
          <w:p w14:paraId="502E4C15" w14:textId="76B4245E" w:rsidR="00A372CF" w:rsidRDefault="002861A1" w:rsidP="00F87D2B">
            <w:pPr>
              <w:jc w:val="center"/>
            </w:pPr>
            <w:r>
              <w:t>$</w:t>
            </w:r>
            <w:r w:rsidR="00393742">
              <w:t>95.61</w:t>
            </w:r>
          </w:p>
        </w:tc>
      </w:tr>
      <w:tr w:rsidR="00A372CF" w14:paraId="5A6EB655" w14:textId="77777777" w:rsidTr="00F87D2B">
        <w:tc>
          <w:tcPr>
            <w:tcW w:w="1293" w:type="dxa"/>
            <w:vMerge/>
            <w:shd w:val="clear" w:color="auto" w:fill="8EAADB" w:themeFill="accent5" w:themeFillTint="99"/>
            <w:vAlign w:val="center"/>
          </w:tcPr>
          <w:p w14:paraId="29BEF3EB" w14:textId="77777777" w:rsidR="00A372CF" w:rsidRDefault="00A372CF" w:rsidP="00F87D2B">
            <w:pPr>
              <w:jc w:val="center"/>
            </w:pPr>
          </w:p>
        </w:tc>
        <w:tc>
          <w:tcPr>
            <w:tcW w:w="1679" w:type="dxa"/>
            <w:vMerge/>
            <w:shd w:val="clear" w:color="auto" w:fill="8EAADB" w:themeFill="accent5" w:themeFillTint="99"/>
            <w:vAlign w:val="center"/>
          </w:tcPr>
          <w:p w14:paraId="1DA043FB" w14:textId="77777777" w:rsidR="00A372CF" w:rsidRDefault="00A372CF" w:rsidP="00F87D2B">
            <w:pPr>
              <w:jc w:val="center"/>
            </w:pPr>
          </w:p>
        </w:tc>
        <w:tc>
          <w:tcPr>
            <w:tcW w:w="1985" w:type="dxa"/>
            <w:tcBorders>
              <w:top w:val="dashed" w:sz="4" w:space="0" w:color="auto"/>
              <w:bottom w:val="dashed" w:sz="4" w:space="0" w:color="auto"/>
            </w:tcBorders>
            <w:shd w:val="clear" w:color="auto" w:fill="8EAADB" w:themeFill="accent5" w:themeFillTint="99"/>
            <w:vAlign w:val="center"/>
          </w:tcPr>
          <w:p w14:paraId="285CC435" w14:textId="77777777" w:rsidR="00A372CF" w:rsidRDefault="00A372CF" w:rsidP="00F87D2B">
            <w:pPr>
              <w:jc w:val="center"/>
            </w:pPr>
            <w:r>
              <w:t>10 to 20 hours</w:t>
            </w:r>
          </w:p>
        </w:tc>
        <w:tc>
          <w:tcPr>
            <w:tcW w:w="2835" w:type="dxa"/>
            <w:tcBorders>
              <w:top w:val="dashed" w:sz="4" w:space="0" w:color="auto"/>
              <w:bottom w:val="dashed" w:sz="4" w:space="0" w:color="auto"/>
            </w:tcBorders>
            <w:shd w:val="clear" w:color="auto" w:fill="8EAADB" w:themeFill="accent5" w:themeFillTint="99"/>
            <w:vAlign w:val="center"/>
          </w:tcPr>
          <w:p w14:paraId="09DFFECC" w14:textId="5ED04A1F" w:rsidR="00A372CF" w:rsidRDefault="008A239D" w:rsidP="00F87D2B">
            <w:pPr>
              <w:jc w:val="center"/>
            </w:pPr>
            <w:r>
              <w:t>$</w:t>
            </w:r>
            <w:r w:rsidR="00D010F0">
              <w:t>99.7</w:t>
            </w:r>
            <w:r w:rsidR="00577481">
              <w:t>7</w:t>
            </w:r>
          </w:p>
        </w:tc>
        <w:tc>
          <w:tcPr>
            <w:tcW w:w="2976" w:type="dxa"/>
            <w:tcBorders>
              <w:top w:val="dashed" w:sz="4" w:space="0" w:color="auto"/>
              <w:bottom w:val="dashed" w:sz="4" w:space="0" w:color="auto"/>
            </w:tcBorders>
            <w:shd w:val="clear" w:color="auto" w:fill="8EAADB" w:themeFill="accent5" w:themeFillTint="99"/>
            <w:vAlign w:val="center"/>
          </w:tcPr>
          <w:p w14:paraId="713E8DE8" w14:textId="77B879AD" w:rsidR="00A372CF" w:rsidRDefault="006B22D3" w:rsidP="00F87D2B">
            <w:pPr>
              <w:jc w:val="center"/>
            </w:pPr>
            <w:r>
              <w:t>$18.5</w:t>
            </w:r>
            <w:r w:rsidR="00FF2C71">
              <w:t>4</w:t>
            </w:r>
          </w:p>
        </w:tc>
        <w:tc>
          <w:tcPr>
            <w:tcW w:w="4395" w:type="dxa"/>
            <w:tcBorders>
              <w:top w:val="dashed" w:sz="4" w:space="0" w:color="auto"/>
              <w:bottom w:val="dashed" w:sz="4" w:space="0" w:color="auto"/>
            </w:tcBorders>
            <w:shd w:val="clear" w:color="auto" w:fill="8EAADB" w:themeFill="accent5" w:themeFillTint="99"/>
            <w:vAlign w:val="center"/>
          </w:tcPr>
          <w:p w14:paraId="07D6E729" w14:textId="7B20C9B2" w:rsidR="00A372CF" w:rsidRDefault="00393742" w:rsidP="00F87D2B">
            <w:pPr>
              <w:jc w:val="center"/>
            </w:pPr>
            <w:r>
              <w:t>$63.0</w:t>
            </w:r>
            <w:r w:rsidR="00FF2C71">
              <w:t>7</w:t>
            </w:r>
          </w:p>
        </w:tc>
      </w:tr>
      <w:tr w:rsidR="00A372CF" w14:paraId="5528FC94" w14:textId="77777777" w:rsidTr="00F87D2B">
        <w:tc>
          <w:tcPr>
            <w:tcW w:w="1293" w:type="dxa"/>
            <w:vMerge/>
            <w:shd w:val="clear" w:color="auto" w:fill="8EAADB" w:themeFill="accent5" w:themeFillTint="99"/>
            <w:vAlign w:val="center"/>
          </w:tcPr>
          <w:p w14:paraId="6455BBAF" w14:textId="77777777" w:rsidR="00A372CF" w:rsidRDefault="00A372CF" w:rsidP="00F87D2B">
            <w:pPr>
              <w:jc w:val="center"/>
            </w:pPr>
          </w:p>
        </w:tc>
        <w:tc>
          <w:tcPr>
            <w:tcW w:w="1679" w:type="dxa"/>
            <w:vMerge/>
            <w:shd w:val="clear" w:color="auto" w:fill="8EAADB" w:themeFill="accent5" w:themeFillTint="99"/>
            <w:vAlign w:val="center"/>
          </w:tcPr>
          <w:p w14:paraId="480E1C7D" w14:textId="77777777" w:rsidR="00A372CF" w:rsidRDefault="00A372CF" w:rsidP="00F87D2B">
            <w:pPr>
              <w:jc w:val="center"/>
            </w:pPr>
          </w:p>
        </w:tc>
        <w:tc>
          <w:tcPr>
            <w:tcW w:w="1985" w:type="dxa"/>
            <w:tcBorders>
              <w:top w:val="dashed" w:sz="4" w:space="0" w:color="auto"/>
            </w:tcBorders>
            <w:shd w:val="clear" w:color="auto" w:fill="8EAADB" w:themeFill="accent5" w:themeFillTint="99"/>
            <w:vAlign w:val="center"/>
          </w:tcPr>
          <w:p w14:paraId="6067C12C" w14:textId="77777777" w:rsidR="00A372CF" w:rsidRDefault="00A372CF" w:rsidP="00F87D2B">
            <w:pPr>
              <w:jc w:val="center"/>
            </w:pPr>
            <w:r>
              <w:t>20 to 40 hours</w:t>
            </w:r>
          </w:p>
        </w:tc>
        <w:tc>
          <w:tcPr>
            <w:tcW w:w="2835" w:type="dxa"/>
            <w:tcBorders>
              <w:top w:val="dashed" w:sz="4" w:space="0" w:color="auto"/>
            </w:tcBorders>
            <w:shd w:val="clear" w:color="auto" w:fill="8EAADB" w:themeFill="accent5" w:themeFillTint="99"/>
            <w:vAlign w:val="center"/>
          </w:tcPr>
          <w:p w14:paraId="076AA60E" w14:textId="33E6A894" w:rsidR="00A372CF" w:rsidRDefault="00D010F0" w:rsidP="00F87D2B">
            <w:pPr>
              <w:jc w:val="center"/>
            </w:pPr>
            <w:r>
              <w:t>$36.8</w:t>
            </w:r>
            <w:r w:rsidR="00FF2C71">
              <w:t>2</w:t>
            </w:r>
          </w:p>
        </w:tc>
        <w:tc>
          <w:tcPr>
            <w:tcW w:w="2976" w:type="dxa"/>
            <w:tcBorders>
              <w:top w:val="dashed" w:sz="4" w:space="0" w:color="auto"/>
            </w:tcBorders>
            <w:shd w:val="clear" w:color="auto" w:fill="8EAADB" w:themeFill="accent5" w:themeFillTint="99"/>
            <w:vAlign w:val="center"/>
          </w:tcPr>
          <w:p w14:paraId="21711E3C" w14:textId="32DDF36F" w:rsidR="00A372CF" w:rsidRDefault="006B22D3" w:rsidP="00F87D2B">
            <w:pPr>
              <w:jc w:val="center"/>
            </w:pPr>
            <w:r>
              <w:t>$31.</w:t>
            </w:r>
            <w:r w:rsidR="00FF2C71">
              <w:t>86</w:t>
            </w:r>
          </w:p>
        </w:tc>
        <w:tc>
          <w:tcPr>
            <w:tcW w:w="4395" w:type="dxa"/>
            <w:tcBorders>
              <w:top w:val="dashed" w:sz="4" w:space="0" w:color="auto"/>
            </w:tcBorders>
            <w:shd w:val="clear" w:color="auto" w:fill="8EAADB" w:themeFill="accent5" w:themeFillTint="99"/>
            <w:vAlign w:val="center"/>
          </w:tcPr>
          <w:p w14:paraId="0BA1B1A7" w14:textId="1AC1751D" w:rsidR="00A372CF" w:rsidRDefault="00393742" w:rsidP="00F87D2B">
            <w:pPr>
              <w:jc w:val="center"/>
            </w:pPr>
            <w:r>
              <w:t>$98.60</w:t>
            </w:r>
          </w:p>
        </w:tc>
      </w:tr>
      <w:tr w:rsidR="00A372CF" w14:paraId="2762D028" w14:textId="77777777" w:rsidTr="00F87D2B">
        <w:trPr>
          <w:trHeight w:val="510"/>
        </w:trPr>
        <w:tc>
          <w:tcPr>
            <w:tcW w:w="1293" w:type="dxa"/>
            <w:vMerge/>
            <w:shd w:val="clear" w:color="auto" w:fill="8EAADB" w:themeFill="accent5" w:themeFillTint="99"/>
            <w:vAlign w:val="center"/>
          </w:tcPr>
          <w:p w14:paraId="206E9A5A" w14:textId="77777777" w:rsidR="00A372CF" w:rsidRDefault="00A372CF" w:rsidP="00F87D2B">
            <w:pPr>
              <w:jc w:val="center"/>
            </w:pPr>
          </w:p>
        </w:tc>
        <w:tc>
          <w:tcPr>
            <w:tcW w:w="1679" w:type="dxa"/>
            <w:vMerge w:val="restart"/>
            <w:shd w:val="clear" w:color="auto" w:fill="8EAADB" w:themeFill="accent5" w:themeFillTint="99"/>
            <w:vAlign w:val="center"/>
          </w:tcPr>
          <w:p w14:paraId="4E242757" w14:textId="77777777" w:rsidR="00A372CF" w:rsidRDefault="00A372CF" w:rsidP="00F87D2B">
            <w:pPr>
              <w:jc w:val="center"/>
            </w:pPr>
            <w:r>
              <w:t>Income change from CF</w:t>
            </w:r>
          </w:p>
        </w:tc>
        <w:tc>
          <w:tcPr>
            <w:tcW w:w="1985" w:type="dxa"/>
            <w:tcBorders>
              <w:bottom w:val="dashed" w:sz="4" w:space="0" w:color="auto"/>
            </w:tcBorders>
            <w:shd w:val="clear" w:color="auto" w:fill="8EAADB" w:themeFill="accent5" w:themeFillTint="99"/>
            <w:vAlign w:val="center"/>
          </w:tcPr>
          <w:p w14:paraId="5C061ABB" w14:textId="77777777" w:rsidR="00A372CF" w:rsidRDefault="00A372CF" w:rsidP="00F87D2B">
            <w:pPr>
              <w:jc w:val="center"/>
            </w:pPr>
            <w:r>
              <w:t>20</w:t>
            </w:r>
          </w:p>
        </w:tc>
        <w:tc>
          <w:tcPr>
            <w:tcW w:w="2835" w:type="dxa"/>
            <w:tcBorders>
              <w:bottom w:val="dashed" w:sz="4" w:space="0" w:color="auto"/>
            </w:tcBorders>
            <w:shd w:val="clear" w:color="auto" w:fill="8EAADB" w:themeFill="accent5" w:themeFillTint="99"/>
            <w:vAlign w:val="center"/>
          </w:tcPr>
          <w:p w14:paraId="713C67E0" w14:textId="5F123B24" w:rsidR="00A372CF" w:rsidRDefault="00047DE2" w:rsidP="00F87D2B">
            <w:pPr>
              <w:jc w:val="center"/>
            </w:pPr>
            <w:r>
              <w:t>$9.10</w:t>
            </w:r>
          </w:p>
        </w:tc>
        <w:tc>
          <w:tcPr>
            <w:tcW w:w="2976" w:type="dxa"/>
            <w:tcBorders>
              <w:bottom w:val="dashed" w:sz="4" w:space="0" w:color="auto"/>
            </w:tcBorders>
            <w:shd w:val="clear" w:color="auto" w:fill="8EAADB" w:themeFill="accent5" w:themeFillTint="99"/>
            <w:vAlign w:val="center"/>
          </w:tcPr>
          <w:p w14:paraId="3569E474" w14:textId="07D0AF9C" w:rsidR="00A372CF" w:rsidRDefault="00305DB8" w:rsidP="00F87D2B">
            <w:pPr>
              <w:jc w:val="center"/>
            </w:pPr>
            <w:r>
              <w:t>$</w:t>
            </w:r>
            <w:r w:rsidR="00FF2C71">
              <w:t>8.58</w:t>
            </w:r>
          </w:p>
        </w:tc>
        <w:tc>
          <w:tcPr>
            <w:tcW w:w="4395" w:type="dxa"/>
            <w:tcBorders>
              <w:bottom w:val="dashed" w:sz="4" w:space="0" w:color="auto"/>
            </w:tcBorders>
            <w:shd w:val="clear" w:color="auto" w:fill="8EAADB" w:themeFill="accent5" w:themeFillTint="99"/>
            <w:vAlign w:val="center"/>
          </w:tcPr>
          <w:p w14:paraId="3A6DF528" w14:textId="3C3BA103" w:rsidR="00A372CF" w:rsidRDefault="00660779" w:rsidP="00F87D2B">
            <w:pPr>
              <w:jc w:val="center"/>
            </w:pPr>
            <w:r>
              <w:t>$1.48</w:t>
            </w:r>
          </w:p>
        </w:tc>
      </w:tr>
      <w:tr w:rsidR="00A372CF" w14:paraId="6C183DCE" w14:textId="77777777" w:rsidTr="00F87D2B">
        <w:trPr>
          <w:trHeight w:val="510"/>
        </w:trPr>
        <w:tc>
          <w:tcPr>
            <w:tcW w:w="1293" w:type="dxa"/>
            <w:vMerge/>
            <w:shd w:val="clear" w:color="auto" w:fill="8EAADB" w:themeFill="accent5" w:themeFillTint="99"/>
            <w:vAlign w:val="center"/>
          </w:tcPr>
          <w:p w14:paraId="14D85318" w14:textId="77777777" w:rsidR="00A372CF" w:rsidRDefault="00A372CF" w:rsidP="00F87D2B">
            <w:pPr>
              <w:jc w:val="center"/>
            </w:pPr>
          </w:p>
        </w:tc>
        <w:tc>
          <w:tcPr>
            <w:tcW w:w="1679" w:type="dxa"/>
            <w:vMerge/>
            <w:shd w:val="clear" w:color="auto" w:fill="8EAADB" w:themeFill="accent5" w:themeFillTint="99"/>
            <w:vAlign w:val="center"/>
          </w:tcPr>
          <w:p w14:paraId="49F87AE9" w14:textId="77777777" w:rsidR="00A372CF" w:rsidRDefault="00A372CF" w:rsidP="00F87D2B">
            <w:pPr>
              <w:jc w:val="center"/>
            </w:pPr>
          </w:p>
        </w:tc>
        <w:tc>
          <w:tcPr>
            <w:tcW w:w="1985" w:type="dxa"/>
            <w:tcBorders>
              <w:top w:val="dashed" w:sz="4" w:space="0" w:color="auto"/>
            </w:tcBorders>
            <w:shd w:val="clear" w:color="auto" w:fill="8EAADB" w:themeFill="accent5" w:themeFillTint="99"/>
            <w:vAlign w:val="center"/>
          </w:tcPr>
          <w:p w14:paraId="5C902984" w14:textId="77777777" w:rsidR="00A372CF" w:rsidRDefault="00A372CF" w:rsidP="00F87D2B">
            <w:pPr>
              <w:jc w:val="center"/>
            </w:pPr>
            <w:r>
              <w:t>40</w:t>
            </w:r>
          </w:p>
        </w:tc>
        <w:tc>
          <w:tcPr>
            <w:tcW w:w="2835" w:type="dxa"/>
            <w:tcBorders>
              <w:top w:val="dashed" w:sz="4" w:space="0" w:color="auto"/>
            </w:tcBorders>
            <w:shd w:val="clear" w:color="auto" w:fill="8EAADB" w:themeFill="accent5" w:themeFillTint="99"/>
            <w:vAlign w:val="center"/>
          </w:tcPr>
          <w:p w14:paraId="219583DF" w14:textId="352C94D0" w:rsidR="00A372CF" w:rsidRDefault="00C70F78" w:rsidP="00F87D2B">
            <w:pPr>
              <w:jc w:val="center"/>
            </w:pPr>
            <w:r>
              <w:t>$9.10</w:t>
            </w:r>
          </w:p>
        </w:tc>
        <w:tc>
          <w:tcPr>
            <w:tcW w:w="2976" w:type="dxa"/>
            <w:tcBorders>
              <w:top w:val="dashed" w:sz="4" w:space="0" w:color="auto"/>
            </w:tcBorders>
            <w:shd w:val="clear" w:color="auto" w:fill="8EAADB" w:themeFill="accent5" w:themeFillTint="99"/>
            <w:vAlign w:val="center"/>
          </w:tcPr>
          <w:p w14:paraId="7FF0D075" w14:textId="6BEDB5AE" w:rsidR="00A372CF" w:rsidRDefault="00305DB8" w:rsidP="00F87D2B">
            <w:pPr>
              <w:jc w:val="center"/>
            </w:pPr>
            <w:r>
              <w:t>$</w:t>
            </w:r>
            <w:r w:rsidR="00FF2C71">
              <w:t>6.84</w:t>
            </w:r>
          </w:p>
        </w:tc>
        <w:tc>
          <w:tcPr>
            <w:tcW w:w="4395" w:type="dxa"/>
            <w:tcBorders>
              <w:top w:val="dashed" w:sz="4" w:space="0" w:color="auto"/>
            </w:tcBorders>
            <w:shd w:val="clear" w:color="auto" w:fill="8EAADB" w:themeFill="accent5" w:themeFillTint="99"/>
            <w:vAlign w:val="center"/>
          </w:tcPr>
          <w:p w14:paraId="547A1F86" w14:textId="08AE8CCB" w:rsidR="00A372CF" w:rsidRDefault="00F6137D" w:rsidP="00F87D2B">
            <w:pPr>
              <w:jc w:val="center"/>
            </w:pPr>
            <w:r w:rsidRPr="00F6137D">
              <w:rPr>
                <w:color w:val="FF0000"/>
              </w:rPr>
              <w:t>-$6.5</w:t>
            </w:r>
            <w:r w:rsidR="00FF2C71">
              <w:rPr>
                <w:color w:val="FF0000"/>
              </w:rPr>
              <w:t>2</w:t>
            </w:r>
          </w:p>
        </w:tc>
      </w:tr>
      <w:tr w:rsidR="00A372CF" w:rsidRPr="002250C9" w14:paraId="3DCDF76F" w14:textId="77777777" w:rsidTr="00F87D2B">
        <w:trPr>
          <w:trHeight w:val="510"/>
        </w:trPr>
        <w:tc>
          <w:tcPr>
            <w:tcW w:w="1293" w:type="dxa"/>
            <w:vMerge/>
            <w:shd w:val="clear" w:color="auto" w:fill="8EAADB" w:themeFill="accent5" w:themeFillTint="99"/>
            <w:vAlign w:val="center"/>
          </w:tcPr>
          <w:p w14:paraId="7907F7C7" w14:textId="77777777" w:rsidR="00A372CF" w:rsidRDefault="00A372CF" w:rsidP="00F87D2B">
            <w:pPr>
              <w:jc w:val="center"/>
            </w:pPr>
          </w:p>
        </w:tc>
        <w:tc>
          <w:tcPr>
            <w:tcW w:w="3664" w:type="dxa"/>
            <w:gridSpan w:val="2"/>
            <w:tcBorders>
              <w:bottom w:val="single" w:sz="4" w:space="0" w:color="auto"/>
            </w:tcBorders>
            <w:shd w:val="clear" w:color="auto" w:fill="8EAADB" w:themeFill="accent5" w:themeFillTint="99"/>
            <w:vAlign w:val="center"/>
          </w:tcPr>
          <w:p w14:paraId="41B97585" w14:textId="2B5BF30E" w:rsidR="00A372CF" w:rsidRPr="002250C9" w:rsidRDefault="00A372CF" w:rsidP="00F87D2B">
            <w:pPr>
              <w:jc w:val="center"/>
              <w:rPr>
                <w:b/>
                <w:bCs/>
              </w:rPr>
            </w:pPr>
            <w:r w:rsidRPr="002250C9">
              <w:rPr>
                <w:b/>
                <w:bCs/>
              </w:rPr>
              <w:t xml:space="preserve">Change to </w:t>
            </w:r>
            <w:r w:rsidR="00A42108">
              <w:rPr>
                <w:b/>
                <w:bCs/>
              </w:rPr>
              <w:t>EMTRs and/or PTRs</w:t>
            </w:r>
          </w:p>
        </w:tc>
        <w:tc>
          <w:tcPr>
            <w:tcW w:w="2835" w:type="dxa"/>
            <w:tcBorders>
              <w:top w:val="dashed" w:sz="4" w:space="0" w:color="auto"/>
            </w:tcBorders>
            <w:shd w:val="clear" w:color="auto" w:fill="8EAADB" w:themeFill="accent5" w:themeFillTint="99"/>
            <w:vAlign w:val="center"/>
          </w:tcPr>
          <w:p w14:paraId="22BAEB73" w14:textId="6211CB8B" w:rsidR="00A372CF" w:rsidRPr="002250C9" w:rsidRDefault="006424AA" w:rsidP="00F87D2B">
            <w:pPr>
              <w:jc w:val="center"/>
              <w:rPr>
                <w:b/>
                <w:bCs/>
              </w:rPr>
            </w:pPr>
            <w:r>
              <w:rPr>
                <w:b/>
                <w:bCs/>
              </w:rPr>
              <w:t>This option would increase EMTRs by 2% beyond 4</w:t>
            </w:r>
            <w:r w:rsidR="00C63E4E">
              <w:rPr>
                <w:b/>
                <w:bCs/>
              </w:rPr>
              <w:t>0.95</w:t>
            </w:r>
            <w:r>
              <w:rPr>
                <w:b/>
                <w:bCs/>
              </w:rPr>
              <w:t xml:space="preserve"> hours of work </w:t>
            </w:r>
            <w:r w:rsidR="00706CC2">
              <w:rPr>
                <w:b/>
                <w:bCs/>
              </w:rPr>
              <w:t>once</w:t>
            </w:r>
            <w:r>
              <w:rPr>
                <w:b/>
                <w:bCs/>
              </w:rPr>
              <w:t xml:space="preserve"> $66,9</w:t>
            </w:r>
            <w:r w:rsidR="00C63E4E">
              <w:rPr>
                <w:b/>
                <w:bCs/>
              </w:rPr>
              <w:t>56</w:t>
            </w:r>
            <w:r>
              <w:rPr>
                <w:b/>
                <w:bCs/>
              </w:rPr>
              <w:t xml:space="preserve"> of net income</w:t>
            </w:r>
            <w:r w:rsidR="00706CC2">
              <w:rPr>
                <w:b/>
                <w:bCs/>
              </w:rPr>
              <w:t xml:space="preserve"> is exceeded</w:t>
            </w:r>
            <w:r>
              <w:rPr>
                <w:b/>
                <w:bCs/>
              </w:rPr>
              <w:t>.</w:t>
            </w:r>
          </w:p>
        </w:tc>
        <w:tc>
          <w:tcPr>
            <w:tcW w:w="2976" w:type="dxa"/>
            <w:tcBorders>
              <w:top w:val="dashed" w:sz="4" w:space="0" w:color="auto"/>
            </w:tcBorders>
            <w:shd w:val="clear" w:color="auto" w:fill="8EAADB" w:themeFill="accent5" w:themeFillTint="99"/>
            <w:vAlign w:val="center"/>
          </w:tcPr>
          <w:p w14:paraId="025E1D83" w14:textId="7EC23042" w:rsidR="00A372CF" w:rsidRPr="002250C9" w:rsidRDefault="00167001" w:rsidP="00F87D2B">
            <w:pPr>
              <w:jc w:val="center"/>
              <w:rPr>
                <w:b/>
                <w:bCs/>
              </w:rPr>
            </w:pPr>
            <w:r>
              <w:rPr>
                <w:b/>
                <w:bCs/>
              </w:rPr>
              <w:t xml:space="preserve">This option would minimally increase EMTRs by 2% beyond 42.25 hours of work </w:t>
            </w:r>
            <w:r w:rsidR="00706CC2">
              <w:rPr>
                <w:b/>
                <w:bCs/>
              </w:rPr>
              <w:t>once</w:t>
            </w:r>
            <w:r>
              <w:rPr>
                <w:b/>
                <w:bCs/>
              </w:rPr>
              <w:t xml:space="preserve"> $66,979 of net income</w:t>
            </w:r>
            <w:r w:rsidR="00706CC2">
              <w:rPr>
                <w:b/>
                <w:bCs/>
              </w:rPr>
              <w:t xml:space="preserve"> is exceeded.</w:t>
            </w:r>
          </w:p>
        </w:tc>
        <w:tc>
          <w:tcPr>
            <w:tcW w:w="4395" w:type="dxa"/>
            <w:tcBorders>
              <w:top w:val="dashed" w:sz="4" w:space="0" w:color="auto"/>
            </w:tcBorders>
            <w:shd w:val="clear" w:color="auto" w:fill="8EAADB" w:themeFill="accent5" w:themeFillTint="99"/>
            <w:vAlign w:val="center"/>
          </w:tcPr>
          <w:p w14:paraId="6F9EE542" w14:textId="609CAB33" w:rsidR="00A372CF" w:rsidRPr="002250C9" w:rsidRDefault="00706CC2" w:rsidP="00F87D2B">
            <w:pPr>
              <w:jc w:val="center"/>
              <w:rPr>
                <w:b/>
                <w:bCs/>
              </w:rPr>
            </w:pPr>
            <w:r>
              <w:rPr>
                <w:b/>
                <w:bCs/>
              </w:rPr>
              <w:t xml:space="preserve">This option would increase EMTRs by </w:t>
            </w:r>
            <w:r w:rsidR="00C63E4E">
              <w:rPr>
                <w:b/>
                <w:bCs/>
              </w:rPr>
              <w:t>2</w:t>
            </w:r>
            <w:r>
              <w:rPr>
                <w:b/>
                <w:bCs/>
              </w:rPr>
              <w:t>% between 2.25 hours and 5</w:t>
            </w:r>
            <w:r w:rsidR="00B53A27">
              <w:rPr>
                <w:b/>
                <w:bCs/>
              </w:rPr>
              <w:t>4</w:t>
            </w:r>
            <w:r w:rsidR="00C63E4E">
              <w:rPr>
                <w:b/>
                <w:bCs/>
              </w:rPr>
              <w:t>.35</w:t>
            </w:r>
            <w:r>
              <w:rPr>
                <w:b/>
                <w:bCs/>
              </w:rPr>
              <w:t xml:space="preserve"> hours of work once $6</w:t>
            </w:r>
            <w:r w:rsidR="00352BCC">
              <w:rPr>
                <w:b/>
                <w:bCs/>
              </w:rPr>
              <w:t>7</w:t>
            </w:r>
            <w:r>
              <w:rPr>
                <w:b/>
                <w:bCs/>
              </w:rPr>
              <w:t>,1</w:t>
            </w:r>
            <w:r w:rsidR="00352BCC">
              <w:rPr>
                <w:b/>
                <w:bCs/>
              </w:rPr>
              <w:t>43</w:t>
            </w:r>
            <w:r>
              <w:rPr>
                <w:b/>
                <w:bCs/>
              </w:rPr>
              <w:t xml:space="preserve"> of net income is exceeded.</w:t>
            </w:r>
            <w:r w:rsidR="005B0E49">
              <w:rPr>
                <w:b/>
                <w:bCs/>
              </w:rPr>
              <w:t xml:space="preserve"> This option would increase PTRs by around </w:t>
            </w:r>
            <w:r w:rsidR="00EE12E0">
              <w:rPr>
                <w:b/>
                <w:bCs/>
              </w:rPr>
              <w:t>2</w:t>
            </w:r>
            <w:r w:rsidR="005B0E49">
              <w:rPr>
                <w:b/>
                <w:bCs/>
              </w:rPr>
              <w:t>% for the second earner entering the workforce.</w:t>
            </w:r>
          </w:p>
        </w:tc>
      </w:tr>
      <w:tr w:rsidR="00D81740" w14:paraId="5059458F" w14:textId="77777777" w:rsidTr="00F87D2B">
        <w:tc>
          <w:tcPr>
            <w:tcW w:w="1293" w:type="dxa"/>
            <w:vMerge w:val="restart"/>
            <w:tcBorders>
              <w:top w:val="single" w:sz="4" w:space="0" w:color="auto"/>
            </w:tcBorders>
            <w:shd w:val="clear" w:color="auto" w:fill="FFF2CC" w:themeFill="accent4" w:themeFillTint="33"/>
            <w:vAlign w:val="center"/>
          </w:tcPr>
          <w:p w14:paraId="67CC9C2D" w14:textId="77777777" w:rsidR="003926B7" w:rsidRDefault="003926B7" w:rsidP="00F87D2B">
            <w:pPr>
              <w:jc w:val="center"/>
            </w:pPr>
          </w:p>
          <w:p w14:paraId="2F334F37" w14:textId="77777777" w:rsidR="00D81740" w:rsidRDefault="00D81740" w:rsidP="00F87D2B">
            <w:pPr>
              <w:jc w:val="center"/>
            </w:pPr>
            <w:r>
              <w:t>B</w:t>
            </w:r>
          </w:p>
          <w:p w14:paraId="40669DE6" w14:textId="72E4A0C0" w:rsidR="00D81740" w:rsidRDefault="00C63D66" w:rsidP="00F87D2B">
            <w:pPr>
              <w:jc w:val="center"/>
            </w:pPr>
            <w:r>
              <w:t>($7.50 FTC, 28%)</w:t>
            </w:r>
          </w:p>
        </w:tc>
        <w:tc>
          <w:tcPr>
            <w:tcW w:w="1679" w:type="dxa"/>
            <w:vMerge w:val="restart"/>
            <w:tcBorders>
              <w:top w:val="single" w:sz="4" w:space="0" w:color="auto"/>
            </w:tcBorders>
            <w:shd w:val="clear" w:color="auto" w:fill="FFF2CC" w:themeFill="accent4" w:themeFillTint="33"/>
            <w:vAlign w:val="center"/>
          </w:tcPr>
          <w:p w14:paraId="3BC467E2" w14:textId="77777777" w:rsidR="00D81740" w:rsidRDefault="00D81740" w:rsidP="00F87D2B">
            <w:pPr>
              <w:jc w:val="center"/>
            </w:pPr>
            <w:r>
              <w:t>Income gain from work at</w:t>
            </w:r>
          </w:p>
        </w:tc>
        <w:tc>
          <w:tcPr>
            <w:tcW w:w="1985" w:type="dxa"/>
            <w:tcBorders>
              <w:bottom w:val="dashed" w:sz="4" w:space="0" w:color="auto"/>
            </w:tcBorders>
            <w:shd w:val="clear" w:color="auto" w:fill="FFF2CC" w:themeFill="accent4" w:themeFillTint="33"/>
            <w:vAlign w:val="center"/>
          </w:tcPr>
          <w:p w14:paraId="78D20F15" w14:textId="77777777" w:rsidR="00D81740" w:rsidRDefault="00D81740" w:rsidP="00F87D2B">
            <w:pPr>
              <w:jc w:val="center"/>
            </w:pPr>
            <w:r>
              <w:t>0-10 hours</w:t>
            </w:r>
          </w:p>
        </w:tc>
        <w:tc>
          <w:tcPr>
            <w:tcW w:w="2835" w:type="dxa"/>
            <w:tcBorders>
              <w:bottom w:val="dashed" w:sz="4" w:space="0" w:color="auto"/>
            </w:tcBorders>
            <w:shd w:val="clear" w:color="auto" w:fill="FFF2CC" w:themeFill="accent4" w:themeFillTint="33"/>
            <w:vAlign w:val="center"/>
          </w:tcPr>
          <w:p w14:paraId="2D998B7F" w14:textId="30A14001" w:rsidR="00D81740" w:rsidRDefault="00F2765D" w:rsidP="00F87D2B">
            <w:pPr>
              <w:jc w:val="center"/>
            </w:pPr>
            <w:r w:rsidRPr="00F2765D">
              <w:t>$</w:t>
            </w:r>
            <w:r w:rsidR="00C4328B">
              <w:t>150</w:t>
            </w:r>
            <w:r w:rsidRPr="00F2765D">
              <w:t>.22</w:t>
            </w:r>
          </w:p>
        </w:tc>
        <w:tc>
          <w:tcPr>
            <w:tcW w:w="2976" w:type="dxa"/>
            <w:tcBorders>
              <w:bottom w:val="dashed" w:sz="4" w:space="0" w:color="auto"/>
            </w:tcBorders>
            <w:shd w:val="clear" w:color="auto" w:fill="FFF2CC" w:themeFill="accent4" w:themeFillTint="33"/>
            <w:vAlign w:val="center"/>
          </w:tcPr>
          <w:p w14:paraId="76894C25" w14:textId="352132A4" w:rsidR="00D81740" w:rsidRDefault="00F2765D" w:rsidP="00F87D2B">
            <w:pPr>
              <w:jc w:val="center"/>
            </w:pPr>
            <w:r w:rsidRPr="00F2765D">
              <w:t>$</w:t>
            </w:r>
            <w:r w:rsidR="00BC072E">
              <w:t>134</w:t>
            </w:r>
            <w:r w:rsidRPr="00F2765D">
              <w:t>.22</w:t>
            </w:r>
          </w:p>
        </w:tc>
        <w:tc>
          <w:tcPr>
            <w:tcW w:w="4395" w:type="dxa"/>
            <w:tcBorders>
              <w:bottom w:val="dashed" w:sz="4" w:space="0" w:color="auto"/>
            </w:tcBorders>
            <w:shd w:val="clear" w:color="auto" w:fill="FFF2CC" w:themeFill="accent4" w:themeFillTint="33"/>
            <w:vAlign w:val="center"/>
          </w:tcPr>
          <w:p w14:paraId="0C3B0C73" w14:textId="2E5E530B" w:rsidR="00D81740" w:rsidRDefault="000541A7" w:rsidP="00F87D2B">
            <w:pPr>
              <w:jc w:val="center"/>
            </w:pPr>
            <w:r w:rsidRPr="000541A7">
              <w:t>$</w:t>
            </w:r>
            <w:r w:rsidR="00CC36A1">
              <w:t>94.93</w:t>
            </w:r>
          </w:p>
        </w:tc>
      </w:tr>
      <w:tr w:rsidR="008A7B62" w14:paraId="405512A8" w14:textId="77777777" w:rsidTr="00F87D2B">
        <w:tc>
          <w:tcPr>
            <w:tcW w:w="1293" w:type="dxa"/>
            <w:vMerge/>
            <w:vAlign w:val="center"/>
          </w:tcPr>
          <w:p w14:paraId="0BCE581E" w14:textId="77777777" w:rsidR="008A7B62" w:rsidRDefault="008A7B62" w:rsidP="00F87D2B">
            <w:pPr>
              <w:jc w:val="center"/>
            </w:pPr>
          </w:p>
        </w:tc>
        <w:tc>
          <w:tcPr>
            <w:tcW w:w="1679" w:type="dxa"/>
            <w:vMerge/>
            <w:vAlign w:val="center"/>
          </w:tcPr>
          <w:p w14:paraId="06173039" w14:textId="77777777" w:rsidR="008A7B62" w:rsidRDefault="008A7B62" w:rsidP="00F87D2B">
            <w:pPr>
              <w:jc w:val="center"/>
            </w:pPr>
          </w:p>
        </w:tc>
        <w:tc>
          <w:tcPr>
            <w:tcW w:w="1985" w:type="dxa"/>
            <w:tcBorders>
              <w:top w:val="dashed" w:sz="4" w:space="0" w:color="auto"/>
              <w:bottom w:val="dashed" w:sz="4" w:space="0" w:color="auto"/>
            </w:tcBorders>
            <w:shd w:val="clear" w:color="auto" w:fill="FFF2CC" w:themeFill="accent4" w:themeFillTint="33"/>
            <w:vAlign w:val="center"/>
          </w:tcPr>
          <w:p w14:paraId="42A1AC76" w14:textId="77777777" w:rsidR="008A7B62" w:rsidRDefault="008A7B62" w:rsidP="00F87D2B">
            <w:pPr>
              <w:jc w:val="center"/>
            </w:pPr>
            <w:r>
              <w:t>10 to 20 hours</w:t>
            </w:r>
          </w:p>
        </w:tc>
        <w:tc>
          <w:tcPr>
            <w:tcW w:w="2835" w:type="dxa"/>
            <w:tcBorders>
              <w:top w:val="dashed" w:sz="4" w:space="0" w:color="auto"/>
              <w:bottom w:val="dashed" w:sz="4" w:space="0" w:color="auto"/>
            </w:tcBorders>
            <w:shd w:val="clear" w:color="auto" w:fill="FFF2CC" w:themeFill="accent4" w:themeFillTint="33"/>
            <w:vAlign w:val="center"/>
          </w:tcPr>
          <w:p w14:paraId="4F61F5B8" w14:textId="14C95940" w:rsidR="008A7B62" w:rsidRDefault="008A7B62" w:rsidP="00F87D2B">
            <w:pPr>
              <w:jc w:val="center"/>
            </w:pPr>
            <w:r w:rsidRPr="000315C7">
              <w:t>$</w:t>
            </w:r>
            <w:r w:rsidR="00C4328B">
              <w:t>99.7</w:t>
            </w:r>
            <w:r w:rsidR="00C63E4E">
              <w:t>7</w:t>
            </w:r>
          </w:p>
        </w:tc>
        <w:tc>
          <w:tcPr>
            <w:tcW w:w="2976" w:type="dxa"/>
            <w:tcBorders>
              <w:top w:val="dashed" w:sz="4" w:space="0" w:color="auto"/>
              <w:bottom w:val="dashed" w:sz="4" w:space="0" w:color="auto"/>
            </w:tcBorders>
            <w:shd w:val="clear" w:color="auto" w:fill="FFF2CC" w:themeFill="accent4" w:themeFillTint="33"/>
            <w:vAlign w:val="center"/>
          </w:tcPr>
          <w:p w14:paraId="7C1C7F4A" w14:textId="0C597B7F" w:rsidR="008A7B62" w:rsidRDefault="008A7B62" w:rsidP="00F87D2B">
            <w:pPr>
              <w:jc w:val="center"/>
            </w:pPr>
            <w:r w:rsidRPr="00882011">
              <w:t>$</w:t>
            </w:r>
            <w:r w:rsidR="00BC072E">
              <w:t>18.28</w:t>
            </w:r>
          </w:p>
        </w:tc>
        <w:tc>
          <w:tcPr>
            <w:tcW w:w="4395" w:type="dxa"/>
            <w:tcBorders>
              <w:top w:val="dashed" w:sz="4" w:space="0" w:color="auto"/>
              <w:bottom w:val="dashed" w:sz="4" w:space="0" w:color="auto"/>
            </w:tcBorders>
            <w:shd w:val="clear" w:color="auto" w:fill="FFF2CC" w:themeFill="accent4" w:themeFillTint="33"/>
            <w:vAlign w:val="center"/>
          </w:tcPr>
          <w:p w14:paraId="6C4C25DA" w14:textId="0B71AE91" w:rsidR="008A7B62" w:rsidRDefault="00FF6B10" w:rsidP="00F87D2B">
            <w:pPr>
              <w:jc w:val="center"/>
            </w:pPr>
            <w:r w:rsidRPr="00FF6B10">
              <w:t>$</w:t>
            </w:r>
            <w:r w:rsidR="00C05C80">
              <w:t>61.0</w:t>
            </w:r>
            <w:r w:rsidR="00C63E4E">
              <w:t>7</w:t>
            </w:r>
          </w:p>
        </w:tc>
      </w:tr>
      <w:tr w:rsidR="008A7B62" w14:paraId="4ACDEBEC" w14:textId="77777777" w:rsidTr="00F87D2B">
        <w:tc>
          <w:tcPr>
            <w:tcW w:w="1293" w:type="dxa"/>
            <w:vMerge/>
            <w:vAlign w:val="center"/>
          </w:tcPr>
          <w:p w14:paraId="1AB9979E" w14:textId="77777777" w:rsidR="008A7B62" w:rsidRDefault="008A7B62" w:rsidP="00F87D2B">
            <w:pPr>
              <w:jc w:val="center"/>
            </w:pPr>
          </w:p>
        </w:tc>
        <w:tc>
          <w:tcPr>
            <w:tcW w:w="1679" w:type="dxa"/>
            <w:vMerge/>
            <w:vAlign w:val="center"/>
          </w:tcPr>
          <w:p w14:paraId="5CFA410B" w14:textId="77777777" w:rsidR="008A7B62" w:rsidRDefault="008A7B62" w:rsidP="00F87D2B">
            <w:pPr>
              <w:jc w:val="center"/>
            </w:pPr>
          </w:p>
        </w:tc>
        <w:tc>
          <w:tcPr>
            <w:tcW w:w="1985" w:type="dxa"/>
            <w:tcBorders>
              <w:top w:val="dashed" w:sz="4" w:space="0" w:color="auto"/>
            </w:tcBorders>
            <w:shd w:val="clear" w:color="auto" w:fill="FFF2CC" w:themeFill="accent4" w:themeFillTint="33"/>
            <w:vAlign w:val="center"/>
          </w:tcPr>
          <w:p w14:paraId="079E2921" w14:textId="77777777" w:rsidR="008A7B62" w:rsidRDefault="008A7B62" w:rsidP="00F87D2B">
            <w:pPr>
              <w:jc w:val="center"/>
            </w:pPr>
            <w:r>
              <w:t>20 to 40 hours</w:t>
            </w:r>
          </w:p>
        </w:tc>
        <w:tc>
          <w:tcPr>
            <w:tcW w:w="2835" w:type="dxa"/>
            <w:tcBorders>
              <w:top w:val="dashed" w:sz="4" w:space="0" w:color="auto"/>
            </w:tcBorders>
            <w:shd w:val="clear" w:color="auto" w:fill="FFF2CC" w:themeFill="accent4" w:themeFillTint="33"/>
            <w:vAlign w:val="center"/>
          </w:tcPr>
          <w:p w14:paraId="599C7A34" w14:textId="23429AA3" w:rsidR="008A7B62" w:rsidRDefault="008A7B62" w:rsidP="00F87D2B">
            <w:pPr>
              <w:jc w:val="center"/>
            </w:pPr>
            <w:r w:rsidRPr="0071680D">
              <w:t>$</w:t>
            </w:r>
            <w:r w:rsidR="00C4328B">
              <w:t>36.8</w:t>
            </w:r>
            <w:r w:rsidR="00C63E4E">
              <w:t>2</w:t>
            </w:r>
          </w:p>
        </w:tc>
        <w:tc>
          <w:tcPr>
            <w:tcW w:w="2976" w:type="dxa"/>
            <w:tcBorders>
              <w:top w:val="dashed" w:sz="4" w:space="0" w:color="auto"/>
            </w:tcBorders>
            <w:shd w:val="clear" w:color="auto" w:fill="FFF2CC" w:themeFill="accent4" w:themeFillTint="33"/>
            <w:vAlign w:val="center"/>
          </w:tcPr>
          <w:p w14:paraId="630904F7" w14:textId="4D332E44" w:rsidR="008A7B62" w:rsidRDefault="008A7B62" w:rsidP="00F87D2B">
            <w:pPr>
              <w:jc w:val="center"/>
            </w:pPr>
            <w:r w:rsidRPr="000B1C69">
              <w:t>$</w:t>
            </w:r>
            <w:r w:rsidR="00BC072E">
              <w:t>30.9</w:t>
            </w:r>
            <w:r w:rsidR="00C63E4E">
              <w:t>9</w:t>
            </w:r>
          </w:p>
        </w:tc>
        <w:tc>
          <w:tcPr>
            <w:tcW w:w="4395" w:type="dxa"/>
            <w:tcBorders>
              <w:top w:val="dashed" w:sz="4" w:space="0" w:color="auto"/>
            </w:tcBorders>
            <w:shd w:val="clear" w:color="auto" w:fill="FFF2CC" w:themeFill="accent4" w:themeFillTint="33"/>
            <w:vAlign w:val="center"/>
          </w:tcPr>
          <w:p w14:paraId="6C105D08" w14:textId="789AE861" w:rsidR="008A7B62" w:rsidRDefault="00B55D6C" w:rsidP="00F87D2B">
            <w:pPr>
              <w:jc w:val="center"/>
            </w:pPr>
            <w:r w:rsidRPr="00B55D6C">
              <w:t>$94.60</w:t>
            </w:r>
          </w:p>
        </w:tc>
      </w:tr>
      <w:tr w:rsidR="008A7B62" w14:paraId="3D7D5878" w14:textId="77777777" w:rsidTr="00F87D2B">
        <w:trPr>
          <w:trHeight w:val="510"/>
        </w:trPr>
        <w:tc>
          <w:tcPr>
            <w:tcW w:w="1293" w:type="dxa"/>
            <w:vMerge/>
            <w:vAlign w:val="center"/>
          </w:tcPr>
          <w:p w14:paraId="58E0ABDA" w14:textId="77777777" w:rsidR="008A7B62" w:rsidRDefault="008A7B62" w:rsidP="00F87D2B">
            <w:pPr>
              <w:jc w:val="center"/>
            </w:pPr>
          </w:p>
        </w:tc>
        <w:tc>
          <w:tcPr>
            <w:tcW w:w="1679" w:type="dxa"/>
            <w:vMerge w:val="restart"/>
            <w:shd w:val="clear" w:color="auto" w:fill="FFF2CC" w:themeFill="accent4" w:themeFillTint="33"/>
            <w:vAlign w:val="center"/>
          </w:tcPr>
          <w:p w14:paraId="3E2DB259" w14:textId="77777777" w:rsidR="008A7B62" w:rsidRDefault="008A7B62" w:rsidP="00F87D2B">
            <w:pPr>
              <w:jc w:val="center"/>
            </w:pPr>
            <w:r>
              <w:t>Income change from CF</w:t>
            </w:r>
          </w:p>
        </w:tc>
        <w:tc>
          <w:tcPr>
            <w:tcW w:w="1985" w:type="dxa"/>
            <w:tcBorders>
              <w:bottom w:val="dashed" w:sz="4" w:space="0" w:color="auto"/>
            </w:tcBorders>
            <w:shd w:val="clear" w:color="auto" w:fill="FFF2CC" w:themeFill="accent4" w:themeFillTint="33"/>
            <w:vAlign w:val="center"/>
          </w:tcPr>
          <w:p w14:paraId="7A1FC63D" w14:textId="77777777" w:rsidR="008A7B62" w:rsidRDefault="008A7B62" w:rsidP="00F87D2B">
            <w:pPr>
              <w:jc w:val="center"/>
            </w:pPr>
            <w:r>
              <w:t>20</w:t>
            </w:r>
          </w:p>
        </w:tc>
        <w:tc>
          <w:tcPr>
            <w:tcW w:w="2835" w:type="dxa"/>
            <w:tcBorders>
              <w:bottom w:val="dashed" w:sz="4" w:space="0" w:color="auto"/>
            </w:tcBorders>
            <w:shd w:val="clear" w:color="auto" w:fill="FFF2CC" w:themeFill="accent4" w:themeFillTint="33"/>
            <w:vAlign w:val="center"/>
          </w:tcPr>
          <w:p w14:paraId="3004FE0F" w14:textId="0AAECE1B" w:rsidR="008A7B62" w:rsidRDefault="008A7B62" w:rsidP="00F87D2B">
            <w:pPr>
              <w:jc w:val="center"/>
            </w:pPr>
            <w:r w:rsidRPr="008F292B">
              <w:t>$13.65</w:t>
            </w:r>
          </w:p>
        </w:tc>
        <w:tc>
          <w:tcPr>
            <w:tcW w:w="2976" w:type="dxa"/>
            <w:tcBorders>
              <w:bottom w:val="dashed" w:sz="4" w:space="0" w:color="auto"/>
            </w:tcBorders>
            <w:shd w:val="clear" w:color="auto" w:fill="FFF2CC" w:themeFill="accent4" w:themeFillTint="33"/>
            <w:vAlign w:val="center"/>
          </w:tcPr>
          <w:p w14:paraId="4A934E81" w14:textId="3F82B262" w:rsidR="008A7B62" w:rsidRDefault="008A7B62" w:rsidP="00F87D2B">
            <w:pPr>
              <w:jc w:val="center"/>
            </w:pPr>
            <w:r w:rsidRPr="008F292B">
              <w:t>$1</w:t>
            </w:r>
            <w:r w:rsidR="00C63E4E">
              <w:t>2.88</w:t>
            </w:r>
          </w:p>
        </w:tc>
        <w:tc>
          <w:tcPr>
            <w:tcW w:w="4395" w:type="dxa"/>
            <w:tcBorders>
              <w:bottom w:val="dashed" w:sz="4" w:space="0" w:color="auto"/>
            </w:tcBorders>
            <w:shd w:val="clear" w:color="auto" w:fill="FFF2CC" w:themeFill="accent4" w:themeFillTint="33"/>
            <w:vAlign w:val="center"/>
          </w:tcPr>
          <w:p w14:paraId="10378887" w14:textId="4F79FF8F" w:rsidR="008A7B62" w:rsidRDefault="008A7B62" w:rsidP="00F87D2B">
            <w:pPr>
              <w:jc w:val="center"/>
            </w:pPr>
            <w:r w:rsidRPr="00152045">
              <w:t>$2.22</w:t>
            </w:r>
          </w:p>
        </w:tc>
      </w:tr>
      <w:tr w:rsidR="008A7B62" w14:paraId="48A14177" w14:textId="77777777" w:rsidTr="00F87D2B">
        <w:trPr>
          <w:trHeight w:val="510"/>
        </w:trPr>
        <w:tc>
          <w:tcPr>
            <w:tcW w:w="1293" w:type="dxa"/>
            <w:vMerge/>
            <w:vAlign w:val="center"/>
          </w:tcPr>
          <w:p w14:paraId="0CB7BAA1" w14:textId="77777777" w:rsidR="008A7B62" w:rsidRDefault="008A7B62" w:rsidP="00F87D2B">
            <w:pPr>
              <w:jc w:val="center"/>
            </w:pPr>
          </w:p>
        </w:tc>
        <w:tc>
          <w:tcPr>
            <w:tcW w:w="1679" w:type="dxa"/>
            <w:vMerge/>
            <w:vAlign w:val="center"/>
          </w:tcPr>
          <w:p w14:paraId="7F7F6D74" w14:textId="77777777" w:rsidR="008A7B62" w:rsidRDefault="008A7B62" w:rsidP="00F87D2B">
            <w:pPr>
              <w:jc w:val="center"/>
            </w:pPr>
          </w:p>
        </w:tc>
        <w:tc>
          <w:tcPr>
            <w:tcW w:w="1985" w:type="dxa"/>
            <w:tcBorders>
              <w:top w:val="dashed" w:sz="4" w:space="0" w:color="auto"/>
              <w:bottom w:val="single" w:sz="4" w:space="0" w:color="auto"/>
            </w:tcBorders>
            <w:shd w:val="clear" w:color="auto" w:fill="FFF2CC" w:themeFill="accent4" w:themeFillTint="33"/>
            <w:vAlign w:val="center"/>
          </w:tcPr>
          <w:p w14:paraId="5696F978" w14:textId="77777777" w:rsidR="008A7B62" w:rsidRDefault="008A7B62" w:rsidP="00F87D2B">
            <w:pPr>
              <w:jc w:val="center"/>
            </w:pPr>
            <w:r>
              <w:t>40</w:t>
            </w:r>
          </w:p>
        </w:tc>
        <w:tc>
          <w:tcPr>
            <w:tcW w:w="2835" w:type="dxa"/>
            <w:tcBorders>
              <w:top w:val="dashed" w:sz="4" w:space="0" w:color="auto"/>
              <w:bottom w:val="single" w:sz="4" w:space="0" w:color="auto"/>
            </w:tcBorders>
            <w:shd w:val="clear" w:color="auto" w:fill="FFF2CC" w:themeFill="accent4" w:themeFillTint="33"/>
            <w:vAlign w:val="center"/>
          </w:tcPr>
          <w:p w14:paraId="78ED5405" w14:textId="69CD9D40" w:rsidR="008A7B62" w:rsidRDefault="008A7B62" w:rsidP="00F87D2B">
            <w:pPr>
              <w:jc w:val="center"/>
            </w:pPr>
            <w:r w:rsidRPr="008F292B">
              <w:t>$13.65</w:t>
            </w:r>
          </w:p>
        </w:tc>
        <w:tc>
          <w:tcPr>
            <w:tcW w:w="2976" w:type="dxa"/>
            <w:tcBorders>
              <w:top w:val="dashed" w:sz="4" w:space="0" w:color="auto"/>
              <w:bottom w:val="single" w:sz="4" w:space="0" w:color="auto"/>
            </w:tcBorders>
            <w:shd w:val="clear" w:color="auto" w:fill="FFF2CC" w:themeFill="accent4" w:themeFillTint="33"/>
            <w:vAlign w:val="center"/>
          </w:tcPr>
          <w:p w14:paraId="43BD4571" w14:textId="14021E9D" w:rsidR="008A7B62" w:rsidRDefault="008A7B62" w:rsidP="00F87D2B">
            <w:pPr>
              <w:jc w:val="center"/>
            </w:pPr>
            <w:r w:rsidRPr="008F292B">
              <w:t>$1</w:t>
            </w:r>
            <w:r w:rsidR="00C63E4E">
              <w:t>0.26</w:t>
            </w:r>
          </w:p>
        </w:tc>
        <w:tc>
          <w:tcPr>
            <w:tcW w:w="4395" w:type="dxa"/>
            <w:tcBorders>
              <w:top w:val="dashed" w:sz="4" w:space="0" w:color="auto"/>
              <w:bottom w:val="single" w:sz="4" w:space="0" w:color="auto"/>
            </w:tcBorders>
            <w:shd w:val="clear" w:color="auto" w:fill="FFF2CC" w:themeFill="accent4" w:themeFillTint="33"/>
            <w:vAlign w:val="center"/>
          </w:tcPr>
          <w:p w14:paraId="4F1DE32E" w14:textId="305D2BAD" w:rsidR="008A7B62" w:rsidRDefault="008A7B62" w:rsidP="00F87D2B">
            <w:pPr>
              <w:jc w:val="center"/>
            </w:pPr>
            <w:r w:rsidRPr="0082558E">
              <w:rPr>
                <w:color w:val="FF0000"/>
              </w:rPr>
              <w:t>-$9.</w:t>
            </w:r>
            <w:r w:rsidR="00C63E4E">
              <w:rPr>
                <w:color w:val="FF0000"/>
              </w:rPr>
              <w:t>79</w:t>
            </w:r>
          </w:p>
        </w:tc>
      </w:tr>
      <w:tr w:rsidR="008A7B62" w14:paraId="7AD466AC" w14:textId="77777777" w:rsidTr="00F87D2B">
        <w:trPr>
          <w:trHeight w:val="510"/>
        </w:trPr>
        <w:tc>
          <w:tcPr>
            <w:tcW w:w="1293" w:type="dxa"/>
            <w:vMerge/>
            <w:vAlign w:val="center"/>
          </w:tcPr>
          <w:p w14:paraId="2A815D19" w14:textId="77777777" w:rsidR="008A7B62" w:rsidRDefault="008A7B62" w:rsidP="00F87D2B">
            <w:pPr>
              <w:jc w:val="center"/>
            </w:pPr>
          </w:p>
        </w:tc>
        <w:tc>
          <w:tcPr>
            <w:tcW w:w="3664" w:type="dxa"/>
            <w:gridSpan w:val="2"/>
            <w:tcBorders>
              <w:bottom w:val="single" w:sz="4" w:space="0" w:color="auto"/>
            </w:tcBorders>
            <w:shd w:val="clear" w:color="auto" w:fill="FFF2CC" w:themeFill="accent4" w:themeFillTint="33"/>
            <w:vAlign w:val="center"/>
          </w:tcPr>
          <w:p w14:paraId="2AFCACAB" w14:textId="01615FFF" w:rsidR="008A7B62" w:rsidRPr="002250C9" w:rsidRDefault="008A7B62" w:rsidP="00F87D2B">
            <w:pPr>
              <w:jc w:val="center"/>
              <w:rPr>
                <w:b/>
                <w:bCs/>
              </w:rPr>
            </w:pPr>
            <w:r w:rsidRPr="002250C9">
              <w:rPr>
                <w:b/>
                <w:bCs/>
              </w:rPr>
              <w:t xml:space="preserve">Change to </w:t>
            </w:r>
            <w:r w:rsidR="00A42108">
              <w:rPr>
                <w:b/>
                <w:bCs/>
              </w:rPr>
              <w:t>EMTRs and/or PTRs</w:t>
            </w:r>
          </w:p>
        </w:tc>
        <w:tc>
          <w:tcPr>
            <w:tcW w:w="2835" w:type="dxa"/>
            <w:tcBorders>
              <w:top w:val="single" w:sz="4" w:space="0" w:color="auto"/>
            </w:tcBorders>
            <w:shd w:val="clear" w:color="auto" w:fill="FFF2CC" w:themeFill="accent4" w:themeFillTint="33"/>
            <w:vAlign w:val="center"/>
          </w:tcPr>
          <w:p w14:paraId="3A78D764" w14:textId="64C8E45F" w:rsidR="008A7B62" w:rsidRPr="002250C9" w:rsidRDefault="002155FB" w:rsidP="00F87D2B">
            <w:pPr>
              <w:jc w:val="center"/>
              <w:rPr>
                <w:b/>
                <w:bCs/>
              </w:rPr>
            </w:pPr>
            <w:r>
              <w:rPr>
                <w:b/>
                <w:bCs/>
              </w:rPr>
              <w:t>This option would increase EMTRs by 3% beyond 4</w:t>
            </w:r>
            <w:r w:rsidR="006B655B">
              <w:rPr>
                <w:b/>
                <w:bCs/>
              </w:rPr>
              <w:t>0.95</w:t>
            </w:r>
            <w:r>
              <w:rPr>
                <w:b/>
                <w:bCs/>
              </w:rPr>
              <w:t xml:space="preserve"> hours of work </w:t>
            </w:r>
            <w:r w:rsidR="00706CC2">
              <w:rPr>
                <w:b/>
                <w:bCs/>
              </w:rPr>
              <w:t>once</w:t>
            </w:r>
            <w:r>
              <w:rPr>
                <w:b/>
                <w:bCs/>
              </w:rPr>
              <w:t xml:space="preserve"> $67,</w:t>
            </w:r>
            <w:r w:rsidR="006B655B">
              <w:rPr>
                <w:b/>
                <w:bCs/>
              </w:rPr>
              <w:t>193</w:t>
            </w:r>
            <w:r>
              <w:rPr>
                <w:b/>
                <w:bCs/>
              </w:rPr>
              <w:t xml:space="preserve"> of net income</w:t>
            </w:r>
            <w:r w:rsidR="00706CC2">
              <w:rPr>
                <w:b/>
                <w:bCs/>
              </w:rPr>
              <w:t xml:space="preserve"> is exceeded</w:t>
            </w:r>
            <w:r>
              <w:rPr>
                <w:b/>
                <w:bCs/>
              </w:rPr>
              <w:t>.</w:t>
            </w:r>
          </w:p>
        </w:tc>
        <w:tc>
          <w:tcPr>
            <w:tcW w:w="2976" w:type="dxa"/>
            <w:tcBorders>
              <w:top w:val="single" w:sz="4" w:space="0" w:color="auto"/>
            </w:tcBorders>
            <w:shd w:val="clear" w:color="auto" w:fill="FFF2CC" w:themeFill="accent4" w:themeFillTint="33"/>
            <w:vAlign w:val="center"/>
          </w:tcPr>
          <w:p w14:paraId="48EBE4CE" w14:textId="3B12AC96" w:rsidR="008A7B62" w:rsidRPr="002250C9" w:rsidRDefault="0020509F" w:rsidP="00F87D2B">
            <w:pPr>
              <w:jc w:val="center"/>
              <w:rPr>
                <w:b/>
                <w:bCs/>
              </w:rPr>
            </w:pPr>
            <w:r>
              <w:rPr>
                <w:b/>
                <w:bCs/>
              </w:rPr>
              <w:t xml:space="preserve">This option would increase EMTRs by 3% beyond 42.25 hours of work </w:t>
            </w:r>
            <w:r w:rsidR="007A20A0">
              <w:rPr>
                <w:b/>
                <w:bCs/>
              </w:rPr>
              <w:t>once</w:t>
            </w:r>
            <w:r>
              <w:rPr>
                <w:b/>
                <w:bCs/>
              </w:rPr>
              <w:t xml:space="preserve"> $67,202 of net income</w:t>
            </w:r>
            <w:r w:rsidR="007A20A0">
              <w:rPr>
                <w:b/>
                <w:bCs/>
              </w:rPr>
              <w:t xml:space="preserve"> is exceeded</w:t>
            </w:r>
            <w:r>
              <w:rPr>
                <w:b/>
                <w:bCs/>
              </w:rPr>
              <w:t>.</w:t>
            </w:r>
          </w:p>
        </w:tc>
        <w:tc>
          <w:tcPr>
            <w:tcW w:w="4395" w:type="dxa"/>
            <w:tcBorders>
              <w:top w:val="single" w:sz="4" w:space="0" w:color="auto"/>
            </w:tcBorders>
            <w:shd w:val="clear" w:color="auto" w:fill="FFF2CC" w:themeFill="accent4" w:themeFillTint="33"/>
            <w:vAlign w:val="center"/>
          </w:tcPr>
          <w:p w14:paraId="1CB585A2" w14:textId="7E5ACCDF" w:rsidR="008A7B62" w:rsidRPr="002250C9" w:rsidRDefault="005B0E49" w:rsidP="00F87D2B">
            <w:pPr>
              <w:jc w:val="center"/>
              <w:rPr>
                <w:b/>
                <w:bCs/>
              </w:rPr>
            </w:pPr>
            <w:r>
              <w:rPr>
                <w:b/>
                <w:bCs/>
              </w:rPr>
              <w:t>This option would increase EMTRs by 3% between 2.25 hours and 5</w:t>
            </w:r>
            <w:r w:rsidR="006B655B">
              <w:rPr>
                <w:b/>
                <w:bCs/>
              </w:rPr>
              <w:t>3.55</w:t>
            </w:r>
            <w:r>
              <w:rPr>
                <w:b/>
                <w:bCs/>
              </w:rPr>
              <w:t xml:space="preserve"> hours of work once $6</w:t>
            </w:r>
            <w:r w:rsidR="00352BCC">
              <w:rPr>
                <w:b/>
                <w:bCs/>
              </w:rPr>
              <w:t>7</w:t>
            </w:r>
            <w:r>
              <w:rPr>
                <w:b/>
                <w:bCs/>
              </w:rPr>
              <w:t>,</w:t>
            </w:r>
            <w:r w:rsidR="00352BCC">
              <w:rPr>
                <w:b/>
                <w:bCs/>
              </w:rPr>
              <w:t>366</w:t>
            </w:r>
            <w:r>
              <w:rPr>
                <w:b/>
                <w:bCs/>
              </w:rPr>
              <w:t xml:space="preserve"> of net income is exceeded.</w:t>
            </w:r>
            <w:r w:rsidR="008A7B62">
              <w:rPr>
                <w:b/>
                <w:bCs/>
              </w:rPr>
              <w:t xml:space="preserve"> </w:t>
            </w:r>
            <w:r w:rsidR="00352BCC">
              <w:rPr>
                <w:b/>
                <w:bCs/>
              </w:rPr>
              <w:t>This option would increase PTRs by around 3% for the second earner entering the workforce.</w:t>
            </w:r>
          </w:p>
        </w:tc>
      </w:tr>
    </w:tbl>
    <w:p w14:paraId="2A170E84" w14:textId="77777777" w:rsidR="00634798" w:rsidRDefault="00634798" w:rsidP="007C7C91"/>
    <w:p w14:paraId="7E4032CB" w14:textId="7C7279B9" w:rsidR="001A3FDC" w:rsidRDefault="002E50AE" w:rsidP="0024723B">
      <w:r>
        <w:t>This table demonstrate</w:t>
      </w:r>
      <w:r w:rsidR="00BD5E4A">
        <w:t>s</w:t>
      </w:r>
      <w:r>
        <w:t xml:space="preserve"> that the options have minimal or no impacts on work incentives due to the minor nature of their increases to the abatement rate. </w:t>
      </w:r>
      <w:r w:rsidR="00110595">
        <w:t xml:space="preserve">Option </w:t>
      </w:r>
      <w:r w:rsidR="00CB32F0">
        <w:t xml:space="preserve">A1 will have no impact on work incentives and </w:t>
      </w:r>
      <w:r w:rsidR="00110595">
        <w:t xml:space="preserve">options </w:t>
      </w:r>
      <w:r w:rsidR="00CB32F0">
        <w:t>A2</w:t>
      </w:r>
      <w:r w:rsidR="00110595">
        <w:t xml:space="preserve">, A3 and </w:t>
      </w:r>
      <w:r w:rsidR="00CB32F0">
        <w:t>B</w:t>
      </w:r>
      <w:r w:rsidR="00360774">
        <w:t xml:space="preserve"> </w:t>
      </w:r>
      <w:r w:rsidR="0024723B">
        <w:t xml:space="preserve">will </w:t>
      </w:r>
      <w:r w:rsidR="00CB32F0">
        <w:t xml:space="preserve">not </w:t>
      </w:r>
      <w:r w:rsidR="0024723B">
        <w:t xml:space="preserve">impact the work incentives for a single earner </w:t>
      </w:r>
      <w:r w:rsidR="000D5AA2">
        <w:t xml:space="preserve">family </w:t>
      </w:r>
      <w:r w:rsidR="0024723B">
        <w:t>working full time on minimum wage</w:t>
      </w:r>
      <w:r w:rsidR="00C26C94">
        <w:t xml:space="preserve">. </w:t>
      </w:r>
    </w:p>
    <w:p w14:paraId="71D1526B" w14:textId="4EB4B201" w:rsidR="00BC4469" w:rsidRPr="000D5AA2" w:rsidRDefault="001A3FDC" w:rsidP="00EB0D3A">
      <w:r>
        <w:t>However, o</w:t>
      </w:r>
      <w:r w:rsidR="008605B2">
        <w:t>ptions A2</w:t>
      </w:r>
      <w:r w:rsidR="00110595">
        <w:t xml:space="preserve">, A3 and </w:t>
      </w:r>
      <w:r w:rsidR="008605B2">
        <w:t>B</w:t>
      </w:r>
      <w:r w:rsidR="0024723B">
        <w:t xml:space="preserve"> will impact </w:t>
      </w:r>
      <w:r w:rsidR="00C26C94">
        <w:t>families with higher wages</w:t>
      </w:r>
      <w:r>
        <w:t xml:space="preserve"> and secondary earners in low-income households</w:t>
      </w:r>
      <w:r w:rsidR="0024723B">
        <w:t>.</w:t>
      </w:r>
      <w:r w:rsidR="00C26C94">
        <w:t xml:space="preserve"> </w:t>
      </w:r>
      <w:r w:rsidR="00483D3A">
        <w:t>They</w:t>
      </w:r>
      <w:r w:rsidR="00C26C94">
        <w:t xml:space="preserve"> will have a minor </w:t>
      </w:r>
      <w:r w:rsidR="00C00EDA">
        <w:t xml:space="preserve">(1-3%) </w:t>
      </w:r>
      <w:r w:rsidR="00C26C94">
        <w:t>impact on the EMTRs of single earner families who cross the abatement threshold</w:t>
      </w:r>
      <w:r w:rsidR="00483D3A">
        <w:t xml:space="preserve"> (</w:t>
      </w:r>
      <w:proofErr w:type="gramStart"/>
      <w:r w:rsidR="00483D3A">
        <w:t>i.e.</w:t>
      </w:r>
      <w:proofErr w:type="gramEnd"/>
      <w:r w:rsidR="00483D3A">
        <w:t xml:space="preserve"> who earn above minimum wage)</w:t>
      </w:r>
      <w:r w:rsidR="00C26C94">
        <w:t>.</w:t>
      </w:r>
      <w:r w:rsidR="000D5AA2">
        <w:t xml:space="preserve"> </w:t>
      </w:r>
      <w:r w:rsidR="00161836">
        <w:t>They will also impact</w:t>
      </w:r>
      <w:r w:rsidR="00C00EDA">
        <w:t xml:space="preserve"> the participation tax rate of secondary earners who already </w:t>
      </w:r>
      <w:r w:rsidR="00B56999">
        <w:t>have very low work incentives</w:t>
      </w:r>
      <w:r w:rsidR="000D5AA2">
        <w:t>, although this impact will also be limited to a 1-3% increase.</w:t>
      </w:r>
    </w:p>
    <w:p w14:paraId="3A8F0259" w14:textId="5BB99721" w:rsidR="00AF562D" w:rsidRDefault="002A3B05" w:rsidP="00EB0D3A">
      <w:r>
        <w:t>O</w:t>
      </w:r>
      <w:r w:rsidR="000A6E4E">
        <w:t>verall</w:t>
      </w:r>
      <w:r w:rsidR="00880F5D">
        <w:t>,</w:t>
      </w:r>
      <w:r w:rsidR="00BD5E4A">
        <w:t xml:space="preserve"> </w:t>
      </w:r>
      <w:r w:rsidR="000A6E4E">
        <w:t>the</w:t>
      </w:r>
      <w:r>
        <w:t xml:space="preserve"> </w:t>
      </w:r>
      <w:r w:rsidR="000A6E4E">
        <w:t>increase</w:t>
      </w:r>
      <w:r>
        <w:t xml:space="preserve"> in EMTRs</w:t>
      </w:r>
      <w:r w:rsidR="000A6E4E">
        <w:t xml:space="preserve"> is minimal and therefore unlikely to materially impact financial incentives to work</w:t>
      </w:r>
      <w:r w:rsidR="00474FA5">
        <w:t>.</w:t>
      </w:r>
    </w:p>
    <w:p w14:paraId="5EC36ECC" w14:textId="77777777" w:rsidR="00F1523A" w:rsidRDefault="00F1523A" w:rsidP="00AF562D">
      <w:pPr>
        <w:rPr>
          <w:b/>
          <w:bCs/>
          <w:i/>
          <w:iCs/>
          <w:lang w:val="en-NZ"/>
        </w:rPr>
        <w:sectPr w:rsidR="00F1523A" w:rsidSect="00B5612C">
          <w:headerReference w:type="even" r:id="rId13"/>
          <w:headerReference w:type="default" r:id="rId14"/>
          <w:footerReference w:type="default" r:id="rId15"/>
          <w:headerReference w:type="first" r:id="rId16"/>
          <w:pgSz w:w="16838" w:h="11906" w:orient="landscape" w:code="9"/>
          <w:pgMar w:top="1418" w:right="1134" w:bottom="1418" w:left="992" w:header="454" w:footer="454" w:gutter="0"/>
          <w:cols w:space="708"/>
          <w:docGrid w:linePitch="360"/>
        </w:sectPr>
      </w:pPr>
    </w:p>
    <w:p w14:paraId="37379BD5" w14:textId="7760FC7E" w:rsidR="00AF562D" w:rsidRDefault="00AF562D" w:rsidP="00AF562D">
      <w:pPr>
        <w:rPr>
          <w:b/>
          <w:bCs/>
          <w:i/>
          <w:iCs/>
          <w:lang w:val="en-NZ"/>
        </w:rPr>
      </w:pPr>
      <w:r>
        <w:rPr>
          <w:b/>
          <w:bCs/>
          <w:i/>
          <w:iCs/>
          <w:lang w:val="en-NZ"/>
        </w:rPr>
        <w:t xml:space="preserve">Cumulative impact of changes  </w:t>
      </w:r>
    </w:p>
    <w:p w14:paraId="43D75729" w14:textId="051DBDB0" w:rsidR="00AF562D" w:rsidRPr="000D5AA2" w:rsidRDefault="00AF33AC" w:rsidP="00EB0D3A">
      <w:r>
        <w:rPr>
          <w:lang w:val="en-NZ"/>
        </w:rPr>
        <w:t>However, c</w:t>
      </w:r>
      <w:r w:rsidR="00AF562D" w:rsidRPr="00493B14">
        <w:rPr>
          <w:lang w:val="en-NZ"/>
        </w:rPr>
        <w:t xml:space="preserve">onsideration should be given to the accumulation of </w:t>
      </w:r>
      <w:r>
        <w:rPr>
          <w:lang w:val="en-NZ"/>
        </w:rPr>
        <w:t>abatement rate</w:t>
      </w:r>
      <w:r w:rsidR="00AF562D" w:rsidRPr="00493B14">
        <w:rPr>
          <w:lang w:val="en-NZ"/>
        </w:rPr>
        <w:t xml:space="preserve"> changes over time. For example, as part of the Families Package changes in 2018, the WFF abatement rate increased from 22.5% to its current 25% setting</w:t>
      </w:r>
      <w:r w:rsidR="00BB6861">
        <w:rPr>
          <w:lang w:val="en-NZ"/>
        </w:rPr>
        <w:t>.</w:t>
      </w:r>
      <w:r w:rsidR="00AF562D" w:rsidRPr="00493B14">
        <w:rPr>
          <w:lang w:val="en-NZ"/>
        </w:rPr>
        <w:t xml:space="preserve"> When WFF was first introduced</w:t>
      </w:r>
      <w:r w:rsidR="00110595">
        <w:rPr>
          <w:lang w:val="en-NZ"/>
        </w:rPr>
        <w:t xml:space="preserve"> (between 2004 and 2007)</w:t>
      </w:r>
      <w:r w:rsidR="00AF562D" w:rsidRPr="00493B14">
        <w:rPr>
          <w:lang w:val="en-NZ"/>
        </w:rPr>
        <w:t xml:space="preserve">, the abatement rate was 20%. </w:t>
      </w:r>
      <w:r w:rsidR="00AF562D">
        <w:rPr>
          <w:lang w:val="en-NZ"/>
        </w:rPr>
        <w:t>These changes, particularly when considered with the Ministers</w:t>
      </w:r>
      <w:r w:rsidR="008A1E8E">
        <w:rPr>
          <w:lang w:val="en-NZ"/>
        </w:rPr>
        <w:t>’</w:t>
      </w:r>
      <w:r w:rsidR="00AF562D">
        <w:rPr>
          <w:lang w:val="en-NZ"/>
        </w:rPr>
        <w:t xml:space="preserve"> preferred option</w:t>
      </w:r>
      <w:r>
        <w:rPr>
          <w:lang w:val="en-NZ"/>
        </w:rPr>
        <w:t>,</w:t>
      </w:r>
      <w:r w:rsidR="00AF562D">
        <w:rPr>
          <w:lang w:val="en-NZ"/>
        </w:rPr>
        <w:t xml:space="preserve"> represent a significant increase in abatement rate in a relatively short period.</w:t>
      </w:r>
    </w:p>
    <w:p w14:paraId="7D3D750A" w14:textId="6A7CB21D" w:rsidR="00E72933" w:rsidRPr="00612CFB" w:rsidRDefault="00E72933" w:rsidP="00EB0D3A">
      <w:pPr>
        <w:rPr>
          <w:b/>
          <w:bCs/>
          <w:i/>
          <w:iCs/>
          <w:lang w:val="en-NZ"/>
        </w:rPr>
      </w:pPr>
      <w:r w:rsidRPr="00612CFB">
        <w:rPr>
          <w:b/>
          <w:bCs/>
          <w:i/>
          <w:iCs/>
          <w:lang w:val="en-NZ"/>
        </w:rPr>
        <w:t>Distributional impacts</w:t>
      </w:r>
    </w:p>
    <w:p w14:paraId="0FCFFDC2" w14:textId="2B9F015F" w:rsidR="007D7CEC" w:rsidRDefault="00233D33" w:rsidP="00EB0D3A">
      <w:pPr>
        <w:rPr>
          <w:lang w:val="en-NZ"/>
        </w:rPr>
      </w:pPr>
      <w:r>
        <w:rPr>
          <w:lang w:val="en-NZ"/>
        </w:rPr>
        <w:t>These options are target</w:t>
      </w:r>
      <w:r w:rsidR="008147A7">
        <w:rPr>
          <w:lang w:val="en-NZ"/>
        </w:rPr>
        <w:t>ed</w:t>
      </w:r>
      <w:r>
        <w:rPr>
          <w:lang w:val="en-NZ"/>
        </w:rPr>
        <w:t xml:space="preserve"> to</w:t>
      </w:r>
      <w:r w:rsidR="008147A7">
        <w:rPr>
          <w:lang w:val="en-NZ"/>
        </w:rPr>
        <w:t>wards low-</w:t>
      </w:r>
      <w:r>
        <w:rPr>
          <w:lang w:val="en-NZ"/>
        </w:rPr>
        <w:t xml:space="preserve">income </w:t>
      </w:r>
      <w:r w:rsidR="008147A7">
        <w:rPr>
          <w:lang w:val="en-NZ"/>
        </w:rPr>
        <w:t>families (beneficiary or otherwise)</w:t>
      </w:r>
      <w:r>
        <w:rPr>
          <w:lang w:val="en-NZ"/>
        </w:rPr>
        <w:t xml:space="preserve"> </w:t>
      </w:r>
      <w:r w:rsidR="008147A7">
        <w:rPr>
          <w:lang w:val="en-NZ"/>
        </w:rPr>
        <w:t xml:space="preserve">receiving the FTC. </w:t>
      </w:r>
      <w:r w:rsidR="002E048B">
        <w:rPr>
          <w:lang w:val="en-NZ"/>
        </w:rPr>
        <w:t>M</w:t>
      </w:r>
      <w:r w:rsidR="00226816">
        <w:rPr>
          <w:lang w:val="en-NZ"/>
        </w:rPr>
        <w:t>odelling</w:t>
      </w:r>
      <w:r w:rsidR="002E048B">
        <w:rPr>
          <w:lang w:val="en-NZ"/>
        </w:rPr>
        <w:t xml:space="preserve"> has taken place for their impact on </w:t>
      </w:r>
      <w:r w:rsidR="00731B85">
        <w:rPr>
          <w:lang w:val="en-NZ"/>
        </w:rPr>
        <w:t xml:space="preserve">families in </w:t>
      </w:r>
      <w:r w:rsidR="004E7925">
        <w:rPr>
          <w:lang w:val="en-NZ"/>
        </w:rPr>
        <w:t>different income bands (all positive for those earning</w:t>
      </w:r>
      <w:r w:rsidR="00731B85">
        <w:rPr>
          <w:lang w:val="en-NZ"/>
        </w:rPr>
        <w:t xml:space="preserve"> &lt;$60k annually</w:t>
      </w:r>
      <w:r w:rsidR="00260BA3">
        <w:rPr>
          <w:rStyle w:val="FootnoteReference"/>
          <w:lang w:val="en-NZ"/>
        </w:rPr>
        <w:footnoteReference w:id="39"/>
      </w:r>
      <w:r w:rsidR="00731B85">
        <w:rPr>
          <w:lang w:val="en-NZ"/>
        </w:rPr>
        <w:t xml:space="preserve">) and </w:t>
      </w:r>
      <w:r w:rsidR="002E048B">
        <w:rPr>
          <w:lang w:val="en-NZ"/>
        </w:rPr>
        <w:t xml:space="preserve">children in poverty (all positive) </w:t>
      </w:r>
      <w:r w:rsidR="00D40FD1">
        <w:rPr>
          <w:lang w:val="en-NZ"/>
        </w:rPr>
        <w:t>but not</w:t>
      </w:r>
      <w:r w:rsidR="00226816">
        <w:rPr>
          <w:lang w:val="en-NZ"/>
        </w:rPr>
        <w:t xml:space="preserve"> for </w:t>
      </w:r>
      <w:r w:rsidR="00D40FD1">
        <w:rPr>
          <w:lang w:val="en-NZ"/>
        </w:rPr>
        <w:t xml:space="preserve">other </w:t>
      </w:r>
      <w:r w:rsidR="00E04612">
        <w:rPr>
          <w:lang w:val="en-NZ"/>
        </w:rPr>
        <w:t xml:space="preserve">specific </w:t>
      </w:r>
      <w:r w:rsidR="00D40FD1">
        <w:rPr>
          <w:lang w:val="en-NZ"/>
        </w:rPr>
        <w:t xml:space="preserve">groups such as Māori, </w:t>
      </w:r>
      <w:r w:rsidR="000F3BA7">
        <w:rPr>
          <w:lang w:val="en-NZ"/>
        </w:rPr>
        <w:t>women</w:t>
      </w:r>
      <w:r w:rsidR="00D40FD1">
        <w:rPr>
          <w:lang w:val="en-NZ"/>
        </w:rPr>
        <w:t xml:space="preserve">, </w:t>
      </w:r>
      <w:r w:rsidR="00060F01">
        <w:rPr>
          <w:lang w:val="en-NZ"/>
        </w:rPr>
        <w:t>or those with disabilities</w:t>
      </w:r>
      <w:r w:rsidR="00D40FD1">
        <w:rPr>
          <w:lang w:val="en-NZ"/>
        </w:rPr>
        <w:t>.</w:t>
      </w:r>
      <w:r w:rsidR="007A30F2">
        <w:rPr>
          <w:lang w:val="en-NZ"/>
        </w:rPr>
        <w:t xml:space="preserve"> </w:t>
      </w:r>
    </w:p>
    <w:p w14:paraId="29F3EE5A" w14:textId="3F331424" w:rsidR="00E85F5D" w:rsidRDefault="007D7CEC" w:rsidP="00EB0D3A">
      <w:pPr>
        <w:rPr>
          <w:lang w:val="en-NZ"/>
        </w:rPr>
      </w:pPr>
      <w:r>
        <w:rPr>
          <w:rFonts w:cs="Arial"/>
          <w:lang w:val="en-NZ"/>
        </w:rPr>
        <w:t>I</w:t>
      </w:r>
      <w:r w:rsidR="00B75BD4">
        <w:rPr>
          <w:rFonts w:cs="Arial"/>
          <w:lang w:val="en-NZ"/>
        </w:rPr>
        <w:t>t is likely that there will be a disproportionate impact on M</w:t>
      </w:r>
      <w:r w:rsidR="00543E12">
        <w:rPr>
          <w:rFonts w:cs="Arial"/>
          <w:lang w:val="en-NZ"/>
        </w:rPr>
        <w:t>ā</w:t>
      </w:r>
      <w:r w:rsidR="00B75BD4">
        <w:rPr>
          <w:rFonts w:cs="Arial"/>
          <w:lang w:val="en-NZ"/>
        </w:rPr>
        <w:t xml:space="preserve">ori when any changes are made within the tax and transfer system because </w:t>
      </w:r>
      <w:r w:rsidR="00543E12">
        <w:rPr>
          <w:rFonts w:cs="Arial"/>
          <w:lang w:val="en-NZ"/>
        </w:rPr>
        <w:t>they are over-</w:t>
      </w:r>
      <w:r w:rsidR="00661BBE">
        <w:rPr>
          <w:rFonts w:cs="Arial"/>
          <w:lang w:val="en-NZ"/>
        </w:rPr>
        <w:t>represented</w:t>
      </w:r>
      <w:r w:rsidR="00B75BD4">
        <w:rPr>
          <w:rFonts w:cs="Arial"/>
          <w:lang w:val="en-NZ"/>
        </w:rPr>
        <w:t xml:space="preserve"> in the benefit system. </w:t>
      </w:r>
      <w:r w:rsidR="00E85F5D">
        <w:rPr>
          <w:rFonts w:cs="Arial"/>
          <w:lang w:val="en-NZ"/>
        </w:rPr>
        <w:t xml:space="preserve">As </w:t>
      </w:r>
      <w:proofErr w:type="gramStart"/>
      <w:r w:rsidR="00E85F5D">
        <w:rPr>
          <w:rFonts w:cs="Arial"/>
          <w:lang w:val="en-NZ"/>
        </w:rPr>
        <w:t>at</w:t>
      </w:r>
      <w:proofErr w:type="gramEnd"/>
      <w:r w:rsidR="00E85F5D">
        <w:rPr>
          <w:rFonts w:cs="Arial"/>
          <w:lang w:val="en-NZ"/>
        </w:rPr>
        <w:t xml:space="preserve"> November 2018, </w:t>
      </w:r>
      <w:r w:rsidR="00E85F5D" w:rsidRPr="00226FF1">
        <w:rPr>
          <w:rFonts w:cs="Arial"/>
          <w:lang w:val="en-NZ"/>
        </w:rPr>
        <w:t xml:space="preserve">Māori </w:t>
      </w:r>
      <w:r w:rsidR="00B75BD4">
        <w:rPr>
          <w:rFonts w:cs="Arial"/>
          <w:lang w:val="en-NZ"/>
        </w:rPr>
        <w:t>made up</w:t>
      </w:r>
      <w:r w:rsidR="00E85F5D" w:rsidRPr="00226FF1">
        <w:rPr>
          <w:rFonts w:cs="Arial"/>
          <w:lang w:val="en-NZ"/>
        </w:rPr>
        <w:t xml:space="preserve"> 15% of the New Zealand population, but 36% of benefit recipients</w:t>
      </w:r>
      <w:r w:rsidR="00E85F5D">
        <w:rPr>
          <w:rFonts w:cs="Arial"/>
          <w:lang w:val="en-NZ"/>
        </w:rPr>
        <w:t xml:space="preserve"> (Welfare Expert Advisory Group 2018 Welfare System: statistics). </w:t>
      </w:r>
    </w:p>
    <w:p w14:paraId="6C9DA010" w14:textId="41171F46" w:rsidR="000036E2" w:rsidRPr="000036E2" w:rsidRDefault="007D7CEC" w:rsidP="000036E2">
      <w:pPr>
        <w:rPr>
          <w:lang w:val="en-NZ"/>
        </w:rPr>
      </w:pPr>
      <w:r>
        <w:rPr>
          <w:lang w:val="en-NZ"/>
        </w:rPr>
        <w:t xml:space="preserve">The impact of the options on other groups </w:t>
      </w:r>
      <w:r w:rsidR="003E7FA9">
        <w:rPr>
          <w:lang w:val="en-NZ"/>
        </w:rPr>
        <w:t>may be</w:t>
      </w:r>
      <w:r>
        <w:rPr>
          <w:lang w:val="en-NZ"/>
        </w:rPr>
        <w:t xml:space="preserve"> proportionate to their representation in the target group of low-income families. Inland Revenue cannot model these impacts as </w:t>
      </w:r>
      <w:r w:rsidR="00110595">
        <w:rPr>
          <w:lang w:val="en-NZ"/>
        </w:rPr>
        <w:t>it does</w:t>
      </w:r>
      <w:r>
        <w:rPr>
          <w:lang w:val="en-NZ"/>
        </w:rPr>
        <w:t xml:space="preserve"> not collect data on gender, ethnicity, or disability. Time constraints have further limited </w:t>
      </w:r>
      <w:r w:rsidR="00B37DCF">
        <w:rPr>
          <w:lang w:val="en-NZ"/>
        </w:rPr>
        <w:t>the</w:t>
      </w:r>
      <w:r>
        <w:rPr>
          <w:lang w:val="en-NZ"/>
        </w:rPr>
        <w:t xml:space="preserve"> ability to access and analyse relevant data that may be held by external sources.</w:t>
      </w:r>
    </w:p>
    <w:p w14:paraId="77374E56" w14:textId="77777777" w:rsidR="000637A0" w:rsidRPr="009A670E" w:rsidRDefault="000637A0" w:rsidP="000637A0">
      <w:pPr>
        <w:rPr>
          <w:i/>
          <w:iCs/>
          <w:lang w:val="en-NZ"/>
        </w:rPr>
      </w:pPr>
      <w:r w:rsidRPr="009A670E">
        <w:rPr>
          <w:i/>
          <w:iCs/>
          <w:lang w:val="en-NZ"/>
        </w:rPr>
        <w:t>Option to pass on FTC increase to other caregivers – distributional impacts (</w:t>
      </w:r>
      <w:proofErr w:type="spellStart"/>
      <w:r w:rsidRPr="009A670E">
        <w:rPr>
          <w:i/>
          <w:iCs/>
          <w:lang w:val="en-NZ"/>
        </w:rPr>
        <w:t>Oranga</w:t>
      </w:r>
      <w:proofErr w:type="spellEnd"/>
      <w:r w:rsidRPr="009A670E">
        <w:rPr>
          <w:i/>
          <w:iCs/>
          <w:lang w:val="en-NZ"/>
        </w:rPr>
        <w:t xml:space="preserve"> Tamariki comment)</w:t>
      </w:r>
    </w:p>
    <w:p w14:paraId="1FC535DA" w14:textId="414D2353" w:rsidR="000637A0" w:rsidRPr="006D7E96" w:rsidRDefault="000637A0" w:rsidP="000637A0">
      <w:r w:rsidRPr="006D7E96">
        <w:t xml:space="preserve">Passing on the FTC </w:t>
      </w:r>
      <w:r w:rsidR="00110595">
        <w:t xml:space="preserve">increase </w:t>
      </w:r>
      <w:r w:rsidRPr="006D7E96">
        <w:t>to the rates of the OB, UCB and FCA would also impact children and Māori - There are around 24,000 children being cared for by around 15,000 caregivers, both inside and outside of the State care system. Over half of children living with caregivers are Māori, and a significant proportion of their caregivers are also Māori. </w:t>
      </w:r>
    </w:p>
    <w:p w14:paraId="56A45DDF" w14:textId="2249847C" w:rsidR="00210657" w:rsidRPr="00D0576A" w:rsidRDefault="00210657" w:rsidP="00EB0D3A">
      <w:pPr>
        <w:rPr>
          <w:b/>
          <w:bCs/>
          <w:i/>
          <w:iCs/>
          <w:lang w:val="en-NZ"/>
        </w:rPr>
      </w:pPr>
      <w:r w:rsidRPr="00D0576A">
        <w:rPr>
          <w:b/>
          <w:bCs/>
          <w:i/>
          <w:iCs/>
          <w:lang w:val="en-NZ"/>
        </w:rPr>
        <w:t>Stakeholder support</w:t>
      </w:r>
    </w:p>
    <w:p w14:paraId="6CDC1BF6" w14:textId="2F17A356" w:rsidR="00E07BBB" w:rsidRDefault="00210657" w:rsidP="006448CF">
      <w:pPr>
        <w:rPr>
          <w:lang w:val="en-NZ"/>
        </w:rPr>
      </w:pPr>
      <w:r>
        <w:rPr>
          <w:lang w:val="en-NZ"/>
        </w:rPr>
        <w:t xml:space="preserve">No stakeholder feedback is available for these options as they are budget sensitive. Previous feedback from the </w:t>
      </w:r>
      <w:r w:rsidR="00474FA5">
        <w:rPr>
          <w:lang w:val="en-NZ"/>
        </w:rPr>
        <w:t>WEAG</w:t>
      </w:r>
      <w:r>
        <w:rPr>
          <w:lang w:val="en-NZ"/>
        </w:rPr>
        <w:t xml:space="preserve"> supports increases to the FTC </w:t>
      </w:r>
      <w:r w:rsidR="00364163">
        <w:rPr>
          <w:lang w:val="en-NZ"/>
        </w:rPr>
        <w:t>with a preference for universalism over tight targeting</w:t>
      </w:r>
      <w:r w:rsidR="008213F9">
        <w:rPr>
          <w:lang w:val="en-NZ"/>
        </w:rPr>
        <w:t xml:space="preserve"> which indicates that they </w:t>
      </w:r>
      <w:r w:rsidR="00C564CA">
        <w:rPr>
          <w:lang w:val="en-NZ"/>
        </w:rPr>
        <w:t>would</w:t>
      </w:r>
      <w:r w:rsidR="008213F9">
        <w:rPr>
          <w:lang w:val="en-NZ"/>
        </w:rPr>
        <w:t xml:space="preserve"> not be in favour of </w:t>
      </w:r>
      <w:r w:rsidR="00452AA5">
        <w:rPr>
          <w:lang w:val="en-NZ"/>
        </w:rPr>
        <w:t>options which increase abatement rates (</w:t>
      </w:r>
      <w:r w:rsidR="00110595">
        <w:rPr>
          <w:lang w:val="en-NZ"/>
        </w:rPr>
        <w:t xml:space="preserve">options </w:t>
      </w:r>
      <w:r w:rsidR="00452AA5">
        <w:rPr>
          <w:lang w:val="en-NZ"/>
        </w:rPr>
        <w:t>A2</w:t>
      </w:r>
      <w:r w:rsidR="00110595">
        <w:rPr>
          <w:lang w:val="en-NZ"/>
        </w:rPr>
        <w:t xml:space="preserve">, A3 and </w:t>
      </w:r>
      <w:r w:rsidR="00452AA5">
        <w:rPr>
          <w:lang w:val="en-NZ"/>
        </w:rPr>
        <w:t>B).</w:t>
      </w:r>
    </w:p>
    <w:p w14:paraId="5236955E" w14:textId="7DDC8428" w:rsidR="0002708A" w:rsidRPr="00CF6F68" w:rsidRDefault="004035C7" w:rsidP="006448CF">
      <w:pPr>
        <w:rPr>
          <w:b/>
          <w:lang w:val="en-NZ"/>
        </w:rPr>
      </w:pPr>
      <w:r w:rsidRPr="00CF6F68">
        <w:rPr>
          <w:b/>
          <w:bCs/>
          <w:lang w:val="en-NZ"/>
        </w:rPr>
        <w:t xml:space="preserve">Option to pass on </w:t>
      </w:r>
      <w:r w:rsidR="00A66BD9" w:rsidRPr="00CF6F68">
        <w:rPr>
          <w:b/>
          <w:bCs/>
          <w:lang w:val="en-NZ"/>
        </w:rPr>
        <w:t xml:space="preserve">an </w:t>
      </w:r>
      <w:r w:rsidR="00CF6F68" w:rsidRPr="00CF6F68">
        <w:rPr>
          <w:b/>
          <w:bCs/>
          <w:lang w:val="en-NZ"/>
        </w:rPr>
        <w:t>increase</w:t>
      </w:r>
      <w:r w:rsidR="00A66BD9" w:rsidRPr="00CF6F68">
        <w:rPr>
          <w:b/>
          <w:bCs/>
          <w:lang w:val="en-NZ"/>
        </w:rPr>
        <w:t xml:space="preserve"> in FTC to </w:t>
      </w:r>
      <w:r w:rsidR="00CF6F68" w:rsidRPr="00CF6F68">
        <w:rPr>
          <w:b/>
          <w:bCs/>
          <w:lang w:val="en-NZ"/>
        </w:rPr>
        <w:t>other caregiver payments</w:t>
      </w:r>
    </w:p>
    <w:p w14:paraId="7DC12316" w14:textId="4F5EF330" w:rsidR="004035C7" w:rsidRDefault="004035C7" w:rsidP="006448CF">
      <w:r>
        <w:t>There is also a</w:t>
      </w:r>
      <w:r w:rsidR="009A670E">
        <w:t>n</w:t>
      </w:r>
      <w:r w:rsidRPr="00FB1C5B">
        <w:t xml:space="preserve"> option to pass on any increases to the FTC to rates of OB, UCB and FCA. </w:t>
      </w:r>
      <w:r>
        <w:t xml:space="preserve">There are around 24,000 </w:t>
      </w:r>
      <w:proofErr w:type="spellStart"/>
      <w:r>
        <w:t>tamariki</w:t>
      </w:r>
      <w:proofErr w:type="spellEnd"/>
      <w:r>
        <w:t xml:space="preserve"> being cared for by around 15,000 caregivers, both inside and outside of the State care system.</w:t>
      </w:r>
      <w:r w:rsidR="002407FA">
        <w:t xml:space="preserve"> Caregivers who received OB</w:t>
      </w:r>
      <w:r w:rsidR="00110595">
        <w:t>,</w:t>
      </w:r>
      <w:r w:rsidR="002407FA">
        <w:t xml:space="preserve"> UCB and FCA do not qualify for FTC for the same child. </w:t>
      </w:r>
      <w:r w:rsidR="00F700AB">
        <w:t>However, increases</w:t>
      </w:r>
      <w:r w:rsidR="002E0573">
        <w:t xml:space="preserve"> to FTC rates have resulted in commensurate increases to the base rates for OB, UCB and FCA in </w:t>
      </w:r>
      <w:r w:rsidR="00F700AB">
        <w:t>2005, 2007 and 2018</w:t>
      </w:r>
      <w:r w:rsidR="00F700AB" w:rsidRPr="00FB1C5B">
        <w:t xml:space="preserve">. </w:t>
      </w:r>
      <w:r w:rsidR="0063107F">
        <w:t>M</w:t>
      </w:r>
      <w:r w:rsidR="00F700AB" w:rsidRPr="00FB1C5B">
        <w:t xml:space="preserve">ost recently </w:t>
      </w:r>
      <w:r w:rsidR="00F700AB">
        <w:t>OB, UCB and FCA</w:t>
      </w:r>
      <w:r w:rsidR="00F700AB" w:rsidRPr="00FB1C5B">
        <w:t xml:space="preserve"> rates were increased in July 2020 by $25 per week, in line with increases to main benefits, </w:t>
      </w:r>
      <w:r w:rsidR="00F700AB" w:rsidRPr="00220BCF">
        <w:t>to support caregivers against the impacts of COVID-19 and support placement stability.</w:t>
      </w:r>
      <w:r w:rsidR="00F700AB">
        <w:t xml:space="preserve"> </w:t>
      </w:r>
    </w:p>
    <w:p w14:paraId="281EF61D" w14:textId="5A14E969" w:rsidR="0064326F" w:rsidRDefault="0064326F" w:rsidP="006448CF">
      <w:r w:rsidRPr="0064326F">
        <w:t>Currently rates of OB, UCB and FCA are between $89 and $152 higher than the eldest child rate of FTC. This reflects the higher levels of support provided to caregivers who are caring for children when their parents are unable to, and reflects that caregivers receiving</w:t>
      </w:r>
      <w:r>
        <w:t xml:space="preserve"> </w:t>
      </w:r>
      <w:r w:rsidRPr="0064326F">
        <w:t>OB, UCB and FCA do not have access to some of the same supplementary assistance as other families, such as the dependent child rate of Accommodation Supplement.</w:t>
      </w:r>
    </w:p>
    <w:p w14:paraId="0C05ACF7" w14:textId="4F9843CD" w:rsidR="008E50A1" w:rsidRDefault="00D976DF" w:rsidP="008E50A1">
      <w:r>
        <w:t xml:space="preserve">The costs </w:t>
      </w:r>
      <w:r w:rsidR="00230D74">
        <w:t>associated</w:t>
      </w:r>
      <w:r w:rsidR="008E50A1">
        <w:t xml:space="preserve"> with passing on the FTC rate increase to other caregiver payments are </w:t>
      </w:r>
      <w:r w:rsidR="00022F0E">
        <w:t>summarised in</w:t>
      </w:r>
      <w:r w:rsidR="008E50A1">
        <w:t xml:space="preserve"> the table below.</w:t>
      </w:r>
    </w:p>
    <w:tbl>
      <w:tblPr>
        <w:tblW w:w="5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23"/>
        <w:gridCol w:w="1135"/>
        <w:gridCol w:w="1132"/>
        <w:gridCol w:w="1104"/>
        <w:gridCol w:w="1022"/>
        <w:gridCol w:w="1277"/>
        <w:gridCol w:w="1275"/>
        <w:gridCol w:w="1134"/>
      </w:tblGrid>
      <w:tr w:rsidR="00F1523A" w:rsidRPr="00BF2D9E" w14:paraId="0D420C9F" w14:textId="77777777" w:rsidTr="00F1523A">
        <w:trPr>
          <w:trHeight w:val="253"/>
        </w:trPr>
        <w:tc>
          <w:tcPr>
            <w:tcW w:w="1040" w:type="pct"/>
            <w:shd w:val="clear" w:color="auto" w:fill="FFFFFF" w:themeFill="background1"/>
            <w:noWrap/>
            <w:vAlign w:val="center"/>
            <w:hideMark/>
          </w:tcPr>
          <w:p w14:paraId="1BB9BCB1" w14:textId="0A7E8039" w:rsidR="00230D74" w:rsidRPr="00C52901" w:rsidRDefault="00230D74" w:rsidP="00F1523A">
            <w:pPr>
              <w:spacing w:after="0" w:line="240" w:lineRule="auto"/>
              <w:rPr>
                <w:rFonts w:cs="Arial"/>
                <w:b/>
                <w:bCs/>
                <w:szCs w:val="22"/>
              </w:rPr>
            </w:pPr>
            <w:r w:rsidRPr="00C52901">
              <w:rPr>
                <w:rFonts w:cs="Arial"/>
                <w:b/>
                <w:bCs/>
                <w:szCs w:val="22"/>
              </w:rPr>
              <w:t>I</w:t>
            </w:r>
            <w:r w:rsidR="00A36CD7">
              <w:rPr>
                <w:rFonts w:cs="Arial"/>
                <w:b/>
                <w:bCs/>
                <w:szCs w:val="22"/>
              </w:rPr>
              <w:t>ncreased base payment</w:t>
            </w:r>
            <w:r w:rsidRPr="00C52901">
              <w:rPr>
                <w:rFonts w:cs="Arial"/>
                <w:b/>
                <w:bCs/>
                <w:szCs w:val="22"/>
              </w:rPr>
              <w:t xml:space="preserve"> ($,000s)</w:t>
            </w:r>
          </w:p>
        </w:tc>
        <w:tc>
          <w:tcPr>
            <w:tcW w:w="556" w:type="pct"/>
            <w:shd w:val="clear" w:color="auto" w:fill="FFFFFF" w:themeFill="background1"/>
            <w:noWrap/>
            <w:vAlign w:val="center"/>
            <w:hideMark/>
          </w:tcPr>
          <w:p w14:paraId="3F888F4B" w14:textId="77777777" w:rsidR="00230D74" w:rsidRPr="00C52901" w:rsidRDefault="00230D74" w:rsidP="00F1523A">
            <w:pPr>
              <w:spacing w:after="0" w:line="240" w:lineRule="auto"/>
              <w:jc w:val="center"/>
              <w:rPr>
                <w:rFonts w:cs="Arial"/>
                <w:b/>
                <w:bCs/>
              </w:rPr>
            </w:pPr>
            <w:r w:rsidRPr="00C52901">
              <w:rPr>
                <w:rFonts w:cs="Arial"/>
                <w:b/>
                <w:bCs/>
              </w:rPr>
              <w:t>2021/22</w:t>
            </w:r>
          </w:p>
        </w:tc>
        <w:tc>
          <w:tcPr>
            <w:tcW w:w="555" w:type="pct"/>
            <w:shd w:val="clear" w:color="auto" w:fill="FFFFFF" w:themeFill="background1"/>
            <w:noWrap/>
            <w:vAlign w:val="center"/>
            <w:hideMark/>
          </w:tcPr>
          <w:p w14:paraId="74EE048A" w14:textId="77777777" w:rsidR="00230D74" w:rsidRPr="00C52901" w:rsidRDefault="00230D74" w:rsidP="00F1523A">
            <w:pPr>
              <w:spacing w:after="0" w:line="240" w:lineRule="auto"/>
              <w:jc w:val="center"/>
              <w:rPr>
                <w:rFonts w:cs="Arial"/>
                <w:b/>
                <w:bCs/>
              </w:rPr>
            </w:pPr>
            <w:r w:rsidRPr="00C52901">
              <w:rPr>
                <w:rFonts w:cs="Arial"/>
                <w:b/>
                <w:bCs/>
              </w:rPr>
              <w:t>2022/23</w:t>
            </w:r>
          </w:p>
        </w:tc>
        <w:tc>
          <w:tcPr>
            <w:tcW w:w="541" w:type="pct"/>
            <w:shd w:val="clear" w:color="auto" w:fill="FFFFFF" w:themeFill="background1"/>
            <w:noWrap/>
            <w:vAlign w:val="center"/>
            <w:hideMark/>
          </w:tcPr>
          <w:p w14:paraId="6A31093B" w14:textId="77777777" w:rsidR="00230D74" w:rsidRPr="00C52901" w:rsidRDefault="00230D74" w:rsidP="00F1523A">
            <w:pPr>
              <w:spacing w:after="0" w:line="240" w:lineRule="auto"/>
              <w:jc w:val="center"/>
              <w:rPr>
                <w:rFonts w:cs="Arial"/>
                <w:b/>
                <w:bCs/>
              </w:rPr>
            </w:pPr>
            <w:r w:rsidRPr="00C52901">
              <w:rPr>
                <w:rFonts w:cs="Arial"/>
                <w:b/>
                <w:bCs/>
              </w:rPr>
              <w:t>2023/24</w:t>
            </w:r>
          </w:p>
        </w:tc>
        <w:tc>
          <w:tcPr>
            <w:tcW w:w="501" w:type="pct"/>
            <w:shd w:val="clear" w:color="auto" w:fill="FFFFFF" w:themeFill="background1"/>
            <w:noWrap/>
            <w:vAlign w:val="center"/>
            <w:hideMark/>
          </w:tcPr>
          <w:p w14:paraId="763C1A3C" w14:textId="77777777" w:rsidR="00230D74" w:rsidRPr="00C52901" w:rsidRDefault="00230D74" w:rsidP="00F1523A">
            <w:pPr>
              <w:spacing w:after="0" w:line="240" w:lineRule="auto"/>
              <w:jc w:val="center"/>
              <w:rPr>
                <w:rFonts w:cs="Arial"/>
                <w:b/>
                <w:bCs/>
              </w:rPr>
            </w:pPr>
            <w:r w:rsidRPr="00C52901">
              <w:rPr>
                <w:rFonts w:cs="Arial"/>
                <w:b/>
                <w:bCs/>
              </w:rPr>
              <w:t>2024/25</w:t>
            </w:r>
          </w:p>
        </w:tc>
        <w:tc>
          <w:tcPr>
            <w:tcW w:w="626" w:type="pct"/>
            <w:shd w:val="clear" w:color="auto" w:fill="FFFFFF" w:themeFill="background1"/>
            <w:noWrap/>
            <w:vAlign w:val="center"/>
            <w:hideMark/>
          </w:tcPr>
          <w:p w14:paraId="7AC76F06" w14:textId="77777777" w:rsidR="00230D74" w:rsidRPr="00C52901" w:rsidRDefault="00230D74" w:rsidP="00F1523A">
            <w:pPr>
              <w:spacing w:after="0" w:line="240" w:lineRule="auto"/>
              <w:jc w:val="center"/>
              <w:rPr>
                <w:rFonts w:cs="Arial"/>
                <w:b/>
                <w:bCs/>
              </w:rPr>
            </w:pPr>
            <w:r w:rsidRPr="00C52901">
              <w:rPr>
                <w:rFonts w:cs="Arial"/>
                <w:b/>
                <w:bCs/>
              </w:rPr>
              <w:t>2025/26 &amp; outyears</w:t>
            </w:r>
          </w:p>
        </w:tc>
        <w:tc>
          <w:tcPr>
            <w:tcW w:w="625" w:type="pct"/>
            <w:shd w:val="clear" w:color="auto" w:fill="FFFFFF" w:themeFill="background1"/>
            <w:noWrap/>
            <w:vAlign w:val="center"/>
            <w:hideMark/>
          </w:tcPr>
          <w:p w14:paraId="4FFB2381" w14:textId="77777777" w:rsidR="00230D74" w:rsidRPr="00C52901" w:rsidRDefault="00230D74" w:rsidP="00F1523A">
            <w:pPr>
              <w:spacing w:after="0" w:line="240" w:lineRule="auto"/>
              <w:jc w:val="center"/>
              <w:rPr>
                <w:rFonts w:cs="Arial"/>
                <w:b/>
                <w:bCs/>
              </w:rPr>
            </w:pPr>
            <w:r w:rsidRPr="00C52901">
              <w:rPr>
                <w:rFonts w:cs="Arial"/>
                <w:b/>
                <w:bCs/>
              </w:rPr>
              <w:t>Forecast period Total</w:t>
            </w:r>
          </w:p>
        </w:tc>
        <w:tc>
          <w:tcPr>
            <w:tcW w:w="556" w:type="pct"/>
            <w:shd w:val="clear" w:color="auto" w:fill="FFFFFF" w:themeFill="background1"/>
            <w:vAlign w:val="center"/>
          </w:tcPr>
          <w:p w14:paraId="708DDC1C" w14:textId="77777777" w:rsidR="00230D74" w:rsidRPr="00C52901" w:rsidRDefault="00230D74" w:rsidP="00F1523A">
            <w:pPr>
              <w:spacing w:after="0" w:line="240" w:lineRule="auto"/>
              <w:jc w:val="center"/>
              <w:rPr>
                <w:rFonts w:cs="Arial"/>
                <w:b/>
                <w:bCs/>
              </w:rPr>
            </w:pPr>
            <w:r w:rsidRPr="00C52901">
              <w:rPr>
                <w:rFonts w:cs="Arial"/>
                <w:b/>
                <w:bCs/>
              </w:rPr>
              <w:t>Average per annum</w:t>
            </w:r>
          </w:p>
        </w:tc>
      </w:tr>
      <w:tr w:rsidR="00F1523A" w:rsidRPr="00BF2D9E" w14:paraId="1C3143FF" w14:textId="77777777" w:rsidTr="00F1523A">
        <w:trPr>
          <w:trHeight w:val="443"/>
        </w:trPr>
        <w:tc>
          <w:tcPr>
            <w:tcW w:w="1040" w:type="pct"/>
            <w:shd w:val="clear" w:color="auto" w:fill="FFFFFF" w:themeFill="background1"/>
            <w:noWrap/>
            <w:vAlign w:val="center"/>
            <w:hideMark/>
          </w:tcPr>
          <w:p w14:paraId="39EAD959" w14:textId="2A02F092" w:rsidR="00230D74" w:rsidRPr="00C564CA" w:rsidRDefault="00230D74" w:rsidP="00F1523A">
            <w:pPr>
              <w:spacing w:after="0" w:line="240" w:lineRule="auto"/>
              <w:rPr>
                <w:rFonts w:cs="Arial"/>
                <w:b/>
                <w:bCs/>
              </w:rPr>
            </w:pPr>
            <w:r w:rsidRPr="00C564CA">
              <w:rPr>
                <w:rFonts w:cs="Arial"/>
                <w:b/>
                <w:bCs/>
              </w:rPr>
              <w:t>Increase of $5</w:t>
            </w:r>
          </w:p>
        </w:tc>
        <w:tc>
          <w:tcPr>
            <w:tcW w:w="556" w:type="pct"/>
            <w:shd w:val="clear" w:color="auto" w:fill="FFFFFF" w:themeFill="background1"/>
            <w:noWrap/>
            <w:vAlign w:val="center"/>
            <w:hideMark/>
          </w:tcPr>
          <w:p w14:paraId="01A0FDE8" w14:textId="73005A19" w:rsidR="00230D74" w:rsidRPr="00C52901" w:rsidRDefault="00230D74" w:rsidP="00F1523A">
            <w:pPr>
              <w:spacing w:after="0" w:line="240" w:lineRule="auto"/>
              <w:jc w:val="center"/>
              <w:rPr>
                <w:rFonts w:cs="Arial"/>
              </w:rPr>
            </w:pPr>
            <w:r w:rsidRPr="00C52901">
              <w:rPr>
                <w:rFonts w:cs="Arial"/>
              </w:rPr>
              <w:t>$1,730</w:t>
            </w:r>
          </w:p>
        </w:tc>
        <w:tc>
          <w:tcPr>
            <w:tcW w:w="555" w:type="pct"/>
            <w:shd w:val="clear" w:color="auto" w:fill="FFFFFF" w:themeFill="background1"/>
            <w:noWrap/>
            <w:vAlign w:val="center"/>
            <w:hideMark/>
          </w:tcPr>
          <w:p w14:paraId="18396734" w14:textId="6F8D7567" w:rsidR="00230D74" w:rsidRPr="00C52901" w:rsidRDefault="00230D74" w:rsidP="00F1523A">
            <w:pPr>
              <w:spacing w:after="0" w:line="240" w:lineRule="auto"/>
              <w:jc w:val="center"/>
              <w:rPr>
                <w:rFonts w:cs="Arial"/>
              </w:rPr>
            </w:pPr>
            <w:r w:rsidRPr="00C52901">
              <w:rPr>
                <w:rFonts w:cs="Arial"/>
              </w:rPr>
              <w:t>$7,224</w:t>
            </w:r>
          </w:p>
        </w:tc>
        <w:tc>
          <w:tcPr>
            <w:tcW w:w="541" w:type="pct"/>
            <w:shd w:val="clear" w:color="auto" w:fill="FFFFFF" w:themeFill="background1"/>
            <w:noWrap/>
            <w:vAlign w:val="center"/>
            <w:hideMark/>
          </w:tcPr>
          <w:p w14:paraId="6D38F906" w14:textId="20DDE83B" w:rsidR="00230D74" w:rsidRPr="00C52901" w:rsidRDefault="00230D74" w:rsidP="00F1523A">
            <w:pPr>
              <w:spacing w:after="0" w:line="240" w:lineRule="auto"/>
              <w:jc w:val="center"/>
              <w:rPr>
                <w:rFonts w:cs="Arial"/>
              </w:rPr>
            </w:pPr>
            <w:r w:rsidRPr="00C52901">
              <w:rPr>
                <w:rFonts w:cs="Arial"/>
              </w:rPr>
              <w:t>$7,605</w:t>
            </w:r>
          </w:p>
        </w:tc>
        <w:tc>
          <w:tcPr>
            <w:tcW w:w="501" w:type="pct"/>
            <w:shd w:val="clear" w:color="auto" w:fill="FFFFFF" w:themeFill="background1"/>
            <w:noWrap/>
            <w:vAlign w:val="center"/>
            <w:hideMark/>
          </w:tcPr>
          <w:p w14:paraId="3DB65D4B" w14:textId="7C22E3FD" w:rsidR="00230D74" w:rsidRPr="00C52901" w:rsidRDefault="00230D74" w:rsidP="00F1523A">
            <w:pPr>
              <w:spacing w:after="0" w:line="240" w:lineRule="auto"/>
              <w:jc w:val="center"/>
              <w:rPr>
                <w:rFonts w:cs="Arial"/>
              </w:rPr>
            </w:pPr>
            <w:r w:rsidRPr="00C52901">
              <w:rPr>
                <w:rFonts w:cs="Arial"/>
              </w:rPr>
              <w:t>$7,933</w:t>
            </w:r>
          </w:p>
        </w:tc>
        <w:tc>
          <w:tcPr>
            <w:tcW w:w="626" w:type="pct"/>
            <w:shd w:val="clear" w:color="auto" w:fill="FFFFFF" w:themeFill="background1"/>
            <w:noWrap/>
            <w:vAlign w:val="center"/>
            <w:hideMark/>
          </w:tcPr>
          <w:p w14:paraId="1825DD17" w14:textId="619168D4" w:rsidR="00230D74" w:rsidRPr="00C52901" w:rsidRDefault="00230D74" w:rsidP="00F1523A">
            <w:pPr>
              <w:spacing w:after="0" w:line="240" w:lineRule="auto"/>
              <w:jc w:val="center"/>
              <w:rPr>
                <w:rFonts w:cs="Arial"/>
              </w:rPr>
            </w:pPr>
            <w:r w:rsidRPr="00C52901">
              <w:rPr>
                <w:rFonts w:cs="Arial"/>
              </w:rPr>
              <w:t>$8,302</w:t>
            </w:r>
          </w:p>
        </w:tc>
        <w:tc>
          <w:tcPr>
            <w:tcW w:w="625" w:type="pct"/>
            <w:shd w:val="clear" w:color="auto" w:fill="FFFFFF" w:themeFill="background1"/>
            <w:noWrap/>
            <w:vAlign w:val="center"/>
            <w:hideMark/>
          </w:tcPr>
          <w:p w14:paraId="7F9F82D5" w14:textId="226F7A0A" w:rsidR="00230D74" w:rsidRPr="00C52901" w:rsidRDefault="00230D74" w:rsidP="00F1523A">
            <w:pPr>
              <w:spacing w:after="0" w:line="240" w:lineRule="auto"/>
              <w:jc w:val="center"/>
              <w:rPr>
                <w:rFonts w:cs="Arial"/>
              </w:rPr>
            </w:pPr>
            <w:r w:rsidRPr="00C52901">
              <w:rPr>
                <w:rFonts w:cs="Arial"/>
              </w:rPr>
              <w:t>$32,794</w:t>
            </w:r>
          </w:p>
        </w:tc>
        <w:tc>
          <w:tcPr>
            <w:tcW w:w="556" w:type="pct"/>
            <w:shd w:val="clear" w:color="auto" w:fill="FFFFFF" w:themeFill="background1"/>
            <w:vAlign w:val="center"/>
          </w:tcPr>
          <w:p w14:paraId="256B3086" w14:textId="77777777" w:rsidR="00230D74" w:rsidRPr="00C52901" w:rsidRDefault="00230D74" w:rsidP="00F1523A">
            <w:pPr>
              <w:spacing w:after="0" w:line="240" w:lineRule="auto"/>
              <w:jc w:val="center"/>
              <w:rPr>
                <w:rFonts w:cs="Arial"/>
              </w:rPr>
            </w:pPr>
            <w:r w:rsidRPr="00C52901">
              <w:rPr>
                <w:rFonts w:cs="Arial"/>
              </w:rPr>
              <w:t>$8,199</w:t>
            </w:r>
          </w:p>
        </w:tc>
      </w:tr>
      <w:tr w:rsidR="00F1523A" w:rsidRPr="00BF2D9E" w14:paraId="3CE47310" w14:textId="77777777" w:rsidTr="00F1523A">
        <w:trPr>
          <w:trHeight w:val="475"/>
        </w:trPr>
        <w:tc>
          <w:tcPr>
            <w:tcW w:w="1040" w:type="pct"/>
            <w:shd w:val="clear" w:color="auto" w:fill="FFFFFF" w:themeFill="background1"/>
            <w:noWrap/>
            <w:vAlign w:val="center"/>
            <w:hideMark/>
          </w:tcPr>
          <w:p w14:paraId="290A53C5" w14:textId="77777777" w:rsidR="00230D74" w:rsidRPr="00C564CA" w:rsidRDefault="00230D74" w:rsidP="00F1523A">
            <w:pPr>
              <w:spacing w:after="0" w:line="240" w:lineRule="auto"/>
              <w:rPr>
                <w:rFonts w:cs="Arial"/>
                <w:b/>
                <w:bCs/>
              </w:rPr>
            </w:pPr>
            <w:r w:rsidRPr="00C564CA">
              <w:rPr>
                <w:rFonts w:cs="Arial"/>
                <w:b/>
                <w:bCs/>
              </w:rPr>
              <w:t>Increase of $7.50</w:t>
            </w:r>
          </w:p>
        </w:tc>
        <w:tc>
          <w:tcPr>
            <w:tcW w:w="556" w:type="pct"/>
            <w:shd w:val="clear" w:color="auto" w:fill="FFFFFF" w:themeFill="background1"/>
            <w:noWrap/>
            <w:vAlign w:val="center"/>
            <w:hideMark/>
          </w:tcPr>
          <w:p w14:paraId="0C3C8702" w14:textId="29A99020" w:rsidR="00230D74" w:rsidRPr="00C52901" w:rsidRDefault="00230D74" w:rsidP="00F1523A">
            <w:pPr>
              <w:spacing w:after="0" w:line="240" w:lineRule="auto"/>
              <w:jc w:val="center"/>
              <w:rPr>
                <w:rFonts w:cs="Arial"/>
              </w:rPr>
            </w:pPr>
            <w:r w:rsidRPr="00C52901">
              <w:rPr>
                <w:rFonts w:cs="Arial"/>
              </w:rPr>
              <w:t>$2,595</w:t>
            </w:r>
          </w:p>
        </w:tc>
        <w:tc>
          <w:tcPr>
            <w:tcW w:w="555" w:type="pct"/>
            <w:shd w:val="clear" w:color="auto" w:fill="FFFFFF" w:themeFill="background1"/>
            <w:noWrap/>
            <w:vAlign w:val="center"/>
            <w:hideMark/>
          </w:tcPr>
          <w:p w14:paraId="0914146C" w14:textId="690AE1D5" w:rsidR="00230D74" w:rsidRPr="00C52901" w:rsidRDefault="00230D74" w:rsidP="00F1523A">
            <w:pPr>
              <w:spacing w:after="0" w:line="240" w:lineRule="auto"/>
              <w:jc w:val="center"/>
              <w:rPr>
                <w:rFonts w:cs="Arial"/>
              </w:rPr>
            </w:pPr>
            <w:r w:rsidRPr="00C52901">
              <w:rPr>
                <w:rFonts w:cs="Arial"/>
              </w:rPr>
              <w:t>$10,836</w:t>
            </w:r>
          </w:p>
        </w:tc>
        <w:tc>
          <w:tcPr>
            <w:tcW w:w="541" w:type="pct"/>
            <w:shd w:val="clear" w:color="auto" w:fill="FFFFFF" w:themeFill="background1"/>
            <w:noWrap/>
            <w:vAlign w:val="center"/>
            <w:hideMark/>
          </w:tcPr>
          <w:p w14:paraId="62602BA7" w14:textId="618689C9" w:rsidR="00230D74" w:rsidRPr="00C52901" w:rsidRDefault="00230D74" w:rsidP="00F1523A">
            <w:pPr>
              <w:spacing w:after="0" w:line="240" w:lineRule="auto"/>
              <w:jc w:val="center"/>
              <w:rPr>
                <w:rFonts w:cs="Arial"/>
              </w:rPr>
            </w:pPr>
            <w:r w:rsidRPr="00C52901">
              <w:rPr>
                <w:rFonts w:cs="Arial"/>
              </w:rPr>
              <w:t>$11,408</w:t>
            </w:r>
          </w:p>
        </w:tc>
        <w:tc>
          <w:tcPr>
            <w:tcW w:w="501" w:type="pct"/>
            <w:shd w:val="clear" w:color="auto" w:fill="FFFFFF" w:themeFill="background1"/>
            <w:noWrap/>
            <w:vAlign w:val="center"/>
            <w:hideMark/>
          </w:tcPr>
          <w:p w14:paraId="1E779D42" w14:textId="0160C2F5" w:rsidR="00230D74" w:rsidRPr="00C52901" w:rsidRDefault="00230D74" w:rsidP="00F1523A">
            <w:pPr>
              <w:spacing w:after="0" w:line="240" w:lineRule="auto"/>
              <w:jc w:val="center"/>
              <w:rPr>
                <w:rFonts w:cs="Arial"/>
              </w:rPr>
            </w:pPr>
            <w:r w:rsidRPr="00C52901">
              <w:rPr>
                <w:rFonts w:cs="Arial"/>
              </w:rPr>
              <w:t>$11,899</w:t>
            </w:r>
          </w:p>
        </w:tc>
        <w:tc>
          <w:tcPr>
            <w:tcW w:w="626" w:type="pct"/>
            <w:shd w:val="clear" w:color="auto" w:fill="FFFFFF" w:themeFill="background1"/>
            <w:noWrap/>
            <w:vAlign w:val="center"/>
            <w:hideMark/>
          </w:tcPr>
          <w:p w14:paraId="6DD89C8E" w14:textId="7823E9CC" w:rsidR="00230D74" w:rsidRPr="00C52901" w:rsidRDefault="00230D74" w:rsidP="00F1523A">
            <w:pPr>
              <w:spacing w:after="0" w:line="240" w:lineRule="auto"/>
              <w:jc w:val="center"/>
              <w:rPr>
                <w:rFonts w:cs="Arial"/>
              </w:rPr>
            </w:pPr>
            <w:r w:rsidRPr="00C52901">
              <w:rPr>
                <w:rFonts w:cs="Arial"/>
              </w:rPr>
              <w:t>$12,453</w:t>
            </w:r>
          </w:p>
        </w:tc>
        <w:tc>
          <w:tcPr>
            <w:tcW w:w="625" w:type="pct"/>
            <w:shd w:val="clear" w:color="auto" w:fill="FFFFFF" w:themeFill="background1"/>
            <w:noWrap/>
            <w:vAlign w:val="center"/>
            <w:hideMark/>
          </w:tcPr>
          <w:p w14:paraId="29FADA8A" w14:textId="14CD2B2D" w:rsidR="00230D74" w:rsidRPr="00C52901" w:rsidRDefault="00230D74" w:rsidP="00F1523A">
            <w:pPr>
              <w:spacing w:after="0" w:line="240" w:lineRule="auto"/>
              <w:jc w:val="center"/>
              <w:rPr>
                <w:rFonts w:cs="Arial"/>
              </w:rPr>
            </w:pPr>
            <w:r w:rsidRPr="00C52901">
              <w:rPr>
                <w:rFonts w:cs="Arial"/>
              </w:rPr>
              <w:t>$49,191</w:t>
            </w:r>
          </w:p>
        </w:tc>
        <w:tc>
          <w:tcPr>
            <w:tcW w:w="556" w:type="pct"/>
            <w:shd w:val="clear" w:color="auto" w:fill="FFFFFF" w:themeFill="background1"/>
            <w:vAlign w:val="center"/>
          </w:tcPr>
          <w:p w14:paraId="179EA9CA" w14:textId="77777777" w:rsidR="00230D74" w:rsidRPr="00C52901" w:rsidRDefault="00230D74" w:rsidP="00F1523A">
            <w:pPr>
              <w:spacing w:after="0" w:line="240" w:lineRule="auto"/>
              <w:jc w:val="center"/>
              <w:rPr>
                <w:rFonts w:cs="Arial"/>
              </w:rPr>
            </w:pPr>
            <w:r w:rsidRPr="00C52901">
              <w:rPr>
                <w:rFonts w:cs="Arial"/>
              </w:rPr>
              <w:t>$12,298</w:t>
            </w:r>
          </w:p>
        </w:tc>
      </w:tr>
    </w:tbl>
    <w:p w14:paraId="4FA64751" w14:textId="46C9F5E1" w:rsidR="000D34A7" w:rsidRDefault="00D976DF" w:rsidP="000D34A7">
      <w:r>
        <w:t xml:space="preserve"> </w:t>
      </w:r>
    </w:p>
    <w:p w14:paraId="6FF1FA42" w14:textId="5B11BFF9" w:rsidR="00D678ED" w:rsidRDefault="009A670E" w:rsidP="00AC3132">
      <w:pPr>
        <w:rPr>
          <w:rFonts w:ascii="Segoe UI" w:hAnsi="Segoe UI" w:cs="Segoe UI"/>
          <w:sz w:val="21"/>
          <w:szCs w:val="21"/>
          <w:lang w:eastAsia="en-NZ"/>
        </w:rPr>
      </w:pPr>
      <w:r>
        <w:t xml:space="preserve">The payments made to caregivers are not taxable. The payments made are outside the WFF regime and they do not directly affect the WFF review phase one options considered in this RIS.  </w:t>
      </w:r>
    </w:p>
    <w:p w14:paraId="72331829" w14:textId="77777777" w:rsidR="00F1523A" w:rsidRDefault="00F1523A" w:rsidP="001E7D01">
      <w:pPr>
        <w:pStyle w:val="Heading3"/>
        <w:rPr>
          <w:lang w:val="en-NZ"/>
        </w:rPr>
        <w:sectPr w:rsidR="00F1523A" w:rsidSect="00F1523A">
          <w:pgSz w:w="11906" w:h="16838" w:code="9"/>
          <w:pgMar w:top="1134" w:right="1418" w:bottom="992" w:left="1418" w:header="454" w:footer="454" w:gutter="0"/>
          <w:cols w:space="708"/>
          <w:docGrid w:linePitch="360"/>
        </w:sectPr>
      </w:pPr>
    </w:p>
    <w:p w14:paraId="4EC02C43" w14:textId="2F8E760D" w:rsidR="00D71CE0" w:rsidRPr="00A864A5" w:rsidRDefault="00DB51CD" w:rsidP="001E7D01">
      <w:pPr>
        <w:pStyle w:val="Heading3"/>
        <w:rPr>
          <w:lang w:val="en-NZ"/>
        </w:rPr>
      </w:pPr>
      <w:r>
        <w:rPr>
          <w:lang w:val="en-NZ"/>
        </w:rPr>
        <w:t>How do the options compare to the counterfactual?</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474"/>
        <w:gridCol w:w="827"/>
        <w:gridCol w:w="2826"/>
        <w:gridCol w:w="2782"/>
        <w:gridCol w:w="2817"/>
        <w:gridCol w:w="2976"/>
      </w:tblGrid>
      <w:tr w:rsidR="002E3EB6" w:rsidRPr="00A864A5" w14:paraId="64606FB2" w14:textId="40A048C0" w:rsidTr="00F1523A">
        <w:trPr>
          <w:trHeight w:val="388"/>
        </w:trPr>
        <w:tc>
          <w:tcPr>
            <w:tcW w:w="841" w:type="pct"/>
            <w:shd w:val="clear" w:color="auto" w:fill="F2F2F2" w:themeFill="background1" w:themeFillShade="F2"/>
            <w:vAlign w:val="center"/>
          </w:tcPr>
          <w:p w14:paraId="3D6EF1B6" w14:textId="72EE34FD" w:rsidR="002E3EB6" w:rsidRPr="00DB51CD" w:rsidRDefault="002E3EB6" w:rsidP="00CB5A9A">
            <w:pPr>
              <w:spacing w:before="60" w:after="60" w:line="276" w:lineRule="auto"/>
              <w:jc w:val="center"/>
              <w:rPr>
                <w:rFonts w:cs="Arial"/>
                <w:bCs/>
                <w:i/>
                <w:iCs/>
                <w:color w:val="FFFFFF"/>
                <w:sz w:val="20"/>
                <w:szCs w:val="24"/>
                <w:lang w:val="en-NZ"/>
              </w:rPr>
            </w:pPr>
          </w:p>
        </w:tc>
        <w:tc>
          <w:tcPr>
            <w:tcW w:w="281" w:type="pct"/>
            <w:shd w:val="clear" w:color="auto" w:fill="F2F2F2" w:themeFill="background1" w:themeFillShade="F2"/>
          </w:tcPr>
          <w:p w14:paraId="508FA0F0" w14:textId="77777777" w:rsidR="00B75208" w:rsidRDefault="00B75208" w:rsidP="00CB5A9A">
            <w:pPr>
              <w:spacing w:before="60" w:after="60" w:line="276" w:lineRule="auto"/>
              <w:jc w:val="center"/>
              <w:rPr>
                <w:rStyle w:val="CommentReference"/>
                <w:b/>
                <w:bCs/>
                <w:sz w:val="22"/>
                <w:szCs w:val="22"/>
              </w:rPr>
            </w:pPr>
          </w:p>
          <w:p w14:paraId="57ED577D" w14:textId="47422B9A" w:rsidR="00EE247D" w:rsidRDefault="00EE247D" w:rsidP="00CB5A9A">
            <w:pPr>
              <w:spacing w:before="60" w:after="60" w:line="276" w:lineRule="auto"/>
              <w:jc w:val="center"/>
              <w:rPr>
                <w:rStyle w:val="CommentReference"/>
                <w:b/>
                <w:bCs/>
                <w:sz w:val="22"/>
                <w:szCs w:val="22"/>
              </w:rPr>
            </w:pPr>
            <w:r w:rsidRPr="00C93A2F">
              <w:rPr>
                <w:rStyle w:val="CommentReference"/>
                <w:b/>
                <w:bCs/>
                <w:sz w:val="22"/>
                <w:szCs w:val="22"/>
              </w:rPr>
              <w:t>CF</w:t>
            </w:r>
          </w:p>
          <w:p w14:paraId="48C0F9C7" w14:textId="44E9C9BE" w:rsidR="00B75208" w:rsidRDefault="00B75208" w:rsidP="00CB5A9A">
            <w:pPr>
              <w:spacing w:before="60" w:after="60" w:line="276" w:lineRule="auto"/>
              <w:jc w:val="center"/>
              <w:rPr>
                <w:rStyle w:val="CommentReference"/>
                <w:b/>
                <w:bCs/>
                <w:sz w:val="22"/>
                <w:szCs w:val="22"/>
              </w:rPr>
            </w:pPr>
          </w:p>
        </w:tc>
        <w:tc>
          <w:tcPr>
            <w:tcW w:w="961" w:type="pct"/>
            <w:shd w:val="clear" w:color="auto" w:fill="F2F2F2" w:themeFill="background1" w:themeFillShade="F2"/>
            <w:vAlign w:val="center"/>
          </w:tcPr>
          <w:p w14:paraId="686EC047" w14:textId="77777777" w:rsidR="00EE247D" w:rsidRDefault="002E3EB6" w:rsidP="00CB5A9A">
            <w:pPr>
              <w:spacing w:before="60" w:after="60" w:line="276" w:lineRule="auto"/>
              <w:jc w:val="center"/>
              <w:rPr>
                <w:rFonts w:cs="Arial"/>
                <w:b/>
                <w:color w:val="000000" w:themeColor="text1"/>
                <w:lang w:val="en-NZ"/>
              </w:rPr>
            </w:pPr>
            <w:r w:rsidRPr="71CB5FC2">
              <w:rPr>
                <w:rFonts w:cs="Arial"/>
                <w:b/>
                <w:color w:val="000000" w:themeColor="text1"/>
                <w:lang w:val="en-NZ"/>
              </w:rPr>
              <w:t>A1</w:t>
            </w:r>
          </w:p>
          <w:p w14:paraId="62135168" w14:textId="670B399E" w:rsidR="002E3EB6" w:rsidRPr="00A864A5" w:rsidRDefault="00FF0F3D" w:rsidP="00CB5A9A">
            <w:pPr>
              <w:spacing w:before="60" w:after="60" w:line="276" w:lineRule="auto"/>
              <w:jc w:val="center"/>
              <w:rPr>
                <w:rFonts w:cs="Arial"/>
                <w:b/>
                <w:color w:val="000000"/>
                <w:lang w:val="en-NZ"/>
              </w:rPr>
            </w:pPr>
            <w:r>
              <w:rPr>
                <w:rFonts w:cs="Arial"/>
                <w:b/>
                <w:color w:val="000000"/>
                <w:lang w:val="en-NZ"/>
              </w:rPr>
              <w:t>($5 FTC, 25%)</w:t>
            </w:r>
          </w:p>
        </w:tc>
        <w:tc>
          <w:tcPr>
            <w:tcW w:w="946" w:type="pct"/>
            <w:shd w:val="clear" w:color="auto" w:fill="F2F2F2" w:themeFill="background1" w:themeFillShade="F2"/>
            <w:vAlign w:val="center"/>
          </w:tcPr>
          <w:p w14:paraId="1FF58C09" w14:textId="77777777" w:rsidR="00EE247D" w:rsidRDefault="002E3EB6" w:rsidP="00CB5A9A">
            <w:pPr>
              <w:spacing w:before="60" w:after="60" w:line="276" w:lineRule="auto"/>
              <w:jc w:val="center"/>
              <w:rPr>
                <w:rFonts w:cs="Arial"/>
                <w:b/>
                <w:color w:val="000000"/>
                <w:szCs w:val="22"/>
                <w:lang w:val="en-NZ"/>
              </w:rPr>
            </w:pPr>
            <w:r>
              <w:rPr>
                <w:rFonts w:cs="Arial"/>
                <w:b/>
                <w:color w:val="000000"/>
                <w:szCs w:val="22"/>
                <w:lang w:val="en-NZ"/>
              </w:rPr>
              <w:t>A2</w:t>
            </w:r>
          </w:p>
          <w:p w14:paraId="1A26DBF3" w14:textId="0F859E9A" w:rsidR="002E3EB6" w:rsidRPr="00A864A5" w:rsidRDefault="00FF0F3D" w:rsidP="00CB5A9A">
            <w:pPr>
              <w:spacing w:before="60" w:after="60" w:line="276" w:lineRule="auto"/>
              <w:jc w:val="center"/>
              <w:rPr>
                <w:rFonts w:cs="Arial"/>
                <w:b/>
                <w:color w:val="000000"/>
                <w:szCs w:val="22"/>
                <w:lang w:val="en-NZ"/>
              </w:rPr>
            </w:pPr>
            <w:r>
              <w:rPr>
                <w:rFonts w:cs="Arial"/>
                <w:b/>
                <w:color w:val="000000"/>
                <w:szCs w:val="22"/>
                <w:lang w:val="en-NZ"/>
              </w:rPr>
              <w:t>($5</w:t>
            </w:r>
            <w:r w:rsidR="00F81786">
              <w:rPr>
                <w:rFonts w:cs="Arial"/>
                <w:b/>
                <w:color w:val="000000"/>
                <w:szCs w:val="22"/>
                <w:lang w:val="en-NZ"/>
              </w:rPr>
              <w:t xml:space="preserve"> FTC</w:t>
            </w:r>
            <w:r>
              <w:rPr>
                <w:rFonts w:cs="Arial"/>
                <w:b/>
                <w:color w:val="000000"/>
                <w:szCs w:val="22"/>
                <w:lang w:val="en-NZ"/>
              </w:rPr>
              <w:t>, 26%)</w:t>
            </w:r>
          </w:p>
        </w:tc>
        <w:tc>
          <w:tcPr>
            <w:tcW w:w="958" w:type="pct"/>
            <w:shd w:val="clear" w:color="auto" w:fill="F2F2F2" w:themeFill="background1" w:themeFillShade="F2"/>
            <w:vAlign w:val="center"/>
          </w:tcPr>
          <w:p w14:paraId="53CB378F" w14:textId="77777777" w:rsidR="00EE247D" w:rsidRDefault="002E3EB6" w:rsidP="00CB5A9A">
            <w:pPr>
              <w:spacing w:before="60" w:after="60" w:line="276" w:lineRule="auto"/>
              <w:jc w:val="center"/>
              <w:rPr>
                <w:rFonts w:cs="Arial"/>
                <w:b/>
                <w:color w:val="000000"/>
                <w:szCs w:val="22"/>
                <w:lang w:val="en-NZ"/>
              </w:rPr>
            </w:pPr>
            <w:r>
              <w:rPr>
                <w:rFonts w:cs="Arial"/>
                <w:b/>
                <w:color w:val="000000"/>
                <w:szCs w:val="22"/>
                <w:lang w:val="en-NZ"/>
              </w:rPr>
              <w:t>A3</w:t>
            </w:r>
          </w:p>
          <w:p w14:paraId="672CD998" w14:textId="30407BA6" w:rsidR="002E3EB6" w:rsidRPr="00A864A5" w:rsidRDefault="00A477B3" w:rsidP="00CB5A9A">
            <w:pPr>
              <w:spacing w:before="60" w:after="60" w:line="276" w:lineRule="auto"/>
              <w:jc w:val="center"/>
              <w:rPr>
                <w:rFonts w:cs="Arial"/>
                <w:b/>
                <w:color w:val="000000"/>
                <w:szCs w:val="22"/>
                <w:lang w:val="en-NZ"/>
              </w:rPr>
            </w:pPr>
            <w:r>
              <w:rPr>
                <w:rFonts w:cs="Arial"/>
                <w:b/>
                <w:color w:val="000000"/>
                <w:szCs w:val="22"/>
                <w:lang w:val="en-NZ"/>
              </w:rPr>
              <w:t>($5</w:t>
            </w:r>
            <w:r w:rsidR="00F81786">
              <w:rPr>
                <w:rFonts w:cs="Arial"/>
                <w:b/>
                <w:color w:val="000000"/>
                <w:szCs w:val="22"/>
                <w:lang w:val="en-NZ"/>
              </w:rPr>
              <w:t xml:space="preserve"> FTC</w:t>
            </w:r>
            <w:r>
              <w:rPr>
                <w:rFonts w:cs="Arial"/>
                <w:b/>
                <w:color w:val="000000"/>
                <w:szCs w:val="22"/>
                <w:lang w:val="en-NZ"/>
              </w:rPr>
              <w:t>, 27%)</w:t>
            </w:r>
          </w:p>
        </w:tc>
        <w:tc>
          <w:tcPr>
            <w:tcW w:w="1012" w:type="pct"/>
            <w:shd w:val="clear" w:color="auto" w:fill="F2F2F2" w:themeFill="background1" w:themeFillShade="F2"/>
            <w:vAlign w:val="center"/>
          </w:tcPr>
          <w:p w14:paraId="100AC883" w14:textId="77777777" w:rsidR="00EE247D" w:rsidRDefault="002E3EB6" w:rsidP="00CB5A9A">
            <w:pPr>
              <w:spacing w:before="60" w:after="60" w:line="276" w:lineRule="auto"/>
              <w:jc w:val="center"/>
              <w:rPr>
                <w:rFonts w:cs="Arial"/>
                <w:b/>
                <w:color w:val="000000"/>
                <w:szCs w:val="22"/>
                <w:lang w:val="en-NZ"/>
              </w:rPr>
            </w:pPr>
            <w:r>
              <w:rPr>
                <w:rFonts w:cs="Arial"/>
                <w:b/>
                <w:color w:val="000000"/>
                <w:szCs w:val="22"/>
                <w:lang w:val="en-NZ"/>
              </w:rPr>
              <w:t>B</w:t>
            </w:r>
          </w:p>
          <w:p w14:paraId="550A3108" w14:textId="3042719C" w:rsidR="002E3EB6" w:rsidRPr="00A864A5" w:rsidRDefault="00A477B3" w:rsidP="00CB5A9A">
            <w:pPr>
              <w:spacing w:before="60" w:after="60" w:line="276" w:lineRule="auto"/>
              <w:jc w:val="center"/>
              <w:rPr>
                <w:rFonts w:cs="Arial"/>
                <w:b/>
                <w:color w:val="000000"/>
                <w:szCs w:val="22"/>
                <w:lang w:val="en-NZ"/>
              </w:rPr>
            </w:pPr>
            <w:r>
              <w:rPr>
                <w:rFonts w:cs="Arial"/>
                <w:b/>
                <w:color w:val="000000"/>
                <w:szCs w:val="22"/>
                <w:lang w:val="en-NZ"/>
              </w:rPr>
              <w:t>($7.50</w:t>
            </w:r>
            <w:r w:rsidR="00F81786">
              <w:rPr>
                <w:rFonts w:cs="Arial"/>
                <w:b/>
                <w:color w:val="000000"/>
                <w:szCs w:val="22"/>
                <w:lang w:val="en-NZ"/>
              </w:rPr>
              <w:t xml:space="preserve"> FTC</w:t>
            </w:r>
            <w:r>
              <w:rPr>
                <w:rFonts w:cs="Arial"/>
                <w:b/>
                <w:color w:val="000000"/>
                <w:szCs w:val="22"/>
                <w:lang w:val="en-NZ"/>
              </w:rPr>
              <w:t>, 28%)</w:t>
            </w:r>
          </w:p>
        </w:tc>
      </w:tr>
      <w:tr w:rsidR="002E3EB6" w:rsidRPr="00A864A5" w14:paraId="43A4983D" w14:textId="1DB787C9" w:rsidTr="00F1523A">
        <w:trPr>
          <w:trHeight w:val="605"/>
        </w:trPr>
        <w:tc>
          <w:tcPr>
            <w:tcW w:w="841" w:type="pct"/>
            <w:shd w:val="clear" w:color="auto" w:fill="F2F2F2" w:themeFill="background1" w:themeFillShade="F2"/>
            <w:vAlign w:val="center"/>
          </w:tcPr>
          <w:p w14:paraId="62A9F0E1" w14:textId="2411D2AA" w:rsidR="002E3EB6" w:rsidRPr="00A864A5" w:rsidRDefault="002E3EB6" w:rsidP="00CB5A9A">
            <w:pPr>
              <w:spacing w:before="60" w:after="60" w:line="240" w:lineRule="auto"/>
              <w:jc w:val="center"/>
              <w:rPr>
                <w:rFonts w:cs="Arial"/>
                <w:b/>
                <w:color w:val="000000"/>
                <w:szCs w:val="22"/>
                <w:lang w:val="en-NZ"/>
              </w:rPr>
            </w:pPr>
            <w:r>
              <w:rPr>
                <w:rFonts w:cs="Arial"/>
                <w:b/>
                <w:color w:val="000000"/>
                <w:szCs w:val="22"/>
                <w:lang w:val="en-NZ"/>
              </w:rPr>
              <w:t xml:space="preserve">Child </w:t>
            </w:r>
            <w:r w:rsidR="00110595">
              <w:rPr>
                <w:rFonts w:cs="Arial"/>
                <w:b/>
                <w:color w:val="000000"/>
                <w:szCs w:val="22"/>
                <w:lang w:val="en-NZ"/>
              </w:rPr>
              <w:t>p</w:t>
            </w:r>
            <w:r>
              <w:rPr>
                <w:rFonts w:cs="Arial"/>
                <w:b/>
                <w:color w:val="000000"/>
                <w:szCs w:val="22"/>
                <w:lang w:val="en-NZ"/>
              </w:rPr>
              <w:t xml:space="preserve">overty </w:t>
            </w:r>
            <w:r w:rsidR="00110595">
              <w:rPr>
                <w:rFonts w:cs="Arial"/>
                <w:b/>
                <w:color w:val="000000"/>
                <w:szCs w:val="22"/>
                <w:lang w:val="en-NZ"/>
              </w:rPr>
              <w:t>i</w:t>
            </w:r>
            <w:r>
              <w:rPr>
                <w:rFonts w:cs="Arial"/>
                <w:b/>
                <w:color w:val="000000"/>
                <w:szCs w:val="22"/>
                <w:lang w:val="en-NZ"/>
              </w:rPr>
              <w:t>mpact</w:t>
            </w:r>
          </w:p>
        </w:tc>
        <w:tc>
          <w:tcPr>
            <w:tcW w:w="281" w:type="pct"/>
            <w:vAlign w:val="center"/>
          </w:tcPr>
          <w:p w14:paraId="2F49E6BE" w14:textId="341D6888" w:rsidR="00FE6D5C" w:rsidRPr="00FE6D5C" w:rsidRDefault="00FE6D5C" w:rsidP="003E2722">
            <w:pPr>
              <w:pStyle w:val="TableText"/>
              <w:spacing w:line="276" w:lineRule="auto"/>
              <w:jc w:val="center"/>
              <w:rPr>
                <w:rFonts w:cs="Arial"/>
                <w:bCs/>
              </w:rPr>
            </w:pPr>
            <w:r w:rsidRPr="00FE6D5C">
              <w:rPr>
                <w:rFonts w:cs="Arial"/>
                <w:bCs/>
              </w:rPr>
              <w:t>0</w:t>
            </w:r>
          </w:p>
        </w:tc>
        <w:tc>
          <w:tcPr>
            <w:tcW w:w="961" w:type="pct"/>
            <w:shd w:val="clear" w:color="auto" w:fill="auto"/>
            <w:vAlign w:val="center"/>
          </w:tcPr>
          <w:p w14:paraId="57A1461F" w14:textId="77777777" w:rsidR="002E3EB6" w:rsidRPr="0000039E" w:rsidRDefault="00C32FC9" w:rsidP="00CB5A9A">
            <w:pPr>
              <w:pStyle w:val="TableText"/>
              <w:spacing w:line="276" w:lineRule="auto"/>
              <w:jc w:val="center"/>
              <w:rPr>
                <w:rFonts w:cs="Arial"/>
                <w:b/>
                <w:color w:val="00B050"/>
                <w:sz w:val="24"/>
                <w:szCs w:val="24"/>
              </w:rPr>
            </w:pPr>
            <w:r w:rsidRPr="0000039E">
              <w:rPr>
                <w:rFonts w:cs="Arial"/>
                <w:b/>
                <w:color w:val="00B050"/>
                <w:sz w:val="24"/>
                <w:szCs w:val="24"/>
              </w:rPr>
              <w:t>+</w:t>
            </w:r>
          </w:p>
          <w:p w14:paraId="64D49E0B" w14:textId="70295531" w:rsidR="00C32FC9" w:rsidRPr="00A864A5" w:rsidRDefault="00C44EB0" w:rsidP="00CB5A9A">
            <w:pPr>
              <w:pStyle w:val="TableText"/>
              <w:spacing w:line="276" w:lineRule="auto"/>
              <w:jc w:val="center"/>
              <w:rPr>
                <w:i/>
                <w:iCs/>
                <w:lang w:val="en-NZ"/>
              </w:rPr>
            </w:pPr>
            <w:r>
              <w:rPr>
                <w:i/>
                <w:iCs/>
                <w:lang w:val="en-NZ"/>
              </w:rPr>
              <w:t>Modelling suggests that this option will lift 9,000 children from AHC</w:t>
            </w:r>
            <w:r w:rsidR="003D1F39">
              <w:rPr>
                <w:i/>
                <w:iCs/>
                <w:lang w:val="en-NZ"/>
              </w:rPr>
              <w:t>50</w:t>
            </w:r>
            <w:r>
              <w:rPr>
                <w:i/>
                <w:iCs/>
                <w:lang w:val="en-NZ"/>
              </w:rPr>
              <w:t xml:space="preserve"> poverty</w:t>
            </w:r>
            <w:r w:rsidR="003D1F39">
              <w:rPr>
                <w:i/>
                <w:iCs/>
                <w:lang w:val="en-NZ"/>
              </w:rPr>
              <w:t xml:space="preserve"> or 5,000 from BHC50 poverty</w:t>
            </w:r>
            <w:r>
              <w:rPr>
                <w:i/>
                <w:iCs/>
                <w:lang w:val="en-NZ"/>
              </w:rPr>
              <w:t>.</w:t>
            </w:r>
          </w:p>
        </w:tc>
        <w:tc>
          <w:tcPr>
            <w:tcW w:w="946" w:type="pct"/>
            <w:shd w:val="clear" w:color="auto" w:fill="auto"/>
            <w:vAlign w:val="center"/>
          </w:tcPr>
          <w:p w14:paraId="2B491E66" w14:textId="77777777" w:rsidR="00C44EB0" w:rsidRPr="0000039E" w:rsidRDefault="00C44EB0" w:rsidP="00CB5A9A">
            <w:pPr>
              <w:pStyle w:val="TableText"/>
              <w:spacing w:line="276" w:lineRule="auto"/>
              <w:jc w:val="center"/>
              <w:rPr>
                <w:rFonts w:cs="Arial"/>
                <w:b/>
                <w:color w:val="00B050"/>
                <w:sz w:val="24"/>
                <w:szCs w:val="24"/>
              </w:rPr>
            </w:pPr>
            <w:r w:rsidRPr="0000039E">
              <w:rPr>
                <w:rFonts w:cs="Arial"/>
                <w:b/>
                <w:color w:val="00B050"/>
                <w:sz w:val="24"/>
                <w:szCs w:val="24"/>
              </w:rPr>
              <w:t>+</w:t>
            </w:r>
          </w:p>
          <w:p w14:paraId="4BC00262" w14:textId="4E619590" w:rsidR="002E3EB6" w:rsidRPr="00A864A5" w:rsidRDefault="00C44EB0" w:rsidP="00CB5A9A">
            <w:pPr>
              <w:pStyle w:val="TableText"/>
              <w:spacing w:line="276" w:lineRule="auto"/>
              <w:jc w:val="center"/>
              <w:rPr>
                <w:lang w:val="en-NZ"/>
              </w:rPr>
            </w:pPr>
            <w:r>
              <w:rPr>
                <w:i/>
                <w:iCs/>
                <w:lang w:val="en-NZ"/>
              </w:rPr>
              <w:t>Modelling suggests that this option will lift 9,000 children from AHC</w:t>
            </w:r>
            <w:r w:rsidR="003D1F39">
              <w:rPr>
                <w:i/>
                <w:iCs/>
                <w:lang w:val="en-NZ"/>
              </w:rPr>
              <w:t>50</w:t>
            </w:r>
            <w:r>
              <w:rPr>
                <w:i/>
                <w:iCs/>
                <w:lang w:val="en-NZ"/>
              </w:rPr>
              <w:t xml:space="preserve"> poverty</w:t>
            </w:r>
            <w:r w:rsidR="003D1F39">
              <w:rPr>
                <w:i/>
                <w:iCs/>
                <w:lang w:val="en-NZ"/>
              </w:rPr>
              <w:t xml:space="preserve"> or</w:t>
            </w:r>
            <w:r w:rsidR="00044287">
              <w:rPr>
                <w:i/>
                <w:iCs/>
                <w:lang w:val="en-NZ"/>
              </w:rPr>
              <w:t xml:space="preserve"> 5,000 children from BHC50 poverty</w:t>
            </w:r>
            <w:r>
              <w:rPr>
                <w:i/>
                <w:iCs/>
                <w:lang w:val="en-NZ"/>
              </w:rPr>
              <w:t>.</w:t>
            </w:r>
          </w:p>
        </w:tc>
        <w:tc>
          <w:tcPr>
            <w:tcW w:w="958" w:type="pct"/>
            <w:vAlign w:val="center"/>
          </w:tcPr>
          <w:p w14:paraId="3B8C93F7" w14:textId="77777777" w:rsidR="004004B3" w:rsidRPr="0000039E" w:rsidRDefault="004004B3" w:rsidP="00CB5A9A">
            <w:pPr>
              <w:pStyle w:val="TableText"/>
              <w:spacing w:line="276" w:lineRule="auto"/>
              <w:jc w:val="center"/>
              <w:rPr>
                <w:rFonts w:cs="Arial"/>
                <w:b/>
                <w:color w:val="00B050"/>
                <w:sz w:val="24"/>
                <w:szCs w:val="24"/>
              </w:rPr>
            </w:pPr>
            <w:r w:rsidRPr="0000039E">
              <w:rPr>
                <w:rFonts w:cs="Arial"/>
                <w:b/>
                <w:color w:val="00B050"/>
                <w:sz w:val="24"/>
                <w:szCs w:val="24"/>
              </w:rPr>
              <w:t>+</w:t>
            </w:r>
          </w:p>
          <w:p w14:paraId="6A550791" w14:textId="67922980" w:rsidR="002E3EB6" w:rsidRPr="00A864A5" w:rsidRDefault="004004B3" w:rsidP="00CB5A9A">
            <w:pPr>
              <w:pStyle w:val="TableText"/>
              <w:spacing w:line="276" w:lineRule="auto"/>
              <w:jc w:val="center"/>
              <w:rPr>
                <w:lang w:val="en-NZ"/>
              </w:rPr>
            </w:pPr>
            <w:r>
              <w:rPr>
                <w:i/>
                <w:iCs/>
                <w:lang w:val="en-NZ"/>
              </w:rPr>
              <w:t xml:space="preserve">Modelling suggests that this option will lift </w:t>
            </w:r>
            <w:r w:rsidR="009D104F">
              <w:rPr>
                <w:i/>
                <w:iCs/>
                <w:lang w:val="en-NZ"/>
              </w:rPr>
              <w:t>8</w:t>
            </w:r>
            <w:r>
              <w:rPr>
                <w:i/>
                <w:iCs/>
                <w:lang w:val="en-NZ"/>
              </w:rPr>
              <w:t>,000 children from AHC</w:t>
            </w:r>
            <w:r w:rsidR="00044287">
              <w:rPr>
                <w:i/>
                <w:iCs/>
                <w:lang w:val="en-NZ"/>
              </w:rPr>
              <w:t>50</w:t>
            </w:r>
            <w:r>
              <w:rPr>
                <w:i/>
                <w:iCs/>
                <w:lang w:val="en-NZ"/>
              </w:rPr>
              <w:t xml:space="preserve"> poverty</w:t>
            </w:r>
            <w:r w:rsidR="00044287">
              <w:rPr>
                <w:i/>
                <w:iCs/>
                <w:lang w:val="en-NZ"/>
              </w:rPr>
              <w:t xml:space="preserve"> or 5,000 children from BHC50 poverty</w:t>
            </w:r>
            <w:r>
              <w:rPr>
                <w:i/>
                <w:iCs/>
                <w:lang w:val="en-NZ"/>
              </w:rPr>
              <w:t>.</w:t>
            </w:r>
          </w:p>
        </w:tc>
        <w:tc>
          <w:tcPr>
            <w:tcW w:w="1012" w:type="pct"/>
            <w:vAlign w:val="center"/>
          </w:tcPr>
          <w:p w14:paraId="0D289316" w14:textId="77777777" w:rsidR="009D104F" w:rsidRPr="0000039E" w:rsidRDefault="009D104F" w:rsidP="00CB5A9A">
            <w:pPr>
              <w:pStyle w:val="TableText"/>
              <w:spacing w:line="276" w:lineRule="auto"/>
              <w:jc w:val="center"/>
              <w:rPr>
                <w:rFonts w:cs="Arial"/>
                <w:b/>
                <w:color w:val="00B050"/>
                <w:sz w:val="24"/>
                <w:szCs w:val="24"/>
              </w:rPr>
            </w:pPr>
            <w:r w:rsidRPr="0000039E">
              <w:rPr>
                <w:rFonts w:cs="Arial"/>
                <w:b/>
                <w:color w:val="00B050"/>
                <w:sz w:val="24"/>
                <w:szCs w:val="24"/>
              </w:rPr>
              <w:t>+</w:t>
            </w:r>
          </w:p>
          <w:p w14:paraId="4EF72132" w14:textId="2EFC3AC7" w:rsidR="002E3EB6" w:rsidRPr="00A864A5" w:rsidRDefault="009D104F" w:rsidP="00CB5A9A">
            <w:pPr>
              <w:pStyle w:val="TableText"/>
              <w:spacing w:line="276" w:lineRule="auto"/>
              <w:jc w:val="center"/>
              <w:rPr>
                <w:lang w:val="en-NZ"/>
              </w:rPr>
            </w:pPr>
            <w:r>
              <w:rPr>
                <w:i/>
                <w:iCs/>
                <w:lang w:val="en-NZ"/>
              </w:rPr>
              <w:t>Modelling suggests that this option will lift 10,000 children from AHC</w:t>
            </w:r>
            <w:r w:rsidR="00044287">
              <w:rPr>
                <w:i/>
                <w:iCs/>
                <w:lang w:val="en-NZ"/>
              </w:rPr>
              <w:t>50</w:t>
            </w:r>
            <w:r>
              <w:rPr>
                <w:i/>
                <w:iCs/>
                <w:lang w:val="en-NZ"/>
              </w:rPr>
              <w:t xml:space="preserve"> poverty</w:t>
            </w:r>
            <w:r w:rsidR="00044287">
              <w:rPr>
                <w:i/>
                <w:iCs/>
                <w:lang w:val="en-NZ"/>
              </w:rPr>
              <w:t xml:space="preserve"> or 7,000 children from BHC50 poverty</w:t>
            </w:r>
            <w:r>
              <w:rPr>
                <w:i/>
                <w:iCs/>
                <w:lang w:val="en-NZ"/>
              </w:rPr>
              <w:t>.</w:t>
            </w:r>
            <w:r w:rsidR="0094782D">
              <w:rPr>
                <w:i/>
                <w:iCs/>
                <w:lang w:val="en-NZ"/>
              </w:rPr>
              <w:t xml:space="preserve"> </w:t>
            </w:r>
            <w:r w:rsidR="00CB5A9A" w:rsidRPr="0027421D">
              <w:rPr>
                <w:b/>
                <w:bCs/>
                <w:i/>
                <w:iCs/>
                <w:lang w:val="en-NZ"/>
              </w:rPr>
              <w:t>Of the options,</w:t>
            </w:r>
            <w:r w:rsidR="00CB5A9A">
              <w:rPr>
                <w:i/>
                <w:iCs/>
                <w:lang w:val="en-NZ"/>
              </w:rPr>
              <w:t xml:space="preserve"> </w:t>
            </w:r>
            <w:r w:rsidR="003E17DF" w:rsidRPr="003E17DF">
              <w:rPr>
                <w:b/>
                <w:bCs/>
                <w:i/>
                <w:iCs/>
                <w:lang w:val="en-NZ"/>
              </w:rPr>
              <w:t>this</w:t>
            </w:r>
            <w:r w:rsidR="0094782D" w:rsidRPr="0027421D">
              <w:rPr>
                <w:b/>
                <w:bCs/>
                <w:i/>
                <w:iCs/>
                <w:lang w:val="en-NZ"/>
              </w:rPr>
              <w:t xml:space="preserve"> has the greatest impact on child poverty.</w:t>
            </w:r>
          </w:p>
        </w:tc>
      </w:tr>
      <w:tr w:rsidR="002E3EB6" w:rsidRPr="00A864A5" w14:paraId="0F4EE0FC" w14:textId="09E48BEF" w:rsidTr="00F1523A">
        <w:trPr>
          <w:trHeight w:val="371"/>
        </w:trPr>
        <w:tc>
          <w:tcPr>
            <w:tcW w:w="841" w:type="pct"/>
            <w:shd w:val="clear" w:color="auto" w:fill="F2F2F2" w:themeFill="background1" w:themeFillShade="F2"/>
            <w:vAlign w:val="center"/>
          </w:tcPr>
          <w:p w14:paraId="1C714609" w14:textId="1D67BAC3" w:rsidR="002E3EB6" w:rsidRPr="00A864A5" w:rsidRDefault="002E3EB6" w:rsidP="00CB5A9A">
            <w:pPr>
              <w:spacing w:before="60" w:after="60" w:line="240" w:lineRule="auto"/>
              <w:jc w:val="center"/>
              <w:rPr>
                <w:rFonts w:cs="Arial"/>
                <w:b/>
                <w:color w:val="000000"/>
                <w:szCs w:val="22"/>
                <w:lang w:val="en-NZ"/>
              </w:rPr>
            </w:pPr>
            <w:r>
              <w:rPr>
                <w:rFonts w:cs="Arial"/>
                <w:b/>
                <w:color w:val="000000"/>
                <w:szCs w:val="22"/>
                <w:lang w:val="en-NZ"/>
              </w:rPr>
              <w:t xml:space="preserve">Fiscal </w:t>
            </w:r>
            <w:r w:rsidR="00110595">
              <w:rPr>
                <w:rFonts w:cs="Arial"/>
                <w:b/>
                <w:color w:val="000000"/>
                <w:szCs w:val="22"/>
                <w:lang w:val="en-NZ"/>
              </w:rPr>
              <w:t>c</w:t>
            </w:r>
            <w:r>
              <w:rPr>
                <w:rFonts w:cs="Arial"/>
                <w:b/>
                <w:color w:val="000000"/>
                <w:szCs w:val="22"/>
                <w:lang w:val="en-NZ"/>
              </w:rPr>
              <w:t>ost</w:t>
            </w:r>
          </w:p>
        </w:tc>
        <w:tc>
          <w:tcPr>
            <w:tcW w:w="281" w:type="pct"/>
            <w:vAlign w:val="center"/>
          </w:tcPr>
          <w:p w14:paraId="51AAA01E" w14:textId="673FEF9D" w:rsidR="00FE6D5C" w:rsidRPr="00FE6D5C" w:rsidRDefault="00FE6D5C" w:rsidP="003E2722">
            <w:pPr>
              <w:pStyle w:val="TableText"/>
              <w:spacing w:line="276" w:lineRule="auto"/>
              <w:jc w:val="center"/>
              <w:rPr>
                <w:rFonts w:cs="Arial"/>
                <w:bCs/>
              </w:rPr>
            </w:pPr>
            <w:r w:rsidRPr="00FE6D5C">
              <w:rPr>
                <w:rFonts w:cs="Arial"/>
                <w:bCs/>
              </w:rPr>
              <w:t>0</w:t>
            </w:r>
          </w:p>
        </w:tc>
        <w:tc>
          <w:tcPr>
            <w:tcW w:w="961" w:type="pct"/>
            <w:shd w:val="clear" w:color="auto" w:fill="auto"/>
            <w:vAlign w:val="center"/>
          </w:tcPr>
          <w:p w14:paraId="2E69BA5C" w14:textId="77777777" w:rsidR="002E3EB6" w:rsidRPr="0000039E" w:rsidRDefault="00583FD4" w:rsidP="00CB5A9A">
            <w:pPr>
              <w:pStyle w:val="TableText"/>
              <w:spacing w:line="276" w:lineRule="auto"/>
              <w:jc w:val="center"/>
              <w:rPr>
                <w:rFonts w:cs="Arial"/>
                <w:b/>
                <w:color w:val="FF0000"/>
                <w:sz w:val="24"/>
                <w:szCs w:val="24"/>
              </w:rPr>
            </w:pPr>
            <w:r w:rsidRPr="0000039E">
              <w:rPr>
                <w:rFonts w:cs="Arial"/>
                <w:b/>
                <w:color w:val="FF0000"/>
                <w:sz w:val="24"/>
                <w:szCs w:val="24"/>
              </w:rPr>
              <w:t>-</w:t>
            </w:r>
          </w:p>
          <w:p w14:paraId="3872777A" w14:textId="52FE9264" w:rsidR="00DE6E6C" w:rsidRPr="00DE6E6C" w:rsidRDefault="00DE6E6C" w:rsidP="00CB5A9A">
            <w:pPr>
              <w:pStyle w:val="TableText"/>
              <w:spacing w:line="276" w:lineRule="auto"/>
              <w:jc w:val="center"/>
              <w:rPr>
                <w:bCs/>
                <w:i/>
                <w:iCs/>
                <w:lang w:val="en-NZ"/>
              </w:rPr>
            </w:pPr>
            <w:r w:rsidRPr="00DE6E6C">
              <w:rPr>
                <w:rFonts w:cs="Arial"/>
                <w:bCs/>
                <w:i/>
                <w:iCs/>
              </w:rPr>
              <w:t>This option has an estimated fiscal cost of $158m</w:t>
            </w:r>
            <w:r w:rsidR="000D3488">
              <w:rPr>
                <w:rFonts w:cs="Arial"/>
                <w:bCs/>
                <w:i/>
                <w:iCs/>
              </w:rPr>
              <w:t xml:space="preserve"> for </w:t>
            </w:r>
            <w:r w:rsidR="00550D9F">
              <w:rPr>
                <w:rFonts w:cs="Arial"/>
                <w:bCs/>
                <w:i/>
                <w:iCs/>
              </w:rPr>
              <w:t>T</w:t>
            </w:r>
            <w:r w:rsidR="000D3488">
              <w:rPr>
                <w:rFonts w:cs="Arial"/>
                <w:bCs/>
                <w:i/>
                <w:iCs/>
              </w:rPr>
              <w:t>22</w:t>
            </w:r>
            <w:r w:rsidR="00550D9F">
              <w:rPr>
                <w:rFonts w:cs="Arial"/>
                <w:bCs/>
                <w:i/>
                <w:iCs/>
              </w:rPr>
              <w:t>/23</w:t>
            </w:r>
            <w:r>
              <w:rPr>
                <w:rFonts w:cs="Arial"/>
                <w:bCs/>
                <w:i/>
                <w:iCs/>
              </w:rPr>
              <w:t>.</w:t>
            </w:r>
            <w:r w:rsidR="0094782D">
              <w:rPr>
                <w:rFonts w:cs="Arial"/>
                <w:bCs/>
                <w:i/>
                <w:iCs/>
              </w:rPr>
              <w:t xml:space="preserve"> It is the most expensive option</w:t>
            </w:r>
            <w:r w:rsidR="006B5431">
              <w:rPr>
                <w:rFonts w:cs="Arial"/>
                <w:bCs/>
                <w:i/>
                <w:iCs/>
              </w:rPr>
              <w:t xml:space="preserve"> and</w:t>
            </w:r>
            <w:r w:rsidR="00001D4F">
              <w:rPr>
                <w:rFonts w:cs="Arial"/>
                <w:bCs/>
                <w:i/>
                <w:iCs/>
              </w:rPr>
              <w:t xml:space="preserve"> outside of Minister’s preferred fiscal envelope</w:t>
            </w:r>
            <w:r w:rsidR="0094782D">
              <w:rPr>
                <w:rFonts w:cs="Arial"/>
                <w:bCs/>
                <w:i/>
                <w:iCs/>
              </w:rPr>
              <w:t>.</w:t>
            </w:r>
          </w:p>
        </w:tc>
        <w:tc>
          <w:tcPr>
            <w:tcW w:w="946" w:type="pct"/>
            <w:shd w:val="clear" w:color="auto" w:fill="auto"/>
            <w:vAlign w:val="center"/>
          </w:tcPr>
          <w:p w14:paraId="434F0A13" w14:textId="77777777" w:rsidR="00CB5A9A" w:rsidRPr="0000039E" w:rsidRDefault="00CB5A9A" w:rsidP="00CB5A9A">
            <w:pPr>
              <w:pStyle w:val="TableText"/>
              <w:spacing w:line="276" w:lineRule="auto"/>
              <w:jc w:val="center"/>
              <w:rPr>
                <w:rFonts w:cs="Arial"/>
                <w:b/>
                <w:color w:val="FF0000"/>
                <w:sz w:val="24"/>
                <w:szCs w:val="24"/>
              </w:rPr>
            </w:pPr>
            <w:r w:rsidRPr="0000039E">
              <w:rPr>
                <w:rFonts w:cs="Arial"/>
                <w:b/>
                <w:color w:val="FF0000"/>
                <w:sz w:val="24"/>
                <w:szCs w:val="24"/>
              </w:rPr>
              <w:t>-</w:t>
            </w:r>
          </w:p>
          <w:p w14:paraId="1A5E54FF" w14:textId="0B42E57E" w:rsidR="002E3EB6" w:rsidRPr="00A864A5" w:rsidRDefault="00CB5A9A" w:rsidP="00CB5A9A">
            <w:pPr>
              <w:pStyle w:val="TableText"/>
              <w:spacing w:line="276" w:lineRule="auto"/>
              <w:jc w:val="center"/>
              <w:rPr>
                <w:lang w:val="en-NZ"/>
              </w:rPr>
            </w:pPr>
            <w:r w:rsidRPr="00DE6E6C">
              <w:rPr>
                <w:rFonts w:cs="Arial"/>
                <w:bCs/>
                <w:i/>
                <w:iCs/>
              </w:rPr>
              <w:t>This option has an estimated fiscal cost of $1</w:t>
            </w:r>
            <w:r>
              <w:rPr>
                <w:rFonts w:cs="Arial"/>
                <w:bCs/>
                <w:i/>
                <w:iCs/>
              </w:rPr>
              <w:t>11</w:t>
            </w:r>
            <w:r w:rsidRPr="00DE6E6C">
              <w:rPr>
                <w:rFonts w:cs="Arial"/>
                <w:bCs/>
                <w:i/>
                <w:iCs/>
              </w:rPr>
              <w:t>m</w:t>
            </w:r>
            <w:r>
              <w:rPr>
                <w:rFonts w:cs="Arial"/>
                <w:bCs/>
                <w:i/>
                <w:iCs/>
              </w:rPr>
              <w:t xml:space="preserve"> for </w:t>
            </w:r>
            <w:r w:rsidR="00550D9F">
              <w:rPr>
                <w:rFonts w:cs="Arial"/>
                <w:bCs/>
                <w:i/>
                <w:iCs/>
              </w:rPr>
              <w:t>T</w:t>
            </w:r>
            <w:r>
              <w:rPr>
                <w:rFonts w:cs="Arial"/>
                <w:bCs/>
                <w:i/>
                <w:iCs/>
              </w:rPr>
              <w:t>22</w:t>
            </w:r>
            <w:r w:rsidR="00550D9F">
              <w:rPr>
                <w:rFonts w:cs="Arial"/>
                <w:bCs/>
                <w:i/>
                <w:iCs/>
              </w:rPr>
              <w:t>/23</w:t>
            </w:r>
            <w:r>
              <w:rPr>
                <w:rFonts w:cs="Arial"/>
                <w:bCs/>
                <w:i/>
                <w:iCs/>
              </w:rPr>
              <w:t>.</w:t>
            </w:r>
          </w:p>
        </w:tc>
        <w:tc>
          <w:tcPr>
            <w:tcW w:w="958" w:type="pct"/>
            <w:vAlign w:val="center"/>
          </w:tcPr>
          <w:p w14:paraId="094D1DFD" w14:textId="77777777" w:rsidR="00CB5A9A" w:rsidRPr="0000039E" w:rsidRDefault="00CB5A9A" w:rsidP="00CB5A9A">
            <w:pPr>
              <w:pStyle w:val="TableText"/>
              <w:spacing w:line="276" w:lineRule="auto"/>
              <w:jc w:val="center"/>
              <w:rPr>
                <w:rFonts w:cs="Arial"/>
                <w:b/>
                <w:color w:val="FF0000"/>
                <w:sz w:val="24"/>
                <w:szCs w:val="24"/>
              </w:rPr>
            </w:pPr>
            <w:r w:rsidRPr="0000039E">
              <w:rPr>
                <w:rFonts w:cs="Arial"/>
                <w:b/>
                <w:color w:val="FF0000"/>
                <w:sz w:val="24"/>
                <w:szCs w:val="24"/>
              </w:rPr>
              <w:t>-</w:t>
            </w:r>
          </w:p>
          <w:p w14:paraId="6213677B" w14:textId="206ABA1D" w:rsidR="002E3EB6" w:rsidRPr="00A864A5" w:rsidRDefault="00CB5A9A" w:rsidP="00CB5A9A">
            <w:pPr>
              <w:pStyle w:val="TableText"/>
              <w:spacing w:line="276" w:lineRule="auto"/>
              <w:jc w:val="center"/>
              <w:rPr>
                <w:lang w:val="en-NZ"/>
              </w:rPr>
            </w:pPr>
            <w:r w:rsidRPr="00DE6E6C">
              <w:rPr>
                <w:rFonts w:cs="Arial"/>
                <w:bCs/>
                <w:i/>
                <w:iCs/>
              </w:rPr>
              <w:t>This option has an estimated fiscal cost of $</w:t>
            </w:r>
            <w:r>
              <w:rPr>
                <w:rFonts w:cs="Arial"/>
                <w:bCs/>
                <w:i/>
                <w:iCs/>
              </w:rPr>
              <w:t>68</w:t>
            </w:r>
            <w:r w:rsidRPr="00DE6E6C">
              <w:rPr>
                <w:rFonts w:cs="Arial"/>
                <w:bCs/>
                <w:i/>
                <w:iCs/>
              </w:rPr>
              <w:t>m</w:t>
            </w:r>
            <w:r>
              <w:rPr>
                <w:rFonts w:cs="Arial"/>
                <w:bCs/>
                <w:i/>
                <w:iCs/>
              </w:rPr>
              <w:t xml:space="preserve"> for </w:t>
            </w:r>
            <w:r w:rsidR="00550D9F">
              <w:rPr>
                <w:rFonts w:cs="Arial"/>
                <w:bCs/>
                <w:i/>
                <w:iCs/>
              </w:rPr>
              <w:t>T</w:t>
            </w:r>
            <w:r>
              <w:rPr>
                <w:rFonts w:cs="Arial"/>
                <w:bCs/>
                <w:i/>
                <w:iCs/>
              </w:rPr>
              <w:t>22</w:t>
            </w:r>
            <w:r w:rsidR="00550D9F">
              <w:rPr>
                <w:rFonts w:cs="Arial"/>
                <w:bCs/>
                <w:i/>
                <w:iCs/>
              </w:rPr>
              <w:t>/23</w:t>
            </w:r>
            <w:r>
              <w:rPr>
                <w:rFonts w:cs="Arial"/>
                <w:bCs/>
                <w:i/>
                <w:iCs/>
              </w:rPr>
              <w:t xml:space="preserve">. </w:t>
            </w:r>
            <w:r w:rsidR="006C44C5" w:rsidRPr="006C44C5">
              <w:rPr>
                <w:rFonts w:cs="Arial"/>
                <w:b/>
                <w:i/>
                <w:iCs/>
              </w:rPr>
              <w:t>This</w:t>
            </w:r>
            <w:r w:rsidRPr="0027421D">
              <w:rPr>
                <w:rFonts w:cs="Arial"/>
                <w:b/>
                <w:i/>
                <w:iCs/>
              </w:rPr>
              <w:t xml:space="preserve"> is the least expensive option</w:t>
            </w:r>
            <w:r w:rsidR="005B687E" w:rsidRPr="0027421D">
              <w:rPr>
                <w:rFonts w:cs="Arial"/>
                <w:b/>
                <w:i/>
                <w:iCs/>
              </w:rPr>
              <w:t>.</w:t>
            </w:r>
          </w:p>
        </w:tc>
        <w:tc>
          <w:tcPr>
            <w:tcW w:w="1012" w:type="pct"/>
            <w:vAlign w:val="center"/>
          </w:tcPr>
          <w:p w14:paraId="3B0D5CF2" w14:textId="77777777" w:rsidR="005B687E" w:rsidRPr="0000039E" w:rsidRDefault="005B687E" w:rsidP="005B687E">
            <w:pPr>
              <w:pStyle w:val="TableText"/>
              <w:spacing w:line="276" w:lineRule="auto"/>
              <w:jc w:val="center"/>
              <w:rPr>
                <w:rFonts w:cs="Arial"/>
                <w:b/>
                <w:color w:val="FF0000"/>
                <w:sz w:val="24"/>
                <w:szCs w:val="24"/>
              </w:rPr>
            </w:pPr>
            <w:r w:rsidRPr="0000039E">
              <w:rPr>
                <w:rFonts w:cs="Arial"/>
                <w:b/>
                <w:color w:val="FF0000"/>
                <w:sz w:val="24"/>
                <w:szCs w:val="24"/>
              </w:rPr>
              <w:t>-</w:t>
            </w:r>
          </w:p>
          <w:p w14:paraId="461C5B12" w14:textId="3972ABE0" w:rsidR="002E3EB6" w:rsidRPr="00A864A5" w:rsidRDefault="005B687E" w:rsidP="005B687E">
            <w:pPr>
              <w:pStyle w:val="TableText"/>
              <w:spacing w:line="276" w:lineRule="auto"/>
              <w:jc w:val="center"/>
              <w:rPr>
                <w:lang w:val="en-NZ"/>
              </w:rPr>
            </w:pPr>
            <w:r w:rsidRPr="00DE6E6C">
              <w:rPr>
                <w:rFonts w:cs="Arial"/>
                <w:bCs/>
                <w:i/>
                <w:iCs/>
              </w:rPr>
              <w:t>This option has an estimated fiscal cost of $1</w:t>
            </w:r>
            <w:r w:rsidR="00E51D28">
              <w:rPr>
                <w:rFonts w:cs="Arial"/>
                <w:bCs/>
                <w:i/>
                <w:iCs/>
              </w:rPr>
              <w:t>03</w:t>
            </w:r>
            <w:r w:rsidRPr="00DE6E6C">
              <w:rPr>
                <w:rFonts w:cs="Arial"/>
                <w:bCs/>
                <w:i/>
                <w:iCs/>
              </w:rPr>
              <w:t>m</w:t>
            </w:r>
            <w:r>
              <w:rPr>
                <w:rFonts w:cs="Arial"/>
                <w:bCs/>
                <w:i/>
                <w:iCs/>
              </w:rPr>
              <w:t xml:space="preserve"> for </w:t>
            </w:r>
            <w:r w:rsidR="00550D9F">
              <w:rPr>
                <w:rFonts w:cs="Arial"/>
                <w:bCs/>
                <w:i/>
                <w:iCs/>
              </w:rPr>
              <w:t>T</w:t>
            </w:r>
            <w:r>
              <w:rPr>
                <w:rFonts w:cs="Arial"/>
                <w:bCs/>
                <w:i/>
                <w:iCs/>
              </w:rPr>
              <w:t>22</w:t>
            </w:r>
            <w:r w:rsidR="00550D9F">
              <w:rPr>
                <w:rFonts w:cs="Arial"/>
                <w:bCs/>
                <w:i/>
                <w:iCs/>
              </w:rPr>
              <w:t>/23</w:t>
            </w:r>
            <w:r>
              <w:rPr>
                <w:rFonts w:cs="Arial"/>
                <w:bCs/>
                <w:i/>
                <w:iCs/>
              </w:rPr>
              <w:t>.</w:t>
            </w:r>
          </w:p>
        </w:tc>
      </w:tr>
      <w:tr w:rsidR="002E3EB6" w:rsidRPr="00A864A5" w14:paraId="1F59A3C2" w14:textId="1F4726B9" w:rsidTr="00F1523A">
        <w:trPr>
          <w:trHeight w:val="371"/>
        </w:trPr>
        <w:tc>
          <w:tcPr>
            <w:tcW w:w="841" w:type="pct"/>
            <w:shd w:val="clear" w:color="auto" w:fill="F2F2F2" w:themeFill="background1" w:themeFillShade="F2"/>
            <w:vAlign w:val="center"/>
          </w:tcPr>
          <w:p w14:paraId="516F19E0" w14:textId="26A5527E" w:rsidR="002E3EB6" w:rsidRPr="00A864A5" w:rsidRDefault="0094215A" w:rsidP="00CB5A9A">
            <w:pPr>
              <w:spacing w:before="60" w:after="60" w:line="240" w:lineRule="auto"/>
              <w:jc w:val="center"/>
              <w:rPr>
                <w:rFonts w:cs="Arial"/>
                <w:b/>
                <w:color w:val="000000"/>
                <w:szCs w:val="22"/>
                <w:lang w:val="en-NZ"/>
              </w:rPr>
            </w:pPr>
            <w:r>
              <w:rPr>
                <w:rFonts w:cs="Arial"/>
                <w:b/>
                <w:color w:val="000000"/>
                <w:szCs w:val="22"/>
                <w:lang w:val="en-NZ"/>
              </w:rPr>
              <w:t xml:space="preserve">Work </w:t>
            </w:r>
            <w:r w:rsidR="00110595">
              <w:rPr>
                <w:rFonts w:cs="Arial"/>
                <w:b/>
                <w:color w:val="000000"/>
                <w:szCs w:val="22"/>
                <w:lang w:val="en-NZ"/>
              </w:rPr>
              <w:t>i</w:t>
            </w:r>
            <w:r>
              <w:rPr>
                <w:rFonts w:cs="Arial"/>
                <w:b/>
                <w:color w:val="000000"/>
                <w:szCs w:val="22"/>
                <w:lang w:val="en-NZ"/>
              </w:rPr>
              <w:t xml:space="preserve">ncentive </w:t>
            </w:r>
            <w:r w:rsidR="00110595">
              <w:rPr>
                <w:rFonts w:cs="Arial"/>
                <w:b/>
                <w:color w:val="000000"/>
                <w:szCs w:val="22"/>
                <w:lang w:val="en-NZ"/>
              </w:rPr>
              <w:t>i</w:t>
            </w:r>
            <w:r>
              <w:rPr>
                <w:rFonts w:cs="Arial"/>
                <w:b/>
                <w:color w:val="000000"/>
                <w:szCs w:val="22"/>
                <w:lang w:val="en-NZ"/>
              </w:rPr>
              <w:t>mpact</w:t>
            </w:r>
          </w:p>
        </w:tc>
        <w:tc>
          <w:tcPr>
            <w:tcW w:w="281" w:type="pct"/>
            <w:vAlign w:val="center"/>
          </w:tcPr>
          <w:p w14:paraId="406C56D5" w14:textId="1AD83B72" w:rsidR="00FE6D5C" w:rsidRPr="00FE6D5C" w:rsidRDefault="00FE6D5C" w:rsidP="003E2722">
            <w:pPr>
              <w:pStyle w:val="TableText"/>
              <w:spacing w:line="276" w:lineRule="auto"/>
              <w:jc w:val="center"/>
              <w:rPr>
                <w:rFonts w:cs="Arial"/>
                <w:bCs/>
              </w:rPr>
            </w:pPr>
            <w:r w:rsidRPr="00FE6D5C">
              <w:rPr>
                <w:rFonts w:cs="Arial"/>
                <w:bCs/>
              </w:rPr>
              <w:t>0</w:t>
            </w:r>
          </w:p>
        </w:tc>
        <w:tc>
          <w:tcPr>
            <w:tcW w:w="961" w:type="pct"/>
            <w:shd w:val="clear" w:color="auto" w:fill="auto"/>
            <w:vAlign w:val="center"/>
          </w:tcPr>
          <w:p w14:paraId="3F5F8C64" w14:textId="77777777" w:rsidR="002E3EB6" w:rsidRDefault="001C67D9" w:rsidP="00CB5A9A">
            <w:pPr>
              <w:pStyle w:val="TableText"/>
              <w:spacing w:line="276" w:lineRule="auto"/>
              <w:jc w:val="center"/>
              <w:rPr>
                <w:rFonts w:cs="Arial"/>
                <w:bCs/>
              </w:rPr>
            </w:pPr>
            <w:r w:rsidRPr="00A864A5">
              <w:rPr>
                <w:rFonts w:cs="Arial"/>
                <w:bCs/>
              </w:rPr>
              <w:t>0</w:t>
            </w:r>
          </w:p>
          <w:p w14:paraId="0F3BAD2E" w14:textId="77777777" w:rsidR="009F6B04" w:rsidRPr="00F372FE" w:rsidRDefault="005A5934" w:rsidP="003E2722">
            <w:pPr>
              <w:pStyle w:val="TableText"/>
              <w:spacing w:line="276" w:lineRule="auto"/>
              <w:jc w:val="center"/>
              <w:rPr>
                <w:b/>
                <w:bCs/>
                <w:i/>
                <w:iCs/>
                <w:lang w:val="en-NZ"/>
              </w:rPr>
            </w:pPr>
            <w:r w:rsidRPr="00F372FE">
              <w:rPr>
                <w:b/>
                <w:bCs/>
                <w:i/>
                <w:iCs/>
                <w:lang w:val="en-NZ"/>
              </w:rPr>
              <w:t>No</w:t>
            </w:r>
            <w:r w:rsidR="009F6B04" w:rsidRPr="00F372FE">
              <w:rPr>
                <w:b/>
                <w:bCs/>
                <w:i/>
                <w:iCs/>
                <w:lang w:val="en-NZ"/>
              </w:rPr>
              <w:t xml:space="preserve"> impact</w:t>
            </w:r>
            <w:r w:rsidR="00EE247D" w:rsidRPr="00F372FE">
              <w:rPr>
                <w:b/>
                <w:bCs/>
                <w:i/>
                <w:iCs/>
                <w:lang w:val="en-NZ"/>
              </w:rPr>
              <w:t xml:space="preserve"> </w:t>
            </w:r>
          </w:p>
          <w:p w14:paraId="7C60E5B1" w14:textId="0AF355E7" w:rsidR="001C67D9" w:rsidRPr="00B84D4D" w:rsidRDefault="001C67D9" w:rsidP="00CB5A9A">
            <w:pPr>
              <w:pStyle w:val="TableText"/>
              <w:spacing w:line="276" w:lineRule="auto"/>
              <w:jc w:val="center"/>
              <w:rPr>
                <w:b/>
                <w:i/>
                <w:lang w:val="en-NZ"/>
              </w:rPr>
            </w:pPr>
          </w:p>
        </w:tc>
        <w:tc>
          <w:tcPr>
            <w:tcW w:w="946" w:type="pct"/>
            <w:shd w:val="clear" w:color="auto" w:fill="auto"/>
            <w:vAlign w:val="center"/>
          </w:tcPr>
          <w:p w14:paraId="2B3BB4B4" w14:textId="77777777" w:rsidR="00B84D4D" w:rsidRPr="0000039E" w:rsidRDefault="00B84D4D" w:rsidP="00B84D4D">
            <w:pPr>
              <w:pStyle w:val="TableText"/>
              <w:spacing w:line="276" w:lineRule="auto"/>
              <w:jc w:val="center"/>
              <w:rPr>
                <w:rFonts w:cs="Arial"/>
                <w:b/>
                <w:color w:val="FF0000"/>
                <w:sz w:val="24"/>
                <w:szCs w:val="24"/>
              </w:rPr>
            </w:pPr>
            <w:r w:rsidRPr="0000039E">
              <w:rPr>
                <w:rFonts w:cs="Arial"/>
                <w:b/>
                <w:color w:val="FF0000"/>
                <w:sz w:val="24"/>
                <w:szCs w:val="24"/>
              </w:rPr>
              <w:t>-</w:t>
            </w:r>
          </w:p>
          <w:p w14:paraId="6547FFA8" w14:textId="7F3872D5" w:rsidR="009F6B04" w:rsidRDefault="00C27E66" w:rsidP="00B84D4D">
            <w:pPr>
              <w:pStyle w:val="TableText"/>
              <w:spacing w:line="276" w:lineRule="auto"/>
              <w:jc w:val="center"/>
              <w:rPr>
                <w:rFonts w:cs="Arial"/>
                <w:bCs/>
                <w:i/>
                <w:iCs/>
              </w:rPr>
            </w:pPr>
            <w:r>
              <w:rPr>
                <w:rFonts w:cs="Arial"/>
                <w:bCs/>
                <w:i/>
                <w:iCs/>
              </w:rPr>
              <w:t>Minor (maximum of 1% increase</w:t>
            </w:r>
            <w:r w:rsidR="00F82F51">
              <w:rPr>
                <w:rFonts w:cs="Arial"/>
                <w:bCs/>
                <w:i/>
                <w:iCs/>
              </w:rPr>
              <w:t xml:space="preserve"> in EMTRs over an income threshold)</w:t>
            </w:r>
            <w:r w:rsidR="009F6B04">
              <w:rPr>
                <w:rFonts w:cs="Arial"/>
                <w:bCs/>
                <w:i/>
                <w:iCs/>
              </w:rPr>
              <w:t xml:space="preserve"> </w:t>
            </w:r>
          </w:p>
          <w:p w14:paraId="2C58ACA4" w14:textId="68BD5696" w:rsidR="002E3EB6" w:rsidRPr="00A864A5" w:rsidRDefault="4EC8B427" w:rsidP="00B84D4D">
            <w:pPr>
              <w:pStyle w:val="TableText"/>
              <w:spacing w:line="276" w:lineRule="auto"/>
              <w:jc w:val="center"/>
              <w:rPr>
                <w:lang w:val="en-NZ"/>
              </w:rPr>
            </w:pPr>
            <w:r w:rsidRPr="236AC2D8">
              <w:rPr>
                <w:rFonts w:cs="Arial"/>
                <w:i/>
                <w:iCs/>
              </w:rPr>
              <w:t>.</w:t>
            </w:r>
          </w:p>
        </w:tc>
        <w:tc>
          <w:tcPr>
            <w:tcW w:w="958" w:type="pct"/>
            <w:vAlign w:val="center"/>
          </w:tcPr>
          <w:p w14:paraId="6E2C74C7" w14:textId="77777777" w:rsidR="00C619B2" w:rsidRPr="0000039E" w:rsidRDefault="00C619B2" w:rsidP="00C619B2">
            <w:pPr>
              <w:pStyle w:val="TableText"/>
              <w:spacing w:line="276" w:lineRule="auto"/>
              <w:jc w:val="center"/>
              <w:rPr>
                <w:rFonts w:cs="Arial"/>
                <w:b/>
                <w:color w:val="FF0000"/>
                <w:sz w:val="24"/>
                <w:szCs w:val="24"/>
              </w:rPr>
            </w:pPr>
            <w:r w:rsidRPr="0000039E">
              <w:rPr>
                <w:rFonts w:cs="Arial"/>
                <w:b/>
                <w:color w:val="FF0000"/>
                <w:sz w:val="24"/>
                <w:szCs w:val="24"/>
              </w:rPr>
              <w:t>-</w:t>
            </w:r>
          </w:p>
          <w:p w14:paraId="22C855FD" w14:textId="437B9F52" w:rsidR="006600A2" w:rsidRDefault="00F82F51" w:rsidP="00C619B2">
            <w:pPr>
              <w:pStyle w:val="TableText"/>
              <w:spacing w:line="276" w:lineRule="auto"/>
              <w:jc w:val="center"/>
              <w:rPr>
                <w:rFonts w:cs="Arial"/>
                <w:bCs/>
                <w:i/>
                <w:iCs/>
              </w:rPr>
            </w:pPr>
            <w:r>
              <w:rPr>
                <w:rFonts w:cs="Arial"/>
                <w:bCs/>
                <w:i/>
                <w:iCs/>
              </w:rPr>
              <w:t>Minor (maximum of 2% increase in EMTRs over an income threshold)</w:t>
            </w:r>
          </w:p>
          <w:p w14:paraId="31CABA06" w14:textId="3AC1C89F" w:rsidR="002E3EB6" w:rsidRPr="00A864A5" w:rsidRDefault="18B241BE" w:rsidP="00C619B2">
            <w:pPr>
              <w:pStyle w:val="TableText"/>
              <w:spacing w:line="276" w:lineRule="auto"/>
              <w:jc w:val="center"/>
              <w:rPr>
                <w:lang w:val="en-NZ"/>
              </w:rPr>
            </w:pPr>
            <w:r w:rsidRPr="236AC2D8">
              <w:rPr>
                <w:rFonts w:cs="Arial"/>
                <w:i/>
                <w:iCs/>
              </w:rPr>
              <w:t>.</w:t>
            </w:r>
          </w:p>
        </w:tc>
        <w:tc>
          <w:tcPr>
            <w:tcW w:w="1012" w:type="pct"/>
            <w:vAlign w:val="center"/>
          </w:tcPr>
          <w:p w14:paraId="328FD890" w14:textId="5A3AE1B2" w:rsidR="00BF752D" w:rsidRPr="0000039E" w:rsidRDefault="00BF752D" w:rsidP="00BF752D">
            <w:pPr>
              <w:pStyle w:val="TableText"/>
              <w:spacing w:line="276" w:lineRule="auto"/>
              <w:jc w:val="center"/>
              <w:rPr>
                <w:rFonts w:cs="Arial"/>
                <w:b/>
                <w:color w:val="FF0000"/>
                <w:sz w:val="24"/>
                <w:szCs w:val="24"/>
              </w:rPr>
            </w:pPr>
            <w:r w:rsidRPr="0000039E">
              <w:rPr>
                <w:rFonts w:cs="Arial"/>
                <w:b/>
                <w:color w:val="FF0000"/>
                <w:sz w:val="24"/>
                <w:szCs w:val="24"/>
              </w:rPr>
              <w:t>-</w:t>
            </w:r>
            <w:r w:rsidR="008526B3" w:rsidRPr="0000039E">
              <w:rPr>
                <w:rFonts w:cs="Arial"/>
                <w:b/>
                <w:bCs/>
                <w:color w:val="FF0000"/>
                <w:sz w:val="24"/>
                <w:szCs w:val="24"/>
              </w:rPr>
              <w:t>-</w:t>
            </w:r>
          </w:p>
          <w:p w14:paraId="0881A903" w14:textId="0FFF9F42" w:rsidR="009F6B04" w:rsidRDefault="00F82F51" w:rsidP="00BF752D">
            <w:pPr>
              <w:pStyle w:val="TableText"/>
              <w:spacing w:line="276" w:lineRule="auto"/>
              <w:jc w:val="center"/>
              <w:rPr>
                <w:rFonts w:cs="Arial"/>
                <w:bCs/>
                <w:i/>
                <w:iCs/>
              </w:rPr>
            </w:pPr>
            <w:r>
              <w:rPr>
                <w:rFonts w:cs="Arial"/>
                <w:bCs/>
                <w:i/>
                <w:iCs/>
              </w:rPr>
              <w:t>Minor (maximum of 3% increase in EMTRs over an income threshold)</w:t>
            </w:r>
          </w:p>
          <w:p w14:paraId="76E9F2BF" w14:textId="58565617" w:rsidR="002E3EB6" w:rsidRPr="00A864A5" w:rsidRDefault="32050C04" w:rsidP="00BF752D">
            <w:pPr>
              <w:pStyle w:val="TableText"/>
              <w:spacing w:line="276" w:lineRule="auto"/>
              <w:jc w:val="center"/>
              <w:rPr>
                <w:lang w:val="en-NZ"/>
              </w:rPr>
            </w:pPr>
            <w:r w:rsidRPr="236AC2D8">
              <w:rPr>
                <w:rFonts w:cs="Arial"/>
                <w:i/>
                <w:iCs/>
              </w:rPr>
              <w:t>.</w:t>
            </w:r>
          </w:p>
        </w:tc>
      </w:tr>
      <w:tr w:rsidR="000A7372" w:rsidRPr="00A864A5" w14:paraId="3E39BA52" w14:textId="77777777" w:rsidTr="00F1523A">
        <w:trPr>
          <w:trHeight w:val="371"/>
        </w:trPr>
        <w:tc>
          <w:tcPr>
            <w:tcW w:w="841" w:type="pct"/>
            <w:shd w:val="clear" w:color="auto" w:fill="F2F2F2" w:themeFill="background1" w:themeFillShade="F2"/>
            <w:vAlign w:val="center"/>
          </w:tcPr>
          <w:p w14:paraId="2053010F" w14:textId="40FC7134" w:rsidR="000A7372" w:rsidRDefault="000A7372" w:rsidP="00CB5A9A">
            <w:pPr>
              <w:spacing w:before="60" w:after="60" w:line="240" w:lineRule="auto"/>
              <w:jc w:val="center"/>
              <w:rPr>
                <w:rFonts w:cs="Arial"/>
                <w:b/>
                <w:color w:val="000000"/>
                <w:szCs w:val="22"/>
                <w:lang w:val="en-NZ"/>
              </w:rPr>
            </w:pPr>
            <w:r>
              <w:rPr>
                <w:rFonts w:cs="Arial"/>
                <w:b/>
                <w:color w:val="000000"/>
                <w:szCs w:val="22"/>
                <w:lang w:val="en-NZ"/>
              </w:rPr>
              <w:t>Phase two impact</w:t>
            </w:r>
          </w:p>
        </w:tc>
        <w:tc>
          <w:tcPr>
            <w:tcW w:w="281" w:type="pct"/>
            <w:vAlign w:val="center"/>
          </w:tcPr>
          <w:p w14:paraId="307E1FEB" w14:textId="746D3CFB" w:rsidR="00FE6D5C" w:rsidRPr="00FE6D5C" w:rsidRDefault="00FE6D5C" w:rsidP="003E2722">
            <w:pPr>
              <w:pStyle w:val="TableText"/>
              <w:spacing w:line="276" w:lineRule="auto"/>
              <w:jc w:val="center"/>
              <w:rPr>
                <w:rFonts w:cs="Arial"/>
                <w:bCs/>
              </w:rPr>
            </w:pPr>
            <w:r w:rsidRPr="00FE6D5C">
              <w:rPr>
                <w:rFonts w:cs="Arial"/>
                <w:bCs/>
              </w:rPr>
              <w:t>0</w:t>
            </w:r>
          </w:p>
        </w:tc>
        <w:tc>
          <w:tcPr>
            <w:tcW w:w="961" w:type="pct"/>
            <w:shd w:val="clear" w:color="auto" w:fill="auto"/>
            <w:vAlign w:val="center"/>
          </w:tcPr>
          <w:p w14:paraId="2B7D1377" w14:textId="159A8FDB" w:rsidR="000A7372" w:rsidRPr="0000039E" w:rsidRDefault="003634EC" w:rsidP="003634EC">
            <w:pPr>
              <w:pStyle w:val="TableText"/>
              <w:spacing w:line="276" w:lineRule="auto"/>
              <w:jc w:val="center"/>
              <w:rPr>
                <w:rFonts w:cs="Arial"/>
                <w:b/>
                <w:color w:val="FF0000"/>
                <w:sz w:val="24"/>
                <w:szCs w:val="24"/>
              </w:rPr>
            </w:pPr>
            <w:r w:rsidRPr="0000039E">
              <w:rPr>
                <w:rFonts w:cs="Arial"/>
                <w:b/>
                <w:color w:val="FF0000"/>
                <w:sz w:val="24"/>
                <w:szCs w:val="24"/>
              </w:rPr>
              <w:t>-</w:t>
            </w:r>
          </w:p>
          <w:p w14:paraId="2B5C6103" w14:textId="1A467340" w:rsidR="000A7372" w:rsidRPr="00764A1D" w:rsidRDefault="000A7372" w:rsidP="000A7372">
            <w:pPr>
              <w:pStyle w:val="TableText"/>
              <w:spacing w:line="276" w:lineRule="auto"/>
              <w:jc w:val="center"/>
              <w:rPr>
                <w:rFonts w:cs="Arial"/>
              </w:rPr>
            </w:pPr>
            <w:r w:rsidRPr="00764A1D">
              <w:rPr>
                <w:i/>
                <w:lang w:val="en-NZ"/>
              </w:rPr>
              <w:t>This</w:t>
            </w:r>
            <w:r w:rsidR="00E71CEB" w:rsidRPr="00764A1D">
              <w:rPr>
                <w:i/>
                <w:lang w:val="en-NZ"/>
              </w:rPr>
              <w:t xml:space="preserve"> </w:t>
            </w:r>
            <w:r w:rsidRPr="00764A1D">
              <w:rPr>
                <w:i/>
                <w:lang w:val="en-NZ"/>
              </w:rPr>
              <w:t xml:space="preserve">option </w:t>
            </w:r>
            <w:r w:rsidR="738DE4B7" w:rsidRPr="00764A1D">
              <w:rPr>
                <w:i/>
                <w:lang w:val="en-NZ"/>
              </w:rPr>
              <w:t>may limit the range of options available under phase t</w:t>
            </w:r>
            <w:r w:rsidR="59924F69" w:rsidRPr="00764A1D">
              <w:rPr>
                <w:i/>
                <w:lang w:val="en-NZ"/>
              </w:rPr>
              <w:t xml:space="preserve">wo </w:t>
            </w:r>
            <w:r w:rsidR="00330AFA">
              <w:rPr>
                <w:i/>
                <w:lang w:val="en-NZ"/>
              </w:rPr>
              <w:t xml:space="preserve">to a minimal degree </w:t>
            </w:r>
            <w:r w:rsidR="59924F69" w:rsidRPr="00764A1D">
              <w:rPr>
                <w:i/>
                <w:lang w:val="en-NZ"/>
              </w:rPr>
              <w:t>due to its fiscal cost</w:t>
            </w:r>
            <w:r w:rsidR="00F864B2">
              <w:rPr>
                <w:bCs/>
                <w:i/>
                <w:iCs/>
                <w:lang w:val="en-NZ"/>
              </w:rPr>
              <w:t xml:space="preserve"> (not design solution)</w:t>
            </w:r>
            <w:r w:rsidR="00EE247D" w:rsidRPr="00764A1D">
              <w:rPr>
                <w:bCs/>
                <w:i/>
                <w:lang w:val="en-NZ"/>
              </w:rPr>
              <w:t>.</w:t>
            </w:r>
          </w:p>
        </w:tc>
        <w:tc>
          <w:tcPr>
            <w:tcW w:w="946" w:type="pct"/>
            <w:shd w:val="clear" w:color="auto" w:fill="auto"/>
            <w:vAlign w:val="center"/>
          </w:tcPr>
          <w:p w14:paraId="7D9FE5BC" w14:textId="77777777" w:rsidR="00772B17" w:rsidRPr="0000039E" w:rsidRDefault="00772B17" w:rsidP="00772B17">
            <w:pPr>
              <w:pStyle w:val="TableText"/>
              <w:spacing w:line="276" w:lineRule="auto"/>
              <w:jc w:val="center"/>
              <w:rPr>
                <w:rFonts w:cs="Arial"/>
                <w:b/>
                <w:color w:val="FF0000"/>
                <w:sz w:val="24"/>
                <w:szCs w:val="24"/>
              </w:rPr>
            </w:pPr>
            <w:r w:rsidRPr="0000039E">
              <w:rPr>
                <w:rFonts w:cs="Arial"/>
                <w:b/>
                <w:color w:val="FF0000"/>
                <w:sz w:val="24"/>
                <w:szCs w:val="24"/>
              </w:rPr>
              <w:t>-</w:t>
            </w:r>
          </w:p>
          <w:p w14:paraId="12026B49" w14:textId="5C8D6398" w:rsidR="000A7372" w:rsidRPr="00A864A5" w:rsidRDefault="00772B17" w:rsidP="00772B17">
            <w:pPr>
              <w:pStyle w:val="TableText"/>
              <w:spacing w:line="276" w:lineRule="auto"/>
              <w:jc w:val="center"/>
              <w:rPr>
                <w:rFonts w:cs="Arial"/>
                <w:b/>
                <w:color w:val="FF0000"/>
              </w:rPr>
            </w:pPr>
            <w:r w:rsidRPr="00DE6E6C">
              <w:rPr>
                <w:rFonts w:cs="Arial"/>
                <w:bCs/>
                <w:i/>
                <w:iCs/>
              </w:rPr>
              <w:t>This option</w:t>
            </w:r>
            <w:r>
              <w:rPr>
                <w:rFonts w:cs="Arial"/>
                <w:bCs/>
                <w:i/>
                <w:iCs/>
              </w:rPr>
              <w:t xml:space="preserve"> </w:t>
            </w:r>
            <w:r w:rsidR="1F1BF495" w:rsidRPr="20EE1853">
              <w:rPr>
                <w:rFonts w:cs="Arial"/>
                <w:i/>
                <w:iCs/>
              </w:rPr>
              <w:t>may limit</w:t>
            </w:r>
            <w:r w:rsidR="17942F4F" w:rsidRPr="20EE1853">
              <w:rPr>
                <w:rFonts w:cs="Arial"/>
                <w:i/>
                <w:iCs/>
              </w:rPr>
              <w:t xml:space="preserve"> </w:t>
            </w:r>
            <w:r w:rsidR="046234E6" w:rsidRPr="20EE1853">
              <w:rPr>
                <w:rFonts w:cs="Arial"/>
                <w:i/>
                <w:iCs/>
              </w:rPr>
              <w:t>the range of</w:t>
            </w:r>
            <w:r>
              <w:rPr>
                <w:rFonts w:cs="Arial"/>
                <w:bCs/>
                <w:i/>
                <w:iCs/>
              </w:rPr>
              <w:t xml:space="preserve"> options </w:t>
            </w:r>
            <w:r w:rsidR="7B185CA0" w:rsidRPr="20EE1853">
              <w:rPr>
                <w:rFonts w:cs="Arial"/>
                <w:i/>
                <w:iCs/>
              </w:rPr>
              <w:t xml:space="preserve">available </w:t>
            </w:r>
            <w:r w:rsidR="7D479513" w:rsidRPr="20EE1853">
              <w:rPr>
                <w:rFonts w:cs="Arial"/>
                <w:i/>
                <w:iCs/>
              </w:rPr>
              <w:t xml:space="preserve">under </w:t>
            </w:r>
            <w:r>
              <w:rPr>
                <w:rFonts w:cs="Arial"/>
                <w:bCs/>
                <w:i/>
                <w:iCs/>
              </w:rPr>
              <w:t xml:space="preserve">phase two </w:t>
            </w:r>
            <w:r w:rsidR="00330AFA">
              <w:rPr>
                <w:rFonts w:cs="Arial"/>
                <w:bCs/>
                <w:i/>
                <w:iCs/>
              </w:rPr>
              <w:t xml:space="preserve">to a minimal degree </w:t>
            </w:r>
            <w:r w:rsidR="33873C10" w:rsidRPr="20EE1853">
              <w:rPr>
                <w:rFonts w:cs="Arial"/>
                <w:i/>
                <w:iCs/>
              </w:rPr>
              <w:t>due</w:t>
            </w:r>
            <w:r w:rsidR="00B06482">
              <w:rPr>
                <w:rFonts w:cs="Arial"/>
                <w:bCs/>
                <w:i/>
                <w:iCs/>
              </w:rPr>
              <w:t xml:space="preserve"> to </w:t>
            </w:r>
            <w:r w:rsidR="41E00A4B" w:rsidRPr="20EE1853">
              <w:rPr>
                <w:rFonts w:cs="Arial"/>
                <w:i/>
                <w:iCs/>
              </w:rPr>
              <w:t xml:space="preserve">fiscal cost and </w:t>
            </w:r>
            <w:r w:rsidR="3CDAB9A4" w:rsidRPr="20EE1853">
              <w:rPr>
                <w:rFonts w:cs="Arial"/>
                <w:i/>
                <w:iCs/>
              </w:rPr>
              <w:t xml:space="preserve">increase of </w:t>
            </w:r>
            <w:r w:rsidR="00B06482">
              <w:rPr>
                <w:rFonts w:cs="Arial"/>
                <w:bCs/>
                <w:i/>
                <w:iCs/>
              </w:rPr>
              <w:t>the</w:t>
            </w:r>
            <w:r w:rsidR="2E5CC0A4" w:rsidRPr="20EE1853">
              <w:rPr>
                <w:rFonts w:cs="Arial"/>
                <w:i/>
                <w:iCs/>
              </w:rPr>
              <w:t xml:space="preserve"> </w:t>
            </w:r>
            <w:r w:rsidR="00B06482">
              <w:rPr>
                <w:rFonts w:cs="Arial"/>
                <w:bCs/>
                <w:i/>
                <w:iCs/>
              </w:rPr>
              <w:t>abatement rate.</w:t>
            </w:r>
          </w:p>
        </w:tc>
        <w:tc>
          <w:tcPr>
            <w:tcW w:w="958" w:type="pct"/>
            <w:vAlign w:val="center"/>
          </w:tcPr>
          <w:p w14:paraId="5EB9BA86" w14:textId="77777777" w:rsidR="00B06482" w:rsidRPr="0000039E" w:rsidRDefault="00B06482" w:rsidP="00B06482">
            <w:pPr>
              <w:pStyle w:val="TableText"/>
              <w:spacing w:line="276" w:lineRule="auto"/>
              <w:jc w:val="center"/>
              <w:rPr>
                <w:rFonts w:cs="Arial"/>
                <w:b/>
                <w:color w:val="FF0000"/>
                <w:sz w:val="24"/>
                <w:szCs w:val="24"/>
              </w:rPr>
            </w:pPr>
            <w:r w:rsidRPr="0000039E">
              <w:rPr>
                <w:rFonts w:cs="Arial"/>
                <w:b/>
                <w:color w:val="FF0000"/>
                <w:sz w:val="24"/>
                <w:szCs w:val="24"/>
              </w:rPr>
              <w:t>-</w:t>
            </w:r>
          </w:p>
          <w:p w14:paraId="01DA9608" w14:textId="3061CCBF" w:rsidR="000A7372" w:rsidRPr="00A864A5" w:rsidRDefault="00B06482" w:rsidP="00B06482">
            <w:pPr>
              <w:pStyle w:val="TableText"/>
              <w:spacing w:line="276" w:lineRule="auto"/>
              <w:jc w:val="center"/>
              <w:rPr>
                <w:rFonts w:cs="Arial"/>
                <w:b/>
                <w:color w:val="FF0000"/>
              </w:rPr>
            </w:pPr>
            <w:r w:rsidRPr="00DE6E6C">
              <w:rPr>
                <w:rFonts w:cs="Arial"/>
                <w:bCs/>
                <w:i/>
                <w:iCs/>
              </w:rPr>
              <w:t>This option</w:t>
            </w:r>
            <w:r>
              <w:rPr>
                <w:rFonts w:cs="Arial"/>
                <w:bCs/>
                <w:i/>
                <w:iCs/>
              </w:rPr>
              <w:t xml:space="preserve"> </w:t>
            </w:r>
            <w:r w:rsidR="1F23B8BC" w:rsidRPr="20EE1853">
              <w:rPr>
                <w:rFonts w:cs="Arial"/>
                <w:i/>
                <w:iCs/>
              </w:rPr>
              <w:t>may limit</w:t>
            </w:r>
            <w:r w:rsidR="2E5CC0A4" w:rsidRPr="20EE1853">
              <w:rPr>
                <w:rFonts w:cs="Arial"/>
                <w:i/>
                <w:iCs/>
              </w:rPr>
              <w:t xml:space="preserve"> </w:t>
            </w:r>
            <w:r w:rsidR="21CCC4AC" w:rsidRPr="20EE1853">
              <w:rPr>
                <w:rFonts w:cs="Arial"/>
                <w:i/>
                <w:iCs/>
              </w:rPr>
              <w:t>the range of</w:t>
            </w:r>
            <w:r>
              <w:rPr>
                <w:rFonts w:cs="Arial"/>
                <w:bCs/>
                <w:i/>
                <w:iCs/>
              </w:rPr>
              <w:t xml:space="preserve"> options </w:t>
            </w:r>
            <w:r w:rsidR="3114E1B3" w:rsidRPr="20EE1853">
              <w:rPr>
                <w:rFonts w:cs="Arial"/>
                <w:i/>
                <w:iCs/>
              </w:rPr>
              <w:t>available under</w:t>
            </w:r>
            <w:r>
              <w:rPr>
                <w:rFonts w:cs="Arial"/>
                <w:bCs/>
                <w:i/>
                <w:iCs/>
              </w:rPr>
              <w:t xml:space="preserve"> phase two </w:t>
            </w:r>
            <w:r w:rsidR="00330AFA">
              <w:rPr>
                <w:rFonts w:cs="Arial"/>
                <w:bCs/>
                <w:i/>
                <w:iCs/>
              </w:rPr>
              <w:t xml:space="preserve">to a minimal degree </w:t>
            </w:r>
            <w:r w:rsidR="78891256" w:rsidRPr="20EE1853">
              <w:rPr>
                <w:rFonts w:cs="Arial"/>
                <w:i/>
                <w:iCs/>
              </w:rPr>
              <w:t xml:space="preserve">due to its </w:t>
            </w:r>
            <w:r w:rsidR="18FC13B6" w:rsidRPr="20EE1853">
              <w:rPr>
                <w:rFonts w:cs="Arial"/>
                <w:i/>
                <w:iCs/>
              </w:rPr>
              <w:t xml:space="preserve">fiscal cost and </w:t>
            </w:r>
            <w:r w:rsidR="78891256" w:rsidRPr="20EE1853">
              <w:rPr>
                <w:rFonts w:cs="Arial"/>
                <w:i/>
                <w:iCs/>
              </w:rPr>
              <w:t>increase</w:t>
            </w:r>
            <w:r w:rsidR="00BE065C">
              <w:rPr>
                <w:rFonts w:cs="Arial"/>
                <w:i/>
                <w:iCs/>
              </w:rPr>
              <w:t xml:space="preserve"> </w:t>
            </w:r>
            <w:r w:rsidR="32FA1DF5" w:rsidRPr="20EE1853">
              <w:rPr>
                <w:rFonts w:cs="Arial"/>
                <w:i/>
                <w:iCs/>
              </w:rPr>
              <w:t>of</w:t>
            </w:r>
            <w:r>
              <w:rPr>
                <w:rFonts w:cs="Arial"/>
                <w:bCs/>
                <w:i/>
                <w:iCs/>
              </w:rPr>
              <w:t xml:space="preserve"> the WFF abatement rate</w:t>
            </w:r>
          </w:p>
        </w:tc>
        <w:tc>
          <w:tcPr>
            <w:tcW w:w="1012" w:type="pct"/>
            <w:vAlign w:val="center"/>
          </w:tcPr>
          <w:p w14:paraId="79496224" w14:textId="229645BE" w:rsidR="00B06482" w:rsidRPr="0000039E" w:rsidRDefault="2E5CC0A4" w:rsidP="00B06482">
            <w:pPr>
              <w:pStyle w:val="TableText"/>
              <w:spacing w:line="276" w:lineRule="auto"/>
              <w:jc w:val="center"/>
              <w:rPr>
                <w:rFonts w:cs="Arial"/>
                <w:b/>
                <w:color w:val="FF0000"/>
                <w:sz w:val="24"/>
                <w:szCs w:val="24"/>
              </w:rPr>
            </w:pPr>
            <w:r w:rsidRPr="0000039E">
              <w:rPr>
                <w:rFonts w:cs="Arial"/>
                <w:b/>
                <w:bCs/>
                <w:color w:val="FF0000"/>
                <w:sz w:val="24"/>
                <w:szCs w:val="24"/>
              </w:rPr>
              <w:t>-</w:t>
            </w:r>
            <w:r w:rsidR="73411D7E" w:rsidRPr="0000039E">
              <w:rPr>
                <w:rFonts w:cs="Arial"/>
                <w:b/>
                <w:bCs/>
                <w:color w:val="FF0000"/>
                <w:sz w:val="24"/>
                <w:szCs w:val="24"/>
              </w:rPr>
              <w:t>-</w:t>
            </w:r>
          </w:p>
          <w:p w14:paraId="39BA6176" w14:textId="161FEF97" w:rsidR="000A7372" w:rsidRPr="00A864A5" w:rsidRDefault="00B06482" w:rsidP="00B06482">
            <w:pPr>
              <w:pStyle w:val="TableText"/>
              <w:spacing w:line="276" w:lineRule="auto"/>
              <w:jc w:val="center"/>
              <w:rPr>
                <w:rFonts w:cs="Arial"/>
                <w:b/>
                <w:color w:val="FF0000"/>
              </w:rPr>
            </w:pPr>
            <w:r w:rsidRPr="00DE6E6C">
              <w:rPr>
                <w:rFonts w:cs="Arial"/>
                <w:bCs/>
                <w:i/>
                <w:iCs/>
              </w:rPr>
              <w:t>This option</w:t>
            </w:r>
            <w:r>
              <w:rPr>
                <w:rFonts w:cs="Arial"/>
                <w:bCs/>
                <w:i/>
                <w:iCs/>
              </w:rPr>
              <w:t xml:space="preserve"> </w:t>
            </w:r>
            <w:r w:rsidR="69B0CD66" w:rsidRPr="20EE1853">
              <w:rPr>
                <w:rFonts w:cs="Arial"/>
                <w:i/>
                <w:iCs/>
              </w:rPr>
              <w:t>may limit the range of options available under</w:t>
            </w:r>
            <w:r>
              <w:rPr>
                <w:rFonts w:cs="Arial"/>
                <w:bCs/>
                <w:i/>
                <w:iCs/>
              </w:rPr>
              <w:t xml:space="preserve"> phase two </w:t>
            </w:r>
            <w:r w:rsidR="006B68F3">
              <w:rPr>
                <w:rFonts w:cs="Arial"/>
                <w:bCs/>
                <w:i/>
                <w:iCs/>
              </w:rPr>
              <w:t xml:space="preserve">to a minimal degree </w:t>
            </w:r>
            <w:r w:rsidR="58FF105D" w:rsidRPr="20EE1853">
              <w:rPr>
                <w:rFonts w:cs="Arial"/>
                <w:i/>
                <w:iCs/>
              </w:rPr>
              <w:t>due to its</w:t>
            </w:r>
            <w:r w:rsidR="395C208E" w:rsidRPr="20EE1853">
              <w:rPr>
                <w:rFonts w:cs="Arial"/>
                <w:i/>
                <w:iCs/>
              </w:rPr>
              <w:t xml:space="preserve"> fiscal cost and</w:t>
            </w:r>
            <w:r w:rsidR="58FF105D" w:rsidRPr="20EE1853">
              <w:rPr>
                <w:rFonts w:cs="Arial"/>
                <w:i/>
                <w:iCs/>
              </w:rPr>
              <w:t xml:space="preserve"> increase of </w:t>
            </w:r>
            <w:r>
              <w:rPr>
                <w:rFonts w:cs="Arial"/>
                <w:bCs/>
                <w:i/>
                <w:iCs/>
              </w:rPr>
              <w:t>the WFF abatement rate</w:t>
            </w:r>
          </w:p>
        </w:tc>
      </w:tr>
      <w:tr w:rsidR="002E3EB6" w:rsidRPr="00A864A5" w14:paraId="610535B6" w14:textId="7379654B" w:rsidTr="00F1523A">
        <w:trPr>
          <w:trHeight w:val="575"/>
        </w:trPr>
        <w:tc>
          <w:tcPr>
            <w:tcW w:w="841" w:type="pct"/>
            <w:shd w:val="clear" w:color="auto" w:fill="F2F2F2" w:themeFill="background1" w:themeFillShade="F2"/>
            <w:vAlign w:val="center"/>
          </w:tcPr>
          <w:p w14:paraId="4CEBFF80" w14:textId="77777777" w:rsidR="002E3EB6" w:rsidRPr="00A864A5" w:rsidRDefault="002E3EB6" w:rsidP="00CB5A9A">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281" w:type="pct"/>
            <w:vAlign w:val="center"/>
          </w:tcPr>
          <w:p w14:paraId="20CA0E68" w14:textId="37329609" w:rsidR="00FE6D5C" w:rsidRPr="00FE6D5C" w:rsidRDefault="00FE6D5C" w:rsidP="003E2722">
            <w:pPr>
              <w:pStyle w:val="TableText"/>
              <w:spacing w:before="240" w:line="276" w:lineRule="auto"/>
              <w:jc w:val="center"/>
              <w:rPr>
                <w:rFonts w:cs="Arial"/>
                <w:bCs/>
              </w:rPr>
            </w:pPr>
          </w:p>
        </w:tc>
        <w:tc>
          <w:tcPr>
            <w:tcW w:w="961" w:type="pct"/>
            <w:shd w:val="clear" w:color="auto" w:fill="auto"/>
            <w:vAlign w:val="center"/>
          </w:tcPr>
          <w:p w14:paraId="18445CBD" w14:textId="60856A34" w:rsidR="002E3EB6" w:rsidRPr="00886168" w:rsidRDefault="00C12A29" w:rsidP="00AC3132">
            <w:pPr>
              <w:pStyle w:val="TableText"/>
              <w:spacing w:before="240" w:line="276" w:lineRule="auto"/>
              <w:jc w:val="center"/>
              <w:rPr>
                <w:i/>
                <w:iCs/>
                <w:lang w:val="en-NZ"/>
              </w:rPr>
            </w:pPr>
            <w:r>
              <w:rPr>
                <w:i/>
                <w:iCs/>
                <w:lang w:val="en-NZ"/>
              </w:rPr>
              <w:t>This option improves child poverty without creating losers</w:t>
            </w:r>
            <w:r w:rsidR="000523C7">
              <w:rPr>
                <w:i/>
                <w:iCs/>
                <w:lang w:val="en-NZ"/>
              </w:rPr>
              <w:t xml:space="preserve"> or decreasing work incentives. However, its fiscal cost is outside of </w:t>
            </w:r>
            <w:r w:rsidR="003456F6">
              <w:rPr>
                <w:i/>
                <w:iCs/>
                <w:lang w:val="en-NZ"/>
              </w:rPr>
              <w:t xml:space="preserve">the </w:t>
            </w:r>
            <w:r w:rsidR="36FC8EC1" w:rsidRPr="236AC2D8">
              <w:rPr>
                <w:i/>
                <w:iCs/>
                <w:lang w:val="en-NZ"/>
              </w:rPr>
              <w:t>range set by Ministers</w:t>
            </w:r>
            <w:r w:rsidR="003456F6">
              <w:rPr>
                <w:i/>
                <w:iCs/>
                <w:lang w:val="en-NZ"/>
              </w:rPr>
              <w:t>.</w:t>
            </w:r>
          </w:p>
        </w:tc>
        <w:tc>
          <w:tcPr>
            <w:tcW w:w="946" w:type="pct"/>
            <w:shd w:val="clear" w:color="auto" w:fill="auto"/>
            <w:vAlign w:val="center"/>
          </w:tcPr>
          <w:p w14:paraId="11A67343" w14:textId="012A0893" w:rsidR="002E3EB6" w:rsidRPr="00886168" w:rsidRDefault="006346B7" w:rsidP="00AC3132">
            <w:pPr>
              <w:pStyle w:val="TableText"/>
              <w:spacing w:before="240" w:line="276" w:lineRule="auto"/>
              <w:jc w:val="center"/>
              <w:rPr>
                <w:i/>
                <w:iCs/>
                <w:lang w:val="en-NZ"/>
              </w:rPr>
            </w:pPr>
            <w:r w:rsidRPr="00886168">
              <w:rPr>
                <w:i/>
                <w:iCs/>
                <w:lang w:val="en-NZ"/>
              </w:rPr>
              <w:t xml:space="preserve">Although this improves child poverty, it </w:t>
            </w:r>
            <w:r w:rsidR="008E0C14" w:rsidRPr="00886168">
              <w:rPr>
                <w:i/>
                <w:iCs/>
                <w:lang w:val="en-NZ"/>
              </w:rPr>
              <w:t xml:space="preserve">reduces fiscal cost </w:t>
            </w:r>
            <w:r w:rsidR="00322DFA" w:rsidRPr="00886168">
              <w:rPr>
                <w:i/>
                <w:iCs/>
                <w:lang w:val="en-NZ"/>
              </w:rPr>
              <w:t>at the expense of work incentives</w:t>
            </w:r>
            <w:r w:rsidR="009B664F" w:rsidRPr="00886168">
              <w:rPr>
                <w:i/>
                <w:iCs/>
                <w:lang w:val="en-NZ"/>
              </w:rPr>
              <w:t>, phase two options</w:t>
            </w:r>
            <w:r w:rsidR="00322DFA" w:rsidRPr="00886168">
              <w:rPr>
                <w:i/>
                <w:iCs/>
                <w:lang w:val="en-NZ"/>
              </w:rPr>
              <w:t xml:space="preserve"> and support for medium-income families.</w:t>
            </w:r>
          </w:p>
        </w:tc>
        <w:tc>
          <w:tcPr>
            <w:tcW w:w="958" w:type="pct"/>
            <w:vAlign w:val="center"/>
          </w:tcPr>
          <w:p w14:paraId="7DE26CAA" w14:textId="41BAD123" w:rsidR="002E3EB6" w:rsidRPr="00886168" w:rsidRDefault="00340158" w:rsidP="00AC3132">
            <w:pPr>
              <w:pStyle w:val="TableText"/>
              <w:spacing w:before="240" w:line="276" w:lineRule="auto"/>
              <w:jc w:val="center"/>
              <w:rPr>
                <w:i/>
                <w:iCs/>
                <w:lang w:val="en-NZ"/>
              </w:rPr>
            </w:pPr>
            <w:r w:rsidRPr="00886168">
              <w:rPr>
                <w:i/>
                <w:iCs/>
                <w:lang w:val="en-NZ"/>
              </w:rPr>
              <w:t>Although this improves child poverty, it reduces fiscal cost at the expense of work incentives</w:t>
            </w:r>
            <w:r w:rsidR="009B664F" w:rsidRPr="00886168">
              <w:rPr>
                <w:i/>
                <w:iCs/>
                <w:lang w:val="en-NZ"/>
              </w:rPr>
              <w:t>, phase two options</w:t>
            </w:r>
            <w:r w:rsidRPr="00886168">
              <w:rPr>
                <w:i/>
                <w:iCs/>
                <w:lang w:val="en-NZ"/>
              </w:rPr>
              <w:t xml:space="preserve"> and support for medium-income families.</w:t>
            </w:r>
          </w:p>
        </w:tc>
        <w:tc>
          <w:tcPr>
            <w:tcW w:w="1012" w:type="pct"/>
            <w:vAlign w:val="center"/>
          </w:tcPr>
          <w:p w14:paraId="73A0A68B" w14:textId="514E6F20" w:rsidR="002E3EB6" w:rsidRPr="00886168" w:rsidRDefault="00340158" w:rsidP="006B68F3">
            <w:pPr>
              <w:pStyle w:val="TableText"/>
              <w:spacing w:line="276" w:lineRule="auto"/>
              <w:jc w:val="center"/>
              <w:rPr>
                <w:i/>
                <w:iCs/>
                <w:lang w:val="en-NZ"/>
              </w:rPr>
            </w:pPr>
            <w:r w:rsidRPr="00886168">
              <w:rPr>
                <w:i/>
                <w:iCs/>
                <w:lang w:val="en-NZ"/>
              </w:rPr>
              <w:t>Although this improves child poverty, it reduces fiscal cost at the expense of work incentives</w:t>
            </w:r>
            <w:r w:rsidR="009B664F" w:rsidRPr="00886168">
              <w:rPr>
                <w:i/>
                <w:iCs/>
                <w:lang w:val="en-NZ"/>
              </w:rPr>
              <w:t>, phase two options</w:t>
            </w:r>
            <w:r w:rsidRPr="00886168">
              <w:rPr>
                <w:i/>
                <w:iCs/>
                <w:lang w:val="en-NZ"/>
              </w:rPr>
              <w:t xml:space="preserve"> and support for medium-income families.</w:t>
            </w:r>
          </w:p>
        </w:tc>
      </w:tr>
    </w:tbl>
    <w:p w14:paraId="428504B7" w14:textId="1518680E" w:rsidR="00AC1F11" w:rsidRDefault="00280037" w:rsidP="00AC1F11">
      <w:pPr>
        <w:pStyle w:val="TRNormal"/>
        <w:rPr>
          <w:noProof/>
        </w:rPr>
      </w:pPr>
      <w:r w:rsidRPr="00A864A5">
        <w:rPr>
          <w:noProof/>
          <w:lang w:eastAsia="en-NZ"/>
        </w:rPr>
        <mc:AlternateContent>
          <mc:Choice Requires="wps">
            <w:drawing>
              <wp:anchor distT="45720" distB="45720" distL="114300" distR="114300" simplePos="0" relativeHeight="251658240" behindDoc="0" locked="0" layoutInCell="1" allowOverlap="1" wp14:anchorId="2ACD077F" wp14:editId="216F2D36">
                <wp:simplePos x="0" y="0"/>
                <wp:positionH relativeFrom="column">
                  <wp:posOffset>88265</wp:posOffset>
                </wp:positionH>
                <wp:positionV relativeFrom="paragraph">
                  <wp:posOffset>295910</wp:posOffset>
                </wp:positionV>
                <wp:extent cx="4438650" cy="15240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24000"/>
                        </a:xfrm>
                        <a:prstGeom prst="rect">
                          <a:avLst/>
                        </a:prstGeom>
                        <a:noFill/>
                        <a:ln w="9525">
                          <a:solidFill>
                            <a:srgbClr val="000000"/>
                          </a:solidFill>
                          <a:miter lim="800000"/>
                          <a:headEnd/>
                          <a:tailEnd/>
                        </a:ln>
                        <a:effectLst/>
                      </wps:spPr>
                      <wps:txbx>
                        <w:txbxContent>
                          <w:p w14:paraId="5A78384E" w14:textId="77777777" w:rsidR="006B3C77" w:rsidRPr="00A864A5" w:rsidRDefault="006B3C77" w:rsidP="00FF5C90">
                            <w:pPr>
                              <w:spacing w:after="120" w:line="276" w:lineRule="auto"/>
                              <w:rPr>
                                <w:rFonts w:cs="Arial"/>
                                <w:b/>
                                <w:sz w:val="20"/>
                              </w:rPr>
                            </w:pPr>
                            <w:r>
                              <w:rPr>
                                <w:rFonts w:cs="Arial"/>
                                <w:b/>
                                <w:sz w:val="20"/>
                              </w:rPr>
                              <w:t>K</w:t>
                            </w:r>
                            <w:r w:rsidRPr="00A864A5">
                              <w:rPr>
                                <w:rFonts w:cs="Arial"/>
                                <w:b/>
                                <w:sz w:val="20"/>
                              </w:rPr>
                              <w:t>ey:</w:t>
                            </w:r>
                          </w:p>
                          <w:p w14:paraId="5114E014" w14:textId="77777777" w:rsidR="006B3C77" w:rsidRPr="00A864A5" w:rsidRDefault="006B3C77" w:rsidP="00FF5C90">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28E52DA4" w14:textId="77777777" w:rsidR="006B3C77" w:rsidRPr="00A864A5" w:rsidRDefault="006B3C77" w:rsidP="00FF5C90">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7B14C644" w14:textId="77777777" w:rsidR="006B3C77" w:rsidRPr="00A864A5" w:rsidRDefault="006B3C77" w:rsidP="00FF5C90">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670708CD" w14:textId="77777777" w:rsidR="006B3C77" w:rsidRPr="00A864A5" w:rsidRDefault="006B3C77" w:rsidP="00FF5C90">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13E9821B" w14:textId="77777777" w:rsidR="006B3C77" w:rsidRPr="0049467D" w:rsidRDefault="006B3C77" w:rsidP="00FF5C90">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0031134A" w14:textId="77777777" w:rsidR="006B3C77" w:rsidRPr="00D90DE0" w:rsidRDefault="006B3C77" w:rsidP="00FF5C90">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D077F" id="_x0000_t202" coordsize="21600,21600" o:spt="202" path="m,l,21600r21600,l21600,xe">
                <v:stroke joinstyle="miter"/>
                <v:path gradientshapeok="t" o:connecttype="rect"/>
              </v:shapetype>
              <v:shape id="Text Box 2" o:spid="_x0000_s1026" type="#_x0000_t202" style="position:absolute;left:0;text-align:left;margin-left:6.95pt;margin-top:23.3pt;width:349.5pt;height:12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" filled="f">
                <v:textbox>
                  <w:txbxContent>
                    <w:p w14:paraId="5A78384E" w14:textId="77777777" w:rsidR="006B3C77" w:rsidRPr="00A864A5" w:rsidRDefault="006B3C77" w:rsidP="00FF5C90">
                      <w:pPr>
                        <w:spacing w:after="120" w:line="276" w:lineRule="auto"/>
                        <w:rPr>
                          <w:rFonts w:cs="Arial"/>
                          <w:b/>
                          <w:sz w:val="20"/>
                        </w:rPr>
                      </w:pPr>
                      <w:r>
                        <w:rPr>
                          <w:rFonts w:cs="Arial"/>
                          <w:b/>
                          <w:sz w:val="20"/>
                        </w:rPr>
                        <w:t>K</w:t>
                      </w:r>
                      <w:r w:rsidRPr="00A864A5">
                        <w:rPr>
                          <w:rFonts w:cs="Arial"/>
                          <w:b/>
                          <w:sz w:val="20"/>
                        </w:rPr>
                        <w:t>ey:</w:t>
                      </w:r>
                    </w:p>
                    <w:p w14:paraId="5114E014" w14:textId="77777777" w:rsidR="006B3C77" w:rsidRPr="00A864A5" w:rsidRDefault="006B3C77" w:rsidP="00FF5C90">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28E52DA4" w14:textId="77777777" w:rsidR="006B3C77" w:rsidRPr="00A864A5" w:rsidRDefault="006B3C77" w:rsidP="00FF5C90">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7B14C644" w14:textId="77777777" w:rsidR="006B3C77" w:rsidRPr="00A864A5" w:rsidRDefault="006B3C77" w:rsidP="00FF5C90">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670708CD" w14:textId="77777777" w:rsidR="006B3C77" w:rsidRPr="00A864A5" w:rsidRDefault="006B3C77" w:rsidP="00FF5C90">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13E9821B" w14:textId="77777777" w:rsidR="006B3C77" w:rsidRPr="0049467D" w:rsidRDefault="006B3C77" w:rsidP="00FF5C90">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0031134A" w14:textId="77777777" w:rsidR="006B3C77" w:rsidRPr="00D90DE0" w:rsidRDefault="006B3C77" w:rsidP="00FF5C90">
                      <w:pPr>
                        <w:pStyle w:val="Bullet-list"/>
                        <w:numPr>
                          <w:ilvl w:val="0"/>
                          <w:numId w:val="0"/>
                        </w:numPr>
                        <w:spacing w:after="120"/>
                        <w:rPr>
                          <w:i/>
                          <w:iCs/>
                        </w:rPr>
                      </w:pPr>
                    </w:p>
                  </w:txbxContent>
                </v:textbox>
                <w10:wrap type="square"/>
              </v:shape>
            </w:pict>
          </mc:Fallback>
        </mc:AlternateContent>
      </w:r>
    </w:p>
    <w:p w14:paraId="026C1B82" w14:textId="77777777" w:rsidR="00D0405F" w:rsidRDefault="00D0405F" w:rsidP="00AC1F11">
      <w:pPr>
        <w:pStyle w:val="TRNormal"/>
        <w:rPr>
          <w:noProof/>
        </w:rPr>
        <w:sectPr w:rsidR="00D0405F" w:rsidSect="00F1523A">
          <w:pgSz w:w="16838" w:h="11906" w:orient="landscape" w:code="9"/>
          <w:pgMar w:top="1418" w:right="1134" w:bottom="1418" w:left="992" w:header="454" w:footer="454" w:gutter="0"/>
          <w:cols w:space="708"/>
          <w:docGrid w:linePitch="360"/>
        </w:sectPr>
      </w:pPr>
    </w:p>
    <w:p w14:paraId="156E57E7" w14:textId="098498BE" w:rsidR="00D71CE0" w:rsidRPr="00044287" w:rsidRDefault="00DB51CD" w:rsidP="00846C56">
      <w:pPr>
        <w:pStyle w:val="Heading3"/>
        <w:rPr>
          <w:noProof/>
          <w:lang w:val="en-NZ" w:eastAsia="en-NZ"/>
        </w:rPr>
      </w:pPr>
      <w:r>
        <w:rPr>
          <w:noProof/>
          <w:lang w:val="en-NZ" w:eastAsia="en-NZ"/>
        </w:rPr>
        <w:t xml:space="preserve">What </w:t>
      </w:r>
      <w:r w:rsidR="007336C9">
        <w:rPr>
          <w:noProof/>
          <w:lang w:val="en-NZ" w:eastAsia="en-NZ"/>
        </w:rPr>
        <w:t>optio</w:t>
      </w:r>
      <w:r w:rsidR="005F41A2">
        <w:rPr>
          <w:noProof/>
          <w:lang w:val="en-NZ" w:eastAsia="en-NZ"/>
        </w:rPr>
        <w:t xml:space="preserve">n is likely to best address the problem, meet the policy </w:t>
      </w:r>
      <w:r w:rsidR="005F41A2" w:rsidRPr="00044287">
        <w:rPr>
          <w:noProof/>
          <w:lang w:val="en-NZ" w:eastAsia="en-NZ"/>
        </w:rPr>
        <w:t>objectives, and deliver the highest net benefits</w:t>
      </w:r>
      <w:r w:rsidRPr="00044287">
        <w:rPr>
          <w:noProof/>
          <w:lang w:val="en-NZ" w:eastAsia="en-NZ"/>
        </w:rPr>
        <w:t>?</w:t>
      </w:r>
    </w:p>
    <w:p w14:paraId="0EC7580E" w14:textId="21C0A16B" w:rsidR="0093164A" w:rsidRPr="00044287" w:rsidRDefault="0093164A" w:rsidP="005232F5">
      <w:pPr>
        <w:rPr>
          <w:lang w:val="en-NZ" w:eastAsia="en-NZ"/>
        </w:rPr>
      </w:pPr>
      <w:r w:rsidRPr="00791162">
        <w:rPr>
          <w:lang w:val="en-NZ" w:eastAsia="en-NZ"/>
        </w:rPr>
        <w:t xml:space="preserve">The narrow scope </w:t>
      </w:r>
      <w:r w:rsidR="008E13C6" w:rsidRPr="00791162">
        <w:rPr>
          <w:lang w:val="en-NZ" w:eastAsia="en-NZ"/>
        </w:rPr>
        <w:t>for</w:t>
      </w:r>
      <w:r w:rsidRPr="00791162">
        <w:rPr>
          <w:lang w:val="en-NZ" w:eastAsia="en-NZ"/>
        </w:rPr>
        <w:t xml:space="preserve"> final options means </w:t>
      </w:r>
      <w:r w:rsidR="00500662" w:rsidRPr="00791162">
        <w:rPr>
          <w:lang w:val="en-NZ" w:eastAsia="en-NZ"/>
        </w:rPr>
        <w:t xml:space="preserve">all </w:t>
      </w:r>
      <w:r w:rsidR="008E13C6" w:rsidRPr="00791162">
        <w:rPr>
          <w:lang w:val="en-NZ" w:eastAsia="en-NZ"/>
        </w:rPr>
        <w:t>are</w:t>
      </w:r>
      <w:r w:rsidR="00500662" w:rsidRPr="00791162">
        <w:rPr>
          <w:lang w:val="en-NZ" w:eastAsia="en-NZ"/>
        </w:rPr>
        <w:t xml:space="preserve"> </w:t>
      </w:r>
      <w:r w:rsidR="008E13C6" w:rsidRPr="00791162">
        <w:rPr>
          <w:lang w:val="en-NZ" w:eastAsia="en-NZ"/>
        </w:rPr>
        <w:t xml:space="preserve">essentially </w:t>
      </w:r>
      <w:r w:rsidR="00500662" w:rsidRPr="00791162">
        <w:rPr>
          <w:lang w:val="en-NZ" w:eastAsia="en-NZ"/>
        </w:rPr>
        <w:t>minor variations on the same changes (an increase in FTC rates and the WFF abatement rate). Consequentially, the differences between options are relatively minor.</w:t>
      </w:r>
      <w:r w:rsidR="00884E0D" w:rsidRPr="00791162">
        <w:rPr>
          <w:lang w:val="en-NZ" w:eastAsia="en-NZ"/>
        </w:rPr>
        <w:t xml:space="preserve"> The minor nature of these differences increases the impact of the statistical uncertainty involved in modelling. This is particularly true of the child poverty impacts.</w:t>
      </w:r>
    </w:p>
    <w:p w14:paraId="6BDAF533" w14:textId="11FB1600" w:rsidR="005232F5" w:rsidRDefault="008E13C6" w:rsidP="005232F5">
      <w:pPr>
        <w:rPr>
          <w:lang w:val="en-NZ" w:eastAsia="en-NZ"/>
        </w:rPr>
      </w:pPr>
      <w:r w:rsidRPr="00791162">
        <w:rPr>
          <w:lang w:val="en-NZ" w:eastAsia="en-NZ"/>
        </w:rPr>
        <w:t>O</w:t>
      </w:r>
      <w:r w:rsidR="00F56265" w:rsidRPr="00791162">
        <w:rPr>
          <w:lang w:val="en-NZ" w:eastAsia="en-NZ"/>
        </w:rPr>
        <w:t>ption</w:t>
      </w:r>
      <w:r w:rsidR="003A0D3A" w:rsidRPr="00791162">
        <w:rPr>
          <w:lang w:val="en-NZ" w:eastAsia="en-NZ"/>
        </w:rPr>
        <w:t xml:space="preserve"> </w:t>
      </w:r>
      <w:r w:rsidR="007D2E82" w:rsidRPr="00791162">
        <w:rPr>
          <w:lang w:val="en-NZ" w:eastAsia="en-NZ"/>
        </w:rPr>
        <w:t xml:space="preserve">B </w:t>
      </w:r>
      <w:r w:rsidR="00C11A23" w:rsidRPr="00791162">
        <w:rPr>
          <w:lang w:val="en-NZ" w:eastAsia="en-NZ"/>
        </w:rPr>
        <w:t>lifts the greatest number of children from poverty</w:t>
      </w:r>
      <w:r w:rsidR="00150CFE" w:rsidRPr="00791162">
        <w:rPr>
          <w:lang w:val="en-NZ" w:eastAsia="en-NZ"/>
        </w:rPr>
        <w:t>:</w:t>
      </w:r>
      <w:r w:rsidR="00753983" w:rsidRPr="00791162">
        <w:rPr>
          <w:lang w:val="en-NZ" w:eastAsia="en-NZ"/>
        </w:rPr>
        <w:t xml:space="preserve"> </w:t>
      </w:r>
      <w:r w:rsidR="00C11A23" w:rsidRPr="00791162">
        <w:rPr>
          <w:lang w:val="en-NZ" w:eastAsia="en-NZ"/>
        </w:rPr>
        <w:t xml:space="preserve">10,000 </w:t>
      </w:r>
      <w:r w:rsidR="00150CFE" w:rsidRPr="00791162">
        <w:rPr>
          <w:lang w:val="en-NZ" w:eastAsia="en-NZ"/>
        </w:rPr>
        <w:t xml:space="preserve">when </w:t>
      </w:r>
      <w:r w:rsidR="00C11A23" w:rsidRPr="00791162">
        <w:rPr>
          <w:lang w:val="en-NZ" w:eastAsia="en-NZ"/>
        </w:rPr>
        <w:t>measured against AHC50</w:t>
      </w:r>
      <w:r w:rsidR="00C45033" w:rsidRPr="00791162">
        <w:rPr>
          <w:lang w:val="en-NZ" w:eastAsia="en-NZ"/>
        </w:rPr>
        <w:t xml:space="preserve"> which is</w:t>
      </w:r>
      <w:r w:rsidR="00AF3DF0" w:rsidRPr="00791162">
        <w:rPr>
          <w:lang w:val="en-NZ" w:eastAsia="en-NZ"/>
        </w:rPr>
        <w:t xml:space="preserve"> </w:t>
      </w:r>
      <w:r w:rsidR="00361149" w:rsidRPr="00791162">
        <w:rPr>
          <w:lang w:val="en-NZ" w:eastAsia="en-NZ"/>
        </w:rPr>
        <w:t>1,000 more than the next best option (A1)</w:t>
      </w:r>
      <w:r w:rsidR="007D2E82" w:rsidRPr="00791162">
        <w:rPr>
          <w:lang w:val="en-NZ" w:eastAsia="en-NZ"/>
        </w:rPr>
        <w:t>.</w:t>
      </w:r>
      <w:r w:rsidR="007D2E82" w:rsidRPr="00044287">
        <w:rPr>
          <w:lang w:val="en-NZ" w:eastAsia="en-NZ"/>
        </w:rPr>
        <w:t xml:space="preserve"> </w:t>
      </w:r>
      <w:r w:rsidR="003A0D3A" w:rsidRPr="00044287">
        <w:rPr>
          <w:lang w:val="en-NZ" w:eastAsia="en-NZ"/>
        </w:rPr>
        <w:t>At</w:t>
      </w:r>
      <w:r w:rsidR="003A0D3A">
        <w:rPr>
          <w:lang w:val="en-NZ" w:eastAsia="en-NZ"/>
        </w:rPr>
        <w:t xml:space="preserve"> </w:t>
      </w:r>
      <w:r w:rsidR="00E01C36">
        <w:rPr>
          <w:lang w:val="en-NZ" w:eastAsia="en-NZ"/>
        </w:rPr>
        <w:t>an annual cost of $103m</w:t>
      </w:r>
      <w:r w:rsidR="0006704A">
        <w:rPr>
          <w:lang w:val="en-NZ" w:eastAsia="en-NZ"/>
        </w:rPr>
        <w:t>,</w:t>
      </w:r>
      <w:r w:rsidR="00E01C36">
        <w:rPr>
          <w:lang w:val="en-NZ" w:eastAsia="en-NZ"/>
        </w:rPr>
        <w:t xml:space="preserve"> </w:t>
      </w:r>
      <w:r w:rsidR="00110595">
        <w:rPr>
          <w:lang w:val="en-NZ" w:eastAsia="en-NZ"/>
        </w:rPr>
        <w:t xml:space="preserve">option </w:t>
      </w:r>
      <w:r w:rsidR="00361149">
        <w:rPr>
          <w:lang w:val="en-NZ" w:eastAsia="en-NZ"/>
        </w:rPr>
        <w:t>B</w:t>
      </w:r>
      <w:r w:rsidR="007D2E82">
        <w:rPr>
          <w:lang w:val="en-NZ" w:eastAsia="en-NZ"/>
        </w:rPr>
        <w:t xml:space="preserve"> </w:t>
      </w:r>
      <w:r w:rsidR="0006704A">
        <w:rPr>
          <w:lang w:val="en-NZ" w:eastAsia="en-NZ"/>
        </w:rPr>
        <w:t xml:space="preserve">also </w:t>
      </w:r>
      <w:r w:rsidR="00E01C36">
        <w:rPr>
          <w:lang w:val="en-NZ" w:eastAsia="en-NZ"/>
        </w:rPr>
        <w:t xml:space="preserve">roughly </w:t>
      </w:r>
      <w:r w:rsidR="003A0D3A">
        <w:rPr>
          <w:lang w:val="en-NZ" w:eastAsia="en-NZ"/>
        </w:rPr>
        <w:t>meets the modest</w:t>
      </w:r>
      <w:r w:rsidR="00E01C36">
        <w:rPr>
          <w:lang w:val="en-NZ" w:eastAsia="en-NZ"/>
        </w:rPr>
        <w:t xml:space="preserve"> fiscal budget </w:t>
      </w:r>
      <w:r w:rsidR="27B7857D" w:rsidRPr="236AC2D8">
        <w:rPr>
          <w:lang w:val="en-NZ" w:eastAsia="en-NZ"/>
        </w:rPr>
        <w:t>set for</w:t>
      </w:r>
      <w:r w:rsidR="00E01C36">
        <w:rPr>
          <w:lang w:val="en-NZ" w:eastAsia="en-NZ"/>
        </w:rPr>
        <w:t xml:space="preserve"> phase one</w:t>
      </w:r>
      <w:r w:rsidR="008C7DF3">
        <w:rPr>
          <w:lang w:val="en-NZ" w:eastAsia="en-NZ"/>
        </w:rPr>
        <w:t xml:space="preserve"> </w:t>
      </w:r>
      <w:r w:rsidR="5851DD16" w:rsidRPr="236AC2D8">
        <w:rPr>
          <w:lang w:val="en-NZ" w:eastAsia="en-NZ"/>
        </w:rPr>
        <w:t>due</w:t>
      </w:r>
      <w:r w:rsidR="008C7DF3">
        <w:rPr>
          <w:lang w:val="en-NZ" w:eastAsia="en-NZ"/>
        </w:rPr>
        <w:t xml:space="preserve"> to its</w:t>
      </w:r>
      <w:r w:rsidR="00E01C36">
        <w:rPr>
          <w:lang w:val="en-NZ" w:eastAsia="en-NZ"/>
        </w:rPr>
        <w:t xml:space="preserve"> 3% abatement rate increase</w:t>
      </w:r>
      <w:r w:rsidR="673FB3E7" w:rsidRPr="236AC2D8">
        <w:rPr>
          <w:lang w:val="en-NZ" w:eastAsia="en-NZ"/>
        </w:rPr>
        <w:t>,</w:t>
      </w:r>
      <w:r w:rsidR="008C7DF3">
        <w:rPr>
          <w:lang w:val="en-NZ" w:eastAsia="en-NZ"/>
        </w:rPr>
        <w:t xml:space="preserve"> which</w:t>
      </w:r>
      <w:r w:rsidR="00E01C36">
        <w:rPr>
          <w:lang w:val="en-NZ" w:eastAsia="en-NZ"/>
        </w:rPr>
        <w:t xml:space="preserve"> </w:t>
      </w:r>
      <w:r w:rsidR="001E7BEF">
        <w:rPr>
          <w:lang w:val="en-NZ" w:eastAsia="en-NZ"/>
        </w:rPr>
        <w:t>effectively targets the greatest support to those most in need.</w:t>
      </w:r>
    </w:p>
    <w:p w14:paraId="348D4599" w14:textId="081D13ED" w:rsidR="009878C6" w:rsidRDefault="009878C6" w:rsidP="005232F5">
      <w:pPr>
        <w:rPr>
          <w:lang w:val="en-NZ" w:eastAsia="en-NZ"/>
        </w:rPr>
      </w:pPr>
      <w:r>
        <w:rPr>
          <w:lang w:val="en-NZ" w:eastAsia="en-NZ"/>
        </w:rPr>
        <w:t xml:space="preserve">However, although </w:t>
      </w:r>
      <w:r w:rsidR="00E4211B">
        <w:rPr>
          <w:lang w:val="en-NZ" w:eastAsia="en-NZ"/>
        </w:rPr>
        <w:t xml:space="preserve">option </w:t>
      </w:r>
      <w:r>
        <w:rPr>
          <w:lang w:val="en-NZ" w:eastAsia="en-NZ"/>
        </w:rPr>
        <w:t xml:space="preserve">B </w:t>
      </w:r>
      <w:r w:rsidR="0073731E">
        <w:rPr>
          <w:lang w:val="en-NZ" w:eastAsia="en-NZ"/>
        </w:rPr>
        <w:t xml:space="preserve">best fits Ministers’ commissioning and </w:t>
      </w:r>
      <w:r w:rsidR="008C6A84">
        <w:rPr>
          <w:lang w:val="en-NZ" w:eastAsia="en-NZ"/>
        </w:rPr>
        <w:t xml:space="preserve">most of their </w:t>
      </w:r>
      <w:r w:rsidR="0073731E">
        <w:rPr>
          <w:lang w:val="en-NZ" w:eastAsia="en-NZ"/>
        </w:rPr>
        <w:t>objectives</w:t>
      </w:r>
      <w:r w:rsidR="008C6A84">
        <w:rPr>
          <w:lang w:val="en-NZ" w:eastAsia="en-NZ"/>
        </w:rPr>
        <w:t>,</w:t>
      </w:r>
      <w:r w:rsidR="00531478">
        <w:rPr>
          <w:lang w:val="en-NZ" w:eastAsia="en-NZ"/>
        </w:rPr>
        <w:t xml:space="preserve"> it has several drawbacks. Compared to the counterfactual,</w:t>
      </w:r>
      <w:r w:rsidR="008C6A84">
        <w:rPr>
          <w:lang w:val="en-NZ" w:eastAsia="en-NZ"/>
        </w:rPr>
        <w:t xml:space="preserve"> it </w:t>
      </w:r>
      <w:r w:rsidR="005D42ED">
        <w:rPr>
          <w:lang w:val="en-NZ" w:eastAsia="en-NZ"/>
        </w:rPr>
        <w:t>makes losers of some medium-income families</w:t>
      </w:r>
      <w:r w:rsidR="03FDC5D9" w:rsidRPr="236AC2D8">
        <w:rPr>
          <w:lang w:val="en-NZ" w:eastAsia="en-NZ"/>
        </w:rPr>
        <w:t>,</w:t>
      </w:r>
      <w:r w:rsidR="005D42ED">
        <w:rPr>
          <w:lang w:val="en-NZ" w:eastAsia="en-NZ"/>
        </w:rPr>
        <w:t xml:space="preserve"> and </w:t>
      </w:r>
      <w:r w:rsidR="003B73C5">
        <w:rPr>
          <w:lang w:val="en-NZ" w:eastAsia="en-NZ"/>
        </w:rPr>
        <w:t xml:space="preserve">of </w:t>
      </w:r>
      <w:r w:rsidR="597F894E" w:rsidRPr="236AC2D8">
        <w:rPr>
          <w:lang w:val="en-NZ" w:eastAsia="en-NZ"/>
        </w:rPr>
        <w:t xml:space="preserve">all </w:t>
      </w:r>
      <w:r w:rsidR="003B73C5">
        <w:rPr>
          <w:lang w:val="en-NZ" w:eastAsia="en-NZ"/>
        </w:rPr>
        <w:t>the options</w:t>
      </w:r>
      <w:r w:rsidR="28EE803F" w:rsidRPr="236AC2D8">
        <w:rPr>
          <w:lang w:val="en-NZ" w:eastAsia="en-NZ"/>
        </w:rPr>
        <w:t>,</w:t>
      </w:r>
      <w:r w:rsidR="003B73C5">
        <w:rPr>
          <w:lang w:val="en-NZ" w:eastAsia="en-NZ"/>
        </w:rPr>
        <w:t xml:space="preserve"> it </w:t>
      </w:r>
      <w:r w:rsidR="00AD2838">
        <w:rPr>
          <w:lang w:val="en-NZ" w:eastAsia="en-NZ"/>
        </w:rPr>
        <w:t xml:space="preserve">has </w:t>
      </w:r>
      <w:r w:rsidR="003B73C5">
        <w:rPr>
          <w:lang w:val="en-NZ" w:eastAsia="en-NZ"/>
        </w:rPr>
        <w:t>the largest</w:t>
      </w:r>
      <w:r w:rsidR="00AD2838">
        <w:rPr>
          <w:lang w:val="en-NZ" w:eastAsia="en-NZ"/>
        </w:rPr>
        <w:t xml:space="preserve"> negative impact on EMTRs</w:t>
      </w:r>
      <w:r w:rsidR="003B73C5">
        <w:rPr>
          <w:lang w:val="en-NZ" w:eastAsia="en-NZ"/>
        </w:rPr>
        <w:t xml:space="preserve"> and PTRs</w:t>
      </w:r>
      <w:r w:rsidR="00AD2838">
        <w:rPr>
          <w:lang w:val="en-NZ" w:eastAsia="en-NZ"/>
        </w:rPr>
        <w:t xml:space="preserve"> which are already very high</w:t>
      </w:r>
      <w:r w:rsidR="00C94427">
        <w:rPr>
          <w:lang w:val="en-NZ" w:eastAsia="en-NZ"/>
        </w:rPr>
        <w:t xml:space="preserve">. </w:t>
      </w:r>
      <w:r w:rsidR="00E71400">
        <w:rPr>
          <w:lang w:val="en-NZ" w:eastAsia="en-NZ"/>
        </w:rPr>
        <w:t>I</w:t>
      </w:r>
      <w:r w:rsidR="00AD2838">
        <w:rPr>
          <w:lang w:val="en-NZ" w:eastAsia="en-NZ"/>
        </w:rPr>
        <w:t>t</w:t>
      </w:r>
      <w:r w:rsidR="575F07B0" w:rsidRPr="236AC2D8">
        <w:rPr>
          <w:lang w:val="en-NZ" w:eastAsia="en-NZ"/>
        </w:rPr>
        <w:t xml:space="preserve"> </w:t>
      </w:r>
      <w:r w:rsidR="02354A94" w:rsidRPr="236AC2D8">
        <w:rPr>
          <w:lang w:val="en-NZ" w:eastAsia="en-NZ"/>
        </w:rPr>
        <w:t>may</w:t>
      </w:r>
      <w:r w:rsidR="00AD2838">
        <w:rPr>
          <w:lang w:val="en-NZ" w:eastAsia="en-NZ"/>
        </w:rPr>
        <w:t xml:space="preserve"> al</w:t>
      </w:r>
      <w:r w:rsidR="003B73C5">
        <w:rPr>
          <w:lang w:val="en-NZ" w:eastAsia="en-NZ"/>
        </w:rPr>
        <w:t>so</w:t>
      </w:r>
      <w:r w:rsidR="00AD2838">
        <w:rPr>
          <w:lang w:val="en-NZ" w:eastAsia="en-NZ"/>
        </w:rPr>
        <w:t xml:space="preserve"> </w:t>
      </w:r>
      <w:r w:rsidR="000B1A76">
        <w:rPr>
          <w:lang w:val="en-NZ" w:eastAsia="en-NZ"/>
        </w:rPr>
        <w:t xml:space="preserve">limit </w:t>
      </w:r>
      <w:r w:rsidR="00E6BFCB" w:rsidRPr="236AC2D8">
        <w:rPr>
          <w:lang w:val="en-NZ" w:eastAsia="en-NZ"/>
        </w:rPr>
        <w:t xml:space="preserve">the range of </w:t>
      </w:r>
      <w:r w:rsidR="00BB7C1A">
        <w:rPr>
          <w:lang w:val="en-NZ" w:eastAsia="en-NZ"/>
        </w:rPr>
        <w:t xml:space="preserve">options </w:t>
      </w:r>
      <w:r w:rsidR="028DB4D0" w:rsidRPr="236AC2D8">
        <w:rPr>
          <w:lang w:val="en-NZ" w:eastAsia="en-NZ"/>
        </w:rPr>
        <w:t>available under</w:t>
      </w:r>
      <w:r w:rsidRPr="236AC2D8" w:rsidDel="6FBC5CA3">
        <w:rPr>
          <w:lang w:val="en-NZ" w:eastAsia="en-NZ"/>
        </w:rPr>
        <w:t xml:space="preserve"> </w:t>
      </w:r>
      <w:r w:rsidR="00AD2838">
        <w:rPr>
          <w:lang w:val="en-NZ" w:eastAsia="en-NZ"/>
        </w:rPr>
        <w:t xml:space="preserve">phase two of </w:t>
      </w:r>
      <w:r w:rsidR="007F67AA">
        <w:rPr>
          <w:lang w:val="en-NZ" w:eastAsia="en-NZ"/>
        </w:rPr>
        <w:t>the review</w:t>
      </w:r>
      <w:r w:rsidR="00884518">
        <w:rPr>
          <w:lang w:val="en-NZ" w:eastAsia="en-NZ"/>
        </w:rPr>
        <w:t xml:space="preserve"> </w:t>
      </w:r>
      <w:r w:rsidR="600290AC" w:rsidRPr="236AC2D8">
        <w:rPr>
          <w:lang w:val="en-NZ" w:eastAsia="en-NZ"/>
        </w:rPr>
        <w:t>due to its 3% increase of the WFF</w:t>
      </w:r>
      <w:r w:rsidR="00BB7C1A">
        <w:rPr>
          <w:lang w:val="en-NZ" w:eastAsia="en-NZ"/>
        </w:rPr>
        <w:t xml:space="preserve"> abatement rate</w:t>
      </w:r>
      <w:r w:rsidR="00AD2838">
        <w:rPr>
          <w:lang w:val="en-NZ" w:eastAsia="en-NZ"/>
        </w:rPr>
        <w:t xml:space="preserve">. </w:t>
      </w:r>
      <w:r w:rsidR="00BB7C1A">
        <w:rPr>
          <w:lang w:val="en-NZ" w:eastAsia="en-NZ"/>
        </w:rPr>
        <w:t>O</w:t>
      </w:r>
      <w:r w:rsidR="0006704A">
        <w:rPr>
          <w:lang w:val="en-NZ" w:eastAsia="en-NZ"/>
        </w:rPr>
        <w:t xml:space="preserve">ptions A2 and A3 </w:t>
      </w:r>
      <w:r w:rsidR="00BC0F46">
        <w:rPr>
          <w:lang w:val="en-NZ" w:eastAsia="en-NZ"/>
        </w:rPr>
        <w:t>face the same issues to lesser degrees</w:t>
      </w:r>
      <w:r w:rsidR="5D9B1F3C" w:rsidRPr="236AC2D8">
        <w:rPr>
          <w:lang w:val="en-NZ" w:eastAsia="en-NZ"/>
        </w:rPr>
        <w:t>, but</w:t>
      </w:r>
      <w:r w:rsidR="00BC0F46">
        <w:rPr>
          <w:lang w:val="en-NZ" w:eastAsia="en-NZ"/>
        </w:rPr>
        <w:t xml:space="preserve"> with lower child poverty impacts</w:t>
      </w:r>
      <w:r w:rsidR="00E81294">
        <w:rPr>
          <w:lang w:val="en-NZ" w:eastAsia="en-NZ"/>
        </w:rPr>
        <w:t>.</w:t>
      </w:r>
    </w:p>
    <w:p w14:paraId="24806D67" w14:textId="71BF66FC" w:rsidR="00BA39B9" w:rsidRDefault="00EA55F9" w:rsidP="008526B3">
      <w:pPr>
        <w:rPr>
          <w:lang w:val="en-NZ" w:eastAsia="en-NZ"/>
        </w:rPr>
      </w:pPr>
      <w:r>
        <w:rPr>
          <w:lang w:val="en-NZ" w:eastAsia="en-NZ"/>
        </w:rPr>
        <w:t xml:space="preserve">Option A1 </w:t>
      </w:r>
      <w:r w:rsidR="007D76EA">
        <w:rPr>
          <w:lang w:val="en-NZ" w:eastAsia="en-NZ"/>
        </w:rPr>
        <w:t xml:space="preserve">increases support without </w:t>
      </w:r>
      <w:r w:rsidR="00871232">
        <w:rPr>
          <w:lang w:val="en-NZ" w:eastAsia="en-NZ"/>
        </w:rPr>
        <w:t xml:space="preserve">changing </w:t>
      </w:r>
      <w:r w:rsidR="64FE3A94" w:rsidRPr="236AC2D8">
        <w:rPr>
          <w:lang w:val="en-NZ" w:eastAsia="en-NZ"/>
        </w:rPr>
        <w:t>a</w:t>
      </w:r>
      <w:r w:rsidR="34C25DBB" w:rsidRPr="236AC2D8">
        <w:rPr>
          <w:lang w:val="en-NZ" w:eastAsia="en-NZ"/>
        </w:rPr>
        <w:t xml:space="preserve">batement </w:t>
      </w:r>
      <w:r w:rsidR="00871232">
        <w:rPr>
          <w:lang w:val="en-NZ" w:eastAsia="en-NZ"/>
        </w:rPr>
        <w:t xml:space="preserve">settings. </w:t>
      </w:r>
      <w:r w:rsidR="00512157">
        <w:rPr>
          <w:lang w:val="en-NZ" w:eastAsia="en-NZ"/>
        </w:rPr>
        <w:t>This</w:t>
      </w:r>
      <w:r w:rsidR="00E425B2">
        <w:rPr>
          <w:lang w:val="en-NZ" w:eastAsia="en-NZ"/>
        </w:rPr>
        <w:t xml:space="preserve"> would</w:t>
      </w:r>
      <w:r w:rsidR="00512157">
        <w:rPr>
          <w:lang w:val="en-NZ" w:eastAsia="en-NZ"/>
        </w:rPr>
        <w:t xml:space="preserve"> lift</w:t>
      </w:r>
      <w:r w:rsidR="00C53469">
        <w:rPr>
          <w:lang w:val="en-NZ" w:eastAsia="en-NZ"/>
        </w:rPr>
        <w:t xml:space="preserve"> 9,000 children from </w:t>
      </w:r>
      <w:r w:rsidR="00483666">
        <w:rPr>
          <w:lang w:val="en-NZ" w:eastAsia="en-NZ"/>
        </w:rPr>
        <w:t xml:space="preserve">AHC50 </w:t>
      </w:r>
      <w:r w:rsidR="00C53469">
        <w:rPr>
          <w:lang w:val="en-NZ" w:eastAsia="en-NZ"/>
        </w:rPr>
        <w:t xml:space="preserve">poverty without </w:t>
      </w:r>
      <w:r w:rsidR="00AB5333">
        <w:rPr>
          <w:lang w:val="en-NZ" w:eastAsia="en-NZ"/>
        </w:rPr>
        <w:t>creating losers</w:t>
      </w:r>
      <w:r w:rsidR="006D697F">
        <w:rPr>
          <w:lang w:val="en-NZ" w:eastAsia="en-NZ"/>
        </w:rPr>
        <w:t xml:space="preserve"> or reducing incentives to work.</w:t>
      </w:r>
      <w:r w:rsidR="00BD6471">
        <w:rPr>
          <w:lang w:val="en-NZ" w:eastAsia="en-NZ"/>
        </w:rPr>
        <w:t xml:space="preserve"> </w:t>
      </w:r>
      <w:r>
        <w:rPr>
          <w:lang w:val="en-NZ" w:eastAsia="en-NZ"/>
        </w:rPr>
        <w:t xml:space="preserve">However, </w:t>
      </w:r>
      <w:r w:rsidR="27A3CB28" w:rsidRPr="236AC2D8">
        <w:rPr>
          <w:lang w:val="en-NZ" w:eastAsia="en-NZ"/>
        </w:rPr>
        <w:t xml:space="preserve">option </w:t>
      </w:r>
      <w:r>
        <w:rPr>
          <w:lang w:val="en-NZ" w:eastAsia="en-NZ"/>
        </w:rPr>
        <w:t>A1 has the largest annual fiscal cost of $158m</w:t>
      </w:r>
      <w:r w:rsidR="40DB0B57" w:rsidRPr="236AC2D8">
        <w:rPr>
          <w:lang w:val="en-NZ" w:eastAsia="en-NZ"/>
        </w:rPr>
        <w:t xml:space="preserve"> and therefore falls </w:t>
      </w:r>
      <w:r>
        <w:rPr>
          <w:lang w:val="en-NZ" w:eastAsia="en-NZ"/>
        </w:rPr>
        <w:t>outside the fiscal cost</w:t>
      </w:r>
      <w:r w:rsidR="39ABFB32" w:rsidRPr="236AC2D8">
        <w:rPr>
          <w:lang w:val="en-NZ" w:eastAsia="en-NZ"/>
        </w:rPr>
        <w:t xml:space="preserve"> parameters set by </w:t>
      </w:r>
      <w:r w:rsidR="00D274A2" w:rsidRPr="236AC2D8">
        <w:rPr>
          <w:lang w:val="en-NZ" w:eastAsia="en-NZ"/>
        </w:rPr>
        <w:t>Ministers</w:t>
      </w:r>
      <w:r>
        <w:rPr>
          <w:lang w:val="en-NZ" w:eastAsia="en-NZ"/>
        </w:rPr>
        <w:t>.</w:t>
      </w:r>
      <w:r w:rsidR="00E47969" w:rsidRPr="00E47969">
        <w:rPr>
          <w:lang w:val="en-NZ" w:eastAsia="en-NZ"/>
        </w:rPr>
        <w:t xml:space="preserve"> </w:t>
      </w:r>
      <w:r w:rsidR="00E47969" w:rsidRPr="236AC2D8">
        <w:rPr>
          <w:lang w:val="en-NZ" w:eastAsia="en-NZ"/>
        </w:rPr>
        <w:t xml:space="preserve">The high fiscal cost may </w:t>
      </w:r>
      <w:r w:rsidR="00E47969">
        <w:rPr>
          <w:lang w:val="en-NZ" w:eastAsia="en-NZ"/>
        </w:rPr>
        <w:t xml:space="preserve">also </w:t>
      </w:r>
      <w:r w:rsidR="00E47969" w:rsidRPr="236AC2D8">
        <w:rPr>
          <w:lang w:val="en-NZ" w:eastAsia="en-NZ"/>
        </w:rPr>
        <w:t xml:space="preserve">potentially limit the range of options available under phase two of </w:t>
      </w:r>
      <w:bookmarkStart w:id="14" w:name="_Hlk53565460"/>
      <w:r w:rsidR="007F67AA">
        <w:rPr>
          <w:lang w:val="en-NZ" w:eastAsia="en-NZ"/>
        </w:rPr>
        <w:t>the review</w:t>
      </w:r>
    </w:p>
    <w:p w14:paraId="0F90257D" w14:textId="77777777" w:rsidR="00F1523A" w:rsidRDefault="00F1523A" w:rsidP="00570E3F">
      <w:pPr>
        <w:pStyle w:val="Heading3"/>
        <w:rPr>
          <w:noProof/>
          <w:lang w:val="en-NZ" w:eastAsia="en-NZ"/>
        </w:rPr>
        <w:sectPr w:rsidR="00F1523A" w:rsidSect="00B5612C">
          <w:pgSz w:w="11906" w:h="16838" w:code="9"/>
          <w:pgMar w:top="1134" w:right="1418" w:bottom="992" w:left="1418" w:header="454" w:footer="454" w:gutter="0"/>
          <w:cols w:space="708"/>
          <w:docGrid w:linePitch="360"/>
        </w:sectPr>
      </w:pPr>
    </w:p>
    <w:p w14:paraId="58ACFE9B" w14:textId="2D32C3D9" w:rsidR="00097119" w:rsidRDefault="00DB51CD" w:rsidP="00570E3F">
      <w:pPr>
        <w:pStyle w:val="Heading3"/>
        <w:rPr>
          <w:lang w:val="en-NZ"/>
        </w:rPr>
      </w:pPr>
      <w:r>
        <w:rPr>
          <w:noProof/>
          <w:lang w:val="en-NZ" w:eastAsia="en-NZ"/>
        </w:rPr>
        <w:t>What are</w:t>
      </w:r>
      <w:r w:rsidR="004625C9" w:rsidRPr="00A864A5">
        <w:rPr>
          <w:lang w:val="en-NZ"/>
        </w:rPr>
        <w:t xml:space="preserve"> the </w:t>
      </w:r>
      <w:r w:rsidR="005F41A2">
        <w:rPr>
          <w:lang w:val="en-NZ"/>
        </w:rPr>
        <w:t xml:space="preserve">marginal </w:t>
      </w:r>
      <w:r w:rsidR="00F01ED1" w:rsidRPr="00A864A5">
        <w:rPr>
          <w:lang w:val="en-NZ"/>
        </w:rPr>
        <w:t>costs and benefits</w:t>
      </w:r>
      <w:r w:rsidR="004625C9" w:rsidRPr="00A864A5">
        <w:rPr>
          <w:lang w:val="en-NZ"/>
        </w:rPr>
        <w:t xml:space="preserve"> of </w:t>
      </w:r>
      <w:r w:rsidR="005F41A2">
        <w:rPr>
          <w:lang w:val="en-NZ"/>
        </w:rPr>
        <w:t>the</w:t>
      </w:r>
      <w:r w:rsidR="004625C9" w:rsidRPr="00A864A5">
        <w:rPr>
          <w:lang w:val="en-NZ"/>
        </w:rPr>
        <w:t xml:space="preserve"> option</w:t>
      </w:r>
      <w:r>
        <w:rPr>
          <w:lang w:val="en-NZ"/>
        </w:rPr>
        <w:t>?</w:t>
      </w:r>
    </w:p>
    <w:p w14:paraId="40C8EE67" w14:textId="4AD30A6F" w:rsidR="00DD0D4A" w:rsidRDefault="00DD0D4A" w:rsidP="00AC6FF7">
      <w:pPr>
        <w:spacing w:before="180"/>
        <w:rPr>
          <w:lang w:val="en-NZ"/>
        </w:rPr>
      </w:pPr>
      <w:r>
        <w:rPr>
          <w:lang w:val="en-NZ"/>
        </w:rPr>
        <w:t>Ministers have indicated that they prefer option A3</w:t>
      </w:r>
      <w:r w:rsidR="007D4293">
        <w:rPr>
          <w:lang w:val="en-NZ"/>
        </w:rPr>
        <w:t xml:space="preserve">: a </w:t>
      </w:r>
      <w:r>
        <w:rPr>
          <w:lang w:val="en-NZ"/>
        </w:rPr>
        <w:t xml:space="preserve">$5 FTC increase and 27% abatement threshold. </w:t>
      </w:r>
    </w:p>
    <w:p w14:paraId="21C8AF3D" w14:textId="1274729E" w:rsidR="007D4293" w:rsidRPr="00BA39B9" w:rsidRDefault="007D4293" w:rsidP="00AC6FF7">
      <w:pPr>
        <w:spacing w:before="180"/>
        <w:rPr>
          <w:lang w:val="en-NZ"/>
        </w:rPr>
      </w:pPr>
      <w:r>
        <w:rPr>
          <w:lang w:val="en-NZ"/>
        </w:rPr>
        <w:t xml:space="preserve">All impacts of this option have been modelled using Treasury’s TAWA which assumes full take-up and does not account for relationship </w:t>
      </w:r>
      <w:r w:rsidR="00084B34">
        <w:rPr>
          <w:lang w:val="en-NZ"/>
        </w:rPr>
        <w:t>change</w:t>
      </w:r>
      <w:r>
        <w:rPr>
          <w:lang w:val="en-NZ"/>
        </w:rPr>
        <w:t>s.</w:t>
      </w:r>
      <w:r w:rsidR="00FA4DF5">
        <w:rPr>
          <w:lang w:val="en-NZ"/>
        </w:rPr>
        <w:t xml:space="preserve"> All outputs relate to the impact of the options excluding CPI indexation.</w:t>
      </w:r>
    </w:p>
    <w:tbl>
      <w:tblPr>
        <w:tblpPr w:leftFromText="180" w:rightFromText="180" w:vertAnchor="text" w:horzAnchor="margin" w:tblpY="754"/>
        <w:tblOverlap w:val="neve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37"/>
        <w:gridCol w:w="2267"/>
        <w:gridCol w:w="4843"/>
        <w:gridCol w:w="2529"/>
        <w:gridCol w:w="3226"/>
      </w:tblGrid>
      <w:tr w:rsidR="00683E48" w:rsidRPr="00A864A5" w14:paraId="5EA92CE7" w14:textId="77777777" w:rsidTr="00F766BD">
        <w:trPr>
          <w:trHeight w:val="699"/>
        </w:trPr>
        <w:tc>
          <w:tcPr>
            <w:tcW w:w="625" w:type="pct"/>
            <w:shd w:val="clear" w:color="auto" w:fill="F2F2F2" w:themeFill="background1" w:themeFillShade="F2"/>
          </w:tcPr>
          <w:p w14:paraId="240CF515" w14:textId="51E09E14" w:rsidR="00683E48" w:rsidRPr="00A864A5" w:rsidRDefault="00010DB8" w:rsidP="0037116C">
            <w:pPr>
              <w:pStyle w:val="TableText"/>
              <w:keepNext/>
              <w:rPr>
                <w:rFonts w:eastAsia="Calibri"/>
                <w:b/>
                <w:color w:val="000000"/>
                <w:sz w:val="22"/>
                <w:lang w:val="en-NZ"/>
              </w:rPr>
            </w:pPr>
            <w:r>
              <w:rPr>
                <w:rFonts w:eastAsia="Calibri"/>
                <w:b/>
                <w:color w:val="000000"/>
                <w:sz w:val="22"/>
                <w:lang w:val="en-NZ"/>
              </w:rPr>
              <w:t>Option</w:t>
            </w:r>
          </w:p>
        </w:tc>
        <w:tc>
          <w:tcPr>
            <w:tcW w:w="771" w:type="pct"/>
            <w:shd w:val="clear" w:color="auto" w:fill="F2F2F2" w:themeFill="background1" w:themeFillShade="F2"/>
          </w:tcPr>
          <w:p w14:paraId="74B32D65" w14:textId="33D3E782" w:rsidR="00683E48" w:rsidRPr="00A864A5" w:rsidRDefault="00683E48" w:rsidP="0037116C">
            <w:pPr>
              <w:pStyle w:val="TableText"/>
              <w:keepNext/>
              <w:rPr>
                <w:rFonts w:eastAsia="Calibri"/>
                <w:color w:val="000000"/>
                <w:sz w:val="22"/>
                <w:lang w:val="en-NZ"/>
              </w:rPr>
            </w:pPr>
            <w:r w:rsidRPr="00A864A5">
              <w:rPr>
                <w:rFonts w:eastAsia="Calibri"/>
                <w:b/>
                <w:color w:val="000000"/>
                <w:sz w:val="22"/>
                <w:lang w:val="en-NZ"/>
              </w:rPr>
              <w:t>Affected groups</w:t>
            </w:r>
          </w:p>
        </w:tc>
        <w:tc>
          <w:tcPr>
            <w:tcW w:w="1647" w:type="pct"/>
            <w:shd w:val="clear" w:color="auto" w:fill="F2F2F2" w:themeFill="background1" w:themeFillShade="F2"/>
          </w:tcPr>
          <w:p w14:paraId="18E17B4C" w14:textId="64A1EA55" w:rsidR="00683E48" w:rsidRPr="00A864A5" w:rsidRDefault="00683E48" w:rsidP="0037116C">
            <w:pPr>
              <w:pStyle w:val="TableText"/>
              <w:keepNext/>
              <w:rPr>
                <w:rFonts w:eastAsia="Calibri"/>
                <w:color w:val="000000"/>
                <w:sz w:val="22"/>
                <w:lang w:val="en-NZ"/>
              </w:rPr>
            </w:pPr>
            <w:r w:rsidRPr="00A864A5">
              <w:rPr>
                <w:rFonts w:eastAsia="Calibri"/>
                <w:b/>
                <w:color w:val="000000"/>
                <w:sz w:val="22"/>
                <w:lang w:val="en-NZ"/>
              </w:rPr>
              <w:t>Comment</w:t>
            </w:r>
            <w:r>
              <w:rPr>
                <w:rFonts w:eastAsia="Calibri"/>
                <w:color w:val="000000"/>
                <w:sz w:val="22"/>
                <w:lang w:val="en-NZ"/>
              </w:rPr>
              <w:br/>
            </w:r>
          </w:p>
        </w:tc>
        <w:tc>
          <w:tcPr>
            <w:tcW w:w="860" w:type="pct"/>
            <w:shd w:val="clear" w:color="auto" w:fill="F2F2F2" w:themeFill="background1" w:themeFillShade="F2"/>
          </w:tcPr>
          <w:p w14:paraId="4E01756B" w14:textId="4797EF1F" w:rsidR="00683E48" w:rsidRPr="00136700" w:rsidRDefault="00683E48" w:rsidP="0037116C">
            <w:pPr>
              <w:pStyle w:val="TableText"/>
              <w:keepNext/>
              <w:rPr>
                <w:rFonts w:eastAsia="Calibri"/>
                <w:b/>
                <w:color w:val="000000"/>
                <w:sz w:val="22"/>
                <w:lang w:val="en-NZ"/>
              </w:rPr>
            </w:pPr>
            <w:r w:rsidRPr="00A864A5">
              <w:rPr>
                <w:rFonts w:eastAsia="Calibri"/>
                <w:b/>
                <w:color w:val="000000"/>
                <w:sz w:val="22"/>
                <w:lang w:val="en-NZ"/>
              </w:rPr>
              <w:t>Impact</w:t>
            </w:r>
            <w:r>
              <w:rPr>
                <w:rFonts w:eastAsia="Calibri"/>
                <w:b/>
                <w:color w:val="000000"/>
                <w:sz w:val="22"/>
                <w:lang w:val="en-NZ"/>
              </w:rPr>
              <w:br/>
            </w:r>
          </w:p>
        </w:tc>
        <w:tc>
          <w:tcPr>
            <w:tcW w:w="1097" w:type="pct"/>
            <w:shd w:val="clear" w:color="auto" w:fill="F2F2F2" w:themeFill="background1" w:themeFillShade="F2"/>
          </w:tcPr>
          <w:p w14:paraId="29027758" w14:textId="3ADE4E4F" w:rsidR="00683E48" w:rsidRPr="00136700" w:rsidRDefault="00683E48" w:rsidP="0037116C">
            <w:pPr>
              <w:pStyle w:val="TableText"/>
              <w:keepNext/>
              <w:rPr>
                <w:rFonts w:eastAsia="Calibri"/>
                <w:bCs/>
                <w:i/>
                <w:iCs/>
                <w:color w:val="000000"/>
                <w:szCs w:val="20"/>
                <w:lang w:val="en-NZ"/>
              </w:rPr>
            </w:pPr>
            <w:r>
              <w:rPr>
                <w:rFonts w:eastAsia="Calibri"/>
                <w:b/>
                <w:color w:val="000000"/>
                <w:sz w:val="22"/>
                <w:lang w:val="en-NZ"/>
              </w:rPr>
              <w:t>Evidence Certainty</w:t>
            </w:r>
            <w:r>
              <w:rPr>
                <w:rFonts w:eastAsia="Calibri"/>
                <w:b/>
                <w:color w:val="000000"/>
                <w:sz w:val="22"/>
                <w:lang w:val="en-NZ"/>
              </w:rPr>
              <w:br/>
            </w:r>
          </w:p>
        </w:tc>
      </w:tr>
      <w:tr w:rsidR="00010DB8" w:rsidRPr="00A864A5" w14:paraId="3BC25AF6" w14:textId="77777777" w:rsidTr="00FE6A08">
        <w:trPr>
          <w:trHeight w:val="391"/>
        </w:trPr>
        <w:tc>
          <w:tcPr>
            <w:tcW w:w="5000" w:type="pct"/>
            <w:gridSpan w:val="5"/>
            <w:shd w:val="clear" w:color="auto" w:fill="F2F2F2" w:themeFill="background1" w:themeFillShade="F2"/>
          </w:tcPr>
          <w:p w14:paraId="183B7348" w14:textId="74D1CAE5" w:rsidR="00010DB8" w:rsidRDefault="00010DB8" w:rsidP="0037116C">
            <w:pPr>
              <w:keepNext/>
              <w:spacing w:before="40" w:after="20" w:line="240" w:lineRule="auto"/>
              <w:jc w:val="center"/>
              <w:rPr>
                <w:rFonts w:eastAsia="Calibri"/>
                <w:b/>
                <w:bCs/>
                <w:color w:val="000000"/>
                <w:szCs w:val="22"/>
                <w:lang w:val="en-NZ"/>
              </w:rPr>
            </w:pPr>
            <w:r>
              <w:rPr>
                <w:rFonts w:eastAsia="Calibri"/>
                <w:b/>
                <w:bCs/>
                <w:color w:val="000000"/>
                <w:szCs w:val="22"/>
                <w:lang w:val="en-NZ"/>
              </w:rPr>
              <w:t xml:space="preserve">Additional </w:t>
            </w:r>
            <w:r w:rsidRPr="00F766BD">
              <w:rPr>
                <w:rFonts w:eastAsia="Calibri"/>
                <w:b/>
                <w:bCs/>
                <w:color w:val="000000"/>
                <w:szCs w:val="22"/>
                <w:u w:val="single"/>
                <w:lang w:val="en-NZ"/>
              </w:rPr>
              <w:t>costs</w:t>
            </w:r>
            <w:r w:rsidRPr="00A864A5">
              <w:rPr>
                <w:rFonts w:eastAsia="Calibri"/>
                <w:b/>
                <w:bCs/>
                <w:color w:val="000000"/>
                <w:szCs w:val="22"/>
                <w:lang w:val="en-NZ"/>
              </w:rPr>
              <w:t xml:space="preserve"> of the preferred option compared to </w:t>
            </w:r>
            <w:r>
              <w:rPr>
                <w:rFonts w:eastAsia="Calibri"/>
                <w:b/>
                <w:bCs/>
                <w:color w:val="000000"/>
                <w:szCs w:val="22"/>
                <w:lang w:val="en-NZ"/>
              </w:rPr>
              <w:t>taking no action</w:t>
            </w:r>
          </w:p>
        </w:tc>
      </w:tr>
      <w:tr w:rsidR="00CC0CE9" w:rsidRPr="00A864A5" w14:paraId="00A83956" w14:textId="77777777" w:rsidTr="00F766BD">
        <w:trPr>
          <w:trHeight w:val="263"/>
        </w:trPr>
        <w:tc>
          <w:tcPr>
            <w:tcW w:w="625" w:type="pct"/>
            <w:vMerge w:val="restart"/>
            <w:shd w:val="clear" w:color="auto" w:fill="auto"/>
          </w:tcPr>
          <w:p w14:paraId="6B3802D5" w14:textId="77777777" w:rsidR="00CC0CE9" w:rsidRDefault="00CC0CE9" w:rsidP="005B1AEE">
            <w:pPr>
              <w:pStyle w:val="TableText"/>
              <w:keepNext/>
              <w:rPr>
                <w:rFonts w:eastAsia="Calibri"/>
                <w:bCs/>
                <w:sz w:val="22"/>
                <w:lang w:val="en-NZ"/>
              </w:rPr>
            </w:pPr>
            <w:r w:rsidRPr="000939BA">
              <w:rPr>
                <w:rFonts w:eastAsia="Calibri"/>
                <w:bCs/>
                <w:sz w:val="22"/>
                <w:lang w:val="en-NZ"/>
              </w:rPr>
              <w:t>A3</w:t>
            </w:r>
          </w:p>
          <w:p w14:paraId="349A516F" w14:textId="1CB8951C" w:rsidR="00CC0CE9" w:rsidRPr="000939BA" w:rsidRDefault="003A3DB7" w:rsidP="005B1AEE">
            <w:pPr>
              <w:pStyle w:val="TableText"/>
              <w:keepNext/>
              <w:rPr>
                <w:rFonts w:eastAsia="Calibri"/>
                <w:bCs/>
                <w:sz w:val="22"/>
                <w:lang w:val="en-NZ"/>
              </w:rPr>
            </w:pPr>
            <w:r>
              <w:rPr>
                <w:rFonts w:eastAsia="Calibri"/>
                <w:bCs/>
                <w:sz w:val="22"/>
                <w:lang w:val="en-NZ"/>
              </w:rPr>
              <w:t>($5 FTC increase, 27% abatement rate</w:t>
            </w:r>
            <w:r w:rsidR="00921D14">
              <w:rPr>
                <w:rFonts w:eastAsia="Calibri"/>
                <w:bCs/>
                <w:sz w:val="22"/>
                <w:lang w:val="en-NZ"/>
              </w:rPr>
              <w:t>)</w:t>
            </w:r>
          </w:p>
        </w:tc>
        <w:tc>
          <w:tcPr>
            <w:tcW w:w="771" w:type="pct"/>
            <w:vMerge w:val="restart"/>
            <w:shd w:val="clear" w:color="auto" w:fill="auto"/>
          </w:tcPr>
          <w:p w14:paraId="1F32CE6B" w14:textId="77FD5B17" w:rsidR="00CC0CE9" w:rsidRPr="00A864A5" w:rsidRDefault="00CC0CE9" w:rsidP="005B1AEE">
            <w:pPr>
              <w:pStyle w:val="TableText"/>
              <w:keepNext/>
              <w:rPr>
                <w:rFonts w:eastAsia="Calibri"/>
                <w:b/>
                <w:sz w:val="22"/>
                <w:lang w:val="en-NZ"/>
              </w:rPr>
            </w:pPr>
            <w:r>
              <w:rPr>
                <w:rFonts w:eastAsia="Calibri"/>
                <w:bCs/>
                <w:sz w:val="22"/>
                <w:lang w:val="en-NZ"/>
              </w:rPr>
              <w:t>WFF</w:t>
            </w:r>
            <w:r w:rsidRPr="000939BA">
              <w:rPr>
                <w:rFonts w:eastAsia="Calibri"/>
                <w:bCs/>
                <w:sz w:val="22"/>
                <w:lang w:val="en-NZ"/>
              </w:rPr>
              <w:t xml:space="preserve"> recipients</w:t>
            </w:r>
          </w:p>
        </w:tc>
        <w:tc>
          <w:tcPr>
            <w:tcW w:w="1647" w:type="pct"/>
            <w:shd w:val="clear" w:color="auto" w:fill="auto"/>
          </w:tcPr>
          <w:p w14:paraId="7B259018" w14:textId="7D6F0470" w:rsidR="00CC0CE9" w:rsidRPr="0028450E" w:rsidRDefault="00CC0CE9" w:rsidP="005B1AEE">
            <w:pPr>
              <w:pStyle w:val="TableText"/>
              <w:keepNext/>
              <w:rPr>
                <w:rFonts w:eastAsia="Calibri"/>
                <w:i/>
                <w:iCs/>
                <w:sz w:val="22"/>
                <w:lang w:val="en-NZ"/>
              </w:rPr>
            </w:pPr>
            <w:r w:rsidRPr="0028450E">
              <w:rPr>
                <w:rFonts w:eastAsia="Calibri"/>
                <w:i/>
                <w:iCs/>
                <w:sz w:val="22"/>
                <w:lang w:val="en-NZ"/>
              </w:rPr>
              <w:t xml:space="preserve">89,000 </w:t>
            </w:r>
            <w:r w:rsidR="00E569F9">
              <w:rPr>
                <w:rFonts w:eastAsia="Calibri"/>
                <w:i/>
                <w:iCs/>
                <w:sz w:val="22"/>
                <w:lang w:val="en-NZ"/>
              </w:rPr>
              <w:t>households</w:t>
            </w:r>
            <w:r w:rsidRPr="0028450E">
              <w:rPr>
                <w:rFonts w:eastAsia="Calibri"/>
                <w:i/>
                <w:iCs/>
                <w:sz w:val="22"/>
                <w:lang w:val="en-NZ"/>
              </w:rPr>
              <w:t xml:space="preserve"> will </w:t>
            </w:r>
            <w:r w:rsidR="003848DC">
              <w:rPr>
                <w:rFonts w:eastAsia="Calibri"/>
                <w:i/>
                <w:iCs/>
                <w:sz w:val="22"/>
                <w:lang w:val="en-NZ"/>
              </w:rPr>
              <w:t>see</w:t>
            </w:r>
            <w:r w:rsidR="003848DC" w:rsidRPr="003848DC">
              <w:rPr>
                <w:rFonts w:eastAsia="Calibri"/>
                <w:i/>
                <w:iCs/>
                <w:sz w:val="22"/>
                <w:lang w:val="en-NZ"/>
              </w:rPr>
              <w:t xml:space="preserve"> a decrease in weekly income, compared to the counterfactual</w:t>
            </w:r>
            <w:r w:rsidR="003848DC">
              <w:rPr>
                <w:rFonts w:eastAsia="Calibri"/>
                <w:i/>
                <w:iCs/>
                <w:sz w:val="22"/>
                <w:lang w:val="en-NZ"/>
              </w:rPr>
              <w:t>.</w:t>
            </w:r>
            <w:r w:rsidRPr="0028450E">
              <w:rPr>
                <w:rFonts w:eastAsia="Calibri"/>
                <w:i/>
                <w:iCs/>
                <w:sz w:val="22"/>
                <w:lang w:val="en-NZ"/>
              </w:rPr>
              <w:t xml:space="preserve"> This assumes full take-up</w:t>
            </w:r>
          </w:p>
        </w:tc>
        <w:tc>
          <w:tcPr>
            <w:tcW w:w="860" w:type="pct"/>
            <w:shd w:val="clear" w:color="auto" w:fill="auto"/>
          </w:tcPr>
          <w:p w14:paraId="6B15F5E2" w14:textId="1F4A1F7D" w:rsidR="00CC0CE9" w:rsidRPr="0028450E" w:rsidRDefault="00CC0CE9" w:rsidP="005B1AEE">
            <w:pPr>
              <w:pStyle w:val="TableText"/>
              <w:keepNext/>
              <w:rPr>
                <w:rFonts w:eastAsia="Calibri"/>
                <w:i/>
                <w:iCs/>
                <w:sz w:val="22"/>
                <w:lang w:val="en-NZ"/>
              </w:rPr>
            </w:pPr>
            <w:r w:rsidRPr="0028450E">
              <w:rPr>
                <w:rFonts w:eastAsia="Calibri"/>
                <w:i/>
                <w:iCs/>
                <w:sz w:val="22"/>
                <w:lang w:val="en-NZ"/>
              </w:rPr>
              <w:t>Average weekly decrease of -$6</w:t>
            </w:r>
          </w:p>
        </w:tc>
        <w:tc>
          <w:tcPr>
            <w:tcW w:w="1097" w:type="pct"/>
            <w:shd w:val="clear" w:color="auto" w:fill="auto"/>
          </w:tcPr>
          <w:p w14:paraId="4486C108" w14:textId="4197749C" w:rsidR="00CC0CE9" w:rsidRPr="0028450E" w:rsidRDefault="00CC0CE9" w:rsidP="005B1AEE">
            <w:pPr>
              <w:pStyle w:val="TableText"/>
              <w:keepNext/>
              <w:rPr>
                <w:rFonts w:eastAsia="Calibri"/>
                <w:i/>
                <w:iCs/>
                <w:sz w:val="22"/>
                <w:lang w:val="en-NZ"/>
              </w:rPr>
            </w:pPr>
            <w:r w:rsidRPr="0028450E">
              <w:rPr>
                <w:rFonts w:eastAsia="Calibri"/>
                <w:i/>
                <w:iCs/>
                <w:sz w:val="22"/>
                <w:lang w:val="en-NZ"/>
              </w:rPr>
              <w:t>Medium certainty as assuming full take-up impacts accuracy.</w:t>
            </w:r>
          </w:p>
        </w:tc>
      </w:tr>
      <w:tr w:rsidR="00CC0CE9" w:rsidRPr="00A864A5" w14:paraId="3517B257" w14:textId="77777777" w:rsidTr="00F766BD">
        <w:trPr>
          <w:trHeight w:val="263"/>
        </w:trPr>
        <w:tc>
          <w:tcPr>
            <w:tcW w:w="625" w:type="pct"/>
            <w:vMerge/>
            <w:shd w:val="clear" w:color="auto" w:fill="auto"/>
          </w:tcPr>
          <w:p w14:paraId="7FA8E468" w14:textId="77777777" w:rsidR="00CC0CE9" w:rsidRPr="000939BA" w:rsidRDefault="00CC0CE9" w:rsidP="005B1AEE">
            <w:pPr>
              <w:pStyle w:val="TableText"/>
              <w:keepNext/>
              <w:rPr>
                <w:rFonts w:eastAsia="Calibri"/>
                <w:bCs/>
                <w:sz w:val="22"/>
                <w:lang w:val="en-NZ"/>
              </w:rPr>
            </w:pPr>
          </w:p>
        </w:tc>
        <w:tc>
          <w:tcPr>
            <w:tcW w:w="771" w:type="pct"/>
            <w:vMerge/>
            <w:shd w:val="clear" w:color="auto" w:fill="auto"/>
          </w:tcPr>
          <w:p w14:paraId="0D4F56E1" w14:textId="77777777" w:rsidR="00CC0CE9" w:rsidRDefault="00CC0CE9" w:rsidP="005B1AEE">
            <w:pPr>
              <w:pStyle w:val="TableText"/>
              <w:keepNext/>
              <w:rPr>
                <w:rFonts w:eastAsia="Calibri"/>
                <w:bCs/>
                <w:sz w:val="22"/>
                <w:lang w:val="en-NZ"/>
              </w:rPr>
            </w:pPr>
          </w:p>
        </w:tc>
        <w:tc>
          <w:tcPr>
            <w:tcW w:w="1647" w:type="pct"/>
            <w:shd w:val="clear" w:color="auto" w:fill="auto"/>
          </w:tcPr>
          <w:p w14:paraId="37C4BB33" w14:textId="270A316D" w:rsidR="00CC0CE9" w:rsidRPr="0028450E" w:rsidRDefault="005431CB" w:rsidP="005B1AEE">
            <w:pPr>
              <w:pStyle w:val="TableText"/>
              <w:keepNext/>
              <w:rPr>
                <w:rFonts w:eastAsia="Calibri"/>
                <w:i/>
                <w:iCs/>
                <w:sz w:val="22"/>
                <w:lang w:val="en-NZ"/>
              </w:rPr>
            </w:pPr>
            <w:r w:rsidRPr="0028450E">
              <w:rPr>
                <w:rFonts w:eastAsia="Calibri"/>
                <w:i/>
                <w:iCs/>
                <w:sz w:val="22"/>
                <w:lang w:val="en-NZ"/>
              </w:rPr>
              <w:t>Increase in EMTRs of 2% above 42 hours at minimum wage</w:t>
            </w:r>
            <w:r w:rsidR="00AA739E">
              <w:rPr>
                <w:rStyle w:val="FootnoteReference"/>
                <w:rFonts w:eastAsia="Calibri"/>
                <w:i/>
                <w:iCs/>
                <w:lang w:val="en-NZ"/>
              </w:rPr>
              <w:footnoteReference w:id="40"/>
            </w:r>
          </w:p>
        </w:tc>
        <w:tc>
          <w:tcPr>
            <w:tcW w:w="860" w:type="pct"/>
            <w:shd w:val="clear" w:color="auto" w:fill="auto"/>
          </w:tcPr>
          <w:p w14:paraId="114E559E" w14:textId="63F50911" w:rsidR="00CC0CE9" w:rsidRPr="0028450E" w:rsidRDefault="005431CB" w:rsidP="005B1AEE">
            <w:pPr>
              <w:pStyle w:val="TableText"/>
              <w:keepNext/>
              <w:rPr>
                <w:rFonts w:eastAsia="Calibri"/>
                <w:i/>
                <w:iCs/>
                <w:sz w:val="22"/>
                <w:lang w:val="en-NZ"/>
              </w:rPr>
            </w:pPr>
            <w:r w:rsidRPr="0028450E">
              <w:rPr>
                <w:rFonts w:eastAsia="Calibri"/>
                <w:i/>
                <w:iCs/>
                <w:sz w:val="22"/>
                <w:lang w:val="en-NZ"/>
              </w:rPr>
              <w:t>Low</w:t>
            </w:r>
          </w:p>
        </w:tc>
        <w:tc>
          <w:tcPr>
            <w:tcW w:w="1097" w:type="pct"/>
            <w:shd w:val="clear" w:color="auto" w:fill="auto"/>
          </w:tcPr>
          <w:p w14:paraId="053749D2" w14:textId="4A69BFE2" w:rsidR="00CC0CE9" w:rsidRPr="0028450E" w:rsidRDefault="005431CB" w:rsidP="005B1AEE">
            <w:pPr>
              <w:pStyle w:val="TableText"/>
              <w:keepNext/>
              <w:rPr>
                <w:rFonts w:eastAsia="Calibri"/>
                <w:i/>
                <w:iCs/>
                <w:sz w:val="22"/>
                <w:lang w:val="en-NZ"/>
              </w:rPr>
            </w:pPr>
            <w:r w:rsidRPr="0028450E">
              <w:rPr>
                <w:rFonts w:eastAsia="Calibri"/>
                <w:i/>
                <w:iCs/>
                <w:sz w:val="22"/>
                <w:lang w:val="en-NZ"/>
              </w:rPr>
              <w:t xml:space="preserve">High </w:t>
            </w:r>
          </w:p>
        </w:tc>
      </w:tr>
      <w:tr w:rsidR="005B1AEE" w:rsidRPr="00A864A5" w14:paraId="21D5E11A" w14:textId="77777777" w:rsidTr="00F766BD">
        <w:trPr>
          <w:trHeight w:val="263"/>
        </w:trPr>
        <w:tc>
          <w:tcPr>
            <w:tcW w:w="625" w:type="pct"/>
            <w:vMerge/>
            <w:shd w:val="clear" w:color="auto" w:fill="auto"/>
          </w:tcPr>
          <w:p w14:paraId="1455D292" w14:textId="77777777" w:rsidR="005B1AEE" w:rsidRPr="000939BA" w:rsidRDefault="005B1AEE" w:rsidP="005B1AEE">
            <w:pPr>
              <w:pStyle w:val="TableText"/>
              <w:keepNext/>
              <w:rPr>
                <w:rFonts w:eastAsia="Calibri"/>
                <w:bCs/>
                <w:sz w:val="22"/>
                <w:lang w:val="en-NZ"/>
              </w:rPr>
            </w:pPr>
          </w:p>
        </w:tc>
        <w:tc>
          <w:tcPr>
            <w:tcW w:w="771" w:type="pct"/>
            <w:shd w:val="clear" w:color="auto" w:fill="auto"/>
          </w:tcPr>
          <w:p w14:paraId="3B7BFA77" w14:textId="75FE3A29" w:rsidR="005B1AEE" w:rsidRPr="000939BA" w:rsidRDefault="005B1AEE" w:rsidP="005B1AEE">
            <w:pPr>
              <w:pStyle w:val="TableText"/>
              <w:keepNext/>
              <w:rPr>
                <w:rFonts w:eastAsia="Calibri"/>
                <w:bCs/>
                <w:sz w:val="22"/>
                <w:lang w:val="en-NZ"/>
              </w:rPr>
            </w:pPr>
            <w:r>
              <w:rPr>
                <w:rFonts w:eastAsia="Calibri"/>
                <w:sz w:val="22"/>
                <w:lang w:val="en-NZ"/>
              </w:rPr>
              <w:t>The government</w:t>
            </w:r>
          </w:p>
        </w:tc>
        <w:tc>
          <w:tcPr>
            <w:tcW w:w="1647" w:type="pct"/>
            <w:shd w:val="clear" w:color="auto" w:fill="auto"/>
          </w:tcPr>
          <w:p w14:paraId="1E446F64" w14:textId="70C5AFB6" w:rsidR="005B1AEE" w:rsidRPr="0028450E" w:rsidRDefault="005B1AEE" w:rsidP="005B1AEE">
            <w:pPr>
              <w:pStyle w:val="TableText"/>
              <w:keepNext/>
              <w:rPr>
                <w:rFonts w:eastAsia="Calibri"/>
                <w:i/>
                <w:iCs/>
                <w:sz w:val="22"/>
                <w:lang w:val="en-NZ"/>
              </w:rPr>
            </w:pPr>
            <w:r w:rsidRPr="0028450E">
              <w:rPr>
                <w:rFonts w:eastAsia="Calibri"/>
                <w:i/>
                <w:iCs/>
                <w:sz w:val="22"/>
                <w:lang w:val="en-NZ"/>
              </w:rPr>
              <w:t>Ongoing, annual fiscal cost. This assumes full take-up.</w:t>
            </w:r>
          </w:p>
        </w:tc>
        <w:tc>
          <w:tcPr>
            <w:tcW w:w="860" w:type="pct"/>
            <w:shd w:val="clear" w:color="auto" w:fill="auto"/>
          </w:tcPr>
          <w:p w14:paraId="4271FFBB" w14:textId="5D396A3B" w:rsidR="005B1AEE" w:rsidRPr="0028450E" w:rsidRDefault="005B1AEE" w:rsidP="005B1AEE">
            <w:pPr>
              <w:pStyle w:val="TableText"/>
              <w:keepNext/>
              <w:rPr>
                <w:rFonts w:eastAsia="Calibri"/>
                <w:i/>
                <w:iCs/>
                <w:sz w:val="22"/>
                <w:lang w:val="en-NZ"/>
              </w:rPr>
            </w:pPr>
            <w:r w:rsidRPr="0028450E">
              <w:rPr>
                <w:rFonts w:eastAsia="Calibri"/>
                <w:i/>
                <w:iCs/>
                <w:sz w:val="22"/>
                <w:lang w:val="en-NZ"/>
              </w:rPr>
              <w:t>$68m</w:t>
            </w:r>
          </w:p>
        </w:tc>
        <w:tc>
          <w:tcPr>
            <w:tcW w:w="1097" w:type="pct"/>
            <w:shd w:val="clear" w:color="auto" w:fill="auto"/>
          </w:tcPr>
          <w:p w14:paraId="2A6C8FD0" w14:textId="03375D35" w:rsidR="005B1AEE" w:rsidRPr="0028450E" w:rsidRDefault="005B1AEE" w:rsidP="005B1AEE">
            <w:pPr>
              <w:pStyle w:val="TableText"/>
              <w:keepNext/>
              <w:rPr>
                <w:rFonts w:eastAsia="Calibri"/>
                <w:i/>
                <w:iCs/>
                <w:sz w:val="22"/>
                <w:lang w:val="en-NZ"/>
              </w:rPr>
            </w:pPr>
            <w:r w:rsidRPr="0028450E">
              <w:rPr>
                <w:rFonts w:eastAsia="Calibri"/>
                <w:i/>
                <w:iCs/>
                <w:sz w:val="22"/>
                <w:lang w:val="en-NZ"/>
              </w:rPr>
              <w:t>Medium certainty as assuming full take-up impacts accuracy.</w:t>
            </w:r>
          </w:p>
        </w:tc>
      </w:tr>
      <w:tr w:rsidR="005B1AEE" w:rsidRPr="00A864A5" w14:paraId="7FAF2F03" w14:textId="77777777" w:rsidTr="00F766BD">
        <w:trPr>
          <w:trHeight w:val="263"/>
        </w:trPr>
        <w:tc>
          <w:tcPr>
            <w:tcW w:w="625" w:type="pct"/>
            <w:vMerge/>
            <w:shd w:val="clear" w:color="auto" w:fill="auto"/>
          </w:tcPr>
          <w:p w14:paraId="2A23C4F1" w14:textId="77777777" w:rsidR="005B1AEE" w:rsidRPr="00A864A5" w:rsidRDefault="005B1AEE" w:rsidP="005B1AEE">
            <w:pPr>
              <w:pStyle w:val="TableText"/>
              <w:keepNext/>
              <w:rPr>
                <w:rFonts w:eastAsia="Calibri"/>
                <w:b/>
                <w:sz w:val="22"/>
                <w:lang w:val="en-NZ"/>
              </w:rPr>
            </w:pPr>
          </w:p>
        </w:tc>
        <w:tc>
          <w:tcPr>
            <w:tcW w:w="771" w:type="pct"/>
            <w:vMerge w:val="restart"/>
            <w:shd w:val="clear" w:color="auto" w:fill="auto"/>
          </w:tcPr>
          <w:p w14:paraId="394712BD" w14:textId="1133A96F" w:rsidR="005B1AEE" w:rsidRPr="00A864A5" w:rsidRDefault="005B1AEE" w:rsidP="005B1AEE">
            <w:pPr>
              <w:pStyle w:val="TableText"/>
              <w:keepNext/>
              <w:rPr>
                <w:rFonts w:eastAsia="Calibri"/>
                <w:b/>
                <w:sz w:val="22"/>
                <w:lang w:val="en-NZ"/>
              </w:rPr>
            </w:pPr>
            <w:r w:rsidRPr="00A864A5">
              <w:rPr>
                <w:rFonts w:eastAsia="Calibri"/>
                <w:b/>
                <w:sz w:val="22"/>
                <w:lang w:val="en-NZ"/>
              </w:rPr>
              <w:t>Total monetised costs</w:t>
            </w:r>
          </w:p>
        </w:tc>
        <w:tc>
          <w:tcPr>
            <w:tcW w:w="1647" w:type="pct"/>
            <w:shd w:val="clear" w:color="auto" w:fill="auto"/>
          </w:tcPr>
          <w:p w14:paraId="76A6B78C" w14:textId="084CCBEA" w:rsidR="005B1AEE" w:rsidRPr="0028450E" w:rsidRDefault="005B1AEE" w:rsidP="005B1AEE">
            <w:pPr>
              <w:pStyle w:val="TableText"/>
              <w:keepNext/>
              <w:rPr>
                <w:rFonts w:eastAsia="Calibri"/>
                <w:i/>
                <w:iCs/>
                <w:sz w:val="22"/>
                <w:lang w:val="en-NZ"/>
              </w:rPr>
            </w:pPr>
            <w:r w:rsidRPr="0028450E">
              <w:rPr>
                <w:rFonts w:eastAsia="Calibri"/>
                <w:i/>
                <w:iCs/>
                <w:sz w:val="22"/>
                <w:lang w:val="en-NZ"/>
              </w:rPr>
              <w:t>Ongoing, annual fiscal cost. This assumes full take-up.</w:t>
            </w:r>
          </w:p>
        </w:tc>
        <w:tc>
          <w:tcPr>
            <w:tcW w:w="860" w:type="pct"/>
            <w:shd w:val="clear" w:color="auto" w:fill="auto"/>
          </w:tcPr>
          <w:p w14:paraId="74DC5C5C" w14:textId="4E169ED0" w:rsidR="005B1AEE" w:rsidRPr="0028450E" w:rsidRDefault="005B1AEE" w:rsidP="005B1AEE">
            <w:pPr>
              <w:pStyle w:val="TableText"/>
              <w:keepNext/>
              <w:rPr>
                <w:rFonts w:eastAsia="Calibri"/>
                <w:i/>
                <w:iCs/>
                <w:sz w:val="22"/>
                <w:lang w:val="en-NZ"/>
              </w:rPr>
            </w:pPr>
            <w:r w:rsidRPr="0028450E">
              <w:rPr>
                <w:rFonts w:eastAsia="Calibri"/>
                <w:i/>
                <w:iCs/>
                <w:sz w:val="22"/>
                <w:lang w:val="en-NZ"/>
              </w:rPr>
              <w:t>$68m</w:t>
            </w:r>
          </w:p>
        </w:tc>
        <w:tc>
          <w:tcPr>
            <w:tcW w:w="1097" w:type="pct"/>
            <w:shd w:val="clear" w:color="auto" w:fill="auto"/>
          </w:tcPr>
          <w:p w14:paraId="44D021D8" w14:textId="42FEC360" w:rsidR="005B1AEE" w:rsidRPr="0028450E" w:rsidRDefault="005B1AEE" w:rsidP="005B1AEE">
            <w:pPr>
              <w:pStyle w:val="TableText"/>
              <w:keepNext/>
              <w:rPr>
                <w:rFonts w:eastAsia="Calibri"/>
                <w:i/>
                <w:iCs/>
                <w:sz w:val="22"/>
                <w:lang w:val="en-NZ"/>
              </w:rPr>
            </w:pPr>
            <w:r w:rsidRPr="0028450E">
              <w:rPr>
                <w:rFonts w:eastAsia="Calibri"/>
                <w:i/>
                <w:iCs/>
                <w:sz w:val="22"/>
                <w:lang w:val="en-NZ"/>
              </w:rPr>
              <w:t>Medium certainty as assuming full take-up impacts accuracy.</w:t>
            </w:r>
          </w:p>
        </w:tc>
      </w:tr>
      <w:tr w:rsidR="005B1AEE" w:rsidRPr="00A864A5" w14:paraId="7774AC8E" w14:textId="77777777" w:rsidTr="00F766BD">
        <w:trPr>
          <w:trHeight w:val="263"/>
        </w:trPr>
        <w:tc>
          <w:tcPr>
            <w:tcW w:w="625" w:type="pct"/>
            <w:vMerge/>
            <w:shd w:val="clear" w:color="auto" w:fill="auto"/>
          </w:tcPr>
          <w:p w14:paraId="390C98D7" w14:textId="77777777" w:rsidR="005B1AEE" w:rsidRPr="00A864A5" w:rsidRDefault="005B1AEE" w:rsidP="005B1AEE">
            <w:pPr>
              <w:pStyle w:val="TableText"/>
              <w:keepNext/>
              <w:rPr>
                <w:rFonts w:eastAsia="Calibri"/>
                <w:b/>
                <w:sz w:val="22"/>
                <w:lang w:val="en-NZ"/>
              </w:rPr>
            </w:pPr>
          </w:p>
        </w:tc>
        <w:tc>
          <w:tcPr>
            <w:tcW w:w="771" w:type="pct"/>
            <w:vMerge/>
            <w:shd w:val="clear" w:color="auto" w:fill="auto"/>
          </w:tcPr>
          <w:p w14:paraId="3350320B" w14:textId="77777777" w:rsidR="005B1AEE" w:rsidRPr="00A864A5" w:rsidRDefault="005B1AEE" w:rsidP="005B1AEE">
            <w:pPr>
              <w:pStyle w:val="TableText"/>
              <w:keepNext/>
              <w:rPr>
                <w:rFonts w:eastAsia="Calibri"/>
                <w:b/>
                <w:sz w:val="22"/>
                <w:lang w:val="en-NZ"/>
              </w:rPr>
            </w:pPr>
          </w:p>
        </w:tc>
        <w:tc>
          <w:tcPr>
            <w:tcW w:w="1647" w:type="pct"/>
            <w:shd w:val="clear" w:color="auto" w:fill="auto"/>
          </w:tcPr>
          <w:p w14:paraId="269CA3D8" w14:textId="05EC3C92" w:rsidR="005B1AEE" w:rsidRPr="0028450E" w:rsidRDefault="005B1AEE" w:rsidP="005B1AEE">
            <w:pPr>
              <w:pStyle w:val="TableText"/>
              <w:keepNext/>
              <w:rPr>
                <w:rFonts w:eastAsia="Calibri"/>
                <w:i/>
                <w:iCs/>
                <w:sz w:val="22"/>
                <w:lang w:val="en-NZ"/>
              </w:rPr>
            </w:pPr>
            <w:r w:rsidRPr="0028450E">
              <w:rPr>
                <w:rFonts w:eastAsia="Calibri"/>
                <w:i/>
                <w:iCs/>
                <w:sz w:val="22"/>
                <w:lang w:val="en-NZ"/>
              </w:rPr>
              <w:t>Average weekly decrease in income</w:t>
            </w:r>
          </w:p>
        </w:tc>
        <w:tc>
          <w:tcPr>
            <w:tcW w:w="860" w:type="pct"/>
            <w:shd w:val="clear" w:color="auto" w:fill="auto"/>
          </w:tcPr>
          <w:p w14:paraId="624652C2" w14:textId="127C6853" w:rsidR="005B1AEE" w:rsidRPr="0028450E" w:rsidRDefault="005B1AEE" w:rsidP="005B1AEE">
            <w:pPr>
              <w:pStyle w:val="TableText"/>
              <w:keepNext/>
              <w:rPr>
                <w:rFonts w:eastAsia="Calibri"/>
                <w:i/>
                <w:iCs/>
                <w:sz w:val="22"/>
                <w:lang w:val="en-NZ"/>
              </w:rPr>
            </w:pPr>
            <w:r w:rsidRPr="0028450E">
              <w:rPr>
                <w:rFonts w:eastAsia="Calibri"/>
                <w:i/>
                <w:iCs/>
                <w:sz w:val="22"/>
                <w:lang w:val="en-NZ"/>
              </w:rPr>
              <w:t>-$6</w:t>
            </w:r>
          </w:p>
        </w:tc>
        <w:tc>
          <w:tcPr>
            <w:tcW w:w="1097" w:type="pct"/>
            <w:shd w:val="clear" w:color="auto" w:fill="auto"/>
          </w:tcPr>
          <w:p w14:paraId="3EE1CCA5" w14:textId="05DF265D" w:rsidR="005B1AEE" w:rsidRPr="0028450E" w:rsidRDefault="002429EC" w:rsidP="005B1AEE">
            <w:pPr>
              <w:pStyle w:val="TableText"/>
              <w:keepNext/>
              <w:rPr>
                <w:rFonts w:eastAsia="Calibri"/>
                <w:i/>
                <w:iCs/>
                <w:sz w:val="22"/>
                <w:lang w:val="en-NZ"/>
              </w:rPr>
            </w:pPr>
            <w:r w:rsidRPr="002429EC">
              <w:rPr>
                <w:rFonts w:eastAsia="Calibri"/>
                <w:i/>
                <w:iCs/>
                <w:sz w:val="22"/>
                <w:lang w:val="en-NZ"/>
              </w:rPr>
              <w:t>Medium certainty as assuming full take-up impacts accuracy.</w:t>
            </w:r>
          </w:p>
        </w:tc>
      </w:tr>
      <w:tr w:rsidR="005B1AEE" w:rsidRPr="00A864A5" w14:paraId="73BC44DD" w14:textId="77777777" w:rsidTr="00F766BD">
        <w:trPr>
          <w:trHeight w:val="263"/>
        </w:trPr>
        <w:tc>
          <w:tcPr>
            <w:tcW w:w="625" w:type="pct"/>
            <w:vMerge/>
            <w:shd w:val="clear" w:color="auto" w:fill="auto"/>
          </w:tcPr>
          <w:p w14:paraId="53095EED" w14:textId="77777777" w:rsidR="005B1AEE" w:rsidRPr="00A864A5" w:rsidRDefault="005B1AEE" w:rsidP="005B1AEE">
            <w:pPr>
              <w:pStyle w:val="TableText"/>
              <w:keepNext/>
              <w:rPr>
                <w:rFonts w:eastAsia="Calibri"/>
                <w:b/>
                <w:sz w:val="22"/>
                <w:lang w:val="en-NZ"/>
              </w:rPr>
            </w:pPr>
          </w:p>
        </w:tc>
        <w:tc>
          <w:tcPr>
            <w:tcW w:w="771" w:type="pct"/>
            <w:shd w:val="clear" w:color="auto" w:fill="auto"/>
          </w:tcPr>
          <w:p w14:paraId="298B8D87" w14:textId="05F7BD5A" w:rsidR="005B1AEE" w:rsidRPr="00A864A5" w:rsidRDefault="005B1AEE" w:rsidP="005B1AEE">
            <w:pPr>
              <w:pStyle w:val="TableText"/>
              <w:keepNext/>
              <w:rPr>
                <w:rFonts w:eastAsia="Calibri"/>
                <w:b/>
                <w:sz w:val="22"/>
                <w:lang w:val="en-NZ"/>
              </w:rPr>
            </w:pPr>
            <w:r w:rsidRPr="00A864A5">
              <w:rPr>
                <w:rFonts w:eastAsia="Calibri"/>
                <w:b/>
                <w:sz w:val="22"/>
                <w:lang w:val="en-NZ"/>
              </w:rPr>
              <w:t xml:space="preserve">Non-monetised costs </w:t>
            </w:r>
          </w:p>
        </w:tc>
        <w:tc>
          <w:tcPr>
            <w:tcW w:w="1647" w:type="pct"/>
            <w:shd w:val="clear" w:color="auto" w:fill="auto"/>
          </w:tcPr>
          <w:p w14:paraId="69C14F4E" w14:textId="24490089" w:rsidR="005B1AEE" w:rsidRPr="0028450E" w:rsidRDefault="005B1AEE" w:rsidP="005B1AEE">
            <w:pPr>
              <w:pStyle w:val="TableText"/>
              <w:keepNext/>
              <w:rPr>
                <w:rFonts w:eastAsia="Calibri"/>
                <w:i/>
                <w:iCs/>
                <w:sz w:val="22"/>
                <w:lang w:val="en-NZ"/>
              </w:rPr>
            </w:pPr>
            <w:r w:rsidRPr="0028450E">
              <w:rPr>
                <w:rFonts w:eastAsia="Calibri"/>
                <w:i/>
                <w:iCs/>
                <w:sz w:val="22"/>
                <w:lang w:val="en-NZ"/>
              </w:rPr>
              <w:t>Increase in EMTRs and PTRs of 2% above 42 hours at minimum wage</w:t>
            </w:r>
            <w:r w:rsidR="00AD6F25">
              <w:rPr>
                <w:rStyle w:val="FootnoteReference"/>
                <w:rFonts w:eastAsia="Calibri"/>
                <w:i/>
                <w:iCs/>
                <w:lang w:val="en-NZ"/>
              </w:rPr>
              <w:footnoteReference w:id="41"/>
            </w:r>
          </w:p>
        </w:tc>
        <w:tc>
          <w:tcPr>
            <w:tcW w:w="860" w:type="pct"/>
            <w:shd w:val="clear" w:color="auto" w:fill="auto"/>
          </w:tcPr>
          <w:p w14:paraId="380C4651" w14:textId="2B33EB97" w:rsidR="005B1AEE" w:rsidRPr="0028450E" w:rsidRDefault="005B1AEE" w:rsidP="005B1AEE">
            <w:pPr>
              <w:pStyle w:val="TableText"/>
              <w:keepNext/>
              <w:rPr>
                <w:rFonts w:eastAsia="Calibri"/>
                <w:i/>
                <w:iCs/>
                <w:sz w:val="22"/>
                <w:lang w:val="en-NZ"/>
              </w:rPr>
            </w:pPr>
            <w:r w:rsidRPr="0028450E">
              <w:rPr>
                <w:rFonts w:eastAsia="Calibri"/>
                <w:i/>
                <w:iCs/>
                <w:sz w:val="22"/>
                <w:lang w:val="en-NZ"/>
              </w:rPr>
              <w:t>Low</w:t>
            </w:r>
          </w:p>
        </w:tc>
        <w:tc>
          <w:tcPr>
            <w:tcW w:w="1097" w:type="pct"/>
            <w:shd w:val="clear" w:color="auto" w:fill="auto"/>
          </w:tcPr>
          <w:p w14:paraId="49F2693E" w14:textId="00C3F3F2" w:rsidR="005B1AEE" w:rsidRPr="0028450E" w:rsidRDefault="005B1AEE" w:rsidP="005B1AEE">
            <w:pPr>
              <w:pStyle w:val="TableText"/>
              <w:keepNext/>
              <w:rPr>
                <w:rFonts w:eastAsia="Calibri"/>
                <w:i/>
                <w:iCs/>
                <w:sz w:val="22"/>
                <w:lang w:val="en-NZ"/>
              </w:rPr>
            </w:pPr>
            <w:r w:rsidRPr="0028450E">
              <w:rPr>
                <w:rFonts w:eastAsia="Calibri"/>
                <w:i/>
                <w:iCs/>
                <w:sz w:val="22"/>
                <w:lang w:val="en-NZ"/>
              </w:rPr>
              <w:t xml:space="preserve">High </w:t>
            </w:r>
          </w:p>
        </w:tc>
      </w:tr>
      <w:tr w:rsidR="005B1AEE" w:rsidRPr="00A864A5" w14:paraId="307E8894" w14:textId="77777777" w:rsidTr="00265F5B">
        <w:trPr>
          <w:trHeight w:val="426"/>
        </w:trPr>
        <w:tc>
          <w:tcPr>
            <w:tcW w:w="625" w:type="pct"/>
            <w:shd w:val="clear" w:color="auto" w:fill="F2F2F2" w:themeFill="background1" w:themeFillShade="F2"/>
          </w:tcPr>
          <w:p w14:paraId="1E2E6017" w14:textId="77777777" w:rsidR="005B1AEE" w:rsidRDefault="005B1AEE" w:rsidP="005B1AEE">
            <w:pPr>
              <w:spacing w:before="40" w:after="20" w:line="240" w:lineRule="auto"/>
              <w:jc w:val="center"/>
              <w:rPr>
                <w:rFonts w:eastAsia="Calibri"/>
                <w:b/>
                <w:bCs/>
                <w:color w:val="000000"/>
                <w:szCs w:val="22"/>
                <w:lang w:val="en-NZ"/>
              </w:rPr>
            </w:pPr>
          </w:p>
        </w:tc>
        <w:tc>
          <w:tcPr>
            <w:tcW w:w="4375" w:type="pct"/>
            <w:gridSpan w:val="4"/>
            <w:shd w:val="clear" w:color="auto" w:fill="F2F2F2" w:themeFill="background1" w:themeFillShade="F2"/>
            <w:vAlign w:val="center"/>
          </w:tcPr>
          <w:p w14:paraId="795E44B3" w14:textId="40103083" w:rsidR="005B1AEE" w:rsidRDefault="005B1AEE" w:rsidP="005B1AEE">
            <w:pPr>
              <w:spacing w:before="40" w:after="20" w:line="240" w:lineRule="auto"/>
              <w:jc w:val="center"/>
              <w:rPr>
                <w:rFonts w:eastAsia="Calibri"/>
                <w:b/>
                <w:bCs/>
                <w:color w:val="000000"/>
                <w:szCs w:val="22"/>
                <w:lang w:val="en-NZ"/>
              </w:rPr>
            </w:pPr>
            <w:r>
              <w:rPr>
                <w:rFonts w:eastAsia="Calibri"/>
                <w:b/>
                <w:bCs/>
                <w:color w:val="000000"/>
                <w:szCs w:val="22"/>
                <w:lang w:val="en-NZ"/>
              </w:rPr>
              <w:t xml:space="preserve">Additional </w:t>
            </w:r>
            <w:r w:rsidRPr="00F766BD">
              <w:rPr>
                <w:rFonts w:eastAsia="Calibri"/>
                <w:b/>
                <w:bCs/>
                <w:color w:val="000000"/>
                <w:szCs w:val="22"/>
                <w:u w:val="single"/>
                <w:lang w:val="en-NZ"/>
              </w:rPr>
              <w:t>benefits</w:t>
            </w:r>
            <w:r w:rsidRPr="00A864A5">
              <w:rPr>
                <w:rFonts w:eastAsia="Calibri"/>
                <w:b/>
                <w:bCs/>
                <w:color w:val="000000"/>
                <w:szCs w:val="22"/>
                <w:lang w:val="en-NZ"/>
              </w:rPr>
              <w:t xml:space="preserve"> of the preferred option compared to </w:t>
            </w:r>
            <w:r>
              <w:rPr>
                <w:rFonts w:eastAsia="Calibri"/>
                <w:b/>
                <w:bCs/>
                <w:color w:val="000000"/>
                <w:szCs w:val="22"/>
                <w:lang w:val="en-NZ"/>
              </w:rPr>
              <w:t>taking no action</w:t>
            </w:r>
          </w:p>
        </w:tc>
      </w:tr>
      <w:tr w:rsidR="008A5E5D" w:rsidRPr="00A864A5" w14:paraId="479430D5" w14:textId="77777777" w:rsidTr="00F766BD">
        <w:trPr>
          <w:trHeight w:val="263"/>
        </w:trPr>
        <w:tc>
          <w:tcPr>
            <w:tcW w:w="625" w:type="pct"/>
            <w:vMerge w:val="restart"/>
            <w:shd w:val="clear" w:color="auto" w:fill="auto"/>
          </w:tcPr>
          <w:p w14:paraId="17B7B05C" w14:textId="77777777" w:rsidR="00265F5B" w:rsidRDefault="008A5E5D" w:rsidP="008A5E5D">
            <w:pPr>
              <w:pStyle w:val="TableText"/>
              <w:keepNext/>
              <w:rPr>
                <w:rFonts w:eastAsia="Calibri"/>
                <w:bCs/>
                <w:sz w:val="22"/>
                <w:lang w:val="en-NZ"/>
              </w:rPr>
            </w:pPr>
            <w:r w:rsidRPr="000939BA">
              <w:rPr>
                <w:rFonts w:eastAsia="Calibri"/>
                <w:bCs/>
                <w:sz w:val="22"/>
                <w:lang w:val="en-NZ"/>
              </w:rPr>
              <w:t>A3</w:t>
            </w:r>
            <w:r w:rsidR="00953161">
              <w:rPr>
                <w:rFonts w:eastAsia="Calibri"/>
                <w:bCs/>
                <w:sz w:val="22"/>
                <w:lang w:val="en-NZ"/>
              </w:rPr>
              <w:t xml:space="preserve"> </w:t>
            </w:r>
          </w:p>
          <w:p w14:paraId="2F81EA6B" w14:textId="409B0FBE" w:rsidR="008A5E5D" w:rsidRPr="000939BA" w:rsidRDefault="00953161" w:rsidP="008A5E5D">
            <w:pPr>
              <w:pStyle w:val="TableText"/>
              <w:keepNext/>
              <w:rPr>
                <w:rFonts w:eastAsia="Calibri"/>
                <w:bCs/>
                <w:sz w:val="22"/>
                <w:lang w:val="en-NZ"/>
              </w:rPr>
            </w:pPr>
            <w:r>
              <w:rPr>
                <w:rFonts w:eastAsia="Calibri"/>
                <w:bCs/>
                <w:sz w:val="22"/>
                <w:lang w:val="en-NZ"/>
              </w:rPr>
              <w:t>(</w:t>
            </w:r>
            <w:r w:rsidR="009144A5">
              <w:rPr>
                <w:rFonts w:eastAsia="Calibri"/>
                <w:bCs/>
                <w:sz w:val="22"/>
                <w:lang w:val="en-NZ"/>
              </w:rPr>
              <w:t>$5 FTC increase, 27% abatement rate)</w:t>
            </w:r>
          </w:p>
        </w:tc>
        <w:tc>
          <w:tcPr>
            <w:tcW w:w="771" w:type="pct"/>
            <w:shd w:val="clear" w:color="auto" w:fill="auto"/>
          </w:tcPr>
          <w:p w14:paraId="260AE0F7" w14:textId="77777777" w:rsidR="008A5E5D" w:rsidRPr="00A864A5" w:rsidRDefault="008A5E5D" w:rsidP="008A5E5D">
            <w:pPr>
              <w:pStyle w:val="TableText"/>
              <w:keepNext/>
              <w:rPr>
                <w:rFonts w:eastAsia="Calibri"/>
                <w:b/>
                <w:sz w:val="22"/>
                <w:lang w:val="en-NZ"/>
              </w:rPr>
            </w:pPr>
            <w:r>
              <w:rPr>
                <w:rFonts w:eastAsia="Calibri"/>
                <w:bCs/>
                <w:sz w:val="22"/>
                <w:lang w:val="en-NZ"/>
              </w:rPr>
              <w:t>WFF</w:t>
            </w:r>
            <w:r w:rsidRPr="000939BA">
              <w:rPr>
                <w:rFonts w:eastAsia="Calibri"/>
                <w:bCs/>
                <w:sz w:val="22"/>
                <w:lang w:val="en-NZ"/>
              </w:rPr>
              <w:t xml:space="preserve"> recipients</w:t>
            </w:r>
          </w:p>
        </w:tc>
        <w:tc>
          <w:tcPr>
            <w:tcW w:w="1647" w:type="pct"/>
            <w:shd w:val="clear" w:color="auto" w:fill="auto"/>
          </w:tcPr>
          <w:p w14:paraId="0A653242" w14:textId="5CCF70CF" w:rsidR="008A5E5D" w:rsidRPr="0028450E" w:rsidRDefault="008A5E5D" w:rsidP="008A5E5D">
            <w:pPr>
              <w:pStyle w:val="TableText"/>
              <w:keepNext/>
              <w:rPr>
                <w:rFonts w:eastAsia="Calibri"/>
                <w:i/>
                <w:iCs/>
                <w:sz w:val="22"/>
                <w:lang w:val="en-NZ"/>
              </w:rPr>
            </w:pPr>
            <w:r w:rsidRPr="0028450E">
              <w:rPr>
                <w:rFonts w:eastAsia="Calibri"/>
                <w:i/>
                <w:iCs/>
                <w:sz w:val="22"/>
                <w:lang w:val="en-NZ"/>
              </w:rPr>
              <w:t>2</w:t>
            </w:r>
            <w:r w:rsidR="0052617E" w:rsidRPr="0028450E">
              <w:rPr>
                <w:rFonts w:eastAsia="Calibri"/>
                <w:i/>
                <w:iCs/>
                <w:sz w:val="22"/>
                <w:lang w:val="en-NZ"/>
              </w:rPr>
              <w:t>23</w:t>
            </w:r>
            <w:r w:rsidRPr="0028450E">
              <w:rPr>
                <w:rFonts w:eastAsia="Calibri"/>
                <w:i/>
                <w:iCs/>
                <w:sz w:val="22"/>
                <w:lang w:val="en-NZ"/>
              </w:rPr>
              <w:t xml:space="preserve">,000 </w:t>
            </w:r>
            <w:r w:rsidR="00A47A8F">
              <w:rPr>
                <w:rFonts w:eastAsia="Calibri"/>
                <w:i/>
                <w:iCs/>
                <w:sz w:val="22"/>
                <w:lang w:val="en-NZ"/>
              </w:rPr>
              <w:t>household</w:t>
            </w:r>
            <w:r w:rsidRPr="0028450E">
              <w:rPr>
                <w:rFonts w:eastAsia="Calibri"/>
                <w:i/>
                <w:iCs/>
                <w:sz w:val="22"/>
                <w:lang w:val="en-NZ"/>
              </w:rPr>
              <w:t>s will benefit from an ongoing, weekly increase in income. This assumes full take-up</w:t>
            </w:r>
            <w:r w:rsidR="0009578B" w:rsidRPr="0028450E">
              <w:rPr>
                <w:rFonts w:eastAsia="Calibri"/>
                <w:i/>
                <w:iCs/>
                <w:sz w:val="22"/>
                <w:lang w:val="en-NZ"/>
              </w:rPr>
              <w:t>.</w:t>
            </w:r>
          </w:p>
        </w:tc>
        <w:tc>
          <w:tcPr>
            <w:tcW w:w="860" w:type="pct"/>
            <w:shd w:val="clear" w:color="auto" w:fill="auto"/>
          </w:tcPr>
          <w:p w14:paraId="6745CF3D" w14:textId="00F368AB" w:rsidR="008A5E5D" w:rsidRPr="0028450E" w:rsidRDefault="008A5E5D" w:rsidP="008A5E5D">
            <w:pPr>
              <w:pStyle w:val="TableText"/>
              <w:keepNext/>
              <w:rPr>
                <w:rFonts w:eastAsia="Calibri"/>
                <w:i/>
                <w:iCs/>
                <w:sz w:val="22"/>
                <w:lang w:val="en-NZ"/>
              </w:rPr>
            </w:pPr>
            <w:r w:rsidRPr="0028450E">
              <w:rPr>
                <w:rFonts w:eastAsia="Calibri"/>
                <w:i/>
                <w:iCs/>
                <w:sz w:val="22"/>
                <w:lang w:val="en-NZ"/>
              </w:rPr>
              <w:t>Average weekly increase of $8</w:t>
            </w:r>
            <w:r w:rsidR="0009578B" w:rsidRPr="0028450E">
              <w:rPr>
                <w:rFonts w:eastAsia="Calibri"/>
                <w:i/>
                <w:iCs/>
                <w:sz w:val="22"/>
                <w:lang w:val="en-NZ"/>
              </w:rPr>
              <w:t>.</w:t>
            </w:r>
          </w:p>
        </w:tc>
        <w:tc>
          <w:tcPr>
            <w:tcW w:w="1097" w:type="pct"/>
            <w:shd w:val="clear" w:color="auto" w:fill="auto"/>
          </w:tcPr>
          <w:p w14:paraId="7C2C3903" w14:textId="76779228" w:rsidR="008A5E5D" w:rsidRPr="0028450E" w:rsidRDefault="008A5E5D" w:rsidP="008A5E5D">
            <w:pPr>
              <w:pStyle w:val="TableText"/>
              <w:keepNext/>
              <w:rPr>
                <w:rFonts w:eastAsia="Calibri"/>
                <w:i/>
                <w:iCs/>
                <w:sz w:val="22"/>
                <w:lang w:val="en-NZ"/>
              </w:rPr>
            </w:pPr>
            <w:r w:rsidRPr="0028450E">
              <w:rPr>
                <w:rFonts w:eastAsia="Calibri"/>
                <w:i/>
                <w:iCs/>
                <w:sz w:val="22"/>
                <w:lang w:val="en-NZ"/>
              </w:rPr>
              <w:t>Medium certainty as assuming full take-up impacts accuracy.</w:t>
            </w:r>
          </w:p>
        </w:tc>
      </w:tr>
      <w:tr w:rsidR="008A5E5D" w:rsidRPr="00A864A5" w14:paraId="54A2BC15" w14:textId="77777777" w:rsidTr="00F766BD">
        <w:trPr>
          <w:trHeight w:val="263"/>
        </w:trPr>
        <w:tc>
          <w:tcPr>
            <w:tcW w:w="625" w:type="pct"/>
            <w:vMerge/>
            <w:shd w:val="clear" w:color="auto" w:fill="auto"/>
          </w:tcPr>
          <w:p w14:paraId="1B224841" w14:textId="77777777" w:rsidR="008A5E5D" w:rsidRPr="000939BA" w:rsidRDefault="008A5E5D" w:rsidP="008A5E5D">
            <w:pPr>
              <w:pStyle w:val="TableText"/>
              <w:keepNext/>
              <w:rPr>
                <w:rFonts w:eastAsia="Calibri"/>
                <w:bCs/>
                <w:sz w:val="22"/>
                <w:lang w:val="en-NZ"/>
              </w:rPr>
            </w:pPr>
          </w:p>
        </w:tc>
        <w:tc>
          <w:tcPr>
            <w:tcW w:w="771" w:type="pct"/>
            <w:shd w:val="clear" w:color="auto" w:fill="auto"/>
          </w:tcPr>
          <w:p w14:paraId="0D3A962C" w14:textId="2907A6BA" w:rsidR="008A5E5D" w:rsidRPr="000939BA" w:rsidRDefault="008A5E5D" w:rsidP="008A5E5D">
            <w:pPr>
              <w:pStyle w:val="TableText"/>
              <w:keepNext/>
              <w:rPr>
                <w:rFonts w:eastAsia="Calibri"/>
                <w:bCs/>
                <w:sz w:val="22"/>
                <w:lang w:val="en-NZ"/>
              </w:rPr>
            </w:pPr>
            <w:r>
              <w:rPr>
                <w:rFonts w:eastAsia="Calibri"/>
                <w:sz w:val="22"/>
                <w:lang w:val="en-NZ"/>
              </w:rPr>
              <w:t>Children in poverty</w:t>
            </w:r>
          </w:p>
        </w:tc>
        <w:tc>
          <w:tcPr>
            <w:tcW w:w="1647" w:type="pct"/>
            <w:shd w:val="clear" w:color="auto" w:fill="auto"/>
          </w:tcPr>
          <w:p w14:paraId="1B9FBE13" w14:textId="2B442630" w:rsidR="008A5E5D" w:rsidRPr="0028450E" w:rsidRDefault="008A5E5D" w:rsidP="008A5E5D">
            <w:pPr>
              <w:pStyle w:val="TableText"/>
              <w:keepNext/>
              <w:rPr>
                <w:rFonts w:eastAsia="Calibri"/>
                <w:i/>
                <w:iCs/>
                <w:sz w:val="22"/>
                <w:lang w:val="en-NZ"/>
              </w:rPr>
            </w:pPr>
            <w:r w:rsidRPr="0028450E">
              <w:rPr>
                <w:rFonts w:eastAsia="Calibri"/>
                <w:i/>
                <w:iCs/>
                <w:sz w:val="22"/>
                <w:lang w:val="en-NZ"/>
              </w:rPr>
              <w:t xml:space="preserve">Although the rate increase is ongoing, we </w:t>
            </w:r>
            <w:r w:rsidR="00A74892" w:rsidRPr="0028450E">
              <w:rPr>
                <w:rFonts w:eastAsia="Calibri"/>
                <w:i/>
                <w:iCs/>
                <w:sz w:val="22"/>
                <w:lang w:val="en-NZ"/>
              </w:rPr>
              <w:t>cannot</w:t>
            </w:r>
            <w:r w:rsidRPr="0028450E">
              <w:rPr>
                <w:rFonts w:eastAsia="Calibri"/>
                <w:i/>
                <w:iCs/>
                <w:sz w:val="22"/>
                <w:lang w:val="en-NZ"/>
              </w:rPr>
              <w:t xml:space="preserve"> predict the duration of its impact. Lifting the income of a child’s family above a threshold does not guarantee that they will no longer suffer the effects of poverty or that their income will remain above the threshold permanently.</w:t>
            </w:r>
          </w:p>
        </w:tc>
        <w:tc>
          <w:tcPr>
            <w:tcW w:w="860" w:type="pct"/>
            <w:shd w:val="clear" w:color="auto" w:fill="auto"/>
          </w:tcPr>
          <w:p w14:paraId="5A4B9932" w14:textId="6CB97297" w:rsidR="008A5E5D" w:rsidRPr="0028450E" w:rsidRDefault="0052617E" w:rsidP="008A5E5D">
            <w:pPr>
              <w:pStyle w:val="TableText"/>
              <w:keepNext/>
              <w:rPr>
                <w:rFonts w:eastAsia="Calibri"/>
                <w:i/>
                <w:iCs/>
                <w:sz w:val="22"/>
                <w:lang w:val="en-NZ"/>
              </w:rPr>
            </w:pPr>
            <w:r w:rsidRPr="0028450E">
              <w:rPr>
                <w:rFonts w:eastAsia="Calibri"/>
                <w:i/>
                <w:iCs/>
                <w:sz w:val="22"/>
                <w:lang w:val="en-NZ"/>
              </w:rPr>
              <w:t xml:space="preserve">8,000 </w:t>
            </w:r>
            <w:r w:rsidR="00FB08EC" w:rsidRPr="0028450E">
              <w:rPr>
                <w:rFonts w:eastAsia="Calibri"/>
                <w:i/>
                <w:iCs/>
                <w:sz w:val="22"/>
                <w:lang w:val="en-NZ"/>
              </w:rPr>
              <w:t xml:space="preserve">children lifted out of </w:t>
            </w:r>
            <w:r w:rsidR="00483666">
              <w:rPr>
                <w:rFonts w:eastAsia="Calibri"/>
                <w:i/>
                <w:iCs/>
                <w:sz w:val="22"/>
                <w:lang w:val="en-NZ"/>
              </w:rPr>
              <w:t xml:space="preserve">AHC50 </w:t>
            </w:r>
            <w:r w:rsidR="00FB08EC" w:rsidRPr="0028450E">
              <w:rPr>
                <w:rFonts w:eastAsia="Calibri"/>
                <w:i/>
                <w:iCs/>
                <w:sz w:val="22"/>
                <w:lang w:val="en-NZ"/>
              </w:rPr>
              <w:t xml:space="preserve">poverty </w:t>
            </w:r>
            <w:r w:rsidR="00483666">
              <w:rPr>
                <w:rFonts w:eastAsia="Calibri"/>
                <w:i/>
                <w:iCs/>
                <w:sz w:val="22"/>
                <w:lang w:val="en-NZ"/>
              </w:rPr>
              <w:t>or</w:t>
            </w:r>
            <w:r w:rsidR="00A97085">
              <w:rPr>
                <w:rFonts w:eastAsia="Calibri"/>
                <w:i/>
                <w:iCs/>
                <w:sz w:val="22"/>
                <w:lang w:val="en-NZ"/>
              </w:rPr>
              <w:t xml:space="preserve"> </w:t>
            </w:r>
            <w:r w:rsidR="00BF3474">
              <w:rPr>
                <w:rFonts w:eastAsia="Calibri"/>
                <w:i/>
                <w:iCs/>
                <w:sz w:val="22"/>
                <w:lang w:val="en-NZ"/>
              </w:rPr>
              <w:t xml:space="preserve">5,000 </w:t>
            </w:r>
            <w:r w:rsidR="00483666">
              <w:rPr>
                <w:rFonts w:eastAsia="Calibri"/>
                <w:i/>
                <w:iCs/>
                <w:sz w:val="22"/>
                <w:lang w:val="en-NZ"/>
              </w:rPr>
              <w:t xml:space="preserve">out of </w:t>
            </w:r>
            <w:r w:rsidR="00BF3474">
              <w:rPr>
                <w:rFonts w:eastAsia="Calibri"/>
                <w:i/>
                <w:iCs/>
                <w:sz w:val="22"/>
                <w:lang w:val="en-NZ"/>
              </w:rPr>
              <w:t>BHC50</w:t>
            </w:r>
            <w:r w:rsidR="00483666">
              <w:rPr>
                <w:rFonts w:eastAsia="Calibri"/>
                <w:i/>
                <w:iCs/>
                <w:sz w:val="22"/>
                <w:lang w:val="en-NZ"/>
              </w:rPr>
              <w:t xml:space="preserve"> poverty</w:t>
            </w:r>
            <w:r w:rsidR="00BF3474">
              <w:rPr>
                <w:rFonts w:eastAsia="Calibri"/>
                <w:i/>
                <w:iCs/>
                <w:sz w:val="22"/>
                <w:lang w:val="en-NZ"/>
              </w:rPr>
              <w:t>.</w:t>
            </w:r>
          </w:p>
        </w:tc>
        <w:tc>
          <w:tcPr>
            <w:tcW w:w="1097" w:type="pct"/>
            <w:shd w:val="clear" w:color="auto" w:fill="auto"/>
          </w:tcPr>
          <w:p w14:paraId="2140F925" w14:textId="2AB9489C" w:rsidR="008A5E5D" w:rsidRPr="0028450E" w:rsidRDefault="008A5E5D" w:rsidP="008A5E5D">
            <w:pPr>
              <w:pStyle w:val="TableText"/>
              <w:keepNext/>
              <w:rPr>
                <w:rFonts w:eastAsia="Calibri"/>
                <w:i/>
                <w:iCs/>
                <w:sz w:val="22"/>
                <w:lang w:val="en-NZ"/>
              </w:rPr>
            </w:pPr>
            <w:r w:rsidRPr="0028450E">
              <w:rPr>
                <w:rFonts w:eastAsia="Calibri"/>
                <w:i/>
                <w:iCs/>
                <w:sz w:val="22"/>
                <w:lang w:val="en-NZ"/>
              </w:rPr>
              <w:t xml:space="preserve">Low. </w:t>
            </w:r>
            <w:r w:rsidR="003848DC">
              <w:rPr>
                <w:rFonts w:eastAsia="Calibri"/>
                <w:i/>
                <w:iCs/>
                <w:sz w:val="22"/>
                <w:lang w:val="en-NZ"/>
              </w:rPr>
              <w:t>There are significant</w:t>
            </w:r>
            <w:r w:rsidRPr="0028450E">
              <w:rPr>
                <w:rFonts w:eastAsia="Calibri"/>
                <w:i/>
                <w:iCs/>
                <w:sz w:val="22"/>
                <w:lang w:val="en-NZ"/>
              </w:rPr>
              <w:t xml:space="preserve"> uncertainties </w:t>
            </w:r>
            <w:r w:rsidR="003848DC">
              <w:rPr>
                <w:rFonts w:eastAsia="Calibri"/>
                <w:i/>
                <w:iCs/>
                <w:sz w:val="22"/>
                <w:lang w:val="en-NZ"/>
              </w:rPr>
              <w:t>with</w:t>
            </w:r>
            <w:r w:rsidRPr="0028450E">
              <w:rPr>
                <w:rFonts w:eastAsia="Calibri"/>
                <w:i/>
                <w:iCs/>
                <w:sz w:val="22"/>
                <w:lang w:val="en-NZ"/>
              </w:rPr>
              <w:t xml:space="preserve"> TAWA modelling for poverty metrics.</w:t>
            </w:r>
          </w:p>
        </w:tc>
      </w:tr>
      <w:tr w:rsidR="0009578B" w:rsidRPr="00A864A5" w14:paraId="0543579E" w14:textId="77777777" w:rsidTr="00F766BD">
        <w:trPr>
          <w:trHeight w:val="263"/>
        </w:trPr>
        <w:tc>
          <w:tcPr>
            <w:tcW w:w="625" w:type="pct"/>
            <w:vMerge/>
            <w:shd w:val="clear" w:color="auto" w:fill="auto"/>
          </w:tcPr>
          <w:p w14:paraId="021661F3" w14:textId="77777777" w:rsidR="0009578B" w:rsidRPr="00A864A5" w:rsidRDefault="0009578B" w:rsidP="0009578B">
            <w:pPr>
              <w:pStyle w:val="TableText"/>
              <w:keepNext/>
              <w:rPr>
                <w:rFonts w:eastAsia="Calibri"/>
                <w:b/>
                <w:sz w:val="22"/>
                <w:lang w:val="en-NZ"/>
              </w:rPr>
            </w:pPr>
          </w:p>
        </w:tc>
        <w:tc>
          <w:tcPr>
            <w:tcW w:w="771" w:type="pct"/>
            <w:shd w:val="clear" w:color="auto" w:fill="auto"/>
          </w:tcPr>
          <w:p w14:paraId="2FB86578" w14:textId="7C07EFCD" w:rsidR="0009578B" w:rsidRPr="00A864A5" w:rsidRDefault="0009578B" w:rsidP="0009578B">
            <w:pPr>
              <w:pStyle w:val="TableText"/>
              <w:keepNext/>
              <w:rPr>
                <w:rFonts w:eastAsia="Calibri"/>
                <w:b/>
                <w:sz w:val="22"/>
                <w:lang w:val="en-NZ"/>
              </w:rPr>
            </w:pPr>
            <w:r w:rsidRPr="00A864A5">
              <w:rPr>
                <w:rFonts w:eastAsia="Calibri"/>
                <w:b/>
                <w:sz w:val="22"/>
                <w:lang w:val="en-NZ"/>
              </w:rPr>
              <w:t xml:space="preserve">Total monetised </w:t>
            </w:r>
            <w:r>
              <w:rPr>
                <w:rFonts w:eastAsia="Calibri"/>
                <w:b/>
                <w:sz w:val="22"/>
                <w:lang w:val="en-NZ"/>
              </w:rPr>
              <w:t>benefits</w:t>
            </w:r>
          </w:p>
        </w:tc>
        <w:tc>
          <w:tcPr>
            <w:tcW w:w="1647" w:type="pct"/>
            <w:shd w:val="clear" w:color="auto" w:fill="auto"/>
          </w:tcPr>
          <w:p w14:paraId="50197D4B" w14:textId="216E06DD" w:rsidR="0009578B" w:rsidRPr="0028450E" w:rsidRDefault="0009578B" w:rsidP="0009578B">
            <w:pPr>
              <w:pStyle w:val="TableText"/>
              <w:keepNext/>
              <w:rPr>
                <w:rFonts w:eastAsia="Calibri"/>
                <w:i/>
                <w:iCs/>
                <w:sz w:val="22"/>
                <w:lang w:val="en-NZ"/>
              </w:rPr>
            </w:pPr>
            <w:r w:rsidRPr="0028450E">
              <w:rPr>
                <w:rFonts w:eastAsia="Calibri"/>
                <w:i/>
                <w:iCs/>
                <w:sz w:val="22"/>
                <w:lang w:val="en-NZ"/>
              </w:rPr>
              <w:t xml:space="preserve">223,000 </w:t>
            </w:r>
            <w:r w:rsidR="006376D6">
              <w:rPr>
                <w:rFonts w:eastAsia="Calibri"/>
                <w:i/>
                <w:iCs/>
                <w:sz w:val="22"/>
                <w:lang w:val="en-NZ"/>
              </w:rPr>
              <w:t>household</w:t>
            </w:r>
            <w:r w:rsidRPr="0028450E">
              <w:rPr>
                <w:rFonts w:eastAsia="Calibri"/>
                <w:i/>
                <w:iCs/>
                <w:sz w:val="22"/>
                <w:lang w:val="en-NZ"/>
              </w:rPr>
              <w:t>s will benefit from an ongoing, weekly increase in income. This assumes full take-up.</w:t>
            </w:r>
          </w:p>
        </w:tc>
        <w:tc>
          <w:tcPr>
            <w:tcW w:w="860" w:type="pct"/>
            <w:shd w:val="clear" w:color="auto" w:fill="auto"/>
          </w:tcPr>
          <w:p w14:paraId="7CE888C6" w14:textId="24D38F15" w:rsidR="0009578B" w:rsidRPr="0028450E" w:rsidRDefault="0009578B" w:rsidP="0009578B">
            <w:pPr>
              <w:pStyle w:val="TableText"/>
              <w:keepNext/>
              <w:rPr>
                <w:rFonts w:eastAsia="Calibri"/>
                <w:i/>
                <w:iCs/>
                <w:sz w:val="22"/>
                <w:lang w:val="en-NZ"/>
              </w:rPr>
            </w:pPr>
            <w:r w:rsidRPr="0028450E">
              <w:rPr>
                <w:rFonts w:eastAsia="Calibri"/>
                <w:i/>
                <w:iCs/>
                <w:sz w:val="22"/>
                <w:lang w:val="en-NZ"/>
              </w:rPr>
              <w:t>Average weekly increase of $8.</w:t>
            </w:r>
          </w:p>
        </w:tc>
        <w:tc>
          <w:tcPr>
            <w:tcW w:w="1097" w:type="pct"/>
            <w:shd w:val="clear" w:color="auto" w:fill="auto"/>
          </w:tcPr>
          <w:p w14:paraId="7FD40EA9" w14:textId="1A12474E" w:rsidR="0009578B" w:rsidRPr="0028450E" w:rsidRDefault="0009578B" w:rsidP="0009578B">
            <w:pPr>
              <w:pStyle w:val="TableText"/>
              <w:keepNext/>
              <w:rPr>
                <w:rFonts w:eastAsia="Calibri"/>
                <w:i/>
                <w:iCs/>
                <w:sz w:val="22"/>
                <w:lang w:val="en-NZ"/>
              </w:rPr>
            </w:pPr>
            <w:r w:rsidRPr="0028450E">
              <w:rPr>
                <w:rFonts w:eastAsia="Calibri"/>
                <w:i/>
                <w:iCs/>
                <w:sz w:val="22"/>
                <w:lang w:val="en-NZ"/>
              </w:rPr>
              <w:t>Medium certainty as assuming full take-up impacts accuracy.</w:t>
            </w:r>
          </w:p>
        </w:tc>
      </w:tr>
      <w:tr w:rsidR="0009578B" w:rsidRPr="00A864A5" w14:paraId="22A3C607" w14:textId="77777777" w:rsidTr="00F766BD">
        <w:trPr>
          <w:trHeight w:val="263"/>
        </w:trPr>
        <w:tc>
          <w:tcPr>
            <w:tcW w:w="625" w:type="pct"/>
            <w:vMerge/>
            <w:shd w:val="clear" w:color="auto" w:fill="auto"/>
          </w:tcPr>
          <w:p w14:paraId="0385035F" w14:textId="77777777" w:rsidR="0009578B" w:rsidRPr="00A864A5" w:rsidRDefault="0009578B" w:rsidP="0009578B">
            <w:pPr>
              <w:pStyle w:val="TableText"/>
              <w:keepNext/>
              <w:rPr>
                <w:rFonts w:eastAsia="Calibri"/>
                <w:b/>
                <w:sz w:val="22"/>
                <w:lang w:val="en-NZ"/>
              </w:rPr>
            </w:pPr>
          </w:p>
        </w:tc>
        <w:tc>
          <w:tcPr>
            <w:tcW w:w="771" w:type="pct"/>
            <w:shd w:val="clear" w:color="auto" w:fill="auto"/>
          </w:tcPr>
          <w:p w14:paraId="20DF051E" w14:textId="3A7F2D60" w:rsidR="0009578B" w:rsidRPr="00A864A5" w:rsidRDefault="0009578B" w:rsidP="0009578B">
            <w:pPr>
              <w:pStyle w:val="TableText"/>
              <w:keepNext/>
              <w:rPr>
                <w:rFonts w:eastAsia="Calibri"/>
                <w:b/>
                <w:sz w:val="22"/>
                <w:lang w:val="en-NZ"/>
              </w:rPr>
            </w:pPr>
            <w:r w:rsidRPr="00A864A5">
              <w:rPr>
                <w:rFonts w:eastAsia="Calibri"/>
                <w:b/>
                <w:sz w:val="22"/>
                <w:lang w:val="en-NZ"/>
              </w:rPr>
              <w:t>Non-monetised</w:t>
            </w:r>
            <w:r>
              <w:rPr>
                <w:rFonts w:eastAsia="Calibri"/>
                <w:b/>
                <w:sz w:val="22"/>
                <w:lang w:val="en-NZ"/>
              </w:rPr>
              <w:t xml:space="preserve"> benefits</w:t>
            </w:r>
          </w:p>
        </w:tc>
        <w:tc>
          <w:tcPr>
            <w:tcW w:w="1647" w:type="pct"/>
            <w:shd w:val="clear" w:color="auto" w:fill="auto"/>
          </w:tcPr>
          <w:p w14:paraId="26D40CD1" w14:textId="782BB00B" w:rsidR="0009578B" w:rsidRPr="0028450E" w:rsidRDefault="0009578B" w:rsidP="0009578B">
            <w:pPr>
              <w:pStyle w:val="TableText"/>
              <w:keepNext/>
              <w:rPr>
                <w:rFonts w:eastAsia="Calibri"/>
                <w:i/>
                <w:iCs/>
                <w:sz w:val="22"/>
                <w:lang w:val="en-NZ"/>
              </w:rPr>
            </w:pPr>
            <w:r w:rsidRPr="0028450E">
              <w:rPr>
                <w:rFonts w:eastAsia="Calibri"/>
                <w:i/>
                <w:iCs/>
                <w:sz w:val="22"/>
                <w:lang w:val="en-NZ"/>
              </w:rPr>
              <w:t>Although the rate increase is ongoing, we can not predict the duration of its impact. Lifting the income of a child’s family above a threshold does not guarantee that they will no longer suffer the effects of poverty or that their income will remain above the threshold permanently.</w:t>
            </w:r>
          </w:p>
        </w:tc>
        <w:tc>
          <w:tcPr>
            <w:tcW w:w="860" w:type="pct"/>
            <w:shd w:val="clear" w:color="auto" w:fill="auto"/>
          </w:tcPr>
          <w:p w14:paraId="2FFC7B41" w14:textId="150A1771" w:rsidR="0009578B" w:rsidRPr="0028450E" w:rsidRDefault="0009578B" w:rsidP="0009578B">
            <w:pPr>
              <w:pStyle w:val="TableText"/>
              <w:keepNext/>
              <w:rPr>
                <w:rFonts w:eastAsia="Calibri"/>
                <w:i/>
                <w:iCs/>
                <w:sz w:val="22"/>
                <w:lang w:val="en-NZ"/>
              </w:rPr>
            </w:pPr>
            <w:r w:rsidRPr="0028450E">
              <w:rPr>
                <w:rFonts w:eastAsia="Calibri"/>
                <w:i/>
                <w:iCs/>
                <w:sz w:val="22"/>
                <w:lang w:val="en-NZ"/>
              </w:rPr>
              <w:t>8,000</w:t>
            </w:r>
            <w:r w:rsidR="00FB08EC" w:rsidRPr="0028450E">
              <w:rPr>
                <w:i/>
                <w:iCs/>
              </w:rPr>
              <w:t xml:space="preserve"> </w:t>
            </w:r>
            <w:r w:rsidR="00FB08EC" w:rsidRPr="0028450E">
              <w:rPr>
                <w:rFonts w:eastAsia="Calibri"/>
                <w:i/>
                <w:iCs/>
                <w:sz w:val="22"/>
                <w:lang w:val="en-NZ"/>
              </w:rPr>
              <w:t xml:space="preserve">children lifted out of </w:t>
            </w:r>
            <w:r w:rsidR="001833CF">
              <w:rPr>
                <w:rFonts w:eastAsia="Calibri"/>
                <w:i/>
                <w:iCs/>
                <w:sz w:val="22"/>
                <w:lang w:val="en-NZ"/>
              </w:rPr>
              <w:t xml:space="preserve">AHC50 </w:t>
            </w:r>
            <w:r w:rsidR="00FB08EC" w:rsidRPr="0028450E">
              <w:rPr>
                <w:rFonts w:eastAsia="Calibri"/>
                <w:i/>
                <w:iCs/>
                <w:sz w:val="22"/>
                <w:lang w:val="en-NZ"/>
              </w:rPr>
              <w:t xml:space="preserve">poverty </w:t>
            </w:r>
            <w:r w:rsidR="001833CF">
              <w:rPr>
                <w:rFonts w:eastAsia="Calibri"/>
                <w:i/>
                <w:iCs/>
                <w:sz w:val="22"/>
                <w:lang w:val="en-NZ"/>
              </w:rPr>
              <w:t>or 5,000 out of BHC50 poverty</w:t>
            </w:r>
            <w:r w:rsidR="00FB08EC" w:rsidRPr="0028450E">
              <w:rPr>
                <w:rFonts w:eastAsia="Calibri"/>
                <w:i/>
                <w:iCs/>
                <w:sz w:val="22"/>
                <w:lang w:val="en-NZ"/>
              </w:rPr>
              <w:t>.</w:t>
            </w:r>
          </w:p>
        </w:tc>
        <w:tc>
          <w:tcPr>
            <w:tcW w:w="1097" w:type="pct"/>
            <w:shd w:val="clear" w:color="auto" w:fill="auto"/>
          </w:tcPr>
          <w:p w14:paraId="0411317A" w14:textId="59347625" w:rsidR="0009578B" w:rsidRPr="0028450E" w:rsidRDefault="0009578B" w:rsidP="0009578B">
            <w:pPr>
              <w:pStyle w:val="TableText"/>
              <w:keepNext/>
              <w:rPr>
                <w:rFonts w:eastAsia="Calibri"/>
                <w:i/>
                <w:iCs/>
                <w:sz w:val="22"/>
                <w:lang w:val="en-NZ"/>
              </w:rPr>
            </w:pPr>
            <w:r w:rsidRPr="0028450E">
              <w:rPr>
                <w:rFonts w:eastAsia="Calibri"/>
                <w:i/>
                <w:iCs/>
                <w:sz w:val="22"/>
                <w:lang w:val="en-NZ"/>
              </w:rPr>
              <w:t>Low. Treasury warns that the uncertainties of TAWA modelling are particularly significant for poverty metrics.</w:t>
            </w:r>
          </w:p>
        </w:tc>
      </w:tr>
    </w:tbl>
    <w:p w14:paraId="4F4D95A4" w14:textId="77777777" w:rsidR="00AC6FF7" w:rsidRPr="00AC6FF7" w:rsidRDefault="00AC6FF7" w:rsidP="00AC6FF7">
      <w:pPr>
        <w:spacing w:before="180"/>
        <w:rPr>
          <w:lang w:val="en-NZ"/>
        </w:rPr>
      </w:pPr>
    </w:p>
    <w:bookmarkEnd w:id="14"/>
    <w:p w14:paraId="493DF6CD" w14:textId="77777777" w:rsidR="00F1523A" w:rsidRDefault="00F1523A" w:rsidP="00556893">
      <w:pPr>
        <w:pStyle w:val="Heading2"/>
        <w:rPr>
          <w:lang w:val="en-NZ"/>
        </w:rPr>
        <w:sectPr w:rsidR="00F1523A" w:rsidSect="00F1523A">
          <w:pgSz w:w="16838" w:h="11906" w:orient="landscape" w:code="9"/>
          <w:pgMar w:top="1418" w:right="1134" w:bottom="1418" w:left="992" w:header="454" w:footer="454" w:gutter="0"/>
          <w:cols w:space="708"/>
          <w:docGrid w:linePitch="360"/>
        </w:sectPr>
      </w:pPr>
    </w:p>
    <w:p w14:paraId="75F637CC" w14:textId="71363FE4" w:rsidR="00A0728D" w:rsidRPr="00A864A5" w:rsidRDefault="00417B4A" w:rsidP="00556893">
      <w:pPr>
        <w:pStyle w:val="Heading2"/>
        <w:rPr>
          <w:lang w:val="en-NZ"/>
        </w:rPr>
      </w:pPr>
      <w:r w:rsidRPr="00A864A5">
        <w:rPr>
          <w:lang w:val="en-NZ"/>
        </w:rPr>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77D8CE5A" w14:textId="7B7F74B0" w:rsidR="006B5794" w:rsidRPr="00A864A5" w:rsidRDefault="00A16B89" w:rsidP="006B5794">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06C28D98" w14:textId="000421A7" w:rsidR="00AD1E16" w:rsidRDefault="00AD1E16" w:rsidP="00AD1E16">
      <w:pPr>
        <w:spacing w:after="0" w:line="276" w:lineRule="auto"/>
        <w:jc w:val="both"/>
        <w:rPr>
          <w:rFonts w:cs="Arial"/>
          <w:szCs w:val="22"/>
        </w:rPr>
      </w:pPr>
      <w:r w:rsidRPr="236AC2D8">
        <w:rPr>
          <w:rFonts w:cs="Arial"/>
        </w:rPr>
        <w:t xml:space="preserve">The proposals would require </w:t>
      </w:r>
      <w:r w:rsidR="5BAAC4D6" w:rsidRPr="236AC2D8">
        <w:rPr>
          <w:rFonts w:cs="Arial"/>
        </w:rPr>
        <w:t>amendment</w:t>
      </w:r>
      <w:r w:rsidR="2259CDFD" w:rsidRPr="236AC2D8">
        <w:rPr>
          <w:rFonts w:cs="Arial"/>
        </w:rPr>
        <w:t>s</w:t>
      </w:r>
      <w:r w:rsidR="5BAAC4D6" w:rsidRPr="236AC2D8">
        <w:rPr>
          <w:rFonts w:cs="Arial"/>
        </w:rPr>
        <w:t xml:space="preserve"> </w:t>
      </w:r>
      <w:r w:rsidRPr="236AC2D8">
        <w:rPr>
          <w:rFonts w:cs="Arial"/>
        </w:rPr>
        <w:t xml:space="preserve">to the </w:t>
      </w:r>
      <w:r w:rsidR="00D4208C" w:rsidRPr="236AC2D8">
        <w:rPr>
          <w:rFonts w:cs="Arial"/>
        </w:rPr>
        <w:t>Income Tax Act 2007</w:t>
      </w:r>
      <w:r w:rsidRPr="236AC2D8">
        <w:rPr>
          <w:rFonts w:cs="Arial"/>
        </w:rPr>
        <w:t xml:space="preserve">. </w:t>
      </w:r>
      <w:r w:rsidR="00921D14">
        <w:rPr>
          <w:rFonts w:cs="Arial"/>
        </w:rPr>
        <w:t>T</w:t>
      </w:r>
      <w:r w:rsidRPr="236AC2D8">
        <w:rPr>
          <w:rFonts w:cs="Arial"/>
        </w:rPr>
        <w:t xml:space="preserve">he preferred option </w:t>
      </w:r>
      <w:r w:rsidR="00921D14">
        <w:rPr>
          <w:rFonts w:cs="Arial"/>
        </w:rPr>
        <w:t xml:space="preserve">will </w:t>
      </w:r>
      <w:r w:rsidRPr="236AC2D8">
        <w:rPr>
          <w:rFonts w:cs="Arial"/>
        </w:rPr>
        <w:t xml:space="preserve">be included in </w:t>
      </w:r>
      <w:r w:rsidR="00D4208C" w:rsidRPr="236AC2D8">
        <w:rPr>
          <w:rFonts w:cs="Arial"/>
        </w:rPr>
        <w:t>urgent</w:t>
      </w:r>
      <w:r w:rsidR="00863559" w:rsidRPr="236AC2D8">
        <w:rPr>
          <w:rFonts w:cs="Arial"/>
        </w:rPr>
        <w:t xml:space="preserve"> primary</w:t>
      </w:r>
      <w:r w:rsidR="00D4208C" w:rsidRPr="236AC2D8">
        <w:rPr>
          <w:rFonts w:cs="Arial"/>
        </w:rPr>
        <w:t xml:space="preserve"> legislation prior to December 2021</w:t>
      </w:r>
      <w:r w:rsidRPr="236AC2D8">
        <w:rPr>
          <w:rFonts w:cs="Arial"/>
        </w:rPr>
        <w:t>.</w:t>
      </w:r>
      <w:r w:rsidR="00B302C7" w:rsidRPr="236AC2D8">
        <w:rPr>
          <w:rFonts w:cs="Arial"/>
        </w:rPr>
        <w:t xml:space="preserve"> The proposed timeframe </w:t>
      </w:r>
      <w:r w:rsidR="00921D14">
        <w:rPr>
          <w:rFonts w:cs="Arial"/>
        </w:rPr>
        <w:t>allows</w:t>
      </w:r>
      <w:r w:rsidR="00B302C7" w:rsidRPr="236AC2D8">
        <w:rPr>
          <w:rFonts w:cs="Arial"/>
        </w:rPr>
        <w:t xml:space="preserve"> sufficient time for Inland Revenue and MSD to implement the</w:t>
      </w:r>
      <w:r w:rsidR="001B6759">
        <w:rPr>
          <w:rFonts w:cs="Arial"/>
        </w:rPr>
        <w:t xml:space="preserve"> necessary system</w:t>
      </w:r>
      <w:r w:rsidR="00B302C7" w:rsidRPr="236AC2D8">
        <w:rPr>
          <w:rFonts w:cs="Arial"/>
        </w:rPr>
        <w:t xml:space="preserve"> changes. </w:t>
      </w:r>
    </w:p>
    <w:p w14:paraId="70BEBBB6" w14:textId="77777777" w:rsidR="00AD1E16" w:rsidRDefault="00AD1E16" w:rsidP="00AD1E16">
      <w:pPr>
        <w:spacing w:after="0" w:line="276" w:lineRule="auto"/>
        <w:jc w:val="both"/>
        <w:rPr>
          <w:rFonts w:cs="Arial"/>
          <w:szCs w:val="22"/>
        </w:rPr>
      </w:pPr>
      <w:r>
        <w:rPr>
          <w:rFonts w:cs="Arial"/>
          <w:szCs w:val="22"/>
        </w:rPr>
        <w:t xml:space="preserve"> </w:t>
      </w:r>
    </w:p>
    <w:p w14:paraId="6034177F" w14:textId="3CBF1D7E" w:rsidR="00AD1E16" w:rsidRDefault="00AD1E16" w:rsidP="00AD1E16">
      <w:pPr>
        <w:spacing w:after="0" w:line="276" w:lineRule="auto"/>
        <w:jc w:val="both"/>
        <w:rPr>
          <w:rFonts w:cs="Arial"/>
        </w:rPr>
      </w:pPr>
      <w:r w:rsidRPr="236AC2D8">
        <w:rPr>
          <w:rFonts w:cs="Arial"/>
        </w:rPr>
        <w:t xml:space="preserve">Inland Revenue will be responsible for the </w:t>
      </w:r>
      <w:r w:rsidR="439CECBA" w:rsidRPr="236AC2D8">
        <w:rPr>
          <w:rFonts w:cs="Arial"/>
        </w:rPr>
        <w:t>implementation</w:t>
      </w:r>
      <w:r w:rsidRPr="236AC2D8">
        <w:rPr>
          <w:rFonts w:cs="Arial"/>
        </w:rPr>
        <w:t xml:space="preserve"> of the</w:t>
      </w:r>
      <w:r w:rsidR="004936D4" w:rsidRPr="236AC2D8">
        <w:rPr>
          <w:rFonts w:cs="Arial"/>
        </w:rPr>
        <w:t xml:space="preserve"> </w:t>
      </w:r>
      <w:r w:rsidR="37FB28D9" w:rsidRPr="236AC2D8">
        <w:rPr>
          <w:rFonts w:cs="Arial"/>
        </w:rPr>
        <w:t>proposed changes, and</w:t>
      </w:r>
      <w:r w:rsidR="003A3DB7">
        <w:rPr>
          <w:rFonts w:cs="Arial"/>
        </w:rPr>
        <w:t xml:space="preserve"> </w:t>
      </w:r>
      <w:r w:rsidR="59DC82C8" w:rsidRPr="236AC2D8">
        <w:rPr>
          <w:rFonts w:cs="Arial"/>
        </w:rPr>
        <w:t xml:space="preserve">as </w:t>
      </w:r>
      <w:r w:rsidRPr="236AC2D8">
        <w:rPr>
          <w:rFonts w:cs="Arial"/>
        </w:rPr>
        <w:t>part of its business</w:t>
      </w:r>
      <w:r w:rsidR="003A3DB7" w:rsidRPr="236AC2D8">
        <w:rPr>
          <w:rFonts w:cs="Arial"/>
        </w:rPr>
        <w:t>-</w:t>
      </w:r>
      <w:r w:rsidRPr="236AC2D8">
        <w:rPr>
          <w:rFonts w:cs="Arial"/>
        </w:rPr>
        <w:t>as</w:t>
      </w:r>
      <w:r w:rsidR="003A3DB7" w:rsidRPr="236AC2D8">
        <w:rPr>
          <w:rFonts w:cs="Arial"/>
        </w:rPr>
        <w:t>-</w:t>
      </w:r>
      <w:r w:rsidRPr="236AC2D8">
        <w:rPr>
          <w:rFonts w:cs="Arial"/>
        </w:rPr>
        <w:t xml:space="preserve">usual function. </w:t>
      </w:r>
      <w:r w:rsidR="004D104C" w:rsidRPr="236AC2D8">
        <w:rPr>
          <w:rFonts w:cs="Arial"/>
        </w:rPr>
        <w:t xml:space="preserve">MSD will be responsible for implementing the </w:t>
      </w:r>
      <w:r w:rsidR="00D83FFB" w:rsidRPr="236AC2D8">
        <w:rPr>
          <w:rFonts w:cs="Arial"/>
        </w:rPr>
        <w:t>proposed changes</w:t>
      </w:r>
      <w:r w:rsidR="004D104C" w:rsidRPr="236AC2D8">
        <w:rPr>
          <w:rFonts w:cs="Arial"/>
        </w:rPr>
        <w:t xml:space="preserve"> for those who receive their WFF payments from MSD.</w:t>
      </w:r>
    </w:p>
    <w:p w14:paraId="49765002" w14:textId="77777777" w:rsidR="00AD1E16" w:rsidRDefault="00AD1E16" w:rsidP="00AD1E16">
      <w:pPr>
        <w:spacing w:after="0" w:line="276" w:lineRule="auto"/>
        <w:jc w:val="both"/>
        <w:rPr>
          <w:rFonts w:cs="Arial"/>
          <w:szCs w:val="22"/>
        </w:rPr>
      </w:pPr>
    </w:p>
    <w:p w14:paraId="7DC995E6" w14:textId="0ADB2D63" w:rsidR="00983D3C" w:rsidRDefault="006A7F68" w:rsidP="00DA4BD8">
      <w:pPr>
        <w:spacing w:after="0" w:line="276" w:lineRule="auto"/>
        <w:jc w:val="both"/>
        <w:rPr>
          <w:rFonts w:cs="Arial"/>
          <w:szCs w:val="22"/>
        </w:rPr>
      </w:pPr>
      <w:r>
        <w:rPr>
          <w:rFonts w:cs="Arial"/>
          <w:szCs w:val="22"/>
        </w:rPr>
        <w:t xml:space="preserve">The new </w:t>
      </w:r>
      <w:r w:rsidR="001647CC">
        <w:rPr>
          <w:rFonts w:cs="Arial"/>
          <w:szCs w:val="22"/>
        </w:rPr>
        <w:t xml:space="preserve">FTC </w:t>
      </w:r>
      <w:r>
        <w:rPr>
          <w:rFonts w:cs="Arial"/>
          <w:szCs w:val="22"/>
        </w:rPr>
        <w:t>rates and/or</w:t>
      </w:r>
      <w:r w:rsidR="004936D4">
        <w:rPr>
          <w:rFonts w:cs="Arial"/>
          <w:szCs w:val="22"/>
        </w:rPr>
        <w:t xml:space="preserve"> WFF abatement</w:t>
      </w:r>
      <w:r>
        <w:rPr>
          <w:rFonts w:cs="Arial"/>
          <w:szCs w:val="22"/>
        </w:rPr>
        <w:t xml:space="preserve"> thresholds w</w:t>
      </w:r>
      <w:r w:rsidR="001B6759">
        <w:rPr>
          <w:rFonts w:cs="Arial"/>
          <w:szCs w:val="22"/>
        </w:rPr>
        <w:t>ill</w:t>
      </w:r>
      <w:r w:rsidR="00701790">
        <w:rPr>
          <w:rFonts w:cs="Arial"/>
          <w:szCs w:val="22"/>
        </w:rPr>
        <w:t xml:space="preserve"> be</w:t>
      </w:r>
      <w:r>
        <w:rPr>
          <w:rFonts w:cs="Arial"/>
          <w:szCs w:val="22"/>
        </w:rPr>
        <w:t xml:space="preserve"> </w:t>
      </w:r>
      <w:r w:rsidR="00701790">
        <w:rPr>
          <w:rFonts w:cs="Arial"/>
          <w:szCs w:val="22"/>
        </w:rPr>
        <w:t>use</w:t>
      </w:r>
      <w:r>
        <w:rPr>
          <w:rFonts w:cs="Arial"/>
          <w:szCs w:val="22"/>
        </w:rPr>
        <w:t>d to ca</w:t>
      </w:r>
      <w:r w:rsidR="00701790">
        <w:rPr>
          <w:rFonts w:cs="Arial"/>
          <w:szCs w:val="22"/>
        </w:rPr>
        <w:t>lculate</w:t>
      </w:r>
      <w:r>
        <w:rPr>
          <w:rFonts w:cs="Arial"/>
          <w:szCs w:val="22"/>
        </w:rPr>
        <w:t xml:space="preserve"> </w:t>
      </w:r>
      <w:r w:rsidR="00BC54F6">
        <w:rPr>
          <w:rFonts w:cs="Arial"/>
          <w:szCs w:val="22"/>
        </w:rPr>
        <w:t>recipients</w:t>
      </w:r>
      <w:r>
        <w:rPr>
          <w:rFonts w:cs="Arial"/>
          <w:szCs w:val="22"/>
        </w:rPr>
        <w:t xml:space="preserve">’ </w:t>
      </w:r>
      <w:r w:rsidR="00701790">
        <w:rPr>
          <w:rFonts w:cs="Arial"/>
          <w:szCs w:val="22"/>
        </w:rPr>
        <w:t>en</w:t>
      </w:r>
      <w:r w:rsidR="00BC54F6">
        <w:rPr>
          <w:rFonts w:cs="Arial"/>
          <w:szCs w:val="22"/>
        </w:rPr>
        <w:t xml:space="preserve">titlements </w:t>
      </w:r>
      <w:r>
        <w:rPr>
          <w:rFonts w:cs="Arial"/>
          <w:szCs w:val="22"/>
        </w:rPr>
        <w:t>from 1 April 202</w:t>
      </w:r>
      <w:r w:rsidR="001647CC">
        <w:rPr>
          <w:rFonts w:cs="Arial"/>
          <w:szCs w:val="22"/>
        </w:rPr>
        <w:t>2</w:t>
      </w:r>
      <w:r>
        <w:rPr>
          <w:rFonts w:cs="Arial"/>
          <w:szCs w:val="22"/>
        </w:rPr>
        <w:t xml:space="preserve"> and will be </w:t>
      </w:r>
      <w:r w:rsidR="00701790">
        <w:rPr>
          <w:rFonts w:cs="Arial"/>
          <w:szCs w:val="22"/>
        </w:rPr>
        <w:t>reflected</w:t>
      </w:r>
      <w:r>
        <w:rPr>
          <w:rFonts w:cs="Arial"/>
          <w:szCs w:val="22"/>
        </w:rPr>
        <w:t xml:space="preserve"> in the </w:t>
      </w:r>
      <w:r w:rsidR="00701790">
        <w:rPr>
          <w:rFonts w:cs="Arial"/>
          <w:szCs w:val="22"/>
        </w:rPr>
        <w:t xml:space="preserve">notices of entitlement that Inland Revenue sends to recipients from February as part </w:t>
      </w:r>
      <w:r w:rsidR="00744BE6">
        <w:rPr>
          <w:rFonts w:cs="Arial"/>
          <w:szCs w:val="22"/>
        </w:rPr>
        <w:t xml:space="preserve">of </w:t>
      </w:r>
      <w:r w:rsidR="00701790">
        <w:rPr>
          <w:rFonts w:cs="Arial"/>
          <w:szCs w:val="22"/>
        </w:rPr>
        <w:t>the annual ‘rollover’ process</w:t>
      </w:r>
    </w:p>
    <w:p w14:paraId="25113152" w14:textId="5E4B3900" w:rsidR="000A0FEF" w:rsidRDefault="000A0FEF">
      <w:pPr>
        <w:spacing w:after="0" w:line="240" w:lineRule="auto"/>
        <w:rPr>
          <w:rFonts w:ascii="Arial Bold" w:hAnsi="Arial Bold"/>
          <w:b/>
          <w:color w:val="0082AB"/>
          <w:spacing w:val="20"/>
          <w:w w:val="90"/>
          <w:sz w:val="24"/>
          <w:szCs w:val="22"/>
          <w:lang w:val="en-NZ"/>
        </w:rPr>
      </w:pPr>
    </w:p>
    <w:p w14:paraId="5AA39C72" w14:textId="19F3185C" w:rsidR="006B5794" w:rsidRPr="00A864A5" w:rsidRDefault="0099086E" w:rsidP="006B5794">
      <w:pPr>
        <w:pStyle w:val="Heading3"/>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6CC275B2" w14:textId="1CB56A3D" w:rsidR="00477902" w:rsidRDefault="00477902" w:rsidP="00477902">
      <w:r w:rsidRPr="00D4361D">
        <w:t>The effects of</w:t>
      </w:r>
      <w:r>
        <w:t xml:space="preserve"> the</w:t>
      </w:r>
      <w:r w:rsidRPr="00D4361D">
        <w:t xml:space="preserve"> </w:t>
      </w:r>
      <w:r w:rsidR="00374234">
        <w:t xml:space="preserve">proposed changes </w:t>
      </w:r>
      <w:r w:rsidRPr="00D4361D">
        <w:t xml:space="preserve">can be monitored using data </w:t>
      </w:r>
      <w:r>
        <w:t>I</w:t>
      </w:r>
      <w:r w:rsidR="00F53509">
        <w:t xml:space="preserve">nland </w:t>
      </w:r>
      <w:r>
        <w:t>R</w:t>
      </w:r>
      <w:r w:rsidR="00F53509">
        <w:t>evenue</w:t>
      </w:r>
      <w:r w:rsidRPr="00D4361D">
        <w:t xml:space="preserve"> currently collects as part of administering </w:t>
      </w:r>
      <w:r w:rsidR="00374234">
        <w:t>WFF</w:t>
      </w:r>
      <w:r w:rsidRPr="00D4361D">
        <w:t xml:space="preserve">. This </w:t>
      </w:r>
      <w:r w:rsidR="2DF5C79A">
        <w:t xml:space="preserve">data </w:t>
      </w:r>
      <w:r w:rsidRPr="00D4361D">
        <w:t xml:space="preserve">includes the number of </w:t>
      </w:r>
      <w:r w:rsidR="006E7AE5">
        <w:t>WFF</w:t>
      </w:r>
      <w:r w:rsidRPr="00D4361D">
        <w:t xml:space="preserve"> recipients, the </w:t>
      </w:r>
      <w:r w:rsidR="7814683B">
        <w:t>makeup of</w:t>
      </w:r>
      <w:r w:rsidR="023D9ABE">
        <w:t xml:space="preserve"> </w:t>
      </w:r>
      <w:r w:rsidRPr="00D4361D">
        <w:t xml:space="preserve">those families, the amount </w:t>
      </w:r>
      <w:r w:rsidR="006E7AE5">
        <w:t xml:space="preserve">and </w:t>
      </w:r>
      <w:r w:rsidR="605AB798">
        <w:t>type</w:t>
      </w:r>
      <w:r w:rsidR="007B1A09">
        <w:t xml:space="preserve"> of</w:t>
      </w:r>
      <w:r w:rsidRPr="00D4361D">
        <w:t xml:space="preserve"> payments made, and</w:t>
      </w:r>
      <w:r>
        <w:t xml:space="preserve"> </w:t>
      </w:r>
      <w:r w:rsidR="007B1A09">
        <w:t>end of year assessment data on under and overpayments.</w:t>
      </w:r>
      <w:r w:rsidRPr="00D4361D">
        <w:t xml:space="preserve"> This administrative data </w:t>
      </w:r>
      <w:r w:rsidR="007B1A09">
        <w:t>provides descriptive information</w:t>
      </w:r>
      <w:r w:rsidR="008D56D1">
        <w:t xml:space="preserve"> abo</w:t>
      </w:r>
      <w:r w:rsidR="00AB4C16">
        <w:t>ut WFF recipients</w:t>
      </w:r>
      <w:r w:rsidRPr="00D4361D">
        <w:t>, and the actual fiscal cost to the Government of the chosen settings.</w:t>
      </w:r>
      <w:r w:rsidR="00AB4C16">
        <w:t xml:space="preserve"> MSD holds data about the WFF payments (FTC and Best Start) t</w:t>
      </w:r>
      <w:r w:rsidR="00BB4CE3">
        <w:t>hey make to main benefit recipients</w:t>
      </w:r>
      <w:r w:rsidR="00886043">
        <w:t>.</w:t>
      </w:r>
    </w:p>
    <w:p w14:paraId="13907572" w14:textId="653F7F47" w:rsidR="00477902" w:rsidRPr="00477902" w:rsidRDefault="00B359B9" w:rsidP="00477902">
      <w:pPr>
        <w:rPr>
          <w:lang w:val="en-NZ"/>
        </w:rPr>
      </w:pPr>
      <w:r>
        <w:t xml:space="preserve">The agencies </w:t>
      </w:r>
      <w:r w:rsidR="00497AA6">
        <w:t xml:space="preserve">who are involved in the WFF review are currently discussing how </w:t>
      </w:r>
      <w:r w:rsidR="00C93A2F">
        <w:t>any</w:t>
      </w:r>
      <w:r w:rsidR="00497AA6">
        <w:t xml:space="preserve"> changes </w:t>
      </w:r>
      <w:r w:rsidR="00C93A2F">
        <w:t>that are progressed as part of</w:t>
      </w:r>
      <w:r w:rsidR="00497AA6">
        <w:t xml:space="preserve"> the broader WFF review will be evaluated.</w:t>
      </w:r>
    </w:p>
    <w:sectPr w:rsidR="00477902" w:rsidRPr="00477902" w:rsidSect="00F1523A">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4F9C" w14:textId="77777777" w:rsidR="00D31A5E" w:rsidRDefault="00D31A5E">
      <w:pPr>
        <w:spacing w:after="0" w:line="240" w:lineRule="auto"/>
      </w:pPr>
      <w:r>
        <w:separator/>
      </w:r>
    </w:p>
    <w:p w14:paraId="69C4F12E" w14:textId="77777777" w:rsidR="00D31A5E" w:rsidRDefault="00D31A5E"/>
  </w:endnote>
  <w:endnote w:type="continuationSeparator" w:id="0">
    <w:p w14:paraId="24040460" w14:textId="77777777" w:rsidR="00D31A5E" w:rsidRDefault="00D31A5E">
      <w:pPr>
        <w:spacing w:after="0" w:line="240" w:lineRule="auto"/>
      </w:pPr>
      <w:r>
        <w:continuationSeparator/>
      </w:r>
    </w:p>
    <w:p w14:paraId="49289118" w14:textId="77777777" w:rsidR="00D31A5E" w:rsidRDefault="00D31A5E"/>
  </w:endnote>
  <w:endnote w:type="continuationNotice" w:id="1">
    <w:p w14:paraId="74B4D9B2" w14:textId="77777777" w:rsidR="00D31A5E" w:rsidRDefault="00D31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C590" w14:textId="6BF7DB80" w:rsidR="007A5C85" w:rsidRDefault="007A5C85">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40</w:t>
    </w:r>
    <w:r w:rsidRPr="009435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37B4D233" w:rsidR="006B3C77" w:rsidRPr="00743278" w:rsidRDefault="006B3C77"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4947" w14:textId="77777777" w:rsidR="00D31A5E" w:rsidRDefault="00D31A5E">
      <w:pPr>
        <w:spacing w:after="0" w:line="240" w:lineRule="auto"/>
      </w:pPr>
      <w:r>
        <w:separator/>
      </w:r>
    </w:p>
    <w:p w14:paraId="3068EB55" w14:textId="77777777" w:rsidR="00D31A5E" w:rsidRDefault="00D31A5E"/>
  </w:footnote>
  <w:footnote w:type="continuationSeparator" w:id="0">
    <w:p w14:paraId="088C9414" w14:textId="77777777" w:rsidR="00D31A5E" w:rsidRDefault="00D31A5E">
      <w:pPr>
        <w:spacing w:after="0" w:line="240" w:lineRule="auto"/>
      </w:pPr>
      <w:r>
        <w:continuationSeparator/>
      </w:r>
    </w:p>
    <w:p w14:paraId="141969B5" w14:textId="77777777" w:rsidR="00D31A5E" w:rsidRDefault="00D31A5E"/>
  </w:footnote>
  <w:footnote w:type="continuationNotice" w:id="1">
    <w:p w14:paraId="44631514" w14:textId="77777777" w:rsidR="00D31A5E" w:rsidRDefault="00D31A5E">
      <w:pPr>
        <w:spacing w:after="0" w:line="240" w:lineRule="auto"/>
      </w:pPr>
    </w:p>
  </w:footnote>
  <w:footnote w:id="2">
    <w:p w14:paraId="1F8CDCBC" w14:textId="77777777" w:rsidR="006B3C77" w:rsidRPr="00791162" w:rsidRDefault="006B3C77" w:rsidP="003070F2">
      <w:pPr>
        <w:pStyle w:val="FootnoteText"/>
        <w:rPr>
          <w:sz w:val="20"/>
          <w:szCs w:val="22"/>
          <w:lang w:val="mi-NZ"/>
        </w:rPr>
      </w:pPr>
      <w:r>
        <w:rPr>
          <w:rStyle w:val="FootnoteReference"/>
        </w:rPr>
        <w:footnoteRef/>
      </w:r>
      <w:r>
        <w:t xml:space="preserve"> </w:t>
      </w:r>
      <w:r w:rsidRPr="00791162">
        <w:rPr>
          <w:szCs w:val="22"/>
        </w:rPr>
        <w:t>These TAWA modelling results use data from the IDI, which was provided by Stats NZ under conditions designed to give effect to the security and confidentiality provisions of the Statistics Act 1975. The results are the work of the author, not Stats NZ or individual data suppliers.</w:t>
      </w:r>
    </w:p>
  </w:footnote>
  <w:footnote w:id="3">
    <w:p w14:paraId="092752E3" w14:textId="4FDDD6C1" w:rsidR="006B3C77" w:rsidRPr="00791162" w:rsidRDefault="006B3C77">
      <w:pPr>
        <w:pStyle w:val="FootnoteText"/>
        <w:rPr>
          <w:lang w:val="mi-NZ"/>
        </w:rPr>
      </w:pPr>
      <w:r>
        <w:rPr>
          <w:rStyle w:val="FootnoteReference"/>
        </w:rPr>
        <w:footnoteRef/>
      </w:r>
      <w:bookmarkStart w:id="0" w:name="_Hlk86241183"/>
      <w:r>
        <w:t>An increase in FTC &amp; BSTC rates is triggered once cumulative increases to the CPI since the last adjustment of FTC and BSTC rates reaches 5%. Once the 5% threshold has been reached, FTC and BSTC rates will be scheduled to increase from 1 April of the upcoming year. The percentage they are increased by is based on the cumulative actual increase in CPI up until the end of the September quarter after the 5% threshold was reached.</w:t>
      </w:r>
    </w:p>
    <w:bookmarkEnd w:id="0"/>
  </w:footnote>
  <w:footnote w:id="4">
    <w:p w14:paraId="17FC737B" w14:textId="3535EB79" w:rsidR="006B3C77" w:rsidRPr="00791162" w:rsidRDefault="006B3C77" w:rsidP="00201A00">
      <w:pPr>
        <w:pStyle w:val="FootnoteText"/>
        <w:rPr>
          <w:sz w:val="22"/>
          <w:szCs w:val="24"/>
          <w:lang w:val="mi-NZ"/>
        </w:rPr>
      </w:pPr>
      <w:r>
        <w:rPr>
          <w:rStyle w:val="FootnoteReference"/>
        </w:rPr>
        <w:footnoteRef/>
      </w:r>
      <w:r>
        <w:t xml:space="preserve"> </w:t>
      </w:r>
      <w:r w:rsidRPr="00791162">
        <w:rPr>
          <w:szCs w:val="16"/>
        </w:rPr>
        <w:t>Note there is significant statistical uncertainty in the child poverty reduction estimates.</w:t>
      </w:r>
    </w:p>
  </w:footnote>
  <w:footnote w:id="5">
    <w:p w14:paraId="3A0D50DC" w14:textId="538B53AD" w:rsidR="006B3C77" w:rsidRPr="00396D99" w:rsidRDefault="006B3C77">
      <w:pPr>
        <w:pStyle w:val="FootnoteText"/>
        <w:rPr>
          <w:lang w:val="mi-NZ"/>
        </w:rPr>
      </w:pPr>
      <w:r>
        <w:rPr>
          <w:rStyle w:val="FootnoteReference"/>
        </w:rPr>
        <w:footnoteRef/>
      </w:r>
      <w:r>
        <w:t xml:space="preserve"> The p</w:t>
      </w:r>
      <w:r w:rsidRPr="00BB4B1B">
        <w:t>ercentage of children living in households with less than 50 percent of the median equivalised disposable household income before housing costs are deducted</w:t>
      </w:r>
      <w:r>
        <w:t>.</w:t>
      </w:r>
    </w:p>
  </w:footnote>
  <w:footnote w:id="6">
    <w:p w14:paraId="7144FD29" w14:textId="3AC59096" w:rsidR="006B3C77" w:rsidRPr="00396D99" w:rsidRDefault="006B3C77">
      <w:pPr>
        <w:pStyle w:val="FootnoteText"/>
        <w:rPr>
          <w:lang w:val="mi-NZ"/>
        </w:rPr>
      </w:pPr>
      <w:r w:rsidRPr="00D16ABC">
        <w:rPr>
          <w:rStyle w:val="FootnoteReference"/>
        </w:rPr>
        <w:footnoteRef/>
      </w:r>
      <w:r w:rsidRPr="00D16ABC">
        <w:t xml:space="preserve"> </w:t>
      </w:r>
      <w:bookmarkStart w:id="1" w:name="_Hlk86220897"/>
      <w:r w:rsidRPr="006320F5">
        <w:t>The percentage of children living in households with less than 50 percent of the median equivalised disposable household income after housing costs are deducted (for the 2017/18 base financial year).</w:t>
      </w:r>
      <w:bookmarkEnd w:id="1"/>
    </w:p>
  </w:footnote>
  <w:footnote w:id="7">
    <w:p w14:paraId="1CDF6823" w14:textId="4848AA7A" w:rsidR="006B3C77" w:rsidRPr="000608D7" w:rsidRDefault="006B3C77">
      <w:pPr>
        <w:pStyle w:val="FootnoteText"/>
        <w:rPr>
          <w:lang w:val="mi-NZ"/>
        </w:rPr>
      </w:pPr>
      <w:r>
        <w:rPr>
          <w:rStyle w:val="FootnoteReference"/>
        </w:rPr>
        <w:footnoteRef/>
      </w:r>
      <w:r>
        <w:t xml:space="preserve"> </w:t>
      </w:r>
      <w:r>
        <w:rPr>
          <w:lang w:val="mi-NZ"/>
        </w:rPr>
        <w:t>S = suppressed</w:t>
      </w:r>
      <w:r w:rsidRPr="003D5C1B">
        <w:rPr>
          <w:lang w:val="mi-NZ"/>
        </w:rPr>
        <w:t xml:space="preserve"> due </w:t>
      </w:r>
      <w:r>
        <w:rPr>
          <w:lang w:val="mi-NZ"/>
        </w:rPr>
        <w:t xml:space="preserve">to </w:t>
      </w:r>
      <w:r w:rsidRPr="003D5C1B">
        <w:rPr>
          <w:lang w:val="mi-NZ"/>
        </w:rPr>
        <w:t xml:space="preserve">Statistics </w:t>
      </w:r>
      <w:r>
        <w:rPr>
          <w:lang w:val="mi-NZ"/>
        </w:rPr>
        <w:t>NZ</w:t>
      </w:r>
      <w:r w:rsidRPr="003D5C1B">
        <w:rPr>
          <w:lang w:val="mi-NZ"/>
        </w:rPr>
        <w:t xml:space="preserve"> confide</w:t>
      </w:r>
      <w:r>
        <w:rPr>
          <w:lang w:val="mi-NZ"/>
        </w:rPr>
        <w:t>n</w:t>
      </w:r>
      <w:r w:rsidRPr="003D5C1B">
        <w:rPr>
          <w:lang w:val="mi-NZ"/>
        </w:rPr>
        <w:t>tiality rules.</w:t>
      </w:r>
    </w:p>
  </w:footnote>
  <w:footnote w:id="8">
    <w:p w14:paraId="614C8B6A" w14:textId="56216CA5" w:rsidR="006B3C77" w:rsidRPr="00DC1ABB" w:rsidRDefault="006B3C77">
      <w:pPr>
        <w:pStyle w:val="FootnoteText"/>
        <w:rPr>
          <w:lang w:val="mi-NZ"/>
        </w:rPr>
      </w:pPr>
      <w:r>
        <w:rPr>
          <w:rStyle w:val="FootnoteReference"/>
        </w:rPr>
        <w:footnoteRef/>
      </w:r>
      <w:r>
        <w:t xml:space="preserve"> </w:t>
      </w:r>
      <w:r>
        <w:rPr>
          <w:lang w:val="mi-NZ"/>
        </w:rPr>
        <w:t>The Child Tax Credit (CTC) was ‘grandparented’ once it was replaced by the In-Work Tax Credit. Very few families still receive it.</w:t>
      </w:r>
    </w:p>
  </w:footnote>
  <w:footnote w:id="9">
    <w:p w14:paraId="111E6D6B" w14:textId="77777777" w:rsidR="006B3C77" w:rsidRPr="007E40D8" w:rsidRDefault="006B3C77" w:rsidP="00976E07">
      <w:pPr>
        <w:pStyle w:val="FootnoteText"/>
        <w:rPr>
          <w:sz w:val="22"/>
          <w:szCs w:val="24"/>
          <w:lang w:val="mi-NZ"/>
        </w:rPr>
      </w:pPr>
      <w:r>
        <w:rPr>
          <w:rStyle w:val="FootnoteReference"/>
        </w:rPr>
        <w:footnoteRef/>
      </w:r>
      <w:r>
        <w:t xml:space="preserve"> </w:t>
      </w:r>
      <w:r w:rsidRPr="007E40D8">
        <w:rPr>
          <w:szCs w:val="16"/>
        </w:rPr>
        <w:t>Note there is significant statistical uncertainty in the child poverty reduction estimates.</w:t>
      </w:r>
    </w:p>
  </w:footnote>
  <w:footnote w:id="10">
    <w:p w14:paraId="57584CF4" w14:textId="77777777" w:rsidR="006B3C77" w:rsidRPr="00396D99" w:rsidRDefault="006B3C77" w:rsidP="00976E07">
      <w:pPr>
        <w:pStyle w:val="FootnoteText"/>
        <w:rPr>
          <w:lang w:val="mi-NZ"/>
        </w:rPr>
      </w:pPr>
      <w:r>
        <w:rPr>
          <w:rStyle w:val="FootnoteReference"/>
        </w:rPr>
        <w:footnoteRef/>
      </w:r>
      <w:r>
        <w:t xml:space="preserve"> The p</w:t>
      </w:r>
      <w:r w:rsidRPr="00BB4B1B">
        <w:t>ercentage of children living in households with less than 50 percent of the median equivalised disposable household income before housing costs are deducted</w:t>
      </w:r>
      <w:r>
        <w:t>.</w:t>
      </w:r>
    </w:p>
  </w:footnote>
  <w:footnote w:id="11">
    <w:p w14:paraId="718D177C" w14:textId="77777777" w:rsidR="006B3C77" w:rsidRPr="00396D99" w:rsidRDefault="006B3C77" w:rsidP="00976E07">
      <w:pPr>
        <w:pStyle w:val="FootnoteText"/>
        <w:rPr>
          <w:lang w:val="mi-NZ"/>
        </w:rPr>
      </w:pPr>
      <w:r w:rsidRPr="00D16ABC">
        <w:rPr>
          <w:rStyle w:val="FootnoteReference"/>
        </w:rPr>
        <w:footnoteRef/>
      </w:r>
      <w:r w:rsidRPr="00D16ABC">
        <w:t xml:space="preserve"> </w:t>
      </w:r>
      <w:r w:rsidRPr="006320F5">
        <w:t>The percentage of children living in households with less than 50 percent of the median equivalised disposable household income after housing costs are deducted (for the 2017/18 base financial year).</w:t>
      </w:r>
    </w:p>
  </w:footnote>
  <w:footnote w:id="12">
    <w:p w14:paraId="6A5F8388" w14:textId="7367B0F6" w:rsidR="006B3C77" w:rsidRPr="000449D8" w:rsidRDefault="006B3C77">
      <w:pPr>
        <w:pStyle w:val="FootnoteText"/>
        <w:rPr>
          <w:lang w:val="mi-NZ"/>
        </w:rPr>
      </w:pPr>
      <w:r>
        <w:rPr>
          <w:rStyle w:val="FootnoteReference"/>
        </w:rPr>
        <w:footnoteRef/>
      </w:r>
      <w:r>
        <w:t xml:space="preserve"> </w:t>
      </w:r>
      <w:r w:rsidRPr="001B6FC1">
        <w:t>The percentage of children living in households with less than 50 percent of the median equivalised disposable household income after housing costs are deducted (for the 2017/18 base financial year).</w:t>
      </w:r>
    </w:p>
  </w:footnote>
  <w:footnote w:id="13">
    <w:p w14:paraId="0AB95933" w14:textId="207E6A22" w:rsidR="006B3C77" w:rsidRPr="00091EBF" w:rsidRDefault="006B3C77">
      <w:pPr>
        <w:pStyle w:val="FootnoteText"/>
        <w:rPr>
          <w:lang w:val="mi-NZ"/>
        </w:rPr>
      </w:pPr>
      <w:r>
        <w:rPr>
          <w:rStyle w:val="FootnoteReference"/>
        </w:rPr>
        <w:footnoteRef/>
      </w:r>
      <w:r>
        <w:t xml:space="preserve"> </w:t>
      </w:r>
      <w:r w:rsidRPr="00F3294E">
        <w:t>The percentage of children living in households with less than 50 percent of the median equivalised disposable household income before housing costs are deducted.</w:t>
      </w:r>
    </w:p>
  </w:footnote>
  <w:footnote w:id="14">
    <w:p w14:paraId="3473CA7D" w14:textId="6BFB667F" w:rsidR="006B3C77" w:rsidRPr="003627D7" w:rsidRDefault="006B3C77" w:rsidP="00C57072">
      <w:pPr>
        <w:pStyle w:val="FootnoteText"/>
        <w:rPr>
          <w:lang w:val="mi-NZ"/>
        </w:rPr>
      </w:pPr>
      <w:r>
        <w:rPr>
          <w:rStyle w:val="FootnoteReference"/>
        </w:rPr>
        <w:footnoteRef/>
      </w:r>
      <w:r>
        <w:t xml:space="preserve"> </w:t>
      </w:r>
      <w:r>
        <w:rPr>
          <w:lang w:val="mi-NZ"/>
        </w:rPr>
        <w:t>Government has also set targets measured against material hardship but the AHC50 and BHC50 measures are the only ones that will be used in this document for the sake of simplicity and consistency with the modelling of outputs by TAWA.</w:t>
      </w:r>
    </w:p>
  </w:footnote>
  <w:footnote w:id="15">
    <w:p w14:paraId="169A6921" w14:textId="72F0971B" w:rsidR="006B3C77" w:rsidRPr="00791162" w:rsidRDefault="006B3C77">
      <w:pPr>
        <w:pStyle w:val="FootnoteText"/>
        <w:rPr>
          <w:lang w:val="mi-NZ"/>
        </w:rPr>
      </w:pPr>
      <w:r>
        <w:rPr>
          <w:rStyle w:val="FootnoteReference"/>
        </w:rPr>
        <w:footnoteRef/>
      </w:r>
      <w:r>
        <w:t xml:space="preserve"> </w:t>
      </w:r>
      <w:r>
        <w:rPr>
          <w:lang w:val="mi-NZ"/>
        </w:rPr>
        <w:t>According to TAWA forecasts.</w:t>
      </w:r>
    </w:p>
  </w:footnote>
  <w:footnote w:id="16">
    <w:p w14:paraId="18E7F736" w14:textId="13FBD3D1" w:rsidR="006B3C77" w:rsidRPr="008B76DC" w:rsidRDefault="006B3C77" w:rsidP="004F4ECA">
      <w:pPr>
        <w:pStyle w:val="FootnoteText"/>
        <w:rPr>
          <w:lang w:val="mi-NZ"/>
        </w:rPr>
      </w:pPr>
      <w:r>
        <w:rPr>
          <w:rStyle w:val="FootnoteReference"/>
        </w:rPr>
        <w:footnoteRef/>
      </w:r>
      <w:r>
        <w:t xml:space="preserve"> </w:t>
      </w:r>
      <w:r>
        <w:rPr>
          <w:lang w:val="mi-NZ"/>
        </w:rPr>
        <w:t>According to Stats NZ..</w:t>
      </w:r>
    </w:p>
  </w:footnote>
  <w:footnote w:id="17">
    <w:p w14:paraId="1603A232" w14:textId="77777777" w:rsidR="006B3C77" w:rsidRPr="008B76DC" w:rsidRDefault="006B3C77" w:rsidP="004F4ECA">
      <w:pPr>
        <w:pStyle w:val="FootnoteText"/>
        <w:rPr>
          <w:lang w:val="mi-NZ"/>
        </w:rPr>
      </w:pPr>
      <w:r>
        <w:rPr>
          <w:rStyle w:val="FootnoteReference"/>
        </w:rPr>
        <w:footnoteRef/>
      </w:r>
      <w:r>
        <w:t xml:space="preserve"> </w:t>
      </w:r>
      <w:r>
        <w:rPr>
          <w:szCs w:val="16"/>
        </w:rPr>
        <w:t xml:space="preserve">HEDI </w:t>
      </w:r>
      <w:r w:rsidRPr="006E7659">
        <w:rPr>
          <w:szCs w:val="16"/>
        </w:rPr>
        <w:t>is household total income, net of tax, adjusted to allow comparison of income adequacy between households with different composition. This involves an equivalisation factor that accounts for the number and age of household occupants and economies of scale. TAWA and official child poverty metrics use OECD equivalisation, where HEDI = DI/(1+0.5*(N_GTE14-1) + 0.3*N_LT14). It is essentially a per-person</w:t>
      </w:r>
      <w:r>
        <w:rPr>
          <w:szCs w:val="16"/>
        </w:rPr>
        <w:t>,</w:t>
      </w:r>
      <w:r w:rsidRPr="006E7659">
        <w:rPr>
          <w:szCs w:val="16"/>
        </w:rPr>
        <w:t xml:space="preserve"> disposable income where the first person 14 or older counts as 1 person, subsequent people 14 or older count as 0.5 and each child under 14 years counts as 0.3.</w:t>
      </w:r>
    </w:p>
  </w:footnote>
  <w:footnote w:id="18">
    <w:p w14:paraId="247207E5" w14:textId="0E5FDA2D" w:rsidR="006B3C77" w:rsidRPr="008B76DC" w:rsidRDefault="006B3C77" w:rsidP="004F4ECA">
      <w:pPr>
        <w:pStyle w:val="FootnoteText"/>
        <w:rPr>
          <w:lang w:val="mi-NZ"/>
        </w:rPr>
      </w:pPr>
      <w:r>
        <w:rPr>
          <w:rStyle w:val="FootnoteReference"/>
        </w:rPr>
        <w:footnoteRef/>
      </w:r>
      <w:r>
        <w:t xml:space="preserve"> </w:t>
      </w:r>
      <w:r>
        <w:rPr>
          <w:lang w:val="mi-NZ"/>
        </w:rPr>
        <w:t>According to Stats NZ.</w:t>
      </w:r>
    </w:p>
  </w:footnote>
  <w:footnote w:id="19">
    <w:p w14:paraId="4596AB4B" w14:textId="45DA4171" w:rsidR="006B3C77" w:rsidRPr="00791162" w:rsidRDefault="006B3C77">
      <w:pPr>
        <w:pStyle w:val="FootnoteText"/>
        <w:rPr>
          <w:lang w:val="mi-NZ"/>
        </w:rPr>
      </w:pPr>
      <w:r>
        <w:rPr>
          <w:rStyle w:val="FootnoteReference"/>
        </w:rPr>
        <w:footnoteRef/>
      </w:r>
      <w:r>
        <w:t xml:space="preserve"> </w:t>
      </w:r>
      <w:r>
        <w:rPr>
          <w:lang w:val="mi-NZ"/>
        </w:rPr>
        <w:t>According to Stats NZ.</w:t>
      </w:r>
    </w:p>
  </w:footnote>
  <w:footnote w:id="20">
    <w:p w14:paraId="4242302B" w14:textId="1872A2E4" w:rsidR="006B3C77" w:rsidRPr="00791162" w:rsidRDefault="006B3C77">
      <w:pPr>
        <w:pStyle w:val="FootnoteText"/>
        <w:rPr>
          <w:lang w:val="mi-NZ"/>
        </w:rPr>
      </w:pPr>
      <w:r>
        <w:rPr>
          <w:rStyle w:val="FootnoteReference"/>
        </w:rPr>
        <w:footnoteRef/>
      </w:r>
      <w:r>
        <w:t xml:space="preserve"> </w:t>
      </w:r>
      <w:r>
        <w:rPr>
          <w:lang w:val="mi-NZ"/>
        </w:rPr>
        <w:t>Note that the AHC50 poverty measure is fixed-line (</w:t>
      </w:r>
      <w:r>
        <w:t>the median HEDI is calculated using</w:t>
      </w:r>
      <w:r w:rsidRPr="001B6FC1">
        <w:t xml:space="preserve"> the 2017/18 base financial year</w:t>
      </w:r>
      <w:r>
        <w:t xml:space="preserve"> then adjusted for CPI inflation up to the financial year in which poverty is being measured</w:t>
      </w:r>
      <w:r w:rsidRPr="001B6FC1">
        <w:t>)</w:t>
      </w:r>
      <w:r>
        <w:t xml:space="preserve">, </w:t>
      </w:r>
      <w:r>
        <w:rPr>
          <w:lang w:val="mi-NZ"/>
        </w:rPr>
        <w:t>whereas the BHC50 poverty measure is moving-line (the median HEDI is calculated using the financial year in which poverty is being measured).</w:t>
      </w:r>
    </w:p>
  </w:footnote>
  <w:footnote w:id="21">
    <w:p w14:paraId="45A5AAB7" w14:textId="23AE3802" w:rsidR="006B3C77" w:rsidRPr="008B76DC" w:rsidRDefault="006B3C77" w:rsidP="004F4ECA">
      <w:pPr>
        <w:pStyle w:val="FootnoteText"/>
        <w:rPr>
          <w:lang w:val="mi-NZ"/>
        </w:rPr>
      </w:pPr>
      <w:r>
        <w:rPr>
          <w:rStyle w:val="FootnoteReference"/>
        </w:rPr>
        <w:footnoteRef/>
      </w:r>
      <w:r>
        <w:t xml:space="preserve"> </w:t>
      </w:r>
      <w:r>
        <w:rPr>
          <w:lang w:val="mi-NZ"/>
        </w:rPr>
        <w:t>According to Stats NZ.</w:t>
      </w:r>
    </w:p>
  </w:footnote>
  <w:footnote w:id="22">
    <w:p w14:paraId="550B2C19" w14:textId="5FDF9592" w:rsidR="006B3C77" w:rsidRPr="00791162" w:rsidRDefault="006B3C77">
      <w:pPr>
        <w:pStyle w:val="FootnoteText"/>
        <w:rPr>
          <w:lang w:val="mi-NZ"/>
        </w:rPr>
      </w:pPr>
      <w:r>
        <w:rPr>
          <w:rStyle w:val="FootnoteReference"/>
        </w:rPr>
        <w:footnoteRef/>
      </w:r>
      <w:r>
        <w:t xml:space="preserve"> </w:t>
      </w:r>
      <w:r w:rsidRPr="00F3294E">
        <w:t>The percentage of children living in households with less than 50 percent of the median equivalised disposable household income before housing costs are deducted.</w:t>
      </w:r>
    </w:p>
  </w:footnote>
  <w:footnote w:id="23">
    <w:p w14:paraId="30FBD877" w14:textId="360448E2" w:rsidR="006B3C77" w:rsidRPr="00791162" w:rsidRDefault="006B3C77">
      <w:pPr>
        <w:pStyle w:val="FootnoteText"/>
        <w:rPr>
          <w:lang w:val="mi-NZ"/>
        </w:rPr>
      </w:pPr>
      <w:r>
        <w:rPr>
          <w:rStyle w:val="FootnoteReference"/>
        </w:rPr>
        <w:footnoteRef/>
      </w:r>
      <w:r>
        <w:t xml:space="preserve"> </w:t>
      </w:r>
      <w:r w:rsidRPr="001B6FC1">
        <w:t>The percentage of children living in households with less than 50 percent of the median equivalised disposable household income after housing costs are deducted (for the 2017/18 base financial year).</w:t>
      </w:r>
    </w:p>
  </w:footnote>
  <w:footnote w:id="24">
    <w:p w14:paraId="1A3C34F6" w14:textId="259D46BF" w:rsidR="006B3C77" w:rsidRPr="00A82010" w:rsidRDefault="006B3C77" w:rsidP="00546F19">
      <w:pPr>
        <w:pStyle w:val="FootnoteText"/>
        <w:rPr>
          <w:lang w:val="mi-NZ"/>
        </w:rPr>
      </w:pPr>
      <w:r>
        <w:rPr>
          <w:rStyle w:val="FootnoteReference"/>
        </w:rPr>
        <w:footnoteRef/>
      </w:r>
      <w:r>
        <w:t xml:space="preserve"> </w:t>
      </w:r>
      <w:r w:rsidRPr="001B6FC1">
        <w:t>The percentage of children living in households with less than 50 percent of the median equivalised disposable household income after housing costs are deducted (for the 2017/18 base financial year).</w:t>
      </w:r>
    </w:p>
  </w:footnote>
  <w:footnote w:id="25">
    <w:p w14:paraId="12C89331" w14:textId="51A293E8" w:rsidR="006B3C77" w:rsidRPr="00A82010" w:rsidRDefault="006B3C77" w:rsidP="00546F19">
      <w:pPr>
        <w:pStyle w:val="FootnoteText"/>
        <w:rPr>
          <w:lang w:val="mi-NZ"/>
        </w:rPr>
      </w:pPr>
      <w:r>
        <w:rPr>
          <w:rStyle w:val="FootnoteReference"/>
        </w:rPr>
        <w:footnoteRef/>
      </w:r>
      <w:r>
        <w:t xml:space="preserve"> </w:t>
      </w:r>
      <w:r w:rsidRPr="009132C4">
        <w:t>The percentage of children living in households with less than 50 percent of the median equivalised disposable household income before housing costs are deducted</w:t>
      </w:r>
      <w:r w:rsidRPr="00F06C1C">
        <w:t>.</w:t>
      </w:r>
    </w:p>
  </w:footnote>
  <w:footnote w:id="26">
    <w:p w14:paraId="3BB68386" w14:textId="1FD944C3" w:rsidR="006B3C77" w:rsidRPr="000A34FD" w:rsidRDefault="006B3C77" w:rsidP="001707D2">
      <w:pPr>
        <w:pStyle w:val="FootnoteText"/>
        <w:rPr>
          <w:lang w:val="mi-NZ"/>
        </w:rPr>
      </w:pPr>
      <w:r>
        <w:rPr>
          <w:rStyle w:val="FootnoteReference"/>
        </w:rPr>
        <w:footnoteRef/>
      </w:r>
      <w:r>
        <w:t xml:space="preserve"> </w:t>
      </w:r>
      <w:r w:rsidRPr="001B6FC1">
        <w:rPr>
          <w:lang w:val="en-NZ"/>
        </w:rPr>
        <w:t>The percentage of children living in households with less than 50 percent of the median equivalised disposable household income after housing costs are deducted (for the 2017/18 base financial year).</w:t>
      </w:r>
    </w:p>
  </w:footnote>
  <w:footnote w:id="27">
    <w:p w14:paraId="6D608968" w14:textId="2D9EB439" w:rsidR="006B3C77" w:rsidRPr="000A34FD" w:rsidRDefault="006B3C77" w:rsidP="001707D2">
      <w:pPr>
        <w:pStyle w:val="FootnoteText"/>
        <w:rPr>
          <w:lang w:val="mi-NZ"/>
        </w:rPr>
      </w:pPr>
      <w:r>
        <w:rPr>
          <w:rStyle w:val="FootnoteReference"/>
        </w:rPr>
        <w:footnoteRef/>
      </w:r>
      <w:r>
        <w:t xml:space="preserve"> </w:t>
      </w:r>
      <w:r w:rsidRPr="009132C4">
        <w:rPr>
          <w:lang w:val="en-NZ"/>
        </w:rPr>
        <w:t>The percentage of children living in households with less than 50 percent of the median equivalised disposable household income before housing costs are deducted.</w:t>
      </w:r>
    </w:p>
  </w:footnote>
  <w:footnote w:id="28">
    <w:p w14:paraId="0C1F1892" w14:textId="33E79D15" w:rsidR="006B3C77" w:rsidRPr="00660E5D" w:rsidRDefault="006B3C77">
      <w:pPr>
        <w:pStyle w:val="FootnoteText"/>
        <w:rPr>
          <w:lang w:val="mi-NZ"/>
        </w:rPr>
      </w:pPr>
      <w:r>
        <w:rPr>
          <w:rStyle w:val="FootnoteReference"/>
        </w:rPr>
        <w:footnoteRef/>
      </w:r>
      <w:r>
        <w:t xml:space="preserve"> </w:t>
      </w:r>
      <w:r>
        <w:rPr>
          <w:lang w:val="mi-NZ"/>
        </w:rPr>
        <w:t>Out of the 2,691,000 families in New Zealand.</w:t>
      </w:r>
    </w:p>
  </w:footnote>
  <w:footnote w:id="29">
    <w:p w14:paraId="32712CEB" w14:textId="30151587" w:rsidR="006B3C77" w:rsidRPr="004E4CD3" w:rsidRDefault="006B3C77">
      <w:pPr>
        <w:pStyle w:val="FootnoteText"/>
        <w:rPr>
          <w:lang w:val="mi-NZ"/>
        </w:rPr>
      </w:pPr>
      <w:r>
        <w:rPr>
          <w:rStyle w:val="FootnoteReference"/>
        </w:rPr>
        <w:footnoteRef/>
      </w:r>
      <w:r>
        <w:t xml:space="preserve"> Out of the 1,155,000 children in New Zealand.</w:t>
      </w:r>
    </w:p>
  </w:footnote>
  <w:footnote w:id="30">
    <w:p w14:paraId="4FAE50E0" w14:textId="77777777" w:rsidR="006B3C77" w:rsidRPr="00660E5D" w:rsidRDefault="006B3C77" w:rsidP="00165B85">
      <w:pPr>
        <w:pStyle w:val="FootnoteText"/>
        <w:rPr>
          <w:lang w:val="mi-NZ"/>
        </w:rPr>
      </w:pPr>
      <w:r>
        <w:rPr>
          <w:rStyle w:val="FootnoteReference"/>
        </w:rPr>
        <w:footnoteRef/>
      </w:r>
      <w:r>
        <w:t xml:space="preserve"> </w:t>
      </w:r>
      <w:r>
        <w:rPr>
          <w:lang w:val="mi-NZ"/>
        </w:rPr>
        <w:t>Out of the 2,691,000 families in New Zealand.</w:t>
      </w:r>
    </w:p>
  </w:footnote>
  <w:footnote w:id="31">
    <w:p w14:paraId="6D617DDF" w14:textId="77777777" w:rsidR="006B3C77" w:rsidRPr="004E4CD3" w:rsidRDefault="006B3C77" w:rsidP="00165B85">
      <w:pPr>
        <w:pStyle w:val="FootnoteText"/>
        <w:rPr>
          <w:lang w:val="mi-NZ"/>
        </w:rPr>
      </w:pPr>
      <w:r>
        <w:rPr>
          <w:rStyle w:val="FootnoteReference"/>
        </w:rPr>
        <w:footnoteRef/>
      </w:r>
      <w:r>
        <w:t xml:space="preserve"> Out of the 1,155,000 children in New Zealand.</w:t>
      </w:r>
    </w:p>
  </w:footnote>
  <w:footnote w:id="32">
    <w:p w14:paraId="52D3C7BA" w14:textId="3C74B66A" w:rsidR="006B3C77" w:rsidRPr="006E7659" w:rsidRDefault="006B3C77" w:rsidP="006E7659">
      <w:pPr>
        <w:rPr>
          <w:rFonts w:ascii="Calibri" w:hAnsi="Calibri"/>
          <w:sz w:val="18"/>
          <w:szCs w:val="16"/>
          <w:lang w:val="en-NZ" w:eastAsia="en-US"/>
        </w:rPr>
      </w:pPr>
      <w:r>
        <w:rPr>
          <w:rStyle w:val="FootnoteReference"/>
        </w:rPr>
        <w:footnoteRef/>
      </w:r>
      <w:r>
        <w:t xml:space="preserve"> </w:t>
      </w:r>
      <w:r w:rsidRPr="006E7659">
        <w:rPr>
          <w:sz w:val="18"/>
          <w:szCs w:val="16"/>
          <w:lang w:val="mi-NZ"/>
        </w:rPr>
        <w:t xml:space="preserve">HEDI refers to </w:t>
      </w:r>
      <w:r w:rsidRPr="006E7659">
        <w:rPr>
          <w:sz w:val="18"/>
          <w:szCs w:val="16"/>
        </w:rPr>
        <w:t>Household Equivali</w:t>
      </w:r>
      <w:r>
        <w:rPr>
          <w:sz w:val="18"/>
          <w:szCs w:val="16"/>
        </w:rPr>
        <w:t>s</w:t>
      </w:r>
      <w:r w:rsidRPr="006E7659">
        <w:rPr>
          <w:sz w:val="18"/>
          <w:szCs w:val="16"/>
        </w:rPr>
        <w:t>ed Disposable Income which is household total income, net of tax, adjusted to allow comparison of income adequacy between households with different composition. This involves an equivalisation factor that accounts for the number and age of household occupants and economies of scale. TAWA and official child poverty metrics use OECD equivalisation, where HEDI = DI/(1+0.5*(N_GTE14-1) + 0.3*N_LT14). It is essentially a per-person</w:t>
      </w:r>
      <w:r>
        <w:rPr>
          <w:sz w:val="18"/>
          <w:szCs w:val="16"/>
        </w:rPr>
        <w:t>,</w:t>
      </w:r>
      <w:r w:rsidRPr="006E7659">
        <w:rPr>
          <w:sz w:val="18"/>
          <w:szCs w:val="16"/>
        </w:rPr>
        <w:t xml:space="preserve"> disposable income where the first person 14 or older counts as 1 person, subsequent people 14 or older count as 0.5 and each child under 14 years counts as 0.3.</w:t>
      </w:r>
    </w:p>
    <w:p w14:paraId="5B3EB6B4" w14:textId="21A21532" w:rsidR="006B3C77" w:rsidRPr="006E7659" w:rsidRDefault="006B3C77">
      <w:pPr>
        <w:pStyle w:val="FootnoteText"/>
        <w:rPr>
          <w:lang w:val="mi-NZ"/>
        </w:rPr>
      </w:pPr>
    </w:p>
  </w:footnote>
  <w:footnote w:id="33">
    <w:p w14:paraId="6E53D2BC" w14:textId="7E62B543" w:rsidR="006B3C77" w:rsidRPr="00510E21" w:rsidRDefault="006B3C77">
      <w:pPr>
        <w:pStyle w:val="FootnoteText"/>
        <w:rPr>
          <w:lang w:val="mi-NZ"/>
        </w:rPr>
      </w:pPr>
      <w:r>
        <w:rPr>
          <w:rStyle w:val="FootnoteReference"/>
        </w:rPr>
        <w:footnoteRef/>
      </w:r>
      <w:r>
        <w:t xml:space="preserve"> How much of each extra dollar of income an individual will lose to tax, levies and abated social assistance.</w:t>
      </w:r>
    </w:p>
  </w:footnote>
  <w:footnote w:id="34">
    <w:p w14:paraId="1AAB49B2" w14:textId="77777777" w:rsidR="006B3C77" w:rsidRPr="007C7C91" w:rsidRDefault="006B3C77" w:rsidP="0051744B">
      <w:pPr>
        <w:pStyle w:val="FootnoteText"/>
        <w:rPr>
          <w:lang w:val="mi-NZ"/>
        </w:rPr>
      </w:pPr>
      <w:r>
        <w:rPr>
          <w:rStyle w:val="FootnoteReference"/>
        </w:rPr>
        <w:footnoteRef/>
      </w:r>
      <w:r>
        <w:t xml:space="preserve"> </w:t>
      </w:r>
      <w:r>
        <w:rPr>
          <w:lang w:val="mi-NZ"/>
        </w:rPr>
        <w:t>How much of the income received when entering work an individual will lose to tax, levies and abated social assistance.</w:t>
      </w:r>
    </w:p>
  </w:footnote>
  <w:footnote w:id="35">
    <w:p w14:paraId="32012F77" w14:textId="4A98B2E4" w:rsidR="006B3C77" w:rsidRPr="008722F3" w:rsidRDefault="006B3C77">
      <w:pPr>
        <w:pStyle w:val="FootnoteText"/>
        <w:rPr>
          <w:lang w:val="mi-NZ"/>
        </w:rPr>
      </w:pPr>
      <w:r>
        <w:rPr>
          <w:rStyle w:val="FootnoteReference"/>
        </w:rPr>
        <w:footnoteRef/>
      </w:r>
      <w:r>
        <w:t xml:space="preserve"> </w:t>
      </w:r>
      <w:r w:rsidRPr="008722F3">
        <w:t>These example families are for illustrative purposes only. The assumptions around rental costs follow the approach used by the WEAG; they assumed the families used were based in Manurewa, South Auckland (Accommodation Supplement Area 1), and that the families were paying rent in the lower quartile. As at September 2021, lower quartile rent for Manurewa is $500 per week.</w:t>
      </w:r>
    </w:p>
  </w:footnote>
  <w:footnote w:id="36">
    <w:p w14:paraId="15041155" w14:textId="033D2F56" w:rsidR="006B3C77" w:rsidRPr="008722F3" w:rsidRDefault="006B3C77" w:rsidP="0024163A">
      <w:pPr>
        <w:pStyle w:val="FootnoteText"/>
        <w:rPr>
          <w:lang w:val="mi-NZ"/>
        </w:rPr>
      </w:pPr>
      <w:r>
        <w:rPr>
          <w:rStyle w:val="FootnoteReference"/>
        </w:rPr>
        <w:footnoteRef/>
      </w:r>
      <w:r>
        <w:t xml:space="preserve"> All data in the following table is taken from TAWA excluding PTR’s which are taken from Inland Revenue internal data. </w:t>
      </w:r>
    </w:p>
  </w:footnote>
  <w:footnote w:id="37">
    <w:p w14:paraId="5D3E7D71" w14:textId="3638005B" w:rsidR="006B3C77" w:rsidRPr="00167770" w:rsidRDefault="006B3C77">
      <w:pPr>
        <w:pStyle w:val="FootnoteText"/>
        <w:rPr>
          <w:lang w:val="mi-NZ"/>
        </w:rPr>
      </w:pPr>
      <w:r>
        <w:rPr>
          <w:rStyle w:val="FootnoteReference"/>
        </w:rPr>
        <w:footnoteRef/>
      </w:r>
      <w:r>
        <w:t xml:space="preserve"> </w:t>
      </w:r>
      <w:bookmarkStart w:id="12" w:name="_Hlk85105247"/>
      <w:r>
        <w:rPr>
          <w:lang w:val="mi-NZ"/>
        </w:rPr>
        <w:t>Assumes that the primary earner works a fixed amount at 40 hours at $20 per hour, and the second earner earns $20 per hour.</w:t>
      </w:r>
      <w:bookmarkEnd w:id="12"/>
    </w:p>
  </w:footnote>
  <w:footnote w:id="38">
    <w:p w14:paraId="64B62639" w14:textId="0EFE8D92" w:rsidR="006B3C77" w:rsidRPr="00B47C8E" w:rsidRDefault="006B3C77" w:rsidP="00F63239">
      <w:pPr>
        <w:pStyle w:val="FootnoteText"/>
        <w:rPr>
          <w:lang w:val="mi-NZ"/>
        </w:rPr>
      </w:pPr>
      <w:r>
        <w:rPr>
          <w:rStyle w:val="FootnoteReference"/>
        </w:rPr>
        <w:footnoteRef/>
      </w:r>
      <w:r>
        <w:t xml:space="preserve"> </w:t>
      </w:r>
      <w:r>
        <w:rPr>
          <w:lang w:val="mi-NZ"/>
        </w:rPr>
        <w:t>Status quo refers to 1 April 2022, post-CPI indexation.</w:t>
      </w:r>
    </w:p>
  </w:footnote>
  <w:footnote w:id="39">
    <w:p w14:paraId="0E0463EB" w14:textId="06CFA4FC" w:rsidR="006B3C77" w:rsidRPr="00791162" w:rsidRDefault="006B3C77">
      <w:pPr>
        <w:pStyle w:val="FootnoteText"/>
        <w:rPr>
          <w:lang w:val="mi-NZ"/>
        </w:rPr>
      </w:pPr>
      <w:r>
        <w:rPr>
          <w:rStyle w:val="FootnoteReference"/>
        </w:rPr>
        <w:footnoteRef/>
      </w:r>
      <w:r>
        <w:t xml:space="preserve"> This reflects the impact of the options alone, without including the impact of counterfactual indexation.</w:t>
      </w:r>
    </w:p>
  </w:footnote>
  <w:footnote w:id="40">
    <w:p w14:paraId="59BAE0AA" w14:textId="773BAE79" w:rsidR="006B3C77" w:rsidRPr="00791162" w:rsidRDefault="006B3C77">
      <w:pPr>
        <w:pStyle w:val="FootnoteText"/>
        <w:rPr>
          <w:lang w:val="mi-NZ"/>
        </w:rPr>
      </w:pPr>
      <w:r>
        <w:rPr>
          <w:rStyle w:val="FootnoteReference"/>
        </w:rPr>
        <w:footnoteRef/>
      </w:r>
      <w:r>
        <w:t xml:space="preserve"> </w:t>
      </w:r>
      <w:r>
        <w:rPr>
          <w:lang w:val="mi-NZ"/>
        </w:rPr>
        <w:t>Once FTC/IWTC payments start to abate. This reflects the couple with one earner family type.</w:t>
      </w:r>
    </w:p>
  </w:footnote>
  <w:footnote w:id="41">
    <w:p w14:paraId="1FA6601D" w14:textId="77777777" w:rsidR="006B3C77" w:rsidRPr="007E40D8" w:rsidRDefault="006B3C77" w:rsidP="00AD6F25">
      <w:pPr>
        <w:pStyle w:val="FootnoteText"/>
        <w:rPr>
          <w:lang w:val="mi-NZ"/>
        </w:rPr>
      </w:pPr>
      <w:r>
        <w:rPr>
          <w:rStyle w:val="FootnoteReference"/>
        </w:rPr>
        <w:footnoteRef/>
      </w:r>
      <w:r>
        <w:t xml:space="preserve"> </w:t>
      </w:r>
      <w:r>
        <w:rPr>
          <w:lang w:val="mi-NZ"/>
        </w:rPr>
        <w:t>Once FTC/IWTC payments start to abate. This reflects the couple with one earner family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1C28" w14:textId="5C4F682A" w:rsidR="006B3C77" w:rsidRDefault="006B3C77">
    <w:pPr>
      <w:pStyle w:val="Header"/>
    </w:pPr>
    <w:r>
      <w:rPr>
        <w:noProof/>
      </w:rPr>
      <mc:AlternateContent>
        <mc:Choice Requires="wps">
          <w:drawing>
            <wp:anchor distT="0" distB="0" distL="114300" distR="114300" simplePos="0" relativeHeight="251825152" behindDoc="0" locked="0" layoutInCell="0" allowOverlap="1" wp14:anchorId="3A8F8D8E" wp14:editId="7AF26E49">
              <wp:simplePos x="0" y="0"/>
              <wp:positionH relativeFrom="page">
                <wp:align>center</wp:align>
              </wp:positionH>
              <wp:positionV relativeFrom="page">
                <wp:align>top</wp:align>
              </wp:positionV>
              <wp:extent cx="7772400" cy="462280"/>
              <wp:effectExtent l="0" t="0" r="0" b="13970"/>
              <wp:wrapNone/>
              <wp:docPr id="3" name="MSIPCM5c1f48eb80fd0a38f513a82f" descr="{&quot;HashCode&quot;:-202428130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88B90" w14:textId="120EA651" w:rsidR="006B3C77" w:rsidRPr="007A59E9" w:rsidRDefault="007A59E9" w:rsidP="007A59E9">
                          <w:pPr>
                            <w:spacing w:after="0"/>
                            <w:jc w:val="center"/>
                            <w:rPr>
                              <w:rFonts w:ascii="Verdana" w:hAnsi="Verdana"/>
                              <w:color w:val="000000"/>
                              <w:sz w:val="20"/>
                            </w:rPr>
                          </w:pPr>
                          <w:r w:rsidRPr="007A59E9">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8F8D8E" id="_x0000_t202" coordsize="21600,21600" o:spt="202" path="m,l,21600r21600,l21600,xe">
              <v:stroke joinstyle="miter"/>
              <v:path gradientshapeok="t" o:connecttype="rect"/>
            </v:shapetype>
            <v:shape id="MSIPCM5c1f48eb80fd0a38f513a82f" o:spid="_x0000_s1027" type="#_x0000_t202" alt="{&quot;HashCode&quot;:-2024281307,&quot;Height&quot;:9999999.0,&quot;Width&quot;:9999999.0,&quot;Placement&quot;:&quot;Header&quot;,&quot;Index&quot;:&quot;Primary&quot;,&quot;Section&quot;:1,&quot;Top&quot;:0.0,&quot;Left&quot;:0.0}" style="position:absolute;margin-left:0;margin-top:0;width:612pt;height:36.4pt;z-index:2518251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" o:allowincell="f" filled="f" stroked="f" strokeweight=".5pt">
              <v:textbox inset=",0,,0">
                <w:txbxContent>
                  <w:p w14:paraId="31688B90" w14:textId="120EA651" w:rsidR="006B3C77" w:rsidRPr="007A59E9" w:rsidRDefault="007A59E9" w:rsidP="007A59E9">
                    <w:pPr>
                      <w:spacing w:after="0"/>
                      <w:jc w:val="center"/>
                      <w:rPr>
                        <w:rFonts w:ascii="Verdana" w:hAnsi="Verdana"/>
                        <w:color w:val="000000"/>
                        <w:sz w:val="20"/>
                      </w:rPr>
                    </w:pPr>
                    <w:r w:rsidRPr="007A59E9">
                      <w:rPr>
                        <w:rFonts w:ascii="Verdana" w:hAnsi="Verdana"/>
                        <w:color w:val="000000"/>
                        <w:sz w:val="20"/>
                      </w:rPr>
                      <w:t>[SENSITIVE]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1FC" w14:textId="5839F695" w:rsidR="006B3C77" w:rsidRDefault="006B3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438C" w14:textId="7E608EC1" w:rsidR="006B3C77" w:rsidRDefault="006B3C77">
    <w:pPr>
      <w:pStyle w:val="Header"/>
    </w:pPr>
    <w:r>
      <w:rPr>
        <w:noProof/>
      </w:rPr>
      <mc:AlternateContent>
        <mc:Choice Requires="wps">
          <w:drawing>
            <wp:anchor distT="0" distB="0" distL="114300" distR="114300" simplePos="0" relativeHeight="251826176" behindDoc="0" locked="0" layoutInCell="0" allowOverlap="1" wp14:anchorId="78AD3580" wp14:editId="2D9AB5C8">
              <wp:simplePos x="0" y="0"/>
              <wp:positionH relativeFrom="page">
                <wp:align>center</wp:align>
              </wp:positionH>
              <wp:positionV relativeFrom="page">
                <wp:align>top</wp:align>
              </wp:positionV>
              <wp:extent cx="7772400" cy="462280"/>
              <wp:effectExtent l="0" t="0" r="0" b="13970"/>
              <wp:wrapNone/>
              <wp:docPr id="11" name="MSIPCMa4ef4d43982095269ed321dc" descr="{&quot;HashCode&quot;:-2024281307,&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B4069" w14:textId="11BA132A" w:rsidR="006B3C77" w:rsidRPr="007A59E9" w:rsidRDefault="007A59E9" w:rsidP="007A59E9">
                          <w:pPr>
                            <w:spacing w:after="0"/>
                            <w:jc w:val="center"/>
                            <w:rPr>
                              <w:rFonts w:ascii="Verdana" w:hAnsi="Verdana"/>
                              <w:color w:val="000000"/>
                              <w:sz w:val="20"/>
                            </w:rPr>
                          </w:pPr>
                          <w:r w:rsidRPr="007A59E9">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AD3580" id="_x0000_t202" coordsize="21600,21600" o:spt="202" path="m,l,21600r21600,l21600,xe">
              <v:stroke joinstyle="miter"/>
              <v:path gradientshapeok="t" o:connecttype="rect"/>
            </v:shapetype>
            <v:shape id="MSIPCMa4ef4d43982095269ed321dc" o:spid="_x0000_s1028" type="#_x0000_t202" alt="{&quot;HashCode&quot;:-2024281307,&quot;Height&quot;:9999999.0,&quot;Width&quot;:9999999.0,&quot;Placement&quot;:&quot;Header&quot;,&quot;Index&quot;:&quot;Primary&quot;,&quot;Section&quot;:9,&quot;Top&quot;:0.0,&quot;Left&quot;:0.0}" style="position:absolute;margin-left:0;margin-top:0;width:612pt;height:36.4pt;z-index:2518261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" o:allowincell="f" filled="f" stroked="f" strokeweight=".5pt">
              <v:textbox inset=",0,,0">
                <w:txbxContent>
                  <w:p w14:paraId="679B4069" w14:textId="11BA132A" w:rsidR="006B3C77" w:rsidRPr="007A59E9" w:rsidRDefault="007A59E9" w:rsidP="007A59E9">
                    <w:pPr>
                      <w:spacing w:after="0"/>
                      <w:jc w:val="center"/>
                      <w:rPr>
                        <w:rFonts w:ascii="Verdana" w:hAnsi="Verdana"/>
                        <w:color w:val="000000"/>
                        <w:sz w:val="20"/>
                      </w:rPr>
                    </w:pPr>
                    <w:r w:rsidRPr="007A59E9">
                      <w:rPr>
                        <w:rFonts w:ascii="Verdana" w:hAnsi="Verdana"/>
                        <w:color w:val="000000"/>
                        <w:sz w:val="20"/>
                      </w:rPr>
                      <w:t>[SENSITIVE]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01C6" w14:textId="69352754" w:rsidR="006B3C77" w:rsidRDefault="006B3C77">
    <w:pPr>
      <w:pStyle w:val="Header"/>
    </w:pPr>
  </w:p>
</w:hdr>
</file>

<file path=word/intelligence.xml><?xml version="1.0" encoding="utf-8"?>
<int:Intelligence xmlns:int="http://schemas.microsoft.com/office/intelligence/2019/intelligence">
  <int:IntelligenceSettings/>
  <int:Manifest>
    <int:WordHash hashCode="SXK529RavxfHHD" id="8DkJqLby"/>
  </int:Manifest>
  <int:Observations>
    <int:Content id="8DkJqLb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4D"/>
    <w:multiLevelType w:val="hybridMultilevel"/>
    <w:tmpl w:val="EFB47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296D7B"/>
    <w:multiLevelType w:val="hybridMultilevel"/>
    <w:tmpl w:val="A6300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1F2EA0"/>
    <w:multiLevelType w:val="hybridMultilevel"/>
    <w:tmpl w:val="E5941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747F91"/>
    <w:multiLevelType w:val="hybridMultilevel"/>
    <w:tmpl w:val="70A01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5F492A"/>
    <w:multiLevelType w:val="hybridMultilevel"/>
    <w:tmpl w:val="100E2D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EC10A3"/>
    <w:multiLevelType w:val="hybridMultilevel"/>
    <w:tmpl w:val="CAFCE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C9601F"/>
    <w:multiLevelType w:val="hybridMultilevel"/>
    <w:tmpl w:val="32D2EBB8"/>
    <w:lvl w:ilvl="0" w:tplc="14090001">
      <w:start w:val="1"/>
      <w:numFmt w:val="bullet"/>
      <w:lvlText w:val=""/>
      <w:lvlJc w:val="left"/>
      <w:pPr>
        <w:tabs>
          <w:tab w:val="num" w:pos="1134"/>
        </w:tabs>
        <w:ind w:left="1134" w:hanging="567"/>
      </w:pPr>
      <w:rPr>
        <w:rFonts w:ascii="Symbol" w:hAnsi="Symbol" w:hint="default"/>
      </w:rPr>
    </w:lvl>
    <w:lvl w:ilvl="1" w:tplc="14090003">
      <w:start w:val="1"/>
      <w:numFmt w:val="bullet"/>
      <w:lvlText w:val="o"/>
      <w:lvlJc w:val="left"/>
      <w:pPr>
        <w:tabs>
          <w:tab w:val="num" w:pos="2007"/>
        </w:tabs>
        <w:ind w:left="2007" w:hanging="360"/>
      </w:pPr>
      <w:rPr>
        <w:rFonts w:ascii="Courier New" w:hAnsi="Courier New" w:cs="Courier New" w:hint="default"/>
      </w:rPr>
    </w:lvl>
    <w:lvl w:ilvl="2" w:tplc="9EACB7B6">
      <w:start w:val="1"/>
      <w:numFmt w:val="lowerRoman"/>
      <w:lvlText w:val="%3."/>
      <w:lvlJc w:val="right"/>
      <w:pPr>
        <w:tabs>
          <w:tab w:val="num" w:pos="2727"/>
        </w:tabs>
        <w:ind w:left="2727" w:hanging="180"/>
      </w:pPr>
    </w:lvl>
    <w:lvl w:ilvl="3" w:tplc="5066AEBC" w:tentative="1">
      <w:start w:val="1"/>
      <w:numFmt w:val="decimal"/>
      <w:lvlText w:val="%4."/>
      <w:lvlJc w:val="left"/>
      <w:pPr>
        <w:tabs>
          <w:tab w:val="num" w:pos="3447"/>
        </w:tabs>
        <w:ind w:left="3447" w:hanging="360"/>
      </w:pPr>
    </w:lvl>
    <w:lvl w:ilvl="4" w:tplc="0E9CD1A2" w:tentative="1">
      <w:start w:val="1"/>
      <w:numFmt w:val="lowerLetter"/>
      <w:lvlText w:val="%5."/>
      <w:lvlJc w:val="left"/>
      <w:pPr>
        <w:tabs>
          <w:tab w:val="num" w:pos="4167"/>
        </w:tabs>
        <w:ind w:left="4167" w:hanging="360"/>
      </w:pPr>
    </w:lvl>
    <w:lvl w:ilvl="5" w:tplc="D350602A" w:tentative="1">
      <w:start w:val="1"/>
      <w:numFmt w:val="lowerRoman"/>
      <w:lvlText w:val="%6."/>
      <w:lvlJc w:val="right"/>
      <w:pPr>
        <w:tabs>
          <w:tab w:val="num" w:pos="4887"/>
        </w:tabs>
        <w:ind w:left="4887" w:hanging="180"/>
      </w:pPr>
    </w:lvl>
    <w:lvl w:ilvl="6" w:tplc="BD76C8FA" w:tentative="1">
      <w:start w:val="1"/>
      <w:numFmt w:val="decimal"/>
      <w:lvlText w:val="%7."/>
      <w:lvlJc w:val="left"/>
      <w:pPr>
        <w:tabs>
          <w:tab w:val="num" w:pos="5607"/>
        </w:tabs>
        <w:ind w:left="5607" w:hanging="360"/>
      </w:pPr>
    </w:lvl>
    <w:lvl w:ilvl="7" w:tplc="D39E02F4" w:tentative="1">
      <w:start w:val="1"/>
      <w:numFmt w:val="lowerLetter"/>
      <w:lvlText w:val="%8."/>
      <w:lvlJc w:val="left"/>
      <w:pPr>
        <w:tabs>
          <w:tab w:val="num" w:pos="6327"/>
        </w:tabs>
        <w:ind w:left="6327" w:hanging="360"/>
      </w:pPr>
    </w:lvl>
    <w:lvl w:ilvl="8" w:tplc="98B00214" w:tentative="1">
      <w:start w:val="1"/>
      <w:numFmt w:val="lowerRoman"/>
      <w:lvlText w:val="%9."/>
      <w:lvlJc w:val="right"/>
      <w:pPr>
        <w:tabs>
          <w:tab w:val="num" w:pos="7047"/>
        </w:tabs>
        <w:ind w:left="7047" w:hanging="180"/>
      </w:pPr>
    </w:lvl>
  </w:abstractNum>
  <w:abstractNum w:abstractNumId="7" w15:restartNumberingAfterBreak="0">
    <w:nsid w:val="27F400D8"/>
    <w:multiLevelType w:val="hybridMultilevel"/>
    <w:tmpl w:val="49F0F11E"/>
    <w:lvl w:ilvl="0" w:tplc="A7365222">
      <w:start w:val="1"/>
      <w:numFmt w:val="decimal"/>
      <w:lvlText w:val="%1."/>
      <w:lvlJc w:val="left"/>
      <w:pPr>
        <w:ind w:left="1494" w:hanging="360"/>
      </w:pPr>
      <w:rPr>
        <w:rFonts w:hint="default"/>
        <w:i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707765"/>
    <w:multiLevelType w:val="hybridMultilevel"/>
    <w:tmpl w:val="79763B2C"/>
    <w:lvl w:ilvl="0" w:tplc="B63CCF54">
      <w:start w:val="50"/>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CF03E09"/>
    <w:multiLevelType w:val="hybridMultilevel"/>
    <w:tmpl w:val="44666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EF0DD3"/>
    <w:multiLevelType w:val="hybridMultilevel"/>
    <w:tmpl w:val="0DCEE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74597C"/>
    <w:multiLevelType w:val="multilevel"/>
    <w:tmpl w:val="57500404"/>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568"/>
        </w:tabs>
        <w:ind w:left="1062" w:hanging="494"/>
      </w:pPr>
      <w:rPr>
        <w:rFonts w:hint="default"/>
        <w:b w:val="0"/>
        <w:bCs w:val="0"/>
        <w:i w:val="0"/>
        <w:iCs w:val="0"/>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59D191F"/>
    <w:multiLevelType w:val="hybridMultilevel"/>
    <w:tmpl w:val="BF5EED3E"/>
    <w:lvl w:ilvl="0" w:tplc="14090001">
      <w:start w:val="1"/>
      <w:numFmt w:val="bullet"/>
      <w:lvlText w:val=""/>
      <w:lvlJc w:val="left"/>
      <w:pPr>
        <w:ind w:left="927" w:hanging="360"/>
      </w:pPr>
      <w:rPr>
        <w:rFonts w:ascii="Symbol" w:hAnsi="Symbol" w:hint="default"/>
        <w:b w:val="0"/>
        <w:bCs w:val="0"/>
      </w:r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4" w15:restartNumberingAfterBreak="0">
    <w:nsid w:val="372969E9"/>
    <w:multiLevelType w:val="hybridMultilevel"/>
    <w:tmpl w:val="94FE80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DB38B3"/>
    <w:multiLevelType w:val="hybridMultilevel"/>
    <w:tmpl w:val="E45E8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A119BA"/>
    <w:multiLevelType w:val="hybridMultilevel"/>
    <w:tmpl w:val="F5E84E9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E2540B"/>
    <w:multiLevelType w:val="hybridMultilevel"/>
    <w:tmpl w:val="CB0043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979A2"/>
    <w:multiLevelType w:val="hybridMultilevel"/>
    <w:tmpl w:val="0F9AD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120C15"/>
    <w:multiLevelType w:val="hybridMultilevel"/>
    <w:tmpl w:val="5B86A222"/>
    <w:lvl w:ilvl="0" w:tplc="14090001">
      <w:start w:val="1"/>
      <w:numFmt w:val="bullet"/>
      <w:lvlText w:val=""/>
      <w:lvlJc w:val="left"/>
      <w:pPr>
        <w:ind w:left="951" w:hanging="360"/>
      </w:pPr>
      <w:rPr>
        <w:rFonts w:ascii="Symbol" w:hAnsi="Symbol" w:hint="default"/>
      </w:rPr>
    </w:lvl>
    <w:lvl w:ilvl="1" w:tplc="14090003">
      <w:start w:val="1"/>
      <w:numFmt w:val="bullet"/>
      <w:lvlText w:val="o"/>
      <w:lvlJc w:val="left"/>
      <w:pPr>
        <w:ind w:left="1671" w:hanging="360"/>
      </w:pPr>
      <w:rPr>
        <w:rFonts w:ascii="Courier New" w:hAnsi="Courier New" w:cs="Courier New" w:hint="default"/>
      </w:rPr>
    </w:lvl>
    <w:lvl w:ilvl="2" w:tplc="14090005">
      <w:start w:val="1"/>
      <w:numFmt w:val="bullet"/>
      <w:lvlText w:val=""/>
      <w:lvlJc w:val="left"/>
      <w:pPr>
        <w:ind w:left="2391" w:hanging="360"/>
      </w:pPr>
      <w:rPr>
        <w:rFonts w:ascii="Wingdings" w:hAnsi="Wingdings" w:hint="default"/>
      </w:rPr>
    </w:lvl>
    <w:lvl w:ilvl="3" w:tplc="14090001">
      <w:start w:val="1"/>
      <w:numFmt w:val="bullet"/>
      <w:lvlText w:val=""/>
      <w:lvlJc w:val="left"/>
      <w:pPr>
        <w:ind w:left="3111" w:hanging="360"/>
      </w:pPr>
      <w:rPr>
        <w:rFonts w:ascii="Symbol" w:hAnsi="Symbol" w:hint="default"/>
      </w:rPr>
    </w:lvl>
    <w:lvl w:ilvl="4" w:tplc="14090003">
      <w:start w:val="1"/>
      <w:numFmt w:val="bullet"/>
      <w:lvlText w:val="o"/>
      <w:lvlJc w:val="left"/>
      <w:pPr>
        <w:ind w:left="3831" w:hanging="360"/>
      </w:pPr>
      <w:rPr>
        <w:rFonts w:ascii="Courier New" w:hAnsi="Courier New" w:cs="Courier New" w:hint="default"/>
      </w:rPr>
    </w:lvl>
    <w:lvl w:ilvl="5" w:tplc="14090005">
      <w:start w:val="1"/>
      <w:numFmt w:val="bullet"/>
      <w:lvlText w:val=""/>
      <w:lvlJc w:val="left"/>
      <w:pPr>
        <w:ind w:left="4551" w:hanging="360"/>
      </w:pPr>
      <w:rPr>
        <w:rFonts w:ascii="Wingdings" w:hAnsi="Wingdings" w:hint="default"/>
      </w:rPr>
    </w:lvl>
    <w:lvl w:ilvl="6" w:tplc="14090001">
      <w:start w:val="1"/>
      <w:numFmt w:val="bullet"/>
      <w:lvlText w:val=""/>
      <w:lvlJc w:val="left"/>
      <w:pPr>
        <w:ind w:left="5271" w:hanging="360"/>
      </w:pPr>
      <w:rPr>
        <w:rFonts w:ascii="Symbol" w:hAnsi="Symbol" w:hint="default"/>
      </w:rPr>
    </w:lvl>
    <w:lvl w:ilvl="7" w:tplc="14090003">
      <w:start w:val="1"/>
      <w:numFmt w:val="bullet"/>
      <w:lvlText w:val="o"/>
      <w:lvlJc w:val="left"/>
      <w:pPr>
        <w:ind w:left="5991" w:hanging="360"/>
      </w:pPr>
      <w:rPr>
        <w:rFonts w:ascii="Courier New" w:hAnsi="Courier New" w:cs="Courier New" w:hint="default"/>
      </w:rPr>
    </w:lvl>
    <w:lvl w:ilvl="8" w:tplc="14090005">
      <w:start w:val="1"/>
      <w:numFmt w:val="bullet"/>
      <w:lvlText w:val=""/>
      <w:lvlJc w:val="left"/>
      <w:pPr>
        <w:ind w:left="6711" w:hanging="360"/>
      </w:pPr>
      <w:rPr>
        <w:rFonts w:ascii="Wingdings" w:hAnsi="Wingdings" w:hint="default"/>
      </w:rPr>
    </w:lvl>
  </w:abstractNum>
  <w:abstractNum w:abstractNumId="23" w15:restartNumberingAfterBreak="0">
    <w:nsid w:val="5F1574EC"/>
    <w:multiLevelType w:val="hybridMultilevel"/>
    <w:tmpl w:val="AC50E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39045F"/>
    <w:multiLevelType w:val="hybridMultilevel"/>
    <w:tmpl w:val="CC405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737714"/>
    <w:multiLevelType w:val="hybridMultilevel"/>
    <w:tmpl w:val="280E1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D167C8"/>
    <w:multiLevelType w:val="hybridMultilevel"/>
    <w:tmpl w:val="3DEE2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17540532">
    <w:abstractNumId w:val="19"/>
  </w:num>
  <w:num w:numId="2" w16cid:durableId="278535617">
    <w:abstractNumId w:val="20"/>
  </w:num>
  <w:num w:numId="3" w16cid:durableId="1239511425">
    <w:abstractNumId w:val="15"/>
  </w:num>
  <w:num w:numId="4" w16cid:durableId="2006934601">
    <w:abstractNumId w:val="12"/>
  </w:num>
  <w:num w:numId="5" w16cid:durableId="1397510346">
    <w:abstractNumId w:val="13"/>
  </w:num>
  <w:num w:numId="6" w16cid:durableId="1807816445">
    <w:abstractNumId w:val="10"/>
  </w:num>
  <w:num w:numId="7" w16cid:durableId="64762257">
    <w:abstractNumId w:val="11"/>
    <w:lvlOverride w:ilvl="0">
      <w:lvl w:ilvl="0">
        <w:start w:val="1"/>
        <w:numFmt w:val="decimal"/>
        <w:pStyle w:val="ReportBody"/>
        <w:lvlText w:val="%1"/>
        <w:lvlJc w:val="left"/>
        <w:pPr>
          <w:tabs>
            <w:tab w:val="num" w:pos="493"/>
          </w:tabs>
          <w:ind w:left="493" w:hanging="493"/>
        </w:pPr>
        <w:rPr>
          <w:rFonts w:hint="default"/>
        </w:rPr>
      </w:lvl>
    </w:lvlOverride>
  </w:num>
  <w:num w:numId="8" w16cid:durableId="1851140183">
    <w:abstractNumId w:val="18"/>
  </w:num>
  <w:num w:numId="9" w16cid:durableId="1810853598">
    <w:abstractNumId w:val="21"/>
  </w:num>
  <w:num w:numId="10" w16cid:durableId="1698852944">
    <w:abstractNumId w:val="2"/>
  </w:num>
  <w:num w:numId="11" w16cid:durableId="194466011">
    <w:abstractNumId w:val="5"/>
  </w:num>
  <w:num w:numId="12" w16cid:durableId="1066419732">
    <w:abstractNumId w:val="9"/>
  </w:num>
  <w:num w:numId="13" w16cid:durableId="582450799">
    <w:abstractNumId w:val="16"/>
  </w:num>
  <w:num w:numId="14" w16cid:durableId="2068453008">
    <w:abstractNumId w:val="17"/>
  </w:num>
  <w:num w:numId="15" w16cid:durableId="911428750">
    <w:abstractNumId w:val="0"/>
  </w:num>
  <w:num w:numId="16" w16cid:durableId="627664675">
    <w:abstractNumId w:val="26"/>
  </w:num>
  <w:num w:numId="17" w16cid:durableId="1355114914">
    <w:abstractNumId w:val="22"/>
  </w:num>
  <w:num w:numId="18" w16cid:durableId="209466823">
    <w:abstractNumId w:val="14"/>
  </w:num>
  <w:num w:numId="19" w16cid:durableId="1008871477">
    <w:abstractNumId w:val="23"/>
  </w:num>
  <w:num w:numId="20" w16cid:durableId="539825869">
    <w:abstractNumId w:val="4"/>
  </w:num>
  <w:num w:numId="21" w16cid:durableId="143935646">
    <w:abstractNumId w:val="25"/>
  </w:num>
  <w:num w:numId="22" w16cid:durableId="252126632">
    <w:abstractNumId w:val="1"/>
  </w:num>
  <w:num w:numId="23" w16cid:durableId="2131433032">
    <w:abstractNumId w:val="7"/>
  </w:num>
  <w:num w:numId="24" w16cid:durableId="187566333">
    <w:abstractNumId w:val="6"/>
  </w:num>
  <w:num w:numId="25" w16cid:durableId="744567041">
    <w:abstractNumId w:val="8"/>
  </w:num>
  <w:num w:numId="26" w16cid:durableId="1167136314">
    <w:abstractNumId w:val="24"/>
  </w:num>
  <w:num w:numId="27" w16cid:durableId="113806415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39E"/>
    <w:rsid w:val="00000866"/>
    <w:rsid w:val="00000D53"/>
    <w:rsid w:val="00000E80"/>
    <w:rsid w:val="0000122B"/>
    <w:rsid w:val="0000130B"/>
    <w:rsid w:val="0000158C"/>
    <w:rsid w:val="000018C9"/>
    <w:rsid w:val="00001A79"/>
    <w:rsid w:val="00001D18"/>
    <w:rsid w:val="00001D4F"/>
    <w:rsid w:val="0000201A"/>
    <w:rsid w:val="00002128"/>
    <w:rsid w:val="0000283C"/>
    <w:rsid w:val="000029DC"/>
    <w:rsid w:val="00002BCD"/>
    <w:rsid w:val="00002D86"/>
    <w:rsid w:val="0000328A"/>
    <w:rsid w:val="00003310"/>
    <w:rsid w:val="00003447"/>
    <w:rsid w:val="000036E2"/>
    <w:rsid w:val="0000377D"/>
    <w:rsid w:val="00003CD7"/>
    <w:rsid w:val="00004370"/>
    <w:rsid w:val="00004584"/>
    <w:rsid w:val="000046E8"/>
    <w:rsid w:val="0000497B"/>
    <w:rsid w:val="00004BD9"/>
    <w:rsid w:val="00005137"/>
    <w:rsid w:val="00005693"/>
    <w:rsid w:val="00005EE4"/>
    <w:rsid w:val="00005FC4"/>
    <w:rsid w:val="0000618D"/>
    <w:rsid w:val="000062A5"/>
    <w:rsid w:val="00006761"/>
    <w:rsid w:val="0000677A"/>
    <w:rsid w:val="00006885"/>
    <w:rsid w:val="000068B5"/>
    <w:rsid w:val="00006D11"/>
    <w:rsid w:val="00006E81"/>
    <w:rsid w:val="00006EBB"/>
    <w:rsid w:val="00006F43"/>
    <w:rsid w:val="000070B0"/>
    <w:rsid w:val="0000724E"/>
    <w:rsid w:val="00007448"/>
    <w:rsid w:val="0000759E"/>
    <w:rsid w:val="00007CBC"/>
    <w:rsid w:val="00007D8C"/>
    <w:rsid w:val="00007EE0"/>
    <w:rsid w:val="00007FD3"/>
    <w:rsid w:val="0001016E"/>
    <w:rsid w:val="00010303"/>
    <w:rsid w:val="00010331"/>
    <w:rsid w:val="000106A4"/>
    <w:rsid w:val="00010AE8"/>
    <w:rsid w:val="00010DB8"/>
    <w:rsid w:val="000112F3"/>
    <w:rsid w:val="0001144D"/>
    <w:rsid w:val="00011E44"/>
    <w:rsid w:val="0001205D"/>
    <w:rsid w:val="00012998"/>
    <w:rsid w:val="00012BC8"/>
    <w:rsid w:val="000132F6"/>
    <w:rsid w:val="000136A0"/>
    <w:rsid w:val="00013742"/>
    <w:rsid w:val="000137F2"/>
    <w:rsid w:val="000144F0"/>
    <w:rsid w:val="00014A44"/>
    <w:rsid w:val="00014FB7"/>
    <w:rsid w:val="000158C6"/>
    <w:rsid w:val="000161EA"/>
    <w:rsid w:val="00016313"/>
    <w:rsid w:val="00016726"/>
    <w:rsid w:val="00016981"/>
    <w:rsid w:val="00016BBB"/>
    <w:rsid w:val="00016E0C"/>
    <w:rsid w:val="000171B4"/>
    <w:rsid w:val="00017C91"/>
    <w:rsid w:val="00017E32"/>
    <w:rsid w:val="00017F54"/>
    <w:rsid w:val="00020326"/>
    <w:rsid w:val="00020AE3"/>
    <w:rsid w:val="00020E52"/>
    <w:rsid w:val="00020F75"/>
    <w:rsid w:val="00021027"/>
    <w:rsid w:val="000210ED"/>
    <w:rsid w:val="000212AC"/>
    <w:rsid w:val="000212B4"/>
    <w:rsid w:val="00021736"/>
    <w:rsid w:val="00021963"/>
    <w:rsid w:val="00021D36"/>
    <w:rsid w:val="000224EE"/>
    <w:rsid w:val="00022D7F"/>
    <w:rsid w:val="00022F0E"/>
    <w:rsid w:val="000233DB"/>
    <w:rsid w:val="00023438"/>
    <w:rsid w:val="00023518"/>
    <w:rsid w:val="00023A64"/>
    <w:rsid w:val="00024117"/>
    <w:rsid w:val="00024303"/>
    <w:rsid w:val="00024336"/>
    <w:rsid w:val="00024979"/>
    <w:rsid w:val="00025608"/>
    <w:rsid w:val="00025637"/>
    <w:rsid w:val="00025A78"/>
    <w:rsid w:val="00025C3D"/>
    <w:rsid w:val="000260B8"/>
    <w:rsid w:val="000262D5"/>
    <w:rsid w:val="00026341"/>
    <w:rsid w:val="0002645A"/>
    <w:rsid w:val="00026886"/>
    <w:rsid w:val="00026A2A"/>
    <w:rsid w:val="00026A57"/>
    <w:rsid w:val="00026F6F"/>
    <w:rsid w:val="0002708A"/>
    <w:rsid w:val="00027461"/>
    <w:rsid w:val="00027506"/>
    <w:rsid w:val="000277F8"/>
    <w:rsid w:val="00027CE5"/>
    <w:rsid w:val="00027FF3"/>
    <w:rsid w:val="00030190"/>
    <w:rsid w:val="0003054A"/>
    <w:rsid w:val="000315C7"/>
    <w:rsid w:val="000315F8"/>
    <w:rsid w:val="00032353"/>
    <w:rsid w:val="00032620"/>
    <w:rsid w:val="00032782"/>
    <w:rsid w:val="000329A1"/>
    <w:rsid w:val="0003337C"/>
    <w:rsid w:val="00033C7D"/>
    <w:rsid w:val="00034093"/>
    <w:rsid w:val="000340D2"/>
    <w:rsid w:val="00034615"/>
    <w:rsid w:val="00034E22"/>
    <w:rsid w:val="000353C7"/>
    <w:rsid w:val="0003575C"/>
    <w:rsid w:val="00035F32"/>
    <w:rsid w:val="00035FCC"/>
    <w:rsid w:val="000362EF"/>
    <w:rsid w:val="00036715"/>
    <w:rsid w:val="000367D2"/>
    <w:rsid w:val="00036A03"/>
    <w:rsid w:val="00036C82"/>
    <w:rsid w:val="000371E1"/>
    <w:rsid w:val="00037691"/>
    <w:rsid w:val="00037869"/>
    <w:rsid w:val="00037EE0"/>
    <w:rsid w:val="00037F29"/>
    <w:rsid w:val="00040804"/>
    <w:rsid w:val="00040B79"/>
    <w:rsid w:val="00040D56"/>
    <w:rsid w:val="0004163E"/>
    <w:rsid w:val="000417C7"/>
    <w:rsid w:val="000418AE"/>
    <w:rsid w:val="00041B8A"/>
    <w:rsid w:val="00041E80"/>
    <w:rsid w:val="00041FC0"/>
    <w:rsid w:val="00042207"/>
    <w:rsid w:val="0004226C"/>
    <w:rsid w:val="000424B7"/>
    <w:rsid w:val="00042797"/>
    <w:rsid w:val="00042B54"/>
    <w:rsid w:val="00042E1C"/>
    <w:rsid w:val="00042EAA"/>
    <w:rsid w:val="0004337E"/>
    <w:rsid w:val="00043591"/>
    <w:rsid w:val="00043821"/>
    <w:rsid w:val="000438DE"/>
    <w:rsid w:val="00044112"/>
    <w:rsid w:val="00044287"/>
    <w:rsid w:val="000444A0"/>
    <w:rsid w:val="0004473B"/>
    <w:rsid w:val="0004473D"/>
    <w:rsid w:val="000449D8"/>
    <w:rsid w:val="00044BE3"/>
    <w:rsid w:val="000450B4"/>
    <w:rsid w:val="000453E1"/>
    <w:rsid w:val="00045560"/>
    <w:rsid w:val="0004575D"/>
    <w:rsid w:val="0004576F"/>
    <w:rsid w:val="00045DF9"/>
    <w:rsid w:val="00046652"/>
    <w:rsid w:val="00046A04"/>
    <w:rsid w:val="00047DC4"/>
    <w:rsid w:val="00047DE2"/>
    <w:rsid w:val="00047EDB"/>
    <w:rsid w:val="00047F57"/>
    <w:rsid w:val="00050A14"/>
    <w:rsid w:val="00050A28"/>
    <w:rsid w:val="00050AF6"/>
    <w:rsid w:val="00050DE4"/>
    <w:rsid w:val="00050FDE"/>
    <w:rsid w:val="00051193"/>
    <w:rsid w:val="00051784"/>
    <w:rsid w:val="000519B8"/>
    <w:rsid w:val="000521BE"/>
    <w:rsid w:val="000523C7"/>
    <w:rsid w:val="0005246A"/>
    <w:rsid w:val="000524A6"/>
    <w:rsid w:val="0005275D"/>
    <w:rsid w:val="00053778"/>
    <w:rsid w:val="000537B6"/>
    <w:rsid w:val="00053DE7"/>
    <w:rsid w:val="00053EC2"/>
    <w:rsid w:val="0005419C"/>
    <w:rsid w:val="000541A7"/>
    <w:rsid w:val="000541BC"/>
    <w:rsid w:val="00054475"/>
    <w:rsid w:val="00054553"/>
    <w:rsid w:val="00054679"/>
    <w:rsid w:val="000548CE"/>
    <w:rsid w:val="00054E13"/>
    <w:rsid w:val="00055C4E"/>
    <w:rsid w:val="000567A3"/>
    <w:rsid w:val="0005691A"/>
    <w:rsid w:val="00056A38"/>
    <w:rsid w:val="00057360"/>
    <w:rsid w:val="00057D4F"/>
    <w:rsid w:val="00060021"/>
    <w:rsid w:val="000602FB"/>
    <w:rsid w:val="000604A6"/>
    <w:rsid w:val="000608D7"/>
    <w:rsid w:val="00060F01"/>
    <w:rsid w:val="00060F6A"/>
    <w:rsid w:val="000612F6"/>
    <w:rsid w:val="0006139E"/>
    <w:rsid w:val="000615B2"/>
    <w:rsid w:val="00061B33"/>
    <w:rsid w:val="00061ED6"/>
    <w:rsid w:val="0006254A"/>
    <w:rsid w:val="000626D7"/>
    <w:rsid w:val="000627AC"/>
    <w:rsid w:val="00062AC8"/>
    <w:rsid w:val="0006309F"/>
    <w:rsid w:val="000636DE"/>
    <w:rsid w:val="0006376B"/>
    <w:rsid w:val="000637A0"/>
    <w:rsid w:val="00063943"/>
    <w:rsid w:val="000639C9"/>
    <w:rsid w:val="00063CF8"/>
    <w:rsid w:val="00063F1A"/>
    <w:rsid w:val="0006423B"/>
    <w:rsid w:val="00064320"/>
    <w:rsid w:val="00064469"/>
    <w:rsid w:val="00064545"/>
    <w:rsid w:val="00064677"/>
    <w:rsid w:val="00064C8F"/>
    <w:rsid w:val="00064D7F"/>
    <w:rsid w:val="00064D88"/>
    <w:rsid w:val="00064E0F"/>
    <w:rsid w:val="00065433"/>
    <w:rsid w:val="0006547A"/>
    <w:rsid w:val="00065715"/>
    <w:rsid w:val="00065933"/>
    <w:rsid w:val="0006594A"/>
    <w:rsid w:val="000661E1"/>
    <w:rsid w:val="00066AA3"/>
    <w:rsid w:val="00066DA6"/>
    <w:rsid w:val="00066F20"/>
    <w:rsid w:val="0006704A"/>
    <w:rsid w:val="0006715B"/>
    <w:rsid w:val="0006746A"/>
    <w:rsid w:val="00067560"/>
    <w:rsid w:val="00067F3A"/>
    <w:rsid w:val="0007001D"/>
    <w:rsid w:val="000704E8"/>
    <w:rsid w:val="00070D99"/>
    <w:rsid w:val="000712F8"/>
    <w:rsid w:val="0007168A"/>
    <w:rsid w:val="000716DC"/>
    <w:rsid w:val="00071DCC"/>
    <w:rsid w:val="00072671"/>
    <w:rsid w:val="000726FD"/>
    <w:rsid w:val="00072BF6"/>
    <w:rsid w:val="00072C3E"/>
    <w:rsid w:val="00073337"/>
    <w:rsid w:val="000734F6"/>
    <w:rsid w:val="00073697"/>
    <w:rsid w:val="000737F2"/>
    <w:rsid w:val="00073EB6"/>
    <w:rsid w:val="00074048"/>
    <w:rsid w:val="00074649"/>
    <w:rsid w:val="000746B9"/>
    <w:rsid w:val="0007474B"/>
    <w:rsid w:val="00074A3A"/>
    <w:rsid w:val="00075463"/>
    <w:rsid w:val="0007560F"/>
    <w:rsid w:val="0007581D"/>
    <w:rsid w:val="000759CF"/>
    <w:rsid w:val="00075B8B"/>
    <w:rsid w:val="000760E2"/>
    <w:rsid w:val="0007631C"/>
    <w:rsid w:val="00076368"/>
    <w:rsid w:val="0007657E"/>
    <w:rsid w:val="000768F8"/>
    <w:rsid w:val="00076BA4"/>
    <w:rsid w:val="00076C10"/>
    <w:rsid w:val="00076DB0"/>
    <w:rsid w:val="00077389"/>
    <w:rsid w:val="00077B84"/>
    <w:rsid w:val="0008058D"/>
    <w:rsid w:val="00080C66"/>
    <w:rsid w:val="00080D8B"/>
    <w:rsid w:val="00080FED"/>
    <w:rsid w:val="0008102A"/>
    <w:rsid w:val="0008104D"/>
    <w:rsid w:val="0008146D"/>
    <w:rsid w:val="00082001"/>
    <w:rsid w:val="00082123"/>
    <w:rsid w:val="0008225B"/>
    <w:rsid w:val="0008285D"/>
    <w:rsid w:val="000828E8"/>
    <w:rsid w:val="00082F93"/>
    <w:rsid w:val="00082FE3"/>
    <w:rsid w:val="00083241"/>
    <w:rsid w:val="00083853"/>
    <w:rsid w:val="000838B1"/>
    <w:rsid w:val="0008397A"/>
    <w:rsid w:val="00083AF6"/>
    <w:rsid w:val="000846F7"/>
    <w:rsid w:val="00084ADC"/>
    <w:rsid w:val="00084B34"/>
    <w:rsid w:val="00085688"/>
    <w:rsid w:val="000856D1"/>
    <w:rsid w:val="00085DC4"/>
    <w:rsid w:val="00086838"/>
    <w:rsid w:val="000877B8"/>
    <w:rsid w:val="000879B8"/>
    <w:rsid w:val="00087CCE"/>
    <w:rsid w:val="00087EA3"/>
    <w:rsid w:val="000900F4"/>
    <w:rsid w:val="0009010D"/>
    <w:rsid w:val="00090252"/>
    <w:rsid w:val="00091438"/>
    <w:rsid w:val="00091604"/>
    <w:rsid w:val="00091C81"/>
    <w:rsid w:val="00091EBF"/>
    <w:rsid w:val="000920CD"/>
    <w:rsid w:val="000923B8"/>
    <w:rsid w:val="000925ED"/>
    <w:rsid w:val="000928B2"/>
    <w:rsid w:val="00092BED"/>
    <w:rsid w:val="00092C6A"/>
    <w:rsid w:val="0009335D"/>
    <w:rsid w:val="000934D0"/>
    <w:rsid w:val="000934F1"/>
    <w:rsid w:val="00093925"/>
    <w:rsid w:val="000939BA"/>
    <w:rsid w:val="00093DB7"/>
    <w:rsid w:val="00093E9C"/>
    <w:rsid w:val="000940D1"/>
    <w:rsid w:val="000941F2"/>
    <w:rsid w:val="0009423E"/>
    <w:rsid w:val="0009441E"/>
    <w:rsid w:val="00094677"/>
    <w:rsid w:val="00094A7A"/>
    <w:rsid w:val="0009567E"/>
    <w:rsid w:val="0009578B"/>
    <w:rsid w:val="0009599F"/>
    <w:rsid w:val="00095B45"/>
    <w:rsid w:val="00095D72"/>
    <w:rsid w:val="00095FC4"/>
    <w:rsid w:val="000960C7"/>
    <w:rsid w:val="000961EE"/>
    <w:rsid w:val="0009697C"/>
    <w:rsid w:val="0009708F"/>
    <w:rsid w:val="00097119"/>
    <w:rsid w:val="000971B3"/>
    <w:rsid w:val="00097647"/>
    <w:rsid w:val="0009786C"/>
    <w:rsid w:val="00097FE0"/>
    <w:rsid w:val="000A0435"/>
    <w:rsid w:val="000A0565"/>
    <w:rsid w:val="000A0BB6"/>
    <w:rsid w:val="000A0CEF"/>
    <w:rsid w:val="000A0D03"/>
    <w:rsid w:val="000A0FEF"/>
    <w:rsid w:val="000A108C"/>
    <w:rsid w:val="000A15DD"/>
    <w:rsid w:val="000A1837"/>
    <w:rsid w:val="000A18E9"/>
    <w:rsid w:val="000A25D0"/>
    <w:rsid w:val="000A274D"/>
    <w:rsid w:val="000A277D"/>
    <w:rsid w:val="000A27DA"/>
    <w:rsid w:val="000A2984"/>
    <w:rsid w:val="000A29B8"/>
    <w:rsid w:val="000A29CA"/>
    <w:rsid w:val="000A2B04"/>
    <w:rsid w:val="000A34FD"/>
    <w:rsid w:val="000A38BA"/>
    <w:rsid w:val="000A3C4B"/>
    <w:rsid w:val="000A3DD8"/>
    <w:rsid w:val="000A3FE1"/>
    <w:rsid w:val="000A4121"/>
    <w:rsid w:val="000A41A5"/>
    <w:rsid w:val="000A4316"/>
    <w:rsid w:val="000A4724"/>
    <w:rsid w:val="000A4BED"/>
    <w:rsid w:val="000A4CA3"/>
    <w:rsid w:val="000A4CCC"/>
    <w:rsid w:val="000A658A"/>
    <w:rsid w:val="000A6AE8"/>
    <w:rsid w:val="000A6E4E"/>
    <w:rsid w:val="000A6E5E"/>
    <w:rsid w:val="000A70A0"/>
    <w:rsid w:val="000A7372"/>
    <w:rsid w:val="000A73B2"/>
    <w:rsid w:val="000A76B2"/>
    <w:rsid w:val="000A786C"/>
    <w:rsid w:val="000A7C17"/>
    <w:rsid w:val="000A7CFA"/>
    <w:rsid w:val="000B0057"/>
    <w:rsid w:val="000B03D9"/>
    <w:rsid w:val="000B0D04"/>
    <w:rsid w:val="000B0D4D"/>
    <w:rsid w:val="000B104C"/>
    <w:rsid w:val="000B15EF"/>
    <w:rsid w:val="000B185C"/>
    <w:rsid w:val="000B1A76"/>
    <w:rsid w:val="000B1C69"/>
    <w:rsid w:val="000B2320"/>
    <w:rsid w:val="000B282A"/>
    <w:rsid w:val="000B2E28"/>
    <w:rsid w:val="000B3342"/>
    <w:rsid w:val="000B3681"/>
    <w:rsid w:val="000B3924"/>
    <w:rsid w:val="000B3B82"/>
    <w:rsid w:val="000B3BCD"/>
    <w:rsid w:val="000B3C0A"/>
    <w:rsid w:val="000B42DD"/>
    <w:rsid w:val="000B489B"/>
    <w:rsid w:val="000B49E1"/>
    <w:rsid w:val="000B516B"/>
    <w:rsid w:val="000B5AB4"/>
    <w:rsid w:val="000B6574"/>
    <w:rsid w:val="000B6657"/>
    <w:rsid w:val="000B67D2"/>
    <w:rsid w:val="000B6889"/>
    <w:rsid w:val="000B68F6"/>
    <w:rsid w:val="000B6AD2"/>
    <w:rsid w:val="000B6B5F"/>
    <w:rsid w:val="000B7AB6"/>
    <w:rsid w:val="000B7B9E"/>
    <w:rsid w:val="000B7BB0"/>
    <w:rsid w:val="000B7D85"/>
    <w:rsid w:val="000B7F0B"/>
    <w:rsid w:val="000B7F3E"/>
    <w:rsid w:val="000C00A9"/>
    <w:rsid w:val="000C0295"/>
    <w:rsid w:val="000C04D1"/>
    <w:rsid w:val="000C07C9"/>
    <w:rsid w:val="000C0EA3"/>
    <w:rsid w:val="000C0F8F"/>
    <w:rsid w:val="000C1407"/>
    <w:rsid w:val="000C14F9"/>
    <w:rsid w:val="000C184E"/>
    <w:rsid w:val="000C268D"/>
    <w:rsid w:val="000C296D"/>
    <w:rsid w:val="000C2995"/>
    <w:rsid w:val="000C299F"/>
    <w:rsid w:val="000C29FA"/>
    <w:rsid w:val="000C2A94"/>
    <w:rsid w:val="000C2F3A"/>
    <w:rsid w:val="000C32EE"/>
    <w:rsid w:val="000C356C"/>
    <w:rsid w:val="000C3668"/>
    <w:rsid w:val="000C3A65"/>
    <w:rsid w:val="000C3C54"/>
    <w:rsid w:val="000C411D"/>
    <w:rsid w:val="000C4659"/>
    <w:rsid w:val="000C4CE2"/>
    <w:rsid w:val="000C52F3"/>
    <w:rsid w:val="000C572A"/>
    <w:rsid w:val="000C5748"/>
    <w:rsid w:val="000C5AC0"/>
    <w:rsid w:val="000C5BFA"/>
    <w:rsid w:val="000C5E02"/>
    <w:rsid w:val="000C5F29"/>
    <w:rsid w:val="000C62C7"/>
    <w:rsid w:val="000C6440"/>
    <w:rsid w:val="000C6663"/>
    <w:rsid w:val="000C68DE"/>
    <w:rsid w:val="000C6ABA"/>
    <w:rsid w:val="000C6D9D"/>
    <w:rsid w:val="000C6DA5"/>
    <w:rsid w:val="000C6ED7"/>
    <w:rsid w:val="000C7053"/>
    <w:rsid w:val="000C730C"/>
    <w:rsid w:val="000C7A77"/>
    <w:rsid w:val="000C7B03"/>
    <w:rsid w:val="000C7FE3"/>
    <w:rsid w:val="000D02B8"/>
    <w:rsid w:val="000D055C"/>
    <w:rsid w:val="000D09A2"/>
    <w:rsid w:val="000D0A75"/>
    <w:rsid w:val="000D0A82"/>
    <w:rsid w:val="000D0EC0"/>
    <w:rsid w:val="000D0EC8"/>
    <w:rsid w:val="000D0F3F"/>
    <w:rsid w:val="000D164C"/>
    <w:rsid w:val="000D1848"/>
    <w:rsid w:val="000D208E"/>
    <w:rsid w:val="000D20A8"/>
    <w:rsid w:val="000D2BEE"/>
    <w:rsid w:val="000D3488"/>
    <w:rsid w:val="000D34A7"/>
    <w:rsid w:val="000D34D3"/>
    <w:rsid w:val="000D3B92"/>
    <w:rsid w:val="000D3CE6"/>
    <w:rsid w:val="000D3F6D"/>
    <w:rsid w:val="000D41FA"/>
    <w:rsid w:val="000D4303"/>
    <w:rsid w:val="000D437D"/>
    <w:rsid w:val="000D441C"/>
    <w:rsid w:val="000D45B5"/>
    <w:rsid w:val="000D4A37"/>
    <w:rsid w:val="000D4A7A"/>
    <w:rsid w:val="000D50D2"/>
    <w:rsid w:val="000D5AA2"/>
    <w:rsid w:val="000D5DCB"/>
    <w:rsid w:val="000D6DD3"/>
    <w:rsid w:val="000D7558"/>
    <w:rsid w:val="000D7A14"/>
    <w:rsid w:val="000D7C26"/>
    <w:rsid w:val="000D7F7D"/>
    <w:rsid w:val="000E0071"/>
    <w:rsid w:val="000E00AF"/>
    <w:rsid w:val="000E0179"/>
    <w:rsid w:val="000E01E1"/>
    <w:rsid w:val="000E05EB"/>
    <w:rsid w:val="000E071E"/>
    <w:rsid w:val="000E0AA6"/>
    <w:rsid w:val="000E1274"/>
    <w:rsid w:val="000E12FB"/>
    <w:rsid w:val="000E1389"/>
    <w:rsid w:val="000E14A5"/>
    <w:rsid w:val="000E2417"/>
    <w:rsid w:val="000E27F1"/>
    <w:rsid w:val="000E311B"/>
    <w:rsid w:val="000E35FF"/>
    <w:rsid w:val="000E3694"/>
    <w:rsid w:val="000E36AB"/>
    <w:rsid w:val="000E36D4"/>
    <w:rsid w:val="000E3810"/>
    <w:rsid w:val="000E3A9F"/>
    <w:rsid w:val="000E3AC6"/>
    <w:rsid w:val="000E3F18"/>
    <w:rsid w:val="000E4498"/>
    <w:rsid w:val="000E4A08"/>
    <w:rsid w:val="000E50A5"/>
    <w:rsid w:val="000E58D1"/>
    <w:rsid w:val="000E5C75"/>
    <w:rsid w:val="000E5EFA"/>
    <w:rsid w:val="000E60B0"/>
    <w:rsid w:val="000E6101"/>
    <w:rsid w:val="000E675D"/>
    <w:rsid w:val="000E6915"/>
    <w:rsid w:val="000E6934"/>
    <w:rsid w:val="000E6A9F"/>
    <w:rsid w:val="000E6ABD"/>
    <w:rsid w:val="000E705E"/>
    <w:rsid w:val="000E7301"/>
    <w:rsid w:val="000E74CF"/>
    <w:rsid w:val="000E7EAF"/>
    <w:rsid w:val="000F0303"/>
    <w:rsid w:val="000F17B3"/>
    <w:rsid w:val="000F212B"/>
    <w:rsid w:val="000F28D9"/>
    <w:rsid w:val="000F2D50"/>
    <w:rsid w:val="000F31AC"/>
    <w:rsid w:val="000F354B"/>
    <w:rsid w:val="000F3AA9"/>
    <w:rsid w:val="000F3B61"/>
    <w:rsid w:val="000F3BA7"/>
    <w:rsid w:val="000F4081"/>
    <w:rsid w:val="000F44A7"/>
    <w:rsid w:val="000F47C3"/>
    <w:rsid w:val="000F48B0"/>
    <w:rsid w:val="000F48D1"/>
    <w:rsid w:val="000F4958"/>
    <w:rsid w:val="000F4C92"/>
    <w:rsid w:val="000F51E5"/>
    <w:rsid w:val="000F5354"/>
    <w:rsid w:val="000F5632"/>
    <w:rsid w:val="000F5D1D"/>
    <w:rsid w:val="000F5FDB"/>
    <w:rsid w:val="000F62E0"/>
    <w:rsid w:val="000F6375"/>
    <w:rsid w:val="000F6703"/>
    <w:rsid w:val="000F67AC"/>
    <w:rsid w:val="000F6A8B"/>
    <w:rsid w:val="000F6B2E"/>
    <w:rsid w:val="000F6EF2"/>
    <w:rsid w:val="000F720B"/>
    <w:rsid w:val="000F720E"/>
    <w:rsid w:val="000F740F"/>
    <w:rsid w:val="000F746C"/>
    <w:rsid w:val="000F79B2"/>
    <w:rsid w:val="000F7B9B"/>
    <w:rsid w:val="000F7C3E"/>
    <w:rsid w:val="000F7C47"/>
    <w:rsid w:val="000F7F22"/>
    <w:rsid w:val="00100282"/>
    <w:rsid w:val="00100454"/>
    <w:rsid w:val="001004A5"/>
    <w:rsid w:val="00100A27"/>
    <w:rsid w:val="00100BBB"/>
    <w:rsid w:val="00101671"/>
    <w:rsid w:val="00101779"/>
    <w:rsid w:val="00101B1A"/>
    <w:rsid w:val="00101FE6"/>
    <w:rsid w:val="00102253"/>
    <w:rsid w:val="001022F3"/>
    <w:rsid w:val="00102517"/>
    <w:rsid w:val="00102679"/>
    <w:rsid w:val="00102936"/>
    <w:rsid w:val="00102D3D"/>
    <w:rsid w:val="00103274"/>
    <w:rsid w:val="001032BE"/>
    <w:rsid w:val="00103371"/>
    <w:rsid w:val="0010350A"/>
    <w:rsid w:val="00103513"/>
    <w:rsid w:val="0010382E"/>
    <w:rsid w:val="00103BD8"/>
    <w:rsid w:val="00104203"/>
    <w:rsid w:val="00104283"/>
    <w:rsid w:val="0010446F"/>
    <w:rsid w:val="0010454F"/>
    <w:rsid w:val="0010467F"/>
    <w:rsid w:val="001048ED"/>
    <w:rsid w:val="001049D4"/>
    <w:rsid w:val="001053FD"/>
    <w:rsid w:val="0010579A"/>
    <w:rsid w:val="00105D66"/>
    <w:rsid w:val="001060FC"/>
    <w:rsid w:val="00106B8A"/>
    <w:rsid w:val="00106ED6"/>
    <w:rsid w:val="001074C3"/>
    <w:rsid w:val="00107DED"/>
    <w:rsid w:val="001102D0"/>
    <w:rsid w:val="00110300"/>
    <w:rsid w:val="00110595"/>
    <w:rsid w:val="00110629"/>
    <w:rsid w:val="00110A21"/>
    <w:rsid w:val="00110A49"/>
    <w:rsid w:val="00111172"/>
    <w:rsid w:val="001113DA"/>
    <w:rsid w:val="0011145C"/>
    <w:rsid w:val="001116C1"/>
    <w:rsid w:val="00111720"/>
    <w:rsid w:val="00111AAA"/>
    <w:rsid w:val="0011204E"/>
    <w:rsid w:val="00112284"/>
    <w:rsid w:val="00112780"/>
    <w:rsid w:val="00112CD0"/>
    <w:rsid w:val="00112E3C"/>
    <w:rsid w:val="00113459"/>
    <w:rsid w:val="00113677"/>
    <w:rsid w:val="00113699"/>
    <w:rsid w:val="0011378E"/>
    <w:rsid w:val="001149C4"/>
    <w:rsid w:val="001150D9"/>
    <w:rsid w:val="0011530D"/>
    <w:rsid w:val="00115407"/>
    <w:rsid w:val="0011583C"/>
    <w:rsid w:val="001158A2"/>
    <w:rsid w:val="00115B83"/>
    <w:rsid w:val="00115D96"/>
    <w:rsid w:val="00116327"/>
    <w:rsid w:val="001163D1"/>
    <w:rsid w:val="001163EB"/>
    <w:rsid w:val="00116526"/>
    <w:rsid w:val="00116D23"/>
    <w:rsid w:val="001179C5"/>
    <w:rsid w:val="001201DE"/>
    <w:rsid w:val="00120354"/>
    <w:rsid w:val="00120488"/>
    <w:rsid w:val="00121008"/>
    <w:rsid w:val="0012101C"/>
    <w:rsid w:val="00121867"/>
    <w:rsid w:val="00121AA7"/>
    <w:rsid w:val="00121CC1"/>
    <w:rsid w:val="00121E34"/>
    <w:rsid w:val="00121EB9"/>
    <w:rsid w:val="001220BD"/>
    <w:rsid w:val="001220EC"/>
    <w:rsid w:val="00122161"/>
    <w:rsid w:val="0012253D"/>
    <w:rsid w:val="00122769"/>
    <w:rsid w:val="001228DF"/>
    <w:rsid w:val="00122992"/>
    <w:rsid w:val="00122E58"/>
    <w:rsid w:val="00123011"/>
    <w:rsid w:val="001230B9"/>
    <w:rsid w:val="001230FE"/>
    <w:rsid w:val="0012402F"/>
    <w:rsid w:val="001241B6"/>
    <w:rsid w:val="001241B7"/>
    <w:rsid w:val="001245E7"/>
    <w:rsid w:val="00124B99"/>
    <w:rsid w:val="00124FA4"/>
    <w:rsid w:val="001253E4"/>
    <w:rsid w:val="0012568E"/>
    <w:rsid w:val="0012580C"/>
    <w:rsid w:val="0012592B"/>
    <w:rsid w:val="0012594D"/>
    <w:rsid w:val="001259BF"/>
    <w:rsid w:val="00125B4A"/>
    <w:rsid w:val="00125EDC"/>
    <w:rsid w:val="00126BB3"/>
    <w:rsid w:val="00127166"/>
    <w:rsid w:val="00127AC7"/>
    <w:rsid w:val="00127BCF"/>
    <w:rsid w:val="00130089"/>
    <w:rsid w:val="00130750"/>
    <w:rsid w:val="00130F0E"/>
    <w:rsid w:val="0013140C"/>
    <w:rsid w:val="00131433"/>
    <w:rsid w:val="00131596"/>
    <w:rsid w:val="00131DEE"/>
    <w:rsid w:val="00132393"/>
    <w:rsid w:val="001323FC"/>
    <w:rsid w:val="0013264B"/>
    <w:rsid w:val="001331D7"/>
    <w:rsid w:val="00133A10"/>
    <w:rsid w:val="00133AEB"/>
    <w:rsid w:val="00133B26"/>
    <w:rsid w:val="001341AD"/>
    <w:rsid w:val="0013582C"/>
    <w:rsid w:val="001358C1"/>
    <w:rsid w:val="00135B24"/>
    <w:rsid w:val="00136004"/>
    <w:rsid w:val="001362DA"/>
    <w:rsid w:val="00136528"/>
    <w:rsid w:val="00136546"/>
    <w:rsid w:val="00136700"/>
    <w:rsid w:val="001368C9"/>
    <w:rsid w:val="00136946"/>
    <w:rsid w:val="0013698B"/>
    <w:rsid w:val="001372A6"/>
    <w:rsid w:val="00137396"/>
    <w:rsid w:val="00137414"/>
    <w:rsid w:val="00137860"/>
    <w:rsid w:val="00137B1C"/>
    <w:rsid w:val="0014008F"/>
    <w:rsid w:val="001402E8"/>
    <w:rsid w:val="001409F9"/>
    <w:rsid w:val="00140CB4"/>
    <w:rsid w:val="00141079"/>
    <w:rsid w:val="00141717"/>
    <w:rsid w:val="00141910"/>
    <w:rsid w:val="00141B8C"/>
    <w:rsid w:val="001420D3"/>
    <w:rsid w:val="00142812"/>
    <w:rsid w:val="0014296F"/>
    <w:rsid w:val="00142C52"/>
    <w:rsid w:val="00142E5A"/>
    <w:rsid w:val="0014307C"/>
    <w:rsid w:val="00143F2D"/>
    <w:rsid w:val="00144587"/>
    <w:rsid w:val="0014458D"/>
    <w:rsid w:val="001446D7"/>
    <w:rsid w:val="0014478E"/>
    <w:rsid w:val="001447A6"/>
    <w:rsid w:val="0014481A"/>
    <w:rsid w:val="00144921"/>
    <w:rsid w:val="0014494F"/>
    <w:rsid w:val="00144A2B"/>
    <w:rsid w:val="00144B8E"/>
    <w:rsid w:val="001454C0"/>
    <w:rsid w:val="00145B69"/>
    <w:rsid w:val="0014625F"/>
    <w:rsid w:val="001464CC"/>
    <w:rsid w:val="001466A5"/>
    <w:rsid w:val="00146E42"/>
    <w:rsid w:val="0014709A"/>
    <w:rsid w:val="001474AB"/>
    <w:rsid w:val="00150387"/>
    <w:rsid w:val="00150486"/>
    <w:rsid w:val="00150CFE"/>
    <w:rsid w:val="00150D58"/>
    <w:rsid w:val="0015118E"/>
    <w:rsid w:val="0015130A"/>
    <w:rsid w:val="00151AE6"/>
    <w:rsid w:val="00152030"/>
    <w:rsid w:val="00152045"/>
    <w:rsid w:val="0015212C"/>
    <w:rsid w:val="00152761"/>
    <w:rsid w:val="00152A7D"/>
    <w:rsid w:val="00153239"/>
    <w:rsid w:val="001532DC"/>
    <w:rsid w:val="0015340F"/>
    <w:rsid w:val="00153C1A"/>
    <w:rsid w:val="001555DC"/>
    <w:rsid w:val="00155EC6"/>
    <w:rsid w:val="00155F82"/>
    <w:rsid w:val="00156489"/>
    <w:rsid w:val="00156544"/>
    <w:rsid w:val="001568CA"/>
    <w:rsid w:val="00156B82"/>
    <w:rsid w:val="00157271"/>
    <w:rsid w:val="001576CF"/>
    <w:rsid w:val="00157B2F"/>
    <w:rsid w:val="00157D86"/>
    <w:rsid w:val="00160173"/>
    <w:rsid w:val="001601DA"/>
    <w:rsid w:val="001602C9"/>
    <w:rsid w:val="001604D4"/>
    <w:rsid w:val="0016089C"/>
    <w:rsid w:val="00160973"/>
    <w:rsid w:val="00160DE2"/>
    <w:rsid w:val="001611EF"/>
    <w:rsid w:val="001613C0"/>
    <w:rsid w:val="00161836"/>
    <w:rsid w:val="00161886"/>
    <w:rsid w:val="00161F3B"/>
    <w:rsid w:val="001620A8"/>
    <w:rsid w:val="001626FF"/>
    <w:rsid w:val="001627C0"/>
    <w:rsid w:val="00162970"/>
    <w:rsid w:val="00162A2A"/>
    <w:rsid w:val="00162D57"/>
    <w:rsid w:val="00162EED"/>
    <w:rsid w:val="00163187"/>
    <w:rsid w:val="0016356B"/>
    <w:rsid w:val="00163B2C"/>
    <w:rsid w:val="00163B48"/>
    <w:rsid w:val="00163ED4"/>
    <w:rsid w:val="00164445"/>
    <w:rsid w:val="00164734"/>
    <w:rsid w:val="001647CC"/>
    <w:rsid w:val="00164D97"/>
    <w:rsid w:val="00164EB5"/>
    <w:rsid w:val="00165309"/>
    <w:rsid w:val="001655A6"/>
    <w:rsid w:val="00165B85"/>
    <w:rsid w:val="00166210"/>
    <w:rsid w:val="00167001"/>
    <w:rsid w:val="00167308"/>
    <w:rsid w:val="00167481"/>
    <w:rsid w:val="00167770"/>
    <w:rsid w:val="00167871"/>
    <w:rsid w:val="00167BE1"/>
    <w:rsid w:val="001700A2"/>
    <w:rsid w:val="0017041C"/>
    <w:rsid w:val="00170490"/>
    <w:rsid w:val="001707B5"/>
    <w:rsid w:val="001707D2"/>
    <w:rsid w:val="0017116F"/>
    <w:rsid w:val="00171186"/>
    <w:rsid w:val="00171679"/>
    <w:rsid w:val="00171693"/>
    <w:rsid w:val="00171729"/>
    <w:rsid w:val="001725E7"/>
    <w:rsid w:val="0017301E"/>
    <w:rsid w:val="00173B46"/>
    <w:rsid w:val="00173C8F"/>
    <w:rsid w:val="00173CF1"/>
    <w:rsid w:val="00173D59"/>
    <w:rsid w:val="00174658"/>
    <w:rsid w:val="001748B9"/>
    <w:rsid w:val="00174FED"/>
    <w:rsid w:val="0017576D"/>
    <w:rsid w:val="00175938"/>
    <w:rsid w:val="00175B38"/>
    <w:rsid w:val="00175B52"/>
    <w:rsid w:val="00175BF8"/>
    <w:rsid w:val="001761E7"/>
    <w:rsid w:val="00176797"/>
    <w:rsid w:val="00176CCD"/>
    <w:rsid w:val="00177153"/>
    <w:rsid w:val="001771B5"/>
    <w:rsid w:val="001778B4"/>
    <w:rsid w:val="001779DF"/>
    <w:rsid w:val="001802E8"/>
    <w:rsid w:val="0018066E"/>
    <w:rsid w:val="00180926"/>
    <w:rsid w:val="00180C22"/>
    <w:rsid w:val="00181096"/>
    <w:rsid w:val="001811A5"/>
    <w:rsid w:val="0018134C"/>
    <w:rsid w:val="001817F4"/>
    <w:rsid w:val="00181B04"/>
    <w:rsid w:val="0018216D"/>
    <w:rsid w:val="00182354"/>
    <w:rsid w:val="001823BF"/>
    <w:rsid w:val="0018255C"/>
    <w:rsid w:val="00182729"/>
    <w:rsid w:val="00182A82"/>
    <w:rsid w:val="00182FAD"/>
    <w:rsid w:val="001833CF"/>
    <w:rsid w:val="00183614"/>
    <w:rsid w:val="00183657"/>
    <w:rsid w:val="001837C1"/>
    <w:rsid w:val="00183A38"/>
    <w:rsid w:val="00183A4F"/>
    <w:rsid w:val="00183C55"/>
    <w:rsid w:val="00183F79"/>
    <w:rsid w:val="00184637"/>
    <w:rsid w:val="00184B87"/>
    <w:rsid w:val="00185096"/>
    <w:rsid w:val="00185335"/>
    <w:rsid w:val="001853D0"/>
    <w:rsid w:val="00185469"/>
    <w:rsid w:val="00185509"/>
    <w:rsid w:val="001859F4"/>
    <w:rsid w:val="00185A12"/>
    <w:rsid w:val="00185DC9"/>
    <w:rsid w:val="00186174"/>
    <w:rsid w:val="001864F8"/>
    <w:rsid w:val="00186502"/>
    <w:rsid w:val="00186592"/>
    <w:rsid w:val="00186B79"/>
    <w:rsid w:val="00187134"/>
    <w:rsid w:val="00187241"/>
    <w:rsid w:val="001873CF"/>
    <w:rsid w:val="00187848"/>
    <w:rsid w:val="001879BC"/>
    <w:rsid w:val="001903FB"/>
    <w:rsid w:val="00190785"/>
    <w:rsid w:val="00190F33"/>
    <w:rsid w:val="00191040"/>
    <w:rsid w:val="001913CE"/>
    <w:rsid w:val="00191581"/>
    <w:rsid w:val="00192605"/>
    <w:rsid w:val="001929E8"/>
    <w:rsid w:val="00192F3A"/>
    <w:rsid w:val="001936F6"/>
    <w:rsid w:val="00193917"/>
    <w:rsid w:val="00193E62"/>
    <w:rsid w:val="001942BE"/>
    <w:rsid w:val="00194C2F"/>
    <w:rsid w:val="00195664"/>
    <w:rsid w:val="00195C28"/>
    <w:rsid w:val="00195D58"/>
    <w:rsid w:val="00195D8D"/>
    <w:rsid w:val="00195E2B"/>
    <w:rsid w:val="00196218"/>
    <w:rsid w:val="001967D5"/>
    <w:rsid w:val="00196E27"/>
    <w:rsid w:val="00197125"/>
    <w:rsid w:val="00197215"/>
    <w:rsid w:val="00197296"/>
    <w:rsid w:val="001974C2"/>
    <w:rsid w:val="00197D25"/>
    <w:rsid w:val="00197EAB"/>
    <w:rsid w:val="00197FF6"/>
    <w:rsid w:val="001A0058"/>
    <w:rsid w:val="001A07B8"/>
    <w:rsid w:val="001A0E06"/>
    <w:rsid w:val="001A172B"/>
    <w:rsid w:val="001A1E54"/>
    <w:rsid w:val="001A1EAE"/>
    <w:rsid w:val="001A2741"/>
    <w:rsid w:val="001A29CB"/>
    <w:rsid w:val="001A2C5B"/>
    <w:rsid w:val="001A2D13"/>
    <w:rsid w:val="001A2FD1"/>
    <w:rsid w:val="001A3BDA"/>
    <w:rsid w:val="001A3E05"/>
    <w:rsid w:val="001A3FDC"/>
    <w:rsid w:val="001A4299"/>
    <w:rsid w:val="001A49C5"/>
    <w:rsid w:val="001A4A5E"/>
    <w:rsid w:val="001A4B31"/>
    <w:rsid w:val="001A4C20"/>
    <w:rsid w:val="001A5408"/>
    <w:rsid w:val="001A6005"/>
    <w:rsid w:val="001A6552"/>
    <w:rsid w:val="001A683E"/>
    <w:rsid w:val="001A6945"/>
    <w:rsid w:val="001A6B37"/>
    <w:rsid w:val="001A6EFE"/>
    <w:rsid w:val="001A6FE9"/>
    <w:rsid w:val="001A73B9"/>
    <w:rsid w:val="001A73E8"/>
    <w:rsid w:val="001A78B8"/>
    <w:rsid w:val="001A7D15"/>
    <w:rsid w:val="001B01AC"/>
    <w:rsid w:val="001B0252"/>
    <w:rsid w:val="001B08A7"/>
    <w:rsid w:val="001B1060"/>
    <w:rsid w:val="001B10C1"/>
    <w:rsid w:val="001B1549"/>
    <w:rsid w:val="001B1D4C"/>
    <w:rsid w:val="001B20A2"/>
    <w:rsid w:val="001B2105"/>
    <w:rsid w:val="001B210A"/>
    <w:rsid w:val="001B2342"/>
    <w:rsid w:val="001B240C"/>
    <w:rsid w:val="001B2ACC"/>
    <w:rsid w:val="001B2C02"/>
    <w:rsid w:val="001B36FD"/>
    <w:rsid w:val="001B378B"/>
    <w:rsid w:val="001B3CB2"/>
    <w:rsid w:val="001B404D"/>
    <w:rsid w:val="001B4D69"/>
    <w:rsid w:val="001B5515"/>
    <w:rsid w:val="001B56CF"/>
    <w:rsid w:val="001B59C5"/>
    <w:rsid w:val="001B5F31"/>
    <w:rsid w:val="001B66A0"/>
    <w:rsid w:val="001B6759"/>
    <w:rsid w:val="001B6B34"/>
    <w:rsid w:val="001B6D55"/>
    <w:rsid w:val="001B6FC1"/>
    <w:rsid w:val="001B771F"/>
    <w:rsid w:val="001B7EE6"/>
    <w:rsid w:val="001C07CD"/>
    <w:rsid w:val="001C0885"/>
    <w:rsid w:val="001C12C6"/>
    <w:rsid w:val="001C15C5"/>
    <w:rsid w:val="001C1609"/>
    <w:rsid w:val="001C1948"/>
    <w:rsid w:val="001C1C81"/>
    <w:rsid w:val="001C1E2A"/>
    <w:rsid w:val="001C1F07"/>
    <w:rsid w:val="001C230B"/>
    <w:rsid w:val="001C2B95"/>
    <w:rsid w:val="001C335C"/>
    <w:rsid w:val="001C3662"/>
    <w:rsid w:val="001C483C"/>
    <w:rsid w:val="001C493F"/>
    <w:rsid w:val="001C4A82"/>
    <w:rsid w:val="001C4CF7"/>
    <w:rsid w:val="001C5502"/>
    <w:rsid w:val="001C55BE"/>
    <w:rsid w:val="001C5601"/>
    <w:rsid w:val="001C5ABA"/>
    <w:rsid w:val="001C60AC"/>
    <w:rsid w:val="001C6453"/>
    <w:rsid w:val="001C65EE"/>
    <w:rsid w:val="001C6695"/>
    <w:rsid w:val="001C66CD"/>
    <w:rsid w:val="001C66E5"/>
    <w:rsid w:val="001C67D9"/>
    <w:rsid w:val="001C6AC4"/>
    <w:rsid w:val="001C6C15"/>
    <w:rsid w:val="001C6C51"/>
    <w:rsid w:val="001C747A"/>
    <w:rsid w:val="001D00E4"/>
    <w:rsid w:val="001D00EE"/>
    <w:rsid w:val="001D03AC"/>
    <w:rsid w:val="001D05EE"/>
    <w:rsid w:val="001D07E4"/>
    <w:rsid w:val="001D0936"/>
    <w:rsid w:val="001D0AA6"/>
    <w:rsid w:val="001D0E0E"/>
    <w:rsid w:val="001D114B"/>
    <w:rsid w:val="001D141A"/>
    <w:rsid w:val="001D1728"/>
    <w:rsid w:val="001D173C"/>
    <w:rsid w:val="001D184D"/>
    <w:rsid w:val="001D1874"/>
    <w:rsid w:val="001D1B6A"/>
    <w:rsid w:val="001D2955"/>
    <w:rsid w:val="001D2A02"/>
    <w:rsid w:val="001D2E8D"/>
    <w:rsid w:val="001D31F0"/>
    <w:rsid w:val="001D42AB"/>
    <w:rsid w:val="001D4361"/>
    <w:rsid w:val="001D452B"/>
    <w:rsid w:val="001D4940"/>
    <w:rsid w:val="001D4D12"/>
    <w:rsid w:val="001D4DE9"/>
    <w:rsid w:val="001D4DEC"/>
    <w:rsid w:val="001D4EBC"/>
    <w:rsid w:val="001D5341"/>
    <w:rsid w:val="001D57FF"/>
    <w:rsid w:val="001D599D"/>
    <w:rsid w:val="001D5DAC"/>
    <w:rsid w:val="001D6ABD"/>
    <w:rsid w:val="001D6F73"/>
    <w:rsid w:val="001D7176"/>
    <w:rsid w:val="001D725B"/>
    <w:rsid w:val="001D7501"/>
    <w:rsid w:val="001D7563"/>
    <w:rsid w:val="001D799B"/>
    <w:rsid w:val="001D7AAC"/>
    <w:rsid w:val="001D7B9B"/>
    <w:rsid w:val="001D7E9E"/>
    <w:rsid w:val="001E011C"/>
    <w:rsid w:val="001E048A"/>
    <w:rsid w:val="001E07C7"/>
    <w:rsid w:val="001E0AE1"/>
    <w:rsid w:val="001E166B"/>
    <w:rsid w:val="001E17FC"/>
    <w:rsid w:val="001E18B2"/>
    <w:rsid w:val="001E1F0E"/>
    <w:rsid w:val="001E2396"/>
    <w:rsid w:val="001E2C0D"/>
    <w:rsid w:val="001E2EDC"/>
    <w:rsid w:val="001E339D"/>
    <w:rsid w:val="001E34C4"/>
    <w:rsid w:val="001E39CC"/>
    <w:rsid w:val="001E46A9"/>
    <w:rsid w:val="001E488E"/>
    <w:rsid w:val="001E4A07"/>
    <w:rsid w:val="001E4CDF"/>
    <w:rsid w:val="001E4F8C"/>
    <w:rsid w:val="001E5D93"/>
    <w:rsid w:val="001E60BC"/>
    <w:rsid w:val="001E63B6"/>
    <w:rsid w:val="001E6767"/>
    <w:rsid w:val="001E6BCD"/>
    <w:rsid w:val="001E7BEF"/>
    <w:rsid w:val="001E7D01"/>
    <w:rsid w:val="001E7D4A"/>
    <w:rsid w:val="001F00EC"/>
    <w:rsid w:val="001F054A"/>
    <w:rsid w:val="001F0918"/>
    <w:rsid w:val="001F10ED"/>
    <w:rsid w:val="001F13E9"/>
    <w:rsid w:val="001F1743"/>
    <w:rsid w:val="001F1BAA"/>
    <w:rsid w:val="001F1E35"/>
    <w:rsid w:val="001F24BA"/>
    <w:rsid w:val="001F26D3"/>
    <w:rsid w:val="001F29E6"/>
    <w:rsid w:val="001F2A6D"/>
    <w:rsid w:val="001F2F49"/>
    <w:rsid w:val="001F34C0"/>
    <w:rsid w:val="001F386B"/>
    <w:rsid w:val="001F3D76"/>
    <w:rsid w:val="001F3FED"/>
    <w:rsid w:val="001F4037"/>
    <w:rsid w:val="001F41B1"/>
    <w:rsid w:val="001F43D8"/>
    <w:rsid w:val="001F470B"/>
    <w:rsid w:val="001F471D"/>
    <w:rsid w:val="001F4ACF"/>
    <w:rsid w:val="001F4B7B"/>
    <w:rsid w:val="001F5194"/>
    <w:rsid w:val="001F6270"/>
    <w:rsid w:val="001F63DE"/>
    <w:rsid w:val="001F654C"/>
    <w:rsid w:val="001F6660"/>
    <w:rsid w:val="001F6C44"/>
    <w:rsid w:val="001F6F29"/>
    <w:rsid w:val="001F6FBD"/>
    <w:rsid w:val="001F736E"/>
    <w:rsid w:val="001F79CF"/>
    <w:rsid w:val="001F79FB"/>
    <w:rsid w:val="001F7C57"/>
    <w:rsid w:val="001F7E6A"/>
    <w:rsid w:val="00200C56"/>
    <w:rsid w:val="00200DA1"/>
    <w:rsid w:val="002012CB"/>
    <w:rsid w:val="00201999"/>
    <w:rsid w:val="00201A00"/>
    <w:rsid w:val="00201A0C"/>
    <w:rsid w:val="00202251"/>
    <w:rsid w:val="00202383"/>
    <w:rsid w:val="00202A3A"/>
    <w:rsid w:val="00202B42"/>
    <w:rsid w:val="00202C29"/>
    <w:rsid w:val="0020378E"/>
    <w:rsid w:val="00203EE4"/>
    <w:rsid w:val="00204433"/>
    <w:rsid w:val="00204524"/>
    <w:rsid w:val="00204633"/>
    <w:rsid w:val="00204C1B"/>
    <w:rsid w:val="0020509F"/>
    <w:rsid w:val="0020511B"/>
    <w:rsid w:val="002056D3"/>
    <w:rsid w:val="00205A3E"/>
    <w:rsid w:val="00205BB3"/>
    <w:rsid w:val="00205BB4"/>
    <w:rsid w:val="00205CF3"/>
    <w:rsid w:val="00205FD6"/>
    <w:rsid w:val="002060EC"/>
    <w:rsid w:val="00206553"/>
    <w:rsid w:val="00206849"/>
    <w:rsid w:val="00206B00"/>
    <w:rsid w:val="00207294"/>
    <w:rsid w:val="00207574"/>
    <w:rsid w:val="00207575"/>
    <w:rsid w:val="00207BCF"/>
    <w:rsid w:val="00207E88"/>
    <w:rsid w:val="002101F0"/>
    <w:rsid w:val="0021024B"/>
    <w:rsid w:val="00210343"/>
    <w:rsid w:val="00210657"/>
    <w:rsid w:val="00210732"/>
    <w:rsid w:val="002109A7"/>
    <w:rsid w:val="00210A8E"/>
    <w:rsid w:val="00210C3D"/>
    <w:rsid w:val="00210E8E"/>
    <w:rsid w:val="00210F49"/>
    <w:rsid w:val="002112A5"/>
    <w:rsid w:val="002112EA"/>
    <w:rsid w:val="0021143E"/>
    <w:rsid w:val="00211592"/>
    <w:rsid w:val="00211613"/>
    <w:rsid w:val="00212395"/>
    <w:rsid w:val="002123A3"/>
    <w:rsid w:val="0021277D"/>
    <w:rsid w:val="002127C9"/>
    <w:rsid w:val="00212A00"/>
    <w:rsid w:val="00212A84"/>
    <w:rsid w:val="00212B1B"/>
    <w:rsid w:val="00213631"/>
    <w:rsid w:val="00213B7C"/>
    <w:rsid w:val="00213CC4"/>
    <w:rsid w:val="00214360"/>
    <w:rsid w:val="00214491"/>
    <w:rsid w:val="002146A3"/>
    <w:rsid w:val="00214EF1"/>
    <w:rsid w:val="002151A5"/>
    <w:rsid w:val="002155FB"/>
    <w:rsid w:val="00215979"/>
    <w:rsid w:val="00215A04"/>
    <w:rsid w:val="00215B7B"/>
    <w:rsid w:val="00215BBD"/>
    <w:rsid w:val="00215DAE"/>
    <w:rsid w:val="00215E73"/>
    <w:rsid w:val="00216293"/>
    <w:rsid w:val="002162CF"/>
    <w:rsid w:val="002165EE"/>
    <w:rsid w:val="002167FC"/>
    <w:rsid w:val="00216921"/>
    <w:rsid w:val="00216981"/>
    <w:rsid w:val="00216E03"/>
    <w:rsid w:val="002170DB"/>
    <w:rsid w:val="00217730"/>
    <w:rsid w:val="00217E91"/>
    <w:rsid w:val="00221681"/>
    <w:rsid w:val="00221C0C"/>
    <w:rsid w:val="00221C0F"/>
    <w:rsid w:val="00221D2C"/>
    <w:rsid w:val="00221F55"/>
    <w:rsid w:val="0022201B"/>
    <w:rsid w:val="00222441"/>
    <w:rsid w:val="00222AAC"/>
    <w:rsid w:val="00222DB0"/>
    <w:rsid w:val="00222FC7"/>
    <w:rsid w:val="00223D79"/>
    <w:rsid w:val="0022479D"/>
    <w:rsid w:val="00224801"/>
    <w:rsid w:val="00224BF0"/>
    <w:rsid w:val="00224EB5"/>
    <w:rsid w:val="002250C9"/>
    <w:rsid w:val="0022512C"/>
    <w:rsid w:val="002251AA"/>
    <w:rsid w:val="002254E4"/>
    <w:rsid w:val="0022557C"/>
    <w:rsid w:val="00225DC3"/>
    <w:rsid w:val="00225DD4"/>
    <w:rsid w:val="00225E6B"/>
    <w:rsid w:val="0022601B"/>
    <w:rsid w:val="0022621D"/>
    <w:rsid w:val="002265DD"/>
    <w:rsid w:val="0022665C"/>
    <w:rsid w:val="00226816"/>
    <w:rsid w:val="00226F73"/>
    <w:rsid w:val="0022722B"/>
    <w:rsid w:val="00227325"/>
    <w:rsid w:val="002276B8"/>
    <w:rsid w:val="002300F6"/>
    <w:rsid w:val="0023041D"/>
    <w:rsid w:val="002306FE"/>
    <w:rsid w:val="00230D74"/>
    <w:rsid w:val="002310FD"/>
    <w:rsid w:val="00231673"/>
    <w:rsid w:val="002316E5"/>
    <w:rsid w:val="00231C14"/>
    <w:rsid w:val="00231EBF"/>
    <w:rsid w:val="00231FC6"/>
    <w:rsid w:val="002321B5"/>
    <w:rsid w:val="002322B4"/>
    <w:rsid w:val="0023241A"/>
    <w:rsid w:val="002325B7"/>
    <w:rsid w:val="002329B7"/>
    <w:rsid w:val="00232A8C"/>
    <w:rsid w:val="0023370D"/>
    <w:rsid w:val="00233BBF"/>
    <w:rsid w:val="00233CCD"/>
    <w:rsid w:val="00233D33"/>
    <w:rsid w:val="00234950"/>
    <w:rsid w:val="00234B15"/>
    <w:rsid w:val="00234B20"/>
    <w:rsid w:val="00234F4D"/>
    <w:rsid w:val="002352C4"/>
    <w:rsid w:val="00235C5D"/>
    <w:rsid w:val="00236743"/>
    <w:rsid w:val="00236BB5"/>
    <w:rsid w:val="002377AC"/>
    <w:rsid w:val="002378F7"/>
    <w:rsid w:val="00237D3C"/>
    <w:rsid w:val="00237F7E"/>
    <w:rsid w:val="00237FCE"/>
    <w:rsid w:val="002407FA"/>
    <w:rsid w:val="0024163A"/>
    <w:rsid w:val="0024172B"/>
    <w:rsid w:val="0024191F"/>
    <w:rsid w:val="00241D90"/>
    <w:rsid w:val="00241E1F"/>
    <w:rsid w:val="00242156"/>
    <w:rsid w:val="002428A3"/>
    <w:rsid w:val="002428A4"/>
    <w:rsid w:val="002429EC"/>
    <w:rsid w:val="00242AFC"/>
    <w:rsid w:val="00243190"/>
    <w:rsid w:val="002431CE"/>
    <w:rsid w:val="00243C05"/>
    <w:rsid w:val="00243DBF"/>
    <w:rsid w:val="00244435"/>
    <w:rsid w:val="0024466E"/>
    <w:rsid w:val="00244906"/>
    <w:rsid w:val="00244DA0"/>
    <w:rsid w:val="00245447"/>
    <w:rsid w:val="00245773"/>
    <w:rsid w:val="002457FB"/>
    <w:rsid w:val="002471D3"/>
    <w:rsid w:val="0024723B"/>
    <w:rsid w:val="002477E7"/>
    <w:rsid w:val="00247B83"/>
    <w:rsid w:val="00247E66"/>
    <w:rsid w:val="00247E7C"/>
    <w:rsid w:val="00250776"/>
    <w:rsid w:val="00250BC2"/>
    <w:rsid w:val="00250BF5"/>
    <w:rsid w:val="00250F16"/>
    <w:rsid w:val="0025108C"/>
    <w:rsid w:val="00251553"/>
    <w:rsid w:val="0025171D"/>
    <w:rsid w:val="002517B0"/>
    <w:rsid w:val="00251A57"/>
    <w:rsid w:val="00252874"/>
    <w:rsid w:val="00252A03"/>
    <w:rsid w:val="00252CED"/>
    <w:rsid w:val="00252ECC"/>
    <w:rsid w:val="00253099"/>
    <w:rsid w:val="002532F2"/>
    <w:rsid w:val="00253644"/>
    <w:rsid w:val="00253D5B"/>
    <w:rsid w:val="00253EA8"/>
    <w:rsid w:val="0025425B"/>
    <w:rsid w:val="00254386"/>
    <w:rsid w:val="002546A9"/>
    <w:rsid w:val="00254BDD"/>
    <w:rsid w:val="00255056"/>
    <w:rsid w:val="0025513A"/>
    <w:rsid w:val="002551B0"/>
    <w:rsid w:val="00255401"/>
    <w:rsid w:val="00255F71"/>
    <w:rsid w:val="00256028"/>
    <w:rsid w:val="002562B3"/>
    <w:rsid w:val="002566DA"/>
    <w:rsid w:val="0025675A"/>
    <w:rsid w:val="00256793"/>
    <w:rsid w:val="002569BC"/>
    <w:rsid w:val="00256AE8"/>
    <w:rsid w:val="002606B1"/>
    <w:rsid w:val="00260703"/>
    <w:rsid w:val="0026092D"/>
    <w:rsid w:val="00260BA2"/>
    <w:rsid w:val="00260BA3"/>
    <w:rsid w:val="00260EE2"/>
    <w:rsid w:val="00261014"/>
    <w:rsid w:val="0026139D"/>
    <w:rsid w:val="00261516"/>
    <w:rsid w:val="00261CAA"/>
    <w:rsid w:val="00261E85"/>
    <w:rsid w:val="00262088"/>
    <w:rsid w:val="00262436"/>
    <w:rsid w:val="00262A9C"/>
    <w:rsid w:val="00262B23"/>
    <w:rsid w:val="00262CBA"/>
    <w:rsid w:val="00262ED2"/>
    <w:rsid w:val="00263669"/>
    <w:rsid w:val="0026379C"/>
    <w:rsid w:val="0026379E"/>
    <w:rsid w:val="00263B4B"/>
    <w:rsid w:val="00263C1E"/>
    <w:rsid w:val="00263CF7"/>
    <w:rsid w:val="00263D08"/>
    <w:rsid w:val="00264A81"/>
    <w:rsid w:val="00264EE6"/>
    <w:rsid w:val="00265859"/>
    <w:rsid w:val="00265874"/>
    <w:rsid w:val="00265D46"/>
    <w:rsid w:val="00265D66"/>
    <w:rsid w:val="00265F5B"/>
    <w:rsid w:val="002661D6"/>
    <w:rsid w:val="002663F5"/>
    <w:rsid w:val="002672C7"/>
    <w:rsid w:val="002675C9"/>
    <w:rsid w:val="00267C75"/>
    <w:rsid w:val="002706B0"/>
    <w:rsid w:val="00270C6F"/>
    <w:rsid w:val="00270D5D"/>
    <w:rsid w:val="00271094"/>
    <w:rsid w:val="002710B3"/>
    <w:rsid w:val="002711B0"/>
    <w:rsid w:val="00271899"/>
    <w:rsid w:val="00271942"/>
    <w:rsid w:val="00271EA3"/>
    <w:rsid w:val="0027220F"/>
    <w:rsid w:val="00272AD6"/>
    <w:rsid w:val="00272B6C"/>
    <w:rsid w:val="00272DA4"/>
    <w:rsid w:val="00272DD9"/>
    <w:rsid w:val="00273014"/>
    <w:rsid w:val="002730E4"/>
    <w:rsid w:val="002732B5"/>
    <w:rsid w:val="002737B8"/>
    <w:rsid w:val="00273ED0"/>
    <w:rsid w:val="00273FF0"/>
    <w:rsid w:val="0027421D"/>
    <w:rsid w:val="0027452B"/>
    <w:rsid w:val="0027459E"/>
    <w:rsid w:val="00274C9E"/>
    <w:rsid w:val="00274E4B"/>
    <w:rsid w:val="00275103"/>
    <w:rsid w:val="00275530"/>
    <w:rsid w:val="002756A2"/>
    <w:rsid w:val="00276193"/>
    <w:rsid w:val="002761CE"/>
    <w:rsid w:val="0027622D"/>
    <w:rsid w:val="002764D4"/>
    <w:rsid w:val="00276568"/>
    <w:rsid w:val="0027696D"/>
    <w:rsid w:val="00276CBF"/>
    <w:rsid w:val="0027710B"/>
    <w:rsid w:val="002773D5"/>
    <w:rsid w:val="00277679"/>
    <w:rsid w:val="00277BF6"/>
    <w:rsid w:val="00277DE0"/>
    <w:rsid w:val="00277FDA"/>
    <w:rsid w:val="00280037"/>
    <w:rsid w:val="002802AD"/>
    <w:rsid w:val="00280C3F"/>
    <w:rsid w:val="00280D96"/>
    <w:rsid w:val="00281379"/>
    <w:rsid w:val="00281455"/>
    <w:rsid w:val="00281606"/>
    <w:rsid w:val="00281736"/>
    <w:rsid w:val="002818A4"/>
    <w:rsid w:val="00281A59"/>
    <w:rsid w:val="00282154"/>
    <w:rsid w:val="0028223F"/>
    <w:rsid w:val="00282B4E"/>
    <w:rsid w:val="00282CCD"/>
    <w:rsid w:val="00283787"/>
    <w:rsid w:val="00283C71"/>
    <w:rsid w:val="002844D5"/>
    <w:rsid w:val="0028450E"/>
    <w:rsid w:val="002845DB"/>
    <w:rsid w:val="00284642"/>
    <w:rsid w:val="00284A0D"/>
    <w:rsid w:val="002851FD"/>
    <w:rsid w:val="0028538B"/>
    <w:rsid w:val="0028566A"/>
    <w:rsid w:val="00285BE6"/>
    <w:rsid w:val="00285EDD"/>
    <w:rsid w:val="002861A1"/>
    <w:rsid w:val="00286C93"/>
    <w:rsid w:val="002874A5"/>
    <w:rsid w:val="00287696"/>
    <w:rsid w:val="00287C72"/>
    <w:rsid w:val="00287EDA"/>
    <w:rsid w:val="00290050"/>
    <w:rsid w:val="00290C2D"/>
    <w:rsid w:val="00290C93"/>
    <w:rsid w:val="00291243"/>
    <w:rsid w:val="00292110"/>
    <w:rsid w:val="002924B6"/>
    <w:rsid w:val="00293D8D"/>
    <w:rsid w:val="0029421E"/>
    <w:rsid w:val="00294646"/>
    <w:rsid w:val="00294B05"/>
    <w:rsid w:val="00295393"/>
    <w:rsid w:val="002958E5"/>
    <w:rsid w:val="00296351"/>
    <w:rsid w:val="0029653F"/>
    <w:rsid w:val="00296AE5"/>
    <w:rsid w:val="0029743F"/>
    <w:rsid w:val="00297730"/>
    <w:rsid w:val="00297769"/>
    <w:rsid w:val="00297A68"/>
    <w:rsid w:val="002A0489"/>
    <w:rsid w:val="002A0CD2"/>
    <w:rsid w:val="002A11BE"/>
    <w:rsid w:val="002A185F"/>
    <w:rsid w:val="002A1FD5"/>
    <w:rsid w:val="002A2206"/>
    <w:rsid w:val="002A25D9"/>
    <w:rsid w:val="002A2613"/>
    <w:rsid w:val="002A2C43"/>
    <w:rsid w:val="002A2CB7"/>
    <w:rsid w:val="002A34CF"/>
    <w:rsid w:val="002A3799"/>
    <w:rsid w:val="002A3B05"/>
    <w:rsid w:val="002A3C59"/>
    <w:rsid w:val="002A3DA4"/>
    <w:rsid w:val="002A45EE"/>
    <w:rsid w:val="002A499C"/>
    <w:rsid w:val="002A4BD3"/>
    <w:rsid w:val="002A4E02"/>
    <w:rsid w:val="002A5167"/>
    <w:rsid w:val="002A54CD"/>
    <w:rsid w:val="002A5FCC"/>
    <w:rsid w:val="002A60DD"/>
    <w:rsid w:val="002A6196"/>
    <w:rsid w:val="002A6334"/>
    <w:rsid w:val="002A6449"/>
    <w:rsid w:val="002A66EC"/>
    <w:rsid w:val="002A6854"/>
    <w:rsid w:val="002A698C"/>
    <w:rsid w:val="002A719D"/>
    <w:rsid w:val="002A7786"/>
    <w:rsid w:val="002A7820"/>
    <w:rsid w:val="002A7A52"/>
    <w:rsid w:val="002A7BB1"/>
    <w:rsid w:val="002A7F14"/>
    <w:rsid w:val="002B0197"/>
    <w:rsid w:val="002B01D8"/>
    <w:rsid w:val="002B0288"/>
    <w:rsid w:val="002B07CD"/>
    <w:rsid w:val="002B07FA"/>
    <w:rsid w:val="002B0CA8"/>
    <w:rsid w:val="002B0D8D"/>
    <w:rsid w:val="002B11D5"/>
    <w:rsid w:val="002B140E"/>
    <w:rsid w:val="002B1549"/>
    <w:rsid w:val="002B157C"/>
    <w:rsid w:val="002B1665"/>
    <w:rsid w:val="002B18F3"/>
    <w:rsid w:val="002B1A5D"/>
    <w:rsid w:val="002B1A7E"/>
    <w:rsid w:val="002B1BD8"/>
    <w:rsid w:val="002B1E4E"/>
    <w:rsid w:val="002B20A9"/>
    <w:rsid w:val="002B24A5"/>
    <w:rsid w:val="002B274C"/>
    <w:rsid w:val="002B27D8"/>
    <w:rsid w:val="002B2818"/>
    <w:rsid w:val="002B2C3A"/>
    <w:rsid w:val="002B2E71"/>
    <w:rsid w:val="002B3208"/>
    <w:rsid w:val="002B333A"/>
    <w:rsid w:val="002B35A9"/>
    <w:rsid w:val="002B3A62"/>
    <w:rsid w:val="002B426E"/>
    <w:rsid w:val="002B45F3"/>
    <w:rsid w:val="002B4962"/>
    <w:rsid w:val="002B4C7E"/>
    <w:rsid w:val="002B54E5"/>
    <w:rsid w:val="002B5555"/>
    <w:rsid w:val="002B5AE4"/>
    <w:rsid w:val="002B5FC2"/>
    <w:rsid w:val="002B624B"/>
    <w:rsid w:val="002B65C6"/>
    <w:rsid w:val="002B6779"/>
    <w:rsid w:val="002B6E71"/>
    <w:rsid w:val="002B71DD"/>
    <w:rsid w:val="002B7276"/>
    <w:rsid w:val="002B74DB"/>
    <w:rsid w:val="002B7778"/>
    <w:rsid w:val="002B79FD"/>
    <w:rsid w:val="002B7E8B"/>
    <w:rsid w:val="002C0664"/>
    <w:rsid w:val="002C07D3"/>
    <w:rsid w:val="002C0A3B"/>
    <w:rsid w:val="002C0B04"/>
    <w:rsid w:val="002C0DCC"/>
    <w:rsid w:val="002C0E07"/>
    <w:rsid w:val="002C0E77"/>
    <w:rsid w:val="002C1451"/>
    <w:rsid w:val="002C17BA"/>
    <w:rsid w:val="002C18EC"/>
    <w:rsid w:val="002C1957"/>
    <w:rsid w:val="002C1FC3"/>
    <w:rsid w:val="002C246A"/>
    <w:rsid w:val="002C25F0"/>
    <w:rsid w:val="002C26D0"/>
    <w:rsid w:val="002C2785"/>
    <w:rsid w:val="002C2911"/>
    <w:rsid w:val="002C2A7E"/>
    <w:rsid w:val="002C2EDB"/>
    <w:rsid w:val="002C32DA"/>
    <w:rsid w:val="002C346F"/>
    <w:rsid w:val="002C3633"/>
    <w:rsid w:val="002C37D9"/>
    <w:rsid w:val="002C3926"/>
    <w:rsid w:val="002C3966"/>
    <w:rsid w:val="002C3DC1"/>
    <w:rsid w:val="002C4184"/>
    <w:rsid w:val="002C45D0"/>
    <w:rsid w:val="002C4929"/>
    <w:rsid w:val="002C4A82"/>
    <w:rsid w:val="002C51A4"/>
    <w:rsid w:val="002C5531"/>
    <w:rsid w:val="002C57EF"/>
    <w:rsid w:val="002C5CE4"/>
    <w:rsid w:val="002C6158"/>
    <w:rsid w:val="002C6AE4"/>
    <w:rsid w:val="002C6D56"/>
    <w:rsid w:val="002C78EE"/>
    <w:rsid w:val="002C7C23"/>
    <w:rsid w:val="002C7C37"/>
    <w:rsid w:val="002C7C74"/>
    <w:rsid w:val="002D0BD4"/>
    <w:rsid w:val="002D0D2E"/>
    <w:rsid w:val="002D16B2"/>
    <w:rsid w:val="002D198F"/>
    <w:rsid w:val="002D1ED2"/>
    <w:rsid w:val="002D2932"/>
    <w:rsid w:val="002D2D92"/>
    <w:rsid w:val="002D3624"/>
    <w:rsid w:val="002D384E"/>
    <w:rsid w:val="002D3EA3"/>
    <w:rsid w:val="002D4301"/>
    <w:rsid w:val="002D47A8"/>
    <w:rsid w:val="002D5018"/>
    <w:rsid w:val="002D52C3"/>
    <w:rsid w:val="002D5976"/>
    <w:rsid w:val="002D5AA4"/>
    <w:rsid w:val="002D5C1D"/>
    <w:rsid w:val="002D5E64"/>
    <w:rsid w:val="002D639B"/>
    <w:rsid w:val="002D64C6"/>
    <w:rsid w:val="002D67E9"/>
    <w:rsid w:val="002D6928"/>
    <w:rsid w:val="002D6A0C"/>
    <w:rsid w:val="002D6A34"/>
    <w:rsid w:val="002D73A1"/>
    <w:rsid w:val="002D747B"/>
    <w:rsid w:val="002D74FD"/>
    <w:rsid w:val="002D7BC3"/>
    <w:rsid w:val="002E000E"/>
    <w:rsid w:val="002E032E"/>
    <w:rsid w:val="002E038D"/>
    <w:rsid w:val="002E048B"/>
    <w:rsid w:val="002E0573"/>
    <w:rsid w:val="002E06CC"/>
    <w:rsid w:val="002E0896"/>
    <w:rsid w:val="002E0E3C"/>
    <w:rsid w:val="002E140F"/>
    <w:rsid w:val="002E14EA"/>
    <w:rsid w:val="002E1635"/>
    <w:rsid w:val="002E1BA5"/>
    <w:rsid w:val="002E1CE1"/>
    <w:rsid w:val="002E2351"/>
    <w:rsid w:val="002E2BFC"/>
    <w:rsid w:val="002E2C0B"/>
    <w:rsid w:val="002E3458"/>
    <w:rsid w:val="002E3773"/>
    <w:rsid w:val="002E3D41"/>
    <w:rsid w:val="002E3EB6"/>
    <w:rsid w:val="002E46E6"/>
    <w:rsid w:val="002E487F"/>
    <w:rsid w:val="002E48D4"/>
    <w:rsid w:val="002E4D65"/>
    <w:rsid w:val="002E50AE"/>
    <w:rsid w:val="002E53C7"/>
    <w:rsid w:val="002E596F"/>
    <w:rsid w:val="002E5A7F"/>
    <w:rsid w:val="002E5FDC"/>
    <w:rsid w:val="002E60FC"/>
    <w:rsid w:val="002E62E7"/>
    <w:rsid w:val="002E7700"/>
    <w:rsid w:val="002E79BB"/>
    <w:rsid w:val="002E7D1C"/>
    <w:rsid w:val="002F00F3"/>
    <w:rsid w:val="002F0656"/>
    <w:rsid w:val="002F119A"/>
    <w:rsid w:val="002F1308"/>
    <w:rsid w:val="002F156E"/>
    <w:rsid w:val="002F181B"/>
    <w:rsid w:val="002F183E"/>
    <w:rsid w:val="002F19E3"/>
    <w:rsid w:val="002F2344"/>
    <w:rsid w:val="002F28EE"/>
    <w:rsid w:val="002F33EA"/>
    <w:rsid w:val="002F454A"/>
    <w:rsid w:val="002F456E"/>
    <w:rsid w:val="002F45DC"/>
    <w:rsid w:val="002F4C71"/>
    <w:rsid w:val="002F5160"/>
    <w:rsid w:val="002F5161"/>
    <w:rsid w:val="002F5253"/>
    <w:rsid w:val="002F5469"/>
    <w:rsid w:val="002F5499"/>
    <w:rsid w:val="002F59DB"/>
    <w:rsid w:val="002F5D79"/>
    <w:rsid w:val="002F6148"/>
    <w:rsid w:val="002F6443"/>
    <w:rsid w:val="002F6684"/>
    <w:rsid w:val="002F686D"/>
    <w:rsid w:val="002F68B6"/>
    <w:rsid w:val="002F6D9D"/>
    <w:rsid w:val="002F7248"/>
    <w:rsid w:val="002F7278"/>
    <w:rsid w:val="002F72CA"/>
    <w:rsid w:val="002F74F8"/>
    <w:rsid w:val="002F79BC"/>
    <w:rsid w:val="002F7B32"/>
    <w:rsid w:val="002F7C33"/>
    <w:rsid w:val="002F7C96"/>
    <w:rsid w:val="002F7CF6"/>
    <w:rsid w:val="002F7DE0"/>
    <w:rsid w:val="002F7E4A"/>
    <w:rsid w:val="002F7F26"/>
    <w:rsid w:val="0030057E"/>
    <w:rsid w:val="00300789"/>
    <w:rsid w:val="0030083E"/>
    <w:rsid w:val="0030084A"/>
    <w:rsid w:val="0030085D"/>
    <w:rsid w:val="00300A95"/>
    <w:rsid w:val="00301341"/>
    <w:rsid w:val="00301FBD"/>
    <w:rsid w:val="00302193"/>
    <w:rsid w:val="003026B6"/>
    <w:rsid w:val="0030292D"/>
    <w:rsid w:val="00302B95"/>
    <w:rsid w:val="003038C3"/>
    <w:rsid w:val="003042AE"/>
    <w:rsid w:val="0030464E"/>
    <w:rsid w:val="00304898"/>
    <w:rsid w:val="00304C91"/>
    <w:rsid w:val="00304D94"/>
    <w:rsid w:val="00304FED"/>
    <w:rsid w:val="003054D1"/>
    <w:rsid w:val="00305A9C"/>
    <w:rsid w:val="00305DB8"/>
    <w:rsid w:val="00305E87"/>
    <w:rsid w:val="00305EFA"/>
    <w:rsid w:val="0030608F"/>
    <w:rsid w:val="0030636B"/>
    <w:rsid w:val="003063E3"/>
    <w:rsid w:val="00306C84"/>
    <w:rsid w:val="00306DBA"/>
    <w:rsid w:val="00306EB1"/>
    <w:rsid w:val="003070F2"/>
    <w:rsid w:val="00307959"/>
    <w:rsid w:val="00307990"/>
    <w:rsid w:val="00307EC9"/>
    <w:rsid w:val="00310035"/>
    <w:rsid w:val="003107CF"/>
    <w:rsid w:val="00310839"/>
    <w:rsid w:val="00310C4F"/>
    <w:rsid w:val="00310F53"/>
    <w:rsid w:val="003117CA"/>
    <w:rsid w:val="00311E87"/>
    <w:rsid w:val="00312252"/>
    <w:rsid w:val="00312617"/>
    <w:rsid w:val="00312A27"/>
    <w:rsid w:val="00312D4E"/>
    <w:rsid w:val="003131CC"/>
    <w:rsid w:val="003139C7"/>
    <w:rsid w:val="00313C5A"/>
    <w:rsid w:val="00314476"/>
    <w:rsid w:val="00314721"/>
    <w:rsid w:val="00314968"/>
    <w:rsid w:val="00314C05"/>
    <w:rsid w:val="00314CE7"/>
    <w:rsid w:val="00314D22"/>
    <w:rsid w:val="00315808"/>
    <w:rsid w:val="00315A06"/>
    <w:rsid w:val="003161C6"/>
    <w:rsid w:val="003166C9"/>
    <w:rsid w:val="00316A1C"/>
    <w:rsid w:val="003172DE"/>
    <w:rsid w:val="003178E6"/>
    <w:rsid w:val="00317A49"/>
    <w:rsid w:val="00317EE7"/>
    <w:rsid w:val="00317F29"/>
    <w:rsid w:val="0032029A"/>
    <w:rsid w:val="00320817"/>
    <w:rsid w:val="00320882"/>
    <w:rsid w:val="00320CA5"/>
    <w:rsid w:val="0032145E"/>
    <w:rsid w:val="00321842"/>
    <w:rsid w:val="00321953"/>
    <w:rsid w:val="003221DB"/>
    <w:rsid w:val="00322999"/>
    <w:rsid w:val="00322A72"/>
    <w:rsid w:val="00322DFA"/>
    <w:rsid w:val="00322FD2"/>
    <w:rsid w:val="003236E7"/>
    <w:rsid w:val="0032436A"/>
    <w:rsid w:val="003248EB"/>
    <w:rsid w:val="0032495B"/>
    <w:rsid w:val="00324D9B"/>
    <w:rsid w:val="00324E1E"/>
    <w:rsid w:val="00325AAF"/>
    <w:rsid w:val="003260E1"/>
    <w:rsid w:val="003264F6"/>
    <w:rsid w:val="00326963"/>
    <w:rsid w:val="00326B99"/>
    <w:rsid w:val="00326C80"/>
    <w:rsid w:val="00326D12"/>
    <w:rsid w:val="00326DB7"/>
    <w:rsid w:val="00326DF9"/>
    <w:rsid w:val="00327150"/>
    <w:rsid w:val="003275D2"/>
    <w:rsid w:val="00327A8A"/>
    <w:rsid w:val="00327CA5"/>
    <w:rsid w:val="00327D82"/>
    <w:rsid w:val="00327DA9"/>
    <w:rsid w:val="00327EC1"/>
    <w:rsid w:val="00330299"/>
    <w:rsid w:val="00330547"/>
    <w:rsid w:val="003308D3"/>
    <w:rsid w:val="003308F0"/>
    <w:rsid w:val="00330AFA"/>
    <w:rsid w:val="00330D18"/>
    <w:rsid w:val="00330F6B"/>
    <w:rsid w:val="00331017"/>
    <w:rsid w:val="003314DE"/>
    <w:rsid w:val="003315B6"/>
    <w:rsid w:val="003317CE"/>
    <w:rsid w:val="00331D14"/>
    <w:rsid w:val="00331DB5"/>
    <w:rsid w:val="00332090"/>
    <w:rsid w:val="0033231A"/>
    <w:rsid w:val="00332868"/>
    <w:rsid w:val="00333266"/>
    <w:rsid w:val="003333DD"/>
    <w:rsid w:val="003335DC"/>
    <w:rsid w:val="00334293"/>
    <w:rsid w:val="00334324"/>
    <w:rsid w:val="00334455"/>
    <w:rsid w:val="00334476"/>
    <w:rsid w:val="003349B4"/>
    <w:rsid w:val="00335016"/>
    <w:rsid w:val="0033526B"/>
    <w:rsid w:val="00335527"/>
    <w:rsid w:val="0033553E"/>
    <w:rsid w:val="00335562"/>
    <w:rsid w:val="003355B2"/>
    <w:rsid w:val="00335A60"/>
    <w:rsid w:val="00335A98"/>
    <w:rsid w:val="00335DCF"/>
    <w:rsid w:val="00335FBA"/>
    <w:rsid w:val="0033602B"/>
    <w:rsid w:val="003361A9"/>
    <w:rsid w:val="003361E8"/>
    <w:rsid w:val="003364C6"/>
    <w:rsid w:val="0033771A"/>
    <w:rsid w:val="00337807"/>
    <w:rsid w:val="00337823"/>
    <w:rsid w:val="00337969"/>
    <w:rsid w:val="00337FD9"/>
    <w:rsid w:val="00340158"/>
    <w:rsid w:val="0034057D"/>
    <w:rsid w:val="00340A7C"/>
    <w:rsid w:val="00340BF9"/>
    <w:rsid w:val="00341000"/>
    <w:rsid w:val="003413B7"/>
    <w:rsid w:val="00341836"/>
    <w:rsid w:val="00341A93"/>
    <w:rsid w:val="00341C67"/>
    <w:rsid w:val="00341E46"/>
    <w:rsid w:val="00342303"/>
    <w:rsid w:val="0034264D"/>
    <w:rsid w:val="0034298E"/>
    <w:rsid w:val="00342B8D"/>
    <w:rsid w:val="00342CC7"/>
    <w:rsid w:val="00342E67"/>
    <w:rsid w:val="003434AA"/>
    <w:rsid w:val="00343DE1"/>
    <w:rsid w:val="003442EC"/>
    <w:rsid w:val="00344465"/>
    <w:rsid w:val="00344A3D"/>
    <w:rsid w:val="00344A41"/>
    <w:rsid w:val="00344CDE"/>
    <w:rsid w:val="00345290"/>
    <w:rsid w:val="003456F6"/>
    <w:rsid w:val="0034587D"/>
    <w:rsid w:val="003458BA"/>
    <w:rsid w:val="00345C15"/>
    <w:rsid w:val="00345C24"/>
    <w:rsid w:val="00345C3F"/>
    <w:rsid w:val="00345E2D"/>
    <w:rsid w:val="00345F76"/>
    <w:rsid w:val="00346116"/>
    <w:rsid w:val="00346271"/>
    <w:rsid w:val="00346276"/>
    <w:rsid w:val="00346AE5"/>
    <w:rsid w:val="00346B30"/>
    <w:rsid w:val="00347004"/>
    <w:rsid w:val="00347572"/>
    <w:rsid w:val="003478EC"/>
    <w:rsid w:val="00347BA1"/>
    <w:rsid w:val="00347F2A"/>
    <w:rsid w:val="00347FCB"/>
    <w:rsid w:val="00350002"/>
    <w:rsid w:val="003505DF"/>
    <w:rsid w:val="00350F68"/>
    <w:rsid w:val="0035121C"/>
    <w:rsid w:val="003515B5"/>
    <w:rsid w:val="003515EB"/>
    <w:rsid w:val="003517E8"/>
    <w:rsid w:val="003519AB"/>
    <w:rsid w:val="00351B00"/>
    <w:rsid w:val="00351EAD"/>
    <w:rsid w:val="00352117"/>
    <w:rsid w:val="0035247F"/>
    <w:rsid w:val="00352A01"/>
    <w:rsid w:val="00352BCC"/>
    <w:rsid w:val="00352BD5"/>
    <w:rsid w:val="00352EE8"/>
    <w:rsid w:val="0035302D"/>
    <w:rsid w:val="0035361C"/>
    <w:rsid w:val="00353F75"/>
    <w:rsid w:val="0035406D"/>
    <w:rsid w:val="003541C5"/>
    <w:rsid w:val="00354F55"/>
    <w:rsid w:val="00354F78"/>
    <w:rsid w:val="003553A4"/>
    <w:rsid w:val="00355923"/>
    <w:rsid w:val="00355A4B"/>
    <w:rsid w:val="00355CD5"/>
    <w:rsid w:val="00356151"/>
    <w:rsid w:val="00356573"/>
    <w:rsid w:val="00356812"/>
    <w:rsid w:val="00356EF0"/>
    <w:rsid w:val="0035705A"/>
    <w:rsid w:val="00357319"/>
    <w:rsid w:val="0035735D"/>
    <w:rsid w:val="00357B4A"/>
    <w:rsid w:val="00360774"/>
    <w:rsid w:val="00361149"/>
    <w:rsid w:val="00361332"/>
    <w:rsid w:val="00361416"/>
    <w:rsid w:val="003619E3"/>
    <w:rsid w:val="00362A05"/>
    <w:rsid w:val="00362AAF"/>
    <w:rsid w:val="00362E7A"/>
    <w:rsid w:val="003632E8"/>
    <w:rsid w:val="003634EC"/>
    <w:rsid w:val="00363805"/>
    <w:rsid w:val="00363B11"/>
    <w:rsid w:val="00363B61"/>
    <w:rsid w:val="00364130"/>
    <w:rsid w:val="00364163"/>
    <w:rsid w:val="003648D1"/>
    <w:rsid w:val="00364A50"/>
    <w:rsid w:val="00364AEB"/>
    <w:rsid w:val="00364B63"/>
    <w:rsid w:val="00364BA7"/>
    <w:rsid w:val="00364C4C"/>
    <w:rsid w:val="00364E4B"/>
    <w:rsid w:val="003657F1"/>
    <w:rsid w:val="00365898"/>
    <w:rsid w:val="00365E13"/>
    <w:rsid w:val="00365EF6"/>
    <w:rsid w:val="0036611C"/>
    <w:rsid w:val="0036646F"/>
    <w:rsid w:val="00366A4B"/>
    <w:rsid w:val="00366E97"/>
    <w:rsid w:val="003670BE"/>
    <w:rsid w:val="00367431"/>
    <w:rsid w:val="003677B0"/>
    <w:rsid w:val="003677D2"/>
    <w:rsid w:val="00367CF2"/>
    <w:rsid w:val="00367D64"/>
    <w:rsid w:val="00367D8D"/>
    <w:rsid w:val="00370E75"/>
    <w:rsid w:val="0037116C"/>
    <w:rsid w:val="0037117E"/>
    <w:rsid w:val="003712AF"/>
    <w:rsid w:val="003712EF"/>
    <w:rsid w:val="003717E6"/>
    <w:rsid w:val="00371DEC"/>
    <w:rsid w:val="003720A5"/>
    <w:rsid w:val="00372156"/>
    <w:rsid w:val="0037263C"/>
    <w:rsid w:val="0037265C"/>
    <w:rsid w:val="00372715"/>
    <w:rsid w:val="003728A2"/>
    <w:rsid w:val="00372B21"/>
    <w:rsid w:val="00372F12"/>
    <w:rsid w:val="00373851"/>
    <w:rsid w:val="003739B6"/>
    <w:rsid w:val="00373AB9"/>
    <w:rsid w:val="00373AC6"/>
    <w:rsid w:val="00373C3A"/>
    <w:rsid w:val="00373CD5"/>
    <w:rsid w:val="00374234"/>
    <w:rsid w:val="0037484C"/>
    <w:rsid w:val="003749EB"/>
    <w:rsid w:val="00374A03"/>
    <w:rsid w:val="00374AC1"/>
    <w:rsid w:val="00374CCC"/>
    <w:rsid w:val="00374D89"/>
    <w:rsid w:val="003750D7"/>
    <w:rsid w:val="00375412"/>
    <w:rsid w:val="00375419"/>
    <w:rsid w:val="003759DB"/>
    <w:rsid w:val="00376012"/>
    <w:rsid w:val="00376497"/>
    <w:rsid w:val="003766E1"/>
    <w:rsid w:val="00376C0F"/>
    <w:rsid w:val="0037711A"/>
    <w:rsid w:val="0037727C"/>
    <w:rsid w:val="003777EA"/>
    <w:rsid w:val="00377A55"/>
    <w:rsid w:val="00377B03"/>
    <w:rsid w:val="00377D73"/>
    <w:rsid w:val="003802DC"/>
    <w:rsid w:val="00380326"/>
    <w:rsid w:val="003809AF"/>
    <w:rsid w:val="00380B55"/>
    <w:rsid w:val="00380C05"/>
    <w:rsid w:val="00380D27"/>
    <w:rsid w:val="00380DFF"/>
    <w:rsid w:val="003812DC"/>
    <w:rsid w:val="00381537"/>
    <w:rsid w:val="0038160C"/>
    <w:rsid w:val="0038183E"/>
    <w:rsid w:val="00381EDA"/>
    <w:rsid w:val="003820A5"/>
    <w:rsid w:val="00382836"/>
    <w:rsid w:val="00382DC9"/>
    <w:rsid w:val="003836C3"/>
    <w:rsid w:val="003837FC"/>
    <w:rsid w:val="00383BEB"/>
    <w:rsid w:val="00383C45"/>
    <w:rsid w:val="00383D83"/>
    <w:rsid w:val="00384558"/>
    <w:rsid w:val="00384684"/>
    <w:rsid w:val="0038484B"/>
    <w:rsid w:val="003848DC"/>
    <w:rsid w:val="00384999"/>
    <w:rsid w:val="00384BF9"/>
    <w:rsid w:val="00384D6A"/>
    <w:rsid w:val="00384E9B"/>
    <w:rsid w:val="0038535B"/>
    <w:rsid w:val="003860B6"/>
    <w:rsid w:val="00386280"/>
    <w:rsid w:val="00386444"/>
    <w:rsid w:val="0038671F"/>
    <w:rsid w:val="00386D38"/>
    <w:rsid w:val="0038718C"/>
    <w:rsid w:val="003871F1"/>
    <w:rsid w:val="00387211"/>
    <w:rsid w:val="0038765C"/>
    <w:rsid w:val="003878F1"/>
    <w:rsid w:val="00387A88"/>
    <w:rsid w:val="003903FD"/>
    <w:rsid w:val="00390DC2"/>
    <w:rsid w:val="00390E8F"/>
    <w:rsid w:val="00391A34"/>
    <w:rsid w:val="00391D9B"/>
    <w:rsid w:val="003922A9"/>
    <w:rsid w:val="00392451"/>
    <w:rsid w:val="003926B7"/>
    <w:rsid w:val="00392984"/>
    <w:rsid w:val="00392A1B"/>
    <w:rsid w:val="00392BBF"/>
    <w:rsid w:val="0039318C"/>
    <w:rsid w:val="003933C7"/>
    <w:rsid w:val="003934D2"/>
    <w:rsid w:val="0039355E"/>
    <w:rsid w:val="00393742"/>
    <w:rsid w:val="0039397D"/>
    <w:rsid w:val="00393EC4"/>
    <w:rsid w:val="00394C21"/>
    <w:rsid w:val="00394E2E"/>
    <w:rsid w:val="0039500C"/>
    <w:rsid w:val="00395116"/>
    <w:rsid w:val="003955F0"/>
    <w:rsid w:val="003955F1"/>
    <w:rsid w:val="00395709"/>
    <w:rsid w:val="00395719"/>
    <w:rsid w:val="0039577B"/>
    <w:rsid w:val="00395849"/>
    <w:rsid w:val="00395C30"/>
    <w:rsid w:val="00395E8B"/>
    <w:rsid w:val="003961AB"/>
    <w:rsid w:val="0039647D"/>
    <w:rsid w:val="00396538"/>
    <w:rsid w:val="00396740"/>
    <w:rsid w:val="00396D99"/>
    <w:rsid w:val="0039718E"/>
    <w:rsid w:val="00397904"/>
    <w:rsid w:val="00397989"/>
    <w:rsid w:val="00397C25"/>
    <w:rsid w:val="00397C8D"/>
    <w:rsid w:val="00397DCD"/>
    <w:rsid w:val="00397E56"/>
    <w:rsid w:val="003A0D3A"/>
    <w:rsid w:val="003A14B1"/>
    <w:rsid w:val="003A1BF8"/>
    <w:rsid w:val="003A1C88"/>
    <w:rsid w:val="003A1E3C"/>
    <w:rsid w:val="003A1EF4"/>
    <w:rsid w:val="003A202C"/>
    <w:rsid w:val="003A2185"/>
    <w:rsid w:val="003A2520"/>
    <w:rsid w:val="003A2774"/>
    <w:rsid w:val="003A2BB1"/>
    <w:rsid w:val="003A2CE9"/>
    <w:rsid w:val="003A2DBA"/>
    <w:rsid w:val="003A30A1"/>
    <w:rsid w:val="003A3994"/>
    <w:rsid w:val="003A3D07"/>
    <w:rsid w:val="003A3DB7"/>
    <w:rsid w:val="003A48C2"/>
    <w:rsid w:val="003A49B5"/>
    <w:rsid w:val="003A4A29"/>
    <w:rsid w:val="003A4D10"/>
    <w:rsid w:val="003A4D6C"/>
    <w:rsid w:val="003A4DCF"/>
    <w:rsid w:val="003A5378"/>
    <w:rsid w:val="003A585E"/>
    <w:rsid w:val="003A5864"/>
    <w:rsid w:val="003A5C75"/>
    <w:rsid w:val="003A5D0B"/>
    <w:rsid w:val="003A620B"/>
    <w:rsid w:val="003A6757"/>
    <w:rsid w:val="003A689D"/>
    <w:rsid w:val="003A6F8A"/>
    <w:rsid w:val="003A725F"/>
    <w:rsid w:val="003A7B5B"/>
    <w:rsid w:val="003B014A"/>
    <w:rsid w:val="003B019A"/>
    <w:rsid w:val="003B02A1"/>
    <w:rsid w:val="003B048F"/>
    <w:rsid w:val="003B0D23"/>
    <w:rsid w:val="003B0EC8"/>
    <w:rsid w:val="003B13ED"/>
    <w:rsid w:val="003B18AF"/>
    <w:rsid w:val="003B289E"/>
    <w:rsid w:val="003B3B7E"/>
    <w:rsid w:val="003B3F9A"/>
    <w:rsid w:val="003B40B3"/>
    <w:rsid w:val="003B50BD"/>
    <w:rsid w:val="003B531E"/>
    <w:rsid w:val="003B5631"/>
    <w:rsid w:val="003B564B"/>
    <w:rsid w:val="003B5A30"/>
    <w:rsid w:val="003B5B55"/>
    <w:rsid w:val="003B5C2F"/>
    <w:rsid w:val="003B665D"/>
    <w:rsid w:val="003B6A60"/>
    <w:rsid w:val="003B6C1F"/>
    <w:rsid w:val="003B6E6E"/>
    <w:rsid w:val="003B7360"/>
    <w:rsid w:val="003B73C5"/>
    <w:rsid w:val="003B7653"/>
    <w:rsid w:val="003B77EA"/>
    <w:rsid w:val="003B7835"/>
    <w:rsid w:val="003B7C82"/>
    <w:rsid w:val="003B7D52"/>
    <w:rsid w:val="003C01FB"/>
    <w:rsid w:val="003C0632"/>
    <w:rsid w:val="003C0B92"/>
    <w:rsid w:val="003C0BB2"/>
    <w:rsid w:val="003C1064"/>
    <w:rsid w:val="003C12A7"/>
    <w:rsid w:val="003C1582"/>
    <w:rsid w:val="003C166F"/>
    <w:rsid w:val="003C1879"/>
    <w:rsid w:val="003C1BC5"/>
    <w:rsid w:val="003C1C61"/>
    <w:rsid w:val="003C2C85"/>
    <w:rsid w:val="003C2E33"/>
    <w:rsid w:val="003C2EAC"/>
    <w:rsid w:val="003C3183"/>
    <w:rsid w:val="003C322E"/>
    <w:rsid w:val="003C3251"/>
    <w:rsid w:val="003C3799"/>
    <w:rsid w:val="003C3AEF"/>
    <w:rsid w:val="003C48DD"/>
    <w:rsid w:val="003C48E9"/>
    <w:rsid w:val="003C5267"/>
    <w:rsid w:val="003C5574"/>
    <w:rsid w:val="003C5765"/>
    <w:rsid w:val="003C5DFC"/>
    <w:rsid w:val="003C5EAC"/>
    <w:rsid w:val="003C60B9"/>
    <w:rsid w:val="003C61B5"/>
    <w:rsid w:val="003C6328"/>
    <w:rsid w:val="003C670A"/>
    <w:rsid w:val="003C709D"/>
    <w:rsid w:val="003C718E"/>
    <w:rsid w:val="003C761B"/>
    <w:rsid w:val="003C7831"/>
    <w:rsid w:val="003C7910"/>
    <w:rsid w:val="003C7C3A"/>
    <w:rsid w:val="003D009C"/>
    <w:rsid w:val="003D01AD"/>
    <w:rsid w:val="003D08D4"/>
    <w:rsid w:val="003D0A7E"/>
    <w:rsid w:val="003D0C02"/>
    <w:rsid w:val="003D14E5"/>
    <w:rsid w:val="003D1F39"/>
    <w:rsid w:val="003D2046"/>
    <w:rsid w:val="003D21C5"/>
    <w:rsid w:val="003D24AD"/>
    <w:rsid w:val="003D2647"/>
    <w:rsid w:val="003D26CC"/>
    <w:rsid w:val="003D2A5C"/>
    <w:rsid w:val="003D2E13"/>
    <w:rsid w:val="003D3000"/>
    <w:rsid w:val="003D3862"/>
    <w:rsid w:val="003D39DF"/>
    <w:rsid w:val="003D3A48"/>
    <w:rsid w:val="003D429B"/>
    <w:rsid w:val="003D4DA7"/>
    <w:rsid w:val="003D500E"/>
    <w:rsid w:val="003D51BE"/>
    <w:rsid w:val="003D551E"/>
    <w:rsid w:val="003D58F0"/>
    <w:rsid w:val="003D5A60"/>
    <w:rsid w:val="003D5AD5"/>
    <w:rsid w:val="003D5C1B"/>
    <w:rsid w:val="003D6969"/>
    <w:rsid w:val="003D6D1C"/>
    <w:rsid w:val="003D75CA"/>
    <w:rsid w:val="003D7BA3"/>
    <w:rsid w:val="003D7BB8"/>
    <w:rsid w:val="003E035F"/>
    <w:rsid w:val="003E066C"/>
    <w:rsid w:val="003E0AFA"/>
    <w:rsid w:val="003E140F"/>
    <w:rsid w:val="003E1481"/>
    <w:rsid w:val="003E17DF"/>
    <w:rsid w:val="003E1E9A"/>
    <w:rsid w:val="003E201E"/>
    <w:rsid w:val="003E20E0"/>
    <w:rsid w:val="003E24A0"/>
    <w:rsid w:val="003E25FF"/>
    <w:rsid w:val="003E2722"/>
    <w:rsid w:val="003E2915"/>
    <w:rsid w:val="003E2CC7"/>
    <w:rsid w:val="003E2F5A"/>
    <w:rsid w:val="003E34F2"/>
    <w:rsid w:val="003E36FB"/>
    <w:rsid w:val="003E3AF2"/>
    <w:rsid w:val="003E3E81"/>
    <w:rsid w:val="003E3F3E"/>
    <w:rsid w:val="003E410E"/>
    <w:rsid w:val="003E4B54"/>
    <w:rsid w:val="003E4D46"/>
    <w:rsid w:val="003E4F90"/>
    <w:rsid w:val="003E523B"/>
    <w:rsid w:val="003E5AA5"/>
    <w:rsid w:val="003E5E47"/>
    <w:rsid w:val="003E6340"/>
    <w:rsid w:val="003E685D"/>
    <w:rsid w:val="003E68A7"/>
    <w:rsid w:val="003E69A9"/>
    <w:rsid w:val="003E7441"/>
    <w:rsid w:val="003E7465"/>
    <w:rsid w:val="003E7AC4"/>
    <w:rsid w:val="003E7C90"/>
    <w:rsid w:val="003E7FA9"/>
    <w:rsid w:val="003E7FD9"/>
    <w:rsid w:val="003F0199"/>
    <w:rsid w:val="003F0262"/>
    <w:rsid w:val="003F0321"/>
    <w:rsid w:val="003F0466"/>
    <w:rsid w:val="003F0A1A"/>
    <w:rsid w:val="003F1299"/>
    <w:rsid w:val="003F1367"/>
    <w:rsid w:val="003F13B6"/>
    <w:rsid w:val="003F1478"/>
    <w:rsid w:val="003F1B3F"/>
    <w:rsid w:val="003F1C16"/>
    <w:rsid w:val="003F2025"/>
    <w:rsid w:val="003F2438"/>
    <w:rsid w:val="003F2CA4"/>
    <w:rsid w:val="003F2D3B"/>
    <w:rsid w:val="003F2F6F"/>
    <w:rsid w:val="003F3404"/>
    <w:rsid w:val="003F3813"/>
    <w:rsid w:val="003F44CB"/>
    <w:rsid w:val="003F44D2"/>
    <w:rsid w:val="003F4C51"/>
    <w:rsid w:val="003F4DDC"/>
    <w:rsid w:val="003F4EE0"/>
    <w:rsid w:val="003F5077"/>
    <w:rsid w:val="003F5164"/>
    <w:rsid w:val="003F522B"/>
    <w:rsid w:val="003F5F34"/>
    <w:rsid w:val="003F65AE"/>
    <w:rsid w:val="003F67A3"/>
    <w:rsid w:val="003F6AD0"/>
    <w:rsid w:val="003F6E3D"/>
    <w:rsid w:val="003F6F5C"/>
    <w:rsid w:val="003F7202"/>
    <w:rsid w:val="003F75AD"/>
    <w:rsid w:val="003F775E"/>
    <w:rsid w:val="003F7A36"/>
    <w:rsid w:val="003F7AE5"/>
    <w:rsid w:val="003F7CD3"/>
    <w:rsid w:val="003F7D35"/>
    <w:rsid w:val="003F7F54"/>
    <w:rsid w:val="00400358"/>
    <w:rsid w:val="004004B3"/>
    <w:rsid w:val="00400E95"/>
    <w:rsid w:val="00400F1A"/>
    <w:rsid w:val="00400FC1"/>
    <w:rsid w:val="00401262"/>
    <w:rsid w:val="00401CBF"/>
    <w:rsid w:val="00401E3C"/>
    <w:rsid w:val="00402363"/>
    <w:rsid w:val="0040297B"/>
    <w:rsid w:val="00402C74"/>
    <w:rsid w:val="00402D8E"/>
    <w:rsid w:val="004030C5"/>
    <w:rsid w:val="004034A5"/>
    <w:rsid w:val="004035C7"/>
    <w:rsid w:val="00403AA0"/>
    <w:rsid w:val="00403EB3"/>
    <w:rsid w:val="0040405F"/>
    <w:rsid w:val="00404179"/>
    <w:rsid w:val="00404196"/>
    <w:rsid w:val="004041A0"/>
    <w:rsid w:val="0040497A"/>
    <w:rsid w:val="00404ABB"/>
    <w:rsid w:val="00404FA1"/>
    <w:rsid w:val="004050DE"/>
    <w:rsid w:val="004058F5"/>
    <w:rsid w:val="00405B35"/>
    <w:rsid w:val="00405E5B"/>
    <w:rsid w:val="00405EB4"/>
    <w:rsid w:val="004062EF"/>
    <w:rsid w:val="00406C73"/>
    <w:rsid w:val="00406EC7"/>
    <w:rsid w:val="0040754A"/>
    <w:rsid w:val="00407A83"/>
    <w:rsid w:val="0041000A"/>
    <w:rsid w:val="0041056D"/>
    <w:rsid w:val="004106A2"/>
    <w:rsid w:val="00410930"/>
    <w:rsid w:val="00410AD4"/>
    <w:rsid w:val="00410AE7"/>
    <w:rsid w:val="00410B43"/>
    <w:rsid w:val="00410C42"/>
    <w:rsid w:val="004111B8"/>
    <w:rsid w:val="004113EC"/>
    <w:rsid w:val="00411404"/>
    <w:rsid w:val="004116CB"/>
    <w:rsid w:val="00411880"/>
    <w:rsid w:val="0041278D"/>
    <w:rsid w:val="00412924"/>
    <w:rsid w:val="00412CB3"/>
    <w:rsid w:val="00413249"/>
    <w:rsid w:val="00413279"/>
    <w:rsid w:val="004133F8"/>
    <w:rsid w:val="00413472"/>
    <w:rsid w:val="00413712"/>
    <w:rsid w:val="00413AC3"/>
    <w:rsid w:val="00413FD8"/>
    <w:rsid w:val="004141AB"/>
    <w:rsid w:val="00414797"/>
    <w:rsid w:val="00415374"/>
    <w:rsid w:val="004154BB"/>
    <w:rsid w:val="00415546"/>
    <w:rsid w:val="004159B5"/>
    <w:rsid w:val="004169B3"/>
    <w:rsid w:val="00416A0A"/>
    <w:rsid w:val="00417531"/>
    <w:rsid w:val="0041785C"/>
    <w:rsid w:val="004179F5"/>
    <w:rsid w:val="00417B4A"/>
    <w:rsid w:val="00417E49"/>
    <w:rsid w:val="0042010C"/>
    <w:rsid w:val="0042012D"/>
    <w:rsid w:val="0042029C"/>
    <w:rsid w:val="00420469"/>
    <w:rsid w:val="00420740"/>
    <w:rsid w:val="00420FAF"/>
    <w:rsid w:val="00421A76"/>
    <w:rsid w:val="00421E65"/>
    <w:rsid w:val="00421EC6"/>
    <w:rsid w:val="00422113"/>
    <w:rsid w:val="0042215C"/>
    <w:rsid w:val="00422424"/>
    <w:rsid w:val="00422C20"/>
    <w:rsid w:val="004231A1"/>
    <w:rsid w:val="004234E9"/>
    <w:rsid w:val="00423C6B"/>
    <w:rsid w:val="00424205"/>
    <w:rsid w:val="0042422D"/>
    <w:rsid w:val="0042454E"/>
    <w:rsid w:val="004247AB"/>
    <w:rsid w:val="00424EF1"/>
    <w:rsid w:val="00425449"/>
    <w:rsid w:val="00425548"/>
    <w:rsid w:val="00425585"/>
    <w:rsid w:val="00425B44"/>
    <w:rsid w:val="00426006"/>
    <w:rsid w:val="00426012"/>
    <w:rsid w:val="00426483"/>
    <w:rsid w:val="00426911"/>
    <w:rsid w:val="00426A5C"/>
    <w:rsid w:val="00426EFB"/>
    <w:rsid w:val="0043012A"/>
    <w:rsid w:val="00430278"/>
    <w:rsid w:val="00430835"/>
    <w:rsid w:val="00430907"/>
    <w:rsid w:val="00430CD7"/>
    <w:rsid w:val="00431051"/>
    <w:rsid w:val="0043146A"/>
    <w:rsid w:val="0043158F"/>
    <w:rsid w:val="00431CA7"/>
    <w:rsid w:val="00431D54"/>
    <w:rsid w:val="00432068"/>
    <w:rsid w:val="00432099"/>
    <w:rsid w:val="0043224C"/>
    <w:rsid w:val="004325BE"/>
    <w:rsid w:val="0043270B"/>
    <w:rsid w:val="00432FD4"/>
    <w:rsid w:val="004333D0"/>
    <w:rsid w:val="004333D8"/>
    <w:rsid w:val="0043361C"/>
    <w:rsid w:val="00433C6D"/>
    <w:rsid w:val="00433D27"/>
    <w:rsid w:val="00433D7B"/>
    <w:rsid w:val="00433EA9"/>
    <w:rsid w:val="00434211"/>
    <w:rsid w:val="00434E3D"/>
    <w:rsid w:val="0043537E"/>
    <w:rsid w:val="0043556D"/>
    <w:rsid w:val="0043638B"/>
    <w:rsid w:val="0043639F"/>
    <w:rsid w:val="00436487"/>
    <w:rsid w:val="00436707"/>
    <w:rsid w:val="00436748"/>
    <w:rsid w:val="00436BCE"/>
    <w:rsid w:val="0043750F"/>
    <w:rsid w:val="00437579"/>
    <w:rsid w:val="0043773C"/>
    <w:rsid w:val="00437C41"/>
    <w:rsid w:val="004401B2"/>
    <w:rsid w:val="004402CE"/>
    <w:rsid w:val="00440423"/>
    <w:rsid w:val="00440560"/>
    <w:rsid w:val="00440D56"/>
    <w:rsid w:val="00440D8B"/>
    <w:rsid w:val="00440FA6"/>
    <w:rsid w:val="00441477"/>
    <w:rsid w:val="00441779"/>
    <w:rsid w:val="00441937"/>
    <w:rsid w:val="004419B6"/>
    <w:rsid w:val="00441CFA"/>
    <w:rsid w:val="00441E3E"/>
    <w:rsid w:val="00441F1D"/>
    <w:rsid w:val="004421A1"/>
    <w:rsid w:val="00442902"/>
    <w:rsid w:val="00442959"/>
    <w:rsid w:val="00442A59"/>
    <w:rsid w:val="00442ED7"/>
    <w:rsid w:val="004434AB"/>
    <w:rsid w:val="00443733"/>
    <w:rsid w:val="004438E1"/>
    <w:rsid w:val="00443E46"/>
    <w:rsid w:val="004441E7"/>
    <w:rsid w:val="0044479D"/>
    <w:rsid w:val="00444CEA"/>
    <w:rsid w:val="00444E69"/>
    <w:rsid w:val="0044511E"/>
    <w:rsid w:val="004455E0"/>
    <w:rsid w:val="00445AC6"/>
    <w:rsid w:val="00446262"/>
    <w:rsid w:val="004464F8"/>
    <w:rsid w:val="0044657A"/>
    <w:rsid w:val="0044664C"/>
    <w:rsid w:val="00446715"/>
    <w:rsid w:val="004467A2"/>
    <w:rsid w:val="0044689F"/>
    <w:rsid w:val="00446907"/>
    <w:rsid w:val="00446EA8"/>
    <w:rsid w:val="00446EB4"/>
    <w:rsid w:val="00447453"/>
    <w:rsid w:val="004476F8"/>
    <w:rsid w:val="00447935"/>
    <w:rsid w:val="0044793E"/>
    <w:rsid w:val="00447D99"/>
    <w:rsid w:val="00450554"/>
    <w:rsid w:val="004506EA"/>
    <w:rsid w:val="004508A0"/>
    <w:rsid w:val="00450907"/>
    <w:rsid w:val="00451829"/>
    <w:rsid w:val="004518E6"/>
    <w:rsid w:val="00451B48"/>
    <w:rsid w:val="00451C11"/>
    <w:rsid w:val="00451CA9"/>
    <w:rsid w:val="00451E7B"/>
    <w:rsid w:val="00451FBC"/>
    <w:rsid w:val="0045248A"/>
    <w:rsid w:val="00452AA5"/>
    <w:rsid w:val="00452C8E"/>
    <w:rsid w:val="00453341"/>
    <w:rsid w:val="004535DF"/>
    <w:rsid w:val="004536A1"/>
    <w:rsid w:val="004539E2"/>
    <w:rsid w:val="00453CD1"/>
    <w:rsid w:val="00453D3A"/>
    <w:rsid w:val="00453E27"/>
    <w:rsid w:val="00453F76"/>
    <w:rsid w:val="00455054"/>
    <w:rsid w:val="00455107"/>
    <w:rsid w:val="00455311"/>
    <w:rsid w:val="00455474"/>
    <w:rsid w:val="00455538"/>
    <w:rsid w:val="00455DB8"/>
    <w:rsid w:val="00455F9E"/>
    <w:rsid w:val="0045697F"/>
    <w:rsid w:val="00456CB9"/>
    <w:rsid w:val="00457438"/>
    <w:rsid w:val="004574A7"/>
    <w:rsid w:val="004601ED"/>
    <w:rsid w:val="004601FF"/>
    <w:rsid w:val="0046077C"/>
    <w:rsid w:val="004607BB"/>
    <w:rsid w:val="00460CD2"/>
    <w:rsid w:val="004616BF"/>
    <w:rsid w:val="004619F8"/>
    <w:rsid w:val="00461A51"/>
    <w:rsid w:val="00461ABC"/>
    <w:rsid w:val="00461CC4"/>
    <w:rsid w:val="00461FF3"/>
    <w:rsid w:val="004621F4"/>
    <w:rsid w:val="004622DA"/>
    <w:rsid w:val="004625C9"/>
    <w:rsid w:val="004628FF"/>
    <w:rsid w:val="004632E0"/>
    <w:rsid w:val="004637CF"/>
    <w:rsid w:val="0046413B"/>
    <w:rsid w:val="004641CD"/>
    <w:rsid w:val="0046468E"/>
    <w:rsid w:val="00464979"/>
    <w:rsid w:val="00464EDD"/>
    <w:rsid w:val="00465083"/>
    <w:rsid w:val="004651D4"/>
    <w:rsid w:val="004657F6"/>
    <w:rsid w:val="00465EEA"/>
    <w:rsid w:val="00465F46"/>
    <w:rsid w:val="00466252"/>
    <w:rsid w:val="004663E0"/>
    <w:rsid w:val="004663E9"/>
    <w:rsid w:val="00466770"/>
    <w:rsid w:val="00466EAB"/>
    <w:rsid w:val="004671B0"/>
    <w:rsid w:val="004678E7"/>
    <w:rsid w:val="0046794B"/>
    <w:rsid w:val="00467AB7"/>
    <w:rsid w:val="00467EBF"/>
    <w:rsid w:val="0047011D"/>
    <w:rsid w:val="004705CC"/>
    <w:rsid w:val="00470B4D"/>
    <w:rsid w:val="00470C15"/>
    <w:rsid w:val="00470CCE"/>
    <w:rsid w:val="00470D6D"/>
    <w:rsid w:val="0047186D"/>
    <w:rsid w:val="00471B03"/>
    <w:rsid w:val="00471DB5"/>
    <w:rsid w:val="004721D4"/>
    <w:rsid w:val="004721E8"/>
    <w:rsid w:val="0047223E"/>
    <w:rsid w:val="00473340"/>
    <w:rsid w:val="0047377B"/>
    <w:rsid w:val="004739DE"/>
    <w:rsid w:val="00473D58"/>
    <w:rsid w:val="00473DAD"/>
    <w:rsid w:val="00473E3E"/>
    <w:rsid w:val="00473FDD"/>
    <w:rsid w:val="004740CE"/>
    <w:rsid w:val="004740D6"/>
    <w:rsid w:val="00474272"/>
    <w:rsid w:val="00474552"/>
    <w:rsid w:val="0047460F"/>
    <w:rsid w:val="00474EED"/>
    <w:rsid w:val="00474F52"/>
    <w:rsid w:val="00474FA5"/>
    <w:rsid w:val="00475CF7"/>
    <w:rsid w:val="004760AF"/>
    <w:rsid w:val="00476865"/>
    <w:rsid w:val="00476E39"/>
    <w:rsid w:val="00477084"/>
    <w:rsid w:val="00477254"/>
    <w:rsid w:val="00477902"/>
    <w:rsid w:val="00477B37"/>
    <w:rsid w:val="00477E82"/>
    <w:rsid w:val="00480223"/>
    <w:rsid w:val="004802C8"/>
    <w:rsid w:val="00480377"/>
    <w:rsid w:val="0048059E"/>
    <w:rsid w:val="004806BF"/>
    <w:rsid w:val="004807AF"/>
    <w:rsid w:val="004808F9"/>
    <w:rsid w:val="00480905"/>
    <w:rsid w:val="00480ED8"/>
    <w:rsid w:val="0048102C"/>
    <w:rsid w:val="004812AA"/>
    <w:rsid w:val="00481532"/>
    <w:rsid w:val="00481D36"/>
    <w:rsid w:val="00481E51"/>
    <w:rsid w:val="00481F1F"/>
    <w:rsid w:val="0048226F"/>
    <w:rsid w:val="00482743"/>
    <w:rsid w:val="00482752"/>
    <w:rsid w:val="00482864"/>
    <w:rsid w:val="004835C5"/>
    <w:rsid w:val="00483666"/>
    <w:rsid w:val="00483A12"/>
    <w:rsid w:val="00483C43"/>
    <w:rsid w:val="00483D3A"/>
    <w:rsid w:val="0048473D"/>
    <w:rsid w:val="00484A6C"/>
    <w:rsid w:val="004851B1"/>
    <w:rsid w:val="00485300"/>
    <w:rsid w:val="004856DA"/>
    <w:rsid w:val="00485AC9"/>
    <w:rsid w:val="00485ADE"/>
    <w:rsid w:val="00485B12"/>
    <w:rsid w:val="00485D3C"/>
    <w:rsid w:val="004860D1"/>
    <w:rsid w:val="00486144"/>
    <w:rsid w:val="0048629E"/>
    <w:rsid w:val="00486393"/>
    <w:rsid w:val="00486462"/>
    <w:rsid w:val="00486812"/>
    <w:rsid w:val="00486879"/>
    <w:rsid w:val="00486AB0"/>
    <w:rsid w:val="00486BB7"/>
    <w:rsid w:val="00487030"/>
    <w:rsid w:val="0048714B"/>
    <w:rsid w:val="0048763D"/>
    <w:rsid w:val="00487BA8"/>
    <w:rsid w:val="00487C0E"/>
    <w:rsid w:val="00487D1C"/>
    <w:rsid w:val="00487FAD"/>
    <w:rsid w:val="00490838"/>
    <w:rsid w:val="00490C82"/>
    <w:rsid w:val="00491138"/>
    <w:rsid w:val="0049180C"/>
    <w:rsid w:val="00491FAD"/>
    <w:rsid w:val="0049220E"/>
    <w:rsid w:val="0049234F"/>
    <w:rsid w:val="00492666"/>
    <w:rsid w:val="00492716"/>
    <w:rsid w:val="0049289C"/>
    <w:rsid w:val="00492D0B"/>
    <w:rsid w:val="00493074"/>
    <w:rsid w:val="004931D5"/>
    <w:rsid w:val="0049341D"/>
    <w:rsid w:val="0049350A"/>
    <w:rsid w:val="004936D4"/>
    <w:rsid w:val="00493718"/>
    <w:rsid w:val="00493DFB"/>
    <w:rsid w:val="004940B1"/>
    <w:rsid w:val="00494151"/>
    <w:rsid w:val="0049419A"/>
    <w:rsid w:val="0049467D"/>
    <w:rsid w:val="004948CB"/>
    <w:rsid w:val="00494F97"/>
    <w:rsid w:val="004960C6"/>
    <w:rsid w:val="00496854"/>
    <w:rsid w:val="00496B0A"/>
    <w:rsid w:val="0049713B"/>
    <w:rsid w:val="00497230"/>
    <w:rsid w:val="004976A6"/>
    <w:rsid w:val="00497810"/>
    <w:rsid w:val="00497AA6"/>
    <w:rsid w:val="00497ACF"/>
    <w:rsid w:val="00497B85"/>
    <w:rsid w:val="00497BD6"/>
    <w:rsid w:val="00497E98"/>
    <w:rsid w:val="004A0488"/>
    <w:rsid w:val="004A0ACB"/>
    <w:rsid w:val="004A0EA4"/>
    <w:rsid w:val="004A11FC"/>
    <w:rsid w:val="004A1210"/>
    <w:rsid w:val="004A1AE3"/>
    <w:rsid w:val="004A2714"/>
    <w:rsid w:val="004A30B9"/>
    <w:rsid w:val="004A331D"/>
    <w:rsid w:val="004A34AF"/>
    <w:rsid w:val="004A35C0"/>
    <w:rsid w:val="004A3D57"/>
    <w:rsid w:val="004A4084"/>
    <w:rsid w:val="004A425D"/>
    <w:rsid w:val="004A4394"/>
    <w:rsid w:val="004A4848"/>
    <w:rsid w:val="004A4F15"/>
    <w:rsid w:val="004A50C3"/>
    <w:rsid w:val="004A548F"/>
    <w:rsid w:val="004A5664"/>
    <w:rsid w:val="004A5CAC"/>
    <w:rsid w:val="004A5F5B"/>
    <w:rsid w:val="004A6184"/>
    <w:rsid w:val="004A629E"/>
    <w:rsid w:val="004A691A"/>
    <w:rsid w:val="004A6E33"/>
    <w:rsid w:val="004A702B"/>
    <w:rsid w:val="004A72A7"/>
    <w:rsid w:val="004A7305"/>
    <w:rsid w:val="004A7AF5"/>
    <w:rsid w:val="004A7B9D"/>
    <w:rsid w:val="004A7D9E"/>
    <w:rsid w:val="004A7E77"/>
    <w:rsid w:val="004B00D4"/>
    <w:rsid w:val="004B01F8"/>
    <w:rsid w:val="004B0661"/>
    <w:rsid w:val="004B07AC"/>
    <w:rsid w:val="004B0926"/>
    <w:rsid w:val="004B0963"/>
    <w:rsid w:val="004B0A19"/>
    <w:rsid w:val="004B198E"/>
    <w:rsid w:val="004B19E7"/>
    <w:rsid w:val="004B20C3"/>
    <w:rsid w:val="004B2523"/>
    <w:rsid w:val="004B275F"/>
    <w:rsid w:val="004B279D"/>
    <w:rsid w:val="004B29F6"/>
    <w:rsid w:val="004B2B0A"/>
    <w:rsid w:val="004B2E9A"/>
    <w:rsid w:val="004B370D"/>
    <w:rsid w:val="004B3C50"/>
    <w:rsid w:val="004B3E2B"/>
    <w:rsid w:val="004B3F50"/>
    <w:rsid w:val="004B47B9"/>
    <w:rsid w:val="004B495B"/>
    <w:rsid w:val="004B4A94"/>
    <w:rsid w:val="004B4C9E"/>
    <w:rsid w:val="004B4D7D"/>
    <w:rsid w:val="004B5B67"/>
    <w:rsid w:val="004B5FCE"/>
    <w:rsid w:val="004B6A27"/>
    <w:rsid w:val="004B6F7D"/>
    <w:rsid w:val="004B70F1"/>
    <w:rsid w:val="004B7650"/>
    <w:rsid w:val="004B7BD3"/>
    <w:rsid w:val="004C056B"/>
    <w:rsid w:val="004C1153"/>
    <w:rsid w:val="004C11DD"/>
    <w:rsid w:val="004C12D0"/>
    <w:rsid w:val="004C1752"/>
    <w:rsid w:val="004C17E2"/>
    <w:rsid w:val="004C20BC"/>
    <w:rsid w:val="004C2169"/>
    <w:rsid w:val="004C243B"/>
    <w:rsid w:val="004C2D1D"/>
    <w:rsid w:val="004C2DBC"/>
    <w:rsid w:val="004C2E8E"/>
    <w:rsid w:val="004C2F2B"/>
    <w:rsid w:val="004C2F99"/>
    <w:rsid w:val="004C321A"/>
    <w:rsid w:val="004C3850"/>
    <w:rsid w:val="004C3B9E"/>
    <w:rsid w:val="004C4159"/>
    <w:rsid w:val="004C43D5"/>
    <w:rsid w:val="004C4411"/>
    <w:rsid w:val="004C4603"/>
    <w:rsid w:val="004C48A1"/>
    <w:rsid w:val="004C549C"/>
    <w:rsid w:val="004C565A"/>
    <w:rsid w:val="004C5B52"/>
    <w:rsid w:val="004C6060"/>
    <w:rsid w:val="004C617E"/>
    <w:rsid w:val="004C631A"/>
    <w:rsid w:val="004C63A2"/>
    <w:rsid w:val="004C736C"/>
    <w:rsid w:val="004D000C"/>
    <w:rsid w:val="004D0406"/>
    <w:rsid w:val="004D0693"/>
    <w:rsid w:val="004D0865"/>
    <w:rsid w:val="004D0BEF"/>
    <w:rsid w:val="004D104C"/>
    <w:rsid w:val="004D12AE"/>
    <w:rsid w:val="004D15DD"/>
    <w:rsid w:val="004D1722"/>
    <w:rsid w:val="004D17AB"/>
    <w:rsid w:val="004D1F5B"/>
    <w:rsid w:val="004D219D"/>
    <w:rsid w:val="004D3378"/>
    <w:rsid w:val="004D33FE"/>
    <w:rsid w:val="004D344F"/>
    <w:rsid w:val="004D372F"/>
    <w:rsid w:val="004D3B06"/>
    <w:rsid w:val="004D465F"/>
    <w:rsid w:val="004D47CC"/>
    <w:rsid w:val="004D48CC"/>
    <w:rsid w:val="004D4ED0"/>
    <w:rsid w:val="004D4FC1"/>
    <w:rsid w:val="004D5AF6"/>
    <w:rsid w:val="004D5C77"/>
    <w:rsid w:val="004D5DCB"/>
    <w:rsid w:val="004D62D0"/>
    <w:rsid w:val="004D62D8"/>
    <w:rsid w:val="004D69A9"/>
    <w:rsid w:val="004D6B09"/>
    <w:rsid w:val="004D6C94"/>
    <w:rsid w:val="004D6DFA"/>
    <w:rsid w:val="004D7017"/>
    <w:rsid w:val="004D74CB"/>
    <w:rsid w:val="004D78F6"/>
    <w:rsid w:val="004D7BF1"/>
    <w:rsid w:val="004D7F0D"/>
    <w:rsid w:val="004D7FAD"/>
    <w:rsid w:val="004E003E"/>
    <w:rsid w:val="004E05BB"/>
    <w:rsid w:val="004E0895"/>
    <w:rsid w:val="004E0937"/>
    <w:rsid w:val="004E10CD"/>
    <w:rsid w:val="004E123E"/>
    <w:rsid w:val="004E1A06"/>
    <w:rsid w:val="004E1E40"/>
    <w:rsid w:val="004E1EBF"/>
    <w:rsid w:val="004E1F16"/>
    <w:rsid w:val="004E2325"/>
    <w:rsid w:val="004E23AC"/>
    <w:rsid w:val="004E2984"/>
    <w:rsid w:val="004E2CE9"/>
    <w:rsid w:val="004E2E4C"/>
    <w:rsid w:val="004E3071"/>
    <w:rsid w:val="004E31A8"/>
    <w:rsid w:val="004E331A"/>
    <w:rsid w:val="004E39AB"/>
    <w:rsid w:val="004E3E7A"/>
    <w:rsid w:val="004E4968"/>
    <w:rsid w:val="004E4C31"/>
    <w:rsid w:val="004E4C68"/>
    <w:rsid w:val="004E4CD3"/>
    <w:rsid w:val="004E50B7"/>
    <w:rsid w:val="004E5C72"/>
    <w:rsid w:val="004E6396"/>
    <w:rsid w:val="004E6A88"/>
    <w:rsid w:val="004E6D95"/>
    <w:rsid w:val="004E6EAB"/>
    <w:rsid w:val="004E7925"/>
    <w:rsid w:val="004F0381"/>
    <w:rsid w:val="004F1075"/>
    <w:rsid w:val="004F127C"/>
    <w:rsid w:val="004F1672"/>
    <w:rsid w:val="004F18D9"/>
    <w:rsid w:val="004F2768"/>
    <w:rsid w:val="004F2BE7"/>
    <w:rsid w:val="004F2EAB"/>
    <w:rsid w:val="004F3032"/>
    <w:rsid w:val="004F3237"/>
    <w:rsid w:val="004F34AE"/>
    <w:rsid w:val="004F3A9E"/>
    <w:rsid w:val="004F3DA8"/>
    <w:rsid w:val="004F4258"/>
    <w:rsid w:val="004F4582"/>
    <w:rsid w:val="004F458C"/>
    <w:rsid w:val="004F45A2"/>
    <w:rsid w:val="004F4ECA"/>
    <w:rsid w:val="004F4F29"/>
    <w:rsid w:val="004F4FA4"/>
    <w:rsid w:val="004F5012"/>
    <w:rsid w:val="004F54F4"/>
    <w:rsid w:val="004F5679"/>
    <w:rsid w:val="004F5B65"/>
    <w:rsid w:val="004F6292"/>
    <w:rsid w:val="004F63C0"/>
    <w:rsid w:val="004F6906"/>
    <w:rsid w:val="004F69EA"/>
    <w:rsid w:val="004F6E44"/>
    <w:rsid w:val="004F717A"/>
    <w:rsid w:val="004F75EA"/>
    <w:rsid w:val="004F7A8C"/>
    <w:rsid w:val="004F7C80"/>
    <w:rsid w:val="004F7DF8"/>
    <w:rsid w:val="00500081"/>
    <w:rsid w:val="00500662"/>
    <w:rsid w:val="005009E3"/>
    <w:rsid w:val="00500FC7"/>
    <w:rsid w:val="00501035"/>
    <w:rsid w:val="00501053"/>
    <w:rsid w:val="0050117B"/>
    <w:rsid w:val="005018F6"/>
    <w:rsid w:val="005019E5"/>
    <w:rsid w:val="00502839"/>
    <w:rsid w:val="00503B1F"/>
    <w:rsid w:val="00503FD0"/>
    <w:rsid w:val="0050418B"/>
    <w:rsid w:val="00504530"/>
    <w:rsid w:val="00504915"/>
    <w:rsid w:val="005049B8"/>
    <w:rsid w:val="005049D6"/>
    <w:rsid w:val="00504B20"/>
    <w:rsid w:val="00504D9B"/>
    <w:rsid w:val="00505B2B"/>
    <w:rsid w:val="00505CA1"/>
    <w:rsid w:val="0050632B"/>
    <w:rsid w:val="00506501"/>
    <w:rsid w:val="005069DA"/>
    <w:rsid w:val="00506CD5"/>
    <w:rsid w:val="00506E99"/>
    <w:rsid w:val="005070F1"/>
    <w:rsid w:val="00507327"/>
    <w:rsid w:val="00507D8A"/>
    <w:rsid w:val="00510774"/>
    <w:rsid w:val="005108C5"/>
    <w:rsid w:val="00510E21"/>
    <w:rsid w:val="0051152C"/>
    <w:rsid w:val="00511882"/>
    <w:rsid w:val="00511CA3"/>
    <w:rsid w:val="00512157"/>
    <w:rsid w:val="00512F78"/>
    <w:rsid w:val="005130A4"/>
    <w:rsid w:val="00513178"/>
    <w:rsid w:val="00513581"/>
    <w:rsid w:val="0051381F"/>
    <w:rsid w:val="00513D28"/>
    <w:rsid w:val="0051458C"/>
    <w:rsid w:val="00514710"/>
    <w:rsid w:val="00514770"/>
    <w:rsid w:val="00514863"/>
    <w:rsid w:val="00514A86"/>
    <w:rsid w:val="00514ABA"/>
    <w:rsid w:val="005150DB"/>
    <w:rsid w:val="005155D1"/>
    <w:rsid w:val="00515859"/>
    <w:rsid w:val="00515A94"/>
    <w:rsid w:val="00516274"/>
    <w:rsid w:val="0051658B"/>
    <w:rsid w:val="00516728"/>
    <w:rsid w:val="005167FA"/>
    <w:rsid w:val="0051744B"/>
    <w:rsid w:val="005176AA"/>
    <w:rsid w:val="00517BA2"/>
    <w:rsid w:val="00517BC4"/>
    <w:rsid w:val="00517D34"/>
    <w:rsid w:val="00520664"/>
    <w:rsid w:val="00520B45"/>
    <w:rsid w:val="00520CBE"/>
    <w:rsid w:val="00520D55"/>
    <w:rsid w:val="005212FC"/>
    <w:rsid w:val="00521403"/>
    <w:rsid w:val="00521710"/>
    <w:rsid w:val="0052178F"/>
    <w:rsid w:val="005219DE"/>
    <w:rsid w:val="00521EA5"/>
    <w:rsid w:val="00522622"/>
    <w:rsid w:val="005232F5"/>
    <w:rsid w:val="005234CC"/>
    <w:rsid w:val="00523D6A"/>
    <w:rsid w:val="00524299"/>
    <w:rsid w:val="00524467"/>
    <w:rsid w:val="0052450E"/>
    <w:rsid w:val="00524F2F"/>
    <w:rsid w:val="005251EA"/>
    <w:rsid w:val="00525427"/>
    <w:rsid w:val="00525785"/>
    <w:rsid w:val="005257D0"/>
    <w:rsid w:val="005258E4"/>
    <w:rsid w:val="00525BD2"/>
    <w:rsid w:val="0052617E"/>
    <w:rsid w:val="0052670F"/>
    <w:rsid w:val="00526765"/>
    <w:rsid w:val="00526ABE"/>
    <w:rsid w:val="00527049"/>
    <w:rsid w:val="005270BD"/>
    <w:rsid w:val="0052750E"/>
    <w:rsid w:val="005275ED"/>
    <w:rsid w:val="0052760C"/>
    <w:rsid w:val="00527632"/>
    <w:rsid w:val="00527B7E"/>
    <w:rsid w:val="00527BA2"/>
    <w:rsid w:val="00527C27"/>
    <w:rsid w:val="00530497"/>
    <w:rsid w:val="00530722"/>
    <w:rsid w:val="00530741"/>
    <w:rsid w:val="00530F88"/>
    <w:rsid w:val="00531478"/>
    <w:rsid w:val="00531F41"/>
    <w:rsid w:val="00532381"/>
    <w:rsid w:val="00532750"/>
    <w:rsid w:val="0053295A"/>
    <w:rsid w:val="00532A76"/>
    <w:rsid w:val="00532F06"/>
    <w:rsid w:val="00532F9A"/>
    <w:rsid w:val="005334E1"/>
    <w:rsid w:val="00534384"/>
    <w:rsid w:val="00534443"/>
    <w:rsid w:val="005344E3"/>
    <w:rsid w:val="00534603"/>
    <w:rsid w:val="00534828"/>
    <w:rsid w:val="0053494A"/>
    <w:rsid w:val="00534BF1"/>
    <w:rsid w:val="00535151"/>
    <w:rsid w:val="00535321"/>
    <w:rsid w:val="00535340"/>
    <w:rsid w:val="00535CA1"/>
    <w:rsid w:val="00536531"/>
    <w:rsid w:val="005367D0"/>
    <w:rsid w:val="00536A70"/>
    <w:rsid w:val="00536E07"/>
    <w:rsid w:val="00536EAE"/>
    <w:rsid w:val="005371CD"/>
    <w:rsid w:val="005375DA"/>
    <w:rsid w:val="00537B28"/>
    <w:rsid w:val="00537EFE"/>
    <w:rsid w:val="00540139"/>
    <w:rsid w:val="00540427"/>
    <w:rsid w:val="00540636"/>
    <w:rsid w:val="005410AC"/>
    <w:rsid w:val="00541194"/>
    <w:rsid w:val="005413F4"/>
    <w:rsid w:val="0054147B"/>
    <w:rsid w:val="005418EF"/>
    <w:rsid w:val="00541B1D"/>
    <w:rsid w:val="00541B3B"/>
    <w:rsid w:val="00541C3D"/>
    <w:rsid w:val="00541E68"/>
    <w:rsid w:val="005424E2"/>
    <w:rsid w:val="0054263E"/>
    <w:rsid w:val="00542ABF"/>
    <w:rsid w:val="00542D08"/>
    <w:rsid w:val="00543012"/>
    <w:rsid w:val="00543026"/>
    <w:rsid w:val="005431CB"/>
    <w:rsid w:val="00543648"/>
    <w:rsid w:val="0054393F"/>
    <w:rsid w:val="00543E12"/>
    <w:rsid w:val="005445C8"/>
    <w:rsid w:val="005453D6"/>
    <w:rsid w:val="00545C58"/>
    <w:rsid w:val="00546076"/>
    <w:rsid w:val="005460D3"/>
    <w:rsid w:val="00546300"/>
    <w:rsid w:val="0054644D"/>
    <w:rsid w:val="00546516"/>
    <w:rsid w:val="00546F19"/>
    <w:rsid w:val="0054716E"/>
    <w:rsid w:val="0054793C"/>
    <w:rsid w:val="0055008D"/>
    <w:rsid w:val="005502C0"/>
    <w:rsid w:val="00550349"/>
    <w:rsid w:val="005506D0"/>
    <w:rsid w:val="005508B0"/>
    <w:rsid w:val="00550B33"/>
    <w:rsid w:val="00550CEB"/>
    <w:rsid w:val="00550D9F"/>
    <w:rsid w:val="00550F31"/>
    <w:rsid w:val="00550FF6"/>
    <w:rsid w:val="005511B4"/>
    <w:rsid w:val="0055144C"/>
    <w:rsid w:val="00551AB9"/>
    <w:rsid w:val="00552090"/>
    <w:rsid w:val="0055278D"/>
    <w:rsid w:val="00552AA2"/>
    <w:rsid w:val="00552AF9"/>
    <w:rsid w:val="00552E42"/>
    <w:rsid w:val="00552E61"/>
    <w:rsid w:val="00553150"/>
    <w:rsid w:val="00553C18"/>
    <w:rsid w:val="00553C28"/>
    <w:rsid w:val="00553C5E"/>
    <w:rsid w:val="00554046"/>
    <w:rsid w:val="00554D16"/>
    <w:rsid w:val="00554F54"/>
    <w:rsid w:val="005551C7"/>
    <w:rsid w:val="0055558D"/>
    <w:rsid w:val="005557C3"/>
    <w:rsid w:val="005561CF"/>
    <w:rsid w:val="005561DD"/>
    <w:rsid w:val="00556397"/>
    <w:rsid w:val="005564CA"/>
    <w:rsid w:val="0055677E"/>
    <w:rsid w:val="0055681F"/>
    <w:rsid w:val="0055685F"/>
    <w:rsid w:val="00556893"/>
    <w:rsid w:val="00556CA7"/>
    <w:rsid w:val="005570EA"/>
    <w:rsid w:val="0055714E"/>
    <w:rsid w:val="00557272"/>
    <w:rsid w:val="0055735B"/>
    <w:rsid w:val="005575B3"/>
    <w:rsid w:val="00557D84"/>
    <w:rsid w:val="00557DC5"/>
    <w:rsid w:val="00557F4A"/>
    <w:rsid w:val="005600B5"/>
    <w:rsid w:val="005601EB"/>
    <w:rsid w:val="00560B01"/>
    <w:rsid w:val="00560B8C"/>
    <w:rsid w:val="00560D85"/>
    <w:rsid w:val="00560FED"/>
    <w:rsid w:val="005610F7"/>
    <w:rsid w:val="005618BF"/>
    <w:rsid w:val="00561DED"/>
    <w:rsid w:val="0056213F"/>
    <w:rsid w:val="0056274E"/>
    <w:rsid w:val="00562B80"/>
    <w:rsid w:val="0056317B"/>
    <w:rsid w:val="0056352E"/>
    <w:rsid w:val="00563725"/>
    <w:rsid w:val="00563971"/>
    <w:rsid w:val="0056399B"/>
    <w:rsid w:val="00563A0E"/>
    <w:rsid w:val="00563A72"/>
    <w:rsid w:val="00563CA5"/>
    <w:rsid w:val="00564292"/>
    <w:rsid w:val="00564300"/>
    <w:rsid w:val="00564321"/>
    <w:rsid w:val="00564503"/>
    <w:rsid w:val="00564525"/>
    <w:rsid w:val="005646F5"/>
    <w:rsid w:val="00564D5F"/>
    <w:rsid w:val="005650B3"/>
    <w:rsid w:val="0056545E"/>
    <w:rsid w:val="00565873"/>
    <w:rsid w:val="005658CE"/>
    <w:rsid w:val="00565E2D"/>
    <w:rsid w:val="00565FA5"/>
    <w:rsid w:val="00566778"/>
    <w:rsid w:val="00567740"/>
    <w:rsid w:val="00567E4F"/>
    <w:rsid w:val="0057002B"/>
    <w:rsid w:val="00570089"/>
    <w:rsid w:val="005700C8"/>
    <w:rsid w:val="00570408"/>
    <w:rsid w:val="0057084D"/>
    <w:rsid w:val="005709FF"/>
    <w:rsid w:val="00570E3F"/>
    <w:rsid w:val="005711DB"/>
    <w:rsid w:val="005713F4"/>
    <w:rsid w:val="00571CAF"/>
    <w:rsid w:val="00572177"/>
    <w:rsid w:val="005722E2"/>
    <w:rsid w:val="005725BB"/>
    <w:rsid w:val="00572A12"/>
    <w:rsid w:val="00572A64"/>
    <w:rsid w:val="00572C1A"/>
    <w:rsid w:val="00572CCA"/>
    <w:rsid w:val="00572FC4"/>
    <w:rsid w:val="005739E4"/>
    <w:rsid w:val="00573C6D"/>
    <w:rsid w:val="005741F1"/>
    <w:rsid w:val="00574995"/>
    <w:rsid w:val="005749D7"/>
    <w:rsid w:val="00574FD2"/>
    <w:rsid w:val="005752F9"/>
    <w:rsid w:val="00575475"/>
    <w:rsid w:val="00575587"/>
    <w:rsid w:val="005755BD"/>
    <w:rsid w:val="00575CBF"/>
    <w:rsid w:val="00575FF9"/>
    <w:rsid w:val="0057686D"/>
    <w:rsid w:val="00576979"/>
    <w:rsid w:val="00576A3E"/>
    <w:rsid w:val="00576AB2"/>
    <w:rsid w:val="00576C36"/>
    <w:rsid w:val="0057701E"/>
    <w:rsid w:val="00577481"/>
    <w:rsid w:val="0057757B"/>
    <w:rsid w:val="00577B21"/>
    <w:rsid w:val="00577C9C"/>
    <w:rsid w:val="00577CB5"/>
    <w:rsid w:val="00577D30"/>
    <w:rsid w:val="0058007A"/>
    <w:rsid w:val="00580564"/>
    <w:rsid w:val="00580580"/>
    <w:rsid w:val="005806C1"/>
    <w:rsid w:val="005806D3"/>
    <w:rsid w:val="0058076F"/>
    <w:rsid w:val="0058098C"/>
    <w:rsid w:val="00580B2A"/>
    <w:rsid w:val="00580F64"/>
    <w:rsid w:val="00581702"/>
    <w:rsid w:val="005819AA"/>
    <w:rsid w:val="005819FE"/>
    <w:rsid w:val="00582587"/>
    <w:rsid w:val="0058258E"/>
    <w:rsid w:val="005825D4"/>
    <w:rsid w:val="00582B63"/>
    <w:rsid w:val="0058355B"/>
    <w:rsid w:val="0058360D"/>
    <w:rsid w:val="00583DF4"/>
    <w:rsid w:val="00583FD4"/>
    <w:rsid w:val="005843AC"/>
    <w:rsid w:val="005848E4"/>
    <w:rsid w:val="00584997"/>
    <w:rsid w:val="00584D84"/>
    <w:rsid w:val="00584E8C"/>
    <w:rsid w:val="005855FE"/>
    <w:rsid w:val="00585608"/>
    <w:rsid w:val="00585722"/>
    <w:rsid w:val="00585B99"/>
    <w:rsid w:val="00586745"/>
    <w:rsid w:val="005874FB"/>
    <w:rsid w:val="0058799D"/>
    <w:rsid w:val="005902AC"/>
    <w:rsid w:val="00590472"/>
    <w:rsid w:val="005910F6"/>
    <w:rsid w:val="0059113D"/>
    <w:rsid w:val="0059128E"/>
    <w:rsid w:val="005914F8"/>
    <w:rsid w:val="005917D7"/>
    <w:rsid w:val="0059186F"/>
    <w:rsid w:val="005919BA"/>
    <w:rsid w:val="00592B66"/>
    <w:rsid w:val="00592DE0"/>
    <w:rsid w:val="0059348F"/>
    <w:rsid w:val="0059388A"/>
    <w:rsid w:val="005938B4"/>
    <w:rsid w:val="00593B89"/>
    <w:rsid w:val="00593B97"/>
    <w:rsid w:val="00594433"/>
    <w:rsid w:val="00595067"/>
    <w:rsid w:val="00595198"/>
    <w:rsid w:val="005951F3"/>
    <w:rsid w:val="005956D5"/>
    <w:rsid w:val="0059592E"/>
    <w:rsid w:val="00595CBA"/>
    <w:rsid w:val="005961A3"/>
    <w:rsid w:val="005963D0"/>
    <w:rsid w:val="005963D2"/>
    <w:rsid w:val="005965B5"/>
    <w:rsid w:val="00596EE2"/>
    <w:rsid w:val="00597942"/>
    <w:rsid w:val="005A00E2"/>
    <w:rsid w:val="005A0620"/>
    <w:rsid w:val="005A0B65"/>
    <w:rsid w:val="005A0E83"/>
    <w:rsid w:val="005A0F8B"/>
    <w:rsid w:val="005A1062"/>
    <w:rsid w:val="005A1CC4"/>
    <w:rsid w:val="005A2428"/>
    <w:rsid w:val="005A2BE8"/>
    <w:rsid w:val="005A2D3A"/>
    <w:rsid w:val="005A2E71"/>
    <w:rsid w:val="005A323E"/>
    <w:rsid w:val="005A369F"/>
    <w:rsid w:val="005A3A80"/>
    <w:rsid w:val="005A4040"/>
    <w:rsid w:val="005A4407"/>
    <w:rsid w:val="005A448B"/>
    <w:rsid w:val="005A4DA6"/>
    <w:rsid w:val="005A5398"/>
    <w:rsid w:val="005A5548"/>
    <w:rsid w:val="005A55D0"/>
    <w:rsid w:val="005A55E9"/>
    <w:rsid w:val="005A5908"/>
    <w:rsid w:val="005A5934"/>
    <w:rsid w:val="005A5AF0"/>
    <w:rsid w:val="005A5B08"/>
    <w:rsid w:val="005A5EAD"/>
    <w:rsid w:val="005A6B47"/>
    <w:rsid w:val="005A6ED6"/>
    <w:rsid w:val="005A7388"/>
    <w:rsid w:val="005A7525"/>
    <w:rsid w:val="005A7AD6"/>
    <w:rsid w:val="005A7CB9"/>
    <w:rsid w:val="005B018F"/>
    <w:rsid w:val="005B0599"/>
    <w:rsid w:val="005B0E49"/>
    <w:rsid w:val="005B16E0"/>
    <w:rsid w:val="005B1AEE"/>
    <w:rsid w:val="005B2110"/>
    <w:rsid w:val="005B2726"/>
    <w:rsid w:val="005B27FB"/>
    <w:rsid w:val="005B2D14"/>
    <w:rsid w:val="005B2ED6"/>
    <w:rsid w:val="005B2F5F"/>
    <w:rsid w:val="005B3478"/>
    <w:rsid w:val="005B394E"/>
    <w:rsid w:val="005B39A9"/>
    <w:rsid w:val="005B3C61"/>
    <w:rsid w:val="005B426A"/>
    <w:rsid w:val="005B436C"/>
    <w:rsid w:val="005B43AD"/>
    <w:rsid w:val="005B4CEA"/>
    <w:rsid w:val="005B5F15"/>
    <w:rsid w:val="005B5FC4"/>
    <w:rsid w:val="005B639D"/>
    <w:rsid w:val="005B63DD"/>
    <w:rsid w:val="005B6531"/>
    <w:rsid w:val="005B687E"/>
    <w:rsid w:val="005B6B72"/>
    <w:rsid w:val="005B7739"/>
    <w:rsid w:val="005B7972"/>
    <w:rsid w:val="005B7A65"/>
    <w:rsid w:val="005B7D88"/>
    <w:rsid w:val="005C028F"/>
    <w:rsid w:val="005C037E"/>
    <w:rsid w:val="005C050F"/>
    <w:rsid w:val="005C0C5D"/>
    <w:rsid w:val="005C0D51"/>
    <w:rsid w:val="005C1018"/>
    <w:rsid w:val="005C1161"/>
    <w:rsid w:val="005C15C9"/>
    <w:rsid w:val="005C1615"/>
    <w:rsid w:val="005C18E0"/>
    <w:rsid w:val="005C1972"/>
    <w:rsid w:val="005C1D93"/>
    <w:rsid w:val="005C266E"/>
    <w:rsid w:val="005C2675"/>
    <w:rsid w:val="005C270A"/>
    <w:rsid w:val="005C2A1E"/>
    <w:rsid w:val="005C2F42"/>
    <w:rsid w:val="005C300C"/>
    <w:rsid w:val="005C3604"/>
    <w:rsid w:val="005C38A2"/>
    <w:rsid w:val="005C3E28"/>
    <w:rsid w:val="005C4C57"/>
    <w:rsid w:val="005C5310"/>
    <w:rsid w:val="005C55DF"/>
    <w:rsid w:val="005C59D4"/>
    <w:rsid w:val="005C5A5F"/>
    <w:rsid w:val="005C65C7"/>
    <w:rsid w:val="005C6B54"/>
    <w:rsid w:val="005C6F57"/>
    <w:rsid w:val="005C7289"/>
    <w:rsid w:val="005C7318"/>
    <w:rsid w:val="005C7478"/>
    <w:rsid w:val="005C76D8"/>
    <w:rsid w:val="005C79A5"/>
    <w:rsid w:val="005C7AE5"/>
    <w:rsid w:val="005D067B"/>
    <w:rsid w:val="005D0A98"/>
    <w:rsid w:val="005D0E65"/>
    <w:rsid w:val="005D120B"/>
    <w:rsid w:val="005D1304"/>
    <w:rsid w:val="005D14FF"/>
    <w:rsid w:val="005D1753"/>
    <w:rsid w:val="005D19F9"/>
    <w:rsid w:val="005D1D7D"/>
    <w:rsid w:val="005D1E10"/>
    <w:rsid w:val="005D2347"/>
    <w:rsid w:val="005D2508"/>
    <w:rsid w:val="005D2BCE"/>
    <w:rsid w:val="005D2BD3"/>
    <w:rsid w:val="005D35B6"/>
    <w:rsid w:val="005D3606"/>
    <w:rsid w:val="005D3BB2"/>
    <w:rsid w:val="005D4273"/>
    <w:rsid w:val="005D42ED"/>
    <w:rsid w:val="005D44CB"/>
    <w:rsid w:val="005D453E"/>
    <w:rsid w:val="005D4791"/>
    <w:rsid w:val="005D4861"/>
    <w:rsid w:val="005D4F0E"/>
    <w:rsid w:val="005D55A0"/>
    <w:rsid w:val="005D582D"/>
    <w:rsid w:val="005D59F1"/>
    <w:rsid w:val="005D5E39"/>
    <w:rsid w:val="005D647B"/>
    <w:rsid w:val="005D6C00"/>
    <w:rsid w:val="005D7854"/>
    <w:rsid w:val="005D7A17"/>
    <w:rsid w:val="005D7D3C"/>
    <w:rsid w:val="005D7DC3"/>
    <w:rsid w:val="005D7FFD"/>
    <w:rsid w:val="005E0067"/>
    <w:rsid w:val="005E035C"/>
    <w:rsid w:val="005E08DF"/>
    <w:rsid w:val="005E0CE0"/>
    <w:rsid w:val="005E13AD"/>
    <w:rsid w:val="005E14C8"/>
    <w:rsid w:val="005E179E"/>
    <w:rsid w:val="005E1C67"/>
    <w:rsid w:val="005E1D63"/>
    <w:rsid w:val="005E207A"/>
    <w:rsid w:val="005E24C2"/>
    <w:rsid w:val="005E2635"/>
    <w:rsid w:val="005E2F33"/>
    <w:rsid w:val="005E2F9D"/>
    <w:rsid w:val="005E32F6"/>
    <w:rsid w:val="005E349B"/>
    <w:rsid w:val="005E3551"/>
    <w:rsid w:val="005E3975"/>
    <w:rsid w:val="005E3C3E"/>
    <w:rsid w:val="005E4482"/>
    <w:rsid w:val="005E4AF4"/>
    <w:rsid w:val="005E54FA"/>
    <w:rsid w:val="005E5503"/>
    <w:rsid w:val="005E642C"/>
    <w:rsid w:val="005E6A2F"/>
    <w:rsid w:val="005E6A30"/>
    <w:rsid w:val="005E6AEF"/>
    <w:rsid w:val="005E6BAC"/>
    <w:rsid w:val="005E732A"/>
    <w:rsid w:val="005E7842"/>
    <w:rsid w:val="005E7E06"/>
    <w:rsid w:val="005F00D5"/>
    <w:rsid w:val="005F0195"/>
    <w:rsid w:val="005F01BF"/>
    <w:rsid w:val="005F02F8"/>
    <w:rsid w:val="005F10F5"/>
    <w:rsid w:val="005F19DD"/>
    <w:rsid w:val="005F1C05"/>
    <w:rsid w:val="005F2095"/>
    <w:rsid w:val="005F2108"/>
    <w:rsid w:val="005F258A"/>
    <w:rsid w:val="005F25FF"/>
    <w:rsid w:val="005F2C08"/>
    <w:rsid w:val="005F2F9D"/>
    <w:rsid w:val="005F2FE3"/>
    <w:rsid w:val="005F33BB"/>
    <w:rsid w:val="005F372B"/>
    <w:rsid w:val="005F3AED"/>
    <w:rsid w:val="005F3D64"/>
    <w:rsid w:val="005F41A2"/>
    <w:rsid w:val="005F433F"/>
    <w:rsid w:val="005F45FF"/>
    <w:rsid w:val="005F4739"/>
    <w:rsid w:val="005F47A3"/>
    <w:rsid w:val="005F4E4B"/>
    <w:rsid w:val="005F51DE"/>
    <w:rsid w:val="005F52D8"/>
    <w:rsid w:val="005F56B6"/>
    <w:rsid w:val="005F572D"/>
    <w:rsid w:val="005F6DF8"/>
    <w:rsid w:val="005F6FD4"/>
    <w:rsid w:val="005F704A"/>
    <w:rsid w:val="005F7290"/>
    <w:rsid w:val="005F72D3"/>
    <w:rsid w:val="005F74B0"/>
    <w:rsid w:val="005F7AA8"/>
    <w:rsid w:val="005F7B81"/>
    <w:rsid w:val="005F7ECA"/>
    <w:rsid w:val="005F7EE2"/>
    <w:rsid w:val="0060053F"/>
    <w:rsid w:val="0060055C"/>
    <w:rsid w:val="00600647"/>
    <w:rsid w:val="006006C6"/>
    <w:rsid w:val="00600704"/>
    <w:rsid w:val="0060071B"/>
    <w:rsid w:val="00601768"/>
    <w:rsid w:val="00601E11"/>
    <w:rsid w:val="00601FA0"/>
    <w:rsid w:val="00602057"/>
    <w:rsid w:val="00602163"/>
    <w:rsid w:val="006024AB"/>
    <w:rsid w:val="006025B1"/>
    <w:rsid w:val="0060263C"/>
    <w:rsid w:val="00602EFF"/>
    <w:rsid w:val="006034AB"/>
    <w:rsid w:val="0060375D"/>
    <w:rsid w:val="0060389F"/>
    <w:rsid w:val="00603B42"/>
    <w:rsid w:val="00603DD6"/>
    <w:rsid w:val="00604060"/>
    <w:rsid w:val="006047D8"/>
    <w:rsid w:val="00604F31"/>
    <w:rsid w:val="00605092"/>
    <w:rsid w:val="006054D5"/>
    <w:rsid w:val="00605824"/>
    <w:rsid w:val="00605A6F"/>
    <w:rsid w:val="006062BF"/>
    <w:rsid w:val="00607F8C"/>
    <w:rsid w:val="006109D5"/>
    <w:rsid w:val="00610BBA"/>
    <w:rsid w:val="0061101F"/>
    <w:rsid w:val="0061147C"/>
    <w:rsid w:val="00611787"/>
    <w:rsid w:val="0061196F"/>
    <w:rsid w:val="006124CC"/>
    <w:rsid w:val="00612531"/>
    <w:rsid w:val="00612A1E"/>
    <w:rsid w:val="00612CFB"/>
    <w:rsid w:val="00613036"/>
    <w:rsid w:val="006132C6"/>
    <w:rsid w:val="0061395F"/>
    <w:rsid w:val="00613CF3"/>
    <w:rsid w:val="00613FE3"/>
    <w:rsid w:val="00614310"/>
    <w:rsid w:val="00614F5E"/>
    <w:rsid w:val="0061512B"/>
    <w:rsid w:val="00615265"/>
    <w:rsid w:val="00615470"/>
    <w:rsid w:val="0061573A"/>
    <w:rsid w:val="00615D76"/>
    <w:rsid w:val="006160E6"/>
    <w:rsid w:val="00616250"/>
    <w:rsid w:val="00616DEA"/>
    <w:rsid w:val="006172F1"/>
    <w:rsid w:val="0061756E"/>
    <w:rsid w:val="00617DC1"/>
    <w:rsid w:val="00617E9F"/>
    <w:rsid w:val="006203A9"/>
    <w:rsid w:val="0062067A"/>
    <w:rsid w:val="00620824"/>
    <w:rsid w:val="006209C7"/>
    <w:rsid w:val="00620D01"/>
    <w:rsid w:val="00621257"/>
    <w:rsid w:val="00621EF1"/>
    <w:rsid w:val="00622263"/>
    <w:rsid w:val="00622647"/>
    <w:rsid w:val="00622674"/>
    <w:rsid w:val="00622750"/>
    <w:rsid w:val="00622C37"/>
    <w:rsid w:val="00623289"/>
    <w:rsid w:val="00623472"/>
    <w:rsid w:val="00623896"/>
    <w:rsid w:val="00624678"/>
    <w:rsid w:val="00624BF2"/>
    <w:rsid w:val="00624CAF"/>
    <w:rsid w:val="00625102"/>
    <w:rsid w:val="00625249"/>
    <w:rsid w:val="00626139"/>
    <w:rsid w:val="0062657E"/>
    <w:rsid w:val="00626589"/>
    <w:rsid w:val="006265CF"/>
    <w:rsid w:val="00626962"/>
    <w:rsid w:val="00626A4A"/>
    <w:rsid w:val="00626C99"/>
    <w:rsid w:val="00626DC9"/>
    <w:rsid w:val="006275AC"/>
    <w:rsid w:val="00627804"/>
    <w:rsid w:val="006278DF"/>
    <w:rsid w:val="00627A3C"/>
    <w:rsid w:val="00627B62"/>
    <w:rsid w:val="00627C6F"/>
    <w:rsid w:val="00627CF8"/>
    <w:rsid w:val="00627D3D"/>
    <w:rsid w:val="00630515"/>
    <w:rsid w:val="006307DB"/>
    <w:rsid w:val="00630E27"/>
    <w:rsid w:val="0063107F"/>
    <w:rsid w:val="00631482"/>
    <w:rsid w:val="006316A4"/>
    <w:rsid w:val="006318D8"/>
    <w:rsid w:val="00631B74"/>
    <w:rsid w:val="00631EA5"/>
    <w:rsid w:val="00631ECA"/>
    <w:rsid w:val="0063206B"/>
    <w:rsid w:val="006320F5"/>
    <w:rsid w:val="00632101"/>
    <w:rsid w:val="00632294"/>
    <w:rsid w:val="00632D44"/>
    <w:rsid w:val="00633636"/>
    <w:rsid w:val="00633689"/>
    <w:rsid w:val="00633A70"/>
    <w:rsid w:val="00633E4A"/>
    <w:rsid w:val="00634528"/>
    <w:rsid w:val="0063459E"/>
    <w:rsid w:val="006346B7"/>
    <w:rsid w:val="00634798"/>
    <w:rsid w:val="0063497D"/>
    <w:rsid w:val="00634FA9"/>
    <w:rsid w:val="006354F8"/>
    <w:rsid w:val="00635552"/>
    <w:rsid w:val="0063559B"/>
    <w:rsid w:val="006355A9"/>
    <w:rsid w:val="006356C2"/>
    <w:rsid w:val="006356D0"/>
    <w:rsid w:val="00635A1D"/>
    <w:rsid w:val="00635D9F"/>
    <w:rsid w:val="00635F35"/>
    <w:rsid w:val="00636019"/>
    <w:rsid w:val="0063637A"/>
    <w:rsid w:val="006364A0"/>
    <w:rsid w:val="006364AF"/>
    <w:rsid w:val="0063699A"/>
    <w:rsid w:val="00636DBF"/>
    <w:rsid w:val="00636E87"/>
    <w:rsid w:val="006373F8"/>
    <w:rsid w:val="006376D6"/>
    <w:rsid w:val="00637874"/>
    <w:rsid w:val="00640133"/>
    <w:rsid w:val="006402B1"/>
    <w:rsid w:val="006404A0"/>
    <w:rsid w:val="00640A95"/>
    <w:rsid w:val="00640C6F"/>
    <w:rsid w:val="00641006"/>
    <w:rsid w:val="00641018"/>
    <w:rsid w:val="0064113B"/>
    <w:rsid w:val="00641B7D"/>
    <w:rsid w:val="00641FBC"/>
    <w:rsid w:val="00642209"/>
    <w:rsid w:val="00642369"/>
    <w:rsid w:val="006424AA"/>
    <w:rsid w:val="00642900"/>
    <w:rsid w:val="00642AA9"/>
    <w:rsid w:val="00642B4D"/>
    <w:rsid w:val="0064326F"/>
    <w:rsid w:val="00643F23"/>
    <w:rsid w:val="0064405E"/>
    <w:rsid w:val="00644790"/>
    <w:rsid w:val="006448CF"/>
    <w:rsid w:val="00644935"/>
    <w:rsid w:val="00644AE6"/>
    <w:rsid w:val="00644B82"/>
    <w:rsid w:val="00644DAB"/>
    <w:rsid w:val="00644F6B"/>
    <w:rsid w:val="00644FA4"/>
    <w:rsid w:val="00645417"/>
    <w:rsid w:val="00645EA1"/>
    <w:rsid w:val="00645F66"/>
    <w:rsid w:val="0064630D"/>
    <w:rsid w:val="0064645B"/>
    <w:rsid w:val="0064781C"/>
    <w:rsid w:val="00647987"/>
    <w:rsid w:val="00647BC6"/>
    <w:rsid w:val="006508E7"/>
    <w:rsid w:val="00650985"/>
    <w:rsid w:val="00650C15"/>
    <w:rsid w:val="00650E40"/>
    <w:rsid w:val="00650FE6"/>
    <w:rsid w:val="00651027"/>
    <w:rsid w:val="00651E0D"/>
    <w:rsid w:val="0065233C"/>
    <w:rsid w:val="00652417"/>
    <w:rsid w:val="0065273F"/>
    <w:rsid w:val="00652D90"/>
    <w:rsid w:val="00652E3E"/>
    <w:rsid w:val="006538FE"/>
    <w:rsid w:val="00654506"/>
    <w:rsid w:val="00654612"/>
    <w:rsid w:val="00654883"/>
    <w:rsid w:val="00654CEA"/>
    <w:rsid w:val="006558EE"/>
    <w:rsid w:val="00655C33"/>
    <w:rsid w:val="00655D79"/>
    <w:rsid w:val="006561B8"/>
    <w:rsid w:val="006564AF"/>
    <w:rsid w:val="00656925"/>
    <w:rsid w:val="0065702F"/>
    <w:rsid w:val="00658D26"/>
    <w:rsid w:val="0066007C"/>
    <w:rsid w:val="006600A2"/>
    <w:rsid w:val="006602F8"/>
    <w:rsid w:val="00660779"/>
    <w:rsid w:val="0066086D"/>
    <w:rsid w:val="006609D8"/>
    <w:rsid w:val="00660C57"/>
    <w:rsid w:val="00660E5D"/>
    <w:rsid w:val="00661209"/>
    <w:rsid w:val="00661449"/>
    <w:rsid w:val="00661BAD"/>
    <w:rsid w:val="00661BBE"/>
    <w:rsid w:val="00661C74"/>
    <w:rsid w:val="00661DCC"/>
    <w:rsid w:val="00662134"/>
    <w:rsid w:val="00662818"/>
    <w:rsid w:val="00662964"/>
    <w:rsid w:val="00662BA6"/>
    <w:rsid w:val="00662DB5"/>
    <w:rsid w:val="00662F89"/>
    <w:rsid w:val="006632D4"/>
    <w:rsid w:val="006634DA"/>
    <w:rsid w:val="00663BAA"/>
    <w:rsid w:val="0066413A"/>
    <w:rsid w:val="00664490"/>
    <w:rsid w:val="00664F50"/>
    <w:rsid w:val="00665806"/>
    <w:rsid w:val="00665B0F"/>
    <w:rsid w:val="00665F59"/>
    <w:rsid w:val="0066632C"/>
    <w:rsid w:val="00666B02"/>
    <w:rsid w:val="006672EE"/>
    <w:rsid w:val="00667D1E"/>
    <w:rsid w:val="006702F0"/>
    <w:rsid w:val="00670826"/>
    <w:rsid w:val="00670A34"/>
    <w:rsid w:val="00670AB4"/>
    <w:rsid w:val="00670AD7"/>
    <w:rsid w:val="00670E1F"/>
    <w:rsid w:val="00670FEF"/>
    <w:rsid w:val="00671099"/>
    <w:rsid w:val="00671451"/>
    <w:rsid w:val="006716A7"/>
    <w:rsid w:val="00671877"/>
    <w:rsid w:val="00671FF8"/>
    <w:rsid w:val="00672323"/>
    <w:rsid w:val="00672410"/>
    <w:rsid w:val="006728A8"/>
    <w:rsid w:val="006728DF"/>
    <w:rsid w:val="0067296E"/>
    <w:rsid w:val="00672C9F"/>
    <w:rsid w:val="00672D9D"/>
    <w:rsid w:val="00672F05"/>
    <w:rsid w:val="0067312C"/>
    <w:rsid w:val="00673B89"/>
    <w:rsid w:val="00673CFE"/>
    <w:rsid w:val="00673E07"/>
    <w:rsid w:val="00673E95"/>
    <w:rsid w:val="0067424D"/>
    <w:rsid w:val="00674FA5"/>
    <w:rsid w:val="006755AC"/>
    <w:rsid w:val="006756BE"/>
    <w:rsid w:val="00675711"/>
    <w:rsid w:val="00675886"/>
    <w:rsid w:val="00675B1A"/>
    <w:rsid w:val="00675FDA"/>
    <w:rsid w:val="00676252"/>
    <w:rsid w:val="00676402"/>
    <w:rsid w:val="00676458"/>
    <w:rsid w:val="00676730"/>
    <w:rsid w:val="0067677C"/>
    <w:rsid w:val="006767B7"/>
    <w:rsid w:val="00676AF3"/>
    <w:rsid w:val="006777C4"/>
    <w:rsid w:val="00677806"/>
    <w:rsid w:val="00677B1B"/>
    <w:rsid w:val="00677CC5"/>
    <w:rsid w:val="006801F9"/>
    <w:rsid w:val="006805AD"/>
    <w:rsid w:val="006806AB"/>
    <w:rsid w:val="00680D7B"/>
    <w:rsid w:val="0068122D"/>
    <w:rsid w:val="00681279"/>
    <w:rsid w:val="00682085"/>
    <w:rsid w:val="00682A54"/>
    <w:rsid w:val="00682C09"/>
    <w:rsid w:val="00682C30"/>
    <w:rsid w:val="0068311A"/>
    <w:rsid w:val="006839F4"/>
    <w:rsid w:val="00683BB5"/>
    <w:rsid w:val="00683E48"/>
    <w:rsid w:val="006841F9"/>
    <w:rsid w:val="00684214"/>
    <w:rsid w:val="0068464A"/>
    <w:rsid w:val="00684885"/>
    <w:rsid w:val="00684A3B"/>
    <w:rsid w:val="00684B93"/>
    <w:rsid w:val="00684D18"/>
    <w:rsid w:val="00684DF2"/>
    <w:rsid w:val="006857AE"/>
    <w:rsid w:val="00685983"/>
    <w:rsid w:val="00685D65"/>
    <w:rsid w:val="00685DF7"/>
    <w:rsid w:val="00686045"/>
    <w:rsid w:val="006868DA"/>
    <w:rsid w:val="00687118"/>
    <w:rsid w:val="00687BAC"/>
    <w:rsid w:val="00687DC7"/>
    <w:rsid w:val="006901BC"/>
    <w:rsid w:val="00690211"/>
    <w:rsid w:val="00690ED7"/>
    <w:rsid w:val="006916CA"/>
    <w:rsid w:val="00691A51"/>
    <w:rsid w:val="00691DEA"/>
    <w:rsid w:val="00692938"/>
    <w:rsid w:val="0069321D"/>
    <w:rsid w:val="00693232"/>
    <w:rsid w:val="00693692"/>
    <w:rsid w:val="00693965"/>
    <w:rsid w:val="00693B24"/>
    <w:rsid w:val="00693B90"/>
    <w:rsid w:val="00693E67"/>
    <w:rsid w:val="006950EC"/>
    <w:rsid w:val="006956FC"/>
    <w:rsid w:val="006958A5"/>
    <w:rsid w:val="00695AE0"/>
    <w:rsid w:val="00695C57"/>
    <w:rsid w:val="00695D00"/>
    <w:rsid w:val="00695D69"/>
    <w:rsid w:val="00696137"/>
    <w:rsid w:val="006966E7"/>
    <w:rsid w:val="00696817"/>
    <w:rsid w:val="00696D64"/>
    <w:rsid w:val="00696DDB"/>
    <w:rsid w:val="00696E30"/>
    <w:rsid w:val="00697237"/>
    <w:rsid w:val="006973C0"/>
    <w:rsid w:val="0069764C"/>
    <w:rsid w:val="00697A2D"/>
    <w:rsid w:val="00697B39"/>
    <w:rsid w:val="00697D13"/>
    <w:rsid w:val="00697E82"/>
    <w:rsid w:val="006A015B"/>
    <w:rsid w:val="006A042A"/>
    <w:rsid w:val="006A05EF"/>
    <w:rsid w:val="006A068D"/>
    <w:rsid w:val="006A0992"/>
    <w:rsid w:val="006A09AF"/>
    <w:rsid w:val="006A0DF1"/>
    <w:rsid w:val="006A1068"/>
    <w:rsid w:val="006A15ED"/>
    <w:rsid w:val="006A1E72"/>
    <w:rsid w:val="006A2314"/>
    <w:rsid w:val="006A2437"/>
    <w:rsid w:val="006A2733"/>
    <w:rsid w:val="006A2C5D"/>
    <w:rsid w:val="006A3C9B"/>
    <w:rsid w:val="006A40DE"/>
    <w:rsid w:val="006A43E4"/>
    <w:rsid w:val="006A48F7"/>
    <w:rsid w:val="006A4AD8"/>
    <w:rsid w:val="006A4EB6"/>
    <w:rsid w:val="006A5015"/>
    <w:rsid w:val="006A55EB"/>
    <w:rsid w:val="006A5912"/>
    <w:rsid w:val="006A5CC7"/>
    <w:rsid w:val="006A5D2D"/>
    <w:rsid w:val="006A6001"/>
    <w:rsid w:val="006A6B3A"/>
    <w:rsid w:val="006A6F07"/>
    <w:rsid w:val="006A6FB7"/>
    <w:rsid w:val="006A70B5"/>
    <w:rsid w:val="006A72EB"/>
    <w:rsid w:val="006A797C"/>
    <w:rsid w:val="006A7F68"/>
    <w:rsid w:val="006B055E"/>
    <w:rsid w:val="006B0B1C"/>
    <w:rsid w:val="006B0D3A"/>
    <w:rsid w:val="006B0D8E"/>
    <w:rsid w:val="006B0E90"/>
    <w:rsid w:val="006B1175"/>
    <w:rsid w:val="006B1398"/>
    <w:rsid w:val="006B1827"/>
    <w:rsid w:val="006B22D3"/>
    <w:rsid w:val="006B2381"/>
    <w:rsid w:val="006B2506"/>
    <w:rsid w:val="006B2591"/>
    <w:rsid w:val="006B2ACA"/>
    <w:rsid w:val="006B3656"/>
    <w:rsid w:val="006B3888"/>
    <w:rsid w:val="006B38C2"/>
    <w:rsid w:val="006B3C77"/>
    <w:rsid w:val="006B3C91"/>
    <w:rsid w:val="006B5431"/>
    <w:rsid w:val="006B5693"/>
    <w:rsid w:val="006B5794"/>
    <w:rsid w:val="006B5A9A"/>
    <w:rsid w:val="006B5BA2"/>
    <w:rsid w:val="006B5F53"/>
    <w:rsid w:val="006B6139"/>
    <w:rsid w:val="006B621D"/>
    <w:rsid w:val="006B62C7"/>
    <w:rsid w:val="006B63DF"/>
    <w:rsid w:val="006B655B"/>
    <w:rsid w:val="006B67CE"/>
    <w:rsid w:val="006B67F6"/>
    <w:rsid w:val="006B684E"/>
    <w:rsid w:val="006B68F3"/>
    <w:rsid w:val="006B6B65"/>
    <w:rsid w:val="006B6BA8"/>
    <w:rsid w:val="006B7084"/>
    <w:rsid w:val="006B77F2"/>
    <w:rsid w:val="006B7CD8"/>
    <w:rsid w:val="006C0434"/>
    <w:rsid w:val="006C0AE0"/>
    <w:rsid w:val="006C0DBE"/>
    <w:rsid w:val="006C0E4F"/>
    <w:rsid w:val="006C1313"/>
    <w:rsid w:val="006C16BF"/>
    <w:rsid w:val="006C19EB"/>
    <w:rsid w:val="006C1C48"/>
    <w:rsid w:val="006C209B"/>
    <w:rsid w:val="006C215D"/>
    <w:rsid w:val="006C23D9"/>
    <w:rsid w:val="006C2660"/>
    <w:rsid w:val="006C31CD"/>
    <w:rsid w:val="006C347C"/>
    <w:rsid w:val="006C365C"/>
    <w:rsid w:val="006C39EE"/>
    <w:rsid w:val="006C3E5A"/>
    <w:rsid w:val="006C44C5"/>
    <w:rsid w:val="006C54A2"/>
    <w:rsid w:val="006C5506"/>
    <w:rsid w:val="006C5552"/>
    <w:rsid w:val="006C5C1C"/>
    <w:rsid w:val="006C5E07"/>
    <w:rsid w:val="006C5FB4"/>
    <w:rsid w:val="006C5FF7"/>
    <w:rsid w:val="006C6225"/>
    <w:rsid w:val="006C6733"/>
    <w:rsid w:val="006C684F"/>
    <w:rsid w:val="006C68E2"/>
    <w:rsid w:val="006C6E70"/>
    <w:rsid w:val="006C73BC"/>
    <w:rsid w:val="006C7B33"/>
    <w:rsid w:val="006D05B2"/>
    <w:rsid w:val="006D0A1B"/>
    <w:rsid w:val="006D0FA1"/>
    <w:rsid w:val="006D1017"/>
    <w:rsid w:val="006D12A5"/>
    <w:rsid w:val="006D1631"/>
    <w:rsid w:val="006D17FA"/>
    <w:rsid w:val="006D1A6F"/>
    <w:rsid w:val="006D208C"/>
    <w:rsid w:val="006D248C"/>
    <w:rsid w:val="006D2D26"/>
    <w:rsid w:val="006D2F7C"/>
    <w:rsid w:val="006D306D"/>
    <w:rsid w:val="006D309D"/>
    <w:rsid w:val="006D323B"/>
    <w:rsid w:val="006D325C"/>
    <w:rsid w:val="006D3984"/>
    <w:rsid w:val="006D3A10"/>
    <w:rsid w:val="006D40EE"/>
    <w:rsid w:val="006D46E7"/>
    <w:rsid w:val="006D4C3F"/>
    <w:rsid w:val="006D4D2D"/>
    <w:rsid w:val="006D509D"/>
    <w:rsid w:val="006D5602"/>
    <w:rsid w:val="006D568C"/>
    <w:rsid w:val="006D5AEE"/>
    <w:rsid w:val="006D66D5"/>
    <w:rsid w:val="006D6808"/>
    <w:rsid w:val="006D697F"/>
    <w:rsid w:val="006D6B63"/>
    <w:rsid w:val="006D7099"/>
    <w:rsid w:val="006D72E4"/>
    <w:rsid w:val="006D7303"/>
    <w:rsid w:val="006E00FB"/>
    <w:rsid w:val="006E0B60"/>
    <w:rsid w:val="006E0BC2"/>
    <w:rsid w:val="006E0C8D"/>
    <w:rsid w:val="006E12DD"/>
    <w:rsid w:val="006E15A9"/>
    <w:rsid w:val="006E1EBF"/>
    <w:rsid w:val="006E1F3D"/>
    <w:rsid w:val="006E2A2E"/>
    <w:rsid w:val="006E2F74"/>
    <w:rsid w:val="006E3083"/>
    <w:rsid w:val="006E3A2F"/>
    <w:rsid w:val="006E3CAD"/>
    <w:rsid w:val="006E3F71"/>
    <w:rsid w:val="006E4D24"/>
    <w:rsid w:val="006E50B2"/>
    <w:rsid w:val="006E54CF"/>
    <w:rsid w:val="006E5CE1"/>
    <w:rsid w:val="006E695C"/>
    <w:rsid w:val="006E69B0"/>
    <w:rsid w:val="006E721A"/>
    <w:rsid w:val="006E762F"/>
    <w:rsid w:val="006E7659"/>
    <w:rsid w:val="006E7AE5"/>
    <w:rsid w:val="006F00B8"/>
    <w:rsid w:val="006F0C31"/>
    <w:rsid w:val="006F0C86"/>
    <w:rsid w:val="006F1016"/>
    <w:rsid w:val="006F1A67"/>
    <w:rsid w:val="006F1C19"/>
    <w:rsid w:val="006F1C62"/>
    <w:rsid w:val="006F1D7D"/>
    <w:rsid w:val="006F2154"/>
    <w:rsid w:val="006F2535"/>
    <w:rsid w:val="006F2D90"/>
    <w:rsid w:val="006F2DC2"/>
    <w:rsid w:val="006F313A"/>
    <w:rsid w:val="006F3208"/>
    <w:rsid w:val="006F3613"/>
    <w:rsid w:val="006F36AF"/>
    <w:rsid w:val="006F38E0"/>
    <w:rsid w:val="006F3E62"/>
    <w:rsid w:val="006F428E"/>
    <w:rsid w:val="006F46E6"/>
    <w:rsid w:val="006F4A7B"/>
    <w:rsid w:val="006F4FC8"/>
    <w:rsid w:val="006F552B"/>
    <w:rsid w:val="006F5736"/>
    <w:rsid w:val="006F5B51"/>
    <w:rsid w:val="006F5B59"/>
    <w:rsid w:val="006F5B6E"/>
    <w:rsid w:val="006F6561"/>
    <w:rsid w:val="006F6B66"/>
    <w:rsid w:val="006F704D"/>
    <w:rsid w:val="006F7737"/>
    <w:rsid w:val="006F77A8"/>
    <w:rsid w:val="006F7E7D"/>
    <w:rsid w:val="006F7F7B"/>
    <w:rsid w:val="00700655"/>
    <w:rsid w:val="007007E4"/>
    <w:rsid w:val="007011EE"/>
    <w:rsid w:val="00701309"/>
    <w:rsid w:val="00701790"/>
    <w:rsid w:val="0070246B"/>
    <w:rsid w:val="007027EF"/>
    <w:rsid w:val="00702BC3"/>
    <w:rsid w:val="00702D03"/>
    <w:rsid w:val="00703629"/>
    <w:rsid w:val="007037C4"/>
    <w:rsid w:val="00703A62"/>
    <w:rsid w:val="007041F3"/>
    <w:rsid w:val="007044C5"/>
    <w:rsid w:val="00704C45"/>
    <w:rsid w:val="00704DA6"/>
    <w:rsid w:val="00705460"/>
    <w:rsid w:val="00705AAB"/>
    <w:rsid w:val="00705AD1"/>
    <w:rsid w:val="00706427"/>
    <w:rsid w:val="00706668"/>
    <w:rsid w:val="00706682"/>
    <w:rsid w:val="0070698D"/>
    <w:rsid w:val="00706CC2"/>
    <w:rsid w:val="00706D40"/>
    <w:rsid w:val="007071C9"/>
    <w:rsid w:val="007071D0"/>
    <w:rsid w:val="00707251"/>
    <w:rsid w:val="00707527"/>
    <w:rsid w:val="007119E4"/>
    <w:rsid w:val="00711C45"/>
    <w:rsid w:val="00711F2E"/>
    <w:rsid w:val="00711F97"/>
    <w:rsid w:val="00712110"/>
    <w:rsid w:val="00712213"/>
    <w:rsid w:val="00712313"/>
    <w:rsid w:val="00712AEB"/>
    <w:rsid w:val="00712FDC"/>
    <w:rsid w:val="007135ED"/>
    <w:rsid w:val="00713BAA"/>
    <w:rsid w:val="00713EFA"/>
    <w:rsid w:val="00713F7F"/>
    <w:rsid w:val="007143B2"/>
    <w:rsid w:val="00714BC9"/>
    <w:rsid w:val="00714FE2"/>
    <w:rsid w:val="00715146"/>
    <w:rsid w:val="00715855"/>
    <w:rsid w:val="0071589D"/>
    <w:rsid w:val="007159DD"/>
    <w:rsid w:val="00715ED4"/>
    <w:rsid w:val="00716238"/>
    <w:rsid w:val="0071680D"/>
    <w:rsid w:val="00716CA0"/>
    <w:rsid w:val="00716DD1"/>
    <w:rsid w:val="00716F99"/>
    <w:rsid w:val="00716FF3"/>
    <w:rsid w:val="007172E2"/>
    <w:rsid w:val="007179EF"/>
    <w:rsid w:val="00717B7E"/>
    <w:rsid w:val="00717C24"/>
    <w:rsid w:val="00717EC2"/>
    <w:rsid w:val="00717FA4"/>
    <w:rsid w:val="00720454"/>
    <w:rsid w:val="00720A13"/>
    <w:rsid w:val="00720C56"/>
    <w:rsid w:val="00720F6C"/>
    <w:rsid w:val="00721B6B"/>
    <w:rsid w:val="00721CC7"/>
    <w:rsid w:val="00721CE1"/>
    <w:rsid w:val="00721E3D"/>
    <w:rsid w:val="00721E96"/>
    <w:rsid w:val="00721FA2"/>
    <w:rsid w:val="007221CF"/>
    <w:rsid w:val="007227E0"/>
    <w:rsid w:val="007228EB"/>
    <w:rsid w:val="00722A3F"/>
    <w:rsid w:val="00722DDC"/>
    <w:rsid w:val="0072327C"/>
    <w:rsid w:val="007234E9"/>
    <w:rsid w:val="00723851"/>
    <w:rsid w:val="00723954"/>
    <w:rsid w:val="00723C46"/>
    <w:rsid w:val="00723DF3"/>
    <w:rsid w:val="00724047"/>
    <w:rsid w:val="007245C5"/>
    <w:rsid w:val="00724A86"/>
    <w:rsid w:val="00724FDE"/>
    <w:rsid w:val="00725532"/>
    <w:rsid w:val="00725A9B"/>
    <w:rsid w:val="007268FA"/>
    <w:rsid w:val="007271F7"/>
    <w:rsid w:val="00727360"/>
    <w:rsid w:val="0072799F"/>
    <w:rsid w:val="00727EFB"/>
    <w:rsid w:val="00730034"/>
    <w:rsid w:val="007300AC"/>
    <w:rsid w:val="00730153"/>
    <w:rsid w:val="007301D3"/>
    <w:rsid w:val="007302B1"/>
    <w:rsid w:val="00730372"/>
    <w:rsid w:val="00730461"/>
    <w:rsid w:val="00730501"/>
    <w:rsid w:val="007306FC"/>
    <w:rsid w:val="0073091C"/>
    <w:rsid w:val="00730B4C"/>
    <w:rsid w:val="00730B85"/>
    <w:rsid w:val="00731162"/>
    <w:rsid w:val="007311A8"/>
    <w:rsid w:val="007316CF"/>
    <w:rsid w:val="00731AA0"/>
    <w:rsid w:val="00731B85"/>
    <w:rsid w:val="00731FAE"/>
    <w:rsid w:val="007325A8"/>
    <w:rsid w:val="00732720"/>
    <w:rsid w:val="0073273C"/>
    <w:rsid w:val="007336C9"/>
    <w:rsid w:val="00733753"/>
    <w:rsid w:val="00733815"/>
    <w:rsid w:val="00733A26"/>
    <w:rsid w:val="00733D09"/>
    <w:rsid w:val="0073404E"/>
    <w:rsid w:val="00734305"/>
    <w:rsid w:val="007343A0"/>
    <w:rsid w:val="0073441A"/>
    <w:rsid w:val="007350E2"/>
    <w:rsid w:val="00735149"/>
    <w:rsid w:val="007351BF"/>
    <w:rsid w:val="00735252"/>
    <w:rsid w:val="00735522"/>
    <w:rsid w:val="00735B11"/>
    <w:rsid w:val="00735BA6"/>
    <w:rsid w:val="00735E5E"/>
    <w:rsid w:val="007363EE"/>
    <w:rsid w:val="00736B70"/>
    <w:rsid w:val="0073715D"/>
    <w:rsid w:val="00737191"/>
    <w:rsid w:val="0073721A"/>
    <w:rsid w:val="0073731E"/>
    <w:rsid w:val="007375F1"/>
    <w:rsid w:val="00737657"/>
    <w:rsid w:val="0073765C"/>
    <w:rsid w:val="0073786A"/>
    <w:rsid w:val="00737E6A"/>
    <w:rsid w:val="00737E8E"/>
    <w:rsid w:val="00737EC5"/>
    <w:rsid w:val="00737F14"/>
    <w:rsid w:val="007402C6"/>
    <w:rsid w:val="007402D9"/>
    <w:rsid w:val="00740D1F"/>
    <w:rsid w:val="00740D54"/>
    <w:rsid w:val="007412AA"/>
    <w:rsid w:val="0074150A"/>
    <w:rsid w:val="007415AA"/>
    <w:rsid w:val="0074179A"/>
    <w:rsid w:val="00741D8B"/>
    <w:rsid w:val="007421CC"/>
    <w:rsid w:val="007423FA"/>
    <w:rsid w:val="00742578"/>
    <w:rsid w:val="00742828"/>
    <w:rsid w:val="00743278"/>
    <w:rsid w:val="00743313"/>
    <w:rsid w:val="007438CD"/>
    <w:rsid w:val="00743E8C"/>
    <w:rsid w:val="007441A7"/>
    <w:rsid w:val="007441B7"/>
    <w:rsid w:val="007441E0"/>
    <w:rsid w:val="007444DB"/>
    <w:rsid w:val="00744BE6"/>
    <w:rsid w:val="007451CF"/>
    <w:rsid w:val="007454F7"/>
    <w:rsid w:val="0074580D"/>
    <w:rsid w:val="00746F60"/>
    <w:rsid w:val="00747050"/>
    <w:rsid w:val="00747608"/>
    <w:rsid w:val="00747636"/>
    <w:rsid w:val="007477A1"/>
    <w:rsid w:val="00750D7A"/>
    <w:rsid w:val="007512E6"/>
    <w:rsid w:val="007516FA"/>
    <w:rsid w:val="0075183E"/>
    <w:rsid w:val="00751DB1"/>
    <w:rsid w:val="0075205C"/>
    <w:rsid w:val="00752081"/>
    <w:rsid w:val="007522B5"/>
    <w:rsid w:val="00752462"/>
    <w:rsid w:val="007526F6"/>
    <w:rsid w:val="007532A4"/>
    <w:rsid w:val="00753325"/>
    <w:rsid w:val="00753983"/>
    <w:rsid w:val="007544C6"/>
    <w:rsid w:val="00755099"/>
    <w:rsid w:val="00755759"/>
    <w:rsid w:val="00755936"/>
    <w:rsid w:val="0075624D"/>
    <w:rsid w:val="00756497"/>
    <w:rsid w:val="007565B3"/>
    <w:rsid w:val="00756D1A"/>
    <w:rsid w:val="00757704"/>
    <w:rsid w:val="00757A50"/>
    <w:rsid w:val="00757CB4"/>
    <w:rsid w:val="00757D29"/>
    <w:rsid w:val="00757EC2"/>
    <w:rsid w:val="00760A40"/>
    <w:rsid w:val="00760FB1"/>
    <w:rsid w:val="00760FE6"/>
    <w:rsid w:val="00761786"/>
    <w:rsid w:val="00761A5B"/>
    <w:rsid w:val="00761C8F"/>
    <w:rsid w:val="00761DA3"/>
    <w:rsid w:val="00762100"/>
    <w:rsid w:val="00762242"/>
    <w:rsid w:val="00762596"/>
    <w:rsid w:val="00762AAC"/>
    <w:rsid w:val="00762AC7"/>
    <w:rsid w:val="00762ADC"/>
    <w:rsid w:val="00763147"/>
    <w:rsid w:val="00763C1B"/>
    <w:rsid w:val="007648AA"/>
    <w:rsid w:val="00764A1D"/>
    <w:rsid w:val="00764CA7"/>
    <w:rsid w:val="00765354"/>
    <w:rsid w:val="00765718"/>
    <w:rsid w:val="0076589E"/>
    <w:rsid w:val="00765A69"/>
    <w:rsid w:val="00765A6E"/>
    <w:rsid w:val="00765D1D"/>
    <w:rsid w:val="00765FD1"/>
    <w:rsid w:val="0076609A"/>
    <w:rsid w:val="0076634F"/>
    <w:rsid w:val="007663A8"/>
    <w:rsid w:val="007666B8"/>
    <w:rsid w:val="007668AE"/>
    <w:rsid w:val="00766B84"/>
    <w:rsid w:val="0076702B"/>
    <w:rsid w:val="0076799E"/>
    <w:rsid w:val="00770903"/>
    <w:rsid w:val="007709CD"/>
    <w:rsid w:val="00771177"/>
    <w:rsid w:val="007715C5"/>
    <w:rsid w:val="007717BE"/>
    <w:rsid w:val="00771C60"/>
    <w:rsid w:val="00772319"/>
    <w:rsid w:val="00772735"/>
    <w:rsid w:val="00772B17"/>
    <w:rsid w:val="00772B3B"/>
    <w:rsid w:val="00772C25"/>
    <w:rsid w:val="00772C52"/>
    <w:rsid w:val="0077331E"/>
    <w:rsid w:val="007733A2"/>
    <w:rsid w:val="00773493"/>
    <w:rsid w:val="00773638"/>
    <w:rsid w:val="00773A84"/>
    <w:rsid w:val="00773C92"/>
    <w:rsid w:val="00774345"/>
    <w:rsid w:val="007745F5"/>
    <w:rsid w:val="00774920"/>
    <w:rsid w:val="007758FB"/>
    <w:rsid w:val="007765FA"/>
    <w:rsid w:val="00776E61"/>
    <w:rsid w:val="0077760A"/>
    <w:rsid w:val="00777714"/>
    <w:rsid w:val="0077773E"/>
    <w:rsid w:val="00777744"/>
    <w:rsid w:val="00777836"/>
    <w:rsid w:val="00777F49"/>
    <w:rsid w:val="00780180"/>
    <w:rsid w:val="007802E7"/>
    <w:rsid w:val="00780370"/>
    <w:rsid w:val="0078056A"/>
    <w:rsid w:val="0078080E"/>
    <w:rsid w:val="00780970"/>
    <w:rsid w:val="00780CE5"/>
    <w:rsid w:val="00780D48"/>
    <w:rsid w:val="0078143F"/>
    <w:rsid w:val="00781CA3"/>
    <w:rsid w:val="00782160"/>
    <w:rsid w:val="0078244E"/>
    <w:rsid w:val="00782661"/>
    <w:rsid w:val="007829BB"/>
    <w:rsid w:val="00782B12"/>
    <w:rsid w:val="00782C43"/>
    <w:rsid w:val="00782C6F"/>
    <w:rsid w:val="00783013"/>
    <w:rsid w:val="0078400E"/>
    <w:rsid w:val="007845D2"/>
    <w:rsid w:val="0078474B"/>
    <w:rsid w:val="00784CDC"/>
    <w:rsid w:val="00785319"/>
    <w:rsid w:val="00785961"/>
    <w:rsid w:val="00785D0A"/>
    <w:rsid w:val="00785D58"/>
    <w:rsid w:val="00785ED8"/>
    <w:rsid w:val="0078651D"/>
    <w:rsid w:val="00786DD7"/>
    <w:rsid w:val="007871E2"/>
    <w:rsid w:val="00787476"/>
    <w:rsid w:val="00787779"/>
    <w:rsid w:val="00787AD5"/>
    <w:rsid w:val="007901E9"/>
    <w:rsid w:val="007906E9"/>
    <w:rsid w:val="0079088F"/>
    <w:rsid w:val="00790CD7"/>
    <w:rsid w:val="00791162"/>
    <w:rsid w:val="007911DF"/>
    <w:rsid w:val="007913DA"/>
    <w:rsid w:val="00791602"/>
    <w:rsid w:val="007916A6"/>
    <w:rsid w:val="00791723"/>
    <w:rsid w:val="00791AA3"/>
    <w:rsid w:val="00791BAA"/>
    <w:rsid w:val="00791E65"/>
    <w:rsid w:val="007922BE"/>
    <w:rsid w:val="00792525"/>
    <w:rsid w:val="00792A66"/>
    <w:rsid w:val="00792D27"/>
    <w:rsid w:val="007935CE"/>
    <w:rsid w:val="00793753"/>
    <w:rsid w:val="00793CB4"/>
    <w:rsid w:val="00793F53"/>
    <w:rsid w:val="0079435C"/>
    <w:rsid w:val="007943D6"/>
    <w:rsid w:val="007946BC"/>
    <w:rsid w:val="00794785"/>
    <w:rsid w:val="00794AEB"/>
    <w:rsid w:val="00794C8A"/>
    <w:rsid w:val="0079528C"/>
    <w:rsid w:val="007953A9"/>
    <w:rsid w:val="00795F4B"/>
    <w:rsid w:val="00796683"/>
    <w:rsid w:val="00796B24"/>
    <w:rsid w:val="00796BB7"/>
    <w:rsid w:val="00796BEA"/>
    <w:rsid w:val="00796C1F"/>
    <w:rsid w:val="00797B1F"/>
    <w:rsid w:val="00797B34"/>
    <w:rsid w:val="00797D3E"/>
    <w:rsid w:val="00797D6D"/>
    <w:rsid w:val="007A0F07"/>
    <w:rsid w:val="007A0F0B"/>
    <w:rsid w:val="007A1F9B"/>
    <w:rsid w:val="007A20A0"/>
    <w:rsid w:val="007A20D7"/>
    <w:rsid w:val="007A20DD"/>
    <w:rsid w:val="007A2192"/>
    <w:rsid w:val="007A21D6"/>
    <w:rsid w:val="007A29BA"/>
    <w:rsid w:val="007A2C49"/>
    <w:rsid w:val="007A2CF2"/>
    <w:rsid w:val="007A30F2"/>
    <w:rsid w:val="007A34CF"/>
    <w:rsid w:val="007A36AF"/>
    <w:rsid w:val="007A390D"/>
    <w:rsid w:val="007A3A46"/>
    <w:rsid w:val="007A3B12"/>
    <w:rsid w:val="007A3BF5"/>
    <w:rsid w:val="007A3DA9"/>
    <w:rsid w:val="007A3F4B"/>
    <w:rsid w:val="007A496D"/>
    <w:rsid w:val="007A4A7B"/>
    <w:rsid w:val="007A4E77"/>
    <w:rsid w:val="007A4FC6"/>
    <w:rsid w:val="007A5402"/>
    <w:rsid w:val="007A59E9"/>
    <w:rsid w:val="007A5AB4"/>
    <w:rsid w:val="007A5C85"/>
    <w:rsid w:val="007A5CF1"/>
    <w:rsid w:val="007A631E"/>
    <w:rsid w:val="007A6502"/>
    <w:rsid w:val="007A6540"/>
    <w:rsid w:val="007A671C"/>
    <w:rsid w:val="007A67D0"/>
    <w:rsid w:val="007A71CD"/>
    <w:rsid w:val="007A7480"/>
    <w:rsid w:val="007A75E0"/>
    <w:rsid w:val="007A7736"/>
    <w:rsid w:val="007A7933"/>
    <w:rsid w:val="007A7CC1"/>
    <w:rsid w:val="007A7D7D"/>
    <w:rsid w:val="007A7F04"/>
    <w:rsid w:val="007A7FB0"/>
    <w:rsid w:val="007AA808"/>
    <w:rsid w:val="007B024A"/>
    <w:rsid w:val="007B04D5"/>
    <w:rsid w:val="007B0612"/>
    <w:rsid w:val="007B090A"/>
    <w:rsid w:val="007B0FA9"/>
    <w:rsid w:val="007B0FC7"/>
    <w:rsid w:val="007B1245"/>
    <w:rsid w:val="007B1A09"/>
    <w:rsid w:val="007B1CB2"/>
    <w:rsid w:val="007B1CF3"/>
    <w:rsid w:val="007B1E67"/>
    <w:rsid w:val="007B239F"/>
    <w:rsid w:val="007B25C2"/>
    <w:rsid w:val="007B2E77"/>
    <w:rsid w:val="007B3917"/>
    <w:rsid w:val="007B3E7E"/>
    <w:rsid w:val="007B4030"/>
    <w:rsid w:val="007B467D"/>
    <w:rsid w:val="007B4CD0"/>
    <w:rsid w:val="007B4CEA"/>
    <w:rsid w:val="007B51A4"/>
    <w:rsid w:val="007B56B7"/>
    <w:rsid w:val="007B5FAF"/>
    <w:rsid w:val="007B6038"/>
    <w:rsid w:val="007B6A7D"/>
    <w:rsid w:val="007B6AC5"/>
    <w:rsid w:val="007B6ED6"/>
    <w:rsid w:val="007B7461"/>
    <w:rsid w:val="007B78BB"/>
    <w:rsid w:val="007B7E1A"/>
    <w:rsid w:val="007C0E78"/>
    <w:rsid w:val="007C139C"/>
    <w:rsid w:val="007C149E"/>
    <w:rsid w:val="007C174A"/>
    <w:rsid w:val="007C17AF"/>
    <w:rsid w:val="007C1C26"/>
    <w:rsid w:val="007C1C9D"/>
    <w:rsid w:val="007C1D13"/>
    <w:rsid w:val="007C1EA7"/>
    <w:rsid w:val="007C2D84"/>
    <w:rsid w:val="007C3A9E"/>
    <w:rsid w:val="007C5008"/>
    <w:rsid w:val="007C51D8"/>
    <w:rsid w:val="007C5373"/>
    <w:rsid w:val="007C54CE"/>
    <w:rsid w:val="007C5B64"/>
    <w:rsid w:val="007C5E03"/>
    <w:rsid w:val="007C6348"/>
    <w:rsid w:val="007C7C91"/>
    <w:rsid w:val="007D00A3"/>
    <w:rsid w:val="007D023A"/>
    <w:rsid w:val="007D04CA"/>
    <w:rsid w:val="007D09C3"/>
    <w:rsid w:val="007D0EE1"/>
    <w:rsid w:val="007D196C"/>
    <w:rsid w:val="007D1B44"/>
    <w:rsid w:val="007D1B4D"/>
    <w:rsid w:val="007D2203"/>
    <w:rsid w:val="007D248E"/>
    <w:rsid w:val="007D254A"/>
    <w:rsid w:val="007D2B34"/>
    <w:rsid w:val="007D2D32"/>
    <w:rsid w:val="007D2D8D"/>
    <w:rsid w:val="007D2E82"/>
    <w:rsid w:val="007D2E85"/>
    <w:rsid w:val="007D2F45"/>
    <w:rsid w:val="007D3203"/>
    <w:rsid w:val="007D3287"/>
    <w:rsid w:val="007D353E"/>
    <w:rsid w:val="007D3BEE"/>
    <w:rsid w:val="007D3F27"/>
    <w:rsid w:val="007D4293"/>
    <w:rsid w:val="007D443A"/>
    <w:rsid w:val="007D5135"/>
    <w:rsid w:val="007D5DDB"/>
    <w:rsid w:val="007D601F"/>
    <w:rsid w:val="007D620A"/>
    <w:rsid w:val="007D64C1"/>
    <w:rsid w:val="007D6E61"/>
    <w:rsid w:val="007D6FBC"/>
    <w:rsid w:val="007D702D"/>
    <w:rsid w:val="007D71D8"/>
    <w:rsid w:val="007D76EA"/>
    <w:rsid w:val="007D774C"/>
    <w:rsid w:val="007D7751"/>
    <w:rsid w:val="007D77A2"/>
    <w:rsid w:val="007D78A1"/>
    <w:rsid w:val="007D7A5C"/>
    <w:rsid w:val="007D7CEC"/>
    <w:rsid w:val="007D7EDC"/>
    <w:rsid w:val="007E01C9"/>
    <w:rsid w:val="007E0359"/>
    <w:rsid w:val="007E0734"/>
    <w:rsid w:val="007E0C02"/>
    <w:rsid w:val="007E1242"/>
    <w:rsid w:val="007E13C3"/>
    <w:rsid w:val="007E1489"/>
    <w:rsid w:val="007E14A6"/>
    <w:rsid w:val="007E17F2"/>
    <w:rsid w:val="007E21E2"/>
    <w:rsid w:val="007E2295"/>
    <w:rsid w:val="007E2692"/>
    <w:rsid w:val="007E2B0A"/>
    <w:rsid w:val="007E2B8F"/>
    <w:rsid w:val="007E305C"/>
    <w:rsid w:val="007E32A3"/>
    <w:rsid w:val="007E4027"/>
    <w:rsid w:val="007E4473"/>
    <w:rsid w:val="007E4A6A"/>
    <w:rsid w:val="007E4BD2"/>
    <w:rsid w:val="007E4C2A"/>
    <w:rsid w:val="007E4DA2"/>
    <w:rsid w:val="007E4F5A"/>
    <w:rsid w:val="007E4FB6"/>
    <w:rsid w:val="007E5BBD"/>
    <w:rsid w:val="007E5C71"/>
    <w:rsid w:val="007E6132"/>
    <w:rsid w:val="007E6982"/>
    <w:rsid w:val="007E6A36"/>
    <w:rsid w:val="007E6FAB"/>
    <w:rsid w:val="007E75C3"/>
    <w:rsid w:val="007E77DC"/>
    <w:rsid w:val="007E7A82"/>
    <w:rsid w:val="007E7ABC"/>
    <w:rsid w:val="007F09B2"/>
    <w:rsid w:val="007F0D2F"/>
    <w:rsid w:val="007F114F"/>
    <w:rsid w:val="007F1411"/>
    <w:rsid w:val="007F2441"/>
    <w:rsid w:val="007F2AF6"/>
    <w:rsid w:val="007F2B0B"/>
    <w:rsid w:val="007F2FBD"/>
    <w:rsid w:val="007F2FBE"/>
    <w:rsid w:val="007F3720"/>
    <w:rsid w:val="007F3B1C"/>
    <w:rsid w:val="007F425E"/>
    <w:rsid w:val="007F486F"/>
    <w:rsid w:val="007F4BE3"/>
    <w:rsid w:val="007F51AE"/>
    <w:rsid w:val="007F52EE"/>
    <w:rsid w:val="007F6004"/>
    <w:rsid w:val="007F600B"/>
    <w:rsid w:val="007F63A6"/>
    <w:rsid w:val="007F63F8"/>
    <w:rsid w:val="007F6633"/>
    <w:rsid w:val="007F67AA"/>
    <w:rsid w:val="007F6BBE"/>
    <w:rsid w:val="007F6C37"/>
    <w:rsid w:val="007F7510"/>
    <w:rsid w:val="007F7744"/>
    <w:rsid w:val="007F7BE5"/>
    <w:rsid w:val="007F7F7D"/>
    <w:rsid w:val="00800893"/>
    <w:rsid w:val="00800F2D"/>
    <w:rsid w:val="008014F8"/>
    <w:rsid w:val="00801650"/>
    <w:rsid w:val="00801900"/>
    <w:rsid w:val="00801BC1"/>
    <w:rsid w:val="00801F06"/>
    <w:rsid w:val="00801F9A"/>
    <w:rsid w:val="00802042"/>
    <w:rsid w:val="00802930"/>
    <w:rsid w:val="008032E5"/>
    <w:rsid w:val="00803323"/>
    <w:rsid w:val="008037E3"/>
    <w:rsid w:val="00803A0E"/>
    <w:rsid w:val="00803E1B"/>
    <w:rsid w:val="00803F07"/>
    <w:rsid w:val="008043AD"/>
    <w:rsid w:val="008043F9"/>
    <w:rsid w:val="008047FB"/>
    <w:rsid w:val="00804D58"/>
    <w:rsid w:val="00804E26"/>
    <w:rsid w:val="00805868"/>
    <w:rsid w:val="00805DB4"/>
    <w:rsid w:val="00805E6E"/>
    <w:rsid w:val="00805FE5"/>
    <w:rsid w:val="0080614D"/>
    <w:rsid w:val="008063ED"/>
    <w:rsid w:val="00806494"/>
    <w:rsid w:val="008064C0"/>
    <w:rsid w:val="00806DC6"/>
    <w:rsid w:val="00806E7A"/>
    <w:rsid w:val="00807086"/>
    <w:rsid w:val="00807CAA"/>
    <w:rsid w:val="00807D24"/>
    <w:rsid w:val="00807E13"/>
    <w:rsid w:val="008101CD"/>
    <w:rsid w:val="00810276"/>
    <w:rsid w:val="008105DA"/>
    <w:rsid w:val="0081089A"/>
    <w:rsid w:val="00810A09"/>
    <w:rsid w:val="00810B10"/>
    <w:rsid w:val="00811A27"/>
    <w:rsid w:val="00812509"/>
    <w:rsid w:val="00812559"/>
    <w:rsid w:val="00812755"/>
    <w:rsid w:val="00812C07"/>
    <w:rsid w:val="00812CAB"/>
    <w:rsid w:val="00812CE3"/>
    <w:rsid w:val="008134EF"/>
    <w:rsid w:val="0081360C"/>
    <w:rsid w:val="0081377E"/>
    <w:rsid w:val="008139F8"/>
    <w:rsid w:val="00813D4E"/>
    <w:rsid w:val="00814144"/>
    <w:rsid w:val="0081420E"/>
    <w:rsid w:val="0081426E"/>
    <w:rsid w:val="00814487"/>
    <w:rsid w:val="008147A7"/>
    <w:rsid w:val="00814B9D"/>
    <w:rsid w:val="00814FE5"/>
    <w:rsid w:val="0081546F"/>
    <w:rsid w:val="00815558"/>
    <w:rsid w:val="0081559C"/>
    <w:rsid w:val="008155BF"/>
    <w:rsid w:val="0081600D"/>
    <w:rsid w:val="00816332"/>
    <w:rsid w:val="00816EA6"/>
    <w:rsid w:val="008175F2"/>
    <w:rsid w:val="0081764B"/>
    <w:rsid w:val="00817D48"/>
    <w:rsid w:val="00817EF6"/>
    <w:rsid w:val="00820878"/>
    <w:rsid w:val="008210D4"/>
    <w:rsid w:val="008213F9"/>
    <w:rsid w:val="008215A1"/>
    <w:rsid w:val="00821749"/>
    <w:rsid w:val="008219C2"/>
    <w:rsid w:val="00822BB6"/>
    <w:rsid w:val="00822BDB"/>
    <w:rsid w:val="00822C51"/>
    <w:rsid w:val="00822D72"/>
    <w:rsid w:val="00822FBC"/>
    <w:rsid w:val="008233A3"/>
    <w:rsid w:val="008235E4"/>
    <w:rsid w:val="0082369E"/>
    <w:rsid w:val="00823A4A"/>
    <w:rsid w:val="00823B51"/>
    <w:rsid w:val="008240F6"/>
    <w:rsid w:val="0082413D"/>
    <w:rsid w:val="008243F6"/>
    <w:rsid w:val="008246BA"/>
    <w:rsid w:val="008248B6"/>
    <w:rsid w:val="00824908"/>
    <w:rsid w:val="0082522D"/>
    <w:rsid w:val="0082526D"/>
    <w:rsid w:val="00825546"/>
    <w:rsid w:val="0082558E"/>
    <w:rsid w:val="008256F0"/>
    <w:rsid w:val="0082572D"/>
    <w:rsid w:val="0082583E"/>
    <w:rsid w:val="008259CB"/>
    <w:rsid w:val="00825FF4"/>
    <w:rsid w:val="00826123"/>
    <w:rsid w:val="00826505"/>
    <w:rsid w:val="00826508"/>
    <w:rsid w:val="00826C0F"/>
    <w:rsid w:val="008270D9"/>
    <w:rsid w:val="008272BB"/>
    <w:rsid w:val="008273F1"/>
    <w:rsid w:val="00827DE7"/>
    <w:rsid w:val="0082CFBD"/>
    <w:rsid w:val="008303B7"/>
    <w:rsid w:val="0083050C"/>
    <w:rsid w:val="0083060A"/>
    <w:rsid w:val="008306B3"/>
    <w:rsid w:val="00830B6B"/>
    <w:rsid w:val="00831032"/>
    <w:rsid w:val="008317F5"/>
    <w:rsid w:val="00831A22"/>
    <w:rsid w:val="0083212A"/>
    <w:rsid w:val="008321A6"/>
    <w:rsid w:val="008321F8"/>
    <w:rsid w:val="0083275F"/>
    <w:rsid w:val="00832767"/>
    <w:rsid w:val="00832C3E"/>
    <w:rsid w:val="00833281"/>
    <w:rsid w:val="0083331E"/>
    <w:rsid w:val="00833487"/>
    <w:rsid w:val="008335E0"/>
    <w:rsid w:val="008337B4"/>
    <w:rsid w:val="00833856"/>
    <w:rsid w:val="00833BB6"/>
    <w:rsid w:val="00833C88"/>
    <w:rsid w:val="00833DC2"/>
    <w:rsid w:val="00833DFB"/>
    <w:rsid w:val="008342CE"/>
    <w:rsid w:val="00834607"/>
    <w:rsid w:val="0083487F"/>
    <w:rsid w:val="00834EE6"/>
    <w:rsid w:val="0083502F"/>
    <w:rsid w:val="008350E3"/>
    <w:rsid w:val="00835589"/>
    <w:rsid w:val="00835B35"/>
    <w:rsid w:val="00835BBC"/>
    <w:rsid w:val="00835C55"/>
    <w:rsid w:val="00835D4A"/>
    <w:rsid w:val="00836306"/>
    <w:rsid w:val="0083674E"/>
    <w:rsid w:val="00836F25"/>
    <w:rsid w:val="008375A0"/>
    <w:rsid w:val="00837786"/>
    <w:rsid w:val="00837B2A"/>
    <w:rsid w:val="008407F8"/>
    <w:rsid w:val="00840D50"/>
    <w:rsid w:val="00840ECA"/>
    <w:rsid w:val="008414DB"/>
    <w:rsid w:val="00841582"/>
    <w:rsid w:val="00841805"/>
    <w:rsid w:val="00841BEA"/>
    <w:rsid w:val="00841C8D"/>
    <w:rsid w:val="0084268C"/>
    <w:rsid w:val="00842A6C"/>
    <w:rsid w:val="00842D58"/>
    <w:rsid w:val="00842F83"/>
    <w:rsid w:val="00843017"/>
    <w:rsid w:val="0084317B"/>
    <w:rsid w:val="00843878"/>
    <w:rsid w:val="0084425A"/>
    <w:rsid w:val="008446F9"/>
    <w:rsid w:val="00844864"/>
    <w:rsid w:val="00844C47"/>
    <w:rsid w:val="00845059"/>
    <w:rsid w:val="008457F4"/>
    <w:rsid w:val="00845C00"/>
    <w:rsid w:val="008462DD"/>
    <w:rsid w:val="008465DB"/>
    <w:rsid w:val="00846C56"/>
    <w:rsid w:val="0084753E"/>
    <w:rsid w:val="00847B3C"/>
    <w:rsid w:val="00847B66"/>
    <w:rsid w:val="00847CA0"/>
    <w:rsid w:val="00847CF6"/>
    <w:rsid w:val="00847E6E"/>
    <w:rsid w:val="00850168"/>
    <w:rsid w:val="00850518"/>
    <w:rsid w:val="00850D43"/>
    <w:rsid w:val="00850E39"/>
    <w:rsid w:val="00850EFB"/>
    <w:rsid w:val="00850F49"/>
    <w:rsid w:val="008518C9"/>
    <w:rsid w:val="00851DFF"/>
    <w:rsid w:val="00851FA6"/>
    <w:rsid w:val="0085212E"/>
    <w:rsid w:val="00852677"/>
    <w:rsid w:val="008526B3"/>
    <w:rsid w:val="0085287D"/>
    <w:rsid w:val="00852E23"/>
    <w:rsid w:val="00853169"/>
    <w:rsid w:val="008534AD"/>
    <w:rsid w:val="00853B20"/>
    <w:rsid w:val="00853E6C"/>
    <w:rsid w:val="008541E8"/>
    <w:rsid w:val="0085441F"/>
    <w:rsid w:val="008546E1"/>
    <w:rsid w:val="008548F2"/>
    <w:rsid w:val="00855BBA"/>
    <w:rsid w:val="00855D43"/>
    <w:rsid w:val="0085644E"/>
    <w:rsid w:val="008564AE"/>
    <w:rsid w:val="0085703A"/>
    <w:rsid w:val="00857291"/>
    <w:rsid w:val="00857491"/>
    <w:rsid w:val="00860185"/>
    <w:rsid w:val="0086035C"/>
    <w:rsid w:val="008603C7"/>
    <w:rsid w:val="008605B2"/>
    <w:rsid w:val="0086072C"/>
    <w:rsid w:val="00860829"/>
    <w:rsid w:val="00860A2C"/>
    <w:rsid w:val="008613AC"/>
    <w:rsid w:val="00861819"/>
    <w:rsid w:val="008622B7"/>
    <w:rsid w:val="008623A1"/>
    <w:rsid w:val="0086254E"/>
    <w:rsid w:val="00862578"/>
    <w:rsid w:val="00862592"/>
    <w:rsid w:val="00862EE1"/>
    <w:rsid w:val="00863559"/>
    <w:rsid w:val="00863807"/>
    <w:rsid w:val="008645F5"/>
    <w:rsid w:val="00864A3A"/>
    <w:rsid w:val="00864BCC"/>
    <w:rsid w:val="00864D58"/>
    <w:rsid w:val="00865282"/>
    <w:rsid w:val="00865577"/>
    <w:rsid w:val="00865762"/>
    <w:rsid w:val="0086583C"/>
    <w:rsid w:val="0086589C"/>
    <w:rsid w:val="008658EA"/>
    <w:rsid w:val="00865EDA"/>
    <w:rsid w:val="008663C3"/>
    <w:rsid w:val="00866439"/>
    <w:rsid w:val="008669CA"/>
    <w:rsid w:val="00866FE0"/>
    <w:rsid w:val="008678BD"/>
    <w:rsid w:val="008678E7"/>
    <w:rsid w:val="00867939"/>
    <w:rsid w:val="00867A06"/>
    <w:rsid w:val="00867AAF"/>
    <w:rsid w:val="00867C9B"/>
    <w:rsid w:val="00870041"/>
    <w:rsid w:val="00870270"/>
    <w:rsid w:val="008702C1"/>
    <w:rsid w:val="008703C9"/>
    <w:rsid w:val="008704DC"/>
    <w:rsid w:val="00870BB8"/>
    <w:rsid w:val="00870CF9"/>
    <w:rsid w:val="0087114B"/>
    <w:rsid w:val="00871232"/>
    <w:rsid w:val="00871DBA"/>
    <w:rsid w:val="008721A3"/>
    <w:rsid w:val="008722F3"/>
    <w:rsid w:val="00872415"/>
    <w:rsid w:val="00872569"/>
    <w:rsid w:val="0087288A"/>
    <w:rsid w:val="00872A77"/>
    <w:rsid w:val="00872B04"/>
    <w:rsid w:val="00872D3B"/>
    <w:rsid w:val="008730F3"/>
    <w:rsid w:val="008732E0"/>
    <w:rsid w:val="00873D6C"/>
    <w:rsid w:val="00873F15"/>
    <w:rsid w:val="00874459"/>
    <w:rsid w:val="0087453D"/>
    <w:rsid w:val="00874972"/>
    <w:rsid w:val="008754E8"/>
    <w:rsid w:val="00875CC2"/>
    <w:rsid w:val="00876952"/>
    <w:rsid w:val="00876BB3"/>
    <w:rsid w:val="00876FFA"/>
    <w:rsid w:val="00877738"/>
    <w:rsid w:val="00880730"/>
    <w:rsid w:val="00880F5D"/>
    <w:rsid w:val="008810DD"/>
    <w:rsid w:val="00881594"/>
    <w:rsid w:val="00881A01"/>
    <w:rsid w:val="00881CA9"/>
    <w:rsid w:val="00881CF8"/>
    <w:rsid w:val="00881DF1"/>
    <w:rsid w:val="00881FF2"/>
    <w:rsid w:val="00882011"/>
    <w:rsid w:val="0088263D"/>
    <w:rsid w:val="00882849"/>
    <w:rsid w:val="00882A34"/>
    <w:rsid w:val="00882F1C"/>
    <w:rsid w:val="00883A80"/>
    <w:rsid w:val="008842C1"/>
    <w:rsid w:val="00884518"/>
    <w:rsid w:val="008846E6"/>
    <w:rsid w:val="0088484E"/>
    <w:rsid w:val="00884DF1"/>
    <w:rsid w:val="00884E0D"/>
    <w:rsid w:val="0088521A"/>
    <w:rsid w:val="00885320"/>
    <w:rsid w:val="00885D7D"/>
    <w:rsid w:val="00885DF1"/>
    <w:rsid w:val="00886043"/>
    <w:rsid w:val="00886168"/>
    <w:rsid w:val="008866BE"/>
    <w:rsid w:val="008866DC"/>
    <w:rsid w:val="008867CA"/>
    <w:rsid w:val="00886974"/>
    <w:rsid w:val="00886D48"/>
    <w:rsid w:val="00887476"/>
    <w:rsid w:val="00887564"/>
    <w:rsid w:val="008875EC"/>
    <w:rsid w:val="00887984"/>
    <w:rsid w:val="00887E3D"/>
    <w:rsid w:val="00887F96"/>
    <w:rsid w:val="008900CB"/>
    <w:rsid w:val="00890436"/>
    <w:rsid w:val="008904C1"/>
    <w:rsid w:val="00890704"/>
    <w:rsid w:val="008908E7"/>
    <w:rsid w:val="00890E06"/>
    <w:rsid w:val="008912C0"/>
    <w:rsid w:val="008913AA"/>
    <w:rsid w:val="0089177E"/>
    <w:rsid w:val="00891942"/>
    <w:rsid w:val="0089198B"/>
    <w:rsid w:val="00891CDF"/>
    <w:rsid w:val="00891E4A"/>
    <w:rsid w:val="00891E78"/>
    <w:rsid w:val="00891E93"/>
    <w:rsid w:val="00891EE5"/>
    <w:rsid w:val="008920BF"/>
    <w:rsid w:val="00892329"/>
    <w:rsid w:val="00893082"/>
    <w:rsid w:val="008934AB"/>
    <w:rsid w:val="00893B4C"/>
    <w:rsid w:val="0089479C"/>
    <w:rsid w:val="0089495B"/>
    <w:rsid w:val="00895377"/>
    <w:rsid w:val="00895391"/>
    <w:rsid w:val="008954AF"/>
    <w:rsid w:val="00895E42"/>
    <w:rsid w:val="0089629B"/>
    <w:rsid w:val="008965A4"/>
    <w:rsid w:val="00896880"/>
    <w:rsid w:val="008969D9"/>
    <w:rsid w:val="00896BA5"/>
    <w:rsid w:val="0089735D"/>
    <w:rsid w:val="008975F7"/>
    <w:rsid w:val="00897612"/>
    <w:rsid w:val="008A01B1"/>
    <w:rsid w:val="008A0BD9"/>
    <w:rsid w:val="008A0F71"/>
    <w:rsid w:val="008A14B7"/>
    <w:rsid w:val="008A1A79"/>
    <w:rsid w:val="008A1E8E"/>
    <w:rsid w:val="008A1FFA"/>
    <w:rsid w:val="008A239D"/>
    <w:rsid w:val="008A23BA"/>
    <w:rsid w:val="008A23C2"/>
    <w:rsid w:val="008A28D4"/>
    <w:rsid w:val="008A2A79"/>
    <w:rsid w:val="008A391B"/>
    <w:rsid w:val="008A3AD1"/>
    <w:rsid w:val="008A420C"/>
    <w:rsid w:val="008A498B"/>
    <w:rsid w:val="008A4A76"/>
    <w:rsid w:val="008A4D65"/>
    <w:rsid w:val="008A4E13"/>
    <w:rsid w:val="008A4E62"/>
    <w:rsid w:val="008A504D"/>
    <w:rsid w:val="008A560F"/>
    <w:rsid w:val="008A5BE6"/>
    <w:rsid w:val="008A5E5D"/>
    <w:rsid w:val="008A5FA9"/>
    <w:rsid w:val="008A633E"/>
    <w:rsid w:val="008A6830"/>
    <w:rsid w:val="008A6B26"/>
    <w:rsid w:val="008A6E53"/>
    <w:rsid w:val="008A735A"/>
    <w:rsid w:val="008A7448"/>
    <w:rsid w:val="008A753C"/>
    <w:rsid w:val="008A775D"/>
    <w:rsid w:val="008A7B62"/>
    <w:rsid w:val="008B06AC"/>
    <w:rsid w:val="008B07DD"/>
    <w:rsid w:val="008B0A06"/>
    <w:rsid w:val="008B141F"/>
    <w:rsid w:val="008B1442"/>
    <w:rsid w:val="008B16D6"/>
    <w:rsid w:val="008B1AA5"/>
    <w:rsid w:val="008B22F5"/>
    <w:rsid w:val="008B26D5"/>
    <w:rsid w:val="008B27BD"/>
    <w:rsid w:val="008B28E6"/>
    <w:rsid w:val="008B2CE5"/>
    <w:rsid w:val="008B2F0B"/>
    <w:rsid w:val="008B36D9"/>
    <w:rsid w:val="008B378C"/>
    <w:rsid w:val="008B3C5A"/>
    <w:rsid w:val="008B440D"/>
    <w:rsid w:val="008B462F"/>
    <w:rsid w:val="008B4797"/>
    <w:rsid w:val="008B4C3E"/>
    <w:rsid w:val="008B4C5C"/>
    <w:rsid w:val="008B503E"/>
    <w:rsid w:val="008B5069"/>
    <w:rsid w:val="008B5133"/>
    <w:rsid w:val="008B5ED8"/>
    <w:rsid w:val="008B6635"/>
    <w:rsid w:val="008B6742"/>
    <w:rsid w:val="008B69DF"/>
    <w:rsid w:val="008B7237"/>
    <w:rsid w:val="008B759F"/>
    <w:rsid w:val="008B76C0"/>
    <w:rsid w:val="008B76DC"/>
    <w:rsid w:val="008B7744"/>
    <w:rsid w:val="008B7D25"/>
    <w:rsid w:val="008BD5B6"/>
    <w:rsid w:val="008C036E"/>
    <w:rsid w:val="008C0D3E"/>
    <w:rsid w:val="008C13F3"/>
    <w:rsid w:val="008C166F"/>
    <w:rsid w:val="008C1879"/>
    <w:rsid w:val="008C187F"/>
    <w:rsid w:val="008C1AE0"/>
    <w:rsid w:val="008C1CFB"/>
    <w:rsid w:val="008C2163"/>
    <w:rsid w:val="008C24B2"/>
    <w:rsid w:val="008C30CE"/>
    <w:rsid w:val="008C342C"/>
    <w:rsid w:val="008C3799"/>
    <w:rsid w:val="008C390C"/>
    <w:rsid w:val="008C4B04"/>
    <w:rsid w:val="008C4E7D"/>
    <w:rsid w:val="008C5012"/>
    <w:rsid w:val="008C53FE"/>
    <w:rsid w:val="008C555E"/>
    <w:rsid w:val="008C55A5"/>
    <w:rsid w:val="008C589F"/>
    <w:rsid w:val="008C6232"/>
    <w:rsid w:val="008C6536"/>
    <w:rsid w:val="008C6829"/>
    <w:rsid w:val="008C6939"/>
    <w:rsid w:val="008C69EC"/>
    <w:rsid w:val="008C6A84"/>
    <w:rsid w:val="008C6DF5"/>
    <w:rsid w:val="008C7DF3"/>
    <w:rsid w:val="008C7E4B"/>
    <w:rsid w:val="008C7EE7"/>
    <w:rsid w:val="008D051A"/>
    <w:rsid w:val="008D05BA"/>
    <w:rsid w:val="008D05D9"/>
    <w:rsid w:val="008D0823"/>
    <w:rsid w:val="008D0ADC"/>
    <w:rsid w:val="008D159D"/>
    <w:rsid w:val="008D17D8"/>
    <w:rsid w:val="008D1BAE"/>
    <w:rsid w:val="008D1E44"/>
    <w:rsid w:val="008D224C"/>
    <w:rsid w:val="008D22EF"/>
    <w:rsid w:val="008D246F"/>
    <w:rsid w:val="008D2558"/>
    <w:rsid w:val="008D2567"/>
    <w:rsid w:val="008D265C"/>
    <w:rsid w:val="008D28A9"/>
    <w:rsid w:val="008D2C67"/>
    <w:rsid w:val="008D2D8D"/>
    <w:rsid w:val="008D3092"/>
    <w:rsid w:val="008D3320"/>
    <w:rsid w:val="008D35B1"/>
    <w:rsid w:val="008D3950"/>
    <w:rsid w:val="008D3C7D"/>
    <w:rsid w:val="008D3E63"/>
    <w:rsid w:val="008D4BEA"/>
    <w:rsid w:val="008D4BEE"/>
    <w:rsid w:val="008D4CD9"/>
    <w:rsid w:val="008D4F5E"/>
    <w:rsid w:val="008D539B"/>
    <w:rsid w:val="008D56D1"/>
    <w:rsid w:val="008D649A"/>
    <w:rsid w:val="008D678B"/>
    <w:rsid w:val="008D6A2C"/>
    <w:rsid w:val="008D6BC3"/>
    <w:rsid w:val="008D6D6D"/>
    <w:rsid w:val="008D6FD2"/>
    <w:rsid w:val="008D76AB"/>
    <w:rsid w:val="008E068A"/>
    <w:rsid w:val="008E06C7"/>
    <w:rsid w:val="008E07FE"/>
    <w:rsid w:val="008E0B74"/>
    <w:rsid w:val="008E0BB0"/>
    <w:rsid w:val="008E0C14"/>
    <w:rsid w:val="008E13C6"/>
    <w:rsid w:val="008E1A0D"/>
    <w:rsid w:val="008E20F8"/>
    <w:rsid w:val="008E24E4"/>
    <w:rsid w:val="008E2AFE"/>
    <w:rsid w:val="008E2BC2"/>
    <w:rsid w:val="008E2C30"/>
    <w:rsid w:val="008E33D4"/>
    <w:rsid w:val="008E4014"/>
    <w:rsid w:val="008E470B"/>
    <w:rsid w:val="008E47CF"/>
    <w:rsid w:val="008E4C88"/>
    <w:rsid w:val="008E50A1"/>
    <w:rsid w:val="008E5BBB"/>
    <w:rsid w:val="008E5C0E"/>
    <w:rsid w:val="008E6BE8"/>
    <w:rsid w:val="008E6C46"/>
    <w:rsid w:val="008E6D13"/>
    <w:rsid w:val="008E72C0"/>
    <w:rsid w:val="008E73C7"/>
    <w:rsid w:val="008E7608"/>
    <w:rsid w:val="008E7668"/>
    <w:rsid w:val="008E7706"/>
    <w:rsid w:val="008E7849"/>
    <w:rsid w:val="008E785F"/>
    <w:rsid w:val="008F001D"/>
    <w:rsid w:val="008F02B0"/>
    <w:rsid w:val="008F03A8"/>
    <w:rsid w:val="008F0FF6"/>
    <w:rsid w:val="008F13E7"/>
    <w:rsid w:val="008F1799"/>
    <w:rsid w:val="008F23EA"/>
    <w:rsid w:val="008F262C"/>
    <w:rsid w:val="008F2697"/>
    <w:rsid w:val="008F28C0"/>
    <w:rsid w:val="008F292B"/>
    <w:rsid w:val="008F2EDB"/>
    <w:rsid w:val="008F3238"/>
    <w:rsid w:val="008F37D4"/>
    <w:rsid w:val="008F3B44"/>
    <w:rsid w:val="008F3D7F"/>
    <w:rsid w:val="008F3EA3"/>
    <w:rsid w:val="008F482F"/>
    <w:rsid w:val="008F4B05"/>
    <w:rsid w:val="008F4CAF"/>
    <w:rsid w:val="008F4D30"/>
    <w:rsid w:val="008F4EEF"/>
    <w:rsid w:val="008F5336"/>
    <w:rsid w:val="008F5909"/>
    <w:rsid w:val="008F5F16"/>
    <w:rsid w:val="008F63E9"/>
    <w:rsid w:val="008F6788"/>
    <w:rsid w:val="008F6E88"/>
    <w:rsid w:val="008F70F5"/>
    <w:rsid w:val="008F7A59"/>
    <w:rsid w:val="009009B1"/>
    <w:rsid w:val="00900D8C"/>
    <w:rsid w:val="00900F91"/>
    <w:rsid w:val="00901351"/>
    <w:rsid w:val="0090141A"/>
    <w:rsid w:val="009018E8"/>
    <w:rsid w:val="00901BB7"/>
    <w:rsid w:val="00901E73"/>
    <w:rsid w:val="009023F7"/>
    <w:rsid w:val="009026CA"/>
    <w:rsid w:val="009026F0"/>
    <w:rsid w:val="009027FC"/>
    <w:rsid w:val="00902CEA"/>
    <w:rsid w:val="009037EA"/>
    <w:rsid w:val="00903E26"/>
    <w:rsid w:val="0090437B"/>
    <w:rsid w:val="0090469C"/>
    <w:rsid w:val="0090481B"/>
    <w:rsid w:val="00904832"/>
    <w:rsid w:val="00904849"/>
    <w:rsid w:val="00904B0D"/>
    <w:rsid w:val="00904D1D"/>
    <w:rsid w:val="00904F18"/>
    <w:rsid w:val="009052CD"/>
    <w:rsid w:val="0090654A"/>
    <w:rsid w:val="009067BA"/>
    <w:rsid w:val="00906948"/>
    <w:rsid w:val="0090696D"/>
    <w:rsid w:val="00906ABE"/>
    <w:rsid w:val="00906B0F"/>
    <w:rsid w:val="00906D48"/>
    <w:rsid w:val="0090715C"/>
    <w:rsid w:val="00907A72"/>
    <w:rsid w:val="00907BF9"/>
    <w:rsid w:val="00907E5A"/>
    <w:rsid w:val="00910319"/>
    <w:rsid w:val="00910557"/>
    <w:rsid w:val="00910EF7"/>
    <w:rsid w:val="009114BB"/>
    <w:rsid w:val="0091155A"/>
    <w:rsid w:val="00911AEB"/>
    <w:rsid w:val="00911DA9"/>
    <w:rsid w:val="009123CE"/>
    <w:rsid w:val="009125FB"/>
    <w:rsid w:val="00912A86"/>
    <w:rsid w:val="009132C4"/>
    <w:rsid w:val="00913334"/>
    <w:rsid w:val="0091339C"/>
    <w:rsid w:val="009133D0"/>
    <w:rsid w:val="00913409"/>
    <w:rsid w:val="009136A3"/>
    <w:rsid w:val="00913701"/>
    <w:rsid w:val="0091384D"/>
    <w:rsid w:val="009140EC"/>
    <w:rsid w:val="0091428A"/>
    <w:rsid w:val="009144A5"/>
    <w:rsid w:val="009146E1"/>
    <w:rsid w:val="00914E7A"/>
    <w:rsid w:val="009154EC"/>
    <w:rsid w:val="0091562B"/>
    <w:rsid w:val="00915DC5"/>
    <w:rsid w:val="00916A67"/>
    <w:rsid w:val="00916D35"/>
    <w:rsid w:val="00917043"/>
    <w:rsid w:val="00917DBB"/>
    <w:rsid w:val="00917E1A"/>
    <w:rsid w:val="009201C3"/>
    <w:rsid w:val="00920842"/>
    <w:rsid w:val="00920CDE"/>
    <w:rsid w:val="00920E79"/>
    <w:rsid w:val="00921042"/>
    <w:rsid w:val="00921101"/>
    <w:rsid w:val="009215BF"/>
    <w:rsid w:val="0092176D"/>
    <w:rsid w:val="00921D14"/>
    <w:rsid w:val="00921DBA"/>
    <w:rsid w:val="00922426"/>
    <w:rsid w:val="00922747"/>
    <w:rsid w:val="009227C1"/>
    <w:rsid w:val="00922887"/>
    <w:rsid w:val="00922938"/>
    <w:rsid w:val="00922DE1"/>
    <w:rsid w:val="00922E51"/>
    <w:rsid w:val="00922F72"/>
    <w:rsid w:val="00924379"/>
    <w:rsid w:val="00924483"/>
    <w:rsid w:val="00924E57"/>
    <w:rsid w:val="00925006"/>
    <w:rsid w:val="0092503C"/>
    <w:rsid w:val="009252DB"/>
    <w:rsid w:val="00925438"/>
    <w:rsid w:val="009257C0"/>
    <w:rsid w:val="009259C0"/>
    <w:rsid w:val="00925C80"/>
    <w:rsid w:val="00926299"/>
    <w:rsid w:val="0092650E"/>
    <w:rsid w:val="009266D4"/>
    <w:rsid w:val="00926A72"/>
    <w:rsid w:val="00926AD8"/>
    <w:rsid w:val="0092715A"/>
    <w:rsid w:val="009272FF"/>
    <w:rsid w:val="0092748C"/>
    <w:rsid w:val="009275BD"/>
    <w:rsid w:val="00927902"/>
    <w:rsid w:val="00930158"/>
    <w:rsid w:val="009303A7"/>
    <w:rsid w:val="009304FF"/>
    <w:rsid w:val="0093059D"/>
    <w:rsid w:val="00930892"/>
    <w:rsid w:val="00930B5C"/>
    <w:rsid w:val="00930DCF"/>
    <w:rsid w:val="0093151F"/>
    <w:rsid w:val="00931594"/>
    <w:rsid w:val="0093164A"/>
    <w:rsid w:val="00931928"/>
    <w:rsid w:val="00931C10"/>
    <w:rsid w:val="00931DCE"/>
    <w:rsid w:val="00932544"/>
    <w:rsid w:val="00932AAB"/>
    <w:rsid w:val="00932AD2"/>
    <w:rsid w:val="00933E08"/>
    <w:rsid w:val="00934663"/>
    <w:rsid w:val="00934B37"/>
    <w:rsid w:val="0093524A"/>
    <w:rsid w:val="009355CF"/>
    <w:rsid w:val="00935AFC"/>
    <w:rsid w:val="00937308"/>
    <w:rsid w:val="009405C2"/>
    <w:rsid w:val="00940672"/>
    <w:rsid w:val="009410E3"/>
    <w:rsid w:val="009414A6"/>
    <w:rsid w:val="0094155D"/>
    <w:rsid w:val="00941734"/>
    <w:rsid w:val="0094196E"/>
    <w:rsid w:val="0094215A"/>
    <w:rsid w:val="009427DE"/>
    <w:rsid w:val="00942E78"/>
    <w:rsid w:val="00942E99"/>
    <w:rsid w:val="00943063"/>
    <w:rsid w:val="009435C4"/>
    <w:rsid w:val="009438E4"/>
    <w:rsid w:val="00943924"/>
    <w:rsid w:val="00943ACE"/>
    <w:rsid w:val="00943AF7"/>
    <w:rsid w:val="00943B11"/>
    <w:rsid w:val="00943B45"/>
    <w:rsid w:val="00943F06"/>
    <w:rsid w:val="00944156"/>
    <w:rsid w:val="00944792"/>
    <w:rsid w:val="00944B4E"/>
    <w:rsid w:val="00944D07"/>
    <w:rsid w:val="00945414"/>
    <w:rsid w:val="0094562E"/>
    <w:rsid w:val="0094577A"/>
    <w:rsid w:val="00945781"/>
    <w:rsid w:val="0094584C"/>
    <w:rsid w:val="00945B5D"/>
    <w:rsid w:val="00945F64"/>
    <w:rsid w:val="0094622E"/>
    <w:rsid w:val="00946317"/>
    <w:rsid w:val="009464F5"/>
    <w:rsid w:val="0094654B"/>
    <w:rsid w:val="00946699"/>
    <w:rsid w:val="00946939"/>
    <w:rsid w:val="0094696F"/>
    <w:rsid w:val="00946A60"/>
    <w:rsid w:val="0094731B"/>
    <w:rsid w:val="00947320"/>
    <w:rsid w:val="009476AF"/>
    <w:rsid w:val="0094782D"/>
    <w:rsid w:val="0094790D"/>
    <w:rsid w:val="00947EB9"/>
    <w:rsid w:val="00950468"/>
    <w:rsid w:val="00951C20"/>
    <w:rsid w:val="009528FB"/>
    <w:rsid w:val="00952BB2"/>
    <w:rsid w:val="00952CC8"/>
    <w:rsid w:val="00952F7F"/>
    <w:rsid w:val="00952FBF"/>
    <w:rsid w:val="00953158"/>
    <w:rsid w:val="00953161"/>
    <w:rsid w:val="0095343B"/>
    <w:rsid w:val="00953E0C"/>
    <w:rsid w:val="00953E89"/>
    <w:rsid w:val="00954259"/>
    <w:rsid w:val="009543B1"/>
    <w:rsid w:val="00954A8B"/>
    <w:rsid w:val="00954BD8"/>
    <w:rsid w:val="00954C47"/>
    <w:rsid w:val="00955378"/>
    <w:rsid w:val="00955476"/>
    <w:rsid w:val="00955994"/>
    <w:rsid w:val="00955DBF"/>
    <w:rsid w:val="00955E2F"/>
    <w:rsid w:val="00955F46"/>
    <w:rsid w:val="00956521"/>
    <w:rsid w:val="00956684"/>
    <w:rsid w:val="009566EB"/>
    <w:rsid w:val="00956EAE"/>
    <w:rsid w:val="00957998"/>
    <w:rsid w:val="00957A1D"/>
    <w:rsid w:val="00957D6E"/>
    <w:rsid w:val="009604AC"/>
    <w:rsid w:val="009609C7"/>
    <w:rsid w:val="009610BC"/>
    <w:rsid w:val="00961135"/>
    <w:rsid w:val="00961279"/>
    <w:rsid w:val="009612D0"/>
    <w:rsid w:val="009616D6"/>
    <w:rsid w:val="009622BB"/>
    <w:rsid w:val="0096257F"/>
    <w:rsid w:val="00962946"/>
    <w:rsid w:val="00962EF7"/>
    <w:rsid w:val="00962F79"/>
    <w:rsid w:val="009630B6"/>
    <w:rsid w:val="0096384A"/>
    <w:rsid w:val="00963911"/>
    <w:rsid w:val="00963BBC"/>
    <w:rsid w:val="00963E66"/>
    <w:rsid w:val="00964274"/>
    <w:rsid w:val="009649F7"/>
    <w:rsid w:val="00964E59"/>
    <w:rsid w:val="0096505D"/>
    <w:rsid w:val="00965115"/>
    <w:rsid w:val="00967456"/>
    <w:rsid w:val="00967700"/>
    <w:rsid w:val="0096772D"/>
    <w:rsid w:val="00967838"/>
    <w:rsid w:val="009679B6"/>
    <w:rsid w:val="00967F32"/>
    <w:rsid w:val="00970321"/>
    <w:rsid w:val="00970522"/>
    <w:rsid w:val="00970B59"/>
    <w:rsid w:val="009710BB"/>
    <w:rsid w:val="0097110A"/>
    <w:rsid w:val="00971284"/>
    <w:rsid w:val="009712F5"/>
    <w:rsid w:val="009714A2"/>
    <w:rsid w:val="009714E7"/>
    <w:rsid w:val="00971554"/>
    <w:rsid w:val="00971563"/>
    <w:rsid w:val="00971A61"/>
    <w:rsid w:val="00971A94"/>
    <w:rsid w:val="00971C00"/>
    <w:rsid w:val="00972085"/>
    <w:rsid w:val="0097222F"/>
    <w:rsid w:val="0097236D"/>
    <w:rsid w:val="00972527"/>
    <w:rsid w:val="0097293D"/>
    <w:rsid w:val="00972E61"/>
    <w:rsid w:val="009734F4"/>
    <w:rsid w:val="00973BC1"/>
    <w:rsid w:val="009740BC"/>
    <w:rsid w:val="009742B2"/>
    <w:rsid w:val="0097435B"/>
    <w:rsid w:val="00975736"/>
    <w:rsid w:val="00975956"/>
    <w:rsid w:val="00975D61"/>
    <w:rsid w:val="00975DC6"/>
    <w:rsid w:val="00975E4E"/>
    <w:rsid w:val="0097641C"/>
    <w:rsid w:val="00976AEE"/>
    <w:rsid w:val="00976DB1"/>
    <w:rsid w:val="00976E07"/>
    <w:rsid w:val="0097706E"/>
    <w:rsid w:val="009779DA"/>
    <w:rsid w:val="009779F4"/>
    <w:rsid w:val="00977A7E"/>
    <w:rsid w:val="0098037E"/>
    <w:rsid w:val="00980649"/>
    <w:rsid w:val="009808BA"/>
    <w:rsid w:val="00980BE9"/>
    <w:rsid w:val="0098108C"/>
    <w:rsid w:val="009819DA"/>
    <w:rsid w:val="00981FE2"/>
    <w:rsid w:val="00982312"/>
    <w:rsid w:val="00982365"/>
    <w:rsid w:val="0098248B"/>
    <w:rsid w:val="00982509"/>
    <w:rsid w:val="0098254D"/>
    <w:rsid w:val="00982842"/>
    <w:rsid w:val="009828F8"/>
    <w:rsid w:val="00982B43"/>
    <w:rsid w:val="00982D0C"/>
    <w:rsid w:val="00982FD1"/>
    <w:rsid w:val="00983521"/>
    <w:rsid w:val="009836CE"/>
    <w:rsid w:val="00983BC3"/>
    <w:rsid w:val="00983D3C"/>
    <w:rsid w:val="009841E2"/>
    <w:rsid w:val="00984353"/>
    <w:rsid w:val="0098455D"/>
    <w:rsid w:val="009845A0"/>
    <w:rsid w:val="00984692"/>
    <w:rsid w:val="009849D8"/>
    <w:rsid w:val="00984A4A"/>
    <w:rsid w:val="00984D69"/>
    <w:rsid w:val="00984FFA"/>
    <w:rsid w:val="00985AE2"/>
    <w:rsid w:val="00985C93"/>
    <w:rsid w:val="009860EA"/>
    <w:rsid w:val="009860FC"/>
    <w:rsid w:val="009869A9"/>
    <w:rsid w:val="00986CFD"/>
    <w:rsid w:val="00986F77"/>
    <w:rsid w:val="00986FB0"/>
    <w:rsid w:val="009872DF"/>
    <w:rsid w:val="00987816"/>
    <w:rsid w:val="00987884"/>
    <w:rsid w:val="009878C6"/>
    <w:rsid w:val="00987CF0"/>
    <w:rsid w:val="00987E81"/>
    <w:rsid w:val="00990061"/>
    <w:rsid w:val="0099019C"/>
    <w:rsid w:val="0099082F"/>
    <w:rsid w:val="0099086E"/>
    <w:rsid w:val="00991345"/>
    <w:rsid w:val="00991485"/>
    <w:rsid w:val="009914D6"/>
    <w:rsid w:val="00991E5D"/>
    <w:rsid w:val="00991F46"/>
    <w:rsid w:val="009927C0"/>
    <w:rsid w:val="0099293E"/>
    <w:rsid w:val="009934DA"/>
    <w:rsid w:val="0099375D"/>
    <w:rsid w:val="00993BF1"/>
    <w:rsid w:val="00993DD9"/>
    <w:rsid w:val="00994BE7"/>
    <w:rsid w:val="00994CA1"/>
    <w:rsid w:val="00994EB7"/>
    <w:rsid w:val="00995A01"/>
    <w:rsid w:val="00996453"/>
    <w:rsid w:val="00996710"/>
    <w:rsid w:val="00996809"/>
    <w:rsid w:val="00996F95"/>
    <w:rsid w:val="0099740F"/>
    <w:rsid w:val="00997542"/>
    <w:rsid w:val="009976DC"/>
    <w:rsid w:val="0099795E"/>
    <w:rsid w:val="00997B5B"/>
    <w:rsid w:val="009A04D3"/>
    <w:rsid w:val="009A04EA"/>
    <w:rsid w:val="009A071F"/>
    <w:rsid w:val="009A0FD7"/>
    <w:rsid w:val="009A10CD"/>
    <w:rsid w:val="009A129F"/>
    <w:rsid w:val="009A1323"/>
    <w:rsid w:val="009A138C"/>
    <w:rsid w:val="009A1D6D"/>
    <w:rsid w:val="009A210E"/>
    <w:rsid w:val="009A22A5"/>
    <w:rsid w:val="009A2974"/>
    <w:rsid w:val="009A2BFC"/>
    <w:rsid w:val="009A2E79"/>
    <w:rsid w:val="009A31D5"/>
    <w:rsid w:val="009A3235"/>
    <w:rsid w:val="009A32F2"/>
    <w:rsid w:val="009A331F"/>
    <w:rsid w:val="009A36CF"/>
    <w:rsid w:val="009A3BAB"/>
    <w:rsid w:val="009A400E"/>
    <w:rsid w:val="009A409E"/>
    <w:rsid w:val="009A4116"/>
    <w:rsid w:val="009A4124"/>
    <w:rsid w:val="009A4563"/>
    <w:rsid w:val="009A4F66"/>
    <w:rsid w:val="009A5320"/>
    <w:rsid w:val="009A5490"/>
    <w:rsid w:val="009A5C4E"/>
    <w:rsid w:val="009A5E18"/>
    <w:rsid w:val="009A670E"/>
    <w:rsid w:val="009A6998"/>
    <w:rsid w:val="009A71F9"/>
    <w:rsid w:val="009A7285"/>
    <w:rsid w:val="009A78C0"/>
    <w:rsid w:val="009A7B82"/>
    <w:rsid w:val="009A7E20"/>
    <w:rsid w:val="009B0796"/>
    <w:rsid w:val="009B0AB5"/>
    <w:rsid w:val="009B0DEB"/>
    <w:rsid w:val="009B10C5"/>
    <w:rsid w:val="009B1150"/>
    <w:rsid w:val="009B11C7"/>
    <w:rsid w:val="009B1384"/>
    <w:rsid w:val="009B17E7"/>
    <w:rsid w:val="009B1F93"/>
    <w:rsid w:val="009B20B8"/>
    <w:rsid w:val="009B2110"/>
    <w:rsid w:val="009B23BD"/>
    <w:rsid w:val="009B29ED"/>
    <w:rsid w:val="009B2C6A"/>
    <w:rsid w:val="009B3158"/>
    <w:rsid w:val="009B316A"/>
    <w:rsid w:val="009B3186"/>
    <w:rsid w:val="009B3457"/>
    <w:rsid w:val="009B379D"/>
    <w:rsid w:val="009B384A"/>
    <w:rsid w:val="009B40DE"/>
    <w:rsid w:val="009B44F4"/>
    <w:rsid w:val="009B4C0E"/>
    <w:rsid w:val="009B4C1F"/>
    <w:rsid w:val="009B4F91"/>
    <w:rsid w:val="009B5316"/>
    <w:rsid w:val="009B55E4"/>
    <w:rsid w:val="009B61D4"/>
    <w:rsid w:val="009B6201"/>
    <w:rsid w:val="009B62F9"/>
    <w:rsid w:val="009B652A"/>
    <w:rsid w:val="009B664F"/>
    <w:rsid w:val="009B6BED"/>
    <w:rsid w:val="009B6C4D"/>
    <w:rsid w:val="009B6DFD"/>
    <w:rsid w:val="009B7559"/>
    <w:rsid w:val="009B79D3"/>
    <w:rsid w:val="009B7D78"/>
    <w:rsid w:val="009B7F64"/>
    <w:rsid w:val="009B820A"/>
    <w:rsid w:val="009C08AF"/>
    <w:rsid w:val="009C0CE1"/>
    <w:rsid w:val="009C0DFC"/>
    <w:rsid w:val="009C10CA"/>
    <w:rsid w:val="009C111F"/>
    <w:rsid w:val="009C14D2"/>
    <w:rsid w:val="009C1F4A"/>
    <w:rsid w:val="009C2397"/>
    <w:rsid w:val="009C239C"/>
    <w:rsid w:val="009C269A"/>
    <w:rsid w:val="009C276E"/>
    <w:rsid w:val="009C2BE5"/>
    <w:rsid w:val="009C343C"/>
    <w:rsid w:val="009C3AE6"/>
    <w:rsid w:val="009C3B8B"/>
    <w:rsid w:val="009C3C17"/>
    <w:rsid w:val="009C3D2B"/>
    <w:rsid w:val="009C404B"/>
    <w:rsid w:val="009C4129"/>
    <w:rsid w:val="009C4191"/>
    <w:rsid w:val="009C5571"/>
    <w:rsid w:val="009C5791"/>
    <w:rsid w:val="009C57E9"/>
    <w:rsid w:val="009C59FD"/>
    <w:rsid w:val="009C5BD1"/>
    <w:rsid w:val="009C5C23"/>
    <w:rsid w:val="009C5EBF"/>
    <w:rsid w:val="009C641A"/>
    <w:rsid w:val="009C6559"/>
    <w:rsid w:val="009C6E8E"/>
    <w:rsid w:val="009C6F64"/>
    <w:rsid w:val="009C76AD"/>
    <w:rsid w:val="009C7E71"/>
    <w:rsid w:val="009C7F2A"/>
    <w:rsid w:val="009D01B8"/>
    <w:rsid w:val="009D0B82"/>
    <w:rsid w:val="009D104F"/>
    <w:rsid w:val="009D1217"/>
    <w:rsid w:val="009D1251"/>
    <w:rsid w:val="009D16E6"/>
    <w:rsid w:val="009D1C46"/>
    <w:rsid w:val="009D1C90"/>
    <w:rsid w:val="009D1DFA"/>
    <w:rsid w:val="009D258C"/>
    <w:rsid w:val="009D266E"/>
    <w:rsid w:val="009D26BC"/>
    <w:rsid w:val="009D28CB"/>
    <w:rsid w:val="009D2A90"/>
    <w:rsid w:val="009D2CF3"/>
    <w:rsid w:val="009D3020"/>
    <w:rsid w:val="009D34DA"/>
    <w:rsid w:val="009D3533"/>
    <w:rsid w:val="009D3856"/>
    <w:rsid w:val="009D3C48"/>
    <w:rsid w:val="009D4528"/>
    <w:rsid w:val="009D4988"/>
    <w:rsid w:val="009D4A2A"/>
    <w:rsid w:val="009D4AC6"/>
    <w:rsid w:val="009D4BEA"/>
    <w:rsid w:val="009D544B"/>
    <w:rsid w:val="009D5463"/>
    <w:rsid w:val="009D548D"/>
    <w:rsid w:val="009D5698"/>
    <w:rsid w:val="009D5E53"/>
    <w:rsid w:val="009D61F2"/>
    <w:rsid w:val="009D6951"/>
    <w:rsid w:val="009D6A68"/>
    <w:rsid w:val="009D6BE5"/>
    <w:rsid w:val="009D6CA6"/>
    <w:rsid w:val="009D728C"/>
    <w:rsid w:val="009D7B11"/>
    <w:rsid w:val="009D7F8D"/>
    <w:rsid w:val="009E0036"/>
    <w:rsid w:val="009E02CD"/>
    <w:rsid w:val="009E0634"/>
    <w:rsid w:val="009E0728"/>
    <w:rsid w:val="009E0B21"/>
    <w:rsid w:val="009E11DE"/>
    <w:rsid w:val="009E17C5"/>
    <w:rsid w:val="009E17E0"/>
    <w:rsid w:val="009E1818"/>
    <w:rsid w:val="009E1A2A"/>
    <w:rsid w:val="009E1B8D"/>
    <w:rsid w:val="009E1D30"/>
    <w:rsid w:val="009E1E8C"/>
    <w:rsid w:val="009E1F56"/>
    <w:rsid w:val="009E20CE"/>
    <w:rsid w:val="009E249D"/>
    <w:rsid w:val="009E28B7"/>
    <w:rsid w:val="009E319A"/>
    <w:rsid w:val="009E3244"/>
    <w:rsid w:val="009E342A"/>
    <w:rsid w:val="009E35E2"/>
    <w:rsid w:val="009E3AEA"/>
    <w:rsid w:val="009E3CAC"/>
    <w:rsid w:val="009E48ED"/>
    <w:rsid w:val="009E4E2A"/>
    <w:rsid w:val="009E5351"/>
    <w:rsid w:val="009E5CCA"/>
    <w:rsid w:val="009E5FC9"/>
    <w:rsid w:val="009E6303"/>
    <w:rsid w:val="009E632D"/>
    <w:rsid w:val="009E6BFD"/>
    <w:rsid w:val="009E6FC2"/>
    <w:rsid w:val="009E7BCA"/>
    <w:rsid w:val="009E7FDE"/>
    <w:rsid w:val="009F0691"/>
    <w:rsid w:val="009F080F"/>
    <w:rsid w:val="009F0D93"/>
    <w:rsid w:val="009F10E7"/>
    <w:rsid w:val="009F1317"/>
    <w:rsid w:val="009F1927"/>
    <w:rsid w:val="009F20AB"/>
    <w:rsid w:val="009F22C2"/>
    <w:rsid w:val="009F22F1"/>
    <w:rsid w:val="009F25F0"/>
    <w:rsid w:val="009F2D26"/>
    <w:rsid w:val="009F2DB2"/>
    <w:rsid w:val="009F309D"/>
    <w:rsid w:val="009F3675"/>
    <w:rsid w:val="009F36BA"/>
    <w:rsid w:val="009F3A0A"/>
    <w:rsid w:val="009F3DFA"/>
    <w:rsid w:val="009F3E66"/>
    <w:rsid w:val="009F4060"/>
    <w:rsid w:val="009F4074"/>
    <w:rsid w:val="009F4218"/>
    <w:rsid w:val="009F42FE"/>
    <w:rsid w:val="009F4767"/>
    <w:rsid w:val="009F4781"/>
    <w:rsid w:val="009F4E82"/>
    <w:rsid w:val="009F5308"/>
    <w:rsid w:val="009F552C"/>
    <w:rsid w:val="009F596B"/>
    <w:rsid w:val="009F5DC7"/>
    <w:rsid w:val="009F6165"/>
    <w:rsid w:val="009F6501"/>
    <w:rsid w:val="009F6756"/>
    <w:rsid w:val="009F6A04"/>
    <w:rsid w:val="009F6B04"/>
    <w:rsid w:val="009F6BE6"/>
    <w:rsid w:val="009F712F"/>
    <w:rsid w:val="009F72EB"/>
    <w:rsid w:val="009F7547"/>
    <w:rsid w:val="009F796A"/>
    <w:rsid w:val="009F7D9F"/>
    <w:rsid w:val="00A0009D"/>
    <w:rsid w:val="00A014D3"/>
    <w:rsid w:val="00A0175E"/>
    <w:rsid w:val="00A01D69"/>
    <w:rsid w:val="00A02270"/>
    <w:rsid w:val="00A022DF"/>
    <w:rsid w:val="00A025EF"/>
    <w:rsid w:val="00A027C3"/>
    <w:rsid w:val="00A02931"/>
    <w:rsid w:val="00A02D02"/>
    <w:rsid w:val="00A03136"/>
    <w:rsid w:val="00A03154"/>
    <w:rsid w:val="00A038A8"/>
    <w:rsid w:val="00A03CE3"/>
    <w:rsid w:val="00A03E70"/>
    <w:rsid w:val="00A03E72"/>
    <w:rsid w:val="00A04616"/>
    <w:rsid w:val="00A04DF3"/>
    <w:rsid w:val="00A050E3"/>
    <w:rsid w:val="00A05702"/>
    <w:rsid w:val="00A05A90"/>
    <w:rsid w:val="00A05D58"/>
    <w:rsid w:val="00A05F16"/>
    <w:rsid w:val="00A05F4D"/>
    <w:rsid w:val="00A061EE"/>
    <w:rsid w:val="00A0674B"/>
    <w:rsid w:val="00A06CA0"/>
    <w:rsid w:val="00A06EA5"/>
    <w:rsid w:val="00A0713F"/>
    <w:rsid w:val="00A0715E"/>
    <w:rsid w:val="00A0728D"/>
    <w:rsid w:val="00A07BBD"/>
    <w:rsid w:val="00A07F27"/>
    <w:rsid w:val="00A07F68"/>
    <w:rsid w:val="00A10494"/>
    <w:rsid w:val="00A10606"/>
    <w:rsid w:val="00A10958"/>
    <w:rsid w:val="00A10F18"/>
    <w:rsid w:val="00A10F48"/>
    <w:rsid w:val="00A110B7"/>
    <w:rsid w:val="00A111EC"/>
    <w:rsid w:val="00A11AF1"/>
    <w:rsid w:val="00A11CBE"/>
    <w:rsid w:val="00A11DF1"/>
    <w:rsid w:val="00A12579"/>
    <w:rsid w:val="00A127E9"/>
    <w:rsid w:val="00A12EAA"/>
    <w:rsid w:val="00A13196"/>
    <w:rsid w:val="00A1319F"/>
    <w:rsid w:val="00A135F9"/>
    <w:rsid w:val="00A137FB"/>
    <w:rsid w:val="00A1389A"/>
    <w:rsid w:val="00A13DF5"/>
    <w:rsid w:val="00A1408A"/>
    <w:rsid w:val="00A1411E"/>
    <w:rsid w:val="00A14414"/>
    <w:rsid w:val="00A14E4C"/>
    <w:rsid w:val="00A153A0"/>
    <w:rsid w:val="00A157FA"/>
    <w:rsid w:val="00A15EFF"/>
    <w:rsid w:val="00A15F8F"/>
    <w:rsid w:val="00A15FE9"/>
    <w:rsid w:val="00A160C3"/>
    <w:rsid w:val="00A16654"/>
    <w:rsid w:val="00A1694C"/>
    <w:rsid w:val="00A16B89"/>
    <w:rsid w:val="00A16DC4"/>
    <w:rsid w:val="00A16FB8"/>
    <w:rsid w:val="00A17464"/>
    <w:rsid w:val="00A17805"/>
    <w:rsid w:val="00A179AD"/>
    <w:rsid w:val="00A17F49"/>
    <w:rsid w:val="00A17F9E"/>
    <w:rsid w:val="00A20465"/>
    <w:rsid w:val="00A204C0"/>
    <w:rsid w:val="00A20BA4"/>
    <w:rsid w:val="00A20D20"/>
    <w:rsid w:val="00A20EB4"/>
    <w:rsid w:val="00A211D4"/>
    <w:rsid w:val="00A21315"/>
    <w:rsid w:val="00A21330"/>
    <w:rsid w:val="00A21470"/>
    <w:rsid w:val="00A21700"/>
    <w:rsid w:val="00A219CE"/>
    <w:rsid w:val="00A21DD4"/>
    <w:rsid w:val="00A21F66"/>
    <w:rsid w:val="00A2301F"/>
    <w:rsid w:val="00A23494"/>
    <w:rsid w:val="00A23BC6"/>
    <w:rsid w:val="00A25208"/>
    <w:rsid w:val="00A25DF2"/>
    <w:rsid w:val="00A26158"/>
    <w:rsid w:val="00A2652A"/>
    <w:rsid w:val="00A2680A"/>
    <w:rsid w:val="00A27040"/>
    <w:rsid w:val="00A27611"/>
    <w:rsid w:val="00A279C9"/>
    <w:rsid w:val="00A27E76"/>
    <w:rsid w:val="00A303FC"/>
    <w:rsid w:val="00A304A8"/>
    <w:rsid w:val="00A305BE"/>
    <w:rsid w:val="00A309A8"/>
    <w:rsid w:val="00A30AC1"/>
    <w:rsid w:val="00A30DAB"/>
    <w:rsid w:val="00A31724"/>
    <w:rsid w:val="00A31944"/>
    <w:rsid w:val="00A31D0A"/>
    <w:rsid w:val="00A31D9A"/>
    <w:rsid w:val="00A320E1"/>
    <w:rsid w:val="00A32969"/>
    <w:rsid w:val="00A32CDB"/>
    <w:rsid w:val="00A332F7"/>
    <w:rsid w:val="00A336BB"/>
    <w:rsid w:val="00A33899"/>
    <w:rsid w:val="00A33C22"/>
    <w:rsid w:val="00A33D3F"/>
    <w:rsid w:val="00A34045"/>
    <w:rsid w:val="00A341DD"/>
    <w:rsid w:val="00A34669"/>
    <w:rsid w:val="00A34C1A"/>
    <w:rsid w:val="00A34EDA"/>
    <w:rsid w:val="00A34FAF"/>
    <w:rsid w:val="00A34FD2"/>
    <w:rsid w:val="00A355C6"/>
    <w:rsid w:val="00A35CE7"/>
    <w:rsid w:val="00A36029"/>
    <w:rsid w:val="00A36232"/>
    <w:rsid w:val="00A364BF"/>
    <w:rsid w:val="00A36767"/>
    <w:rsid w:val="00A36CD7"/>
    <w:rsid w:val="00A36FA6"/>
    <w:rsid w:val="00A371E9"/>
    <w:rsid w:val="00A3721D"/>
    <w:rsid w:val="00A372CF"/>
    <w:rsid w:val="00A373F0"/>
    <w:rsid w:val="00A3763D"/>
    <w:rsid w:val="00A37E22"/>
    <w:rsid w:val="00A4054E"/>
    <w:rsid w:val="00A40BAA"/>
    <w:rsid w:val="00A414AB"/>
    <w:rsid w:val="00A4166F"/>
    <w:rsid w:val="00A41AA0"/>
    <w:rsid w:val="00A42108"/>
    <w:rsid w:val="00A4214B"/>
    <w:rsid w:val="00A42213"/>
    <w:rsid w:val="00A42730"/>
    <w:rsid w:val="00A42807"/>
    <w:rsid w:val="00A42839"/>
    <w:rsid w:val="00A428E6"/>
    <w:rsid w:val="00A42ACB"/>
    <w:rsid w:val="00A42F8D"/>
    <w:rsid w:val="00A4308D"/>
    <w:rsid w:val="00A430A5"/>
    <w:rsid w:val="00A43852"/>
    <w:rsid w:val="00A438B1"/>
    <w:rsid w:val="00A438D0"/>
    <w:rsid w:val="00A449F3"/>
    <w:rsid w:val="00A44B01"/>
    <w:rsid w:val="00A44F8A"/>
    <w:rsid w:val="00A4571B"/>
    <w:rsid w:val="00A4574D"/>
    <w:rsid w:val="00A45B7F"/>
    <w:rsid w:val="00A45CAD"/>
    <w:rsid w:val="00A45FF1"/>
    <w:rsid w:val="00A46BBB"/>
    <w:rsid w:val="00A472D1"/>
    <w:rsid w:val="00A477B3"/>
    <w:rsid w:val="00A4787F"/>
    <w:rsid w:val="00A47A8F"/>
    <w:rsid w:val="00A47AD0"/>
    <w:rsid w:val="00A47C27"/>
    <w:rsid w:val="00A5013E"/>
    <w:rsid w:val="00A507B3"/>
    <w:rsid w:val="00A50BA7"/>
    <w:rsid w:val="00A50D05"/>
    <w:rsid w:val="00A50D50"/>
    <w:rsid w:val="00A50DCF"/>
    <w:rsid w:val="00A50F33"/>
    <w:rsid w:val="00A514E1"/>
    <w:rsid w:val="00A516A3"/>
    <w:rsid w:val="00A516C8"/>
    <w:rsid w:val="00A51E94"/>
    <w:rsid w:val="00A52771"/>
    <w:rsid w:val="00A53B66"/>
    <w:rsid w:val="00A53C00"/>
    <w:rsid w:val="00A53E1A"/>
    <w:rsid w:val="00A5457F"/>
    <w:rsid w:val="00A55226"/>
    <w:rsid w:val="00A55451"/>
    <w:rsid w:val="00A554FC"/>
    <w:rsid w:val="00A5589C"/>
    <w:rsid w:val="00A558ED"/>
    <w:rsid w:val="00A559A2"/>
    <w:rsid w:val="00A55DE4"/>
    <w:rsid w:val="00A56142"/>
    <w:rsid w:val="00A56572"/>
    <w:rsid w:val="00A56CD7"/>
    <w:rsid w:val="00A56F47"/>
    <w:rsid w:val="00A570E9"/>
    <w:rsid w:val="00A571D4"/>
    <w:rsid w:val="00A572E2"/>
    <w:rsid w:val="00A5772A"/>
    <w:rsid w:val="00A57DA4"/>
    <w:rsid w:val="00A57F2A"/>
    <w:rsid w:val="00A604A5"/>
    <w:rsid w:val="00A6061E"/>
    <w:rsid w:val="00A60678"/>
    <w:rsid w:val="00A60918"/>
    <w:rsid w:val="00A60F0D"/>
    <w:rsid w:val="00A60FE7"/>
    <w:rsid w:val="00A6102B"/>
    <w:rsid w:val="00A61365"/>
    <w:rsid w:val="00A61552"/>
    <w:rsid w:val="00A615FE"/>
    <w:rsid w:val="00A61625"/>
    <w:rsid w:val="00A6169B"/>
    <w:rsid w:val="00A61706"/>
    <w:rsid w:val="00A61A8F"/>
    <w:rsid w:val="00A61B77"/>
    <w:rsid w:val="00A62AE6"/>
    <w:rsid w:val="00A63874"/>
    <w:rsid w:val="00A6422B"/>
    <w:rsid w:val="00A64410"/>
    <w:rsid w:val="00A644C4"/>
    <w:rsid w:val="00A6492F"/>
    <w:rsid w:val="00A64DC5"/>
    <w:rsid w:val="00A6534D"/>
    <w:rsid w:val="00A65654"/>
    <w:rsid w:val="00A6577C"/>
    <w:rsid w:val="00A65C72"/>
    <w:rsid w:val="00A65D55"/>
    <w:rsid w:val="00A65D79"/>
    <w:rsid w:val="00A65E6D"/>
    <w:rsid w:val="00A662AB"/>
    <w:rsid w:val="00A66688"/>
    <w:rsid w:val="00A667EE"/>
    <w:rsid w:val="00A669F8"/>
    <w:rsid w:val="00A66BD9"/>
    <w:rsid w:val="00A67249"/>
    <w:rsid w:val="00A674C3"/>
    <w:rsid w:val="00A7002A"/>
    <w:rsid w:val="00A701F9"/>
    <w:rsid w:val="00A702C1"/>
    <w:rsid w:val="00A707D8"/>
    <w:rsid w:val="00A70875"/>
    <w:rsid w:val="00A7130E"/>
    <w:rsid w:val="00A714A3"/>
    <w:rsid w:val="00A719F5"/>
    <w:rsid w:val="00A722EB"/>
    <w:rsid w:val="00A727FF"/>
    <w:rsid w:val="00A72D6F"/>
    <w:rsid w:val="00A72F29"/>
    <w:rsid w:val="00A731DD"/>
    <w:rsid w:val="00A732EC"/>
    <w:rsid w:val="00A73AF5"/>
    <w:rsid w:val="00A73C8E"/>
    <w:rsid w:val="00A73FBF"/>
    <w:rsid w:val="00A743D7"/>
    <w:rsid w:val="00A745FD"/>
    <w:rsid w:val="00A7463E"/>
    <w:rsid w:val="00A7467C"/>
    <w:rsid w:val="00A74746"/>
    <w:rsid w:val="00A7484B"/>
    <w:rsid w:val="00A74892"/>
    <w:rsid w:val="00A7525D"/>
    <w:rsid w:val="00A75545"/>
    <w:rsid w:val="00A75574"/>
    <w:rsid w:val="00A758D8"/>
    <w:rsid w:val="00A759AB"/>
    <w:rsid w:val="00A75AB7"/>
    <w:rsid w:val="00A75B6D"/>
    <w:rsid w:val="00A75C6D"/>
    <w:rsid w:val="00A760D4"/>
    <w:rsid w:val="00A76A97"/>
    <w:rsid w:val="00A76C0A"/>
    <w:rsid w:val="00A77263"/>
    <w:rsid w:val="00A77323"/>
    <w:rsid w:val="00A773A3"/>
    <w:rsid w:val="00A77459"/>
    <w:rsid w:val="00A776FA"/>
    <w:rsid w:val="00A77787"/>
    <w:rsid w:val="00A77B0A"/>
    <w:rsid w:val="00A805F9"/>
    <w:rsid w:val="00A80AD2"/>
    <w:rsid w:val="00A80DA4"/>
    <w:rsid w:val="00A8109A"/>
    <w:rsid w:val="00A81F0B"/>
    <w:rsid w:val="00A82010"/>
    <w:rsid w:val="00A8228A"/>
    <w:rsid w:val="00A8228B"/>
    <w:rsid w:val="00A822A1"/>
    <w:rsid w:val="00A82641"/>
    <w:rsid w:val="00A826A2"/>
    <w:rsid w:val="00A826BB"/>
    <w:rsid w:val="00A8320E"/>
    <w:rsid w:val="00A83219"/>
    <w:rsid w:val="00A8334C"/>
    <w:rsid w:val="00A83A40"/>
    <w:rsid w:val="00A84831"/>
    <w:rsid w:val="00A8484F"/>
    <w:rsid w:val="00A85347"/>
    <w:rsid w:val="00A858F3"/>
    <w:rsid w:val="00A85B24"/>
    <w:rsid w:val="00A85BF5"/>
    <w:rsid w:val="00A864A5"/>
    <w:rsid w:val="00A870FC"/>
    <w:rsid w:val="00A878F5"/>
    <w:rsid w:val="00A90023"/>
    <w:rsid w:val="00A90681"/>
    <w:rsid w:val="00A90748"/>
    <w:rsid w:val="00A9099B"/>
    <w:rsid w:val="00A90B9D"/>
    <w:rsid w:val="00A90C22"/>
    <w:rsid w:val="00A90D1D"/>
    <w:rsid w:val="00A910EB"/>
    <w:rsid w:val="00A91104"/>
    <w:rsid w:val="00A91581"/>
    <w:rsid w:val="00A9187F"/>
    <w:rsid w:val="00A91A64"/>
    <w:rsid w:val="00A91CF2"/>
    <w:rsid w:val="00A9248D"/>
    <w:rsid w:val="00A92E35"/>
    <w:rsid w:val="00A93018"/>
    <w:rsid w:val="00A931AA"/>
    <w:rsid w:val="00A9353A"/>
    <w:rsid w:val="00A9368D"/>
    <w:rsid w:val="00A937C0"/>
    <w:rsid w:val="00A93B48"/>
    <w:rsid w:val="00A93BA4"/>
    <w:rsid w:val="00A94227"/>
    <w:rsid w:val="00A945F2"/>
    <w:rsid w:val="00A94974"/>
    <w:rsid w:val="00A94BA3"/>
    <w:rsid w:val="00A94CD5"/>
    <w:rsid w:val="00A954A2"/>
    <w:rsid w:val="00A95B91"/>
    <w:rsid w:val="00A95CB9"/>
    <w:rsid w:val="00A95F12"/>
    <w:rsid w:val="00A962F5"/>
    <w:rsid w:val="00A96683"/>
    <w:rsid w:val="00A967B9"/>
    <w:rsid w:val="00A96DB5"/>
    <w:rsid w:val="00A97085"/>
    <w:rsid w:val="00A9754A"/>
    <w:rsid w:val="00A976A9"/>
    <w:rsid w:val="00A9787E"/>
    <w:rsid w:val="00A97B49"/>
    <w:rsid w:val="00A97CF6"/>
    <w:rsid w:val="00A97F24"/>
    <w:rsid w:val="00AA0F7D"/>
    <w:rsid w:val="00AA1210"/>
    <w:rsid w:val="00AA1485"/>
    <w:rsid w:val="00AA1723"/>
    <w:rsid w:val="00AA1AD1"/>
    <w:rsid w:val="00AA1B5D"/>
    <w:rsid w:val="00AA1F81"/>
    <w:rsid w:val="00AA27E3"/>
    <w:rsid w:val="00AA2B08"/>
    <w:rsid w:val="00AA3343"/>
    <w:rsid w:val="00AA33C6"/>
    <w:rsid w:val="00AA3DC1"/>
    <w:rsid w:val="00AA3E86"/>
    <w:rsid w:val="00AA3EBC"/>
    <w:rsid w:val="00AA3F20"/>
    <w:rsid w:val="00AA4046"/>
    <w:rsid w:val="00AA4856"/>
    <w:rsid w:val="00AA4B78"/>
    <w:rsid w:val="00AA4B9E"/>
    <w:rsid w:val="00AA4F33"/>
    <w:rsid w:val="00AA5000"/>
    <w:rsid w:val="00AA5A3C"/>
    <w:rsid w:val="00AA5A47"/>
    <w:rsid w:val="00AA612E"/>
    <w:rsid w:val="00AA6664"/>
    <w:rsid w:val="00AA668B"/>
    <w:rsid w:val="00AA6A54"/>
    <w:rsid w:val="00AA6DEA"/>
    <w:rsid w:val="00AA739E"/>
    <w:rsid w:val="00AA78A2"/>
    <w:rsid w:val="00AA7D75"/>
    <w:rsid w:val="00AB02EB"/>
    <w:rsid w:val="00AB07EF"/>
    <w:rsid w:val="00AB0A07"/>
    <w:rsid w:val="00AB0FA5"/>
    <w:rsid w:val="00AB108D"/>
    <w:rsid w:val="00AB1157"/>
    <w:rsid w:val="00AB1863"/>
    <w:rsid w:val="00AB2107"/>
    <w:rsid w:val="00AB28A6"/>
    <w:rsid w:val="00AB28E7"/>
    <w:rsid w:val="00AB34BF"/>
    <w:rsid w:val="00AB4155"/>
    <w:rsid w:val="00AB4A8F"/>
    <w:rsid w:val="00AB4C16"/>
    <w:rsid w:val="00AB5333"/>
    <w:rsid w:val="00AB556C"/>
    <w:rsid w:val="00AB573C"/>
    <w:rsid w:val="00AB5861"/>
    <w:rsid w:val="00AB6132"/>
    <w:rsid w:val="00AB680D"/>
    <w:rsid w:val="00AB6AD0"/>
    <w:rsid w:val="00AB6D27"/>
    <w:rsid w:val="00AB6DA3"/>
    <w:rsid w:val="00AB7120"/>
    <w:rsid w:val="00AB7A60"/>
    <w:rsid w:val="00AB7AD9"/>
    <w:rsid w:val="00AC00E7"/>
    <w:rsid w:val="00AC0683"/>
    <w:rsid w:val="00AC06C7"/>
    <w:rsid w:val="00AC0A19"/>
    <w:rsid w:val="00AC0E5F"/>
    <w:rsid w:val="00AC12B5"/>
    <w:rsid w:val="00AC156E"/>
    <w:rsid w:val="00AC1743"/>
    <w:rsid w:val="00AC1F11"/>
    <w:rsid w:val="00AC1F81"/>
    <w:rsid w:val="00AC20E8"/>
    <w:rsid w:val="00AC2566"/>
    <w:rsid w:val="00AC27E2"/>
    <w:rsid w:val="00AC2EC2"/>
    <w:rsid w:val="00AC3132"/>
    <w:rsid w:val="00AC3643"/>
    <w:rsid w:val="00AC47EA"/>
    <w:rsid w:val="00AC4999"/>
    <w:rsid w:val="00AC5A77"/>
    <w:rsid w:val="00AC5E20"/>
    <w:rsid w:val="00AC62F6"/>
    <w:rsid w:val="00AC645F"/>
    <w:rsid w:val="00AC6986"/>
    <w:rsid w:val="00AC6E2D"/>
    <w:rsid w:val="00AC6F3B"/>
    <w:rsid w:val="00AC6FF7"/>
    <w:rsid w:val="00AC7354"/>
    <w:rsid w:val="00AC7B86"/>
    <w:rsid w:val="00AD034B"/>
    <w:rsid w:val="00AD0401"/>
    <w:rsid w:val="00AD0599"/>
    <w:rsid w:val="00AD0771"/>
    <w:rsid w:val="00AD0910"/>
    <w:rsid w:val="00AD09E0"/>
    <w:rsid w:val="00AD0D28"/>
    <w:rsid w:val="00AD0D84"/>
    <w:rsid w:val="00AD0DFF"/>
    <w:rsid w:val="00AD0EDB"/>
    <w:rsid w:val="00AD1191"/>
    <w:rsid w:val="00AD144C"/>
    <w:rsid w:val="00AD189D"/>
    <w:rsid w:val="00AD1BA2"/>
    <w:rsid w:val="00AD1C49"/>
    <w:rsid w:val="00AD1DAA"/>
    <w:rsid w:val="00AD1E16"/>
    <w:rsid w:val="00AD1EB7"/>
    <w:rsid w:val="00AD2437"/>
    <w:rsid w:val="00AD2838"/>
    <w:rsid w:val="00AD29C9"/>
    <w:rsid w:val="00AD2E05"/>
    <w:rsid w:val="00AD2E4C"/>
    <w:rsid w:val="00AD356E"/>
    <w:rsid w:val="00AD3CD0"/>
    <w:rsid w:val="00AD3F78"/>
    <w:rsid w:val="00AD4078"/>
    <w:rsid w:val="00AD4328"/>
    <w:rsid w:val="00AD43C3"/>
    <w:rsid w:val="00AD46A4"/>
    <w:rsid w:val="00AD4A03"/>
    <w:rsid w:val="00AD4DCE"/>
    <w:rsid w:val="00AD5E56"/>
    <w:rsid w:val="00AD641C"/>
    <w:rsid w:val="00AD6C08"/>
    <w:rsid w:val="00AD6F25"/>
    <w:rsid w:val="00AE0C1B"/>
    <w:rsid w:val="00AE13A9"/>
    <w:rsid w:val="00AE17DD"/>
    <w:rsid w:val="00AE200F"/>
    <w:rsid w:val="00AE2207"/>
    <w:rsid w:val="00AE24EC"/>
    <w:rsid w:val="00AE27CF"/>
    <w:rsid w:val="00AE2888"/>
    <w:rsid w:val="00AE349D"/>
    <w:rsid w:val="00AE37D8"/>
    <w:rsid w:val="00AE38D4"/>
    <w:rsid w:val="00AE3E50"/>
    <w:rsid w:val="00AE4129"/>
    <w:rsid w:val="00AE41C2"/>
    <w:rsid w:val="00AE4236"/>
    <w:rsid w:val="00AE4532"/>
    <w:rsid w:val="00AE4AE0"/>
    <w:rsid w:val="00AE4C31"/>
    <w:rsid w:val="00AE4E2C"/>
    <w:rsid w:val="00AE52CF"/>
    <w:rsid w:val="00AE55E3"/>
    <w:rsid w:val="00AE56D8"/>
    <w:rsid w:val="00AE5981"/>
    <w:rsid w:val="00AE5D31"/>
    <w:rsid w:val="00AE62A0"/>
    <w:rsid w:val="00AE64A9"/>
    <w:rsid w:val="00AE6653"/>
    <w:rsid w:val="00AE6881"/>
    <w:rsid w:val="00AE70A5"/>
    <w:rsid w:val="00AE76F9"/>
    <w:rsid w:val="00AE79C9"/>
    <w:rsid w:val="00AF011C"/>
    <w:rsid w:val="00AF073D"/>
    <w:rsid w:val="00AF0D51"/>
    <w:rsid w:val="00AF0FBA"/>
    <w:rsid w:val="00AF1A29"/>
    <w:rsid w:val="00AF1E94"/>
    <w:rsid w:val="00AF2098"/>
    <w:rsid w:val="00AF25B5"/>
    <w:rsid w:val="00AF29DD"/>
    <w:rsid w:val="00AF2B55"/>
    <w:rsid w:val="00AF2F9B"/>
    <w:rsid w:val="00AF3021"/>
    <w:rsid w:val="00AF302B"/>
    <w:rsid w:val="00AF3246"/>
    <w:rsid w:val="00AF33AC"/>
    <w:rsid w:val="00AF3421"/>
    <w:rsid w:val="00AF344C"/>
    <w:rsid w:val="00AF34B6"/>
    <w:rsid w:val="00AF35D4"/>
    <w:rsid w:val="00AF3DF0"/>
    <w:rsid w:val="00AF3E31"/>
    <w:rsid w:val="00AF4375"/>
    <w:rsid w:val="00AF4C1B"/>
    <w:rsid w:val="00AF562D"/>
    <w:rsid w:val="00AF56ED"/>
    <w:rsid w:val="00AF5BB8"/>
    <w:rsid w:val="00AF5BE6"/>
    <w:rsid w:val="00AF5C19"/>
    <w:rsid w:val="00AF5DCD"/>
    <w:rsid w:val="00AF636C"/>
    <w:rsid w:val="00AF63E8"/>
    <w:rsid w:val="00AF64E5"/>
    <w:rsid w:val="00AF6B2E"/>
    <w:rsid w:val="00AF6D7E"/>
    <w:rsid w:val="00AF6E79"/>
    <w:rsid w:val="00AF6ECC"/>
    <w:rsid w:val="00AF74B4"/>
    <w:rsid w:val="00AF76CF"/>
    <w:rsid w:val="00AF784C"/>
    <w:rsid w:val="00AF79BD"/>
    <w:rsid w:val="00AF79E9"/>
    <w:rsid w:val="00AF7F8A"/>
    <w:rsid w:val="00B005EB"/>
    <w:rsid w:val="00B00899"/>
    <w:rsid w:val="00B00BD4"/>
    <w:rsid w:val="00B00D3D"/>
    <w:rsid w:val="00B01295"/>
    <w:rsid w:val="00B01594"/>
    <w:rsid w:val="00B01C63"/>
    <w:rsid w:val="00B01C67"/>
    <w:rsid w:val="00B01CEF"/>
    <w:rsid w:val="00B02083"/>
    <w:rsid w:val="00B020EB"/>
    <w:rsid w:val="00B02A53"/>
    <w:rsid w:val="00B03090"/>
    <w:rsid w:val="00B0316E"/>
    <w:rsid w:val="00B0334F"/>
    <w:rsid w:val="00B0360B"/>
    <w:rsid w:val="00B04041"/>
    <w:rsid w:val="00B04360"/>
    <w:rsid w:val="00B048F6"/>
    <w:rsid w:val="00B04AA9"/>
    <w:rsid w:val="00B04B7A"/>
    <w:rsid w:val="00B04D16"/>
    <w:rsid w:val="00B04EC1"/>
    <w:rsid w:val="00B05FDA"/>
    <w:rsid w:val="00B061CF"/>
    <w:rsid w:val="00B06482"/>
    <w:rsid w:val="00B0658C"/>
    <w:rsid w:val="00B0693A"/>
    <w:rsid w:val="00B06A7A"/>
    <w:rsid w:val="00B06EBD"/>
    <w:rsid w:val="00B06F03"/>
    <w:rsid w:val="00B078DF"/>
    <w:rsid w:val="00B079A5"/>
    <w:rsid w:val="00B079BF"/>
    <w:rsid w:val="00B10468"/>
    <w:rsid w:val="00B1083F"/>
    <w:rsid w:val="00B1137C"/>
    <w:rsid w:val="00B115FE"/>
    <w:rsid w:val="00B11EE5"/>
    <w:rsid w:val="00B12065"/>
    <w:rsid w:val="00B121E3"/>
    <w:rsid w:val="00B1225D"/>
    <w:rsid w:val="00B12721"/>
    <w:rsid w:val="00B12E7A"/>
    <w:rsid w:val="00B1304E"/>
    <w:rsid w:val="00B13571"/>
    <w:rsid w:val="00B1386A"/>
    <w:rsid w:val="00B1389B"/>
    <w:rsid w:val="00B13C4F"/>
    <w:rsid w:val="00B13D7F"/>
    <w:rsid w:val="00B13E21"/>
    <w:rsid w:val="00B13F65"/>
    <w:rsid w:val="00B14229"/>
    <w:rsid w:val="00B147DB"/>
    <w:rsid w:val="00B148F5"/>
    <w:rsid w:val="00B1502D"/>
    <w:rsid w:val="00B15154"/>
    <w:rsid w:val="00B153AC"/>
    <w:rsid w:val="00B159FF"/>
    <w:rsid w:val="00B15D35"/>
    <w:rsid w:val="00B15DC3"/>
    <w:rsid w:val="00B16132"/>
    <w:rsid w:val="00B164DB"/>
    <w:rsid w:val="00B16986"/>
    <w:rsid w:val="00B16A15"/>
    <w:rsid w:val="00B16F54"/>
    <w:rsid w:val="00B17132"/>
    <w:rsid w:val="00B1774C"/>
    <w:rsid w:val="00B17886"/>
    <w:rsid w:val="00B17A80"/>
    <w:rsid w:val="00B17C28"/>
    <w:rsid w:val="00B17D10"/>
    <w:rsid w:val="00B17DB7"/>
    <w:rsid w:val="00B2025A"/>
    <w:rsid w:val="00B207E1"/>
    <w:rsid w:val="00B207E3"/>
    <w:rsid w:val="00B20884"/>
    <w:rsid w:val="00B20BD0"/>
    <w:rsid w:val="00B21A8E"/>
    <w:rsid w:val="00B21F47"/>
    <w:rsid w:val="00B22238"/>
    <w:rsid w:val="00B2238D"/>
    <w:rsid w:val="00B2239E"/>
    <w:rsid w:val="00B2256A"/>
    <w:rsid w:val="00B22659"/>
    <w:rsid w:val="00B22782"/>
    <w:rsid w:val="00B22D3A"/>
    <w:rsid w:val="00B22F26"/>
    <w:rsid w:val="00B23428"/>
    <w:rsid w:val="00B242C4"/>
    <w:rsid w:val="00B242EC"/>
    <w:rsid w:val="00B24EAE"/>
    <w:rsid w:val="00B25CA4"/>
    <w:rsid w:val="00B26676"/>
    <w:rsid w:val="00B27096"/>
    <w:rsid w:val="00B271C1"/>
    <w:rsid w:val="00B302C7"/>
    <w:rsid w:val="00B3077E"/>
    <w:rsid w:val="00B307B1"/>
    <w:rsid w:val="00B30963"/>
    <w:rsid w:val="00B30A80"/>
    <w:rsid w:val="00B30B4A"/>
    <w:rsid w:val="00B30DD2"/>
    <w:rsid w:val="00B3135F"/>
    <w:rsid w:val="00B3178E"/>
    <w:rsid w:val="00B317E8"/>
    <w:rsid w:val="00B317F8"/>
    <w:rsid w:val="00B31CCB"/>
    <w:rsid w:val="00B32750"/>
    <w:rsid w:val="00B32EBD"/>
    <w:rsid w:val="00B33154"/>
    <w:rsid w:val="00B334C7"/>
    <w:rsid w:val="00B337A6"/>
    <w:rsid w:val="00B33F04"/>
    <w:rsid w:val="00B349B6"/>
    <w:rsid w:val="00B34FE6"/>
    <w:rsid w:val="00B3538A"/>
    <w:rsid w:val="00B35411"/>
    <w:rsid w:val="00B35880"/>
    <w:rsid w:val="00B358FA"/>
    <w:rsid w:val="00B359B9"/>
    <w:rsid w:val="00B35BD3"/>
    <w:rsid w:val="00B35D08"/>
    <w:rsid w:val="00B35D24"/>
    <w:rsid w:val="00B35F28"/>
    <w:rsid w:val="00B361EA"/>
    <w:rsid w:val="00B36406"/>
    <w:rsid w:val="00B368D4"/>
    <w:rsid w:val="00B36D0D"/>
    <w:rsid w:val="00B36DB4"/>
    <w:rsid w:val="00B36F36"/>
    <w:rsid w:val="00B370E2"/>
    <w:rsid w:val="00B375F6"/>
    <w:rsid w:val="00B377AF"/>
    <w:rsid w:val="00B378DD"/>
    <w:rsid w:val="00B37DCF"/>
    <w:rsid w:val="00B4002F"/>
    <w:rsid w:val="00B4047F"/>
    <w:rsid w:val="00B409FF"/>
    <w:rsid w:val="00B4128C"/>
    <w:rsid w:val="00B412FA"/>
    <w:rsid w:val="00B413FB"/>
    <w:rsid w:val="00B41E7D"/>
    <w:rsid w:val="00B42186"/>
    <w:rsid w:val="00B42512"/>
    <w:rsid w:val="00B425E8"/>
    <w:rsid w:val="00B42898"/>
    <w:rsid w:val="00B42DCF"/>
    <w:rsid w:val="00B42E7D"/>
    <w:rsid w:val="00B430DD"/>
    <w:rsid w:val="00B43524"/>
    <w:rsid w:val="00B43681"/>
    <w:rsid w:val="00B43873"/>
    <w:rsid w:val="00B4398C"/>
    <w:rsid w:val="00B442CF"/>
    <w:rsid w:val="00B44980"/>
    <w:rsid w:val="00B450D0"/>
    <w:rsid w:val="00B4527E"/>
    <w:rsid w:val="00B4535E"/>
    <w:rsid w:val="00B454EA"/>
    <w:rsid w:val="00B4556E"/>
    <w:rsid w:val="00B456D9"/>
    <w:rsid w:val="00B4582F"/>
    <w:rsid w:val="00B45ADA"/>
    <w:rsid w:val="00B45C27"/>
    <w:rsid w:val="00B4647E"/>
    <w:rsid w:val="00B46726"/>
    <w:rsid w:val="00B46951"/>
    <w:rsid w:val="00B46D9B"/>
    <w:rsid w:val="00B4740C"/>
    <w:rsid w:val="00B475CC"/>
    <w:rsid w:val="00B47A51"/>
    <w:rsid w:val="00B47BB4"/>
    <w:rsid w:val="00B47C8E"/>
    <w:rsid w:val="00B47F0C"/>
    <w:rsid w:val="00B5010A"/>
    <w:rsid w:val="00B50582"/>
    <w:rsid w:val="00B50C83"/>
    <w:rsid w:val="00B5110A"/>
    <w:rsid w:val="00B51198"/>
    <w:rsid w:val="00B5129F"/>
    <w:rsid w:val="00B517DF"/>
    <w:rsid w:val="00B51988"/>
    <w:rsid w:val="00B51BC7"/>
    <w:rsid w:val="00B5204C"/>
    <w:rsid w:val="00B53653"/>
    <w:rsid w:val="00B53A27"/>
    <w:rsid w:val="00B53C77"/>
    <w:rsid w:val="00B53CAA"/>
    <w:rsid w:val="00B53D0C"/>
    <w:rsid w:val="00B53D89"/>
    <w:rsid w:val="00B53F17"/>
    <w:rsid w:val="00B5436D"/>
    <w:rsid w:val="00B543AE"/>
    <w:rsid w:val="00B54CA8"/>
    <w:rsid w:val="00B54D56"/>
    <w:rsid w:val="00B54EA8"/>
    <w:rsid w:val="00B555EB"/>
    <w:rsid w:val="00B55883"/>
    <w:rsid w:val="00B55D21"/>
    <w:rsid w:val="00B55D6C"/>
    <w:rsid w:val="00B56045"/>
    <w:rsid w:val="00B56103"/>
    <w:rsid w:val="00B5612C"/>
    <w:rsid w:val="00B5619A"/>
    <w:rsid w:val="00B56273"/>
    <w:rsid w:val="00B56635"/>
    <w:rsid w:val="00B566F4"/>
    <w:rsid w:val="00B56999"/>
    <w:rsid w:val="00B56FED"/>
    <w:rsid w:val="00B5712A"/>
    <w:rsid w:val="00B605C7"/>
    <w:rsid w:val="00B6060B"/>
    <w:rsid w:val="00B6060C"/>
    <w:rsid w:val="00B606EC"/>
    <w:rsid w:val="00B60892"/>
    <w:rsid w:val="00B60B30"/>
    <w:rsid w:val="00B614BE"/>
    <w:rsid w:val="00B62016"/>
    <w:rsid w:val="00B626E6"/>
    <w:rsid w:val="00B628B1"/>
    <w:rsid w:val="00B62F63"/>
    <w:rsid w:val="00B636E1"/>
    <w:rsid w:val="00B63DE0"/>
    <w:rsid w:val="00B63DE7"/>
    <w:rsid w:val="00B640AB"/>
    <w:rsid w:val="00B640D1"/>
    <w:rsid w:val="00B64126"/>
    <w:rsid w:val="00B64260"/>
    <w:rsid w:val="00B648FD"/>
    <w:rsid w:val="00B64984"/>
    <w:rsid w:val="00B64BBD"/>
    <w:rsid w:val="00B6562E"/>
    <w:rsid w:val="00B65C11"/>
    <w:rsid w:val="00B65C1E"/>
    <w:rsid w:val="00B65D9D"/>
    <w:rsid w:val="00B65F62"/>
    <w:rsid w:val="00B65F86"/>
    <w:rsid w:val="00B6611D"/>
    <w:rsid w:val="00B66164"/>
    <w:rsid w:val="00B6635C"/>
    <w:rsid w:val="00B663C5"/>
    <w:rsid w:val="00B6693F"/>
    <w:rsid w:val="00B66C68"/>
    <w:rsid w:val="00B66FD2"/>
    <w:rsid w:val="00B670DF"/>
    <w:rsid w:val="00B6719E"/>
    <w:rsid w:val="00B6752E"/>
    <w:rsid w:val="00B677A6"/>
    <w:rsid w:val="00B677AE"/>
    <w:rsid w:val="00B67946"/>
    <w:rsid w:val="00B701A2"/>
    <w:rsid w:val="00B7034B"/>
    <w:rsid w:val="00B70CFD"/>
    <w:rsid w:val="00B71726"/>
    <w:rsid w:val="00B717CC"/>
    <w:rsid w:val="00B71ED1"/>
    <w:rsid w:val="00B71FD1"/>
    <w:rsid w:val="00B7216A"/>
    <w:rsid w:val="00B72858"/>
    <w:rsid w:val="00B7295E"/>
    <w:rsid w:val="00B729E1"/>
    <w:rsid w:val="00B72BDB"/>
    <w:rsid w:val="00B73053"/>
    <w:rsid w:val="00B730D0"/>
    <w:rsid w:val="00B73598"/>
    <w:rsid w:val="00B737BF"/>
    <w:rsid w:val="00B7392F"/>
    <w:rsid w:val="00B73DC4"/>
    <w:rsid w:val="00B740B2"/>
    <w:rsid w:val="00B740BF"/>
    <w:rsid w:val="00B74229"/>
    <w:rsid w:val="00B748BF"/>
    <w:rsid w:val="00B74BD4"/>
    <w:rsid w:val="00B74D7C"/>
    <w:rsid w:val="00B74DDE"/>
    <w:rsid w:val="00B74E7A"/>
    <w:rsid w:val="00B74E9B"/>
    <w:rsid w:val="00B74FA3"/>
    <w:rsid w:val="00B75208"/>
    <w:rsid w:val="00B75231"/>
    <w:rsid w:val="00B75524"/>
    <w:rsid w:val="00B75BD4"/>
    <w:rsid w:val="00B75C50"/>
    <w:rsid w:val="00B75D42"/>
    <w:rsid w:val="00B762B5"/>
    <w:rsid w:val="00B76526"/>
    <w:rsid w:val="00B7673A"/>
    <w:rsid w:val="00B767AB"/>
    <w:rsid w:val="00B7681A"/>
    <w:rsid w:val="00B775D2"/>
    <w:rsid w:val="00B77E3A"/>
    <w:rsid w:val="00B80582"/>
    <w:rsid w:val="00B81134"/>
    <w:rsid w:val="00B817C5"/>
    <w:rsid w:val="00B81C76"/>
    <w:rsid w:val="00B81E4F"/>
    <w:rsid w:val="00B82729"/>
    <w:rsid w:val="00B82732"/>
    <w:rsid w:val="00B82754"/>
    <w:rsid w:val="00B8276E"/>
    <w:rsid w:val="00B82CB9"/>
    <w:rsid w:val="00B82FFB"/>
    <w:rsid w:val="00B83B31"/>
    <w:rsid w:val="00B8443B"/>
    <w:rsid w:val="00B846F7"/>
    <w:rsid w:val="00B8492F"/>
    <w:rsid w:val="00B8499F"/>
    <w:rsid w:val="00B84D4D"/>
    <w:rsid w:val="00B84DF2"/>
    <w:rsid w:val="00B84DFA"/>
    <w:rsid w:val="00B84E15"/>
    <w:rsid w:val="00B8523E"/>
    <w:rsid w:val="00B853A7"/>
    <w:rsid w:val="00B85966"/>
    <w:rsid w:val="00B85D12"/>
    <w:rsid w:val="00B867C8"/>
    <w:rsid w:val="00B86961"/>
    <w:rsid w:val="00B86A08"/>
    <w:rsid w:val="00B8728D"/>
    <w:rsid w:val="00B87745"/>
    <w:rsid w:val="00B87A50"/>
    <w:rsid w:val="00B87AED"/>
    <w:rsid w:val="00B87F47"/>
    <w:rsid w:val="00B905B3"/>
    <w:rsid w:val="00B90651"/>
    <w:rsid w:val="00B906EE"/>
    <w:rsid w:val="00B90809"/>
    <w:rsid w:val="00B90996"/>
    <w:rsid w:val="00B9112E"/>
    <w:rsid w:val="00B914D0"/>
    <w:rsid w:val="00B9150C"/>
    <w:rsid w:val="00B91553"/>
    <w:rsid w:val="00B919D2"/>
    <w:rsid w:val="00B92075"/>
    <w:rsid w:val="00B920AC"/>
    <w:rsid w:val="00B92278"/>
    <w:rsid w:val="00B92530"/>
    <w:rsid w:val="00B925D3"/>
    <w:rsid w:val="00B925F5"/>
    <w:rsid w:val="00B92D3C"/>
    <w:rsid w:val="00B932A8"/>
    <w:rsid w:val="00B939DF"/>
    <w:rsid w:val="00B93A31"/>
    <w:rsid w:val="00B94038"/>
    <w:rsid w:val="00B94650"/>
    <w:rsid w:val="00B94902"/>
    <w:rsid w:val="00B94B38"/>
    <w:rsid w:val="00B94DB1"/>
    <w:rsid w:val="00B94E47"/>
    <w:rsid w:val="00B95328"/>
    <w:rsid w:val="00B955F1"/>
    <w:rsid w:val="00B9562C"/>
    <w:rsid w:val="00B95769"/>
    <w:rsid w:val="00B96050"/>
    <w:rsid w:val="00B961FA"/>
    <w:rsid w:val="00B96523"/>
    <w:rsid w:val="00B965AE"/>
    <w:rsid w:val="00B96A4F"/>
    <w:rsid w:val="00B96CBC"/>
    <w:rsid w:val="00B96D8F"/>
    <w:rsid w:val="00B97136"/>
    <w:rsid w:val="00B971DE"/>
    <w:rsid w:val="00B971E6"/>
    <w:rsid w:val="00B975E9"/>
    <w:rsid w:val="00B97B44"/>
    <w:rsid w:val="00BA0341"/>
    <w:rsid w:val="00BA0B34"/>
    <w:rsid w:val="00BA0E4F"/>
    <w:rsid w:val="00BA0F6A"/>
    <w:rsid w:val="00BA117A"/>
    <w:rsid w:val="00BA1404"/>
    <w:rsid w:val="00BA1549"/>
    <w:rsid w:val="00BA1566"/>
    <w:rsid w:val="00BA1608"/>
    <w:rsid w:val="00BA1681"/>
    <w:rsid w:val="00BA1A54"/>
    <w:rsid w:val="00BA1E2E"/>
    <w:rsid w:val="00BA2072"/>
    <w:rsid w:val="00BA2358"/>
    <w:rsid w:val="00BA2693"/>
    <w:rsid w:val="00BA2FB7"/>
    <w:rsid w:val="00BA31C5"/>
    <w:rsid w:val="00BA3432"/>
    <w:rsid w:val="00BA34B5"/>
    <w:rsid w:val="00BA39B9"/>
    <w:rsid w:val="00BA42EF"/>
    <w:rsid w:val="00BA43EA"/>
    <w:rsid w:val="00BA43F6"/>
    <w:rsid w:val="00BA458C"/>
    <w:rsid w:val="00BA46C7"/>
    <w:rsid w:val="00BA4B9C"/>
    <w:rsid w:val="00BA4BB8"/>
    <w:rsid w:val="00BA51E4"/>
    <w:rsid w:val="00BA5644"/>
    <w:rsid w:val="00BA5668"/>
    <w:rsid w:val="00BA5978"/>
    <w:rsid w:val="00BA5A25"/>
    <w:rsid w:val="00BA5A3B"/>
    <w:rsid w:val="00BA5FCD"/>
    <w:rsid w:val="00BA6611"/>
    <w:rsid w:val="00BA66B1"/>
    <w:rsid w:val="00BA67E6"/>
    <w:rsid w:val="00BA6BD5"/>
    <w:rsid w:val="00BA7788"/>
    <w:rsid w:val="00BA7837"/>
    <w:rsid w:val="00BA7B80"/>
    <w:rsid w:val="00BB04B4"/>
    <w:rsid w:val="00BB06E6"/>
    <w:rsid w:val="00BB0721"/>
    <w:rsid w:val="00BB08A2"/>
    <w:rsid w:val="00BB16B7"/>
    <w:rsid w:val="00BB1EBE"/>
    <w:rsid w:val="00BB1F8C"/>
    <w:rsid w:val="00BB24D0"/>
    <w:rsid w:val="00BB29B7"/>
    <w:rsid w:val="00BB2B37"/>
    <w:rsid w:val="00BB2B9C"/>
    <w:rsid w:val="00BB2D95"/>
    <w:rsid w:val="00BB30B8"/>
    <w:rsid w:val="00BB3776"/>
    <w:rsid w:val="00BB3AD4"/>
    <w:rsid w:val="00BB3C45"/>
    <w:rsid w:val="00BB3EA5"/>
    <w:rsid w:val="00BB448C"/>
    <w:rsid w:val="00BB4A3E"/>
    <w:rsid w:val="00BB4B1B"/>
    <w:rsid w:val="00BB4BB8"/>
    <w:rsid w:val="00BB4CE3"/>
    <w:rsid w:val="00BB4D61"/>
    <w:rsid w:val="00BB56FB"/>
    <w:rsid w:val="00BB6861"/>
    <w:rsid w:val="00BB6B27"/>
    <w:rsid w:val="00BB6E34"/>
    <w:rsid w:val="00BB6F7F"/>
    <w:rsid w:val="00BB73AB"/>
    <w:rsid w:val="00BB7C1A"/>
    <w:rsid w:val="00BB7E9B"/>
    <w:rsid w:val="00BB7FEB"/>
    <w:rsid w:val="00BC072E"/>
    <w:rsid w:val="00BC0B42"/>
    <w:rsid w:val="00BC0F46"/>
    <w:rsid w:val="00BC1346"/>
    <w:rsid w:val="00BC15E4"/>
    <w:rsid w:val="00BC1794"/>
    <w:rsid w:val="00BC1B9C"/>
    <w:rsid w:val="00BC220F"/>
    <w:rsid w:val="00BC29DB"/>
    <w:rsid w:val="00BC3A79"/>
    <w:rsid w:val="00BC3A7F"/>
    <w:rsid w:val="00BC3EA0"/>
    <w:rsid w:val="00BC4282"/>
    <w:rsid w:val="00BC4469"/>
    <w:rsid w:val="00BC4567"/>
    <w:rsid w:val="00BC48F5"/>
    <w:rsid w:val="00BC4CF1"/>
    <w:rsid w:val="00BC4D8C"/>
    <w:rsid w:val="00BC5019"/>
    <w:rsid w:val="00BC54F3"/>
    <w:rsid w:val="00BC54F6"/>
    <w:rsid w:val="00BC559D"/>
    <w:rsid w:val="00BC57DC"/>
    <w:rsid w:val="00BC599A"/>
    <w:rsid w:val="00BC5FB4"/>
    <w:rsid w:val="00BC67AE"/>
    <w:rsid w:val="00BC6B37"/>
    <w:rsid w:val="00BC6D38"/>
    <w:rsid w:val="00BC7089"/>
    <w:rsid w:val="00BC70E4"/>
    <w:rsid w:val="00BC7CA8"/>
    <w:rsid w:val="00BCAEBE"/>
    <w:rsid w:val="00BD0375"/>
    <w:rsid w:val="00BD04A5"/>
    <w:rsid w:val="00BD08F1"/>
    <w:rsid w:val="00BD12AB"/>
    <w:rsid w:val="00BD18FF"/>
    <w:rsid w:val="00BD1A72"/>
    <w:rsid w:val="00BD2084"/>
    <w:rsid w:val="00BD27EF"/>
    <w:rsid w:val="00BD2867"/>
    <w:rsid w:val="00BD2D78"/>
    <w:rsid w:val="00BD2F95"/>
    <w:rsid w:val="00BD3A4F"/>
    <w:rsid w:val="00BD3D8E"/>
    <w:rsid w:val="00BD3E36"/>
    <w:rsid w:val="00BD3E9F"/>
    <w:rsid w:val="00BD4005"/>
    <w:rsid w:val="00BD4017"/>
    <w:rsid w:val="00BD44BA"/>
    <w:rsid w:val="00BD45CF"/>
    <w:rsid w:val="00BD4DA4"/>
    <w:rsid w:val="00BD4E41"/>
    <w:rsid w:val="00BD4EF6"/>
    <w:rsid w:val="00BD51ED"/>
    <w:rsid w:val="00BD52F9"/>
    <w:rsid w:val="00BD5451"/>
    <w:rsid w:val="00BD5546"/>
    <w:rsid w:val="00BD5896"/>
    <w:rsid w:val="00BD5AD4"/>
    <w:rsid w:val="00BD5E4A"/>
    <w:rsid w:val="00BD626B"/>
    <w:rsid w:val="00BD6300"/>
    <w:rsid w:val="00BD6471"/>
    <w:rsid w:val="00BD65B8"/>
    <w:rsid w:val="00BD74FF"/>
    <w:rsid w:val="00BD7605"/>
    <w:rsid w:val="00BD7DC0"/>
    <w:rsid w:val="00BE057A"/>
    <w:rsid w:val="00BE065C"/>
    <w:rsid w:val="00BE065E"/>
    <w:rsid w:val="00BE07E0"/>
    <w:rsid w:val="00BE0A6C"/>
    <w:rsid w:val="00BE1119"/>
    <w:rsid w:val="00BE1223"/>
    <w:rsid w:val="00BE15D9"/>
    <w:rsid w:val="00BE187F"/>
    <w:rsid w:val="00BE1E71"/>
    <w:rsid w:val="00BE2170"/>
    <w:rsid w:val="00BE22BB"/>
    <w:rsid w:val="00BE26CA"/>
    <w:rsid w:val="00BE27C3"/>
    <w:rsid w:val="00BE28EA"/>
    <w:rsid w:val="00BE2AA1"/>
    <w:rsid w:val="00BE2C7A"/>
    <w:rsid w:val="00BE2DE2"/>
    <w:rsid w:val="00BE3133"/>
    <w:rsid w:val="00BE36E3"/>
    <w:rsid w:val="00BE3993"/>
    <w:rsid w:val="00BE4A83"/>
    <w:rsid w:val="00BE4B5F"/>
    <w:rsid w:val="00BE4DA3"/>
    <w:rsid w:val="00BE5DA3"/>
    <w:rsid w:val="00BE600D"/>
    <w:rsid w:val="00BE632D"/>
    <w:rsid w:val="00BE67BE"/>
    <w:rsid w:val="00BE6A35"/>
    <w:rsid w:val="00BE6BE9"/>
    <w:rsid w:val="00BE6C55"/>
    <w:rsid w:val="00BE727F"/>
    <w:rsid w:val="00BE74A3"/>
    <w:rsid w:val="00BE7D15"/>
    <w:rsid w:val="00BE7F59"/>
    <w:rsid w:val="00BF0248"/>
    <w:rsid w:val="00BF03A5"/>
    <w:rsid w:val="00BF049C"/>
    <w:rsid w:val="00BF04EC"/>
    <w:rsid w:val="00BF1286"/>
    <w:rsid w:val="00BF199B"/>
    <w:rsid w:val="00BF225D"/>
    <w:rsid w:val="00BF2313"/>
    <w:rsid w:val="00BF23C2"/>
    <w:rsid w:val="00BF2BE6"/>
    <w:rsid w:val="00BF2CA0"/>
    <w:rsid w:val="00BF3474"/>
    <w:rsid w:val="00BF392A"/>
    <w:rsid w:val="00BF3A30"/>
    <w:rsid w:val="00BF4181"/>
    <w:rsid w:val="00BF4D7E"/>
    <w:rsid w:val="00BF4DAE"/>
    <w:rsid w:val="00BF5113"/>
    <w:rsid w:val="00BF546F"/>
    <w:rsid w:val="00BF5626"/>
    <w:rsid w:val="00BF57C8"/>
    <w:rsid w:val="00BF57D2"/>
    <w:rsid w:val="00BF5F05"/>
    <w:rsid w:val="00BF5FF2"/>
    <w:rsid w:val="00BF62EA"/>
    <w:rsid w:val="00BF62F9"/>
    <w:rsid w:val="00BF6922"/>
    <w:rsid w:val="00BF752D"/>
    <w:rsid w:val="00BF7672"/>
    <w:rsid w:val="00BF79B7"/>
    <w:rsid w:val="00BF7BB0"/>
    <w:rsid w:val="00BF7BEF"/>
    <w:rsid w:val="00BF7DDE"/>
    <w:rsid w:val="00BF7F0B"/>
    <w:rsid w:val="00C003D7"/>
    <w:rsid w:val="00C00AF1"/>
    <w:rsid w:val="00C00E1A"/>
    <w:rsid w:val="00C00EDA"/>
    <w:rsid w:val="00C01272"/>
    <w:rsid w:val="00C0129D"/>
    <w:rsid w:val="00C0168E"/>
    <w:rsid w:val="00C019B7"/>
    <w:rsid w:val="00C019C2"/>
    <w:rsid w:val="00C01A9A"/>
    <w:rsid w:val="00C02052"/>
    <w:rsid w:val="00C02426"/>
    <w:rsid w:val="00C02A29"/>
    <w:rsid w:val="00C02DDB"/>
    <w:rsid w:val="00C0312B"/>
    <w:rsid w:val="00C0337B"/>
    <w:rsid w:val="00C039A3"/>
    <w:rsid w:val="00C03A80"/>
    <w:rsid w:val="00C03C7D"/>
    <w:rsid w:val="00C03D7E"/>
    <w:rsid w:val="00C044A8"/>
    <w:rsid w:val="00C04A9A"/>
    <w:rsid w:val="00C04B6F"/>
    <w:rsid w:val="00C04FED"/>
    <w:rsid w:val="00C05383"/>
    <w:rsid w:val="00C05657"/>
    <w:rsid w:val="00C05836"/>
    <w:rsid w:val="00C05B73"/>
    <w:rsid w:val="00C05C05"/>
    <w:rsid w:val="00C05C80"/>
    <w:rsid w:val="00C062AC"/>
    <w:rsid w:val="00C063A5"/>
    <w:rsid w:val="00C068DA"/>
    <w:rsid w:val="00C0723C"/>
    <w:rsid w:val="00C0727C"/>
    <w:rsid w:val="00C07C5D"/>
    <w:rsid w:val="00C07FA5"/>
    <w:rsid w:val="00C1025C"/>
    <w:rsid w:val="00C103C1"/>
    <w:rsid w:val="00C104A9"/>
    <w:rsid w:val="00C10850"/>
    <w:rsid w:val="00C110E0"/>
    <w:rsid w:val="00C11443"/>
    <w:rsid w:val="00C11494"/>
    <w:rsid w:val="00C11709"/>
    <w:rsid w:val="00C11A23"/>
    <w:rsid w:val="00C11B3B"/>
    <w:rsid w:val="00C11DE0"/>
    <w:rsid w:val="00C12813"/>
    <w:rsid w:val="00C1291F"/>
    <w:rsid w:val="00C12985"/>
    <w:rsid w:val="00C12A29"/>
    <w:rsid w:val="00C12A4D"/>
    <w:rsid w:val="00C12DF7"/>
    <w:rsid w:val="00C13148"/>
    <w:rsid w:val="00C1341A"/>
    <w:rsid w:val="00C13804"/>
    <w:rsid w:val="00C13830"/>
    <w:rsid w:val="00C13A97"/>
    <w:rsid w:val="00C14950"/>
    <w:rsid w:val="00C14C7A"/>
    <w:rsid w:val="00C14E95"/>
    <w:rsid w:val="00C14F4E"/>
    <w:rsid w:val="00C1544D"/>
    <w:rsid w:val="00C15F7E"/>
    <w:rsid w:val="00C175DE"/>
    <w:rsid w:val="00C17661"/>
    <w:rsid w:val="00C17C3B"/>
    <w:rsid w:val="00C2033F"/>
    <w:rsid w:val="00C2043F"/>
    <w:rsid w:val="00C20634"/>
    <w:rsid w:val="00C206C0"/>
    <w:rsid w:val="00C20C8D"/>
    <w:rsid w:val="00C21351"/>
    <w:rsid w:val="00C2172C"/>
    <w:rsid w:val="00C21BEB"/>
    <w:rsid w:val="00C220F6"/>
    <w:rsid w:val="00C227EE"/>
    <w:rsid w:val="00C2283D"/>
    <w:rsid w:val="00C22A5C"/>
    <w:rsid w:val="00C22FC3"/>
    <w:rsid w:val="00C23601"/>
    <w:rsid w:val="00C23CC4"/>
    <w:rsid w:val="00C23DB6"/>
    <w:rsid w:val="00C24447"/>
    <w:rsid w:val="00C24DAE"/>
    <w:rsid w:val="00C253FE"/>
    <w:rsid w:val="00C259A8"/>
    <w:rsid w:val="00C2606A"/>
    <w:rsid w:val="00C26329"/>
    <w:rsid w:val="00C26453"/>
    <w:rsid w:val="00C267C2"/>
    <w:rsid w:val="00C26C94"/>
    <w:rsid w:val="00C26E4F"/>
    <w:rsid w:val="00C27170"/>
    <w:rsid w:val="00C27266"/>
    <w:rsid w:val="00C27833"/>
    <w:rsid w:val="00C27884"/>
    <w:rsid w:val="00C279F5"/>
    <w:rsid w:val="00C27D72"/>
    <w:rsid w:val="00C27E66"/>
    <w:rsid w:val="00C30D77"/>
    <w:rsid w:val="00C311C9"/>
    <w:rsid w:val="00C313B1"/>
    <w:rsid w:val="00C31924"/>
    <w:rsid w:val="00C325B2"/>
    <w:rsid w:val="00C3263C"/>
    <w:rsid w:val="00C327BC"/>
    <w:rsid w:val="00C32FC9"/>
    <w:rsid w:val="00C33110"/>
    <w:rsid w:val="00C3312E"/>
    <w:rsid w:val="00C3356B"/>
    <w:rsid w:val="00C338F2"/>
    <w:rsid w:val="00C33D2F"/>
    <w:rsid w:val="00C33D52"/>
    <w:rsid w:val="00C341DB"/>
    <w:rsid w:val="00C34CE1"/>
    <w:rsid w:val="00C350F8"/>
    <w:rsid w:val="00C354F8"/>
    <w:rsid w:val="00C3570A"/>
    <w:rsid w:val="00C35E7F"/>
    <w:rsid w:val="00C3645D"/>
    <w:rsid w:val="00C36B2A"/>
    <w:rsid w:val="00C370DB"/>
    <w:rsid w:val="00C37218"/>
    <w:rsid w:val="00C37C3B"/>
    <w:rsid w:val="00C37D55"/>
    <w:rsid w:val="00C406B9"/>
    <w:rsid w:val="00C409DA"/>
    <w:rsid w:val="00C40A7D"/>
    <w:rsid w:val="00C40FB3"/>
    <w:rsid w:val="00C41085"/>
    <w:rsid w:val="00C417F1"/>
    <w:rsid w:val="00C41F4C"/>
    <w:rsid w:val="00C4271D"/>
    <w:rsid w:val="00C42AA5"/>
    <w:rsid w:val="00C42CAD"/>
    <w:rsid w:val="00C42CB8"/>
    <w:rsid w:val="00C42EDB"/>
    <w:rsid w:val="00C4328B"/>
    <w:rsid w:val="00C43557"/>
    <w:rsid w:val="00C4376F"/>
    <w:rsid w:val="00C43790"/>
    <w:rsid w:val="00C439BD"/>
    <w:rsid w:val="00C43EFA"/>
    <w:rsid w:val="00C44190"/>
    <w:rsid w:val="00C4470D"/>
    <w:rsid w:val="00C44D1B"/>
    <w:rsid w:val="00C44EB0"/>
    <w:rsid w:val="00C44F20"/>
    <w:rsid w:val="00C45033"/>
    <w:rsid w:val="00C4513C"/>
    <w:rsid w:val="00C456E7"/>
    <w:rsid w:val="00C45852"/>
    <w:rsid w:val="00C45CEB"/>
    <w:rsid w:val="00C45EDF"/>
    <w:rsid w:val="00C46417"/>
    <w:rsid w:val="00C46612"/>
    <w:rsid w:val="00C46759"/>
    <w:rsid w:val="00C4701A"/>
    <w:rsid w:val="00C47B45"/>
    <w:rsid w:val="00C47B91"/>
    <w:rsid w:val="00C50697"/>
    <w:rsid w:val="00C5085B"/>
    <w:rsid w:val="00C50F7C"/>
    <w:rsid w:val="00C5129D"/>
    <w:rsid w:val="00C51F1A"/>
    <w:rsid w:val="00C52225"/>
    <w:rsid w:val="00C523AD"/>
    <w:rsid w:val="00C5287F"/>
    <w:rsid w:val="00C52901"/>
    <w:rsid w:val="00C52BFE"/>
    <w:rsid w:val="00C52D29"/>
    <w:rsid w:val="00C533AA"/>
    <w:rsid w:val="00C53469"/>
    <w:rsid w:val="00C534E8"/>
    <w:rsid w:val="00C53B19"/>
    <w:rsid w:val="00C53DAC"/>
    <w:rsid w:val="00C53E7F"/>
    <w:rsid w:val="00C53EB6"/>
    <w:rsid w:val="00C54181"/>
    <w:rsid w:val="00C547D7"/>
    <w:rsid w:val="00C54C05"/>
    <w:rsid w:val="00C54F53"/>
    <w:rsid w:val="00C555BC"/>
    <w:rsid w:val="00C55CCE"/>
    <w:rsid w:val="00C562F1"/>
    <w:rsid w:val="00C564CA"/>
    <w:rsid w:val="00C57072"/>
    <w:rsid w:val="00C60049"/>
    <w:rsid w:val="00C607AB"/>
    <w:rsid w:val="00C6085F"/>
    <w:rsid w:val="00C60A05"/>
    <w:rsid w:val="00C61354"/>
    <w:rsid w:val="00C61468"/>
    <w:rsid w:val="00C614BF"/>
    <w:rsid w:val="00C61724"/>
    <w:rsid w:val="00C619B2"/>
    <w:rsid w:val="00C61A3D"/>
    <w:rsid w:val="00C61C1D"/>
    <w:rsid w:val="00C61D34"/>
    <w:rsid w:val="00C623E5"/>
    <w:rsid w:val="00C62569"/>
    <w:rsid w:val="00C6266C"/>
    <w:rsid w:val="00C628D4"/>
    <w:rsid w:val="00C62B87"/>
    <w:rsid w:val="00C630AC"/>
    <w:rsid w:val="00C630E9"/>
    <w:rsid w:val="00C63175"/>
    <w:rsid w:val="00C63290"/>
    <w:rsid w:val="00C63557"/>
    <w:rsid w:val="00C63609"/>
    <w:rsid w:val="00C63D66"/>
    <w:rsid w:val="00C63E4E"/>
    <w:rsid w:val="00C643C2"/>
    <w:rsid w:val="00C64A8D"/>
    <w:rsid w:val="00C65149"/>
    <w:rsid w:val="00C6579E"/>
    <w:rsid w:val="00C65E21"/>
    <w:rsid w:val="00C65E28"/>
    <w:rsid w:val="00C65E6C"/>
    <w:rsid w:val="00C66118"/>
    <w:rsid w:val="00C663F8"/>
    <w:rsid w:val="00C66987"/>
    <w:rsid w:val="00C66C9F"/>
    <w:rsid w:val="00C66E8D"/>
    <w:rsid w:val="00C67E66"/>
    <w:rsid w:val="00C7016D"/>
    <w:rsid w:val="00C70F78"/>
    <w:rsid w:val="00C71268"/>
    <w:rsid w:val="00C71859"/>
    <w:rsid w:val="00C7199C"/>
    <w:rsid w:val="00C71B7F"/>
    <w:rsid w:val="00C71D5E"/>
    <w:rsid w:val="00C71FD6"/>
    <w:rsid w:val="00C72357"/>
    <w:rsid w:val="00C723F0"/>
    <w:rsid w:val="00C7247B"/>
    <w:rsid w:val="00C72504"/>
    <w:rsid w:val="00C72718"/>
    <w:rsid w:val="00C728F3"/>
    <w:rsid w:val="00C72C0A"/>
    <w:rsid w:val="00C72CD5"/>
    <w:rsid w:val="00C72EE3"/>
    <w:rsid w:val="00C731EC"/>
    <w:rsid w:val="00C733A3"/>
    <w:rsid w:val="00C733EF"/>
    <w:rsid w:val="00C73EC3"/>
    <w:rsid w:val="00C7418C"/>
    <w:rsid w:val="00C74254"/>
    <w:rsid w:val="00C7445C"/>
    <w:rsid w:val="00C74525"/>
    <w:rsid w:val="00C7474F"/>
    <w:rsid w:val="00C7488F"/>
    <w:rsid w:val="00C74963"/>
    <w:rsid w:val="00C749CC"/>
    <w:rsid w:val="00C74C61"/>
    <w:rsid w:val="00C753B7"/>
    <w:rsid w:val="00C75417"/>
    <w:rsid w:val="00C754A5"/>
    <w:rsid w:val="00C75D90"/>
    <w:rsid w:val="00C763BC"/>
    <w:rsid w:val="00C76414"/>
    <w:rsid w:val="00C766F7"/>
    <w:rsid w:val="00C76BC2"/>
    <w:rsid w:val="00C76BE9"/>
    <w:rsid w:val="00C772E1"/>
    <w:rsid w:val="00C77311"/>
    <w:rsid w:val="00C77BC2"/>
    <w:rsid w:val="00C77C27"/>
    <w:rsid w:val="00C77FC6"/>
    <w:rsid w:val="00C80257"/>
    <w:rsid w:val="00C804DF"/>
    <w:rsid w:val="00C8064D"/>
    <w:rsid w:val="00C807FA"/>
    <w:rsid w:val="00C81137"/>
    <w:rsid w:val="00C81209"/>
    <w:rsid w:val="00C815FC"/>
    <w:rsid w:val="00C8188F"/>
    <w:rsid w:val="00C81894"/>
    <w:rsid w:val="00C81EDE"/>
    <w:rsid w:val="00C82574"/>
    <w:rsid w:val="00C82790"/>
    <w:rsid w:val="00C8285E"/>
    <w:rsid w:val="00C82BF2"/>
    <w:rsid w:val="00C82BFD"/>
    <w:rsid w:val="00C82EE4"/>
    <w:rsid w:val="00C834F7"/>
    <w:rsid w:val="00C83749"/>
    <w:rsid w:val="00C83A43"/>
    <w:rsid w:val="00C83BEA"/>
    <w:rsid w:val="00C841C0"/>
    <w:rsid w:val="00C842F5"/>
    <w:rsid w:val="00C84829"/>
    <w:rsid w:val="00C8492C"/>
    <w:rsid w:val="00C84E58"/>
    <w:rsid w:val="00C84FAE"/>
    <w:rsid w:val="00C85779"/>
    <w:rsid w:val="00C85FA0"/>
    <w:rsid w:val="00C8624D"/>
    <w:rsid w:val="00C865FD"/>
    <w:rsid w:val="00C86975"/>
    <w:rsid w:val="00C86CF0"/>
    <w:rsid w:val="00C86DB9"/>
    <w:rsid w:val="00C86E4C"/>
    <w:rsid w:val="00C86F96"/>
    <w:rsid w:val="00C86FE6"/>
    <w:rsid w:val="00C87898"/>
    <w:rsid w:val="00C87F8F"/>
    <w:rsid w:val="00C87FEC"/>
    <w:rsid w:val="00C903C8"/>
    <w:rsid w:val="00C90FB9"/>
    <w:rsid w:val="00C912A8"/>
    <w:rsid w:val="00C91856"/>
    <w:rsid w:val="00C91AC8"/>
    <w:rsid w:val="00C91C51"/>
    <w:rsid w:val="00C91D37"/>
    <w:rsid w:val="00C9255E"/>
    <w:rsid w:val="00C92806"/>
    <w:rsid w:val="00C92B7F"/>
    <w:rsid w:val="00C931B2"/>
    <w:rsid w:val="00C93549"/>
    <w:rsid w:val="00C9399A"/>
    <w:rsid w:val="00C93A2F"/>
    <w:rsid w:val="00C94427"/>
    <w:rsid w:val="00C9554B"/>
    <w:rsid w:val="00C9642A"/>
    <w:rsid w:val="00C9679F"/>
    <w:rsid w:val="00C96B25"/>
    <w:rsid w:val="00C97622"/>
    <w:rsid w:val="00C97E2C"/>
    <w:rsid w:val="00CA0817"/>
    <w:rsid w:val="00CA0B3B"/>
    <w:rsid w:val="00CA0E91"/>
    <w:rsid w:val="00CA0F50"/>
    <w:rsid w:val="00CA16F2"/>
    <w:rsid w:val="00CA1CC7"/>
    <w:rsid w:val="00CA2501"/>
    <w:rsid w:val="00CA2B0F"/>
    <w:rsid w:val="00CA2E27"/>
    <w:rsid w:val="00CA2E72"/>
    <w:rsid w:val="00CA2EBF"/>
    <w:rsid w:val="00CA3036"/>
    <w:rsid w:val="00CA3B67"/>
    <w:rsid w:val="00CA3C60"/>
    <w:rsid w:val="00CA410B"/>
    <w:rsid w:val="00CA4191"/>
    <w:rsid w:val="00CA449A"/>
    <w:rsid w:val="00CA4912"/>
    <w:rsid w:val="00CA4E90"/>
    <w:rsid w:val="00CA57B2"/>
    <w:rsid w:val="00CA5E97"/>
    <w:rsid w:val="00CA6C61"/>
    <w:rsid w:val="00CA752C"/>
    <w:rsid w:val="00CA781B"/>
    <w:rsid w:val="00CA7AF4"/>
    <w:rsid w:val="00CA7D7E"/>
    <w:rsid w:val="00CA7DF7"/>
    <w:rsid w:val="00CB067F"/>
    <w:rsid w:val="00CB08AA"/>
    <w:rsid w:val="00CB097E"/>
    <w:rsid w:val="00CB0B25"/>
    <w:rsid w:val="00CB0B40"/>
    <w:rsid w:val="00CB0DD5"/>
    <w:rsid w:val="00CB115A"/>
    <w:rsid w:val="00CB1A85"/>
    <w:rsid w:val="00CB1B70"/>
    <w:rsid w:val="00CB2439"/>
    <w:rsid w:val="00CB2896"/>
    <w:rsid w:val="00CB2A9F"/>
    <w:rsid w:val="00CB2C97"/>
    <w:rsid w:val="00CB32F0"/>
    <w:rsid w:val="00CB36C7"/>
    <w:rsid w:val="00CB3AC3"/>
    <w:rsid w:val="00CB4337"/>
    <w:rsid w:val="00CB459D"/>
    <w:rsid w:val="00CB5665"/>
    <w:rsid w:val="00CB58A2"/>
    <w:rsid w:val="00CB5A9A"/>
    <w:rsid w:val="00CB60CC"/>
    <w:rsid w:val="00CB61A9"/>
    <w:rsid w:val="00CB6922"/>
    <w:rsid w:val="00CB7380"/>
    <w:rsid w:val="00CB73AD"/>
    <w:rsid w:val="00CB740A"/>
    <w:rsid w:val="00CB749A"/>
    <w:rsid w:val="00CB7850"/>
    <w:rsid w:val="00CB7A7A"/>
    <w:rsid w:val="00CC03D8"/>
    <w:rsid w:val="00CC05D2"/>
    <w:rsid w:val="00CC0CE9"/>
    <w:rsid w:val="00CC0EBE"/>
    <w:rsid w:val="00CC1572"/>
    <w:rsid w:val="00CC26ED"/>
    <w:rsid w:val="00CC273D"/>
    <w:rsid w:val="00CC27D6"/>
    <w:rsid w:val="00CC2928"/>
    <w:rsid w:val="00CC2ED2"/>
    <w:rsid w:val="00CC2EFD"/>
    <w:rsid w:val="00CC2F41"/>
    <w:rsid w:val="00CC3093"/>
    <w:rsid w:val="00CC30AD"/>
    <w:rsid w:val="00CC36A1"/>
    <w:rsid w:val="00CC38F1"/>
    <w:rsid w:val="00CC3F0E"/>
    <w:rsid w:val="00CC43B9"/>
    <w:rsid w:val="00CC4412"/>
    <w:rsid w:val="00CC4714"/>
    <w:rsid w:val="00CC4C33"/>
    <w:rsid w:val="00CC4D52"/>
    <w:rsid w:val="00CC4D74"/>
    <w:rsid w:val="00CC5560"/>
    <w:rsid w:val="00CC5CB4"/>
    <w:rsid w:val="00CC62CB"/>
    <w:rsid w:val="00CC6512"/>
    <w:rsid w:val="00CC6804"/>
    <w:rsid w:val="00CC6985"/>
    <w:rsid w:val="00CC69AA"/>
    <w:rsid w:val="00CC6A72"/>
    <w:rsid w:val="00CC6B2F"/>
    <w:rsid w:val="00CC75B4"/>
    <w:rsid w:val="00CC7837"/>
    <w:rsid w:val="00CC79A2"/>
    <w:rsid w:val="00CC7A11"/>
    <w:rsid w:val="00CC7C90"/>
    <w:rsid w:val="00CD054C"/>
    <w:rsid w:val="00CD1361"/>
    <w:rsid w:val="00CD15AE"/>
    <w:rsid w:val="00CD1675"/>
    <w:rsid w:val="00CD17EF"/>
    <w:rsid w:val="00CD193B"/>
    <w:rsid w:val="00CD1AA1"/>
    <w:rsid w:val="00CD1EE1"/>
    <w:rsid w:val="00CD3472"/>
    <w:rsid w:val="00CD37C3"/>
    <w:rsid w:val="00CD3984"/>
    <w:rsid w:val="00CD3A77"/>
    <w:rsid w:val="00CD3BC1"/>
    <w:rsid w:val="00CD3E11"/>
    <w:rsid w:val="00CD3F60"/>
    <w:rsid w:val="00CD4338"/>
    <w:rsid w:val="00CD4525"/>
    <w:rsid w:val="00CD4A17"/>
    <w:rsid w:val="00CD4A24"/>
    <w:rsid w:val="00CD4AAC"/>
    <w:rsid w:val="00CD4B44"/>
    <w:rsid w:val="00CD4B62"/>
    <w:rsid w:val="00CD4C7F"/>
    <w:rsid w:val="00CD4CFF"/>
    <w:rsid w:val="00CD4E6B"/>
    <w:rsid w:val="00CD51B6"/>
    <w:rsid w:val="00CD535E"/>
    <w:rsid w:val="00CD5424"/>
    <w:rsid w:val="00CD5724"/>
    <w:rsid w:val="00CD6468"/>
    <w:rsid w:val="00CD66A8"/>
    <w:rsid w:val="00CD73EC"/>
    <w:rsid w:val="00CD7761"/>
    <w:rsid w:val="00CD77DF"/>
    <w:rsid w:val="00CD7875"/>
    <w:rsid w:val="00CE0262"/>
    <w:rsid w:val="00CE0778"/>
    <w:rsid w:val="00CE141F"/>
    <w:rsid w:val="00CE19E7"/>
    <w:rsid w:val="00CE1D65"/>
    <w:rsid w:val="00CE1ED9"/>
    <w:rsid w:val="00CE24EE"/>
    <w:rsid w:val="00CE289D"/>
    <w:rsid w:val="00CE28CC"/>
    <w:rsid w:val="00CE2D0A"/>
    <w:rsid w:val="00CE3466"/>
    <w:rsid w:val="00CE3671"/>
    <w:rsid w:val="00CE377D"/>
    <w:rsid w:val="00CE3900"/>
    <w:rsid w:val="00CE3D44"/>
    <w:rsid w:val="00CE3E06"/>
    <w:rsid w:val="00CE48AB"/>
    <w:rsid w:val="00CE49B2"/>
    <w:rsid w:val="00CE4A0F"/>
    <w:rsid w:val="00CE4C6C"/>
    <w:rsid w:val="00CE4D74"/>
    <w:rsid w:val="00CE513A"/>
    <w:rsid w:val="00CE53AE"/>
    <w:rsid w:val="00CE5474"/>
    <w:rsid w:val="00CE5769"/>
    <w:rsid w:val="00CE57EC"/>
    <w:rsid w:val="00CE58EC"/>
    <w:rsid w:val="00CE59FF"/>
    <w:rsid w:val="00CE5F4A"/>
    <w:rsid w:val="00CE6263"/>
    <w:rsid w:val="00CE6354"/>
    <w:rsid w:val="00CE6365"/>
    <w:rsid w:val="00CE6447"/>
    <w:rsid w:val="00CE6513"/>
    <w:rsid w:val="00CE6673"/>
    <w:rsid w:val="00CE6B84"/>
    <w:rsid w:val="00CE7170"/>
    <w:rsid w:val="00CE71EF"/>
    <w:rsid w:val="00CE7EC4"/>
    <w:rsid w:val="00CF0405"/>
    <w:rsid w:val="00CF0927"/>
    <w:rsid w:val="00CF0EAB"/>
    <w:rsid w:val="00CF177A"/>
    <w:rsid w:val="00CF1E0A"/>
    <w:rsid w:val="00CF21BC"/>
    <w:rsid w:val="00CF22E7"/>
    <w:rsid w:val="00CF25CB"/>
    <w:rsid w:val="00CF2730"/>
    <w:rsid w:val="00CF28B0"/>
    <w:rsid w:val="00CF2B4F"/>
    <w:rsid w:val="00CF2E2A"/>
    <w:rsid w:val="00CF2FD8"/>
    <w:rsid w:val="00CF3F90"/>
    <w:rsid w:val="00CF405C"/>
    <w:rsid w:val="00CF473A"/>
    <w:rsid w:val="00CF49FC"/>
    <w:rsid w:val="00CF4F5B"/>
    <w:rsid w:val="00CF51B7"/>
    <w:rsid w:val="00CF55A5"/>
    <w:rsid w:val="00CF5A2C"/>
    <w:rsid w:val="00CF5C21"/>
    <w:rsid w:val="00CF6580"/>
    <w:rsid w:val="00CF6721"/>
    <w:rsid w:val="00CF6C8F"/>
    <w:rsid w:val="00CF6EA8"/>
    <w:rsid w:val="00CF6F68"/>
    <w:rsid w:val="00CF756A"/>
    <w:rsid w:val="00CF76DD"/>
    <w:rsid w:val="00CF7B13"/>
    <w:rsid w:val="00CF7B56"/>
    <w:rsid w:val="00D005C7"/>
    <w:rsid w:val="00D0061D"/>
    <w:rsid w:val="00D00CAA"/>
    <w:rsid w:val="00D010F0"/>
    <w:rsid w:val="00D01548"/>
    <w:rsid w:val="00D01656"/>
    <w:rsid w:val="00D01A62"/>
    <w:rsid w:val="00D01B69"/>
    <w:rsid w:val="00D01C03"/>
    <w:rsid w:val="00D02462"/>
    <w:rsid w:val="00D031E3"/>
    <w:rsid w:val="00D03739"/>
    <w:rsid w:val="00D0405F"/>
    <w:rsid w:val="00D0457B"/>
    <w:rsid w:val="00D048C6"/>
    <w:rsid w:val="00D04B64"/>
    <w:rsid w:val="00D04E59"/>
    <w:rsid w:val="00D052EF"/>
    <w:rsid w:val="00D056B4"/>
    <w:rsid w:val="00D0576A"/>
    <w:rsid w:val="00D05A02"/>
    <w:rsid w:val="00D06261"/>
    <w:rsid w:val="00D06355"/>
    <w:rsid w:val="00D0650E"/>
    <w:rsid w:val="00D065F3"/>
    <w:rsid w:val="00D06DBC"/>
    <w:rsid w:val="00D0708A"/>
    <w:rsid w:val="00D07098"/>
    <w:rsid w:val="00D07375"/>
    <w:rsid w:val="00D0750C"/>
    <w:rsid w:val="00D0788A"/>
    <w:rsid w:val="00D07B28"/>
    <w:rsid w:val="00D07BC0"/>
    <w:rsid w:val="00D10761"/>
    <w:rsid w:val="00D107E5"/>
    <w:rsid w:val="00D10893"/>
    <w:rsid w:val="00D10DC5"/>
    <w:rsid w:val="00D10DCD"/>
    <w:rsid w:val="00D11110"/>
    <w:rsid w:val="00D1126F"/>
    <w:rsid w:val="00D1161B"/>
    <w:rsid w:val="00D11696"/>
    <w:rsid w:val="00D1175B"/>
    <w:rsid w:val="00D11E03"/>
    <w:rsid w:val="00D1206F"/>
    <w:rsid w:val="00D12318"/>
    <w:rsid w:val="00D12926"/>
    <w:rsid w:val="00D13045"/>
    <w:rsid w:val="00D1362E"/>
    <w:rsid w:val="00D1405A"/>
    <w:rsid w:val="00D14AA7"/>
    <w:rsid w:val="00D14D0D"/>
    <w:rsid w:val="00D14E6C"/>
    <w:rsid w:val="00D154B2"/>
    <w:rsid w:val="00D15C0F"/>
    <w:rsid w:val="00D1630F"/>
    <w:rsid w:val="00D16ABC"/>
    <w:rsid w:val="00D16B82"/>
    <w:rsid w:val="00D172BB"/>
    <w:rsid w:val="00D176D7"/>
    <w:rsid w:val="00D20501"/>
    <w:rsid w:val="00D20A4A"/>
    <w:rsid w:val="00D20CB7"/>
    <w:rsid w:val="00D20F70"/>
    <w:rsid w:val="00D210F7"/>
    <w:rsid w:val="00D2115A"/>
    <w:rsid w:val="00D212A4"/>
    <w:rsid w:val="00D21D85"/>
    <w:rsid w:val="00D21F68"/>
    <w:rsid w:val="00D223E8"/>
    <w:rsid w:val="00D22576"/>
    <w:rsid w:val="00D22E84"/>
    <w:rsid w:val="00D22F71"/>
    <w:rsid w:val="00D2332D"/>
    <w:rsid w:val="00D23924"/>
    <w:rsid w:val="00D239A5"/>
    <w:rsid w:val="00D24B5C"/>
    <w:rsid w:val="00D2561C"/>
    <w:rsid w:val="00D25A10"/>
    <w:rsid w:val="00D25A3B"/>
    <w:rsid w:val="00D260A3"/>
    <w:rsid w:val="00D264DB"/>
    <w:rsid w:val="00D26568"/>
    <w:rsid w:val="00D266D4"/>
    <w:rsid w:val="00D2691C"/>
    <w:rsid w:val="00D26A2E"/>
    <w:rsid w:val="00D26FD6"/>
    <w:rsid w:val="00D274A2"/>
    <w:rsid w:val="00D2757D"/>
    <w:rsid w:val="00D278AA"/>
    <w:rsid w:val="00D27B36"/>
    <w:rsid w:val="00D3042E"/>
    <w:rsid w:val="00D3077E"/>
    <w:rsid w:val="00D30845"/>
    <w:rsid w:val="00D30A2D"/>
    <w:rsid w:val="00D30A90"/>
    <w:rsid w:val="00D30D82"/>
    <w:rsid w:val="00D315EE"/>
    <w:rsid w:val="00D31A5E"/>
    <w:rsid w:val="00D31EF0"/>
    <w:rsid w:val="00D32166"/>
    <w:rsid w:val="00D32240"/>
    <w:rsid w:val="00D32900"/>
    <w:rsid w:val="00D32BB4"/>
    <w:rsid w:val="00D3312A"/>
    <w:rsid w:val="00D333DD"/>
    <w:rsid w:val="00D334C5"/>
    <w:rsid w:val="00D336EC"/>
    <w:rsid w:val="00D33EC0"/>
    <w:rsid w:val="00D341D7"/>
    <w:rsid w:val="00D34B5F"/>
    <w:rsid w:val="00D3523A"/>
    <w:rsid w:val="00D35352"/>
    <w:rsid w:val="00D35C09"/>
    <w:rsid w:val="00D36498"/>
    <w:rsid w:val="00D3678B"/>
    <w:rsid w:val="00D368E4"/>
    <w:rsid w:val="00D36FFD"/>
    <w:rsid w:val="00D37055"/>
    <w:rsid w:val="00D37111"/>
    <w:rsid w:val="00D375CD"/>
    <w:rsid w:val="00D377EC"/>
    <w:rsid w:val="00D37D0D"/>
    <w:rsid w:val="00D37DB8"/>
    <w:rsid w:val="00D40472"/>
    <w:rsid w:val="00D40686"/>
    <w:rsid w:val="00D4071E"/>
    <w:rsid w:val="00D40D78"/>
    <w:rsid w:val="00D40FD1"/>
    <w:rsid w:val="00D4108D"/>
    <w:rsid w:val="00D41E4C"/>
    <w:rsid w:val="00D4208C"/>
    <w:rsid w:val="00D424A9"/>
    <w:rsid w:val="00D426B7"/>
    <w:rsid w:val="00D42DBE"/>
    <w:rsid w:val="00D43775"/>
    <w:rsid w:val="00D438B5"/>
    <w:rsid w:val="00D43B9E"/>
    <w:rsid w:val="00D43C5B"/>
    <w:rsid w:val="00D4470D"/>
    <w:rsid w:val="00D44C3D"/>
    <w:rsid w:val="00D45004"/>
    <w:rsid w:val="00D452F1"/>
    <w:rsid w:val="00D4546F"/>
    <w:rsid w:val="00D4562E"/>
    <w:rsid w:val="00D45E22"/>
    <w:rsid w:val="00D46662"/>
    <w:rsid w:val="00D468A4"/>
    <w:rsid w:val="00D469C9"/>
    <w:rsid w:val="00D470BE"/>
    <w:rsid w:val="00D470DC"/>
    <w:rsid w:val="00D47229"/>
    <w:rsid w:val="00D479EF"/>
    <w:rsid w:val="00D47B6A"/>
    <w:rsid w:val="00D47CE8"/>
    <w:rsid w:val="00D47CF9"/>
    <w:rsid w:val="00D47DBC"/>
    <w:rsid w:val="00D47E19"/>
    <w:rsid w:val="00D47FED"/>
    <w:rsid w:val="00D503D3"/>
    <w:rsid w:val="00D51697"/>
    <w:rsid w:val="00D51A72"/>
    <w:rsid w:val="00D51E67"/>
    <w:rsid w:val="00D51FEA"/>
    <w:rsid w:val="00D522EA"/>
    <w:rsid w:val="00D525E0"/>
    <w:rsid w:val="00D52675"/>
    <w:rsid w:val="00D527BA"/>
    <w:rsid w:val="00D52AEB"/>
    <w:rsid w:val="00D52B9B"/>
    <w:rsid w:val="00D534DD"/>
    <w:rsid w:val="00D5429A"/>
    <w:rsid w:val="00D5437F"/>
    <w:rsid w:val="00D543A5"/>
    <w:rsid w:val="00D543E1"/>
    <w:rsid w:val="00D54950"/>
    <w:rsid w:val="00D54A51"/>
    <w:rsid w:val="00D54CD9"/>
    <w:rsid w:val="00D55038"/>
    <w:rsid w:val="00D55369"/>
    <w:rsid w:val="00D5555C"/>
    <w:rsid w:val="00D5562B"/>
    <w:rsid w:val="00D556B4"/>
    <w:rsid w:val="00D558C8"/>
    <w:rsid w:val="00D55D5C"/>
    <w:rsid w:val="00D55DA4"/>
    <w:rsid w:val="00D55EBE"/>
    <w:rsid w:val="00D5612E"/>
    <w:rsid w:val="00D56A77"/>
    <w:rsid w:val="00D56B52"/>
    <w:rsid w:val="00D56EDC"/>
    <w:rsid w:val="00D57036"/>
    <w:rsid w:val="00D57068"/>
    <w:rsid w:val="00D57364"/>
    <w:rsid w:val="00D574C9"/>
    <w:rsid w:val="00D5762E"/>
    <w:rsid w:val="00D57F76"/>
    <w:rsid w:val="00D61363"/>
    <w:rsid w:val="00D6175A"/>
    <w:rsid w:val="00D619CC"/>
    <w:rsid w:val="00D61B46"/>
    <w:rsid w:val="00D6241B"/>
    <w:rsid w:val="00D62724"/>
    <w:rsid w:val="00D62B30"/>
    <w:rsid w:val="00D62E50"/>
    <w:rsid w:val="00D62FAE"/>
    <w:rsid w:val="00D63594"/>
    <w:rsid w:val="00D636B7"/>
    <w:rsid w:val="00D63717"/>
    <w:rsid w:val="00D63AED"/>
    <w:rsid w:val="00D63C40"/>
    <w:rsid w:val="00D64471"/>
    <w:rsid w:val="00D64867"/>
    <w:rsid w:val="00D6489B"/>
    <w:rsid w:val="00D64F2C"/>
    <w:rsid w:val="00D659FD"/>
    <w:rsid w:val="00D65E36"/>
    <w:rsid w:val="00D6670E"/>
    <w:rsid w:val="00D66C8D"/>
    <w:rsid w:val="00D66EE6"/>
    <w:rsid w:val="00D6734B"/>
    <w:rsid w:val="00D678ED"/>
    <w:rsid w:val="00D67969"/>
    <w:rsid w:val="00D67983"/>
    <w:rsid w:val="00D704E7"/>
    <w:rsid w:val="00D71013"/>
    <w:rsid w:val="00D71117"/>
    <w:rsid w:val="00D717A2"/>
    <w:rsid w:val="00D7195A"/>
    <w:rsid w:val="00D71CE0"/>
    <w:rsid w:val="00D72A78"/>
    <w:rsid w:val="00D72DA7"/>
    <w:rsid w:val="00D72DFA"/>
    <w:rsid w:val="00D73083"/>
    <w:rsid w:val="00D73345"/>
    <w:rsid w:val="00D734B2"/>
    <w:rsid w:val="00D73695"/>
    <w:rsid w:val="00D737B8"/>
    <w:rsid w:val="00D73819"/>
    <w:rsid w:val="00D73AE1"/>
    <w:rsid w:val="00D73B5B"/>
    <w:rsid w:val="00D7410A"/>
    <w:rsid w:val="00D7426C"/>
    <w:rsid w:val="00D745E3"/>
    <w:rsid w:val="00D74B76"/>
    <w:rsid w:val="00D74C16"/>
    <w:rsid w:val="00D74DC9"/>
    <w:rsid w:val="00D7502E"/>
    <w:rsid w:val="00D75997"/>
    <w:rsid w:val="00D75BCB"/>
    <w:rsid w:val="00D75C55"/>
    <w:rsid w:val="00D75F87"/>
    <w:rsid w:val="00D76372"/>
    <w:rsid w:val="00D76819"/>
    <w:rsid w:val="00D76B0E"/>
    <w:rsid w:val="00D76D2A"/>
    <w:rsid w:val="00D77146"/>
    <w:rsid w:val="00D773F4"/>
    <w:rsid w:val="00D774E4"/>
    <w:rsid w:val="00D776C0"/>
    <w:rsid w:val="00D80EF4"/>
    <w:rsid w:val="00D81575"/>
    <w:rsid w:val="00D81740"/>
    <w:rsid w:val="00D81FBD"/>
    <w:rsid w:val="00D821E3"/>
    <w:rsid w:val="00D82708"/>
    <w:rsid w:val="00D82773"/>
    <w:rsid w:val="00D82796"/>
    <w:rsid w:val="00D82B41"/>
    <w:rsid w:val="00D82DC3"/>
    <w:rsid w:val="00D83620"/>
    <w:rsid w:val="00D837E0"/>
    <w:rsid w:val="00D83FFB"/>
    <w:rsid w:val="00D8428E"/>
    <w:rsid w:val="00D842A4"/>
    <w:rsid w:val="00D847B0"/>
    <w:rsid w:val="00D848E3"/>
    <w:rsid w:val="00D84A63"/>
    <w:rsid w:val="00D8522D"/>
    <w:rsid w:val="00D852B6"/>
    <w:rsid w:val="00D853D5"/>
    <w:rsid w:val="00D8544D"/>
    <w:rsid w:val="00D857D9"/>
    <w:rsid w:val="00D85D91"/>
    <w:rsid w:val="00D85F92"/>
    <w:rsid w:val="00D860C9"/>
    <w:rsid w:val="00D8660E"/>
    <w:rsid w:val="00D86CBC"/>
    <w:rsid w:val="00D86D28"/>
    <w:rsid w:val="00D86F13"/>
    <w:rsid w:val="00D8712B"/>
    <w:rsid w:val="00D8732D"/>
    <w:rsid w:val="00D87399"/>
    <w:rsid w:val="00D874AA"/>
    <w:rsid w:val="00D875EF"/>
    <w:rsid w:val="00D875F9"/>
    <w:rsid w:val="00D87829"/>
    <w:rsid w:val="00D90236"/>
    <w:rsid w:val="00D90CA4"/>
    <w:rsid w:val="00D90DE0"/>
    <w:rsid w:val="00D90E39"/>
    <w:rsid w:val="00D91836"/>
    <w:rsid w:val="00D91EB7"/>
    <w:rsid w:val="00D92028"/>
    <w:rsid w:val="00D923B2"/>
    <w:rsid w:val="00D9243E"/>
    <w:rsid w:val="00D925B9"/>
    <w:rsid w:val="00D926BF"/>
    <w:rsid w:val="00D926D8"/>
    <w:rsid w:val="00D93027"/>
    <w:rsid w:val="00D9373E"/>
    <w:rsid w:val="00D93C57"/>
    <w:rsid w:val="00D94508"/>
    <w:rsid w:val="00D94838"/>
    <w:rsid w:val="00D94D5C"/>
    <w:rsid w:val="00D94EBF"/>
    <w:rsid w:val="00D950E7"/>
    <w:rsid w:val="00D95799"/>
    <w:rsid w:val="00D96009"/>
    <w:rsid w:val="00D9660A"/>
    <w:rsid w:val="00D96E75"/>
    <w:rsid w:val="00D96EB2"/>
    <w:rsid w:val="00D97044"/>
    <w:rsid w:val="00D97193"/>
    <w:rsid w:val="00D976DF"/>
    <w:rsid w:val="00D9790A"/>
    <w:rsid w:val="00D97B06"/>
    <w:rsid w:val="00DA0340"/>
    <w:rsid w:val="00DA0401"/>
    <w:rsid w:val="00DA0490"/>
    <w:rsid w:val="00DA0D25"/>
    <w:rsid w:val="00DA1735"/>
    <w:rsid w:val="00DA1A03"/>
    <w:rsid w:val="00DA1F93"/>
    <w:rsid w:val="00DA2157"/>
    <w:rsid w:val="00DA22C5"/>
    <w:rsid w:val="00DA22E7"/>
    <w:rsid w:val="00DA2762"/>
    <w:rsid w:val="00DA2AC5"/>
    <w:rsid w:val="00DA2EE9"/>
    <w:rsid w:val="00DA3002"/>
    <w:rsid w:val="00DA3839"/>
    <w:rsid w:val="00DA38EB"/>
    <w:rsid w:val="00DA3B6B"/>
    <w:rsid w:val="00DA3CA5"/>
    <w:rsid w:val="00DA451F"/>
    <w:rsid w:val="00DA47E3"/>
    <w:rsid w:val="00DA4BD8"/>
    <w:rsid w:val="00DA4E90"/>
    <w:rsid w:val="00DA4ECA"/>
    <w:rsid w:val="00DA4F36"/>
    <w:rsid w:val="00DA58E5"/>
    <w:rsid w:val="00DA5E3D"/>
    <w:rsid w:val="00DA609A"/>
    <w:rsid w:val="00DA62F5"/>
    <w:rsid w:val="00DA652B"/>
    <w:rsid w:val="00DA680B"/>
    <w:rsid w:val="00DA6B71"/>
    <w:rsid w:val="00DA6FD3"/>
    <w:rsid w:val="00DA71EB"/>
    <w:rsid w:val="00DA7461"/>
    <w:rsid w:val="00DA777E"/>
    <w:rsid w:val="00DA78DF"/>
    <w:rsid w:val="00DA7CA9"/>
    <w:rsid w:val="00DA7E2F"/>
    <w:rsid w:val="00DB0306"/>
    <w:rsid w:val="00DB0CB9"/>
    <w:rsid w:val="00DB0D91"/>
    <w:rsid w:val="00DB0F77"/>
    <w:rsid w:val="00DB103F"/>
    <w:rsid w:val="00DB1309"/>
    <w:rsid w:val="00DB1FB4"/>
    <w:rsid w:val="00DB2116"/>
    <w:rsid w:val="00DB2132"/>
    <w:rsid w:val="00DB30E0"/>
    <w:rsid w:val="00DB310A"/>
    <w:rsid w:val="00DB319D"/>
    <w:rsid w:val="00DB3506"/>
    <w:rsid w:val="00DB366B"/>
    <w:rsid w:val="00DB38A5"/>
    <w:rsid w:val="00DB41AC"/>
    <w:rsid w:val="00DB4407"/>
    <w:rsid w:val="00DB4941"/>
    <w:rsid w:val="00DB4E0D"/>
    <w:rsid w:val="00DB4F5F"/>
    <w:rsid w:val="00DB5199"/>
    <w:rsid w:val="00DB51CD"/>
    <w:rsid w:val="00DB5381"/>
    <w:rsid w:val="00DB5736"/>
    <w:rsid w:val="00DB5B5F"/>
    <w:rsid w:val="00DB5C36"/>
    <w:rsid w:val="00DB60D1"/>
    <w:rsid w:val="00DB6281"/>
    <w:rsid w:val="00DB708B"/>
    <w:rsid w:val="00DB7AD0"/>
    <w:rsid w:val="00DB7BF1"/>
    <w:rsid w:val="00DB7C0D"/>
    <w:rsid w:val="00DB7F26"/>
    <w:rsid w:val="00DC018D"/>
    <w:rsid w:val="00DC03C7"/>
    <w:rsid w:val="00DC05E4"/>
    <w:rsid w:val="00DC0DA1"/>
    <w:rsid w:val="00DC0EE8"/>
    <w:rsid w:val="00DC0FC4"/>
    <w:rsid w:val="00DC1ABB"/>
    <w:rsid w:val="00DC2621"/>
    <w:rsid w:val="00DC2B0E"/>
    <w:rsid w:val="00DC2C71"/>
    <w:rsid w:val="00DC2F10"/>
    <w:rsid w:val="00DC341E"/>
    <w:rsid w:val="00DC343C"/>
    <w:rsid w:val="00DC3474"/>
    <w:rsid w:val="00DC3582"/>
    <w:rsid w:val="00DC36AF"/>
    <w:rsid w:val="00DC36D3"/>
    <w:rsid w:val="00DC3820"/>
    <w:rsid w:val="00DC3BD4"/>
    <w:rsid w:val="00DC40C5"/>
    <w:rsid w:val="00DC46B1"/>
    <w:rsid w:val="00DC489C"/>
    <w:rsid w:val="00DC4B1E"/>
    <w:rsid w:val="00DC4D32"/>
    <w:rsid w:val="00DC5147"/>
    <w:rsid w:val="00DC5553"/>
    <w:rsid w:val="00DC59B9"/>
    <w:rsid w:val="00DC5C05"/>
    <w:rsid w:val="00DC5D29"/>
    <w:rsid w:val="00DC5DA9"/>
    <w:rsid w:val="00DC6CEA"/>
    <w:rsid w:val="00DC6F44"/>
    <w:rsid w:val="00DC71B4"/>
    <w:rsid w:val="00DC7577"/>
    <w:rsid w:val="00DC7AFB"/>
    <w:rsid w:val="00DD0D4A"/>
    <w:rsid w:val="00DD0F7F"/>
    <w:rsid w:val="00DD17E3"/>
    <w:rsid w:val="00DD1A25"/>
    <w:rsid w:val="00DD1B26"/>
    <w:rsid w:val="00DD1BBE"/>
    <w:rsid w:val="00DD1EBD"/>
    <w:rsid w:val="00DD1F02"/>
    <w:rsid w:val="00DD1F68"/>
    <w:rsid w:val="00DD23C9"/>
    <w:rsid w:val="00DD24B0"/>
    <w:rsid w:val="00DD28F0"/>
    <w:rsid w:val="00DD2C30"/>
    <w:rsid w:val="00DD3530"/>
    <w:rsid w:val="00DD3567"/>
    <w:rsid w:val="00DD3605"/>
    <w:rsid w:val="00DD4104"/>
    <w:rsid w:val="00DD44F8"/>
    <w:rsid w:val="00DD463E"/>
    <w:rsid w:val="00DD4A35"/>
    <w:rsid w:val="00DD4D7E"/>
    <w:rsid w:val="00DD593D"/>
    <w:rsid w:val="00DD662E"/>
    <w:rsid w:val="00DD6F6D"/>
    <w:rsid w:val="00DD7283"/>
    <w:rsid w:val="00DD751D"/>
    <w:rsid w:val="00DD7702"/>
    <w:rsid w:val="00DD7964"/>
    <w:rsid w:val="00DD7BE7"/>
    <w:rsid w:val="00DD7C0F"/>
    <w:rsid w:val="00DD7EF5"/>
    <w:rsid w:val="00DE0913"/>
    <w:rsid w:val="00DE0A47"/>
    <w:rsid w:val="00DE0F10"/>
    <w:rsid w:val="00DE1BC8"/>
    <w:rsid w:val="00DE1F8E"/>
    <w:rsid w:val="00DE20E5"/>
    <w:rsid w:val="00DE251C"/>
    <w:rsid w:val="00DE3A9A"/>
    <w:rsid w:val="00DE4385"/>
    <w:rsid w:val="00DE451E"/>
    <w:rsid w:val="00DE511D"/>
    <w:rsid w:val="00DE5D9C"/>
    <w:rsid w:val="00DE63FC"/>
    <w:rsid w:val="00DE679F"/>
    <w:rsid w:val="00DE6C98"/>
    <w:rsid w:val="00DE6E6C"/>
    <w:rsid w:val="00DE71A5"/>
    <w:rsid w:val="00DE74AF"/>
    <w:rsid w:val="00DE74F5"/>
    <w:rsid w:val="00DE7A84"/>
    <w:rsid w:val="00DE7BAB"/>
    <w:rsid w:val="00DE7D16"/>
    <w:rsid w:val="00DE7F13"/>
    <w:rsid w:val="00DF00CB"/>
    <w:rsid w:val="00DF04D1"/>
    <w:rsid w:val="00DF05B9"/>
    <w:rsid w:val="00DF0840"/>
    <w:rsid w:val="00DF0BAA"/>
    <w:rsid w:val="00DF0FE8"/>
    <w:rsid w:val="00DF132B"/>
    <w:rsid w:val="00DF1584"/>
    <w:rsid w:val="00DF159D"/>
    <w:rsid w:val="00DF19F3"/>
    <w:rsid w:val="00DF216D"/>
    <w:rsid w:val="00DF2324"/>
    <w:rsid w:val="00DF25AD"/>
    <w:rsid w:val="00DF2E7B"/>
    <w:rsid w:val="00DF311F"/>
    <w:rsid w:val="00DF3308"/>
    <w:rsid w:val="00DF341F"/>
    <w:rsid w:val="00DF378B"/>
    <w:rsid w:val="00DF3E7E"/>
    <w:rsid w:val="00DF3EBD"/>
    <w:rsid w:val="00DF4538"/>
    <w:rsid w:val="00DF537C"/>
    <w:rsid w:val="00DF61BE"/>
    <w:rsid w:val="00DF6934"/>
    <w:rsid w:val="00DF6A6C"/>
    <w:rsid w:val="00DF6DF2"/>
    <w:rsid w:val="00DF6E65"/>
    <w:rsid w:val="00DF76A2"/>
    <w:rsid w:val="00E00347"/>
    <w:rsid w:val="00E00368"/>
    <w:rsid w:val="00E0092F"/>
    <w:rsid w:val="00E00F50"/>
    <w:rsid w:val="00E00FC0"/>
    <w:rsid w:val="00E011BC"/>
    <w:rsid w:val="00E01520"/>
    <w:rsid w:val="00E0163B"/>
    <w:rsid w:val="00E01A4C"/>
    <w:rsid w:val="00E01C36"/>
    <w:rsid w:val="00E022D3"/>
    <w:rsid w:val="00E0257A"/>
    <w:rsid w:val="00E02F40"/>
    <w:rsid w:val="00E02FED"/>
    <w:rsid w:val="00E03177"/>
    <w:rsid w:val="00E03406"/>
    <w:rsid w:val="00E036A1"/>
    <w:rsid w:val="00E038D2"/>
    <w:rsid w:val="00E04196"/>
    <w:rsid w:val="00E044DE"/>
    <w:rsid w:val="00E04612"/>
    <w:rsid w:val="00E049CF"/>
    <w:rsid w:val="00E04F56"/>
    <w:rsid w:val="00E0588E"/>
    <w:rsid w:val="00E06088"/>
    <w:rsid w:val="00E0667C"/>
    <w:rsid w:val="00E068E2"/>
    <w:rsid w:val="00E06EDD"/>
    <w:rsid w:val="00E06F0D"/>
    <w:rsid w:val="00E07461"/>
    <w:rsid w:val="00E07BBB"/>
    <w:rsid w:val="00E07CA0"/>
    <w:rsid w:val="00E10158"/>
    <w:rsid w:val="00E102C2"/>
    <w:rsid w:val="00E10546"/>
    <w:rsid w:val="00E10C0B"/>
    <w:rsid w:val="00E11250"/>
    <w:rsid w:val="00E11302"/>
    <w:rsid w:val="00E11CD5"/>
    <w:rsid w:val="00E1206B"/>
    <w:rsid w:val="00E120FD"/>
    <w:rsid w:val="00E12139"/>
    <w:rsid w:val="00E12456"/>
    <w:rsid w:val="00E13028"/>
    <w:rsid w:val="00E137EB"/>
    <w:rsid w:val="00E14671"/>
    <w:rsid w:val="00E146FB"/>
    <w:rsid w:val="00E14834"/>
    <w:rsid w:val="00E14E58"/>
    <w:rsid w:val="00E14F38"/>
    <w:rsid w:val="00E15507"/>
    <w:rsid w:val="00E1563A"/>
    <w:rsid w:val="00E156E6"/>
    <w:rsid w:val="00E164E7"/>
    <w:rsid w:val="00E16698"/>
    <w:rsid w:val="00E16BDB"/>
    <w:rsid w:val="00E16C39"/>
    <w:rsid w:val="00E16C54"/>
    <w:rsid w:val="00E16CA4"/>
    <w:rsid w:val="00E17042"/>
    <w:rsid w:val="00E1715A"/>
    <w:rsid w:val="00E17321"/>
    <w:rsid w:val="00E20003"/>
    <w:rsid w:val="00E2049E"/>
    <w:rsid w:val="00E20805"/>
    <w:rsid w:val="00E20BBA"/>
    <w:rsid w:val="00E22093"/>
    <w:rsid w:val="00E2223F"/>
    <w:rsid w:val="00E22653"/>
    <w:rsid w:val="00E22905"/>
    <w:rsid w:val="00E229D8"/>
    <w:rsid w:val="00E22A8B"/>
    <w:rsid w:val="00E22E02"/>
    <w:rsid w:val="00E23598"/>
    <w:rsid w:val="00E235F1"/>
    <w:rsid w:val="00E238C5"/>
    <w:rsid w:val="00E23A0A"/>
    <w:rsid w:val="00E23CEE"/>
    <w:rsid w:val="00E23D42"/>
    <w:rsid w:val="00E241F8"/>
    <w:rsid w:val="00E24C0F"/>
    <w:rsid w:val="00E24E9F"/>
    <w:rsid w:val="00E250DF"/>
    <w:rsid w:val="00E25546"/>
    <w:rsid w:val="00E259EF"/>
    <w:rsid w:val="00E25B7E"/>
    <w:rsid w:val="00E25CA0"/>
    <w:rsid w:val="00E25D01"/>
    <w:rsid w:val="00E25DFF"/>
    <w:rsid w:val="00E260ED"/>
    <w:rsid w:val="00E278B4"/>
    <w:rsid w:val="00E27A6B"/>
    <w:rsid w:val="00E27F57"/>
    <w:rsid w:val="00E309E1"/>
    <w:rsid w:val="00E30BA3"/>
    <w:rsid w:val="00E30BEE"/>
    <w:rsid w:val="00E313F3"/>
    <w:rsid w:val="00E3159F"/>
    <w:rsid w:val="00E315E0"/>
    <w:rsid w:val="00E31F92"/>
    <w:rsid w:val="00E32A7B"/>
    <w:rsid w:val="00E32AD4"/>
    <w:rsid w:val="00E331FC"/>
    <w:rsid w:val="00E33646"/>
    <w:rsid w:val="00E33AA8"/>
    <w:rsid w:val="00E33AAF"/>
    <w:rsid w:val="00E33CAD"/>
    <w:rsid w:val="00E33D0B"/>
    <w:rsid w:val="00E33E87"/>
    <w:rsid w:val="00E345BA"/>
    <w:rsid w:val="00E3465C"/>
    <w:rsid w:val="00E3498A"/>
    <w:rsid w:val="00E349E5"/>
    <w:rsid w:val="00E34B78"/>
    <w:rsid w:val="00E35014"/>
    <w:rsid w:val="00E353E4"/>
    <w:rsid w:val="00E35787"/>
    <w:rsid w:val="00E35B09"/>
    <w:rsid w:val="00E35E48"/>
    <w:rsid w:val="00E36044"/>
    <w:rsid w:val="00E36562"/>
    <w:rsid w:val="00E365B2"/>
    <w:rsid w:val="00E36713"/>
    <w:rsid w:val="00E36CC4"/>
    <w:rsid w:val="00E36F54"/>
    <w:rsid w:val="00E36FDE"/>
    <w:rsid w:val="00E37F5E"/>
    <w:rsid w:val="00E40136"/>
    <w:rsid w:val="00E40E9B"/>
    <w:rsid w:val="00E412C3"/>
    <w:rsid w:val="00E41378"/>
    <w:rsid w:val="00E41873"/>
    <w:rsid w:val="00E4193F"/>
    <w:rsid w:val="00E41AB4"/>
    <w:rsid w:val="00E4209C"/>
    <w:rsid w:val="00E4211B"/>
    <w:rsid w:val="00E4235F"/>
    <w:rsid w:val="00E425B2"/>
    <w:rsid w:val="00E427A8"/>
    <w:rsid w:val="00E42BC1"/>
    <w:rsid w:val="00E42E16"/>
    <w:rsid w:val="00E4325B"/>
    <w:rsid w:val="00E43A06"/>
    <w:rsid w:val="00E43A89"/>
    <w:rsid w:val="00E43B38"/>
    <w:rsid w:val="00E44885"/>
    <w:rsid w:val="00E448E5"/>
    <w:rsid w:val="00E44B5F"/>
    <w:rsid w:val="00E44C82"/>
    <w:rsid w:val="00E44ECE"/>
    <w:rsid w:val="00E45348"/>
    <w:rsid w:val="00E4563A"/>
    <w:rsid w:val="00E45A49"/>
    <w:rsid w:val="00E45B4B"/>
    <w:rsid w:val="00E45D30"/>
    <w:rsid w:val="00E46618"/>
    <w:rsid w:val="00E46814"/>
    <w:rsid w:val="00E4701B"/>
    <w:rsid w:val="00E47969"/>
    <w:rsid w:val="00E479F7"/>
    <w:rsid w:val="00E47BA8"/>
    <w:rsid w:val="00E47CF1"/>
    <w:rsid w:val="00E50155"/>
    <w:rsid w:val="00E5033D"/>
    <w:rsid w:val="00E5086A"/>
    <w:rsid w:val="00E50B40"/>
    <w:rsid w:val="00E50DD0"/>
    <w:rsid w:val="00E51881"/>
    <w:rsid w:val="00E51C2A"/>
    <w:rsid w:val="00E51D28"/>
    <w:rsid w:val="00E51DCF"/>
    <w:rsid w:val="00E52751"/>
    <w:rsid w:val="00E52B84"/>
    <w:rsid w:val="00E533ED"/>
    <w:rsid w:val="00E53446"/>
    <w:rsid w:val="00E53521"/>
    <w:rsid w:val="00E5368F"/>
    <w:rsid w:val="00E53919"/>
    <w:rsid w:val="00E53C9F"/>
    <w:rsid w:val="00E5441F"/>
    <w:rsid w:val="00E54924"/>
    <w:rsid w:val="00E554D1"/>
    <w:rsid w:val="00E55B1D"/>
    <w:rsid w:val="00E5625A"/>
    <w:rsid w:val="00E5635E"/>
    <w:rsid w:val="00E569F9"/>
    <w:rsid w:val="00E56B25"/>
    <w:rsid w:val="00E56D9D"/>
    <w:rsid w:val="00E56F9A"/>
    <w:rsid w:val="00E57225"/>
    <w:rsid w:val="00E57599"/>
    <w:rsid w:val="00E57E83"/>
    <w:rsid w:val="00E6043A"/>
    <w:rsid w:val="00E60D88"/>
    <w:rsid w:val="00E60E36"/>
    <w:rsid w:val="00E61088"/>
    <w:rsid w:val="00E61650"/>
    <w:rsid w:val="00E61BD3"/>
    <w:rsid w:val="00E61D36"/>
    <w:rsid w:val="00E6232C"/>
    <w:rsid w:val="00E62412"/>
    <w:rsid w:val="00E624A7"/>
    <w:rsid w:val="00E62561"/>
    <w:rsid w:val="00E62637"/>
    <w:rsid w:val="00E629B5"/>
    <w:rsid w:val="00E62A02"/>
    <w:rsid w:val="00E62BD7"/>
    <w:rsid w:val="00E62C77"/>
    <w:rsid w:val="00E635A1"/>
    <w:rsid w:val="00E636D9"/>
    <w:rsid w:val="00E63924"/>
    <w:rsid w:val="00E63BB8"/>
    <w:rsid w:val="00E63C5D"/>
    <w:rsid w:val="00E64414"/>
    <w:rsid w:val="00E64481"/>
    <w:rsid w:val="00E652BF"/>
    <w:rsid w:val="00E653DF"/>
    <w:rsid w:val="00E655B8"/>
    <w:rsid w:val="00E65666"/>
    <w:rsid w:val="00E657C7"/>
    <w:rsid w:val="00E6580B"/>
    <w:rsid w:val="00E658E9"/>
    <w:rsid w:val="00E65ADB"/>
    <w:rsid w:val="00E65C56"/>
    <w:rsid w:val="00E65F9F"/>
    <w:rsid w:val="00E6617F"/>
    <w:rsid w:val="00E66859"/>
    <w:rsid w:val="00E669CD"/>
    <w:rsid w:val="00E66C9E"/>
    <w:rsid w:val="00E6768F"/>
    <w:rsid w:val="00E67A26"/>
    <w:rsid w:val="00E67DB7"/>
    <w:rsid w:val="00E67FCD"/>
    <w:rsid w:val="00E6BFCB"/>
    <w:rsid w:val="00E70055"/>
    <w:rsid w:val="00E704C7"/>
    <w:rsid w:val="00E707DE"/>
    <w:rsid w:val="00E70A3D"/>
    <w:rsid w:val="00E70D78"/>
    <w:rsid w:val="00E70F5E"/>
    <w:rsid w:val="00E71205"/>
    <w:rsid w:val="00E71400"/>
    <w:rsid w:val="00E718D7"/>
    <w:rsid w:val="00E71B12"/>
    <w:rsid w:val="00E71B32"/>
    <w:rsid w:val="00E71CEB"/>
    <w:rsid w:val="00E71D2D"/>
    <w:rsid w:val="00E71EAA"/>
    <w:rsid w:val="00E723C1"/>
    <w:rsid w:val="00E72933"/>
    <w:rsid w:val="00E72A09"/>
    <w:rsid w:val="00E72B79"/>
    <w:rsid w:val="00E72E44"/>
    <w:rsid w:val="00E730C3"/>
    <w:rsid w:val="00E73118"/>
    <w:rsid w:val="00E73263"/>
    <w:rsid w:val="00E7344B"/>
    <w:rsid w:val="00E738AC"/>
    <w:rsid w:val="00E73B69"/>
    <w:rsid w:val="00E73D70"/>
    <w:rsid w:val="00E74710"/>
    <w:rsid w:val="00E75368"/>
    <w:rsid w:val="00E75D64"/>
    <w:rsid w:val="00E76CA9"/>
    <w:rsid w:val="00E76DA3"/>
    <w:rsid w:val="00E76E63"/>
    <w:rsid w:val="00E77093"/>
    <w:rsid w:val="00E77436"/>
    <w:rsid w:val="00E7774F"/>
    <w:rsid w:val="00E778D1"/>
    <w:rsid w:val="00E77D39"/>
    <w:rsid w:val="00E77FA7"/>
    <w:rsid w:val="00E801F7"/>
    <w:rsid w:val="00E802FE"/>
    <w:rsid w:val="00E80842"/>
    <w:rsid w:val="00E80BF2"/>
    <w:rsid w:val="00E80C12"/>
    <w:rsid w:val="00E80FB3"/>
    <w:rsid w:val="00E81294"/>
    <w:rsid w:val="00E812DF"/>
    <w:rsid w:val="00E8143E"/>
    <w:rsid w:val="00E8151B"/>
    <w:rsid w:val="00E819BF"/>
    <w:rsid w:val="00E81C87"/>
    <w:rsid w:val="00E82003"/>
    <w:rsid w:val="00E82711"/>
    <w:rsid w:val="00E82976"/>
    <w:rsid w:val="00E833CB"/>
    <w:rsid w:val="00E833DA"/>
    <w:rsid w:val="00E83B41"/>
    <w:rsid w:val="00E83DDB"/>
    <w:rsid w:val="00E841AD"/>
    <w:rsid w:val="00E844CF"/>
    <w:rsid w:val="00E846BA"/>
    <w:rsid w:val="00E84E17"/>
    <w:rsid w:val="00E84EF3"/>
    <w:rsid w:val="00E85230"/>
    <w:rsid w:val="00E855F8"/>
    <w:rsid w:val="00E85D9F"/>
    <w:rsid w:val="00E85E33"/>
    <w:rsid w:val="00E85EF4"/>
    <w:rsid w:val="00E85F5D"/>
    <w:rsid w:val="00E862F9"/>
    <w:rsid w:val="00E863CF"/>
    <w:rsid w:val="00E86564"/>
    <w:rsid w:val="00E86AA0"/>
    <w:rsid w:val="00E8752D"/>
    <w:rsid w:val="00E901E5"/>
    <w:rsid w:val="00E90724"/>
    <w:rsid w:val="00E90B68"/>
    <w:rsid w:val="00E90F9E"/>
    <w:rsid w:val="00E910B6"/>
    <w:rsid w:val="00E910D2"/>
    <w:rsid w:val="00E91509"/>
    <w:rsid w:val="00E917EA"/>
    <w:rsid w:val="00E9183B"/>
    <w:rsid w:val="00E918F6"/>
    <w:rsid w:val="00E91AC7"/>
    <w:rsid w:val="00E92716"/>
    <w:rsid w:val="00E92821"/>
    <w:rsid w:val="00E93231"/>
    <w:rsid w:val="00E932BD"/>
    <w:rsid w:val="00E933BE"/>
    <w:rsid w:val="00E934DD"/>
    <w:rsid w:val="00E93F60"/>
    <w:rsid w:val="00E94329"/>
    <w:rsid w:val="00E948CD"/>
    <w:rsid w:val="00E94BBE"/>
    <w:rsid w:val="00E94EE5"/>
    <w:rsid w:val="00E94F63"/>
    <w:rsid w:val="00E950D0"/>
    <w:rsid w:val="00E957E6"/>
    <w:rsid w:val="00E958BB"/>
    <w:rsid w:val="00E95EED"/>
    <w:rsid w:val="00E963C0"/>
    <w:rsid w:val="00E968EF"/>
    <w:rsid w:val="00E96B99"/>
    <w:rsid w:val="00E96BA6"/>
    <w:rsid w:val="00E9759F"/>
    <w:rsid w:val="00E975A9"/>
    <w:rsid w:val="00E9761F"/>
    <w:rsid w:val="00E97959"/>
    <w:rsid w:val="00E97B88"/>
    <w:rsid w:val="00E97CCD"/>
    <w:rsid w:val="00EA0085"/>
    <w:rsid w:val="00EA013C"/>
    <w:rsid w:val="00EA047E"/>
    <w:rsid w:val="00EA0532"/>
    <w:rsid w:val="00EA106E"/>
    <w:rsid w:val="00EA160D"/>
    <w:rsid w:val="00EA1642"/>
    <w:rsid w:val="00EA1B7A"/>
    <w:rsid w:val="00EA1E57"/>
    <w:rsid w:val="00EA1E72"/>
    <w:rsid w:val="00EA233B"/>
    <w:rsid w:val="00EA25FD"/>
    <w:rsid w:val="00EA26A6"/>
    <w:rsid w:val="00EA2861"/>
    <w:rsid w:val="00EA296C"/>
    <w:rsid w:val="00EA2D77"/>
    <w:rsid w:val="00EA2E0C"/>
    <w:rsid w:val="00EA2F70"/>
    <w:rsid w:val="00EA3092"/>
    <w:rsid w:val="00EA32D4"/>
    <w:rsid w:val="00EA337D"/>
    <w:rsid w:val="00EA345E"/>
    <w:rsid w:val="00EA34A0"/>
    <w:rsid w:val="00EA3AAD"/>
    <w:rsid w:val="00EA4AC9"/>
    <w:rsid w:val="00EA4E84"/>
    <w:rsid w:val="00EA5276"/>
    <w:rsid w:val="00EA55F9"/>
    <w:rsid w:val="00EA6599"/>
    <w:rsid w:val="00EA661B"/>
    <w:rsid w:val="00EA74B3"/>
    <w:rsid w:val="00EA7837"/>
    <w:rsid w:val="00EA7C1C"/>
    <w:rsid w:val="00EA7DDE"/>
    <w:rsid w:val="00EA7ED8"/>
    <w:rsid w:val="00EA7F24"/>
    <w:rsid w:val="00EB064D"/>
    <w:rsid w:val="00EB0CBA"/>
    <w:rsid w:val="00EB0D02"/>
    <w:rsid w:val="00EB0D3A"/>
    <w:rsid w:val="00EB1488"/>
    <w:rsid w:val="00EB1580"/>
    <w:rsid w:val="00EB18C1"/>
    <w:rsid w:val="00EB2157"/>
    <w:rsid w:val="00EB23A6"/>
    <w:rsid w:val="00EB23DE"/>
    <w:rsid w:val="00EB2434"/>
    <w:rsid w:val="00EB2537"/>
    <w:rsid w:val="00EB2E5D"/>
    <w:rsid w:val="00EB310F"/>
    <w:rsid w:val="00EB3326"/>
    <w:rsid w:val="00EB392B"/>
    <w:rsid w:val="00EB3953"/>
    <w:rsid w:val="00EB3F17"/>
    <w:rsid w:val="00EB3FBD"/>
    <w:rsid w:val="00EB43C0"/>
    <w:rsid w:val="00EB48C8"/>
    <w:rsid w:val="00EB49AD"/>
    <w:rsid w:val="00EB57AE"/>
    <w:rsid w:val="00EB6021"/>
    <w:rsid w:val="00EB648E"/>
    <w:rsid w:val="00EB64E8"/>
    <w:rsid w:val="00EB66B3"/>
    <w:rsid w:val="00EB6E98"/>
    <w:rsid w:val="00EB71BD"/>
    <w:rsid w:val="00EB7325"/>
    <w:rsid w:val="00EC0484"/>
    <w:rsid w:val="00EC05F2"/>
    <w:rsid w:val="00EC0B5D"/>
    <w:rsid w:val="00EC15AF"/>
    <w:rsid w:val="00EC20CF"/>
    <w:rsid w:val="00EC214F"/>
    <w:rsid w:val="00EC25B5"/>
    <w:rsid w:val="00EC28DB"/>
    <w:rsid w:val="00EC34D9"/>
    <w:rsid w:val="00EC3DF5"/>
    <w:rsid w:val="00EC455A"/>
    <w:rsid w:val="00EC49A5"/>
    <w:rsid w:val="00EC5022"/>
    <w:rsid w:val="00EC53EC"/>
    <w:rsid w:val="00EC589F"/>
    <w:rsid w:val="00EC5E73"/>
    <w:rsid w:val="00EC6B39"/>
    <w:rsid w:val="00EC7007"/>
    <w:rsid w:val="00EC740E"/>
    <w:rsid w:val="00EC7616"/>
    <w:rsid w:val="00EC762D"/>
    <w:rsid w:val="00EC7C52"/>
    <w:rsid w:val="00EC7C75"/>
    <w:rsid w:val="00EC7DE0"/>
    <w:rsid w:val="00EC7EAA"/>
    <w:rsid w:val="00ED0087"/>
    <w:rsid w:val="00ED008C"/>
    <w:rsid w:val="00ED0094"/>
    <w:rsid w:val="00ED0213"/>
    <w:rsid w:val="00ED0676"/>
    <w:rsid w:val="00ED0CE2"/>
    <w:rsid w:val="00ED15B0"/>
    <w:rsid w:val="00ED15F9"/>
    <w:rsid w:val="00ED18C4"/>
    <w:rsid w:val="00ED1956"/>
    <w:rsid w:val="00ED1980"/>
    <w:rsid w:val="00ED26F1"/>
    <w:rsid w:val="00ED29D3"/>
    <w:rsid w:val="00ED2A10"/>
    <w:rsid w:val="00ED2CFE"/>
    <w:rsid w:val="00ED2E3E"/>
    <w:rsid w:val="00ED2E63"/>
    <w:rsid w:val="00ED3392"/>
    <w:rsid w:val="00ED38BB"/>
    <w:rsid w:val="00ED3A24"/>
    <w:rsid w:val="00ED3C35"/>
    <w:rsid w:val="00ED44F5"/>
    <w:rsid w:val="00ED4BC2"/>
    <w:rsid w:val="00ED5976"/>
    <w:rsid w:val="00ED5F24"/>
    <w:rsid w:val="00ED5FDB"/>
    <w:rsid w:val="00ED60B7"/>
    <w:rsid w:val="00ED620E"/>
    <w:rsid w:val="00ED64D6"/>
    <w:rsid w:val="00ED66CC"/>
    <w:rsid w:val="00ED6970"/>
    <w:rsid w:val="00ED69D1"/>
    <w:rsid w:val="00ED69FB"/>
    <w:rsid w:val="00ED7186"/>
    <w:rsid w:val="00ED73DB"/>
    <w:rsid w:val="00ED75E8"/>
    <w:rsid w:val="00ED761A"/>
    <w:rsid w:val="00ED7652"/>
    <w:rsid w:val="00ED79D3"/>
    <w:rsid w:val="00ED7AFD"/>
    <w:rsid w:val="00ED7DE4"/>
    <w:rsid w:val="00EE00BC"/>
    <w:rsid w:val="00EE03E6"/>
    <w:rsid w:val="00EE056B"/>
    <w:rsid w:val="00EE0736"/>
    <w:rsid w:val="00EE07CC"/>
    <w:rsid w:val="00EE0C31"/>
    <w:rsid w:val="00EE0CD8"/>
    <w:rsid w:val="00EE1197"/>
    <w:rsid w:val="00EE12E0"/>
    <w:rsid w:val="00EE19FA"/>
    <w:rsid w:val="00EE1AD0"/>
    <w:rsid w:val="00EE1F38"/>
    <w:rsid w:val="00EE206C"/>
    <w:rsid w:val="00EE23B5"/>
    <w:rsid w:val="00EE247D"/>
    <w:rsid w:val="00EE25D3"/>
    <w:rsid w:val="00EE2803"/>
    <w:rsid w:val="00EE2C2D"/>
    <w:rsid w:val="00EE2F6C"/>
    <w:rsid w:val="00EE3214"/>
    <w:rsid w:val="00EE3349"/>
    <w:rsid w:val="00EE3D05"/>
    <w:rsid w:val="00EE3D90"/>
    <w:rsid w:val="00EE4173"/>
    <w:rsid w:val="00EE4805"/>
    <w:rsid w:val="00EE4CB0"/>
    <w:rsid w:val="00EE4E80"/>
    <w:rsid w:val="00EE5D74"/>
    <w:rsid w:val="00EE5DE1"/>
    <w:rsid w:val="00EE5E15"/>
    <w:rsid w:val="00EE6231"/>
    <w:rsid w:val="00EE6400"/>
    <w:rsid w:val="00EE727A"/>
    <w:rsid w:val="00EE7368"/>
    <w:rsid w:val="00EE78D9"/>
    <w:rsid w:val="00EF1160"/>
    <w:rsid w:val="00EF1659"/>
    <w:rsid w:val="00EF19A5"/>
    <w:rsid w:val="00EF1A94"/>
    <w:rsid w:val="00EF1FC6"/>
    <w:rsid w:val="00EF22B8"/>
    <w:rsid w:val="00EF23A3"/>
    <w:rsid w:val="00EF2761"/>
    <w:rsid w:val="00EF29FF"/>
    <w:rsid w:val="00EF31B4"/>
    <w:rsid w:val="00EF3492"/>
    <w:rsid w:val="00EF3E5B"/>
    <w:rsid w:val="00EF3F0F"/>
    <w:rsid w:val="00EF41DA"/>
    <w:rsid w:val="00EF46A7"/>
    <w:rsid w:val="00EF50FD"/>
    <w:rsid w:val="00EF5284"/>
    <w:rsid w:val="00EF531E"/>
    <w:rsid w:val="00EF5511"/>
    <w:rsid w:val="00EF5AFB"/>
    <w:rsid w:val="00EF61F2"/>
    <w:rsid w:val="00EF6317"/>
    <w:rsid w:val="00EF6C54"/>
    <w:rsid w:val="00EF731B"/>
    <w:rsid w:val="00EF7740"/>
    <w:rsid w:val="00EF77C3"/>
    <w:rsid w:val="00EF7CE1"/>
    <w:rsid w:val="00F00167"/>
    <w:rsid w:val="00F0016B"/>
    <w:rsid w:val="00F004D0"/>
    <w:rsid w:val="00F00540"/>
    <w:rsid w:val="00F00745"/>
    <w:rsid w:val="00F00A9D"/>
    <w:rsid w:val="00F011C4"/>
    <w:rsid w:val="00F01839"/>
    <w:rsid w:val="00F01D27"/>
    <w:rsid w:val="00F01ED1"/>
    <w:rsid w:val="00F0221A"/>
    <w:rsid w:val="00F0251D"/>
    <w:rsid w:val="00F03469"/>
    <w:rsid w:val="00F034D0"/>
    <w:rsid w:val="00F036FC"/>
    <w:rsid w:val="00F03723"/>
    <w:rsid w:val="00F04B02"/>
    <w:rsid w:val="00F05637"/>
    <w:rsid w:val="00F05742"/>
    <w:rsid w:val="00F05A65"/>
    <w:rsid w:val="00F05AD9"/>
    <w:rsid w:val="00F05E07"/>
    <w:rsid w:val="00F05F9B"/>
    <w:rsid w:val="00F066C9"/>
    <w:rsid w:val="00F068C8"/>
    <w:rsid w:val="00F06BC3"/>
    <w:rsid w:val="00F06C1C"/>
    <w:rsid w:val="00F07991"/>
    <w:rsid w:val="00F1057B"/>
    <w:rsid w:val="00F10E0B"/>
    <w:rsid w:val="00F1128C"/>
    <w:rsid w:val="00F11E16"/>
    <w:rsid w:val="00F12280"/>
    <w:rsid w:val="00F12BFE"/>
    <w:rsid w:val="00F12F3D"/>
    <w:rsid w:val="00F135B3"/>
    <w:rsid w:val="00F1364E"/>
    <w:rsid w:val="00F137AB"/>
    <w:rsid w:val="00F13D33"/>
    <w:rsid w:val="00F13DD1"/>
    <w:rsid w:val="00F13F2D"/>
    <w:rsid w:val="00F141E6"/>
    <w:rsid w:val="00F14669"/>
    <w:rsid w:val="00F148C0"/>
    <w:rsid w:val="00F14B9A"/>
    <w:rsid w:val="00F1508D"/>
    <w:rsid w:val="00F1523A"/>
    <w:rsid w:val="00F15365"/>
    <w:rsid w:val="00F15DAF"/>
    <w:rsid w:val="00F16158"/>
    <w:rsid w:val="00F16AC9"/>
    <w:rsid w:val="00F16C50"/>
    <w:rsid w:val="00F173D4"/>
    <w:rsid w:val="00F1763C"/>
    <w:rsid w:val="00F17801"/>
    <w:rsid w:val="00F17E2D"/>
    <w:rsid w:val="00F17F31"/>
    <w:rsid w:val="00F17FC8"/>
    <w:rsid w:val="00F20479"/>
    <w:rsid w:val="00F204D7"/>
    <w:rsid w:val="00F20919"/>
    <w:rsid w:val="00F21129"/>
    <w:rsid w:val="00F215B7"/>
    <w:rsid w:val="00F21884"/>
    <w:rsid w:val="00F21923"/>
    <w:rsid w:val="00F21A26"/>
    <w:rsid w:val="00F21E25"/>
    <w:rsid w:val="00F2202F"/>
    <w:rsid w:val="00F22647"/>
    <w:rsid w:val="00F22657"/>
    <w:rsid w:val="00F2283C"/>
    <w:rsid w:val="00F22841"/>
    <w:rsid w:val="00F2296D"/>
    <w:rsid w:val="00F22A58"/>
    <w:rsid w:val="00F22C53"/>
    <w:rsid w:val="00F233BB"/>
    <w:rsid w:val="00F23570"/>
    <w:rsid w:val="00F23703"/>
    <w:rsid w:val="00F23A1B"/>
    <w:rsid w:val="00F23DE5"/>
    <w:rsid w:val="00F244E7"/>
    <w:rsid w:val="00F247B7"/>
    <w:rsid w:val="00F24FAE"/>
    <w:rsid w:val="00F25091"/>
    <w:rsid w:val="00F252D5"/>
    <w:rsid w:val="00F2556A"/>
    <w:rsid w:val="00F255E9"/>
    <w:rsid w:val="00F257F6"/>
    <w:rsid w:val="00F25CBA"/>
    <w:rsid w:val="00F25F0C"/>
    <w:rsid w:val="00F26B2E"/>
    <w:rsid w:val="00F26B35"/>
    <w:rsid w:val="00F26C93"/>
    <w:rsid w:val="00F26EA0"/>
    <w:rsid w:val="00F26EF8"/>
    <w:rsid w:val="00F27040"/>
    <w:rsid w:val="00F2765D"/>
    <w:rsid w:val="00F2782B"/>
    <w:rsid w:val="00F300FF"/>
    <w:rsid w:val="00F301CE"/>
    <w:rsid w:val="00F30250"/>
    <w:rsid w:val="00F304A8"/>
    <w:rsid w:val="00F30827"/>
    <w:rsid w:val="00F30840"/>
    <w:rsid w:val="00F30DB3"/>
    <w:rsid w:val="00F30EFD"/>
    <w:rsid w:val="00F31146"/>
    <w:rsid w:val="00F3133C"/>
    <w:rsid w:val="00F31430"/>
    <w:rsid w:val="00F3146D"/>
    <w:rsid w:val="00F315FD"/>
    <w:rsid w:val="00F319CF"/>
    <w:rsid w:val="00F31EF1"/>
    <w:rsid w:val="00F32119"/>
    <w:rsid w:val="00F321A6"/>
    <w:rsid w:val="00F32316"/>
    <w:rsid w:val="00F32365"/>
    <w:rsid w:val="00F32718"/>
    <w:rsid w:val="00F32729"/>
    <w:rsid w:val="00F3294E"/>
    <w:rsid w:val="00F32B9E"/>
    <w:rsid w:val="00F33C79"/>
    <w:rsid w:val="00F3402D"/>
    <w:rsid w:val="00F34145"/>
    <w:rsid w:val="00F341F2"/>
    <w:rsid w:val="00F3471F"/>
    <w:rsid w:val="00F34945"/>
    <w:rsid w:val="00F34A93"/>
    <w:rsid w:val="00F34B27"/>
    <w:rsid w:val="00F352D0"/>
    <w:rsid w:val="00F3530D"/>
    <w:rsid w:val="00F35A31"/>
    <w:rsid w:val="00F35B20"/>
    <w:rsid w:val="00F35E44"/>
    <w:rsid w:val="00F36281"/>
    <w:rsid w:val="00F36522"/>
    <w:rsid w:val="00F3671B"/>
    <w:rsid w:val="00F36820"/>
    <w:rsid w:val="00F37083"/>
    <w:rsid w:val="00F372FE"/>
    <w:rsid w:val="00F37417"/>
    <w:rsid w:val="00F3769E"/>
    <w:rsid w:val="00F378DC"/>
    <w:rsid w:val="00F37B88"/>
    <w:rsid w:val="00F37BBD"/>
    <w:rsid w:val="00F37CE8"/>
    <w:rsid w:val="00F37F6A"/>
    <w:rsid w:val="00F400E6"/>
    <w:rsid w:val="00F40169"/>
    <w:rsid w:val="00F402DF"/>
    <w:rsid w:val="00F4063E"/>
    <w:rsid w:val="00F40AD3"/>
    <w:rsid w:val="00F40B04"/>
    <w:rsid w:val="00F40E6D"/>
    <w:rsid w:val="00F41CC5"/>
    <w:rsid w:val="00F41ECA"/>
    <w:rsid w:val="00F41F46"/>
    <w:rsid w:val="00F421F2"/>
    <w:rsid w:val="00F42B90"/>
    <w:rsid w:val="00F42D05"/>
    <w:rsid w:val="00F42D87"/>
    <w:rsid w:val="00F42E0E"/>
    <w:rsid w:val="00F42FC0"/>
    <w:rsid w:val="00F43423"/>
    <w:rsid w:val="00F43EFC"/>
    <w:rsid w:val="00F44385"/>
    <w:rsid w:val="00F4442F"/>
    <w:rsid w:val="00F4456F"/>
    <w:rsid w:val="00F44DE2"/>
    <w:rsid w:val="00F44E85"/>
    <w:rsid w:val="00F450EE"/>
    <w:rsid w:val="00F451C8"/>
    <w:rsid w:val="00F454CC"/>
    <w:rsid w:val="00F45B67"/>
    <w:rsid w:val="00F46021"/>
    <w:rsid w:val="00F4634B"/>
    <w:rsid w:val="00F46EE8"/>
    <w:rsid w:val="00F47966"/>
    <w:rsid w:val="00F47B05"/>
    <w:rsid w:val="00F47D95"/>
    <w:rsid w:val="00F47E16"/>
    <w:rsid w:val="00F500FD"/>
    <w:rsid w:val="00F50572"/>
    <w:rsid w:val="00F50FC6"/>
    <w:rsid w:val="00F510DC"/>
    <w:rsid w:val="00F516D1"/>
    <w:rsid w:val="00F51878"/>
    <w:rsid w:val="00F51949"/>
    <w:rsid w:val="00F519AF"/>
    <w:rsid w:val="00F51B13"/>
    <w:rsid w:val="00F51FE4"/>
    <w:rsid w:val="00F5228C"/>
    <w:rsid w:val="00F5240B"/>
    <w:rsid w:val="00F527C4"/>
    <w:rsid w:val="00F52883"/>
    <w:rsid w:val="00F52F86"/>
    <w:rsid w:val="00F53276"/>
    <w:rsid w:val="00F53509"/>
    <w:rsid w:val="00F535EB"/>
    <w:rsid w:val="00F538A3"/>
    <w:rsid w:val="00F54016"/>
    <w:rsid w:val="00F541A4"/>
    <w:rsid w:val="00F54231"/>
    <w:rsid w:val="00F54642"/>
    <w:rsid w:val="00F548FC"/>
    <w:rsid w:val="00F54C7E"/>
    <w:rsid w:val="00F54F46"/>
    <w:rsid w:val="00F55246"/>
    <w:rsid w:val="00F5597D"/>
    <w:rsid w:val="00F55ACC"/>
    <w:rsid w:val="00F55D51"/>
    <w:rsid w:val="00F56265"/>
    <w:rsid w:val="00F562A6"/>
    <w:rsid w:val="00F5699B"/>
    <w:rsid w:val="00F569EE"/>
    <w:rsid w:val="00F569F5"/>
    <w:rsid w:val="00F56B2E"/>
    <w:rsid w:val="00F56C3E"/>
    <w:rsid w:val="00F5746E"/>
    <w:rsid w:val="00F57BC2"/>
    <w:rsid w:val="00F57F6F"/>
    <w:rsid w:val="00F57F76"/>
    <w:rsid w:val="00F606E3"/>
    <w:rsid w:val="00F60DE0"/>
    <w:rsid w:val="00F61002"/>
    <w:rsid w:val="00F610E8"/>
    <w:rsid w:val="00F61336"/>
    <w:rsid w:val="00F6137D"/>
    <w:rsid w:val="00F6185A"/>
    <w:rsid w:val="00F61A86"/>
    <w:rsid w:val="00F624B8"/>
    <w:rsid w:val="00F62ACB"/>
    <w:rsid w:val="00F63239"/>
    <w:rsid w:val="00F637B2"/>
    <w:rsid w:val="00F64402"/>
    <w:rsid w:val="00F64BF3"/>
    <w:rsid w:val="00F64DC6"/>
    <w:rsid w:val="00F65DCA"/>
    <w:rsid w:val="00F65FF5"/>
    <w:rsid w:val="00F6608F"/>
    <w:rsid w:val="00F662A6"/>
    <w:rsid w:val="00F667B3"/>
    <w:rsid w:val="00F6709B"/>
    <w:rsid w:val="00F67651"/>
    <w:rsid w:val="00F67C26"/>
    <w:rsid w:val="00F67E53"/>
    <w:rsid w:val="00F700AB"/>
    <w:rsid w:val="00F70637"/>
    <w:rsid w:val="00F706D2"/>
    <w:rsid w:val="00F7082F"/>
    <w:rsid w:val="00F708E5"/>
    <w:rsid w:val="00F70BC5"/>
    <w:rsid w:val="00F70BC8"/>
    <w:rsid w:val="00F70F22"/>
    <w:rsid w:val="00F7149D"/>
    <w:rsid w:val="00F719FA"/>
    <w:rsid w:val="00F71BF5"/>
    <w:rsid w:val="00F7237E"/>
    <w:rsid w:val="00F723AD"/>
    <w:rsid w:val="00F726E3"/>
    <w:rsid w:val="00F727F7"/>
    <w:rsid w:val="00F72AE8"/>
    <w:rsid w:val="00F72BE2"/>
    <w:rsid w:val="00F72E1C"/>
    <w:rsid w:val="00F72F88"/>
    <w:rsid w:val="00F73413"/>
    <w:rsid w:val="00F73414"/>
    <w:rsid w:val="00F73485"/>
    <w:rsid w:val="00F743E0"/>
    <w:rsid w:val="00F74825"/>
    <w:rsid w:val="00F748E8"/>
    <w:rsid w:val="00F749B2"/>
    <w:rsid w:val="00F74A75"/>
    <w:rsid w:val="00F75013"/>
    <w:rsid w:val="00F750A6"/>
    <w:rsid w:val="00F755E3"/>
    <w:rsid w:val="00F75703"/>
    <w:rsid w:val="00F766BD"/>
    <w:rsid w:val="00F76D8A"/>
    <w:rsid w:val="00F76E6B"/>
    <w:rsid w:val="00F76FA7"/>
    <w:rsid w:val="00F773E0"/>
    <w:rsid w:val="00F775BB"/>
    <w:rsid w:val="00F776AE"/>
    <w:rsid w:val="00F778FC"/>
    <w:rsid w:val="00F77907"/>
    <w:rsid w:val="00F77AFA"/>
    <w:rsid w:val="00F77FA0"/>
    <w:rsid w:val="00F8010C"/>
    <w:rsid w:val="00F807A5"/>
    <w:rsid w:val="00F80C3B"/>
    <w:rsid w:val="00F80C42"/>
    <w:rsid w:val="00F811EF"/>
    <w:rsid w:val="00F8128F"/>
    <w:rsid w:val="00F81298"/>
    <w:rsid w:val="00F81786"/>
    <w:rsid w:val="00F81ABC"/>
    <w:rsid w:val="00F81AC6"/>
    <w:rsid w:val="00F820F6"/>
    <w:rsid w:val="00F821E8"/>
    <w:rsid w:val="00F82314"/>
    <w:rsid w:val="00F82EAE"/>
    <w:rsid w:val="00F82EB2"/>
    <w:rsid w:val="00F82F51"/>
    <w:rsid w:val="00F832A4"/>
    <w:rsid w:val="00F839DA"/>
    <w:rsid w:val="00F83C17"/>
    <w:rsid w:val="00F83F91"/>
    <w:rsid w:val="00F84928"/>
    <w:rsid w:val="00F84D3E"/>
    <w:rsid w:val="00F84DCC"/>
    <w:rsid w:val="00F8512F"/>
    <w:rsid w:val="00F8530C"/>
    <w:rsid w:val="00F85485"/>
    <w:rsid w:val="00F8559E"/>
    <w:rsid w:val="00F85AD4"/>
    <w:rsid w:val="00F86034"/>
    <w:rsid w:val="00F864B2"/>
    <w:rsid w:val="00F867BC"/>
    <w:rsid w:val="00F86AB9"/>
    <w:rsid w:val="00F86B21"/>
    <w:rsid w:val="00F87224"/>
    <w:rsid w:val="00F87AEB"/>
    <w:rsid w:val="00F87D2B"/>
    <w:rsid w:val="00F87F5B"/>
    <w:rsid w:val="00F901D6"/>
    <w:rsid w:val="00F90DC1"/>
    <w:rsid w:val="00F90F0C"/>
    <w:rsid w:val="00F91153"/>
    <w:rsid w:val="00F9181D"/>
    <w:rsid w:val="00F91870"/>
    <w:rsid w:val="00F91A8D"/>
    <w:rsid w:val="00F91B9E"/>
    <w:rsid w:val="00F92071"/>
    <w:rsid w:val="00F92606"/>
    <w:rsid w:val="00F92888"/>
    <w:rsid w:val="00F92C32"/>
    <w:rsid w:val="00F92E17"/>
    <w:rsid w:val="00F934F6"/>
    <w:rsid w:val="00F945D8"/>
    <w:rsid w:val="00F949E7"/>
    <w:rsid w:val="00F94B7A"/>
    <w:rsid w:val="00F95087"/>
    <w:rsid w:val="00F9511F"/>
    <w:rsid w:val="00F95689"/>
    <w:rsid w:val="00F95C9A"/>
    <w:rsid w:val="00F95ED4"/>
    <w:rsid w:val="00F95F71"/>
    <w:rsid w:val="00F96028"/>
    <w:rsid w:val="00F96265"/>
    <w:rsid w:val="00F96D2B"/>
    <w:rsid w:val="00F96F66"/>
    <w:rsid w:val="00F9746A"/>
    <w:rsid w:val="00F97FCE"/>
    <w:rsid w:val="00F983A2"/>
    <w:rsid w:val="00FA036C"/>
    <w:rsid w:val="00FA0C2D"/>
    <w:rsid w:val="00FA172C"/>
    <w:rsid w:val="00FA19BE"/>
    <w:rsid w:val="00FA1A5E"/>
    <w:rsid w:val="00FA1EE9"/>
    <w:rsid w:val="00FA1F90"/>
    <w:rsid w:val="00FA23C6"/>
    <w:rsid w:val="00FA2433"/>
    <w:rsid w:val="00FA24A7"/>
    <w:rsid w:val="00FA276C"/>
    <w:rsid w:val="00FA27D8"/>
    <w:rsid w:val="00FA328F"/>
    <w:rsid w:val="00FA3632"/>
    <w:rsid w:val="00FA3CF9"/>
    <w:rsid w:val="00FA4446"/>
    <w:rsid w:val="00FA4CAE"/>
    <w:rsid w:val="00FA4DF5"/>
    <w:rsid w:val="00FA52E3"/>
    <w:rsid w:val="00FA5497"/>
    <w:rsid w:val="00FA58E7"/>
    <w:rsid w:val="00FA598B"/>
    <w:rsid w:val="00FA5B00"/>
    <w:rsid w:val="00FA5C64"/>
    <w:rsid w:val="00FA60B6"/>
    <w:rsid w:val="00FA6451"/>
    <w:rsid w:val="00FA67F0"/>
    <w:rsid w:val="00FA6964"/>
    <w:rsid w:val="00FA6B5A"/>
    <w:rsid w:val="00FA7275"/>
    <w:rsid w:val="00FA734B"/>
    <w:rsid w:val="00FA7B15"/>
    <w:rsid w:val="00FA7EFC"/>
    <w:rsid w:val="00FB02D5"/>
    <w:rsid w:val="00FB05A8"/>
    <w:rsid w:val="00FB08EC"/>
    <w:rsid w:val="00FB0A6E"/>
    <w:rsid w:val="00FB0E64"/>
    <w:rsid w:val="00FB114B"/>
    <w:rsid w:val="00FB1412"/>
    <w:rsid w:val="00FB14A7"/>
    <w:rsid w:val="00FB1583"/>
    <w:rsid w:val="00FB1871"/>
    <w:rsid w:val="00FB1B39"/>
    <w:rsid w:val="00FB1EC4"/>
    <w:rsid w:val="00FB205D"/>
    <w:rsid w:val="00FB217E"/>
    <w:rsid w:val="00FB21EF"/>
    <w:rsid w:val="00FB24C4"/>
    <w:rsid w:val="00FB293C"/>
    <w:rsid w:val="00FB2B32"/>
    <w:rsid w:val="00FB3430"/>
    <w:rsid w:val="00FB367A"/>
    <w:rsid w:val="00FB3C37"/>
    <w:rsid w:val="00FB3C66"/>
    <w:rsid w:val="00FB3FF1"/>
    <w:rsid w:val="00FB4628"/>
    <w:rsid w:val="00FB4CAE"/>
    <w:rsid w:val="00FB4D69"/>
    <w:rsid w:val="00FB50CE"/>
    <w:rsid w:val="00FB5648"/>
    <w:rsid w:val="00FB5C1B"/>
    <w:rsid w:val="00FB5D74"/>
    <w:rsid w:val="00FB5F1F"/>
    <w:rsid w:val="00FB5F4C"/>
    <w:rsid w:val="00FB602E"/>
    <w:rsid w:val="00FB64F3"/>
    <w:rsid w:val="00FB69D8"/>
    <w:rsid w:val="00FB6D5D"/>
    <w:rsid w:val="00FB70FF"/>
    <w:rsid w:val="00FB7738"/>
    <w:rsid w:val="00FC021F"/>
    <w:rsid w:val="00FC1276"/>
    <w:rsid w:val="00FC14C7"/>
    <w:rsid w:val="00FC1AAF"/>
    <w:rsid w:val="00FC1D02"/>
    <w:rsid w:val="00FC21E8"/>
    <w:rsid w:val="00FC2308"/>
    <w:rsid w:val="00FC25B4"/>
    <w:rsid w:val="00FC27A3"/>
    <w:rsid w:val="00FC2B95"/>
    <w:rsid w:val="00FC2E9E"/>
    <w:rsid w:val="00FC329E"/>
    <w:rsid w:val="00FC3799"/>
    <w:rsid w:val="00FC38D3"/>
    <w:rsid w:val="00FC3A19"/>
    <w:rsid w:val="00FC3B8E"/>
    <w:rsid w:val="00FC3B97"/>
    <w:rsid w:val="00FC4189"/>
    <w:rsid w:val="00FC4B1C"/>
    <w:rsid w:val="00FC56FC"/>
    <w:rsid w:val="00FC58A4"/>
    <w:rsid w:val="00FC5A8F"/>
    <w:rsid w:val="00FC5C79"/>
    <w:rsid w:val="00FC5F3B"/>
    <w:rsid w:val="00FC6134"/>
    <w:rsid w:val="00FC6239"/>
    <w:rsid w:val="00FC62A4"/>
    <w:rsid w:val="00FC70B5"/>
    <w:rsid w:val="00FC7118"/>
    <w:rsid w:val="00FC7587"/>
    <w:rsid w:val="00FC778E"/>
    <w:rsid w:val="00FD0099"/>
    <w:rsid w:val="00FD020E"/>
    <w:rsid w:val="00FD062C"/>
    <w:rsid w:val="00FD0670"/>
    <w:rsid w:val="00FD0F77"/>
    <w:rsid w:val="00FD1019"/>
    <w:rsid w:val="00FD1402"/>
    <w:rsid w:val="00FD18E7"/>
    <w:rsid w:val="00FD1904"/>
    <w:rsid w:val="00FD1BA0"/>
    <w:rsid w:val="00FD2587"/>
    <w:rsid w:val="00FD2AAA"/>
    <w:rsid w:val="00FD2B90"/>
    <w:rsid w:val="00FD3394"/>
    <w:rsid w:val="00FD34BB"/>
    <w:rsid w:val="00FD3805"/>
    <w:rsid w:val="00FD4A06"/>
    <w:rsid w:val="00FD4F69"/>
    <w:rsid w:val="00FD53F0"/>
    <w:rsid w:val="00FD5497"/>
    <w:rsid w:val="00FD5BBD"/>
    <w:rsid w:val="00FD5BF4"/>
    <w:rsid w:val="00FD5EF7"/>
    <w:rsid w:val="00FD77B1"/>
    <w:rsid w:val="00FE03F6"/>
    <w:rsid w:val="00FE060D"/>
    <w:rsid w:val="00FE065E"/>
    <w:rsid w:val="00FE06E5"/>
    <w:rsid w:val="00FE0979"/>
    <w:rsid w:val="00FE0FEB"/>
    <w:rsid w:val="00FE1068"/>
    <w:rsid w:val="00FE1211"/>
    <w:rsid w:val="00FE12D9"/>
    <w:rsid w:val="00FE1507"/>
    <w:rsid w:val="00FE1745"/>
    <w:rsid w:val="00FE1832"/>
    <w:rsid w:val="00FE1C3D"/>
    <w:rsid w:val="00FE26CB"/>
    <w:rsid w:val="00FE292F"/>
    <w:rsid w:val="00FE2E92"/>
    <w:rsid w:val="00FE3199"/>
    <w:rsid w:val="00FE36A4"/>
    <w:rsid w:val="00FE3BD9"/>
    <w:rsid w:val="00FE3D55"/>
    <w:rsid w:val="00FE4351"/>
    <w:rsid w:val="00FE47C1"/>
    <w:rsid w:val="00FE4945"/>
    <w:rsid w:val="00FE4E3E"/>
    <w:rsid w:val="00FE4E8E"/>
    <w:rsid w:val="00FE518D"/>
    <w:rsid w:val="00FE5417"/>
    <w:rsid w:val="00FE56F0"/>
    <w:rsid w:val="00FE57BA"/>
    <w:rsid w:val="00FE5CB6"/>
    <w:rsid w:val="00FE6121"/>
    <w:rsid w:val="00FE6270"/>
    <w:rsid w:val="00FE6800"/>
    <w:rsid w:val="00FE6866"/>
    <w:rsid w:val="00FE68AE"/>
    <w:rsid w:val="00FE6990"/>
    <w:rsid w:val="00FE6A08"/>
    <w:rsid w:val="00FE6B78"/>
    <w:rsid w:val="00FE6D5C"/>
    <w:rsid w:val="00FE7AEF"/>
    <w:rsid w:val="00FE7CEA"/>
    <w:rsid w:val="00FE7EFA"/>
    <w:rsid w:val="00FF01F6"/>
    <w:rsid w:val="00FF0845"/>
    <w:rsid w:val="00FF08B1"/>
    <w:rsid w:val="00FF0B0E"/>
    <w:rsid w:val="00FF0F3D"/>
    <w:rsid w:val="00FF106C"/>
    <w:rsid w:val="00FF12AC"/>
    <w:rsid w:val="00FF16E6"/>
    <w:rsid w:val="00FF1AC4"/>
    <w:rsid w:val="00FF1C4D"/>
    <w:rsid w:val="00FF2248"/>
    <w:rsid w:val="00FF268B"/>
    <w:rsid w:val="00FF2A02"/>
    <w:rsid w:val="00FF2C71"/>
    <w:rsid w:val="00FF306C"/>
    <w:rsid w:val="00FF3A63"/>
    <w:rsid w:val="00FF3C1F"/>
    <w:rsid w:val="00FF481F"/>
    <w:rsid w:val="00FF4D78"/>
    <w:rsid w:val="00FF511E"/>
    <w:rsid w:val="00FF564F"/>
    <w:rsid w:val="00FF5651"/>
    <w:rsid w:val="00FF5901"/>
    <w:rsid w:val="00FF5980"/>
    <w:rsid w:val="00FF59C8"/>
    <w:rsid w:val="00FF5C90"/>
    <w:rsid w:val="00FF5E49"/>
    <w:rsid w:val="00FF62B1"/>
    <w:rsid w:val="00FF6594"/>
    <w:rsid w:val="00FF6B10"/>
    <w:rsid w:val="00FF6B55"/>
    <w:rsid w:val="00FF739A"/>
    <w:rsid w:val="00FF74E9"/>
    <w:rsid w:val="00FF7A99"/>
    <w:rsid w:val="00FF7DD0"/>
    <w:rsid w:val="00FF7EE3"/>
    <w:rsid w:val="010AB5B8"/>
    <w:rsid w:val="010FB852"/>
    <w:rsid w:val="0114CCB5"/>
    <w:rsid w:val="01331412"/>
    <w:rsid w:val="0176B4E1"/>
    <w:rsid w:val="01F91D7B"/>
    <w:rsid w:val="020A0DFD"/>
    <w:rsid w:val="020C051D"/>
    <w:rsid w:val="0210B17F"/>
    <w:rsid w:val="02354A94"/>
    <w:rsid w:val="023D9ABE"/>
    <w:rsid w:val="024AC0B6"/>
    <w:rsid w:val="02510C5A"/>
    <w:rsid w:val="026A9C04"/>
    <w:rsid w:val="027AD81E"/>
    <w:rsid w:val="0286B8BE"/>
    <w:rsid w:val="0288331D"/>
    <w:rsid w:val="028DB4D0"/>
    <w:rsid w:val="0298C0F6"/>
    <w:rsid w:val="02B2FC49"/>
    <w:rsid w:val="02D12928"/>
    <w:rsid w:val="02D5782B"/>
    <w:rsid w:val="030E7FC8"/>
    <w:rsid w:val="03508BC5"/>
    <w:rsid w:val="0363CDDA"/>
    <w:rsid w:val="037C2BEE"/>
    <w:rsid w:val="038A5790"/>
    <w:rsid w:val="038F9C6C"/>
    <w:rsid w:val="03B46B4D"/>
    <w:rsid w:val="03BDC8DE"/>
    <w:rsid w:val="03CE49A9"/>
    <w:rsid w:val="03E6E2D2"/>
    <w:rsid w:val="03F69C4F"/>
    <w:rsid w:val="03FDC5D9"/>
    <w:rsid w:val="04179E62"/>
    <w:rsid w:val="041D7759"/>
    <w:rsid w:val="041EAC31"/>
    <w:rsid w:val="045A874D"/>
    <w:rsid w:val="045F2256"/>
    <w:rsid w:val="046234E6"/>
    <w:rsid w:val="047A8300"/>
    <w:rsid w:val="049398DA"/>
    <w:rsid w:val="04A1A207"/>
    <w:rsid w:val="04AD349D"/>
    <w:rsid w:val="04AF5318"/>
    <w:rsid w:val="04D651BF"/>
    <w:rsid w:val="050428C6"/>
    <w:rsid w:val="0511A9A1"/>
    <w:rsid w:val="0573D595"/>
    <w:rsid w:val="05756C78"/>
    <w:rsid w:val="05C33B83"/>
    <w:rsid w:val="05C5BBAC"/>
    <w:rsid w:val="05D23F46"/>
    <w:rsid w:val="05DAA86D"/>
    <w:rsid w:val="067EF3AE"/>
    <w:rsid w:val="06943FCC"/>
    <w:rsid w:val="069501CE"/>
    <w:rsid w:val="06D2A5EB"/>
    <w:rsid w:val="06EE29BD"/>
    <w:rsid w:val="06F5C133"/>
    <w:rsid w:val="06F6BB98"/>
    <w:rsid w:val="0717A939"/>
    <w:rsid w:val="071B6BB5"/>
    <w:rsid w:val="0735836E"/>
    <w:rsid w:val="0748276E"/>
    <w:rsid w:val="0781437F"/>
    <w:rsid w:val="07822BBD"/>
    <w:rsid w:val="0787DDBD"/>
    <w:rsid w:val="07A1F9BD"/>
    <w:rsid w:val="07AD1AE1"/>
    <w:rsid w:val="07B23126"/>
    <w:rsid w:val="07BA1932"/>
    <w:rsid w:val="07D1063D"/>
    <w:rsid w:val="07D63C94"/>
    <w:rsid w:val="07DD0DBB"/>
    <w:rsid w:val="07E66684"/>
    <w:rsid w:val="07FA597C"/>
    <w:rsid w:val="083875F7"/>
    <w:rsid w:val="084F9D11"/>
    <w:rsid w:val="08640641"/>
    <w:rsid w:val="086C0FA4"/>
    <w:rsid w:val="087CF901"/>
    <w:rsid w:val="08935D6D"/>
    <w:rsid w:val="08977F4B"/>
    <w:rsid w:val="091D8B87"/>
    <w:rsid w:val="09206FE6"/>
    <w:rsid w:val="094CF3CD"/>
    <w:rsid w:val="095EB718"/>
    <w:rsid w:val="097B7502"/>
    <w:rsid w:val="098CE612"/>
    <w:rsid w:val="098E7895"/>
    <w:rsid w:val="09A16ECA"/>
    <w:rsid w:val="09A5CACD"/>
    <w:rsid w:val="09A63228"/>
    <w:rsid w:val="09B1DAC9"/>
    <w:rsid w:val="09BB187D"/>
    <w:rsid w:val="09E08C6C"/>
    <w:rsid w:val="0A05283C"/>
    <w:rsid w:val="0A1FEC2C"/>
    <w:rsid w:val="0A47488C"/>
    <w:rsid w:val="0A99DA79"/>
    <w:rsid w:val="0AF6F1E5"/>
    <w:rsid w:val="0AF901F8"/>
    <w:rsid w:val="0B099717"/>
    <w:rsid w:val="0B31C2ED"/>
    <w:rsid w:val="0B539859"/>
    <w:rsid w:val="0BAE24B6"/>
    <w:rsid w:val="0BBB35CC"/>
    <w:rsid w:val="0BD1D339"/>
    <w:rsid w:val="0BD785E4"/>
    <w:rsid w:val="0C710DE4"/>
    <w:rsid w:val="0CBD3700"/>
    <w:rsid w:val="0CEC31EE"/>
    <w:rsid w:val="0D2DFB92"/>
    <w:rsid w:val="0D63311F"/>
    <w:rsid w:val="0D8A02B8"/>
    <w:rsid w:val="0D968FC8"/>
    <w:rsid w:val="0DA899AD"/>
    <w:rsid w:val="0E39AEA3"/>
    <w:rsid w:val="0E5A2EAA"/>
    <w:rsid w:val="0E5B7862"/>
    <w:rsid w:val="0E774F82"/>
    <w:rsid w:val="0E849F25"/>
    <w:rsid w:val="0E989E4A"/>
    <w:rsid w:val="0EB8B40A"/>
    <w:rsid w:val="0ED9D38A"/>
    <w:rsid w:val="0EDCC8E2"/>
    <w:rsid w:val="0F007A10"/>
    <w:rsid w:val="0F01007E"/>
    <w:rsid w:val="0F6B494C"/>
    <w:rsid w:val="0F85F126"/>
    <w:rsid w:val="0F9DDED0"/>
    <w:rsid w:val="0FB4D296"/>
    <w:rsid w:val="0FD376B1"/>
    <w:rsid w:val="0FDA8A70"/>
    <w:rsid w:val="0FF145CE"/>
    <w:rsid w:val="102AD50D"/>
    <w:rsid w:val="103AB935"/>
    <w:rsid w:val="10824410"/>
    <w:rsid w:val="10B3AA6E"/>
    <w:rsid w:val="10B7EC99"/>
    <w:rsid w:val="10C7AFDC"/>
    <w:rsid w:val="10CBA3DB"/>
    <w:rsid w:val="112537F1"/>
    <w:rsid w:val="11721DB2"/>
    <w:rsid w:val="117B236B"/>
    <w:rsid w:val="1189666E"/>
    <w:rsid w:val="119EE863"/>
    <w:rsid w:val="11A6F53A"/>
    <w:rsid w:val="11B38B3E"/>
    <w:rsid w:val="11C13BB4"/>
    <w:rsid w:val="11D7A8F4"/>
    <w:rsid w:val="11E6D4AA"/>
    <w:rsid w:val="11F1F3DD"/>
    <w:rsid w:val="11FC07E3"/>
    <w:rsid w:val="120A6AA7"/>
    <w:rsid w:val="123646C1"/>
    <w:rsid w:val="124643DC"/>
    <w:rsid w:val="12552312"/>
    <w:rsid w:val="126B50E6"/>
    <w:rsid w:val="126F52A6"/>
    <w:rsid w:val="127E86B4"/>
    <w:rsid w:val="12919537"/>
    <w:rsid w:val="12B29B40"/>
    <w:rsid w:val="12BA1932"/>
    <w:rsid w:val="12CC632D"/>
    <w:rsid w:val="12E9FD6B"/>
    <w:rsid w:val="12F4022F"/>
    <w:rsid w:val="12F90568"/>
    <w:rsid w:val="1353CDC6"/>
    <w:rsid w:val="13771631"/>
    <w:rsid w:val="1378CFC5"/>
    <w:rsid w:val="13959566"/>
    <w:rsid w:val="13A01E46"/>
    <w:rsid w:val="13A8CFA0"/>
    <w:rsid w:val="13DC5405"/>
    <w:rsid w:val="13E607DD"/>
    <w:rsid w:val="1402AD25"/>
    <w:rsid w:val="14438339"/>
    <w:rsid w:val="1459E729"/>
    <w:rsid w:val="1488077C"/>
    <w:rsid w:val="14887A28"/>
    <w:rsid w:val="14D03E09"/>
    <w:rsid w:val="14DDD68B"/>
    <w:rsid w:val="151A8B81"/>
    <w:rsid w:val="154DF85C"/>
    <w:rsid w:val="1561817E"/>
    <w:rsid w:val="159B96D1"/>
    <w:rsid w:val="15B76A13"/>
    <w:rsid w:val="15BE254C"/>
    <w:rsid w:val="15E8D4B7"/>
    <w:rsid w:val="15EB8775"/>
    <w:rsid w:val="1641B93B"/>
    <w:rsid w:val="16423843"/>
    <w:rsid w:val="16533004"/>
    <w:rsid w:val="16579931"/>
    <w:rsid w:val="16A9744E"/>
    <w:rsid w:val="16B84869"/>
    <w:rsid w:val="16F23337"/>
    <w:rsid w:val="16FF3CBC"/>
    <w:rsid w:val="1706E82A"/>
    <w:rsid w:val="17417124"/>
    <w:rsid w:val="175081E1"/>
    <w:rsid w:val="17564268"/>
    <w:rsid w:val="1770AF47"/>
    <w:rsid w:val="178072CB"/>
    <w:rsid w:val="178EC8A4"/>
    <w:rsid w:val="17942F4F"/>
    <w:rsid w:val="17A87A7E"/>
    <w:rsid w:val="17BAF0E6"/>
    <w:rsid w:val="17BE6621"/>
    <w:rsid w:val="1821DA54"/>
    <w:rsid w:val="182CAF19"/>
    <w:rsid w:val="184F5EF3"/>
    <w:rsid w:val="18787D3B"/>
    <w:rsid w:val="188D8490"/>
    <w:rsid w:val="18B241BE"/>
    <w:rsid w:val="18CAF05B"/>
    <w:rsid w:val="18D2C64D"/>
    <w:rsid w:val="18FC13B6"/>
    <w:rsid w:val="19110A09"/>
    <w:rsid w:val="192960F2"/>
    <w:rsid w:val="19405B71"/>
    <w:rsid w:val="194455AC"/>
    <w:rsid w:val="1944CFB4"/>
    <w:rsid w:val="19546367"/>
    <w:rsid w:val="19621EDC"/>
    <w:rsid w:val="197DD7F9"/>
    <w:rsid w:val="199B40FA"/>
    <w:rsid w:val="19AFFD4F"/>
    <w:rsid w:val="19B16F91"/>
    <w:rsid w:val="19F14F17"/>
    <w:rsid w:val="19F173EC"/>
    <w:rsid w:val="19FB5064"/>
    <w:rsid w:val="1A236789"/>
    <w:rsid w:val="1A30D13B"/>
    <w:rsid w:val="1A5A94A6"/>
    <w:rsid w:val="1A9980F1"/>
    <w:rsid w:val="1AB52D7E"/>
    <w:rsid w:val="1B167F5C"/>
    <w:rsid w:val="1B1E10C3"/>
    <w:rsid w:val="1B2CC8F5"/>
    <w:rsid w:val="1B6307B2"/>
    <w:rsid w:val="1B9E3E8F"/>
    <w:rsid w:val="1BE614E6"/>
    <w:rsid w:val="1BFA0282"/>
    <w:rsid w:val="1C1A8D9F"/>
    <w:rsid w:val="1C1B2063"/>
    <w:rsid w:val="1C42A072"/>
    <w:rsid w:val="1C7DF599"/>
    <w:rsid w:val="1CA5A758"/>
    <w:rsid w:val="1CBF7F6B"/>
    <w:rsid w:val="1CC4496E"/>
    <w:rsid w:val="1CE36172"/>
    <w:rsid w:val="1D183E4C"/>
    <w:rsid w:val="1D1D5D45"/>
    <w:rsid w:val="1D2EDA4C"/>
    <w:rsid w:val="1D3AD2A0"/>
    <w:rsid w:val="1D49DFF5"/>
    <w:rsid w:val="1D5555E3"/>
    <w:rsid w:val="1D6F2E55"/>
    <w:rsid w:val="1DA223EF"/>
    <w:rsid w:val="1DE17364"/>
    <w:rsid w:val="1DE6CBA5"/>
    <w:rsid w:val="1DF6E9E7"/>
    <w:rsid w:val="1E0B7473"/>
    <w:rsid w:val="1E13CC94"/>
    <w:rsid w:val="1E16CBF8"/>
    <w:rsid w:val="1E25F8BF"/>
    <w:rsid w:val="1E31F4FF"/>
    <w:rsid w:val="1E47F706"/>
    <w:rsid w:val="1E575217"/>
    <w:rsid w:val="1EB4C93C"/>
    <w:rsid w:val="1ED26F3C"/>
    <w:rsid w:val="1F0402B7"/>
    <w:rsid w:val="1F133F5B"/>
    <w:rsid w:val="1F1BF495"/>
    <w:rsid w:val="1F1BFC24"/>
    <w:rsid w:val="1F23B8BC"/>
    <w:rsid w:val="1F58F5D7"/>
    <w:rsid w:val="1F60F313"/>
    <w:rsid w:val="1F9493F0"/>
    <w:rsid w:val="1FA210FB"/>
    <w:rsid w:val="1FBDE002"/>
    <w:rsid w:val="1FE76331"/>
    <w:rsid w:val="1FF8DB1D"/>
    <w:rsid w:val="2002714F"/>
    <w:rsid w:val="20541899"/>
    <w:rsid w:val="205DD306"/>
    <w:rsid w:val="205E8243"/>
    <w:rsid w:val="2061EFCD"/>
    <w:rsid w:val="209D502E"/>
    <w:rsid w:val="209F6155"/>
    <w:rsid w:val="20EE1853"/>
    <w:rsid w:val="212F3FA5"/>
    <w:rsid w:val="214DC698"/>
    <w:rsid w:val="21597272"/>
    <w:rsid w:val="215AE234"/>
    <w:rsid w:val="2169362C"/>
    <w:rsid w:val="218DC4B5"/>
    <w:rsid w:val="21A20C95"/>
    <w:rsid w:val="21B4464C"/>
    <w:rsid w:val="21B75678"/>
    <w:rsid w:val="21C399BB"/>
    <w:rsid w:val="21CCC4AC"/>
    <w:rsid w:val="21D0D245"/>
    <w:rsid w:val="2205124E"/>
    <w:rsid w:val="221BDA54"/>
    <w:rsid w:val="2257705F"/>
    <w:rsid w:val="2259CDFD"/>
    <w:rsid w:val="22B29E61"/>
    <w:rsid w:val="22E3BA5F"/>
    <w:rsid w:val="22E6BC6A"/>
    <w:rsid w:val="22ED3B76"/>
    <w:rsid w:val="230CE2B9"/>
    <w:rsid w:val="231F19AF"/>
    <w:rsid w:val="236AC2D8"/>
    <w:rsid w:val="23A30E40"/>
    <w:rsid w:val="23A32145"/>
    <w:rsid w:val="240390BF"/>
    <w:rsid w:val="242D0343"/>
    <w:rsid w:val="246896D4"/>
    <w:rsid w:val="2482DF76"/>
    <w:rsid w:val="24B5E341"/>
    <w:rsid w:val="24B693F2"/>
    <w:rsid w:val="24C2E4A0"/>
    <w:rsid w:val="24C8CAE8"/>
    <w:rsid w:val="24CE5A8E"/>
    <w:rsid w:val="24D4E3CB"/>
    <w:rsid w:val="251773FF"/>
    <w:rsid w:val="253F4E30"/>
    <w:rsid w:val="25599DD1"/>
    <w:rsid w:val="255D0DC9"/>
    <w:rsid w:val="25604065"/>
    <w:rsid w:val="25635064"/>
    <w:rsid w:val="25750736"/>
    <w:rsid w:val="2581E32C"/>
    <w:rsid w:val="2592B155"/>
    <w:rsid w:val="259B4661"/>
    <w:rsid w:val="25AA1492"/>
    <w:rsid w:val="25B9F165"/>
    <w:rsid w:val="25BAAC4A"/>
    <w:rsid w:val="25CB0CA7"/>
    <w:rsid w:val="25CBC32E"/>
    <w:rsid w:val="25D460F4"/>
    <w:rsid w:val="25FA26B4"/>
    <w:rsid w:val="2603D015"/>
    <w:rsid w:val="26329D19"/>
    <w:rsid w:val="26384ED7"/>
    <w:rsid w:val="268079D1"/>
    <w:rsid w:val="26861641"/>
    <w:rsid w:val="268F1968"/>
    <w:rsid w:val="26A0F927"/>
    <w:rsid w:val="26A2A1CC"/>
    <w:rsid w:val="26BD6858"/>
    <w:rsid w:val="26D09CCE"/>
    <w:rsid w:val="2713B202"/>
    <w:rsid w:val="271BDBFD"/>
    <w:rsid w:val="2722128A"/>
    <w:rsid w:val="275ABC1C"/>
    <w:rsid w:val="2766BD0B"/>
    <w:rsid w:val="2781FF6B"/>
    <w:rsid w:val="2783CCB1"/>
    <w:rsid w:val="27986B02"/>
    <w:rsid w:val="27A3CB28"/>
    <w:rsid w:val="27A8A64D"/>
    <w:rsid w:val="27B7857D"/>
    <w:rsid w:val="27F94CC1"/>
    <w:rsid w:val="28073346"/>
    <w:rsid w:val="282E00A4"/>
    <w:rsid w:val="28A109DF"/>
    <w:rsid w:val="28AC7CEC"/>
    <w:rsid w:val="28D6E028"/>
    <w:rsid w:val="28EE803F"/>
    <w:rsid w:val="2952FD7D"/>
    <w:rsid w:val="29727AAF"/>
    <w:rsid w:val="2977EC49"/>
    <w:rsid w:val="29827D31"/>
    <w:rsid w:val="29B83B62"/>
    <w:rsid w:val="29D782A0"/>
    <w:rsid w:val="29D7EF52"/>
    <w:rsid w:val="2A0A6C8B"/>
    <w:rsid w:val="2A2D0EF4"/>
    <w:rsid w:val="2A6C712A"/>
    <w:rsid w:val="2A8340BA"/>
    <w:rsid w:val="2A847ECD"/>
    <w:rsid w:val="2A9DAE00"/>
    <w:rsid w:val="2AFA048E"/>
    <w:rsid w:val="2B289575"/>
    <w:rsid w:val="2B29E7F7"/>
    <w:rsid w:val="2B32EA56"/>
    <w:rsid w:val="2B4B31DB"/>
    <w:rsid w:val="2B7FCBBA"/>
    <w:rsid w:val="2B893CBA"/>
    <w:rsid w:val="2B8E6BC3"/>
    <w:rsid w:val="2B91401C"/>
    <w:rsid w:val="2B9F73C8"/>
    <w:rsid w:val="2BEA8058"/>
    <w:rsid w:val="2BF71B02"/>
    <w:rsid w:val="2C26A55B"/>
    <w:rsid w:val="2C456D2F"/>
    <w:rsid w:val="2CBFD7E7"/>
    <w:rsid w:val="2D215A59"/>
    <w:rsid w:val="2D886E4C"/>
    <w:rsid w:val="2D8D6F9D"/>
    <w:rsid w:val="2DA23827"/>
    <w:rsid w:val="2DB119BC"/>
    <w:rsid w:val="2DC9FF0A"/>
    <w:rsid w:val="2DEB078D"/>
    <w:rsid w:val="2DF5C79A"/>
    <w:rsid w:val="2DFB68C0"/>
    <w:rsid w:val="2E13B859"/>
    <w:rsid w:val="2E28B457"/>
    <w:rsid w:val="2E3D4436"/>
    <w:rsid w:val="2E56A275"/>
    <w:rsid w:val="2E5CC0A4"/>
    <w:rsid w:val="2E623074"/>
    <w:rsid w:val="2E690BBA"/>
    <w:rsid w:val="2E80527E"/>
    <w:rsid w:val="2EBF7D18"/>
    <w:rsid w:val="2ECDC962"/>
    <w:rsid w:val="2EE8752A"/>
    <w:rsid w:val="2F069C8C"/>
    <w:rsid w:val="2F2169F4"/>
    <w:rsid w:val="2F56882E"/>
    <w:rsid w:val="2F70BDE9"/>
    <w:rsid w:val="2FAC8E22"/>
    <w:rsid w:val="2FAC9862"/>
    <w:rsid w:val="2FC538CF"/>
    <w:rsid w:val="2FC64FC8"/>
    <w:rsid w:val="2FE3AAE5"/>
    <w:rsid w:val="2FF3E172"/>
    <w:rsid w:val="2FF718DB"/>
    <w:rsid w:val="30254B69"/>
    <w:rsid w:val="30328F7F"/>
    <w:rsid w:val="3034293B"/>
    <w:rsid w:val="3052CDB9"/>
    <w:rsid w:val="3063B146"/>
    <w:rsid w:val="30841798"/>
    <w:rsid w:val="30998114"/>
    <w:rsid w:val="30C8E25F"/>
    <w:rsid w:val="30FC729A"/>
    <w:rsid w:val="30FDA8AB"/>
    <w:rsid w:val="31016841"/>
    <w:rsid w:val="3114E1B3"/>
    <w:rsid w:val="3127CEAD"/>
    <w:rsid w:val="3139D29F"/>
    <w:rsid w:val="31474FFE"/>
    <w:rsid w:val="3161B428"/>
    <w:rsid w:val="31661BF4"/>
    <w:rsid w:val="3191C068"/>
    <w:rsid w:val="319568CB"/>
    <w:rsid w:val="31BDC1CA"/>
    <w:rsid w:val="31D2215E"/>
    <w:rsid w:val="31FEEC0F"/>
    <w:rsid w:val="32050C04"/>
    <w:rsid w:val="32112305"/>
    <w:rsid w:val="322BE991"/>
    <w:rsid w:val="323FBBBC"/>
    <w:rsid w:val="323FF395"/>
    <w:rsid w:val="325619F4"/>
    <w:rsid w:val="32AF6542"/>
    <w:rsid w:val="32B97149"/>
    <w:rsid w:val="32C43897"/>
    <w:rsid w:val="32FA1DF5"/>
    <w:rsid w:val="32FEC8E8"/>
    <w:rsid w:val="3301A591"/>
    <w:rsid w:val="3302B1B0"/>
    <w:rsid w:val="3309CC87"/>
    <w:rsid w:val="33289675"/>
    <w:rsid w:val="333A061D"/>
    <w:rsid w:val="333ABBE1"/>
    <w:rsid w:val="33553C5C"/>
    <w:rsid w:val="3360E816"/>
    <w:rsid w:val="337D0ACA"/>
    <w:rsid w:val="33873C10"/>
    <w:rsid w:val="33BAC982"/>
    <w:rsid w:val="33DD21FF"/>
    <w:rsid w:val="3405C075"/>
    <w:rsid w:val="3420BC05"/>
    <w:rsid w:val="348D455F"/>
    <w:rsid w:val="34968586"/>
    <w:rsid w:val="34C25DBB"/>
    <w:rsid w:val="34C74D2C"/>
    <w:rsid w:val="34E0C31F"/>
    <w:rsid w:val="34E45892"/>
    <w:rsid w:val="351B2D30"/>
    <w:rsid w:val="3566BEBF"/>
    <w:rsid w:val="3577B0BA"/>
    <w:rsid w:val="35888FE9"/>
    <w:rsid w:val="35989C68"/>
    <w:rsid w:val="35A6F118"/>
    <w:rsid w:val="35C3F54F"/>
    <w:rsid w:val="35D1EB03"/>
    <w:rsid w:val="35DF9759"/>
    <w:rsid w:val="35E0A69D"/>
    <w:rsid w:val="35EB37FC"/>
    <w:rsid w:val="35F3B7EC"/>
    <w:rsid w:val="35F5E905"/>
    <w:rsid w:val="3600F7AF"/>
    <w:rsid w:val="36254F70"/>
    <w:rsid w:val="3637C8B6"/>
    <w:rsid w:val="36491497"/>
    <w:rsid w:val="3655EEF2"/>
    <w:rsid w:val="3670C16C"/>
    <w:rsid w:val="369DA4FB"/>
    <w:rsid w:val="36B22B30"/>
    <w:rsid w:val="36B82D55"/>
    <w:rsid w:val="36D54A64"/>
    <w:rsid w:val="36FC8EC1"/>
    <w:rsid w:val="374A4635"/>
    <w:rsid w:val="3777DABD"/>
    <w:rsid w:val="377815B1"/>
    <w:rsid w:val="378897E1"/>
    <w:rsid w:val="37952694"/>
    <w:rsid w:val="379A14CD"/>
    <w:rsid w:val="37BC6F88"/>
    <w:rsid w:val="37DA902F"/>
    <w:rsid w:val="37DC015D"/>
    <w:rsid w:val="37E07677"/>
    <w:rsid w:val="37EE8B4B"/>
    <w:rsid w:val="37F11934"/>
    <w:rsid w:val="37F529DE"/>
    <w:rsid w:val="37FB28D9"/>
    <w:rsid w:val="386172A0"/>
    <w:rsid w:val="38733E89"/>
    <w:rsid w:val="387F490E"/>
    <w:rsid w:val="38F2C734"/>
    <w:rsid w:val="38F9F792"/>
    <w:rsid w:val="392AF407"/>
    <w:rsid w:val="3937054F"/>
    <w:rsid w:val="394FD71B"/>
    <w:rsid w:val="3952FABB"/>
    <w:rsid w:val="395C208E"/>
    <w:rsid w:val="39ABFB32"/>
    <w:rsid w:val="39C7FE49"/>
    <w:rsid w:val="39DB7202"/>
    <w:rsid w:val="39F5C874"/>
    <w:rsid w:val="39FB6EB0"/>
    <w:rsid w:val="39FF444A"/>
    <w:rsid w:val="3A0CEB26"/>
    <w:rsid w:val="3A10E1C4"/>
    <w:rsid w:val="3A2B3D23"/>
    <w:rsid w:val="3A407037"/>
    <w:rsid w:val="3A5D3593"/>
    <w:rsid w:val="3A6B1FA2"/>
    <w:rsid w:val="3A7AAA3C"/>
    <w:rsid w:val="3AB12667"/>
    <w:rsid w:val="3ABFAA5F"/>
    <w:rsid w:val="3AC40004"/>
    <w:rsid w:val="3AD288D2"/>
    <w:rsid w:val="3AD7C84D"/>
    <w:rsid w:val="3ADA0555"/>
    <w:rsid w:val="3B2336B6"/>
    <w:rsid w:val="3B40D420"/>
    <w:rsid w:val="3B9B69D1"/>
    <w:rsid w:val="3BCD9C75"/>
    <w:rsid w:val="3C0724A6"/>
    <w:rsid w:val="3C2C8261"/>
    <w:rsid w:val="3C2CFD19"/>
    <w:rsid w:val="3C5DD9E0"/>
    <w:rsid w:val="3C9E5A12"/>
    <w:rsid w:val="3CDAB9A4"/>
    <w:rsid w:val="3CDAE146"/>
    <w:rsid w:val="3CDC9F45"/>
    <w:rsid w:val="3CF1DCCD"/>
    <w:rsid w:val="3D40A297"/>
    <w:rsid w:val="3D4D802E"/>
    <w:rsid w:val="3D4F5FC3"/>
    <w:rsid w:val="3D5D31FD"/>
    <w:rsid w:val="3D630915"/>
    <w:rsid w:val="3D7D2974"/>
    <w:rsid w:val="3D82EC7F"/>
    <w:rsid w:val="3DAA9389"/>
    <w:rsid w:val="3DB01B7B"/>
    <w:rsid w:val="3DE289E2"/>
    <w:rsid w:val="3DFF1948"/>
    <w:rsid w:val="3DFF6CF5"/>
    <w:rsid w:val="3E06D3FD"/>
    <w:rsid w:val="3E0F5188"/>
    <w:rsid w:val="3E1A1EA3"/>
    <w:rsid w:val="3E8AA48A"/>
    <w:rsid w:val="3EAA640F"/>
    <w:rsid w:val="3EAEBFE7"/>
    <w:rsid w:val="3F06BDA7"/>
    <w:rsid w:val="3F1839E4"/>
    <w:rsid w:val="3F2E589F"/>
    <w:rsid w:val="3F2E9A0E"/>
    <w:rsid w:val="3F62312D"/>
    <w:rsid w:val="3F848066"/>
    <w:rsid w:val="3F9EEDB4"/>
    <w:rsid w:val="3FB54F2D"/>
    <w:rsid w:val="3FC6C6AF"/>
    <w:rsid w:val="3FCBC468"/>
    <w:rsid w:val="3FECEEA7"/>
    <w:rsid w:val="3FFD6B7E"/>
    <w:rsid w:val="4002C444"/>
    <w:rsid w:val="400C4F66"/>
    <w:rsid w:val="4050A760"/>
    <w:rsid w:val="40807C40"/>
    <w:rsid w:val="40AE43F8"/>
    <w:rsid w:val="40DB0B57"/>
    <w:rsid w:val="40EC62D9"/>
    <w:rsid w:val="41041E14"/>
    <w:rsid w:val="4138E1AC"/>
    <w:rsid w:val="41545B8D"/>
    <w:rsid w:val="4180D91D"/>
    <w:rsid w:val="419D5790"/>
    <w:rsid w:val="41AD9E5A"/>
    <w:rsid w:val="41D2E020"/>
    <w:rsid w:val="41DD9B31"/>
    <w:rsid w:val="41E00A4B"/>
    <w:rsid w:val="42044009"/>
    <w:rsid w:val="422EE111"/>
    <w:rsid w:val="42515376"/>
    <w:rsid w:val="427BB328"/>
    <w:rsid w:val="428142CE"/>
    <w:rsid w:val="42DFCF34"/>
    <w:rsid w:val="42FCEB54"/>
    <w:rsid w:val="4312B890"/>
    <w:rsid w:val="4317389F"/>
    <w:rsid w:val="431AF6E7"/>
    <w:rsid w:val="439A8467"/>
    <w:rsid w:val="439CECBA"/>
    <w:rsid w:val="43CD9F93"/>
    <w:rsid w:val="43E5FD18"/>
    <w:rsid w:val="43EFB720"/>
    <w:rsid w:val="43FAB5BD"/>
    <w:rsid w:val="442125C6"/>
    <w:rsid w:val="44283180"/>
    <w:rsid w:val="443B97D4"/>
    <w:rsid w:val="44473315"/>
    <w:rsid w:val="445FBFE0"/>
    <w:rsid w:val="4483AC85"/>
    <w:rsid w:val="44997540"/>
    <w:rsid w:val="44B09253"/>
    <w:rsid w:val="44B32A56"/>
    <w:rsid w:val="44BC95E1"/>
    <w:rsid w:val="4524B905"/>
    <w:rsid w:val="453FD5B9"/>
    <w:rsid w:val="456EA294"/>
    <w:rsid w:val="45A6DAC3"/>
    <w:rsid w:val="45A9B994"/>
    <w:rsid w:val="45BFD3FC"/>
    <w:rsid w:val="45F0A48B"/>
    <w:rsid w:val="45F27308"/>
    <w:rsid w:val="4604CAEB"/>
    <w:rsid w:val="461AC44B"/>
    <w:rsid w:val="463AC61A"/>
    <w:rsid w:val="4650990D"/>
    <w:rsid w:val="46712FB6"/>
    <w:rsid w:val="467C7064"/>
    <w:rsid w:val="46CE0C21"/>
    <w:rsid w:val="46F84A66"/>
    <w:rsid w:val="470FD13F"/>
    <w:rsid w:val="471AA269"/>
    <w:rsid w:val="4721B783"/>
    <w:rsid w:val="473B26ED"/>
    <w:rsid w:val="474D2C0D"/>
    <w:rsid w:val="47511317"/>
    <w:rsid w:val="477863D1"/>
    <w:rsid w:val="477F460B"/>
    <w:rsid w:val="478CB632"/>
    <w:rsid w:val="4798417F"/>
    <w:rsid w:val="479C326E"/>
    <w:rsid w:val="47AEE1C6"/>
    <w:rsid w:val="47B8C666"/>
    <w:rsid w:val="47CA4EB8"/>
    <w:rsid w:val="47CD335D"/>
    <w:rsid w:val="47E2981E"/>
    <w:rsid w:val="48001D3F"/>
    <w:rsid w:val="480E4210"/>
    <w:rsid w:val="4813B251"/>
    <w:rsid w:val="4816A7A9"/>
    <w:rsid w:val="4856F921"/>
    <w:rsid w:val="48659663"/>
    <w:rsid w:val="488BC31B"/>
    <w:rsid w:val="48954D77"/>
    <w:rsid w:val="48C71D3D"/>
    <w:rsid w:val="491A11BE"/>
    <w:rsid w:val="4968D1B7"/>
    <w:rsid w:val="498AA17A"/>
    <w:rsid w:val="49EE783B"/>
    <w:rsid w:val="4A01FCB4"/>
    <w:rsid w:val="4A1AB988"/>
    <w:rsid w:val="4A2AE310"/>
    <w:rsid w:val="4A2FFDCD"/>
    <w:rsid w:val="4A33C87A"/>
    <w:rsid w:val="4A34E02A"/>
    <w:rsid w:val="4A832244"/>
    <w:rsid w:val="4A85A422"/>
    <w:rsid w:val="4A8EBDE1"/>
    <w:rsid w:val="4A9CC478"/>
    <w:rsid w:val="4ABE60F9"/>
    <w:rsid w:val="4AC05222"/>
    <w:rsid w:val="4ADDB27B"/>
    <w:rsid w:val="4AEA8109"/>
    <w:rsid w:val="4AECA2CA"/>
    <w:rsid w:val="4B06FFDF"/>
    <w:rsid w:val="4B241A9D"/>
    <w:rsid w:val="4B3075A5"/>
    <w:rsid w:val="4B6AEA1C"/>
    <w:rsid w:val="4B7A14B8"/>
    <w:rsid w:val="4B81B02A"/>
    <w:rsid w:val="4B8C6854"/>
    <w:rsid w:val="4B98B6C0"/>
    <w:rsid w:val="4C0A2993"/>
    <w:rsid w:val="4C52E4DB"/>
    <w:rsid w:val="4C573AEF"/>
    <w:rsid w:val="4C599EC0"/>
    <w:rsid w:val="4C740A8B"/>
    <w:rsid w:val="4C75385F"/>
    <w:rsid w:val="4CC457ED"/>
    <w:rsid w:val="4CD3CC5C"/>
    <w:rsid w:val="4CF0DF5E"/>
    <w:rsid w:val="4CFE787C"/>
    <w:rsid w:val="4D25DAD5"/>
    <w:rsid w:val="4D4A516C"/>
    <w:rsid w:val="4D82AA9E"/>
    <w:rsid w:val="4D837A30"/>
    <w:rsid w:val="4DA658AB"/>
    <w:rsid w:val="4DB0FB97"/>
    <w:rsid w:val="4E0B412D"/>
    <w:rsid w:val="4E23D965"/>
    <w:rsid w:val="4E2BCAF8"/>
    <w:rsid w:val="4E34AFB7"/>
    <w:rsid w:val="4E53CA50"/>
    <w:rsid w:val="4E7A9C10"/>
    <w:rsid w:val="4E8139C9"/>
    <w:rsid w:val="4EA75EC0"/>
    <w:rsid w:val="4EC1AE45"/>
    <w:rsid w:val="4EC8B427"/>
    <w:rsid w:val="4EE819E0"/>
    <w:rsid w:val="4F19332A"/>
    <w:rsid w:val="4F20B6F0"/>
    <w:rsid w:val="4F81C674"/>
    <w:rsid w:val="4F976709"/>
    <w:rsid w:val="4F99DAE2"/>
    <w:rsid w:val="4FCD1661"/>
    <w:rsid w:val="4FE3CBAD"/>
    <w:rsid w:val="500F4FC7"/>
    <w:rsid w:val="501B4E31"/>
    <w:rsid w:val="5020173E"/>
    <w:rsid w:val="503FAD86"/>
    <w:rsid w:val="504A0BFF"/>
    <w:rsid w:val="50555C3B"/>
    <w:rsid w:val="505B10AD"/>
    <w:rsid w:val="5064C3B2"/>
    <w:rsid w:val="506ABA97"/>
    <w:rsid w:val="506D89C7"/>
    <w:rsid w:val="5074DD8C"/>
    <w:rsid w:val="509D66D8"/>
    <w:rsid w:val="50B5038B"/>
    <w:rsid w:val="50D1E390"/>
    <w:rsid w:val="5106861F"/>
    <w:rsid w:val="5116C4D7"/>
    <w:rsid w:val="5131AF34"/>
    <w:rsid w:val="51611E9E"/>
    <w:rsid w:val="5194D3B8"/>
    <w:rsid w:val="51D29FEA"/>
    <w:rsid w:val="51E88F5C"/>
    <w:rsid w:val="5208A757"/>
    <w:rsid w:val="520CA310"/>
    <w:rsid w:val="52361047"/>
    <w:rsid w:val="5236BB03"/>
    <w:rsid w:val="52420A46"/>
    <w:rsid w:val="525A7837"/>
    <w:rsid w:val="529060A8"/>
    <w:rsid w:val="52BDD153"/>
    <w:rsid w:val="52D1FC28"/>
    <w:rsid w:val="52E0972F"/>
    <w:rsid w:val="52E2162A"/>
    <w:rsid w:val="52F5A7B5"/>
    <w:rsid w:val="53077B68"/>
    <w:rsid w:val="532300AA"/>
    <w:rsid w:val="534D15A9"/>
    <w:rsid w:val="53505838"/>
    <w:rsid w:val="53981DC3"/>
    <w:rsid w:val="53A11C37"/>
    <w:rsid w:val="53A6A02C"/>
    <w:rsid w:val="53BB7170"/>
    <w:rsid w:val="53EA772F"/>
    <w:rsid w:val="54184DFF"/>
    <w:rsid w:val="547008ED"/>
    <w:rsid w:val="5489DE21"/>
    <w:rsid w:val="549878CF"/>
    <w:rsid w:val="54A48BCC"/>
    <w:rsid w:val="54B50819"/>
    <w:rsid w:val="55154627"/>
    <w:rsid w:val="55218D7B"/>
    <w:rsid w:val="553FF3C9"/>
    <w:rsid w:val="555CE018"/>
    <w:rsid w:val="5562C5C4"/>
    <w:rsid w:val="5565CDD6"/>
    <w:rsid w:val="55BA6A44"/>
    <w:rsid w:val="55C7881F"/>
    <w:rsid w:val="55EEE9BB"/>
    <w:rsid w:val="5607356A"/>
    <w:rsid w:val="5660AF3D"/>
    <w:rsid w:val="56B87F49"/>
    <w:rsid w:val="56E016DA"/>
    <w:rsid w:val="56E622C7"/>
    <w:rsid w:val="56FD81AD"/>
    <w:rsid w:val="572A5B02"/>
    <w:rsid w:val="57429F96"/>
    <w:rsid w:val="5757D67C"/>
    <w:rsid w:val="575F07B0"/>
    <w:rsid w:val="5785BEA4"/>
    <w:rsid w:val="57B2F5D8"/>
    <w:rsid w:val="57C11786"/>
    <w:rsid w:val="57E9CED6"/>
    <w:rsid w:val="57F52A40"/>
    <w:rsid w:val="581E1AE7"/>
    <w:rsid w:val="5830D335"/>
    <w:rsid w:val="5851DD16"/>
    <w:rsid w:val="58A8D0AE"/>
    <w:rsid w:val="58B82222"/>
    <w:rsid w:val="58C77388"/>
    <w:rsid w:val="58FF105D"/>
    <w:rsid w:val="5930FCAF"/>
    <w:rsid w:val="595E4540"/>
    <w:rsid w:val="595F781E"/>
    <w:rsid w:val="597F894E"/>
    <w:rsid w:val="59924F69"/>
    <w:rsid w:val="59939180"/>
    <w:rsid w:val="5997C641"/>
    <w:rsid w:val="5998E5EF"/>
    <w:rsid w:val="59A179DA"/>
    <w:rsid w:val="59A41CB8"/>
    <w:rsid w:val="59A804F9"/>
    <w:rsid w:val="59C5ECBE"/>
    <w:rsid w:val="59DC82C8"/>
    <w:rsid w:val="5A0CB00A"/>
    <w:rsid w:val="5A258708"/>
    <w:rsid w:val="5A39E2BF"/>
    <w:rsid w:val="5A60BC41"/>
    <w:rsid w:val="5A69D1A5"/>
    <w:rsid w:val="5A863A83"/>
    <w:rsid w:val="5AC5698C"/>
    <w:rsid w:val="5AEBC7A9"/>
    <w:rsid w:val="5AF1497F"/>
    <w:rsid w:val="5B02299C"/>
    <w:rsid w:val="5B025248"/>
    <w:rsid w:val="5B085C1B"/>
    <w:rsid w:val="5B0F6A50"/>
    <w:rsid w:val="5B16A091"/>
    <w:rsid w:val="5B307C37"/>
    <w:rsid w:val="5B560D4B"/>
    <w:rsid w:val="5B5E065A"/>
    <w:rsid w:val="5B8AC215"/>
    <w:rsid w:val="5B9B906E"/>
    <w:rsid w:val="5B9DCD91"/>
    <w:rsid w:val="5BA89CF6"/>
    <w:rsid w:val="5BAAC4D6"/>
    <w:rsid w:val="5BC991E6"/>
    <w:rsid w:val="5BFD7F2E"/>
    <w:rsid w:val="5BFE1AB9"/>
    <w:rsid w:val="5C3F58B4"/>
    <w:rsid w:val="5C7A1C2C"/>
    <w:rsid w:val="5C7BE47F"/>
    <w:rsid w:val="5C816BDF"/>
    <w:rsid w:val="5C8D00C5"/>
    <w:rsid w:val="5CB63ECF"/>
    <w:rsid w:val="5CC95B22"/>
    <w:rsid w:val="5CCADC02"/>
    <w:rsid w:val="5CF7AEBD"/>
    <w:rsid w:val="5CF97BBB"/>
    <w:rsid w:val="5CF9EFFC"/>
    <w:rsid w:val="5D067D1A"/>
    <w:rsid w:val="5D2729EE"/>
    <w:rsid w:val="5D2FCC4A"/>
    <w:rsid w:val="5D5B210E"/>
    <w:rsid w:val="5D9B1F3C"/>
    <w:rsid w:val="5DB49ED3"/>
    <w:rsid w:val="5DD94EF6"/>
    <w:rsid w:val="5DDC9D53"/>
    <w:rsid w:val="5E2A2E7F"/>
    <w:rsid w:val="5E446209"/>
    <w:rsid w:val="5E75FCA1"/>
    <w:rsid w:val="5E762F72"/>
    <w:rsid w:val="5E853047"/>
    <w:rsid w:val="5E8DAE0D"/>
    <w:rsid w:val="5E99279E"/>
    <w:rsid w:val="5EB278D8"/>
    <w:rsid w:val="5ED0DB27"/>
    <w:rsid w:val="5EF01C01"/>
    <w:rsid w:val="5F040A01"/>
    <w:rsid w:val="5F0958D3"/>
    <w:rsid w:val="5F261BC8"/>
    <w:rsid w:val="5F36FF3E"/>
    <w:rsid w:val="5F43743C"/>
    <w:rsid w:val="5F4C0A6F"/>
    <w:rsid w:val="5F4CC6B2"/>
    <w:rsid w:val="5F52BF00"/>
    <w:rsid w:val="5F77586B"/>
    <w:rsid w:val="5F835A70"/>
    <w:rsid w:val="5F9622EA"/>
    <w:rsid w:val="5F96B84F"/>
    <w:rsid w:val="5F9A0DD6"/>
    <w:rsid w:val="5FAC10A2"/>
    <w:rsid w:val="5FF512A9"/>
    <w:rsid w:val="600290AC"/>
    <w:rsid w:val="60115D0C"/>
    <w:rsid w:val="6055041C"/>
    <w:rsid w:val="605AB798"/>
    <w:rsid w:val="6076F36B"/>
    <w:rsid w:val="608595B3"/>
    <w:rsid w:val="6092B89E"/>
    <w:rsid w:val="60D314DB"/>
    <w:rsid w:val="60D5970B"/>
    <w:rsid w:val="6101701C"/>
    <w:rsid w:val="611903B3"/>
    <w:rsid w:val="6122B613"/>
    <w:rsid w:val="6134C7EA"/>
    <w:rsid w:val="615C61CA"/>
    <w:rsid w:val="61AADF92"/>
    <w:rsid w:val="61B90974"/>
    <w:rsid w:val="61C23CD1"/>
    <w:rsid w:val="622DA865"/>
    <w:rsid w:val="625260DC"/>
    <w:rsid w:val="629839F1"/>
    <w:rsid w:val="629A343C"/>
    <w:rsid w:val="629A7B71"/>
    <w:rsid w:val="62A0554A"/>
    <w:rsid w:val="62AD33CE"/>
    <w:rsid w:val="62AE484F"/>
    <w:rsid w:val="62B67243"/>
    <w:rsid w:val="62D7CDDC"/>
    <w:rsid w:val="62D85408"/>
    <w:rsid w:val="6329EC73"/>
    <w:rsid w:val="63364A52"/>
    <w:rsid w:val="634A4B7B"/>
    <w:rsid w:val="634D4944"/>
    <w:rsid w:val="63571CC6"/>
    <w:rsid w:val="635C557E"/>
    <w:rsid w:val="6363AB79"/>
    <w:rsid w:val="63B89A37"/>
    <w:rsid w:val="63E60B72"/>
    <w:rsid w:val="63F90077"/>
    <w:rsid w:val="63FCA06C"/>
    <w:rsid w:val="640EB3C6"/>
    <w:rsid w:val="641B1518"/>
    <w:rsid w:val="645B04D9"/>
    <w:rsid w:val="648DE0AF"/>
    <w:rsid w:val="64A067DB"/>
    <w:rsid w:val="64ABBA00"/>
    <w:rsid w:val="64FE3A94"/>
    <w:rsid w:val="6516F062"/>
    <w:rsid w:val="652CF456"/>
    <w:rsid w:val="653C81FA"/>
    <w:rsid w:val="65428BF2"/>
    <w:rsid w:val="656C4D7D"/>
    <w:rsid w:val="656CFA6B"/>
    <w:rsid w:val="656E62B5"/>
    <w:rsid w:val="657C5347"/>
    <w:rsid w:val="6582EBF8"/>
    <w:rsid w:val="658D5C6D"/>
    <w:rsid w:val="6593F40F"/>
    <w:rsid w:val="659E237D"/>
    <w:rsid w:val="65A398CC"/>
    <w:rsid w:val="65DA58B2"/>
    <w:rsid w:val="661C2043"/>
    <w:rsid w:val="6633D4AD"/>
    <w:rsid w:val="66483AFF"/>
    <w:rsid w:val="6651468F"/>
    <w:rsid w:val="6655BDD4"/>
    <w:rsid w:val="66620C10"/>
    <w:rsid w:val="6664CE97"/>
    <w:rsid w:val="6667B255"/>
    <w:rsid w:val="66F916A2"/>
    <w:rsid w:val="672103ED"/>
    <w:rsid w:val="673FB3E7"/>
    <w:rsid w:val="67AE4016"/>
    <w:rsid w:val="67C50F6B"/>
    <w:rsid w:val="68034205"/>
    <w:rsid w:val="680E74EE"/>
    <w:rsid w:val="68137B6B"/>
    <w:rsid w:val="682CA2B1"/>
    <w:rsid w:val="6870443D"/>
    <w:rsid w:val="6874FE53"/>
    <w:rsid w:val="68A611FB"/>
    <w:rsid w:val="68B89A60"/>
    <w:rsid w:val="68E0120F"/>
    <w:rsid w:val="690F277C"/>
    <w:rsid w:val="691D89D3"/>
    <w:rsid w:val="692BB6E2"/>
    <w:rsid w:val="693839F5"/>
    <w:rsid w:val="6955B3AC"/>
    <w:rsid w:val="696C17D8"/>
    <w:rsid w:val="696F123A"/>
    <w:rsid w:val="69736600"/>
    <w:rsid w:val="69785C4F"/>
    <w:rsid w:val="6995B242"/>
    <w:rsid w:val="69B0CD66"/>
    <w:rsid w:val="69BA3DAD"/>
    <w:rsid w:val="69BD3060"/>
    <w:rsid w:val="69C345BD"/>
    <w:rsid w:val="6A011B5D"/>
    <w:rsid w:val="6A1661C6"/>
    <w:rsid w:val="6A3C2F3D"/>
    <w:rsid w:val="6A44C3D2"/>
    <w:rsid w:val="6A44ED8C"/>
    <w:rsid w:val="6A4FB7C6"/>
    <w:rsid w:val="6A58ED82"/>
    <w:rsid w:val="6A68BB4F"/>
    <w:rsid w:val="6A75DE5C"/>
    <w:rsid w:val="6A9B139D"/>
    <w:rsid w:val="6AE13DB9"/>
    <w:rsid w:val="6AE59118"/>
    <w:rsid w:val="6B2B2466"/>
    <w:rsid w:val="6B5AC000"/>
    <w:rsid w:val="6B84D04C"/>
    <w:rsid w:val="6B8AB2DA"/>
    <w:rsid w:val="6BC115A5"/>
    <w:rsid w:val="6BE5D072"/>
    <w:rsid w:val="6BE898C8"/>
    <w:rsid w:val="6BFEF8CF"/>
    <w:rsid w:val="6C0139D7"/>
    <w:rsid w:val="6C096B5E"/>
    <w:rsid w:val="6C0CE34E"/>
    <w:rsid w:val="6C5D7982"/>
    <w:rsid w:val="6C6AE0B6"/>
    <w:rsid w:val="6C7483A2"/>
    <w:rsid w:val="6C99719C"/>
    <w:rsid w:val="6CB49778"/>
    <w:rsid w:val="6CBFB088"/>
    <w:rsid w:val="6CC176F0"/>
    <w:rsid w:val="6CCB5947"/>
    <w:rsid w:val="6D080176"/>
    <w:rsid w:val="6D1FDA31"/>
    <w:rsid w:val="6D5352DF"/>
    <w:rsid w:val="6D598367"/>
    <w:rsid w:val="6D605A76"/>
    <w:rsid w:val="6D7A02F0"/>
    <w:rsid w:val="6D81CA1A"/>
    <w:rsid w:val="6D85DE81"/>
    <w:rsid w:val="6DB14923"/>
    <w:rsid w:val="6DCED522"/>
    <w:rsid w:val="6E303805"/>
    <w:rsid w:val="6E34C2F5"/>
    <w:rsid w:val="6E4A7E0C"/>
    <w:rsid w:val="6E76D90C"/>
    <w:rsid w:val="6E79294D"/>
    <w:rsid w:val="6E8EC4F2"/>
    <w:rsid w:val="6EA66D4F"/>
    <w:rsid w:val="6ED7CB84"/>
    <w:rsid w:val="6EE11CAB"/>
    <w:rsid w:val="6EF16D3F"/>
    <w:rsid w:val="6EF62EAB"/>
    <w:rsid w:val="6F3B6B4A"/>
    <w:rsid w:val="6F3E1F30"/>
    <w:rsid w:val="6F95BE4F"/>
    <w:rsid w:val="6FA27A52"/>
    <w:rsid w:val="6FBC5CA3"/>
    <w:rsid w:val="6FBDB8B7"/>
    <w:rsid w:val="6FC1804E"/>
    <w:rsid w:val="6FE23846"/>
    <w:rsid w:val="6FE67B1A"/>
    <w:rsid w:val="6FF63BC5"/>
    <w:rsid w:val="6FFD66D3"/>
    <w:rsid w:val="7074BE2F"/>
    <w:rsid w:val="708CC1A5"/>
    <w:rsid w:val="70B580B8"/>
    <w:rsid w:val="71366420"/>
    <w:rsid w:val="7139D44A"/>
    <w:rsid w:val="713C4A68"/>
    <w:rsid w:val="71C24A3C"/>
    <w:rsid w:val="71CB5FC2"/>
    <w:rsid w:val="72212F69"/>
    <w:rsid w:val="722B618B"/>
    <w:rsid w:val="7239CE53"/>
    <w:rsid w:val="72638C5B"/>
    <w:rsid w:val="728F2E22"/>
    <w:rsid w:val="72BB0961"/>
    <w:rsid w:val="72CCC615"/>
    <w:rsid w:val="73103B04"/>
    <w:rsid w:val="73332585"/>
    <w:rsid w:val="73411D7E"/>
    <w:rsid w:val="7343F62C"/>
    <w:rsid w:val="7365941D"/>
    <w:rsid w:val="736665D7"/>
    <w:rsid w:val="737D113D"/>
    <w:rsid w:val="7383A22B"/>
    <w:rsid w:val="738DE4B7"/>
    <w:rsid w:val="73959A83"/>
    <w:rsid w:val="73AA642D"/>
    <w:rsid w:val="73C6E4C5"/>
    <w:rsid w:val="73E0AE61"/>
    <w:rsid w:val="7410BB72"/>
    <w:rsid w:val="742067C7"/>
    <w:rsid w:val="742ECAAB"/>
    <w:rsid w:val="7436EB07"/>
    <w:rsid w:val="74A7FB33"/>
    <w:rsid w:val="74BAE460"/>
    <w:rsid w:val="74CD8CC7"/>
    <w:rsid w:val="74DA9911"/>
    <w:rsid w:val="74EFAFE2"/>
    <w:rsid w:val="74FDCDA7"/>
    <w:rsid w:val="7506DA14"/>
    <w:rsid w:val="751F5D2F"/>
    <w:rsid w:val="753BBABF"/>
    <w:rsid w:val="7546BA16"/>
    <w:rsid w:val="7564090F"/>
    <w:rsid w:val="7597ECC0"/>
    <w:rsid w:val="759D6235"/>
    <w:rsid w:val="75BAA88F"/>
    <w:rsid w:val="75C075E3"/>
    <w:rsid w:val="75D25BC9"/>
    <w:rsid w:val="75D68581"/>
    <w:rsid w:val="75F5FCB1"/>
    <w:rsid w:val="76083478"/>
    <w:rsid w:val="76291BEA"/>
    <w:rsid w:val="762D79E1"/>
    <w:rsid w:val="765DC0C1"/>
    <w:rsid w:val="769C7688"/>
    <w:rsid w:val="76B905EE"/>
    <w:rsid w:val="76E091C1"/>
    <w:rsid w:val="76E2AF17"/>
    <w:rsid w:val="770DE03A"/>
    <w:rsid w:val="77132A98"/>
    <w:rsid w:val="7713D35C"/>
    <w:rsid w:val="7718F735"/>
    <w:rsid w:val="773168A5"/>
    <w:rsid w:val="77407C86"/>
    <w:rsid w:val="774D8AFB"/>
    <w:rsid w:val="7762A7EE"/>
    <w:rsid w:val="7790E5D2"/>
    <w:rsid w:val="779AAAAF"/>
    <w:rsid w:val="77C8865B"/>
    <w:rsid w:val="77D37D96"/>
    <w:rsid w:val="780ADA44"/>
    <w:rsid w:val="7814683B"/>
    <w:rsid w:val="7842883D"/>
    <w:rsid w:val="784C0B47"/>
    <w:rsid w:val="784F4C69"/>
    <w:rsid w:val="78875938"/>
    <w:rsid w:val="78891256"/>
    <w:rsid w:val="7889C639"/>
    <w:rsid w:val="78B1B606"/>
    <w:rsid w:val="78B6AB9F"/>
    <w:rsid w:val="78BFDA54"/>
    <w:rsid w:val="78C3A423"/>
    <w:rsid w:val="78D6AD93"/>
    <w:rsid w:val="79164C28"/>
    <w:rsid w:val="7923E48D"/>
    <w:rsid w:val="79458EE9"/>
    <w:rsid w:val="79D233E2"/>
    <w:rsid w:val="79E23FEA"/>
    <w:rsid w:val="79F7C9ED"/>
    <w:rsid w:val="7A1D4A57"/>
    <w:rsid w:val="7A616250"/>
    <w:rsid w:val="7A6444E3"/>
    <w:rsid w:val="7A684A7A"/>
    <w:rsid w:val="7A8155DB"/>
    <w:rsid w:val="7A88D5A3"/>
    <w:rsid w:val="7A94B59D"/>
    <w:rsid w:val="7AA587C0"/>
    <w:rsid w:val="7AA865EC"/>
    <w:rsid w:val="7AA9EFF0"/>
    <w:rsid w:val="7AAD7250"/>
    <w:rsid w:val="7B185CA0"/>
    <w:rsid w:val="7B1CEBC9"/>
    <w:rsid w:val="7B4F9583"/>
    <w:rsid w:val="7B6C838E"/>
    <w:rsid w:val="7B7FC677"/>
    <w:rsid w:val="7B805934"/>
    <w:rsid w:val="7BB82873"/>
    <w:rsid w:val="7BD48588"/>
    <w:rsid w:val="7BDEC158"/>
    <w:rsid w:val="7C2C3C24"/>
    <w:rsid w:val="7C69D65E"/>
    <w:rsid w:val="7C78D240"/>
    <w:rsid w:val="7C7D0F09"/>
    <w:rsid w:val="7C83C367"/>
    <w:rsid w:val="7CBB9670"/>
    <w:rsid w:val="7CE97501"/>
    <w:rsid w:val="7CFBD64A"/>
    <w:rsid w:val="7CFCFCC6"/>
    <w:rsid w:val="7D2204A9"/>
    <w:rsid w:val="7D41D109"/>
    <w:rsid w:val="7D479513"/>
    <w:rsid w:val="7D4A31A6"/>
    <w:rsid w:val="7D6901AE"/>
    <w:rsid w:val="7D6A6E71"/>
    <w:rsid w:val="7D9BFEDE"/>
    <w:rsid w:val="7DDDACCD"/>
    <w:rsid w:val="7DE8B3EF"/>
    <w:rsid w:val="7E1F683E"/>
    <w:rsid w:val="7E34B9A1"/>
    <w:rsid w:val="7E4FD918"/>
    <w:rsid w:val="7E5766D1"/>
    <w:rsid w:val="7E6F7A93"/>
    <w:rsid w:val="7E726B8F"/>
    <w:rsid w:val="7E742DF9"/>
    <w:rsid w:val="7E770188"/>
    <w:rsid w:val="7E7BC8FC"/>
    <w:rsid w:val="7E9178AE"/>
    <w:rsid w:val="7F2279E4"/>
    <w:rsid w:val="7F26E576"/>
    <w:rsid w:val="7F75A2F1"/>
    <w:rsid w:val="7F75D5C2"/>
    <w:rsid w:val="7F775CFD"/>
    <w:rsid w:val="7F7B63AA"/>
    <w:rsid w:val="7F8C561C"/>
    <w:rsid w:val="7F93F6B4"/>
    <w:rsid w:val="7F9F307B"/>
    <w:rsid w:val="7FFFC3A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BB"/>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uiPriority w:val="5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unhideWhenUsed/>
    <w:rsid w:val="00447453"/>
    <w:rPr>
      <w:color w:val="605E5C"/>
      <w:shd w:val="clear" w:color="auto" w:fill="E1DFDD"/>
    </w:rPr>
  </w:style>
  <w:style w:type="character" w:customStyle="1" w:styleId="ListParagraphChar">
    <w:name w:val="List Paragraph Char"/>
    <w:link w:val="ListParagraph"/>
    <w:uiPriority w:val="34"/>
    <w:locked/>
    <w:rsid w:val="006E721A"/>
    <w:rPr>
      <w:rFonts w:ascii="Arial" w:eastAsia="Times New Roman" w:hAnsi="Arial"/>
      <w:sz w:val="22"/>
      <w:lang w:val="en-GB" w:eastAsia="en-GB"/>
    </w:rPr>
  </w:style>
  <w:style w:type="paragraph" w:customStyle="1" w:styleId="TRNormal">
    <w:name w:val="_TRNormal"/>
    <w:qFormat/>
    <w:rsid w:val="006E721A"/>
    <w:pPr>
      <w:ind w:left="567" w:hanging="567"/>
    </w:pPr>
    <w:rPr>
      <w:rFonts w:ascii="Arial" w:eastAsia="Times New Roman" w:hAnsi="Arial"/>
      <w:sz w:val="22"/>
      <w:lang w:eastAsia="en-US"/>
    </w:rPr>
  </w:style>
  <w:style w:type="paragraph" w:customStyle="1" w:styleId="ReportBody">
    <w:name w:val="Report Body"/>
    <w:basedOn w:val="Normal"/>
    <w:link w:val="ReportBodyChar"/>
    <w:qFormat/>
    <w:rsid w:val="009F4218"/>
    <w:pPr>
      <w:numPr>
        <w:numId w:val="7"/>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9F4218"/>
    <w:pPr>
      <w:numPr>
        <w:ilvl w:val="1"/>
      </w:numPr>
    </w:pPr>
  </w:style>
  <w:style w:type="character" w:customStyle="1" w:styleId="ReportBodyChar">
    <w:name w:val="Report Body Char"/>
    <w:basedOn w:val="DefaultParagraphFont"/>
    <w:link w:val="ReportBody"/>
    <w:rsid w:val="009F4218"/>
    <w:rPr>
      <w:rFonts w:ascii="Verdana" w:eastAsia="Times New Roman" w:hAnsi="Verdana" w:cs="Arial"/>
      <w:color w:val="000000"/>
      <w:kern w:val="22"/>
    </w:rPr>
  </w:style>
  <w:style w:type="character" w:customStyle="1" w:styleId="normaltextrun">
    <w:name w:val="normaltextrun"/>
    <w:basedOn w:val="DefaultParagraphFont"/>
    <w:rsid w:val="00B1774C"/>
  </w:style>
  <w:style w:type="character" w:customStyle="1" w:styleId="eop">
    <w:name w:val="eop"/>
    <w:basedOn w:val="DefaultParagraphFont"/>
    <w:rsid w:val="00B1774C"/>
  </w:style>
  <w:style w:type="character" w:styleId="Mention">
    <w:name w:val="Mention"/>
    <w:basedOn w:val="DefaultParagraphFont"/>
    <w:uiPriority w:val="99"/>
    <w:unhideWhenUsed/>
    <w:rsid w:val="009F4E82"/>
    <w:rPr>
      <w:color w:val="2B579A"/>
      <w:shd w:val="clear" w:color="auto" w:fill="E1DFDD"/>
    </w:rPr>
  </w:style>
  <w:style w:type="paragraph" w:customStyle="1" w:styleId="text">
    <w:name w:val="text"/>
    <w:basedOn w:val="Normal"/>
    <w:rsid w:val="00231EBF"/>
    <w:pPr>
      <w:spacing w:before="100" w:beforeAutospacing="1" w:after="100" w:afterAutospacing="1" w:line="240" w:lineRule="auto"/>
    </w:pPr>
    <w:rPr>
      <w:rFonts w:ascii="Times New Roman" w:hAnsi="Times New Roman"/>
      <w:sz w:val="24"/>
      <w:szCs w:val="24"/>
      <w:lang w:val="en-NZ" w:eastAsia="en-NZ"/>
    </w:rPr>
  </w:style>
  <w:style w:type="character" w:customStyle="1" w:styleId="label">
    <w:name w:val="label"/>
    <w:basedOn w:val="DefaultParagraphFont"/>
    <w:rsid w:val="0023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59203390">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333075696">
      <w:bodyDiv w:val="1"/>
      <w:marLeft w:val="0"/>
      <w:marRight w:val="0"/>
      <w:marTop w:val="0"/>
      <w:marBottom w:val="0"/>
      <w:divBdr>
        <w:top w:val="none" w:sz="0" w:space="0" w:color="auto"/>
        <w:left w:val="none" w:sz="0" w:space="0" w:color="auto"/>
        <w:bottom w:val="none" w:sz="0" w:space="0" w:color="auto"/>
        <w:right w:val="none" w:sz="0" w:space="0" w:color="auto"/>
      </w:divBdr>
    </w:div>
    <w:div w:id="335768170">
      <w:bodyDiv w:val="1"/>
      <w:marLeft w:val="0"/>
      <w:marRight w:val="0"/>
      <w:marTop w:val="0"/>
      <w:marBottom w:val="0"/>
      <w:divBdr>
        <w:top w:val="none" w:sz="0" w:space="0" w:color="auto"/>
        <w:left w:val="none" w:sz="0" w:space="0" w:color="auto"/>
        <w:bottom w:val="none" w:sz="0" w:space="0" w:color="auto"/>
        <w:right w:val="none" w:sz="0" w:space="0" w:color="auto"/>
      </w:divBdr>
    </w:div>
    <w:div w:id="364864683">
      <w:bodyDiv w:val="1"/>
      <w:marLeft w:val="0"/>
      <w:marRight w:val="0"/>
      <w:marTop w:val="0"/>
      <w:marBottom w:val="0"/>
      <w:divBdr>
        <w:top w:val="none" w:sz="0" w:space="0" w:color="auto"/>
        <w:left w:val="none" w:sz="0" w:space="0" w:color="auto"/>
        <w:bottom w:val="none" w:sz="0" w:space="0" w:color="auto"/>
        <w:right w:val="none" w:sz="0" w:space="0" w:color="auto"/>
      </w:divBdr>
    </w:div>
    <w:div w:id="449670888">
      <w:bodyDiv w:val="1"/>
      <w:marLeft w:val="0"/>
      <w:marRight w:val="0"/>
      <w:marTop w:val="0"/>
      <w:marBottom w:val="0"/>
      <w:divBdr>
        <w:top w:val="none" w:sz="0" w:space="0" w:color="auto"/>
        <w:left w:val="none" w:sz="0" w:space="0" w:color="auto"/>
        <w:bottom w:val="none" w:sz="0" w:space="0" w:color="auto"/>
        <w:right w:val="none" w:sz="0" w:space="0" w:color="auto"/>
      </w:divBdr>
    </w:div>
    <w:div w:id="566693495">
      <w:bodyDiv w:val="1"/>
      <w:marLeft w:val="0"/>
      <w:marRight w:val="0"/>
      <w:marTop w:val="0"/>
      <w:marBottom w:val="0"/>
      <w:divBdr>
        <w:top w:val="none" w:sz="0" w:space="0" w:color="auto"/>
        <w:left w:val="none" w:sz="0" w:space="0" w:color="auto"/>
        <w:bottom w:val="none" w:sz="0" w:space="0" w:color="auto"/>
        <w:right w:val="none" w:sz="0" w:space="0" w:color="auto"/>
      </w:divBdr>
    </w:div>
    <w:div w:id="650719776">
      <w:bodyDiv w:val="1"/>
      <w:marLeft w:val="0"/>
      <w:marRight w:val="0"/>
      <w:marTop w:val="0"/>
      <w:marBottom w:val="0"/>
      <w:divBdr>
        <w:top w:val="none" w:sz="0" w:space="0" w:color="auto"/>
        <w:left w:val="none" w:sz="0" w:space="0" w:color="auto"/>
        <w:bottom w:val="none" w:sz="0" w:space="0" w:color="auto"/>
        <w:right w:val="none" w:sz="0" w:space="0" w:color="auto"/>
      </w:divBdr>
      <w:divsChild>
        <w:div w:id="437990383">
          <w:marLeft w:val="0"/>
          <w:marRight w:val="0"/>
          <w:marTop w:val="83"/>
          <w:marBottom w:val="0"/>
          <w:divBdr>
            <w:top w:val="none" w:sz="0" w:space="0" w:color="auto"/>
            <w:left w:val="none" w:sz="0" w:space="0" w:color="auto"/>
            <w:bottom w:val="none" w:sz="0" w:space="0" w:color="auto"/>
            <w:right w:val="none" w:sz="0" w:space="0" w:color="auto"/>
          </w:divBdr>
        </w:div>
        <w:div w:id="466044220">
          <w:marLeft w:val="0"/>
          <w:marRight w:val="0"/>
          <w:marTop w:val="83"/>
          <w:marBottom w:val="0"/>
          <w:divBdr>
            <w:top w:val="none" w:sz="0" w:space="0" w:color="auto"/>
            <w:left w:val="none" w:sz="0" w:space="0" w:color="auto"/>
            <w:bottom w:val="none" w:sz="0" w:space="0" w:color="auto"/>
            <w:right w:val="none" w:sz="0" w:space="0" w:color="auto"/>
          </w:divBdr>
        </w:div>
        <w:div w:id="1625381638">
          <w:marLeft w:val="0"/>
          <w:marRight w:val="0"/>
          <w:marTop w:val="83"/>
          <w:marBottom w:val="0"/>
          <w:divBdr>
            <w:top w:val="none" w:sz="0" w:space="0" w:color="auto"/>
            <w:left w:val="none" w:sz="0" w:space="0" w:color="auto"/>
            <w:bottom w:val="none" w:sz="0" w:space="0" w:color="auto"/>
            <w:right w:val="none" w:sz="0" w:space="0" w:color="auto"/>
          </w:divBdr>
        </w:div>
      </w:divsChild>
    </w:div>
    <w:div w:id="901521402">
      <w:bodyDiv w:val="1"/>
      <w:marLeft w:val="0"/>
      <w:marRight w:val="0"/>
      <w:marTop w:val="0"/>
      <w:marBottom w:val="0"/>
      <w:divBdr>
        <w:top w:val="none" w:sz="0" w:space="0" w:color="auto"/>
        <w:left w:val="none" w:sz="0" w:space="0" w:color="auto"/>
        <w:bottom w:val="none" w:sz="0" w:space="0" w:color="auto"/>
        <w:right w:val="none" w:sz="0" w:space="0" w:color="auto"/>
      </w:divBdr>
    </w:div>
    <w:div w:id="1166943555">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249146947">
      <w:bodyDiv w:val="1"/>
      <w:marLeft w:val="0"/>
      <w:marRight w:val="0"/>
      <w:marTop w:val="0"/>
      <w:marBottom w:val="0"/>
      <w:divBdr>
        <w:top w:val="none" w:sz="0" w:space="0" w:color="auto"/>
        <w:left w:val="none" w:sz="0" w:space="0" w:color="auto"/>
        <w:bottom w:val="none" w:sz="0" w:space="0" w:color="auto"/>
        <w:right w:val="none" w:sz="0" w:space="0" w:color="auto"/>
      </w:divBdr>
    </w:div>
    <w:div w:id="1261336997">
      <w:bodyDiv w:val="1"/>
      <w:marLeft w:val="0"/>
      <w:marRight w:val="0"/>
      <w:marTop w:val="0"/>
      <w:marBottom w:val="0"/>
      <w:divBdr>
        <w:top w:val="none" w:sz="0" w:space="0" w:color="auto"/>
        <w:left w:val="none" w:sz="0" w:space="0" w:color="auto"/>
        <w:bottom w:val="none" w:sz="0" w:space="0" w:color="auto"/>
        <w:right w:val="none" w:sz="0" w:space="0" w:color="auto"/>
      </w:divBdr>
      <w:divsChild>
        <w:div w:id="303783028">
          <w:marLeft w:val="0"/>
          <w:marRight w:val="0"/>
          <w:marTop w:val="0"/>
          <w:marBottom w:val="0"/>
          <w:divBdr>
            <w:top w:val="none" w:sz="0" w:space="0" w:color="auto"/>
            <w:left w:val="none" w:sz="0" w:space="0" w:color="auto"/>
            <w:bottom w:val="single" w:sz="6" w:space="4" w:color="DDDDDD"/>
            <w:right w:val="none" w:sz="0" w:space="0" w:color="auto"/>
          </w:divBdr>
        </w:div>
        <w:div w:id="732117778">
          <w:marLeft w:val="0"/>
          <w:marRight w:val="0"/>
          <w:marTop w:val="0"/>
          <w:marBottom w:val="0"/>
          <w:divBdr>
            <w:top w:val="none" w:sz="0" w:space="0" w:color="auto"/>
            <w:left w:val="none" w:sz="0" w:space="0" w:color="auto"/>
            <w:bottom w:val="single" w:sz="6" w:space="4" w:color="DDDDDD"/>
            <w:right w:val="none" w:sz="0" w:space="0" w:color="auto"/>
          </w:divBdr>
        </w:div>
        <w:div w:id="836309795">
          <w:marLeft w:val="0"/>
          <w:marRight w:val="0"/>
          <w:marTop w:val="0"/>
          <w:marBottom w:val="0"/>
          <w:divBdr>
            <w:top w:val="none" w:sz="0" w:space="0" w:color="auto"/>
            <w:left w:val="none" w:sz="0" w:space="0" w:color="auto"/>
            <w:bottom w:val="single" w:sz="6" w:space="4" w:color="DDDDDD"/>
            <w:right w:val="none" w:sz="0" w:space="0" w:color="auto"/>
          </w:divBdr>
        </w:div>
        <w:div w:id="1286424974">
          <w:marLeft w:val="0"/>
          <w:marRight w:val="0"/>
          <w:marTop w:val="0"/>
          <w:marBottom w:val="0"/>
          <w:divBdr>
            <w:top w:val="none" w:sz="0" w:space="0" w:color="auto"/>
            <w:left w:val="none" w:sz="0" w:space="0" w:color="auto"/>
            <w:bottom w:val="single" w:sz="6" w:space="4" w:color="DDDDDD"/>
            <w:right w:val="none" w:sz="0" w:space="0" w:color="auto"/>
          </w:divBdr>
        </w:div>
        <w:div w:id="1729844887">
          <w:marLeft w:val="0"/>
          <w:marRight w:val="0"/>
          <w:marTop w:val="0"/>
          <w:marBottom w:val="0"/>
          <w:divBdr>
            <w:top w:val="none" w:sz="0" w:space="0" w:color="auto"/>
            <w:left w:val="none" w:sz="0" w:space="0" w:color="auto"/>
            <w:bottom w:val="single" w:sz="6" w:space="4" w:color="DDDDDD"/>
            <w:right w:val="none" w:sz="0" w:space="0" w:color="auto"/>
          </w:divBdr>
        </w:div>
        <w:div w:id="1825050608">
          <w:marLeft w:val="0"/>
          <w:marRight w:val="0"/>
          <w:marTop w:val="0"/>
          <w:marBottom w:val="0"/>
          <w:divBdr>
            <w:top w:val="none" w:sz="0" w:space="0" w:color="auto"/>
            <w:left w:val="none" w:sz="0" w:space="0" w:color="auto"/>
            <w:bottom w:val="single" w:sz="6" w:space="4" w:color="DDDDDD"/>
            <w:right w:val="none" w:sz="0" w:space="0" w:color="auto"/>
          </w:divBdr>
        </w:div>
        <w:div w:id="1830440695">
          <w:marLeft w:val="0"/>
          <w:marRight w:val="0"/>
          <w:marTop w:val="0"/>
          <w:marBottom w:val="0"/>
          <w:divBdr>
            <w:top w:val="none" w:sz="0" w:space="0" w:color="auto"/>
            <w:left w:val="none" w:sz="0" w:space="0" w:color="auto"/>
            <w:bottom w:val="single" w:sz="6" w:space="4" w:color="DDDDDD"/>
            <w:right w:val="none" w:sz="0" w:space="0" w:color="auto"/>
          </w:divBdr>
        </w:div>
        <w:div w:id="1916355455">
          <w:marLeft w:val="0"/>
          <w:marRight w:val="0"/>
          <w:marTop w:val="0"/>
          <w:marBottom w:val="0"/>
          <w:divBdr>
            <w:top w:val="none" w:sz="0" w:space="0" w:color="auto"/>
            <w:left w:val="none" w:sz="0" w:space="0" w:color="auto"/>
            <w:bottom w:val="single" w:sz="6" w:space="4" w:color="DDDDDD"/>
            <w:right w:val="none" w:sz="0" w:space="0" w:color="auto"/>
          </w:divBdr>
        </w:div>
        <w:div w:id="1953126744">
          <w:marLeft w:val="0"/>
          <w:marRight w:val="0"/>
          <w:marTop w:val="0"/>
          <w:marBottom w:val="0"/>
          <w:divBdr>
            <w:top w:val="none" w:sz="0" w:space="0" w:color="auto"/>
            <w:left w:val="none" w:sz="0" w:space="0" w:color="auto"/>
            <w:bottom w:val="single" w:sz="6" w:space="4" w:color="DDDDDD"/>
            <w:right w:val="none" w:sz="0" w:space="0" w:color="auto"/>
          </w:divBdr>
        </w:div>
      </w:divsChild>
    </w:div>
    <w:div w:id="1285841955">
      <w:bodyDiv w:val="1"/>
      <w:marLeft w:val="0"/>
      <w:marRight w:val="0"/>
      <w:marTop w:val="0"/>
      <w:marBottom w:val="0"/>
      <w:divBdr>
        <w:top w:val="none" w:sz="0" w:space="0" w:color="auto"/>
        <w:left w:val="none" w:sz="0" w:space="0" w:color="auto"/>
        <w:bottom w:val="none" w:sz="0" w:space="0" w:color="auto"/>
        <w:right w:val="none" w:sz="0" w:space="0" w:color="auto"/>
      </w:divBdr>
    </w:div>
    <w:div w:id="1296524715">
      <w:bodyDiv w:val="1"/>
      <w:marLeft w:val="0"/>
      <w:marRight w:val="0"/>
      <w:marTop w:val="0"/>
      <w:marBottom w:val="0"/>
      <w:divBdr>
        <w:top w:val="none" w:sz="0" w:space="0" w:color="auto"/>
        <w:left w:val="none" w:sz="0" w:space="0" w:color="auto"/>
        <w:bottom w:val="none" w:sz="0" w:space="0" w:color="auto"/>
        <w:right w:val="none" w:sz="0" w:space="0" w:color="auto"/>
      </w:divBdr>
    </w:div>
    <w:div w:id="1351955026">
      <w:bodyDiv w:val="1"/>
      <w:marLeft w:val="0"/>
      <w:marRight w:val="0"/>
      <w:marTop w:val="0"/>
      <w:marBottom w:val="0"/>
      <w:divBdr>
        <w:top w:val="none" w:sz="0" w:space="0" w:color="auto"/>
        <w:left w:val="none" w:sz="0" w:space="0" w:color="auto"/>
        <w:bottom w:val="none" w:sz="0" w:space="0" w:color="auto"/>
        <w:right w:val="none" w:sz="0" w:space="0" w:color="auto"/>
      </w:divBdr>
    </w:div>
    <w:div w:id="1414275606">
      <w:bodyDiv w:val="1"/>
      <w:marLeft w:val="0"/>
      <w:marRight w:val="0"/>
      <w:marTop w:val="0"/>
      <w:marBottom w:val="0"/>
      <w:divBdr>
        <w:top w:val="none" w:sz="0" w:space="0" w:color="auto"/>
        <w:left w:val="none" w:sz="0" w:space="0" w:color="auto"/>
        <w:bottom w:val="none" w:sz="0" w:space="0" w:color="auto"/>
        <w:right w:val="none" w:sz="0" w:space="0" w:color="auto"/>
      </w:divBdr>
    </w:div>
    <w:div w:id="1533153951">
      <w:bodyDiv w:val="1"/>
      <w:marLeft w:val="0"/>
      <w:marRight w:val="0"/>
      <w:marTop w:val="0"/>
      <w:marBottom w:val="0"/>
      <w:divBdr>
        <w:top w:val="none" w:sz="0" w:space="0" w:color="auto"/>
        <w:left w:val="none" w:sz="0" w:space="0" w:color="auto"/>
        <w:bottom w:val="none" w:sz="0" w:space="0" w:color="auto"/>
        <w:right w:val="none" w:sz="0" w:space="0" w:color="auto"/>
      </w:divBdr>
    </w:div>
    <w:div w:id="1672567087">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836339053">
      <w:bodyDiv w:val="1"/>
      <w:marLeft w:val="0"/>
      <w:marRight w:val="0"/>
      <w:marTop w:val="0"/>
      <w:marBottom w:val="0"/>
      <w:divBdr>
        <w:top w:val="none" w:sz="0" w:space="0" w:color="auto"/>
        <w:left w:val="none" w:sz="0" w:space="0" w:color="auto"/>
        <w:bottom w:val="none" w:sz="0" w:space="0" w:color="auto"/>
        <w:right w:val="none" w:sz="0" w:space="0" w:color="auto"/>
      </w:divBdr>
    </w:div>
    <w:div w:id="1874264793">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1921864402">
      <w:bodyDiv w:val="1"/>
      <w:marLeft w:val="0"/>
      <w:marRight w:val="0"/>
      <w:marTop w:val="0"/>
      <w:marBottom w:val="0"/>
      <w:divBdr>
        <w:top w:val="none" w:sz="0" w:space="0" w:color="auto"/>
        <w:left w:val="none" w:sz="0" w:space="0" w:color="auto"/>
        <w:bottom w:val="none" w:sz="0" w:space="0" w:color="auto"/>
        <w:right w:val="none" w:sz="0" w:space="0" w:color="auto"/>
      </w:divBdr>
    </w:div>
    <w:div w:id="1971741067">
      <w:bodyDiv w:val="1"/>
      <w:marLeft w:val="0"/>
      <w:marRight w:val="0"/>
      <w:marTop w:val="0"/>
      <w:marBottom w:val="0"/>
      <w:divBdr>
        <w:top w:val="none" w:sz="0" w:space="0" w:color="auto"/>
        <w:left w:val="none" w:sz="0" w:space="0" w:color="auto"/>
        <w:bottom w:val="none" w:sz="0" w:space="0" w:color="auto"/>
        <w:right w:val="none" w:sz="0" w:space="0" w:color="auto"/>
      </w:divBdr>
    </w:div>
    <w:div w:id="1989281941">
      <w:bodyDiv w:val="1"/>
      <w:marLeft w:val="0"/>
      <w:marRight w:val="0"/>
      <w:marTop w:val="0"/>
      <w:marBottom w:val="0"/>
      <w:divBdr>
        <w:top w:val="none" w:sz="0" w:space="0" w:color="auto"/>
        <w:left w:val="none" w:sz="0" w:space="0" w:color="auto"/>
        <w:bottom w:val="none" w:sz="0" w:space="0" w:color="auto"/>
        <w:right w:val="none" w:sz="0" w:space="0" w:color="auto"/>
      </w:divBdr>
    </w:div>
    <w:div w:id="2040086230">
      <w:bodyDiv w:val="1"/>
      <w:marLeft w:val="0"/>
      <w:marRight w:val="0"/>
      <w:marTop w:val="0"/>
      <w:marBottom w:val="0"/>
      <w:divBdr>
        <w:top w:val="none" w:sz="0" w:space="0" w:color="auto"/>
        <w:left w:val="none" w:sz="0" w:space="0" w:color="auto"/>
        <w:bottom w:val="none" w:sz="0" w:space="0" w:color="auto"/>
        <w:right w:val="none" w:sz="0" w:space="0" w:color="auto"/>
      </w:divBdr>
      <w:divsChild>
        <w:div w:id="125633642">
          <w:marLeft w:val="0"/>
          <w:marRight w:val="0"/>
          <w:marTop w:val="83"/>
          <w:marBottom w:val="0"/>
          <w:divBdr>
            <w:top w:val="none" w:sz="0" w:space="0" w:color="auto"/>
            <w:left w:val="none" w:sz="0" w:space="0" w:color="auto"/>
            <w:bottom w:val="none" w:sz="0" w:space="0" w:color="auto"/>
            <w:right w:val="none" w:sz="0" w:space="0" w:color="auto"/>
          </w:divBdr>
        </w:div>
        <w:div w:id="135221687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8af3f45ae37346f3" Type="http://schemas.microsoft.com/office/2019/09/relationships/intelligence" Target="intelligence.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A2ED0FBE-5CD3-45FC-BD44-FCDDB9E30873}"/>
</file>

<file path=customXml/itemProps2.xml><?xml version="1.0" encoding="utf-8"?>
<ds:datastoreItem xmlns:ds="http://schemas.openxmlformats.org/officeDocument/2006/customXml" ds:itemID="{F4BD7643-3CB4-4BC4-B9BA-72E6D1C3221D}"/>
</file>

<file path=customXml/itemProps3.xml><?xml version="1.0" encoding="utf-8"?>
<ds:datastoreItem xmlns:ds="http://schemas.openxmlformats.org/officeDocument/2006/customXml" ds:itemID="{A76DC022-DA53-4499-BC13-41B15D9A0042}"/>
</file>

<file path=docProps/app.xml><?xml version="1.0" encoding="utf-8"?>
<Properties xmlns="http://schemas.openxmlformats.org/officeDocument/2006/extended-properties" xmlns:vt="http://schemas.openxmlformats.org/officeDocument/2006/docPropsVTypes">
  <Template>Normal.dotm</Template>
  <TotalTime>0</TotalTime>
  <Pages>40</Pages>
  <Words>10353</Words>
  <Characters>59015</Characters>
  <Application>Microsoft Office Word</Application>
  <DocSecurity>0</DocSecurity>
  <Lines>491</Lines>
  <Paragraphs>138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Regulatory Impact Statement: April 2022 Working for Families changes</vt:lpstr>
      <vt:lpstr>    Coversheet</vt:lpstr>
      <vt:lpstr>    </vt:lpstr>
      <vt:lpstr>    Section 1: Diagnosing the policy problem</vt:lpstr>
      <vt:lpstr>        What is the context behind the policy problem and how is the status quo expected</vt:lpstr>
      <vt:lpstr>        What is the policy problem or opportunity?</vt:lpstr>
      <vt:lpstr>        </vt:lpstr>
      <vt:lpstr>        What objectives are sought in relation to the policy problem?</vt:lpstr>
      <vt:lpstr>    Section 2: Deciding upon an option to address the policy problem</vt:lpstr>
      <vt:lpstr>        What scope will options be considered within?</vt:lpstr>
      <vt:lpstr>        </vt:lpstr>
      <vt:lpstr>        What criteria will be used to compare final options to the counterfactual?</vt:lpstr>
      <vt:lpstr>        What options are being considered?</vt:lpstr>
      <vt:lpstr>        </vt:lpstr>
      <vt:lpstr>        How do the options compare to the counterfactual?</vt:lpstr>
      <vt:lpstr>        What option is likely to best address the problem, meet the policy objectives, a</vt:lpstr>
      <vt:lpstr>        </vt:lpstr>
      <vt:lpstr>        What are the marginal costs and benefits of the option?</vt:lpstr>
      <vt:lpstr>    </vt:lpstr>
      <vt:lpstr>    Section 3: Delivering an option</vt:lpstr>
      <vt:lpstr>        How will the new arrangements be implemented?</vt:lpstr>
      <vt:lpstr>        How will the new arrangements be monitored, evaluated, and reviewed?</vt:lpstr>
    </vt:vector>
  </TitlesOfParts>
  <Company/>
  <LinksUpToDate>false</LinksUpToDate>
  <CharactersWithSpaces>69230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2022-04-13T05:00:00Z</dcterms:created>
  <dcterms:modified xsi:type="dcterms:W3CDTF">2022-04-13T05:00:00Z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BusinessUnit">
    <vt:lpwstr>2;#Policy ＆ Regulatory Stewardship|5c6da56c-2219-46c1-9c7b-c15fc3fd45a5</vt:lpwstr>
  </property>
  <property fmtid="{D5CDD505-2E9C-101B-9397-08002B2CF9AE}" pid="4" name="ContentTypeId">
    <vt:lpwstr>0x0101000B461733DE48CC4985E239AAFC9C41590100670D0BD9AB7101418FC69E4F42B3A5BC</vt:lpwstr>
  </property>
  <property fmtid="{D5CDD505-2E9C-101B-9397-08002B2CF9AE}" pid="5" name="SecurityClassification">
    <vt:lpwstr>3;#In Confidence|5fccf67f-7cb1-4561-8450-fe0d2ea19178</vt:lpwstr>
  </property>
  <property fmtid="{D5CDD505-2E9C-101B-9397-08002B2CF9AE}" pid="6" name="BusinessActivity">
    <vt:lpwstr>1;#Tax policy work|c05dfd7c-a5ba-47bf-969f-3422104229d3</vt:lpwstr>
  </property>
  <property fmtid="{D5CDD505-2E9C-101B-9397-08002B2CF9AE}" pid="7" name="InformationType">
    <vt:lpwstr/>
  </property>
  <property fmtid="{D5CDD505-2E9C-101B-9397-08002B2CF9AE}" pid="8" name="DocumentStatus">
    <vt:lpwstr/>
  </property>
  <property fmtid="{D5CDD505-2E9C-101B-9397-08002B2CF9AE}" pid="9" name="MediaServiceImageTags">
    <vt:lpwstr/>
  </property>
</Properties>
</file>