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52D8" w14:textId="1A19F6AA" w:rsidR="0062657E" w:rsidRDefault="0062657E" w:rsidP="00431CA7">
      <w:pPr>
        <w:pStyle w:val="Heading1"/>
        <w:spacing w:before="0" w:after="120" w:line="276" w:lineRule="auto"/>
        <w:rPr>
          <w:color w:val="0082AB"/>
        </w:rPr>
      </w:pPr>
      <w:r w:rsidRPr="0005691A">
        <w:rPr>
          <w:color w:val="0082AB"/>
        </w:rPr>
        <w:t>Coversheet</w:t>
      </w:r>
      <w:r w:rsidR="009435C4">
        <w:rPr>
          <w:color w:val="0082AB"/>
        </w:rPr>
        <w:t>:</w:t>
      </w:r>
      <w:r w:rsidRPr="0005691A">
        <w:rPr>
          <w:color w:val="0082AB"/>
        </w:rPr>
        <w:t xml:space="preserve"> </w:t>
      </w:r>
      <w:r w:rsidR="00E6206E">
        <w:rPr>
          <w:color w:val="0082AB"/>
        </w:rPr>
        <w:t>Increasing main benefit abatement thresholds on 1 April 2021 and consequential adjustments to the Minimum Family Tax Credit</w:t>
      </w:r>
    </w:p>
    <w:p w14:paraId="15EC292A" w14:textId="77777777" w:rsidR="009C4129" w:rsidRPr="007B090A" w:rsidRDefault="009C4129" w:rsidP="007B090A">
      <w:pPr>
        <w:pStyle w:val="spacer"/>
        <w:spacing w:line="276" w:lineRule="auto"/>
        <w:rPr>
          <w:rFonts w:cs="Arial"/>
          <w:sz w:val="22"/>
        </w:rP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240"/>
        <w:gridCol w:w="6832"/>
      </w:tblGrid>
      <w:tr w:rsidR="0062657E" w:rsidRPr="007B090A" w14:paraId="47ACB0C5" w14:textId="77777777" w:rsidTr="00346B30">
        <w:tc>
          <w:tcPr>
            <w:tcW w:w="2240" w:type="dxa"/>
            <w:shd w:val="clear" w:color="auto" w:fill="EBF5F8"/>
          </w:tcPr>
          <w:p w14:paraId="1FF3EB14" w14:textId="77777777" w:rsidR="0062657E" w:rsidRPr="007B090A" w:rsidRDefault="0062657E" w:rsidP="007B090A">
            <w:pPr>
              <w:pStyle w:val="TableText"/>
              <w:spacing w:line="276" w:lineRule="auto"/>
              <w:rPr>
                <w:rFonts w:cs="Arial"/>
                <w:sz w:val="22"/>
              </w:rPr>
            </w:pPr>
            <w:bookmarkStart w:id="0" w:name="_Hlk57884904"/>
            <w:r w:rsidRPr="007B090A">
              <w:rPr>
                <w:rFonts w:cs="Arial"/>
                <w:sz w:val="22"/>
              </w:rPr>
              <w:t>Advising agencies</w:t>
            </w:r>
          </w:p>
        </w:tc>
        <w:tc>
          <w:tcPr>
            <w:tcW w:w="6832" w:type="dxa"/>
            <w:shd w:val="clear" w:color="auto" w:fill="auto"/>
          </w:tcPr>
          <w:p w14:paraId="6B8E284B" w14:textId="0D10A193" w:rsidR="0062657E" w:rsidRPr="007B090A" w:rsidRDefault="00AC19E1" w:rsidP="007B090A">
            <w:pPr>
              <w:spacing w:before="20" w:after="20" w:line="276" w:lineRule="auto"/>
              <w:rPr>
                <w:rFonts w:cs="Arial"/>
                <w:i/>
                <w:szCs w:val="22"/>
              </w:rPr>
            </w:pPr>
            <w:r>
              <w:rPr>
                <w:rFonts w:cs="Arial"/>
                <w:i/>
                <w:szCs w:val="22"/>
              </w:rPr>
              <w:t>Ministry of Social Development and Inland Revenue</w:t>
            </w:r>
          </w:p>
        </w:tc>
      </w:tr>
      <w:tr w:rsidR="0062657E" w:rsidRPr="007B090A" w14:paraId="3897E0C6" w14:textId="77777777" w:rsidTr="00346B30">
        <w:tc>
          <w:tcPr>
            <w:tcW w:w="2240" w:type="dxa"/>
            <w:shd w:val="clear" w:color="auto" w:fill="EBF5F8"/>
          </w:tcPr>
          <w:p w14:paraId="47064238" w14:textId="77777777" w:rsidR="0062657E" w:rsidRPr="007B090A" w:rsidRDefault="0062657E" w:rsidP="007B090A">
            <w:pPr>
              <w:pStyle w:val="TableText"/>
              <w:spacing w:line="276" w:lineRule="auto"/>
              <w:rPr>
                <w:rFonts w:cs="Arial"/>
                <w:sz w:val="22"/>
              </w:rPr>
            </w:pPr>
            <w:r w:rsidRPr="007B090A">
              <w:rPr>
                <w:rFonts w:cs="Arial"/>
                <w:sz w:val="22"/>
              </w:rPr>
              <w:t>Decision sought</w:t>
            </w:r>
          </w:p>
        </w:tc>
        <w:tc>
          <w:tcPr>
            <w:tcW w:w="6832" w:type="dxa"/>
            <w:shd w:val="clear" w:color="auto" w:fill="auto"/>
          </w:tcPr>
          <w:p w14:paraId="1966E8D5" w14:textId="5F6CABD4" w:rsidR="0062657E" w:rsidRDefault="00E6206E" w:rsidP="007B090A">
            <w:pPr>
              <w:spacing w:before="20" w:after="20" w:line="276" w:lineRule="auto"/>
              <w:rPr>
                <w:rFonts w:cs="Arial"/>
                <w:i/>
                <w:szCs w:val="22"/>
              </w:rPr>
            </w:pPr>
            <w:r>
              <w:rPr>
                <w:rFonts w:cs="Arial"/>
                <w:i/>
                <w:szCs w:val="22"/>
              </w:rPr>
              <w:t>Agreement to increase main benefit abatement thresholds on 1 April 2021 and consequentially adjust the Minimum Family Tax Credit for 2020/21 and 2021/22</w:t>
            </w:r>
            <w:r w:rsidR="00007335">
              <w:rPr>
                <w:rFonts w:cs="Arial"/>
                <w:i/>
                <w:szCs w:val="22"/>
              </w:rPr>
              <w:t>.</w:t>
            </w:r>
          </w:p>
          <w:p w14:paraId="203E0AF4" w14:textId="77777777" w:rsidR="005401A7" w:rsidRDefault="005401A7" w:rsidP="007B090A">
            <w:pPr>
              <w:spacing w:before="20" w:after="20" w:line="276" w:lineRule="auto"/>
              <w:rPr>
                <w:rFonts w:cs="Arial"/>
                <w:i/>
                <w:szCs w:val="22"/>
              </w:rPr>
            </w:pPr>
          </w:p>
          <w:p w14:paraId="6E542C19" w14:textId="2F4704B7" w:rsidR="00DA664E" w:rsidRDefault="005401A7" w:rsidP="007B090A">
            <w:pPr>
              <w:spacing w:before="20" w:after="20" w:line="276" w:lineRule="auto"/>
              <w:rPr>
                <w:rFonts w:cs="Arial"/>
                <w:i/>
                <w:szCs w:val="22"/>
              </w:rPr>
            </w:pPr>
            <w:r>
              <w:rPr>
                <w:rFonts w:cs="Arial"/>
                <w:i/>
                <w:szCs w:val="22"/>
              </w:rPr>
              <w:t xml:space="preserve">Note that </w:t>
            </w:r>
            <w:r w:rsidR="00DA664E">
              <w:rPr>
                <w:rFonts w:cs="Arial"/>
                <w:i/>
                <w:szCs w:val="22"/>
              </w:rPr>
              <w:t xml:space="preserve">on 30 November 2020, </w:t>
            </w:r>
            <w:r>
              <w:rPr>
                <w:rFonts w:cs="Arial"/>
                <w:i/>
                <w:szCs w:val="22"/>
              </w:rPr>
              <w:t>Cabinet agreed to adjust the Minimum Family Tax Credit for 2020/21 [CAB-20-MIN-0490 refers]</w:t>
            </w:r>
            <w:r w:rsidR="00DA664E">
              <w:rPr>
                <w:rFonts w:cs="Arial"/>
                <w:i/>
                <w:szCs w:val="22"/>
              </w:rPr>
              <w:t>. However, a Regulatory Impact Assessment could not be undertaken due to time constraints. Under Cabinet’s regulatory impact analysis requirements, this document is:</w:t>
            </w:r>
          </w:p>
          <w:p w14:paraId="5619DD01" w14:textId="77777777" w:rsidR="005401A7" w:rsidRDefault="00DA664E" w:rsidP="007B090A">
            <w:pPr>
              <w:pStyle w:val="ListParagraph"/>
              <w:numPr>
                <w:ilvl w:val="0"/>
                <w:numId w:val="28"/>
              </w:numPr>
              <w:spacing w:before="20" w:after="20" w:line="276" w:lineRule="auto"/>
              <w:rPr>
                <w:rFonts w:cs="Arial"/>
                <w:i/>
                <w:szCs w:val="22"/>
              </w:rPr>
            </w:pPr>
            <w:r>
              <w:rPr>
                <w:rFonts w:cs="Arial"/>
                <w:i/>
                <w:szCs w:val="22"/>
              </w:rPr>
              <w:t>the Supplementary Analysis Report for the adjustment to the Minimum Family Tax Credit for 2020/21; and</w:t>
            </w:r>
          </w:p>
          <w:p w14:paraId="56273137" w14:textId="2C32CDD9" w:rsidR="00DA664E" w:rsidRPr="00DA664E" w:rsidRDefault="00DA664E" w:rsidP="00DA664E">
            <w:pPr>
              <w:pStyle w:val="ListParagraph"/>
              <w:numPr>
                <w:ilvl w:val="0"/>
                <w:numId w:val="28"/>
              </w:numPr>
              <w:spacing w:before="20" w:after="20" w:line="276" w:lineRule="auto"/>
              <w:rPr>
                <w:rFonts w:cs="Arial"/>
                <w:i/>
                <w:szCs w:val="22"/>
              </w:rPr>
            </w:pPr>
            <w:r>
              <w:rPr>
                <w:rFonts w:cs="Arial"/>
                <w:i/>
                <w:szCs w:val="22"/>
              </w:rPr>
              <w:t>the Regulatory Impact Assessment for the abatement threshold increases and the adjustment to the Minimum Family Tax Credit for 2021/22.</w:t>
            </w:r>
          </w:p>
        </w:tc>
      </w:tr>
      <w:tr w:rsidR="0062657E" w:rsidRPr="007B090A" w14:paraId="5AE5D8C0" w14:textId="77777777" w:rsidTr="00346B30">
        <w:tc>
          <w:tcPr>
            <w:tcW w:w="2240" w:type="dxa"/>
            <w:shd w:val="clear" w:color="auto" w:fill="EBF5F8"/>
          </w:tcPr>
          <w:p w14:paraId="3596E4F2" w14:textId="77777777" w:rsidR="0062657E" w:rsidRPr="007B090A" w:rsidRDefault="0062657E" w:rsidP="007B090A">
            <w:pPr>
              <w:pStyle w:val="TableText"/>
              <w:spacing w:line="276" w:lineRule="auto"/>
              <w:rPr>
                <w:rFonts w:cs="Arial"/>
                <w:sz w:val="22"/>
              </w:rPr>
            </w:pPr>
            <w:r w:rsidRPr="007B090A">
              <w:rPr>
                <w:rFonts w:cs="Arial"/>
                <w:sz w:val="22"/>
              </w:rPr>
              <w:t>Proposing Ministers</w:t>
            </w:r>
          </w:p>
        </w:tc>
        <w:tc>
          <w:tcPr>
            <w:tcW w:w="6832" w:type="dxa"/>
            <w:shd w:val="clear" w:color="auto" w:fill="auto"/>
          </w:tcPr>
          <w:p w14:paraId="1245D47B" w14:textId="77777777" w:rsidR="0062657E" w:rsidRDefault="00377101" w:rsidP="007B090A">
            <w:pPr>
              <w:spacing w:before="20" w:after="20" w:line="276" w:lineRule="auto"/>
              <w:rPr>
                <w:rFonts w:cs="Arial"/>
                <w:i/>
                <w:szCs w:val="22"/>
              </w:rPr>
            </w:pPr>
            <w:r>
              <w:rPr>
                <w:rFonts w:cs="Arial"/>
                <w:i/>
                <w:szCs w:val="22"/>
              </w:rPr>
              <w:t>Minister for Social Development and Employment</w:t>
            </w:r>
          </w:p>
          <w:p w14:paraId="78D9E9A8" w14:textId="26649EDF" w:rsidR="00377101" w:rsidRPr="007B090A" w:rsidRDefault="00377101" w:rsidP="007B090A">
            <w:pPr>
              <w:spacing w:before="20" w:after="20" w:line="276" w:lineRule="auto"/>
              <w:rPr>
                <w:rFonts w:cs="Arial"/>
                <w:i/>
                <w:szCs w:val="22"/>
              </w:rPr>
            </w:pPr>
            <w:r>
              <w:rPr>
                <w:rFonts w:cs="Arial"/>
                <w:i/>
                <w:szCs w:val="22"/>
              </w:rPr>
              <w:t xml:space="preserve">Minister of Revenue </w:t>
            </w:r>
          </w:p>
        </w:tc>
      </w:tr>
      <w:bookmarkEnd w:id="0"/>
    </w:tbl>
    <w:p w14:paraId="6134A636" w14:textId="77777777" w:rsidR="009C4129" w:rsidRPr="007B090A" w:rsidRDefault="009C4129" w:rsidP="007B090A">
      <w:pPr>
        <w:pStyle w:val="spacer"/>
        <w:spacing w:line="276" w:lineRule="auto"/>
        <w:rPr>
          <w:rFonts w:cs="Arial"/>
          <w:sz w:val="22"/>
        </w:rPr>
      </w:pPr>
    </w:p>
    <w:p w14:paraId="3BD94C32" w14:textId="77777777" w:rsidR="0062657E" w:rsidRPr="0005691A" w:rsidRDefault="0062657E" w:rsidP="00AF2098">
      <w:pPr>
        <w:pStyle w:val="Heading2"/>
      </w:pPr>
      <w:r>
        <w:t xml:space="preserve">Summary:  Problem and Proposed Approach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62657E" w:rsidRPr="007B090A" w14:paraId="351B235B" w14:textId="77777777" w:rsidTr="00346B30">
        <w:trPr>
          <w:trHeight w:val="214"/>
        </w:trPr>
        <w:tc>
          <w:tcPr>
            <w:tcW w:w="9072" w:type="dxa"/>
            <w:shd w:val="clear" w:color="auto" w:fill="99CDDD"/>
          </w:tcPr>
          <w:p w14:paraId="1A4CE731" w14:textId="77777777" w:rsidR="0062657E" w:rsidRPr="007B090A" w:rsidRDefault="0062657E" w:rsidP="00FA7EFC">
            <w:pPr>
              <w:keepNext/>
              <w:spacing w:before="60" w:after="60" w:line="276" w:lineRule="auto"/>
              <w:rPr>
                <w:b/>
                <w:szCs w:val="22"/>
              </w:rPr>
            </w:pPr>
            <w:r w:rsidRPr="007B090A">
              <w:rPr>
                <w:b/>
                <w:szCs w:val="22"/>
              </w:rPr>
              <w:t>Problem Definition</w:t>
            </w:r>
          </w:p>
          <w:p w14:paraId="134E1227" w14:textId="7A7AD8B9" w:rsidR="0062657E" w:rsidRPr="007B090A" w:rsidRDefault="0062657E" w:rsidP="00DF2E7B">
            <w:pPr>
              <w:spacing w:before="60" w:after="60" w:line="240" w:lineRule="auto"/>
              <w:rPr>
                <w:b/>
                <w:szCs w:val="22"/>
              </w:rPr>
            </w:pPr>
            <w:r w:rsidRPr="007B090A">
              <w:rPr>
                <w:b/>
                <w:szCs w:val="22"/>
              </w:rPr>
              <w:t>What problem or opportunity does this proposal seek to address? Why is Government intervention required?</w:t>
            </w:r>
          </w:p>
        </w:tc>
      </w:tr>
      <w:tr w:rsidR="0062657E" w:rsidRPr="007B090A" w14:paraId="4793FEC9" w14:textId="77777777" w:rsidTr="00431CA7">
        <w:trPr>
          <w:trHeight w:val="737"/>
        </w:trPr>
        <w:tc>
          <w:tcPr>
            <w:tcW w:w="9072" w:type="dxa"/>
            <w:shd w:val="clear" w:color="auto" w:fill="FFFFFF"/>
          </w:tcPr>
          <w:p w14:paraId="53DFE8D1" w14:textId="5B02346C" w:rsidR="00AD4D19" w:rsidRPr="00AD4D19" w:rsidRDefault="002037A6" w:rsidP="00431CA7">
            <w:pPr>
              <w:rPr>
                <w:b/>
                <w:bCs/>
                <w:i/>
                <w:iCs/>
              </w:rPr>
            </w:pPr>
            <w:r>
              <w:rPr>
                <w:b/>
                <w:bCs/>
                <w:i/>
                <w:iCs/>
              </w:rPr>
              <w:t>The current a</w:t>
            </w:r>
            <w:r w:rsidR="00AD4D19">
              <w:rPr>
                <w:b/>
                <w:bCs/>
                <w:i/>
                <w:iCs/>
              </w:rPr>
              <w:t>batement threshold</w:t>
            </w:r>
            <w:r>
              <w:rPr>
                <w:b/>
                <w:bCs/>
                <w:i/>
                <w:iCs/>
              </w:rPr>
              <w:t>s provide limited work incentive</w:t>
            </w:r>
            <w:r w:rsidR="008A4F65">
              <w:rPr>
                <w:b/>
                <w:bCs/>
                <w:i/>
                <w:iCs/>
              </w:rPr>
              <w:t>s</w:t>
            </w:r>
            <w:r>
              <w:rPr>
                <w:b/>
                <w:bCs/>
                <w:i/>
                <w:iCs/>
              </w:rPr>
              <w:t xml:space="preserve"> for beneficiaries</w:t>
            </w:r>
          </w:p>
          <w:p w14:paraId="7729E4ED" w14:textId="49BECFB2" w:rsidR="0062657E" w:rsidRDefault="00C83C38" w:rsidP="00431CA7">
            <w:r>
              <w:t>The amount that beneficiaries can earn before their benefit reduces has declined substantially over time</w:t>
            </w:r>
            <w:r w:rsidR="00166888">
              <w:t xml:space="preserve"> as benefit abatement thresholds have not been increased in line with wage growth</w:t>
            </w:r>
            <w:r>
              <w:t>. This has reduced financial incentives to enter the labour market and to work part-time for people receiving benefits.</w:t>
            </w:r>
            <w:r w:rsidR="00417554">
              <w:t xml:space="preserve"> For example, a person receiving Jobseeker Support in 1997 could work around 11.4 hours on minimum wage before their benefit abated; in 2019, this has reduced to around 4.5 hours on minimum wage. </w:t>
            </w:r>
          </w:p>
          <w:p w14:paraId="31CE98AB" w14:textId="33A9A736" w:rsidR="00AD4D19" w:rsidRPr="00AD4D19" w:rsidRDefault="002037A6" w:rsidP="00431CA7">
            <w:pPr>
              <w:rPr>
                <w:b/>
                <w:bCs/>
                <w:i/>
                <w:iCs/>
              </w:rPr>
            </w:pPr>
            <w:r>
              <w:rPr>
                <w:b/>
                <w:bCs/>
                <w:i/>
                <w:iCs/>
              </w:rPr>
              <w:t>There are trade-offs in making consequential a</w:t>
            </w:r>
            <w:r w:rsidR="00AD4D19">
              <w:rPr>
                <w:b/>
                <w:bCs/>
                <w:i/>
                <w:iCs/>
              </w:rPr>
              <w:t>djustments to the Minimum Family Tax Credit</w:t>
            </w:r>
          </w:p>
          <w:p w14:paraId="1EB305F4" w14:textId="4A9444AE" w:rsidR="00BC34F5" w:rsidRDefault="00BC34F5" w:rsidP="00E6206E">
            <w:r w:rsidRPr="00F40461">
              <w:t xml:space="preserve">Under current policy, the </w:t>
            </w:r>
            <w:r w:rsidR="00BC1D76">
              <w:t xml:space="preserve">Minimum Family Tax Credit (MFTC) </w:t>
            </w:r>
            <w:r w:rsidRPr="00F40461">
              <w:t>threshold</w:t>
            </w:r>
            <w:r w:rsidR="00073D97">
              <w:t xml:space="preserve">s are adjusted annually </w:t>
            </w:r>
            <w:r w:rsidRPr="00F40461">
              <w:t xml:space="preserve">to account for </w:t>
            </w:r>
            <w:r>
              <w:t>changes</w:t>
            </w:r>
            <w:r w:rsidR="00007335">
              <w:t xml:space="preserve"> to</w:t>
            </w:r>
            <w:r w:rsidR="00073D97">
              <w:t xml:space="preserve"> relevant settings, such as changes to</w:t>
            </w:r>
            <w:r>
              <w:t xml:space="preserve"> benefit rates</w:t>
            </w:r>
            <w:r w:rsidR="00073D97">
              <w:t>,</w:t>
            </w:r>
            <w:r>
              <w:t xml:space="preserve"> abatement threshold</w:t>
            </w:r>
            <w:r w:rsidR="00073D97">
              <w:t>s and the minimum wage</w:t>
            </w:r>
            <w:r>
              <w:t>.</w:t>
            </w:r>
          </w:p>
          <w:p w14:paraId="0E18BDE0" w14:textId="61BA6F46" w:rsidR="001A11EA" w:rsidRDefault="001A11EA" w:rsidP="00CB1612">
            <w:pPr>
              <w:spacing w:after="0" w:line="276" w:lineRule="auto"/>
              <w:jc w:val="both"/>
            </w:pPr>
            <w:r>
              <w:lastRenderedPageBreak/>
              <w:t xml:space="preserve">The MFTC threshold for 2020/21 was not adjusted to reflect the $25 benefit rate increase made on 1 April 2020 in response to COVID-19 due to </w:t>
            </w:r>
            <w:r w:rsidR="00B82D36">
              <w:t>time constraints at the time.</w:t>
            </w:r>
            <w:r w:rsidR="009C467C">
              <w:t xml:space="preserve"> </w:t>
            </w:r>
            <w:r w:rsidR="00CB1612" w:rsidRPr="00F40461">
              <w:t xml:space="preserve">This has resulted in the current MFTC threshold being misaligned with the current benefit rate. </w:t>
            </w:r>
          </w:p>
          <w:p w14:paraId="309F3AA7" w14:textId="77777777" w:rsidR="00BC1D76" w:rsidRDefault="00BC1D76" w:rsidP="00CB1612">
            <w:pPr>
              <w:spacing w:after="0" w:line="276" w:lineRule="auto"/>
              <w:jc w:val="both"/>
            </w:pPr>
          </w:p>
          <w:p w14:paraId="1D4051EF" w14:textId="2E4F079C" w:rsidR="00BC1D76" w:rsidRPr="004B1A93" w:rsidRDefault="00BC1D76" w:rsidP="004B1A93">
            <w:r>
              <w:t>Increasing main benefit abatement thresholds on 1 April 2021 has flow-on implications for the MFTC threshold in 2021/22 and subsequent tax years. To maintain financial incentives provided by</w:t>
            </w:r>
            <w:r w:rsidR="006B3CC4">
              <w:t xml:space="preserve"> the</w:t>
            </w:r>
            <w:r>
              <w:t xml:space="preserve"> MFTC for families with children to enter work, </w:t>
            </w:r>
            <w:r w:rsidR="00007335">
              <w:t xml:space="preserve">the </w:t>
            </w:r>
            <w:r>
              <w:t>MFTC threshold for 2021/22 requires adjustments alongside abatement threshold increases under current policy. However, given the proposed increases to the abatement thresholds are significant, the adjustment required for</w:t>
            </w:r>
            <w:r w:rsidR="006B3CC4">
              <w:t xml:space="preserve"> the</w:t>
            </w:r>
            <w:r>
              <w:t xml:space="preserve"> MFTC to align would be much higher than previous adjustments. This may exacerbate known issues with </w:t>
            </w:r>
            <w:r w:rsidR="006B3CC4">
              <w:t xml:space="preserve">the </w:t>
            </w:r>
            <w:r>
              <w:t>MFTC</w:t>
            </w:r>
            <w:r w:rsidR="00007335">
              <w:t xml:space="preserve">, </w:t>
            </w:r>
            <w:r>
              <w:t>mainly reducing financial incentive for sole parents to work more than the minimum hours required</w:t>
            </w:r>
            <w:r w:rsidR="00007335">
              <w:t xml:space="preserve">. It </w:t>
            </w:r>
            <w:r>
              <w:t xml:space="preserve">may </w:t>
            </w:r>
            <w:r w:rsidR="00007335">
              <w:t xml:space="preserve">also </w:t>
            </w:r>
            <w:r w:rsidR="00C623DE">
              <w:t xml:space="preserve">increase the cost of </w:t>
            </w:r>
            <w:r>
              <w:t xml:space="preserve">options </w:t>
            </w:r>
            <w:r w:rsidR="006A219D" w:rsidRPr="00744387">
              <w:rPr>
                <w:color w:val="BFBFBF" w:themeColor="background1" w:themeShade="BF"/>
                <w:shd w:val="clear" w:color="auto" w:fill="BFBFBF" w:themeFill="background1" w:themeFillShade="BF"/>
              </w:rPr>
              <w:t>.</w:t>
            </w:r>
            <w:r w:rsidR="006A219D" w:rsidRPr="00744387">
              <w:rPr>
                <w:shd w:val="clear" w:color="auto" w:fill="BFBFBF" w:themeFill="background1" w:themeFillShade="BF"/>
              </w:rPr>
              <w:t>s 9(2)(f)(iv)</w:t>
            </w:r>
            <w:proofErr w:type="gramStart"/>
            <w:r w:rsidR="006A219D" w:rsidRPr="00744387">
              <w:rPr>
                <w:color w:val="BFBFBF" w:themeColor="background1" w:themeShade="BF"/>
                <w:shd w:val="clear" w:color="auto" w:fill="BFBFBF" w:themeFill="background1" w:themeFillShade="BF"/>
              </w:rPr>
              <w:t>…..</w:t>
            </w:r>
            <w:proofErr w:type="gramEnd"/>
            <w:r w:rsidR="006A219D" w:rsidRPr="00744387">
              <w:rPr>
                <w:color w:val="BFBFBF" w:themeColor="background1" w:themeShade="BF"/>
                <w:shd w:val="clear" w:color="auto" w:fill="BFBFBF" w:themeFill="background1" w:themeFillShade="BF"/>
              </w:rPr>
              <w:t>…..…</w:t>
            </w:r>
            <w:r w:rsidR="00C623DE">
              <w:t xml:space="preserve"> in</w:t>
            </w:r>
            <w:r>
              <w:t xml:space="preserve"> the upcoming review of Working for Families.</w:t>
            </w:r>
          </w:p>
        </w:tc>
      </w:tr>
    </w:tbl>
    <w:p w14:paraId="13A2515E" w14:textId="77777777" w:rsidR="0062657E" w:rsidRPr="007B090A" w:rsidRDefault="0062657E" w:rsidP="00AA6A54">
      <w:pPr>
        <w:pStyle w:val="spacer"/>
      </w:pPr>
    </w:p>
    <w:tbl>
      <w:tblPr>
        <w:tblW w:w="9076"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6"/>
      </w:tblGrid>
      <w:tr w:rsidR="0062657E" w:rsidRPr="007B090A" w14:paraId="4769B7FB" w14:textId="77777777" w:rsidTr="00346B30">
        <w:trPr>
          <w:trHeight w:val="585"/>
        </w:trPr>
        <w:tc>
          <w:tcPr>
            <w:tcW w:w="9076" w:type="dxa"/>
            <w:shd w:val="clear" w:color="auto" w:fill="99CDDD"/>
          </w:tcPr>
          <w:p w14:paraId="55184FA6" w14:textId="7A06237B" w:rsidR="0062657E" w:rsidRPr="007B090A" w:rsidRDefault="007B4CEA" w:rsidP="00743278">
            <w:pPr>
              <w:keepNext/>
              <w:keepLines/>
              <w:spacing w:before="60" w:after="60" w:line="276" w:lineRule="auto"/>
              <w:rPr>
                <w:b/>
                <w:szCs w:val="22"/>
              </w:rPr>
            </w:pPr>
            <w:r>
              <w:rPr>
                <w:b/>
                <w:szCs w:val="22"/>
              </w:rPr>
              <w:t>Summary of Preferred Option or Conclusion (if no preferred option)</w:t>
            </w:r>
          </w:p>
          <w:p w14:paraId="20B47E9B" w14:textId="3A85E66B" w:rsidR="0062657E" w:rsidRPr="007B090A" w:rsidRDefault="0062657E" w:rsidP="00743278">
            <w:pPr>
              <w:keepNext/>
              <w:keepLines/>
              <w:spacing w:before="60" w:after="60" w:line="240" w:lineRule="auto"/>
              <w:rPr>
                <w:b/>
                <w:szCs w:val="22"/>
              </w:rPr>
            </w:pPr>
            <w:r w:rsidRPr="007B090A">
              <w:rPr>
                <w:b/>
                <w:szCs w:val="22"/>
              </w:rPr>
              <w:t xml:space="preserve">How will </w:t>
            </w:r>
            <w:r w:rsidR="007B4CEA">
              <w:rPr>
                <w:b/>
                <w:szCs w:val="22"/>
              </w:rPr>
              <w:t>the agency’s preferred approach</w:t>
            </w:r>
            <w:r w:rsidRPr="007B090A">
              <w:rPr>
                <w:b/>
                <w:szCs w:val="22"/>
              </w:rPr>
              <w:t xml:space="preserve"> work to bring about the desired change? </w:t>
            </w:r>
            <w:r w:rsidR="00B96523">
              <w:rPr>
                <w:b/>
                <w:szCs w:val="22"/>
              </w:rPr>
              <w:t xml:space="preserve">Why is this the </w:t>
            </w:r>
            <w:r w:rsidR="00E33E87">
              <w:rPr>
                <w:b/>
                <w:szCs w:val="22"/>
              </w:rPr>
              <w:t>preferred</w:t>
            </w:r>
            <w:r w:rsidR="00B96523">
              <w:rPr>
                <w:b/>
                <w:szCs w:val="22"/>
              </w:rPr>
              <w:t xml:space="preserve"> option? Why is it feasible?</w:t>
            </w:r>
            <w:r w:rsidR="009C6559">
              <w:rPr>
                <w:b/>
                <w:szCs w:val="22"/>
              </w:rPr>
              <w:t xml:space="preserve"> Is the preferred approach likely to be reflected in the Cabinet paper?</w:t>
            </w:r>
          </w:p>
        </w:tc>
      </w:tr>
      <w:tr w:rsidR="0062657E" w:rsidRPr="007B090A" w14:paraId="2C3BA4D9" w14:textId="77777777" w:rsidTr="00346B30">
        <w:trPr>
          <w:trHeight w:val="637"/>
        </w:trPr>
        <w:tc>
          <w:tcPr>
            <w:tcW w:w="9076" w:type="dxa"/>
            <w:shd w:val="clear" w:color="auto" w:fill="FFFFFF"/>
          </w:tcPr>
          <w:p w14:paraId="4A787C48" w14:textId="6131282B" w:rsidR="00AD4D19" w:rsidRPr="00AD4D19" w:rsidRDefault="00AD4D19" w:rsidP="00431CA7">
            <w:pPr>
              <w:rPr>
                <w:b/>
                <w:bCs/>
                <w:i/>
                <w:iCs/>
              </w:rPr>
            </w:pPr>
            <w:r>
              <w:rPr>
                <w:b/>
                <w:bCs/>
                <w:i/>
                <w:iCs/>
              </w:rPr>
              <w:t>Abatement threshold increases</w:t>
            </w:r>
            <w:r w:rsidR="002037A6">
              <w:rPr>
                <w:b/>
                <w:bCs/>
                <w:i/>
                <w:iCs/>
              </w:rPr>
              <w:t xml:space="preserve"> will improve financial work incentives</w:t>
            </w:r>
          </w:p>
          <w:p w14:paraId="230F51E2" w14:textId="233FF058" w:rsidR="0062657E" w:rsidRDefault="00166888" w:rsidP="00431CA7">
            <w:r>
              <w:t>Increasing benefit abatement thresholds to $160 and $250 per week increases the number of hours a beneficiary can work before their benefit begins to reduce. This will improve the financial incentives to enter the labour market and work part-time for people receiving benefits.</w:t>
            </w:r>
            <w:r w:rsidR="00F014F9">
              <w:t xml:space="preserve"> Part-time work can provide a pathway to full-time work by providing opportunities to connect with the labour market, get work experience and become familiar with the demands that can come with employment. </w:t>
            </w:r>
          </w:p>
          <w:p w14:paraId="49683A65" w14:textId="7327F267" w:rsidR="00AD4D19" w:rsidRPr="00AD4D19" w:rsidRDefault="002037A6" w:rsidP="00431CA7">
            <w:pPr>
              <w:rPr>
                <w:b/>
                <w:bCs/>
                <w:i/>
                <w:iCs/>
              </w:rPr>
            </w:pPr>
            <w:r>
              <w:rPr>
                <w:b/>
                <w:bCs/>
                <w:i/>
                <w:iCs/>
              </w:rPr>
              <w:t xml:space="preserve">There are different agency views on </w:t>
            </w:r>
            <w:proofErr w:type="gramStart"/>
            <w:r>
              <w:rPr>
                <w:b/>
                <w:bCs/>
                <w:i/>
                <w:iCs/>
              </w:rPr>
              <w:t>making adjustments to</w:t>
            </w:r>
            <w:proofErr w:type="gramEnd"/>
            <w:r>
              <w:rPr>
                <w:b/>
                <w:bCs/>
                <w:i/>
                <w:iCs/>
              </w:rPr>
              <w:t xml:space="preserve"> the Minimum Family Tax Credit</w:t>
            </w:r>
          </w:p>
          <w:p w14:paraId="43F9AF8E" w14:textId="003DC2BB" w:rsidR="00EF1586" w:rsidRDefault="00EF1586" w:rsidP="00EF1586">
            <w:r w:rsidRPr="000D6789">
              <w:t xml:space="preserve">Under current policy, changes to benefit </w:t>
            </w:r>
            <w:r w:rsidR="00DB28F7">
              <w:t>settings</w:t>
            </w:r>
            <w:r w:rsidR="00DB28F7" w:rsidRPr="000D6789">
              <w:t xml:space="preserve"> </w:t>
            </w:r>
            <w:r w:rsidR="00DB28F7">
              <w:t xml:space="preserve">would </w:t>
            </w:r>
            <w:r w:rsidR="002037A6">
              <w:t>lead to</w:t>
            </w:r>
            <w:r w:rsidR="004B1A9E">
              <w:t xml:space="preserve"> an</w:t>
            </w:r>
            <w:r w:rsidR="002037A6">
              <w:t xml:space="preserve"> </w:t>
            </w:r>
            <w:r w:rsidRPr="000D6789">
              <w:t>adjustment of the MFTC threshold to ensure the financial work incentives provided by the MFTC are maintained. However, given the extent of</w:t>
            </w:r>
            <w:r w:rsidR="00EC6811">
              <w:t xml:space="preserve"> the</w:t>
            </w:r>
            <w:r w:rsidRPr="000D6789">
              <w:t xml:space="preserve"> recent and proposed benefit changes, </w:t>
            </w:r>
            <w:r w:rsidR="007E4E50">
              <w:t>full adjustment of the MFTC incurs significant fiscal costs</w:t>
            </w:r>
            <w:r w:rsidRPr="000D6789">
              <w:t xml:space="preserve">. Additionally, a significant increase to the MFTC threshold may increase the </w:t>
            </w:r>
            <w:r w:rsidR="007E4E50">
              <w:t>cost</w:t>
            </w:r>
            <w:r w:rsidR="007E4E50" w:rsidRPr="000D6789">
              <w:t xml:space="preserve"> </w:t>
            </w:r>
            <w:r w:rsidRPr="000D6789">
              <w:t>of</w:t>
            </w:r>
            <w:r w:rsidR="007E4E50">
              <w:t xml:space="preserve"> options </w:t>
            </w:r>
            <w:r w:rsidR="00744387" w:rsidRPr="00744387">
              <w:rPr>
                <w:color w:val="BFBFBF" w:themeColor="background1" w:themeShade="BF"/>
                <w:shd w:val="clear" w:color="auto" w:fill="BFBFBF" w:themeFill="background1" w:themeFillShade="BF"/>
              </w:rPr>
              <w:t>.</w:t>
            </w:r>
            <w:r w:rsidR="00744387" w:rsidRPr="00744387">
              <w:rPr>
                <w:shd w:val="clear" w:color="auto" w:fill="BFBFBF" w:themeFill="background1" w:themeFillShade="BF"/>
              </w:rPr>
              <w:t>s 9(2)(f)(iv)</w:t>
            </w:r>
            <w:r w:rsidR="00744387" w:rsidRPr="00744387">
              <w:rPr>
                <w:color w:val="BFBFBF" w:themeColor="background1" w:themeShade="BF"/>
                <w:shd w:val="clear" w:color="auto" w:fill="BFBFBF" w:themeFill="background1" w:themeFillShade="BF"/>
              </w:rPr>
              <w:t>...………</w:t>
            </w:r>
            <w:r w:rsidR="007E4E50">
              <w:t xml:space="preserve"> as part of the upcoming</w:t>
            </w:r>
            <w:r w:rsidRPr="000D6789">
              <w:t xml:space="preserve"> review of </w:t>
            </w:r>
            <w:r w:rsidR="000D6789" w:rsidRPr="000D6789">
              <w:t>Working for Families</w:t>
            </w:r>
            <w:r w:rsidR="00004EE1">
              <w:t xml:space="preserve"> (WFF)</w:t>
            </w:r>
            <w:r w:rsidRPr="000D6789">
              <w:t xml:space="preserve">. </w:t>
            </w:r>
          </w:p>
          <w:p w14:paraId="1C953762" w14:textId="58213019" w:rsidR="002037A6" w:rsidRDefault="002037A6" w:rsidP="00EF1586">
            <w:r>
              <w:rPr>
                <w:i/>
                <w:iCs/>
              </w:rPr>
              <w:t>2020/21 MFTC threshold</w:t>
            </w:r>
            <w:r w:rsidR="004B1A9E">
              <w:rPr>
                <w:i/>
                <w:iCs/>
              </w:rPr>
              <w:t xml:space="preserve"> adjustment</w:t>
            </w:r>
          </w:p>
          <w:p w14:paraId="0D9A493C" w14:textId="2D7D8522" w:rsidR="00032E3A" w:rsidRDefault="00032E3A" w:rsidP="00EF1586">
            <w:r>
              <w:t>Retrospectively adjusting the 2020/21 MFTC threshold to</w:t>
            </w:r>
            <w:r w:rsidR="00A12387">
              <w:t xml:space="preserve"> reflect the increases to main benefits </w:t>
            </w:r>
            <w:r w:rsidR="008A4F65">
              <w:t>that came into effect</w:t>
            </w:r>
            <w:r w:rsidR="00A12387">
              <w:t xml:space="preserve"> on 1 April 2020 means</w:t>
            </w:r>
            <w:r w:rsidR="008A4F65">
              <w:t xml:space="preserve"> the</w:t>
            </w:r>
            <w:r w:rsidR="00A12387">
              <w:t xml:space="preserve"> work incentives provided by the MFTC will be maintained for the 2020/21 tax year. This ensures that </w:t>
            </w:r>
            <w:r w:rsidR="00A12387" w:rsidRPr="001C7D23">
              <w:t xml:space="preserve">low-income families with children (both sole parents and two parent families) are better off in work </w:t>
            </w:r>
            <w:r w:rsidR="00A12387">
              <w:t xml:space="preserve">and receiving the MFTC </w:t>
            </w:r>
            <w:r w:rsidR="00A12387" w:rsidRPr="001C7D23">
              <w:t>than</w:t>
            </w:r>
            <w:r w:rsidR="00A12387">
              <w:t xml:space="preserve"> working and receiving</w:t>
            </w:r>
            <w:r w:rsidR="00A12387" w:rsidRPr="001C7D23">
              <w:t xml:space="preserve"> the benefit</w:t>
            </w:r>
            <w:r w:rsidR="00A12387">
              <w:t>.</w:t>
            </w:r>
          </w:p>
          <w:p w14:paraId="57401547" w14:textId="27B974B7" w:rsidR="00A12387" w:rsidRDefault="00A12387" w:rsidP="00EF1586">
            <w:r>
              <w:t>Note that on 30 November 2020, Cabinet agreed to retrospectively increase the 2020/21 MFTC threshold to $29,432</w:t>
            </w:r>
            <w:r w:rsidR="008A4F65">
              <w:t xml:space="preserve"> from 1 April 2020</w:t>
            </w:r>
            <w:r>
              <w:t xml:space="preserve"> to reflect the increase</w:t>
            </w:r>
            <w:r w:rsidR="008A4F65">
              <w:t>s</w:t>
            </w:r>
            <w:r>
              <w:t xml:space="preserve"> to main benefits </w:t>
            </w:r>
            <w:r w:rsidR="008A4F65">
              <w:t>that came into effect</w:t>
            </w:r>
            <w:r>
              <w:t xml:space="preserve"> on 1 April 2020 [CAB-20-MIN-0490 refers]. </w:t>
            </w:r>
          </w:p>
          <w:p w14:paraId="10BF6800" w14:textId="77777777" w:rsidR="00F9188A" w:rsidRDefault="00F9188A" w:rsidP="00EF1586"/>
          <w:p w14:paraId="76E936BB" w14:textId="1453A7FF" w:rsidR="004B1A9E" w:rsidRPr="00C83610" w:rsidRDefault="004B1A9E" w:rsidP="00EF1586">
            <w:pPr>
              <w:rPr>
                <w:i/>
                <w:iCs/>
              </w:rPr>
            </w:pPr>
            <w:r>
              <w:rPr>
                <w:i/>
                <w:iCs/>
              </w:rPr>
              <w:lastRenderedPageBreak/>
              <w:t>2021/22 MFTC threshold adjustment</w:t>
            </w:r>
          </w:p>
          <w:p w14:paraId="5CD0BD6A" w14:textId="09E5A952" w:rsidR="00EF1586" w:rsidRPr="001C7D23" w:rsidRDefault="000D6789" w:rsidP="00EF1586">
            <w:r w:rsidRPr="00875D49">
              <w:t>Inland Revenue (IR)</w:t>
            </w:r>
            <w:r w:rsidR="003C2735">
              <w:t>,</w:t>
            </w:r>
            <w:r w:rsidR="00340510">
              <w:t xml:space="preserve"> </w:t>
            </w:r>
            <w:r w:rsidRPr="00875D49">
              <w:t>Ministry of Social Development</w:t>
            </w:r>
            <w:r w:rsidR="00EF1586" w:rsidRPr="00875D49">
              <w:t xml:space="preserve"> </w:t>
            </w:r>
            <w:r w:rsidRPr="00875D49">
              <w:t>(MSD)</w:t>
            </w:r>
            <w:r w:rsidR="003C2735">
              <w:t xml:space="preserve"> and the Treasury</w:t>
            </w:r>
            <w:r w:rsidRPr="00875D49">
              <w:t xml:space="preserve"> have</w:t>
            </w:r>
            <w:r w:rsidR="00EF1586" w:rsidRPr="00875D49">
              <w:t xml:space="preserve"> differing views on the most appropriate options relating to the alignment of the MFTC </w:t>
            </w:r>
            <w:r w:rsidR="00EF1586" w:rsidRPr="001C7D23">
              <w:t>threshold</w:t>
            </w:r>
            <w:r w:rsidRPr="001C7D23">
              <w:t>:</w:t>
            </w:r>
            <w:r w:rsidR="00EF1586" w:rsidRPr="001C7D23">
              <w:t xml:space="preserve"> </w:t>
            </w:r>
          </w:p>
          <w:p w14:paraId="78A92462" w14:textId="6F8A5BB3" w:rsidR="00DF0C1D" w:rsidRDefault="00EF1586" w:rsidP="00B52920">
            <w:pPr>
              <w:pStyle w:val="ListParagraph"/>
              <w:numPr>
                <w:ilvl w:val="0"/>
                <w:numId w:val="13"/>
              </w:numPr>
              <w:ind w:left="714" w:hanging="357"/>
              <w:contextualSpacing w:val="0"/>
            </w:pPr>
            <w:r w:rsidRPr="00C83610">
              <w:rPr>
                <w:u w:val="single"/>
              </w:rPr>
              <w:t xml:space="preserve">MSD prefers </w:t>
            </w:r>
            <w:r w:rsidR="00875D49" w:rsidRPr="00C83610">
              <w:rPr>
                <w:u w:val="single"/>
              </w:rPr>
              <w:t>the partial prospective alignment option</w:t>
            </w:r>
            <w:r w:rsidR="00875D49" w:rsidRPr="00081DCF">
              <w:t>.</w:t>
            </w:r>
            <w:r w:rsidR="004B1A9E">
              <w:t xml:space="preserve"> </w:t>
            </w:r>
            <w:r w:rsidR="004B1A9E">
              <w:rPr>
                <w:b/>
                <w:bCs/>
              </w:rPr>
              <w:t>This is the proposed option in the Cabinet paper.</w:t>
            </w:r>
            <w:r w:rsidR="00875D49" w:rsidRPr="00081DCF">
              <w:t xml:space="preserve"> MSD</w:t>
            </w:r>
            <w:r w:rsidR="00875D49" w:rsidRPr="001C7D23">
              <w:t xml:space="preserve"> considers that a partial prospective alignment maintains the work incentives MFTC provides to the majority of MFTC recipients (</w:t>
            </w:r>
            <w:proofErr w:type="spellStart"/>
            <w:r w:rsidR="00875D49" w:rsidRPr="001C7D23">
              <w:t>ie</w:t>
            </w:r>
            <w:proofErr w:type="spellEnd"/>
            <w:r w:rsidR="00875D49" w:rsidRPr="001C7D23">
              <w:t>, sole parents), but at a significantly lower fiscal cost than full alignment. MSD notes that fully aligning the MFTC threshold may exacerbate existing MFTC issues such as high Effective Marginal Tax Rates (EMTRs)</w:t>
            </w:r>
            <w:r w:rsidR="00875D49" w:rsidRPr="001C7D23">
              <w:rPr>
                <w:rStyle w:val="FootnoteReference"/>
              </w:rPr>
              <w:footnoteReference w:id="1"/>
            </w:r>
            <w:r w:rsidR="00875D49" w:rsidRPr="001C7D23">
              <w:t xml:space="preserve">. </w:t>
            </w:r>
            <w:r w:rsidR="00DF0C1D" w:rsidRPr="00AB2207">
              <w:t xml:space="preserve">MSD considers </w:t>
            </w:r>
            <w:r w:rsidR="00DF0C1D">
              <w:t xml:space="preserve">partially </w:t>
            </w:r>
            <w:r w:rsidR="00DF0C1D" w:rsidRPr="00AB2207">
              <w:t xml:space="preserve">aligning the MFTC threshold would increase the cost </w:t>
            </w:r>
            <w:r w:rsidR="007E4E50">
              <w:t xml:space="preserve">of options </w:t>
            </w:r>
            <w:r w:rsidR="00744387" w:rsidRPr="00744387">
              <w:rPr>
                <w:color w:val="BFBFBF" w:themeColor="background1" w:themeShade="BF"/>
                <w:shd w:val="clear" w:color="auto" w:fill="BFBFBF" w:themeFill="background1" w:themeFillShade="BF"/>
              </w:rPr>
              <w:t>.</w:t>
            </w:r>
            <w:r w:rsidR="00744387" w:rsidRPr="00744387">
              <w:rPr>
                <w:shd w:val="clear" w:color="auto" w:fill="BFBFBF" w:themeFill="background1" w:themeFillShade="BF"/>
              </w:rPr>
              <w:t>s 9(2)(f)(iv)</w:t>
            </w:r>
            <w:r w:rsidR="00744387" w:rsidRPr="00744387">
              <w:rPr>
                <w:color w:val="BFBFBF" w:themeColor="background1" w:themeShade="BF"/>
                <w:shd w:val="clear" w:color="auto" w:fill="BFBFBF" w:themeFill="background1" w:themeFillShade="BF"/>
              </w:rPr>
              <w:t>.…</w:t>
            </w:r>
            <w:r w:rsidR="00744387">
              <w:br/>
            </w:r>
            <w:r w:rsidR="00744387" w:rsidRPr="00744387">
              <w:rPr>
                <w:color w:val="BFBFBF" w:themeColor="background1" w:themeShade="BF"/>
                <w:shd w:val="clear" w:color="auto" w:fill="BFBFBF" w:themeFill="background1" w:themeFillShade="BF"/>
              </w:rPr>
              <w:t>…</w:t>
            </w:r>
            <w:proofErr w:type="gramStart"/>
            <w:r w:rsidR="00744387" w:rsidRPr="00744387">
              <w:rPr>
                <w:color w:val="BFBFBF" w:themeColor="background1" w:themeShade="BF"/>
                <w:shd w:val="clear" w:color="auto" w:fill="BFBFBF" w:themeFill="background1" w:themeFillShade="BF"/>
              </w:rPr>
              <w:t>…..</w:t>
            </w:r>
            <w:proofErr w:type="gramEnd"/>
            <w:r w:rsidR="007E4E50">
              <w:t xml:space="preserve"> as part of the upcoming</w:t>
            </w:r>
            <w:r w:rsidR="00DF0C1D" w:rsidRPr="00AB2207">
              <w:t xml:space="preserve"> WFF review, particularly if there is a desire to avoid people being financially disadvantaged</w:t>
            </w:r>
            <w:r w:rsidR="004B1A9E">
              <w:t xml:space="preserve"> by future changes</w:t>
            </w:r>
            <w:r w:rsidR="00DF0C1D" w:rsidRPr="00AB2207">
              <w:t xml:space="preserve">. However, these effects will be less </w:t>
            </w:r>
            <w:r w:rsidR="00DF0C1D">
              <w:t>than under full alignment</w:t>
            </w:r>
            <w:r w:rsidR="00DF0C1D" w:rsidRPr="00AB2207">
              <w:t>.</w:t>
            </w:r>
          </w:p>
          <w:p w14:paraId="002A4BD3" w14:textId="77777777" w:rsidR="00340510" w:rsidRPr="003C2735" w:rsidRDefault="00605EE7" w:rsidP="00C83610">
            <w:pPr>
              <w:pStyle w:val="ListParagraph"/>
              <w:numPr>
                <w:ilvl w:val="0"/>
                <w:numId w:val="13"/>
              </w:numPr>
              <w:ind w:left="714" w:hanging="357"/>
              <w:contextualSpacing w:val="0"/>
              <w:rPr>
                <w:b/>
                <w:bCs/>
              </w:rPr>
            </w:pPr>
            <w:r w:rsidRPr="00C83610">
              <w:rPr>
                <w:u w:val="single"/>
              </w:rPr>
              <w:t xml:space="preserve">IR prefers the full </w:t>
            </w:r>
            <w:r w:rsidR="004B1A9E" w:rsidRPr="00C83610">
              <w:rPr>
                <w:u w:val="single"/>
              </w:rPr>
              <w:t xml:space="preserve">prospective </w:t>
            </w:r>
            <w:r w:rsidRPr="00C83610">
              <w:rPr>
                <w:u w:val="single"/>
              </w:rPr>
              <w:t xml:space="preserve">alignment </w:t>
            </w:r>
            <w:r w:rsidR="004B1A9E">
              <w:rPr>
                <w:u w:val="single"/>
              </w:rPr>
              <w:t>option</w:t>
            </w:r>
            <w:r w:rsidRPr="001C7D23">
              <w:t xml:space="preserve">. </w:t>
            </w:r>
            <w:r>
              <w:t>Although</w:t>
            </w:r>
            <w:r w:rsidRPr="001C7D23">
              <w:t xml:space="preserve"> the fiscal cost of full alignment</w:t>
            </w:r>
            <w:r>
              <w:t xml:space="preserve"> is greater than under other options</w:t>
            </w:r>
            <w:r w:rsidRPr="001C7D23">
              <w:t xml:space="preserve">, IR considers it necessary to maintain the work incentives provided by the MFTC, ensuring low-income families with children (both sole parents and two parent families) are better off in work </w:t>
            </w:r>
            <w:r w:rsidR="007E4E50">
              <w:t xml:space="preserve">and receiving the MFTC </w:t>
            </w:r>
            <w:r w:rsidRPr="001C7D23">
              <w:t>than</w:t>
            </w:r>
            <w:r w:rsidR="002921B1">
              <w:t xml:space="preserve"> working and receiving</w:t>
            </w:r>
            <w:r w:rsidRPr="001C7D23">
              <w:t xml:space="preserve"> the benefit. </w:t>
            </w:r>
            <w:r w:rsidRPr="00AB2207">
              <w:t xml:space="preserve">IR does not consider the potential effects of aligning the MFTC threshold on any future WFF review to be a significant enough issue to warrant </w:t>
            </w:r>
            <w:r w:rsidR="002921B1">
              <w:t>reducing</w:t>
            </w:r>
            <w:r w:rsidR="002921B1" w:rsidRPr="00AB2207">
              <w:t xml:space="preserve"> </w:t>
            </w:r>
            <w:r w:rsidRPr="00AB2207">
              <w:t>the work incentives currently provided by the MFTC.</w:t>
            </w:r>
            <w:r w:rsidRPr="001C7D23">
              <w:t xml:space="preserve"> </w:t>
            </w:r>
          </w:p>
          <w:p w14:paraId="6A5D670C" w14:textId="77777777" w:rsidR="00744387" w:rsidRDefault="002F2AC5" w:rsidP="00135FF1">
            <w:pPr>
              <w:pStyle w:val="ListParagraph"/>
              <w:numPr>
                <w:ilvl w:val="0"/>
                <w:numId w:val="13"/>
              </w:numPr>
              <w:spacing w:after="0"/>
              <w:ind w:left="714" w:hanging="357"/>
              <w:contextualSpacing w:val="0"/>
            </w:pPr>
            <w:r w:rsidRPr="002F2AC5">
              <w:t>In advice to Ministers, the Treasury recommended the no prospective alignment option due to the tight fiscal environment. The Treasury also did not consider that the policy decision [to align the MFTC threshold with benefit rates] meets the threshold to be progressed as a Budget pre-commitment. While the Treasury acknowledged that it was likely to introduce greater complexity for clients, the Treasury did not agree that these adverse effects were sufficient to justify funding</w:t>
            </w:r>
          </w:p>
          <w:p w14:paraId="1DC51176" w14:textId="7F5EF8E9" w:rsidR="003C2735" w:rsidRPr="002F2AC5" w:rsidRDefault="002F2AC5" w:rsidP="00135FF1">
            <w:pPr>
              <w:spacing w:line="240" w:lineRule="auto"/>
              <w:ind w:left="765"/>
            </w:pPr>
            <w:r w:rsidRPr="002F2AC5">
              <w:t xml:space="preserve">the initiative ahead of the Budget process given the tight fiscal environment.  </w:t>
            </w:r>
            <w:r w:rsidR="00744387" w:rsidRPr="00744387">
              <w:rPr>
                <w:color w:val="BFBFBF" w:themeColor="background1" w:themeShade="BF"/>
                <w:shd w:val="clear" w:color="auto" w:fill="BFBFBF" w:themeFill="background1" w:themeFillShade="BF"/>
              </w:rPr>
              <w:t>……</w:t>
            </w:r>
            <w:r w:rsidR="00744387">
              <w:rPr>
                <w:color w:val="BFBFBF" w:themeColor="background1" w:themeShade="BF"/>
                <w:shd w:val="clear" w:color="auto" w:fill="BFBFBF" w:themeFill="background1" w:themeFillShade="BF"/>
              </w:rPr>
              <w:t>.</w:t>
            </w:r>
            <w:r w:rsidR="00744387">
              <w:rPr>
                <w:color w:val="BFBFBF" w:themeColor="background1" w:themeShade="BF"/>
                <w:shd w:val="clear" w:color="auto" w:fill="BFBFBF" w:themeFill="background1" w:themeFillShade="BF"/>
              </w:rPr>
              <w:br/>
            </w:r>
            <w:r w:rsidR="00744387" w:rsidRPr="00744387">
              <w:rPr>
                <w:color w:val="BFBFBF" w:themeColor="background1" w:themeShade="BF"/>
                <w:shd w:val="clear" w:color="auto" w:fill="BFBFBF" w:themeFill="background1" w:themeFillShade="BF"/>
              </w:rPr>
              <w:t>.</w:t>
            </w:r>
            <w:r w:rsidR="00744387" w:rsidRPr="00744387">
              <w:rPr>
                <w:shd w:val="clear" w:color="auto" w:fill="BFBFBF" w:themeFill="background1" w:themeFillShade="BF"/>
              </w:rPr>
              <w:t>s 9(2)(f)(iv)</w:t>
            </w:r>
            <w:r w:rsidR="00744387" w:rsidRPr="00744387">
              <w:rPr>
                <w:color w:val="BFBFBF" w:themeColor="background1" w:themeShade="BF"/>
                <w:shd w:val="clear" w:color="auto" w:fill="BFBFBF" w:themeFill="background1" w:themeFillShade="BF"/>
              </w:rPr>
              <w:t>……</w:t>
            </w:r>
            <w:r w:rsidR="00744387">
              <w:rPr>
                <w:color w:val="BFBFBF" w:themeColor="background1" w:themeShade="BF"/>
                <w:shd w:val="clear" w:color="auto" w:fill="BFBFBF" w:themeFill="background1" w:themeFillShade="BF"/>
              </w:rPr>
              <w:t>.</w:t>
            </w:r>
            <w:r w:rsidR="00744387" w:rsidRPr="00744387">
              <w:rPr>
                <w:color w:val="BFBFBF" w:themeColor="background1" w:themeShade="BF"/>
                <w:shd w:val="clear" w:color="auto" w:fill="BFBFBF" w:themeFill="background1" w:themeFillShade="BF"/>
              </w:rPr>
              <w:t>…………………………………………………………………………...</w:t>
            </w:r>
            <w:r w:rsidR="00744387" w:rsidRPr="00744387">
              <w:rPr>
                <w:color w:val="BFBFBF" w:themeColor="background1" w:themeShade="BF"/>
                <w:shd w:val="clear" w:color="auto" w:fill="BFBFBF" w:themeFill="background1" w:themeFillShade="BF"/>
              </w:rPr>
              <w:br/>
              <w:t>……………………</w:t>
            </w:r>
            <w:r w:rsidR="00744387">
              <w:rPr>
                <w:color w:val="BFBFBF" w:themeColor="background1" w:themeShade="BF"/>
                <w:shd w:val="clear" w:color="auto" w:fill="BFBFBF" w:themeFill="background1" w:themeFillShade="BF"/>
              </w:rPr>
              <w:t>.</w:t>
            </w:r>
            <w:r w:rsidR="00744387" w:rsidRPr="00744387">
              <w:rPr>
                <w:color w:val="BFBFBF" w:themeColor="background1" w:themeShade="BF"/>
                <w:shd w:val="clear" w:color="auto" w:fill="BFBFBF" w:themeFill="background1" w:themeFillShade="BF"/>
              </w:rPr>
              <w:t>…………………………………………………………………………</w:t>
            </w:r>
          </w:p>
        </w:tc>
      </w:tr>
    </w:tbl>
    <w:p w14:paraId="40ADE79B" w14:textId="4A0F6DC3" w:rsidR="0062657E" w:rsidRPr="00B2239E" w:rsidRDefault="0062657E" w:rsidP="00AF2098">
      <w:pPr>
        <w:pStyle w:val="Heading2"/>
      </w:pPr>
      <w:r w:rsidRPr="00B2239E">
        <w:lastRenderedPageBreak/>
        <w:t>Section B</w:t>
      </w:r>
      <w:r w:rsidR="00B2239E">
        <w:t xml:space="preserve">: </w:t>
      </w:r>
      <w:r w:rsidRPr="00B2239E">
        <w:t xml:space="preserve">Summary Impacts: Benefits and costs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5494C4FF" w14:textId="77777777" w:rsidTr="00346B30">
        <w:trPr>
          <w:trHeight w:val="197"/>
        </w:trPr>
        <w:tc>
          <w:tcPr>
            <w:tcW w:w="9072" w:type="dxa"/>
            <w:shd w:val="clear" w:color="auto" w:fill="99CDDD"/>
          </w:tcPr>
          <w:p w14:paraId="6A9AED76" w14:textId="02E66F4B" w:rsidR="0062657E" w:rsidRPr="00210C3D" w:rsidRDefault="0062657E" w:rsidP="006356D0">
            <w:pPr>
              <w:keepNext/>
              <w:spacing w:before="60" w:after="60" w:line="240" w:lineRule="auto"/>
              <w:rPr>
                <w:rFonts w:ascii="Arial Narrow" w:hAnsi="Arial Narrow"/>
                <w:b/>
                <w:i/>
                <w:szCs w:val="22"/>
              </w:rPr>
            </w:pPr>
            <w:r w:rsidRPr="00210C3D">
              <w:rPr>
                <w:b/>
                <w:szCs w:val="22"/>
              </w:rPr>
              <w:t>Who are the main expected beneficiaries</w:t>
            </w:r>
            <w:r w:rsidR="006C684F">
              <w:rPr>
                <w:b/>
                <w:szCs w:val="22"/>
              </w:rPr>
              <w:t xml:space="preserve"> </w:t>
            </w:r>
            <w:r w:rsidRPr="00210C3D">
              <w:rPr>
                <w:b/>
                <w:szCs w:val="22"/>
              </w:rPr>
              <w:t>and what is the nature of the expected benefit?</w:t>
            </w:r>
          </w:p>
        </w:tc>
      </w:tr>
      <w:tr w:rsidR="00210C3D" w:rsidRPr="00210C3D" w14:paraId="0C81F77E" w14:textId="77777777" w:rsidTr="00346B30">
        <w:tc>
          <w:tcPr>
            <w:tcW w:w="9072" w:type="dxa"/>
            <w:shd w:val="clear" w:color="auto" w:fill="EBF5F8"/>
          </w:tcPr>
          <w:p w14:paraId="6A565183" w14:textId="77777777" w:rsidR="0062657E" w:rsidRPr="00210C3D" w:rsidRDefault="0062657E" w:rsidP="006356D0">
            <w:pPr>
              <w:keepNext/>
              <w:spacing w:before="60" w:after="60" w:line="276" w:lineRule="auto"/>
              <w:rPr>
                <w:i/>
                <w:szCs w:val="22"/>
              </w:rPr>
            </w:pPr>
            <w:r w:rsidRPr="00210C3D">
              <w:rPr>
                <w:i/>
                <w:szCs w:val="22"/>
              </w:rPr>
              <w:t>Monetised and non-monetised benefit</w:t>
            </w:r>
            <w:r w:rsidRPr="00FA7EFC">
              <w:rPr>
                <w:i/>
                <w:szCs w:val="22"/>
                <w:shd w:val="clear" w:color="auto" w:fill="EBF5F8"/>
              </w:rPr>
              <w:t>s</w:t>
            </w:r>
          </w:p>
        </w:tc>
      </w:tr>
      <w:tr w:rsidR="00210C3D" w:rsidRPr="00210C3D" w14:paraId="63E1AEA7" w14:textId="77777777" w:rsidTr="00346B30">
        <w:trPr>
          <w:trHeight w:val="699"/>
        </w:trPr>
        <w:tc>
          <w:tcPr>
            <w:tcW w:w="9072" w:type="dxa"/>
            <w:shd w:val="clear" w:color="auto" w:fill="FFFFFF"/>
          </w:tcPr>
          <w:p w14:paraId="49A121E1" w14:textId="772490BA" w:rsidR="00FE58C7" w:rsidRPr="00FE58C7" w:rsidRDefault="004B1A9E" w:rsidP="00431CA7">
            <w:pPr>
              <w:rPr>
                <w:b/>
                <w:bCs/>
                <w:i/>
                <w:iCs/>
              </w:rPr>
            </w:pPr>
            <w:r>
              <w:rPr>
                <w:b/>
                <w:bCs/>
                <w:i/>
                <w:iCs/>
              </w:rPr>
              <w:t>Beneficiaries working part-time and non-beneficiary recipients of the Accommodation Supplement gain from abatement threshold increases</w:t>
            </w:r>
          </w:p>
          <w:p w14:paraId="71005BA3" w14:textId="50D12EF3" w:rsidR="0062657E" w:rsidRDefault="005E0734" w:rsidP="00431CA7">
            <w:pPr>
              <w:rPr>
                <w:rFonts w:eastAsia="Calibri" w:cs="Arial"/>
              </w:rPr>
            </w:pPr>
            <w:r>
              <w:t xml:space="preserve">The main people to </w:t>
            </w:r>
            <w:r w:rsidR="00341849">
              <w:t>gain</w:t>
            </w:r>
            <w:r>
              <w:t xml:space="preserve"> are beneficiaries working part-time and non-beneficiary recipients of the Accommodation Supplement</w:t>
            </w:r>
            <w:r w:rsidR="00B22001">
              <w:t xml:space="preserve"> (these are low to middle-income working families)</w:t>
            </w:r>
            <w:r>
              <w:t xml:space="preserve">. </w:t>
            </w:r>
            <w:r w:rsidR="005F5995">
              <w:t xml:space="preserve">MSD </w:t>
            </w:r>
            <w:r>
              <w:t>estimate</w:t>
            </w:r>
            <w:r w:rsidR="005F5995">
              <w:t>s</w:t>
            </w:r>
            <w:r>
              <w:t xml:space="preserve"> that a</w:t>
            </w:r>
            <w:r>
              <w:rPr>
                <w:rFonts w:eastAsia="Calibri" w:cs="Arial"/>
              </w:rPr>
              <w:t xml:space="preserve">round 82,900 individuals and families will gain an average of $18 per </w:t>
            </w:r>
            <w:r>
              <w:rPr>
                <w:rFonts w:eastAsia="Calibri" w:cs="Arial"/>
              </w:rPr>
              <w:lastRenderedPageBreak/>
              <w:t>week in extra income support payments as a result of increasing benefit abatement thresholds.</w:t>
            </w:r>
          </w:p>
          <w:p w14:paraId="7DD0918E" w14:textId="77777777" w:rsidR="005E0734" w:rsidRDefault="005E0734" w:rsidP="00431CA7">
            <w:pPr>
              <w:rPr>
                <w:rFonts w:eastAsia="Calibri" w:cs="Arial"/>
              </w:rPr>
            </w:pPr>
            <w:r>
              <w:rPr>
                <w:rFonts w:eastAsia="Calibri" w:cs="Arial"/>
              </w:rPr>
              <w:t xml:space="preserve">Non-monetised benefits include: </w:t>
            </w:r>
          </w:p>
          <w:p w14:paraId="34CB457B" w14:textId="1215B228" w:rsidR="005E0734" w:rsidRDefault="005E0734" w:rsidP="00B52920">
            <w:pPr>
              <w:pStyle w:val="ListParagraph"/>
              <w:numPr>
                <w:ilvl w:val="0"/>
                <w:numId w:val="11"/>
              </w:numPr>
              <w:rPr>
                <w:rFonts w:eastAsia="Calibri" w:cs="Arial"/>
              </w:rPr>
            </w:pPr>
            <w:r>
              <w:rPr>
                <w:rFonts w:eastAsia="Calibri" w:cs="Arial"/>
              </w:rPr>
              <w:t>I</w:t>
            </w:r>
            <w:r w:rsidRPr="005E0734">
              <w:rPr>
                <w:rFonts w:eastAsia="Calibri" w:cs="Arial"/>
              </w:rPr>
              <w:t>mproved financial incentives to ent</w:t>
            </w:r>
            <w:r w:rsidRPr="00341849">
              <w:rPr>
                <w:rFonts w:eastAsia="Calibri" w:cs="Arial"/>
              </w:rPr>
              <w:t>er the labour market and work part-time for people receiving be</w:t>
            </w:r>
            <w:r w:rsidRPr="0070201A">
              <w:rPr>
                <w:rFonts w:eastAsia="Calibri" w:cs="Arial"/>
              </w:rPr>
              <w:t>nefits</w:t>
            </w:r>
          </w:p>
          <w:p w14:paraId="65606EE3" w14:textId="487021A9" w:rsidR="005E0734" w:rsidRDefault="005E0734" w:rsidP="00B52920">
            <w:pPr>
              <w:pStyle w:val="ListParagraph"/>
              <w:numPr>
                <w:ilvl w:val="0"/>
                <w:numId w:val="11"/>
              </w:numPr>
              <w:rPr>
                <w:rFonts w:eastAsia="Calibri" w:cs="Arial"/>
              </w:rPr>
            </w:pPr>
            <w:r>
              <w:rPr>
                <w:rFonts w:eastAsia="Calibri" w:cs="Arial"/>
              </w:rPr>
              <w:t xml:space="preserve">A modest reduction in the number of children in poverty (it is estimated that the </w:t>
            </w:r>
            <w:r w:rsidR="00EC6811">
              <w:rPr>
                <w:rFonts w:eastAsia="Calibri" w:cs="Arial"/>
              </w:rPr>
              <w:t xml:space="preserve">proposed increases to the </w:t>
            </w:r>
            <w:r>
              <w:rPr>
                <w:rFonts w:eastAsia="Calibri" w:cs="Arial"/>
              </w:rPr>
              <w:t>abatement thresholds will reduce child poverty by around 6,000 (+/- 3,000) on the AHC50 fixed line measure</w:t>
            </w:r>
            <w:r w:rsidR="00F014F9">
              <w:rPr>
                <w:rStyle w:val="FootnoteReference"/>
                <w:rFonts w:eastAsia="Calibri" w:cs="Arial"/>
              </w:rPr>
              <w:footnoteReference w:id="2"/>
            </w:r>
            <w:r>
              <w:rPr>
                <w:rFonts w:eastAsia="Calibri" w:cs="Arial"/>
              </w:rPr>
              <w:t xml:space="preserve"> and 2,000 (+/- 3,000) on the BHC50 measure</w:t>
            </w:r>
            <w:r w:rsidR="00F014F9">
              <w:rPr>
                <w:rStyle w:val="FootnoteReference"/>
                <w:rFonts w:eastAsia="Calibri" w:cs="Arial"/>
              </w:rPr>
              <w:footnoteReference w:id="3"/>
            </w:r>
            <w:r>
              <w:rPr>
                <w:rFonts w:eastAsia="Calibri" w:cs="Arial"/>
              </w:rPr>
              <w:t xml:space="preserve"> in 2021/22), and</w:t>
            </w:r>
          </w:p>
          <w:p w14:paraId="58082502" w14:textId="355000FA" w:rsidR="005E0734" w:rsidRPr="00C83610" w:rsidRDefault="005E0734" w:rsidP="00B52920">
            <w:pPr>
              <w:pStyle w:val="ListParagraph"/>
              <w:numPr>
                <w:ilvl w:val="0"/>
                <w:numId w:val="11"/>
              </w:numPr>
              <w:rPr>
                <w:rFonts w:eastAsia="Calibri" w:cs="Arial"/>
              </w:rPr>
            </w:pPr>
            <w:r>
              <w:t xml:space="preserve">Broader improvements in health and wellbeing </w:t>
            </w:r>
            <w:r w:rsidR="004B1A9E">
              <w:t xml:space="preserve">where eligible people are engaged in work </w:t>
            </w:r>
            <w:r>
              <w:t>(provided the work is safe, stable and financially beneficial).</w:t>
            </w:r>
          </w:p>
          <w:p w14:paraId="4B094A26" w14:textId="000BB08B" w:rsidR="005E0734" w:rsidRDefault="00090AC7" w:rsidP="00431CA7">
            <w:pPr>
              <w:rPr>
                <w:b/>
                <w:bCs/>
                <w:i/>
                <w:iCs/>
              </w:rPr>
            </w:pPr>
            <w:r>
              <w:rPr>
                <w:b/>
                <w:bCs/>
                <w:i/>
                <w:iCs/>
              </w:rPr>
              <w:t>MFTC recipients and newly eligible recipients will gain from the a</w:t>
            </w:r>
            <w:r w:rsidR="00FE58C7">
              <w:rPr>
                <w:b/>
                <w:bCs/>
                <w:i/>
                <w:iCs/>
              </w:rPr>
              <w:t>djustmen</w:t>
            </w:r>
            <w:r w:rsidR="00FF0D68">
              <w:rPr>
                <w:b/>
                <w:bCs/>
                <w:i/>
                <w:iCs/>
              </w:rPr>
              <w:t>ts</w:t>
            </w:r>
            <w:r w:rsidR="00FE58C7">
              <w:rPr>
                <w:b/>
                <w:bCs/>
                <w:i/>
                <w:iCs/>
              </w:rPr>
              <w:t xml:space="preserve"> to the </w:t>
            </w:r>
            <w:r w:rsidR="00FF0D68">
              <w:rPr>
                <w:b/>
                <w:bCs/>
                <w:i/>
                <w:iCs/>
              </w:rPr>
              <w:t>Minimum Family Tax Credit</w:t>
            </w:r>
            <w:r w:rsidR="00FE58C7">
              <w:rPr>
                <w:b/>
                <w:bCs/>
                <w:i/>
                <w:iCs/>
              </w:rPr>
              <w:t xml:space="preserve"> </w:t>
            </w:r>
          </w:p>
          <w:p w14:paraId="1DDCB706" w14:textId="22E061A0" w:rsidR="009C5013" w:rsidRPr="00FF0D68" w:rsidRDefault="009653D5" w:rsidP="00431CA7">
            <w:pPr>
              <w:rPr>
                <w:u w:val="single"/>
              </w:rPr>
            </w:pPr>
            <w:r w:rsidRPr="00FF0D68">
              <w:rPr>
                <w:u w:val="single"/>
              </w:rPr>
              <w:t>Retrospective change</w:t>
            </w:r>
            <w:r w:rsidR="009D685F">
              <w:rPr>
                <w:u w:val="single"/>
              </w:rPr>
              <w:t xml:space="preserve"> – increasing the 2020/21 MFTC threshold to reflect the $25 benefit rate increase on 1 April 2020</w:t>
            </w:r>
          </w:p>
          <w:p w14:paraId="3EB4F342" w14:textId="19FAE8B1" w:rsidR="009653D5" w:rsidRPr="002A724F" w:rsidRDefault="009653D5" w:rsidP="009653D5">
            <w:pPr>
              <w:rPr>
                <w:lang w:eastAsia="en-AU"/>
              </w:rPr>
            </w:pPr>
            <w:r w:rsidRPr="002A724F">
              <w:rPr>
                <w:lang w:eastAsia="en-AU"/>
              </w:rPr>
              <w:t>Approximately 3,</w:t>
            </w:r>
            <w:r w:rsidR="00FE4FDF">
              <w:rPr>
                <w:lang w:eastAsia="en-AU"/>
              </w:rPr>
              <w:t>2</w:t>
            </w:r>
            <w:r w:rsidRPr="002A724F">
              <w:rPr>
                <w:lang w:eastAsia="en-AU"/>
              </w:rPr>
              <w:t>00 families receiving</w:t>
            </w:r>
            <w:r w:rsidR="00090AC7">
              <w:rPr>
                <w:lang w:eastAsia="en-AU"/>
              </w:rPr>
              <w:t xml:space="preserve"> the</w:t>
            </w:r>
            <w:r w:rsidRPr="002A724F">
              <w:rPr>
                <w:lang w:eastAsia="en-AU"/>
              </w:rPr>
              <w:t xml:space="preserve"> MFTC in the 2020/21 tax year would gain an additional $32 for each week they received the MFTC.</w:t>
            </w:r>
            <w:r w:rsidR="008A4F65">
              <w:rPr>
                <w:lang w:eastAsia="en-AU"/>
              </w:rPr>
              <w:t xml:space="preserve"> The maximum MFTC increase a family could receive would be $1,664 ($32 x 52 weeks). However, it is estimated that the average</w:t>
            </w:r>
            <w:r w:rsidRPr="002A724F">
              <w:rPr>
                <w:lang w:eastAsia="en-AU"/>
              </w:rPr>
              <w:t xml:space="preserve"> MFTC increase </w:t>
            </w:r>
            <w:r w:rsidR="008A4F65">
              <w:rPr>
                <w:lang w:eastAsia="en-AU"/>
              </w:rPr>
              <w:t>for the year would be approximately</w:t>
            </w:r>
            <w:r w:rsidRPr="002A724F">
              <w:rPr>
                <w:lang w:eastAsia="en-AU"/>
              </w:rPr>
              <w:t xml:space="preserve"> $1,280 per family. Approximately 400 additional families would become newly eligible for the MFTC in the 2020/2021 tax year as a result of the threshold increase. </w:t>
            </w:r>
            <w:r w:rsidR="008A4F65">
              <w:rPr>
                <w:lang w:eastAsia="en-AU"/>
              </w:rPr>
              <w:t>Because newly eligible families will have incomes above the current threshold, the average increase for these families will be less than $32 a week.</w:t>
            </w:r>
          </w:p>
          <w:p w14:paraId="6C751E45" w14:textId="2A952619" w:rsidR="000E32F3" w:rsidRPr="002A724F" w:rsidRDefault="008A4F65" w:rsidP="009653D5">
            <w:pPr>
              <w:rPr>
                <w:lang w:eastAsia="en-AU"/>
              </w:rPr>
            </w:pPr>
            <w:r>
              <w:rPr>
                <w:lang w:eastAsia="en-AU"/>
              </w:rPr>
              <w:t>A full retrospective increase</w:t>
            </w:r>
            <w:r w:rsidR="000E32F3" w:rsidRPr="002A724F">
              <w:rPr>
                <w:lang w:eastAsia="en-AU"/>
              </w:rPr>
              <w:t xml:space="preserve"> will also maintain financial incentive</w:t>
            </w:r>
            <w:r>
              <w:rPr>
                <w:lang w:eastAsia="en-AU"/>
              </w:rPr>
              <w:t>s</w:t>
            </w:r>
            <w:r w:rsidR="000E32F3" w:rsidRPr="002A724F">
              <w:rPr>
                <w:lang w:eastAsia="en-AU"/>
              </w:rPr>
              <w:t xml:space="preserve"> for families to move off benefit and into work for the remainder of the 2020/21 tax year. </w:t>
            </w:r>
            <w:r>
              <w:rPr>
                <w:lang w:eastAsia="en-AU"/>
              </w:rPr>
              <w:t>It</w:t>
            </w:r>
            <w:r w:rsidR="000E32F3" w:rsidRPr="002A724F">
              <w:rPr>
                <w:lang w:eastAsia="en-AU"/>
              </w:rPr>
              <w:t xml:space="preserve"> also addresses the potential equity issue whereby some families who remained off benefit and in work following the benefit rate increase on 1 April 2020 are financially disadvantaged relative to those who are on benefit. </w:t>
            </w:r>
          </w:p>
          <w:p w14:paraId="78CE9B68" w14:textId="7298DF3E" w:rsidR="001220BD" w:rsidRDefault="009653D5" w:rsidP="00FF0D68">
            <w:pPr>
              <w:rPr>
                <w:u w:val="single"/>
              </w:rPr>
            </w:pPr>
            <w:r w:rsidRPr="00FF0D68">
              <w:rPr>
                <w:u w:val="single"/>
              </w:rPr>
              <w:t>Prospective change</w:t>
            </w:r>
            <w:r w:rsidR="00FF0D68" w:rsidRPr="00FF0D68">
              <w:rPr>
                <w:u w:val="single"/>
              </w:rPr>
              <w:t xml:space="preserve"> </w:t>
            </w:r>
            <w:r w:rsidR="009D685F">
              <w:rPr>
                <w:u w:val="single"/>
              </w:rPr>
              <w:t xml:space="preserve">– partially increasing the 2021/22 MFTC threshold </w:t>
            </w:r>
          </w:p>
          <w:p w14:paraId="5A3DE62D" w14:textId="008ABC6B" w:rsidR="008A4F65" w:rsidRDefault="002A724F" w:rsidP="00FF0D68">
            <w:r>
              <w:t xml:space="preserve">Approximately </w:t>
            </w:r>
            <w:r w:rsidR="002921B1">
              <w:t>4,000</w:t>
            </w:r>
            <w:r>
              <w:t xml:space="preserve"> families are expected to receive</w:t>
            </w:r>
            <w:r w:rsidR="006B3CC4">
              <w:t xml:space="preserve"> the</w:t>
            </w:r>
            <w:r>
              <w:t xml:space="preserve"> MFTC in the 2021/22 tax year. </w:t>
            </w:r>
            <w:r w:rsidR="002921B1">
              <w:t xml:space="preserve">Of these, around 400 families would be newly eligible to the MFTC. </w:t>
            </w:r>
            <w:r w:rsidR="008A4F65">
              <w:t>F</w:t>
            </w:r>
            <w:r>
              <w:t>amilies would gain an additional $</w:t>
            </w:r>
            <w:r w:rsidR="008E2595">
              <w:t xml:space="preserve">22 </w:t>
            </w:r>
            <w:r>
              <w:t xml:space="preserve">for each week they receive the MFTC. </w:t>
            </w:r>
            <w:r w:rsidR="008A4F65">
              <w:t xml:space="preserve">The maximum MFTC increase a family could receive in the 2021/22 tax year would be $1,144 ($22 x 52 weeks). However, because not all families will receive the MFTC for ever week of the tax year, the average MFTC increase is estimated to be less than $1,144. </w:t>
            </w:r>
          </w:p>
          <w:p w14:paraId="35C86544" w14:textId="61B42F0D" w:rsidR="00F9188A" w:rsidRPr="00FF0D68" w:rsidRDefault="008A4F65" w:rsidP="001F616F">
            <w:r>
              <w:lastRenderedPageBreak/>
              <w:t>A partial increase of the MFTC threshold</w:t>
            </w:r>
            <w:r w:rsidR="002A724F">
              <w:t xml:space="preserve"> ensures that sole parents, who make up around 90 percent of the MFTC recipients, continue to be financially better off working and receiving the MFTC than </w:t>
            </w:r>
            <w:r w:rsidR="002921B1">
              <w:t>working and receiving a</w:t>
            </w:r>
            <w:r w:rsidR="002A724F">
              <w:t xml:space="preserve"> benefit. </w:t>
            </w:r>
          </w:p>
        </w:tc>
      </w:tr>
    </w:tbl>
    <w:p w14:paraId="63F62B69" w14:textId="77777777" w:rsidR="0062657E" w:rsidRPr="00AA6A54" w:rsidRDefault="0062657E" w:rsidP="00AA6A5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04659A71" w14:textId="77777777" w:rsidTr="00346B30">
        <w:trPr>
          <w:trHeight w:val="224"/>
        </w:trPr>
        <w:tc>
          <w:tcPr>
            <w:tcW w:w="9072" w:type="dxa"/>
            <w:shd w:val="clear" w:color="auto" w:fill="99CDDD"/>
          </w:tcPr>
          <w:p w14:paraId="75EC46D0" w14:textId="77777777" w:rsidR="0062657E" w:rsidRPr="00210C3D" w:rsidRDefault="0062657E" w:rsidP="006356D0">
            <w:pPr>
              <w:keepNext/>
              <w:spacing w:before="60" w:after="60" w:line="240" w:lineRule="auto"/>
              <w:rPr>
                <w:b/>
                <w:szCs w:val="22"/>
              </w:rPr>
            </w:pPr>
            <w:r w:rsidRPr="00210C3D">
              <w:rPr>
                <w:b/>
                <w:szCs w:val="22"/>
              </w:rPr>
              <w:t xml:space="preserve">Where do the costs fall?  </w:t>
            </w:r>
          </w:p>
        </w:tc>
      </w:tr>
      <w:tr w:rsidR="00210C3D" w:rsidRPr="001220BD" w14:paraId="39D5B4C8" w14:textId="77777777" w:rsidTr="00346B30">
        <w:tc>
          <w:tcPr>
            <w:tcW w:w="9072" w:type="dxa"/>
            <w:shd w:val="clear" w:color="auto" w:fill="EBF5F8"/>
          </w:tcPr>
          <w:p w14:paraId="48E2A4B6" w14:textId="417E3380" w:rsidR="0062657E" w:rsidRPr="001220BD" w:rsidRDefault="0062657E" w:rsidP="006356D0">
            <w:pPr>
              <w:keepNext/>
              <w:spacing w:before="60" w:after="60" w:line="276" w:lineRule="auto"/>
              <w:rPr>
                <w:i/>
                <w:szCs w:val="22"/>
              </w:rPr>
            </w:pPr>
            <w:r w:rsidRPr="001220BD">
              <w:rPr>
                <w:i/>
                <w:szCs w:val="22"/>
              </w:rPr>
              <w:t xml:space="preserve">Monetised and non-monetised costs; for </w:t>
            </w:r>
            <w:proofErr w:type="gramStart"/>
            <w:r w:rsidRPr="001220BD">
              <w:rPr>
                <w:i/>
                <w:szCs w:val="22"/>
              </w:rPr>
              <w:t>example</w:t>
            </w:r>
            <w:proofErr w:type="gramEnd"/>
            <w:r w:rsidRPr="001220BD">
              <w:rPr>
                <w:i/>
                <w:szCs w:val="22"/>
              </w:rPr>
              <w:t xml:space="preserve"> to local government</w:t>
            </w:r>
            <w:r w:rsidR="00B05FDA">
              <w:rPr>
                <w:i/>
                <w:szCs w:val="22"/>
              </w:rPr>
              <w:t xml:space="preserve"> or</w:t>
            </w:r>
            <w:r w:rsidRPr="001220BD">
              <w:rPr>
                <w:i/>
                <w:szCs w:val="22"/>
              </w:rPr>
              <w:t xml:space="preserve"> regulated parties</w:t>
            </w:r>
          </w:p>
        </w:tc>
      </w:tr>
      <w:tr w:rsidR="00210C3D" w:rsidRPr="00210C3D" w14:paraId="5F27999D" w14:textId="77777777" w:rsidTr="00346B30">
        <w:tc>
          <w:tcPr>
            <w:tcW w:w="9072" w:type="dxa"/>
            <w:shd w:val="clear" w:color="auto" w:fill="FFFFFF"/>
          </w:tcPr>
          <w:p w14:paraId="352BDDC5" w14:textId="35285A3D" w:rsidR="00D67570" w:rsidRDefault="00D67570" w:rsidP="00431CA7">
            <w:pPr>
              <w:rPr>
                <w:b/>
                <w:bCs/>
                <w:i/>
                <w:iCs/>
              </w:rPr>
            </w:pPr>
            <w:r w:rsidRPr="00FE58C7">
              <w:rPr>
                <w:b/>
                <w:bCs/>
                <w:i/>
                <w:iCs/>
              </w:rPr>
              <w:t>Abatement threshold increases</w:t>
            </w:r>
            <w:r w:rsidR="00090AC7">
              <w:rPr>
                <w:b/>
                <w:bCs/>
                <w:i/>
                <w:iCs/>
              </w:rPr>
              <w:t xml:space="preserve"> are primarily a cost to the Government</w:t>
            </w:r>
          </w:p>
          <w:p w14:paraId="56852E41" w14:textId="79402D06" w:rsidR="0062657E" w:rsidRPr="00D67570" w:rsidRDefault="005E0734" w:rsidP="00431CA7">
            <w:pPr>
              <w:rPr>
                <w:b/>
                <w:bCs/>
                <w:i/>
                <w:iCs/>
              </w:rPr>
            </w:pPr>
            <w:r>
              <w:t xml:space="preserve">The cost to the Government of increasing benefit abatement thresholds </w:t>
            </w:r>
            <w:r w:rsidRPr="00081DCF">
              <w:t xml:space="preserve">is </w:t>
            </w:r>
            <w:r w:rsidR="00341849" w:rsidRPr="00081DCF">
              <w:t>$</w:t>
            </w:r>
            <w:r w:rsidR="00D67570" w:rsidRPr="00081DCF">
              <w:rPr>
                <w:rFonts w:ascii="Arial Mäori" w:hAnsi="Arial Mäori"/>
                <w:szCs w:val="18"/>
              </w:rPr>
              <w:t xml:space="preserve">387.496 million </w:t>
            </w:r>
            <w:r w:rsidR="00341849" w:rsidRPr="00081DCF">
              <w:t>in income support payments and $</w:t>
            </w:r>
            <w:r w:rsidR="00D67570" w:rsidRPr="00081DCF">
              <w:t>6.4 million</w:t>
            </w:r>
            <w:r w:rsidR="00341849" w:rsidRPr="00081DCF">
              <w:t xml:space="preserve"> in operating costs over the forecast period</w:t>
            </w:r>
            <w:r w:rsidRPr="00081DCF">
              <w:t>.</w:t>
            </w:r>
            <w:r w:rsidR="00D67570" w:rsidRPr="00081DCF">
              <w:t xml:space="preserve"> There is an additional cost of $80,000 for 12 months for providing a Transiti</w:t>
            </w:r>
            <w:r w:rsidR="00D67570">
              <w:t>onal Assistance Payment</w:t>
            </w:r>
            <w:r w:rsidR="00EC6811">
              <w:t xml:space="preserve"> (TAP)</w:t>
            </w:r>
            <w:r w:rsidR="00D67570">
              <w:t xml:space="preserve"> to people who may be financially disadvantaged as a result of the abatement threshold increases on 1 April 2021.</w:t>
            </w:r>
          </w:p>
          <w:p w14:paraId="1DF5E2F6" w14:textId="0BEB3227" w:rsidR="001B34F8" w:rsidRDefault="001B34F8" w:rsidP="00431CA7">
            <w:r>
              <w:t>Non-monetised costs include a small reduction in financial incentives to work full-time</w:t>
            </w:r>
            <w:r w:rsidR="00090AC7">
              <w:t xml:space="preserve"> for some beneficiaries</w:t>
            </w:r>
            <w:r>
              <w:t>.</w:t>
            </w:r>
          </w:p>
          <w:p w14:paraId="6A43CC6E" w14:textId="6F9FD720" w:rsidR="00D67570" w:rsidRDefault="00D67570" w:rsidP="00D67570">
            <w:pPr>
              <w:rPr>
                <w:b/>
                <w:bCs/>
                <w:i/>
                <w:iCs/>
              </w:rPr>
            </w:pPr>
            <w:r>
              <w:rPr>
                <w:b/>
                <w:bCs/>
                <w:i/>
                <w:iCs/>
              </w:rPr>
              <w:t xml:space="preserve">Adjustments to the Minimum Family Tax Credit </w:t>
            </w:r>
            <w:r w:rsidR="00090AC7">
              <w:rPr>
                <w:b/>
                <w:bCs/>
                <w:i/>
                <w:iCs/>
              </w:rPr>
              <w:t>are primarily a cost to the Government</w:t>
            </w:r>
          </w:p>
          <w:p w14:paraId="46067C11" w14:textId="77777777" w:rsidR="00D67570" w:rsidRPr="00FF0D68" w:rsidRDefault="00D67570" w:rsidP="00D67570">
            <w:pPr>
              <w:rPr>
                <w:u w:val="single"/>
              </w:rPr>
            </w:pPr>
            <w:r w:rsidRPr="00FF0D68">
              <w:rPr>
                <w:u w:val="single"/>
              </w:rPr>
              <w:t>Retrospective change</w:t>
            </w:r>
            <w:r>
              <w:rPr>
                <w:u w:val="single"/>
              </w:rPr>
              <w:t xml:space="preserve"> – increasing the 2020/21 MFTC threshold to reflect the $25 benefit rate increase on 1 April 2020</w:t>
            </w:r>
          </w:p>
          <w:p w14:paraId="47940A9E" w14:textId="248B5C12" w:rsidR="0062657E" w:rsidRDefault="00A90802" w:rsidP="00210C3D">
            <w:pPr>
              <w:pStyle w:val="TableText"/>
              <w:spacing w:before="0" w:after="0" w:line="276" w:lineRule="auto"/>
              <w:rPr>
                <w:sz w:val="22"/>
              </w:rPr>
            </w:pPr>
            <w:r>
              <w:rPr>
                <w:sz w:val="22"/>
              </w:rPr>
              <w:t>The cost to the Government of increasing the 2020/21 MFTC threshold is $4.6 million for the 2020/21 tax year and $24.1 million for the forecast period.</w:t>
            </w:r>
          </w:p>
          <w:p w14:paraId="47FB8EEF" w14:textId="77777777" w:rsidR="00D67570" w:rsidRDefault="00D67570" w:rsidP="00210C3D">
            <w:pPr>
              <w:pStyle w:val="TableText"/>
              <w:spacing w:before="0" w:after="0" w:line="276" w:lineRule="auto"/>
              <w:rPr>
                <w:sz w:val="22"/>
              </w:rPr>
            </w:pPr>
          </w:p>
          <w:p w14:paraId="24EE3ABB" w14:textId="77777777" w:rsidR="00D67570" w:rsidRDefault="00D67570" w:rsidP="00D67570">
            <w:pPr>
              <w:rPr>
                <w:u w:val="single"/>
              </w:rPr>
            </w:pPr>
            <w:r w:rsidRPr="00FF0D68">
              <w:rPr>
                <w:u w:val="single"/>
              </w:rPr>
              <w:t xml:space="preserve">Prospective change </w:t>
            </w:r>
            <w:r>
              <w:rPr>
                <w:u w:val="single"/>
              </w:rPr>
              <w:t xml:space="preserve">– partially increasing the 2021/22 MFTC threshold </w:t>
            </w:r>
          </w:p>
          <w:p w14:paraId="1E917E27" w14:textId="2B10E4DA" w:rsidR="00D67570" w:rsidRDefault="00A90802" w:rsidP="00D67570">
            <w:pPr>
              <w:pStyle w:val="TableText"/>
              <w:spacing w:before="0" w:after="0" w:line="276" w:lineRule="auto"/>
              <w:rPr>
                <w:sz w:val="22"/>
              </w:rPr>
            </w:pPr>
            <w:r>
              <w:rPr>
                <w:sz w:val="22"/>
              </w:rPr>
              <w:t>The cost to the Government of partially increasing the 2021/22 MFTC threshold is $</w:t>
            </w:r>
            <w:r w:rsidR="002921B1">
              <w:rPr>
                <w:sz w:val="22"/>
              </w:rPr>
              <w:t>17</w:t>
            </w:r>
            <w:r>
              <w:rPr>
                <w:sz w:val="22"/>
              </w:rPr>
              <w:t xml:space="preserve"> million</w:t>
            </w:r>
            <w:r w:rsidR="002921B1">
              <w:rPr>
                <w:sz w:val="22"/>
              </w:rPr>
              <w:t xml:space="preserve"> over the forecast period</w:t>
            </w:r>
            <w:r>
              <w:rPr>
                <w:sz w:val="22"/>
              </w:rPr>
              <w:t xml:space="preserve">, assuming the retrospective increase is agreed to. </w:t>
            </w:r>
          </w:p>
          <w:p w14:paraId="1E896FD2" w14:textId="77777777" w:rsidR="00A90802" w:rsidRDefault="00A90802" w:rsidP="00D67570">
            <w:pPr>
              <w:pStyle w:val="TableText"/>
              <w:spacing w:before="0" w:after="0" w:line="276" w:lineRule="auto"/>
              <w:rPr>
                <w:sz w:val="22"/>
              </w:rPr>
            </w:pPr>
          </w:p>
          <w:p w14:paraId="4E4C4609" w14:textId="3BA605AE" w:rsidR="00A90802" w:rsidRPr="00210C3D" w:rsidRDefault="00090AC7" w:rsidP="008B3448">
            <w:pPr>
              <w:pStyle w:val="TableText"/>
              <w:spacing w:before="0" w:after="0" w:line="276" w:lineRule="auto"/>
              <w:rPr>
                <w:sz w:val="22"/>
              </w:rPr>
            </w:pPr>
            <w:r>
              <w:rPr>
                <w:sz w:val="22"/>
              </w:rPr>
              <w:t>The f</w:t>
            </w:r>
            <w:r w:rsidR="00A90802">
              <w:rPr>
                <w:sz w:val="22"/>
              </w:rPr>
              <w:t>inancial</w:t>
            </w:r>
            <w:r>
              <w:rPr>
                <w:sz w:val="22"/>
              </w:rPr>
              <w:t xml:space="preserve"> work</w:t>
            </w:r>
            <w:r w:rsidR="00A90802">
              <w:rPr>
                <w:sz w:val="22"/>
              </w:rPr>
              <w:t xml:space="preserve"> incentive</w:t>
            </w:r>
            <w:r w:rsidR="008A4F65">
              <w:rPr>
                <w:sz w:val="22"/>
              </w:rPr>
              <w:t>s</w:t>
            </w:r>
            <w:r w:rsidR="00A90802">
              <w:rPr>
                <w:sz w:val="22"/>
              </w:rPr>
              <w:t xml:space="preserve"> provided by</w:t>
            </w:r>
            <w:r w:rsidR="006B3CC4">
              <w:rPr>
                <w:sz w:val="22"/>
              </w:rPr>
              <w:t xml:space="preserve"> the</w:t>
            </w:r>
            <w:r w:rsidR="00A90802">
              <w:rPr>
                <w:sz w:val="22"/>
              </w:rPr>
              <w:t xml:space="preserve"> MFTC would be reduced for two-parent families (approximately 10 percent of MFTC recipients) as they would theoretically be better off</w:t>
            </w:r>
            <w:r w:rsidR="002921B1">
              <w:rPr>
                <w:sz w:val="22"/>
              </w:rPr>
              <w:t xml:space="preserve"> working and receiving</w:t>
            </w:r>
            <w:r w:rsidR="00A90802">
              <w:rPr>
                <w:sz w:val="22"/>
              </w:rPr>
              <w:t xml:space="preserve"> a main benefit than </w:t>
            </w:r>
            <w:r w:rsidR="002921B1">
              <w:rPr>
                <w:sz w:val="22"/>
              </w:rPr>
              <w:t xml:space="preserve">working and receiving the </w:t>
            </w:r>
            <w:r w:rsidR="00A90802">
              <w:rPr>
                <w:sz w:val="22"/>
              </w:rPr>
              <w:t xml:space="preserve">MFTC. </w:t>
            </w:r>
            <w:r w:rsidR="001951BA">
              <w:rPr>
                <w:sz w:val="22"/>
              </w:rPr>
              <w:t>There may be a small net fiscal cost to the Government</w:t>
            </w:r>
            <w:r w:rsidR="008B3448">
              <w:rPr>
                <w:sz w:val="22"/>
              </w:rPr>
              <w:t xml:space="preserve"> from two-parent families moving onto a benefit. This net fiscal cost has not been calculated due to time constraints. </w:t>
            </w:r>
            <w:r w:rsidR="008A4F65">
              <w:rPr>
                <w:sz w:val="22"/>
              </w:rPr>
              <w:t>T</w:t>
            </w:r>
            <w:r>
              <w:rPr>
                <w:sz w:val="22"/>
              </w:rPr>
              <w:t xml:space="preserve">he behavioural impacts are uncertain. </w:t>
            </w:r>
          </w:p>
        </w:tc>
      </w:tr>
    </w:tbl>
    <w:p w14:paraId="0D3D0DC8" w14:textId="77777777" w:rsidR="0062657E" w:rsidRPr="00210C3D" w:rsidRDefault="0062657E" w:rsidP="00AA6A5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7815ECDE" w14:textId="77777777" w:rsidTr="00346B30">
        <w:tc>
          <w:tcPr>
            <w:tcW w:w="9072" w:type="dxa"/>
            <w:shd w:val="clear" w:color="auto" w:fill="99CDDD"/>
          </w:tcPr>
          <w:p w14:paraId="7A465ACA" w14:textId="5359F243" w:rsidR="0062657E" w:rsidRPr="00210C3D" w:rsidRDefault="0062657E" w:rsidP="006356D0">
            <w:pPr>
              <w:keepNext/>
              <w:spacing w:before="60" w:after="60" w:line="240" w:lineRule="auto"/>
              <w:rPr>
                <w:b/>
                <w:i/>
                <w:szCs w:val="22"/>
              </w:rPr>
            </w:pPr>
            <w:r w:rsidRPr="00210C3D">
              <w:rPr>
                <w:b/>
                <w:szCs w:val="22"/>
              </w:rPr>
              <w:t>What are the likely risks and unintended impacts</w:t>
            </w:r>
            <w:r w:rsidR="00D96EB2">
              <w:rPr>
                <w:b/>
                <w:szCs w:val="22"/>
              </w:rPr>
              <w:t>?</w:t>
            </w:r>
            <w:r w:rsidRPr="00210C3D">
              <w:rPr>
                <w:b/>
                <w:szCs w:val="22"/>
              </w:rPr>
              <w:t xml:space="preserve"> </w:t>
            </w:r>
            <w:r w:rsidR="00B22001">
              <w:rPr>
                <w:b/>
                <w:szCs w:val="22"/>
              </w:rPr>
              <w:t>H</w:t>
            </w:r>
            <w:r w:rsidRPr="00210C3D">
              <w:rPr>
                <w:b/>
                <w:szCs w:val="22"/>
              </w:rPr>
              <w:t xml:space="preserve">ow significant are they and how will they be minimised or mitigated? </w:t>
            </w:r>
          </w:p>
        </w:tc>
      </w:tr>
      <w:tr w:rsidR="00210C3D" w:rsidRPr="00210C3D" w14:paraId="190C547C" w14:textId="77777777" w:rsidTr="00346B30">
        <w:tc>
          <w:tcPr>
            <w:tcW w:w="9072" w:type="dxa"/>
            <w:shd w:val="clear" w:color="auto" w:fill="FFFFFF"/>
          </w:tcPr>
          <w:p w14:paraId="1623B1D0" w14:textId="18F9D5DB" w:rsidR="00F40EED" w:rsidRPr="00F40EED" w:rsidRDefault="00F40EED" w:rsidP="00431CA7">
            <w:pPr>
              <w:rPr>
                <w:b/>
                <w:bCs/>
                <w:i/>
                <w:iCs/>
              </w:rPr>
            </w:pPr>
            <w:r>
              <w:rPr>
                <w:b/>
                <w:bCs/>
                <w:i/>
                <w:iCs/>
              </w:rPr>
              <w:t>Abatement threshold increases</w:t>
            </w:r>
            <w:r w:rsidR="00090AC7">
              <w:rPr>
                <w:b/>
                <w:bCs/>
                <w:i/>
                <w:iCs/>
              </w:rPr>
              <w:t xml:space="preserve"> may financially disadvantage a small number of </w:t>
            </w:r>
            <w:proofErr w:type="gramStart"/>
            <w:r w:rsidR="00090AC7">
              <w:rPr>
                <w:b/>
                <w:bCs/>
                <w:i/>
                <w:iCs/>
              </w:rPr>
              <w:t>people</w:t>
            </w:r>
            <w:proofErr w:type="gramEnd"/>
            <w:r w:rsidR="00090AC7">
              <w:rPr>
                <w:b/>
                <w:bCs/>
                <w:i/>
                <w:iCs/>
              </w:rPr>
              <w:t xml:space="preserve"> but a Transitional Assistance Payment can be provided</w:t>
            </w:r>
          </w:p>
          <w:p w14:paraId="1ACDD993" w14:textId="55FDF596" w:rsidR="000058B9" w:rsidRDefault="00341849" w:rsidP="00431CA7">
            <w:r>
              <w:t>Increasing benefit abatement thresholds will mean that a small number of people will be financially disadvantaged due to complex interaction</w:t>
            </w:r>
            <w:r w:rsidR="00144BF6">
              <w:t>s</w:t>
            </w:r>
            <w:r>
              <w:t xml:space="preserve"> in the income support system.</w:t>
            </w:r>
            <w:r w:rsidR="00B22001">
              <w:t xml:space="preserve"> </w:t>
            </w:r>
            <w:r w:rsidR="00EC6811">
              <w:t>TAP</w:t>
            </w:r>
            <w:r w:rsidR="00213211">
              <w:t>, a temporary non-taxable payment</w:t>
            </w:r>
            <w:r w:rsidR="00F40EED">
              <w:t xml:space="preserve">, is proposed to be available for up to 12 months </w:t>
            </w:r>
            <w:r w:rsidR="00213211">
              <w:t xml:space="preserve">for the small number of people who may be financially disadvantaged on 1 April 2021 as a result of the abatement threshold increases. </w:t>
            </w:r>
          </w:p>
          <w:p w14:paraId="47CAE659" w14:textId="4E3A0C98" w:rsidR="0062657E" w:rsidRDefault="00090AC7" w:rsidP="00F40EED">
            <w:r>
              <w:rPr>
                <w:b/>
                <w:bCs/>
                <w:i/>
                <w:iCs/>
              </w:rPr>
              <w:lastRenderedPageBreak/>
              <w:t>Retrospective and prospective a</w:t>
            </w:r>
            <w:r w:rsidR="00F40EED">
              <w:rPr>
                <w:b/>
                <w:bCs/>
                <w:i/>
                <w:iCs/>
              </w:rPr>
              <w:t>djustments to the Minimum Family Tax Credit</w:t>
            </w:r>
            <w:r>
              <w:rPr>
                <w:b/>
                <w:bCs/>
                <w:i/>
                <w:iCs/>
              </w:rPr>
              <w:t xml:space="preserve"> each have unintended impacts</w:t>
            </w:r>
          </w:p>
          <w:p w14:paraId="0B47D063" w14:textId="29EBFDCD" w:rsidR="000058B9" w:rsidRDefault="000058B9" w:rsidP="000058B9">
            <w:pPr>
              <w:pStyle w:val="TableText"/>
              <w:spacing w:before="0" w:after="0" w:line="276" w:lineRule="auto"/>
              <w:rPr>
                <w:sz w:val="22"/>
              </w:rPr>
            </w:pPr>
            <w:r>
              <w:rPr>
                <w:sz w:val="22"/>
              </w:rPr>
              <w:t>A retrospective increase (paid in lump sum for the portion of the year for which payments have already been made) may lead to debts being created for some people as</w:t>
            </w:r>
            <w:r w:rsidR="006B3CC4">
              <w:rPr>
                <w:sz w:val="22"/>
              </w:rPr>
              <w:t xml:space="preserve"> the</w:t>
            </w:r>
            <w:r>
              <w:rPr>
                <w:sz w:val="22"/>
              </w:rPr>
              <w:t xml:space="preserve"> MFTC is chargeable income for some types of financial assistance paid under the Social Security Act 2018 (such as Temporary Additional Support). It is also assessable income for Public Housing purposes, for assessing eligibility and calculating the rate of Income Related Rent.</w:t>
            </w:r>
            <w:r w:rsidR="002921B1">
              <w:rPr>
                <w:sz w:val="22"/>
              </w:rPr>
              <w:t xml:space="preserve"> While this does lead to debts for some clients, these debts are usually less than the value of the lump-sum payment (so clients are still better off overall) and it reflects the appropriate consideration of these payments as income for these families. </w:t>
            </w:r>
          </w:p>
          <w:p w14:paraId="0D89E7B3" w14:textId="662096D8" w:rsidR="000058B9" w:rsidRDefault="000058B9" w:rsidP="000058B9">
            <w:pPr>
              <w:pStyle w:val="TableText"/>
              <w:spacing w:before="0" w:after="0" w:line="276" w:lineRule="auto"/>
              <w:rPr>
                <w:sz w:val="22"/>
              </w:rPr>
            </w:pPr>
            <w:r>
              <w:rPr>
                <w:sz w:val="22"/>
              </w:rPr>
              <w:t xml:space="preserve">  </w:t>
            </w:r>
          </w:p>
          <w:p w14:paraId="6472895B" w14:textId="04F9928D" w:rsidR="00F40EED" w:rsidRPr="00F40EED" w:rsidRDefault="000058B9" w:rsidP="000058B9">
            <w:r>
              <w:t xml:space="preserve">The prospective partial increase means that the MFTC would not be fully aligned with its policy intent and </w:t>
            </w:r>
            <w:r w:rsidR="002921B1">
              <w:t xml:space="preserve">some </w:t>
            </w:r>
            <w:r>
              <w:t xml:space="preserve">two-parent families may be better off </w:t>
            </w:r>
            <w:r w:rsidR="002921B1">
              <w:t>working and receiving</w:t>
            </w:r>
            <w:r>
              <w:t xml:space="preserve"> a main benefit than </w:t>
            </w:r>
            <w:r w:rsidR="002921B1">
              <w:t>working and receiving the</w:t>
            </w:r>
            <w:r>
              <w:t xml:space="preserve"> MFTC. However, few couples are likely to qualify for a benefit if one person is working 30 hours a week as this is considered working full-time under the Social Security Act 2018</w:t>
            </w:r>
            <w:r w:rsidR="00681E72">
              <w:rPr>
                <w:rStyle w:val="FootnoteReference"/>
              </w:rPr>
              <w:footnoteReference w:id="4"/>
            </w:r>
            <w:r>
              <w:t>.</w:t>
            </w:r>
          </w:p>
        </w:tc>
      </w:tr>
    </w:tbl>
    <w:p w14:paraId="634EE3EF" w14:textId="1CA56C8F" w:rsidR="0062657E" w:rsidRPr="008603C7" w:rsidRDefault="0062657E" w:rsidP="00AF2098">
      <w:pPr>
        <w:pStyle w:val="Heading2"/>
      </w:pPr>
      <w:r w:rsidRPr="008603C7">
        <w:lastRenderedPageBreak/>
        <w:t>Section C</w:t>
      </w:r>
      <w:r w:rsidR="0005691A">
        <w:t xml:space="preserve">: </w:t>
      </w:r>
      <w:r w:rsidRPr="008603C7">
        <w:t xml:space="preserve">Evidence certainty and quality assurance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4985DDB2" w14:textId="77777777" w:rsidTr="00346B30">
        <w:trPr>
          <w:trHeight w:val="339"/>
        </w:trPr>
        <w:tc>
          <w:tcPr>
            <w:tcW w:w="9072" w:type="dxa"/>
            <w:shd w:val="clear" w:color="auto" w:fill="99CDDD"/>
          </w:tcPr>
          <w:p w14:paraId="648B27E1" w14:textId="77777777" w:rsidR="0062657E" w:rsidRPr="00210C3D" w:rsidRDefault="0062657E" w:rsidP="006356D0">
            <w:pPr>
              <w:keepNext/>
              <w:spacing w:before="60" w:after="60" w:line="240" w:lineRule="auto"/>
              <w:rPr>
                <w:b/>
                <w:szCs w:val="22"/>
              </w:rPr>
            </w:pPr>
            <w:r w:rsidRPr="00210C3D">
              <w:rPr>
                <w:b/>
                <w:szCs w:val="22"/>
              </w:rPr>
              <w:t xml:space="preserve">Agency rating of evidence certainty?  </w:t>
            </w:r>
          </w:p>
        </w:tc>
      </w:tr>
      <w:tr w:rsidR="00210C3D" w:rsidRPr="001220BD" w14:paraId="480DB4C0" w14:textId="77777777" w:rsidTr="00346B30">
        <w:tc>
          <w:tcPr>
            <w:tcW w:w="9072" w:type="dxa"/>
            <w:shd w:val="clear" w:color="auto" w:fill="EBF5F8"/>
          </w:tcPr>
          <w:p w14:paraId="2F96D247" w14:textId="77777777" w:rsidR="0062657E" w:rsidRPr="001220BD" w:rsidRDefault="0062657E" w:rsidP="006356D0">
            <w:pPr>
              <w:pStyle w:val="TableHeading2"/>
              <w:keepNext/>
            </w:pPr>
            <w:r w:rsidRPr="001220BD">
              <w:t>How confident are you of the evidence base?</w:t>
            </w:r>
          </w:p>
        </w:tc>
      </w:tr>
      <w:tr w:rsidR="00210C3D" w:rsidRPr="00210C3D" w14:paraId="65CFBEAA" w14:textId="77777777" w:rsidTr="00346B30">
        <w:tc>
          <w:tcPr>
            <w:tcW w:w="9072" w:type="dxa"/>
            <w:shd w:val="clear" w:color="auto" w:fill="FFFFFF"/>
          </w:tcPr>
          <w:p w14:paraId="50DC041D" w14:textId="43D792F4" w:rsidR="0062657E" w:rsidRDefault="005F5995" w:rsidP="00431CA7">
            <w:r>
              <w:t>MSD is</w:t>
            </w:r>
            <w:r w:rsidR="00B22001">
              <w:t xml:space="preserve"> confident that increasing benefit abatement thresholds will directly increase incomes for beneficiaries working part-time and low to middle-income working families receiving the Accommodation Supplement. Holding all else equal, </w:t>
            </w:r>
            <w:r>
              <w:t>MSD is</w:t>
            </w:r>
            <w:r w:rsidR="00B22001">
              <w:t xml:space="preserve"> also confident that these increases are likely to modestly reduce child poverty.</w:t>
            </w:r>
          </w:p>
          <w:p w14:paraId="23F6E61E" w14:textId="402D6A97" w:rsidR="001B34F8" w:rsidRDefault="00B22001" w:rsidP="00431CA7">
            <w:r>
              <w:t>The evidence base on financial incentives to work</w:t>
            </w:r>
            <w:r w:rsidR="000C060E">
              <w:t xml:space="preserve"> (for both abatement threshold increase and MFTC)</w:t>
            </w:r>
            <w:r>
              <w:t xml:space="preserve"> i</w:t>
            </w:r>
            <w:r w:rsidR="00090AC7">
              <w:t>ndicates</w:t>
            </w:r>
            <w:r>
              <w:t xml:space="preserve"> that financial incentives are only one of many factors that influence people’s decisions on whether to work and how much to work and they are not usually the most important factor. However, empirical evidence suggests small but statistically significant impacts on labour market participation and intensity from changes in financial incentives to work, with larger impacts for some groups compared to others.</w:t>
            </w:r>
            <w:r w:rsidR="0070201A">
              <w:rPr>
                <w:rStyle w:val="FootnoteReference"/>
              </w:rPr>
              <w:footnoteReference w:id="5"/>
            </w:r>
            <w:r>
              <w:t xml:space="preserve"> The modelling of the increases to benefit abatement thresholds and the MFTC assumes no behavioural impacts, i.e. no increases in labour market participation or hours worked, as these impacts are likely to be modest and are difficult to quantify.</w:t>
            </w:r>
            <w:r w:rsidR="001B34F8">
              <w:t xml:space="preserve"> </w:t>
            </w:r>
          </w:p>
          <w:p w14:paraId="2396A8A0" w14:textId="701B43DE" w:rsidR="0062657E" w:rsidRPr="004A1E38" w:rsidRDefault="001B34F8" w:rsidP="0070201A">
            <w:r>
              <w:t>While increasing financial incentives to work part-time, the changes also reduce financial incentives to work full-time</w:t>
            </w:r>
            <w:r w:rsidR="00090AC7">
              <w:t xml:space="preserve"> for some</w:t>
            </w:r>
            <w:r>
              <w:t>. Again, this impact has not been quantified.</w:t>
            </w:r>
            <w:r w:rsidR="00664265">
              <w:t xml:space="preserve"> </w:t>
            </w:r>
            <w:r w:rsidR="00B22001">
              <w:t>The</w:t>
            </w:r>
            <w:r w:rsidR="00EF458C">
              <w:t>re is reasonably strong</w:t>
            </w:r>
            <w:r w:rsidR="00B22001">
              <w:t xml:space="preserve"> evidence </w:t>
            </w:r>
            <w:r w:rsidR="00EF458C">
              <w:t>that suitable work has</w:t>
            </w:r>
            <w:r w:rsidR="00B22001">
              <w:t xml:space="preserve"> broader</w:t>
            </w:r>
            <w:r w:rsidR="00EF458C">
              <w:t xml:space="preserve"> positive</w:t>
            </w:r>
            <w:r w:rsidR="00B22001">
              <w:t xml:space="preserve"> impacts o</w:t>
            </w:r>
            <w:r w:rsidR="00EF458C">
              <w:t>n</w:t>
            </w:r>
            <w:r w:rsidR="00B22001">
              <w:t xml:space="preserve"> wellbeing</w:t>
            </w:r>
            <w:r w:rsidR="004A1E38">
              <w:rPr>
                <w:rStyle w:val="FootnoteReference"/>
              </w:rPr>
              <w:footnoteReference w:id="6"/>
            </w:r>
            <w:r w:rsidR="00B22001">
              <w:t xml:space="preserve">, </w:t>
            </w:r>
            <w:r w:rsidR="00B22001">
              <w:lastRenderedPageBreak/>
              <w:t>but given the difficulty of modelling any increases in labour market participation or hours of work there has been no attempt to quantify these broader impacts.</w:t>
            </w:r>
          </w:p>
        </w:tc>
      </w:tr>
    </w:tbl>
    <w:p w14:paraId="6DD276F7" w14:textId="77777777" w:rsidR="0062657E" w:rsidRPr="00743278" w:rsidRDefault="0062657E" w:rsidP="00743278">
      <w:pPr>
        <w:pStyle w:val="spacer"/>
      </w:pPr>
    </w:p>
    <w:p w14:paraId="3E2AE18F" w14:textId="2DA7C182" w:rsidR="0062657E" w:rsidRPr="00210C3D" w:rsidRDefault="0062657E" w:rsidP="007B090A">
      <w:pPr>
        <w:spacing w:line="276" w:lineRule="auto"/>
        <w:rPr>
          <w:rFonts w:ascii="Arial Narrow" w:hAnsi="Arial Narrow"/>
          <w:i/>
          <w:szCs w:val="22"/>
        </w:rPr>
      </w:pPr>
      <w:r w:rsidRPr="00210C3D">
        <w:rPr>
          <w:i/>
          <w:szCs w:val="22"/>
        </w:rPr>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634412D0" w14:textId="77777777" w:rsidTr="00346B30">
        <w:trPr>
          <w:trHeight w:val="77"/>
        </w:trPr>
        <w:tc>
          <w:tcPr>
            <w:tcW w:w="9072" w:type="dxa"/>
            <w:shd w:val="clear" w:color="auto" w:fill="99CDDD"/>
            <w:hideMark/>
          </w:tcPr>
          <w:p w14:paraId="0E1C004C" w14:textId="77777777" w:rsidR="0062657E" w:rsidRPr="00210C3D" w:rsidRDefault="0062657E" w:rsidP="006356D0">
            <w:pPr>
              <w:keepNext/>
              <w:spacing w:before="60" w:after="60" w:line="240" w:lineRule="auto"/>
              <w:rPr>
                <w:szCs w:val="22"/>
              </w:rPr>
            </w:pPr>
            <w:r w:rsidRPr="00210C3D">
              <w:rPr>
                <w:szCs w:val="22"/>
              </w:rPr>
              <w:t>Quality Assurance Reviewing Agency:</w:t>
            </w:r>
          </w:p>
        </w:tc>
      </w:tr>
      <w:tr w:rsidR="00210C3D" w:rsidRPr="00210C3D" w14:paraId="4BAF0379" w14:textId="77777777" w:rsidTr="00346B30">
        <w:trPr>
          <w:trHeight w:val="635"/>
        </w:trPr>
        <w:tc>
          <w:tcPr>
            <w:tcW w:w="9072" w:type="dxa"/>
            <w:shd w:val="clear" w:color="auto" w:fill="FFFFFF"/>
          </w:tcPr>
          <w:p w14:paraId="015CB024" w14:textId="77777777" w:rsidR="007F6275" w:rsidRDefault="00664265" w:rsidP="007F6275">
            <w:pPr>
              <w:spacing w:before="60" w:after="60"/>
              <w:contextualSpacing/>
              <w:rPr>
                <w:rFonts w:ascii="Calibri" w:hAnsi="Calibri"/>
                <w:lang w:val="en-NZ" w:eastAsia="en-US"/>
              </w:rPr>
            </w:pPr>
            <w:r>
              <w:t xml:space="preserve"> </w:t>
            </w:r>
            <w:r w:rsidR="007F6275">
              <w:t xml:space="preserve">The </w:t>
            </w:r>
            <w:r w:rsidR="007F6275">
              <w:rPr>
                <w:color w:val="000000"/>
              </w:rPr>
              <w:t xml:space="preserve">reviewing agencies were: </w:t>
            </w:r>
          </w:p>
          <w:p w14:paraId="4CCCA8D8" w14:textId="77777777" w:rsidR="007F6275" w:rsidRPr="007F6275" w:rsidRDefault="007F6275" w:rsidP="007F6275">
            <w:pPr>
              <w:pStyle w:val="ListParagraph"/>
              <w:numPr>
                <w:ilvl w:val="0"/>
                <w:numId w:val="29"/>
              </w:numPr>
              <w:spacing w:before="60" w:after="60"/>
            </w:pPr>
            <w:r>
              <w:rPr>
                <w:color w:val="000000"/>
              </w:rPr>
              <w:t>Ministry of Social Development</w:t>
            </w:r>
          </w:p>
          <w:p w14:paraId="25125762" w14:textId="62765762" w:rsidR="001220BD" w:rsidRPr="00210C3D" w:rsidRDefault="007F6275" w:rsidP="007F6275">
            <w:pPr>
              <w:pStyle w:val="ListParagraph"/>
              <w:numPr>
                <w:ilvl w:val="0"/>
                <w:numId w:val="29"/>
              </w:numPr>
              <w:spacing w:before="60" w:after="60"/>
            </w:pPr>
            <w:r w:rsidRPr="007F6275">
              <w:rPr>
                <w:color w:val="000000"/>
              </w:rPr>
              <w:t>Inland Revenue</w:t>
            </w:r>
          </w:p>
        </w:tc>
      </w:tr>
      <w:tr w:rsidR="00210C3D" w:rsidRPr="00210C3D" w14:paraId="6C8896B4" w14:textId="77777777" w:rsidTr="00346B30">
        <w:trPr>
          <w:trHeight w:val="109"/>
        </w:trPr>
        <w:tc>
          <w:tcPr>
            <w:tcW w:w="9072" w:type="dxa"/>
            <w:shd w:val="clear" w:color="auto" w:fill="99CDDD"/>
          </w:tcPr>
          <w:p w14:paraId="14250DA1" w14:textId="77777777" w:rsidR="0062657E" w:rsidRPr="00210C3D" w:rsidRDefault="0062657E" w:rsidP="006356D0">
            <w:pPr>
              <w:keepNext/>
              <w:spacing w:before="60" w:after="60" w:line="240" w:lineRule="auto"/>
              <w:rPr>
                <w:szCs w:val="22"/>
              </w:rPr>
            </w:pPr>
            <w:r w:rsidRPr="00210C3D">
              <w:rPr>
                <w:szCs w:val="22"/>
              </w:rPr>
              <w:t>Quality Assurance Assessment:</w:t>
            </w:r>
          </w:p>
        </w:tc>
      </w:tr>
      <w:tr w:rsidR="00210C3D" w:rsidRPr="00210C3D" w14:paraId="134EAEC9" w14:textId="77777777" w:rsidTr="00346B30">
        <w:trPr>
          <w:trHeight w:val="681"/>
        </w:trPr>
        <w:tc>
          <w:tcPr>
            <w:tcW w:w="9072" w:type="dxa"/>
            <w:shd w:val="clear" w:color="auto" w:fill="FFFFFF"/>
          </w:tcPr>
          <w:p w14:paraId="5C285B98" w14:textId="05E99C7C" w:rsidR="001220BD" w:rsidRPr="00210C3D" w:rsidRDefault="007F6275" w:rsidP="007F6275">
            <w:bookmarkStart w:id="1" w:name="_Hlk57816624"/>
            <w:r w:rsidRPr="007F6275">
              <w:rPr>
                <w:color w:val="000000"/>
              </w:rPr>
              <w:t xml:space="preserve">The Quality Assurance reviewers at Inland Revenue and Ministry of Social Development have reviewed the </w:t>
            </w:r>
            <w:r w:rsidRPr="007F6275">
              <w:rPr>
                <w:i/>
                <w:iCs/>
                <w:color w:val="000000"/>
              </w:rPr>
              <w:t>Increasing main benefit abatement thresholds on 1 April 2021 and consequential adjustments to the Minimum Family Tax Credit</w:t>
            </w:r>
            <w:r w:rsidRPr="007F6275">
              <w:rPr>
                <w:color w:val="000000"/>
              </w:rPr>
              <w:t xml:space="preserve"> RIA and considers that the information and analysis summarised in it </w:t>
            </w:r>
            <w:r w:rsidRPr="007F6275">
              <w:rPr>
                <w:b/>
                <w:bCs/>
                <w:color w:val="000000"/>
              </w:rPr>
              <w:t>partially meets</w:t>
            </w:r>
            <w:r w:rsidRPr="007F6275">
              <w:rPr>
                <w:color w:val="000000"/>
              </w:rPr>
              <w:t xml:space="preserve"> the quality criteria of the Regulatory Impact Analysis framework</w:t>
            </w:r>
            <w:bookmarkEnd w:id="1"/>
            <w:r w:rsidRPr="007F6275">
              <w:rPr>
                <w:color w:val="000000"/>
              </w:rPr>
              <w:t>.</w:t>
            </w:r>
          </w:p>
        </w:tc>
      </w:tr>
      <w:tr w:rsidR="00210C3D" w:rsidRPr="00210C3D" w14:paraId="6A1BD382" w14:textId="77777777" w:rsidTr="00346B30">
        <w:trPr>
          <w:trHeight w:val="56"/>
        </w:trPr>
        <w:tc>
          <w:tcPr>
            <w:tcW w:w="9072" w:type="dxa"/>
            <w:shd w:val="clear" w:color="auto" w:fill="99CDDD"/>
          </w:tcPr>
          <w:p w14:paraId="4C942352" w14:textId="49B6E47E" w:rsidR="0062657E" w:rsidRPr="00210C3D" w:rsidRDefault="0062657E" w:rsidP="006356D0">
            <w:pPr>
              <w:keepNext/>
              <w:spacing w:before="60" w:after="60" w:line="240" w:lineRule="auto"/>
              <w:rPr>
                <w:szCs w:val="22"/>
              </w:rPr>
            </w:pPr>
            <w:r w:rsidRPr="00210C3D">
              <w:rPr>
                <w:szCs w:val="22"/>
              </w:rPr>
              <w:t>Reviewer Comments and Recommendations:</w:t>
            </w:r>
          </w:p>
        </w:tc>
      </w:tr>
      <w:tr w:rsidR="00210C3D" w:rsidRPr="00210C3D" w14:paraId="30E7857C" w14:textId="77777777" w:rsidTr="00346B30">
        <w:trPr>
          <w:trHeight w:val="665"/>
        </w:trPr>
        <w:tc>
          <w:tcPr>
            <w:tcW w:w="9072" w:type="dxa"/>
            <w:shd w:val="clear" w:color="auto" w:fill="FFFFFF"/>
          </w:tcPr>
          <w:p w14:paraId="17995B86" w14:textId="77777777" w:rsidR="007F6275" w:rsidRDefault="007F6275" w:rsidP="007F6275">
            <w:pPr>
              <w:spacing w:before="120"/>
              <w:rPr>
                <w:rFonts w:ascii="Calibri" w:hAnsi="Calibri"/>
                <w:lang w:val="en-NZ" w:eastAsia="en-US"/>
              </w:rPr>
            </w:pPr>
            <w:bookmarkStart w:id="2" w:name="_Hlk57811285"/>
            <w:bookmarkStart w:id="3" w:name="_Hlk57816685"/>
            <w:r>
              <w:rPr>
                <w:color w:val="000000"/>
              </w:rPr>
              <w:t xml:space="preserve">It partially meets the quality criteria for the following reasons: </w:t>
            </w:r>
          </w:p>
          <w:p w14:paraId="7158EE88" w14:textId="77777777" w:rsidR="007F6275" w:rsidRDefault="007F6275" w:rsidP="007F6275">
            <w:pPr>
              <w:pStyle w:val="Bullet-list"/>
              <w:numPr>
                <w:ilvl w:val="0"/>
                <w:numId w:val="30"/>
              </w:numPr>
              <w:spacing w:before="60" w:after="60"/>
              <w:ind w:left="714" w:hanging="357"/>
            </w:pPr>
            <w:r>
              <w:rPr>
                <w:color w:val="000000"/>
              </w:rPr>
              <w:t xml:space="preserve">There has been no analysis of the behavioural impacts. This is understandable given the timeframes and difficulties undertaking this analysis. However, the abatement thresholds and the MFTC are intended to encourage people to engage in work. Ideally, RIA would include an estimate of how many people will move into work as a result of the changes. The team notes the employment impacts will be monitored following implementation. </w:t>
            </w:r>
          </w:p>
          <w:p w14:paraId="7BC3C2DA" w14:textId="571261BB" w:rsidR="007F6275" w:rsidRDefault="007F6275" w:rsidP="007F6275">
            <w:pPr>
              <w:pStyle w:val="Bullet-list"/>
              <w:numPr>
                <w:ilvl w:val="0"/>
                <w:numId w:val="30"/>
              </w:numPr>
              <w:spacing w:before="60" w:after="60"/>
              <w:ind w:left="714" w:hanging="357"/>
            </w:pPr>
            <w:r>
              <w:rPr>
                <w:color w:val="000000"/>
              </w:rPr>
              <w:t xml:space="preserve">There is minimal discussion of alternative options to the abatement threshold increases, such as the staged increases committed to by the Government as part of Budget 2019. However, the Treasury RIA team advised MSD that a full RIA for the abatement threshold increases was not required because the increases were a manifesto commitment. </w:t>
            </w:r>
          </w:p>
          <w:p w14:paraId="20171152" w14:textId="57E23CCE" w:rsidR="007F6275" w:rsidRDefault="007F6275" w:rsidP="007F6275">
            <w:pPr>
              <w:pStyle w:val="Bullet-list"/>
              <w:numPr>
                <w:ilvl w:val="0"/>
                <w:numId w:val="30"/>
              </w:numPr>
              <w:spacing w:before="60" w:after="60"/>
              <w:ind w:left="714" w:hanging="357"/>
            </w:pPr>
            <w:r>
              <w:rPr>
                <w:color w:val="000000"/>
              </w:rPr>
              <w:t>In terms of the MFTC, the status quo is based on a long-established policy of full alignment of the MFTC with benefit changes. There are now differing views on the appropriateness of this automatic linkage when there are significant increases in benefit entitlements and the case for change does not adequately consider the impact on the identified group of people who would be relatively worse off if the MFTC is not increased. Moreover, the analysis relies on certain assumptions about the fiscal cost, which could benefit from further explanation, such as the degree of behavioural response that could lead individuals to shift from paid employment with MFTC to paid employment with welfare support. The behavioural responses are uncertain. The team notes the employment impacts will be monitored following implementation.</w:t>
            </w:r>
          </w:p>
          <w:p w14:paraId="30002E76" w14:textId="77777777" w:rsidR="007F6275" w:rsidRDefault="007F6275" w:rsidP="007F6275">
            <w:pPr>
              <w:pStyle w:val="Bullet-list"/>
              <w:numPr>
                <w:ilvl w:val="0"/>
                <w:numId w:val="30"/>
              </w:numPr>
              <w:spacing w:before="60" w:after="60"/>
              <w:ind w:left="714" w:hanging="357"/>
            </w:pPr>
            <w:r>
              <w:rPr>
                <w:color w:val="000000"/>
              </w:rPr>
              <w:t xml:space="preserve">We note that the options have administrative implications but there is little discussion of the impacts, for example from backdating MFTC payments.  </w:t>
            </w:r>
          </w:p>
          <w:p w14:paraId="12033D23" w14:textId="77777777" w:rsidR="007F6275" w:rsidRDefault="007F6275" w:rsidP="007F6275">
            <w:pPr>
              <w:pStyle w:val="Bullet-list"/>
              <w:numPr>
                <w:ilvl w:val="0"/>
                <w:numId w:val="30"/>
              </w:numPr>
              <w:spacing w:before="60" w:after="120"/>
              <w:ind w:left="714" w:hanging="357"/>
            </w:pPr>
            <w:r>
              <w:rPr>
                <w:color w:val="000000"/>
              </w:rPr>
              <w:lastRenderedPageBreak/>
              <w:t xml:space="preserve">Consultation with stakeholders – beyond government departments – has not happened due to time constraints and budget sensitivities. </w:t>
            </w:r>
            <w:bookmarkEnd w:id="2"/>
          </w:p>
          <w:p w14:paraId="0D19C6AD" w14:textId="3BBF84F2" w:rsidR="001220BD" w:rsidRPr="007F6275" w:rsidRDefault="007F6275" w:rsidP="007F6275">
            <w:pPr>
              <w:rPr>
                <w:lang w:val="en-NZ"/>
              </w:rPr>
            </w:pPr>
            <w:r>
              <w:rPr>
                <w:color w:val="000000"/>
              </w:rPr>
              <w:t>The team recommends MSD and IR monitor the behavioural outcomes of the changes, especially the employment outcomes.</w:t>
            </w:r>
            <w:bookmarkEnd w:id="3"/>
          </w:p>
        </w:tc>
      </w:tr>
    </w:tbl>
    <w:p w14:paraId="3CF8A716" w14:textId="454ACA9F" w:rsidR="0062657E" w:rsidRPr="00210C3D" w:rsidRDefault="0062657E" w:rsidP="00AA6A54">
      <w:pPr>
        <w:pStyle w:val="spacer"/>
      </w:pPr>
    </w:p>
    <w:p w14:paraId="2A2EC3F2" w14:textId="519AA1EC" w:rsidR="0062657E" w:rsidRDefault="0062657E" w:rsidP="00346B30">
      <w:pPr>
        <w:pStyle w:val="Heading1"/>
        <w:pageBreakBefore/>
        <w:spacing w:after="120" w:line="276" w:lineRule="auto"/>
        <w:rPr>
          <w:color w:val="0082AB"/>
        </w:rPr>
      </w:pPr>
      <w:r w:rsidRPr="0005691A">
        <w:rPr>
          <w:color w:val="0082AB"/>
        </w:rPr>
        <w:lastRenderedPageBreak/>
        <w:t>Impact Statement</w:t>
      </w:r>
      <w:r w:rsidR="00210C3D">
        <w:rPr>
          <w:color w:val="0082AB"/>
        </w:rPr>
        <w:t>:</w:t>
      </w:r>
      <w:r w:rsidRPr="0005691A">
        <w:rPr>
          <w:color w:val="0082AB"/>
        </w:rPr>
        <w:t xml:space="preserve"> </w:t>
      </w:r>
      <w:r w:rsidR="000A4708">
        <w:rPr>
          <w:color w:val="0082AB"/>
        </w:rPr>
        <w:t>Increasing main benefit abatement thresholds on 1 April 2021 and consequential adjustments to the Minimum Family Tax Credit</w:t>
      </w:r>
    </w:p>
    <w:p w14:paraId="07CB0352" w14:textId="77777777" w:rsidR="00210C3D" w:rsidRPr="00210C3D" w:rsidRDefault="00210C3D" w:rsidP="00210C3D">
      <w:pPr>
        <w:tabs>
          <w:tab w:val="left" w:pos="2550"/>
        </w:tabs>
        <w:spacing w:after="0" w:line="276" w:lineRule="auto"/>
        <w:rPr>
          <w:rFonts w:cs="Arial"/>
          <w:szCs w:val="22"/>
        </w:rPr>
      </w:pPr>
    </w:p>
    <w:p w14:paraId="124B02E2" w14:textId="77777777" w:rsidR="0062657E" w:rsidRPr="0005691A" w:rsidRDefault="0062657E" w:rsidP="00743278">
      <w:pPr>
        <w:tabs>
          <w:tab w:val="left" w:pos="2550"/>
        </w:tabs>
        <w:spacing w:before="120" w:after="120" w:line="276" w:lineRule="auto"/>
        <w:outlineLvl w:val="0"/>
        <w:rPr>
          <w:rFonts w:cs="Arial"/>
          <w:b/>
          <w:color w:val="0082AB"/>
          <w:spacing w:val="20"/>
          <w:w w:val="90"/>
          <w:sz w:val="32"/>
          <w:szCs w:val="24"/>
        </w:rPr>
      </w:pPr>
      <w:r w:rsidRPr="0005691A">
        <w:rPr>
          <w:rFonts w:cs="Arial"/>
          <w:b/>
          <w:color w:val="0082AB"/>
          <w:spacing w:val="20"/>
          <w:w w:val="90"/>
          <w:sz w:val="32"/>
          <w:szCs w:val="24"/>
        </w:rPr>
        <w:t>Section 1: General information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62657E" w:rsidRPr="009C4129" w14:paraId="23A9B3A2" w14:textId="77777777" w:rsidTr="00346B30">
        <w:tc>
          <w:tcPr>
            <w:tcW w:w="5000" w:type="pct"/>
            <w:shd w:val="clear" w:color="auto" w:fill="99CDDD"/>
            <w:hideMark/>
          </w:tcPr>
          <w:p w14:paraId="62BA6460" w14:textId="2102FBEE" w:rsidR="0062657E" w:rsidRPr="009C4129" w:rsidRDefault="00216981" w:rsidP="00B52920">
            <w:pPr>
              <w:keepNext/>
              <w:numPr>
                <w:ilvl w:val="1"/>
                <w:numId w:val="5"/>
              </w:numPr>
              <w:spacing w:before="60" w:after="60" w:line="240" w:lineRule="auto"/>
              <w:ind w:left="357" w:hanging="357"/>
              <w:rPr>
                <w:rFonts w:cs="Arial"/>
                <w:b/>
                <w:szCs w:val="22"/>
              </w:rPr>
            </w:pPr>
            <w:r>
              <w:rPr>
                <w:rFonts w:cs="Arial"/>
                <w:b/>
                <w:szCs w:val="22"/>
              </w:rPr>
              <w:t xml:space="preserve">  </w:t>
            </w:r>
            <w:r w:rsidR="0062657E" w:rsidRPr="009C4129">
              <w:rPr>
                <w:rFonts w:cs="Arial"/>
                <w:b/>
                <w:szCs w:val="22"/>
              </w:rPr>
              <w:t>Purpose</w:t>
            </w:r>
          </w:p>
        </w:tc>
      </w:tr>
      <w:tr w:rsidR="006356D0" w:rsidRPr="009C4129" w14:paraId="62DA1CD0" w14:textId="77777777" w:rsidTr="006356D0">
        <w:trPr>
          <w:trHeight w:val="680"/>
        </w:trPr>
        <w:tc>
          <w:tcPr>
            <w:tcW w:w="5000" w:type="pct"/>
            <w:shd w:val="clear" w:color="auto" w:fill="auto"/>
          </w:tcPr>
          <w:p w14:paraId="7698CC94" w14:textId="18156379" w:rsidR="005A74C1" w:rsidRDefault="00755000" w:rsidP="006356D0">
            <w:pPr>
              <w:rPr>
                <w:rFonts w:cs="Arial"/>
                <w:color w:val="000000"/>
                <w:szCs w:val="22"/>
              </w:rPr>
            </w:pPr>
            <w:r>
              <w:t xml:space="preserve">Ministry of Social Development </w:t>
            </w:r>
            <w:r w:rsidR="00EF458C">
              <w:t xml:space="preserve">(MSD) </w:t>
            </w:r>
            <w:r>
              <w:t>and Inland Revenue</w:t>
            </w:r>
            <w:r w:rsidR="00EF458C">
              <w:t xml:space="preserve"> (IR)</w:t>
            </w:r>
            <w:r>
              <w:t xml:space="preserve"> </w:t>
            </w:r>
            <w:r w:rsidRPr="00384E9B">
              <w:rPr>
                <w:rFonts w:cs="Arial"/>
                <w:color w:val="000000"/>
                <w:szCs w:val="22"/>
              </w:rPr>
              <w:t xml:space="preserve">are solely responsible for the analysis and advice set out in this Regulatory Impact Statement, except as </w:t>
            </w:r>
            <w:r>
              <w:rPr>
                <w:rFonts w:cs="Arial"/>
                <w:color w:val="000000"/>
                <w:szCs w:val="22"/>
              </w:rPr>
              <w:t xml:space="preserve">otherwise explicitly indicated. </w:t>
            </w:r>
          </w:p>
          <w:p w14:paraId="7AC7ECF3" w14:textId="012CD2A6" w:rsidR="006356D0" w:rsidRPr="00384E9B" w:rsidRDefault="00755000" w:rsidP="006356D0">
            <w:r w:rsidRPr="00384E9B">
              <w:rPr>
                <w:rFonts w:cs="Arial"/>
                <w:color w:val="000000"/>
                <w:szCs w:val="22"/>
              </w:rPr>
              <w:t>This analysis and advice ha</w:t>
            </w:r>
            <w:r w:rsidR="00F67B58">
              <w:rPr>
                <w:rFonts w:cs="Arial"/>
                <w:color w:val="000000"/>
                <w:szCs w:val="22"/>
              </w:rPr>
              <w:t>ve</w:t>
            </w:r>
            <w:r w:rsidRPr="00384E9B">
              <w:rPr>
                <w:rFonts w:cs="Arial"/>
                <w:color w:val="000000"/>
                <w:szCs w:val="22"/>
              </w:rPr>
              <w:t xml:space="preserve"> been produced for the purpose of informing</w:t>
            </w:r>
            <w:r>
              <w:rPr>
                <w:rFonts w:cs="Arial"/>
                <w:color w:val="000000"/>
                <w:szCs w:val="22"/>
              </w:rPr>
              <w:t xml:space="preserve"> </w:t>
            </w:r>
            <w:r w:rsidRPr="00755000">
              <w:rPr>
                <w:rFonts w:cs="Arial"/>
                <w:color w:val="000000"/>
                <w:szCs w:val="22"/>
              </w:rPr>
              <w:t>final decisions to be taken</w:t>
            </w:r>
            <w:r>
              <w:rPr>
                <w:rFonts w:cs="Arial"/>
                <w:color w:val="000000"/>
                <w:szCs w:val="22"/>
              </w:rPr>
              <w:t xml:space="preserve"> by Cabinet</w:t>
            </w:r>
            <w:r w:rsidR="000C060E">
              <w:rPr>
                <w:rFonts w:cs="Arial"/>
                <w:color w:val="000000"/>
                <w:szCs w:val="22"/>
              </w:rPr>
              <w:t xml:space="preserve"> in relation to increasing the abatement thresholds and consequential adjustments to the Minimum Family Tax Credit</w:t>
            </w:r>
            <w:r w:rsidR="00EF458C">
              <w:rPr>
                <w:rFonts w:cs="Arial"/>
                <w:color w:val="000000"/>
                <w:szCs w:val="22"/>
              </w:rPr>
              <w:t xml:space="preserve"> (MFTC)</w:t>
            </w:r>
            <w:r w:rsidR="000C060E">
              <w:rPr>
                <w:rFonts w:cs="Arial"/>
                <w:color w:val="000000"/>
                <w:szCs w:val="22"/>
              </w:rPr>
              <w:t>.</w:t>
            </w:r>
          </w:p>
        </w:tc>
      </w:tr>
    </w:tbl>
    <w:p w14:paraId="678A4B95" w14:textId="77777777" w:rsidR="009C4129" w:rsidRPr="009C4129" w:rsidRDefault="009C4129" w:rsidP="0049234F">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426"/>
        <w:gridCol w:w="4426"/>
      </w:tblGrid>
      <w:tr w:rsidR="0062657E" w:rsidRPr="009C4129" w14:paraId="0C139B51" w14:textId="77777777" w:rsidTr="00346B30">
        <w:tc>
          <w:tcPr>
            <w:tcW w:w="5000" w:type="pct"/>
            <w:gridSpan w:val="2"/>
            <w:shd w:val="clear" w:color="auto" w:fill="99CDDD"/>
            <w:hideMark/>
          </w:tcPr>
          <w:p w14:paraId="3F827D74" w14:textId="24EC6920" w:rsidR="0062657E" w:rsidRPr="009C4129" w:rsidRDefault="00216981" w:rsidP="00020F75">
            <w:pPr>
              <w:keepNext/>
              <w:spacing w:before="60" w:after="60" w:line="240" w:lineRule="auto"/>
              <w:rPr>
                <w:rFonts w:cs="Arial"/>
                <w:b/>
                <w:color w:val="002060"/>
                <w:szCs w:val="22"/>
              </w:rPr>
            </w:pPr>
            <w:r>
              <w:rPr>
                <w:rFonts w:cs="Arial"/>
                <w:b/>
                <w:szCs w:val="22"/>
              </w:rPr>
              <w:t xml:space="preserve">1.2   </w:t>
            </w:r>
            <w:r w:rsidR="0062657E" w:rsidRPr="009C4129">
              <w:rPr>
                <w:rFonts w:cs="Arial"/>
                <w:b/>
                <w:szCs w:val="22"/>
              </w:rPr>
              <w:t>Key Limitations or Constraints on Analysis</w:t>
            </w:r>
          </w:p>
        </w:tc>
      </w:tr>
      <w:tr w:rsidR="0062657E" w:rsidRPr="009C4129" w14:paraId="17FFDFE6" w14:textId="77777777" w:rsidTr="004B1A93">
        <w:trPr>
          <w:trHeight w:val="1167"/>
        </w:trPr>
        <w:tc>
          <w:tcPr>
            <w:tcW w:w="5000" w:type="pct"/>
            <w:gridSpan w:val="2"/>
            <w:shd w:val="clear" w:color="auto" w:fill="auto"/>
          </w:tcPr>
          <w:p w14:paraId="194DF1FF" w14:textId="3E5FE730" w:rsidR="0062657E" w:rsidRDefault="00F67B58" w:rsidP="00FF3C1F">
            <w:r>
              <w:t>Limitations and constraints on the analysis in this document include:</w:t>
            </w:r>
          </w:p>
          <w:p w14:paraId="5E5928BB" w14:textId="18D5011B" w:rsidR="002921B1" w:rsidRDefault="005529D9" w:rsidP="00B52920">
            <w:pPr>
              <w:pStyle w:val="ListParagraph"/>
              <w:numPr>
                <w:ilvl w:val="0"/>
                <w:numId w:val="12"/>
              </w:numPr>
            </w:pPr>
            <w:r>
              <w:t>T</w:t>
            </w:r>
            <w:r w:rsidR="00F67B58">
              <w:t>he Labour Party committed to increasing the thresholds to $160 and $250 per week from 1 April 2021 in its 2020 manifesto commitment. Therefore, other options have been ruled out, such as increasing the thresholds by a different amount, or changes to the abatement rates. (</w:t>
            </w:r>
            <w:r w:rsidR="005A74C1">
              <w:t>It should be noted that</w:t>
            </w:r>
            <w:r w:rsidR="00F67B58">
              <w:t xml:space="preserve"> abatement rate changes would also have similar trade-offs that apply, and it would be harder to communicate the changes</w:t>
            </w:r>
            <w:r w:rsidR="00506A78">
              <w:t>, which means it would be harder to influence people’s behaviour</w:t>
            </w:r>
            <w:r w:rsidR="00EF458C">
              <w:t xml:space="preserve"> in the direction intended</w:t>
            </w:r>
            <w:r w:rsidR="00F67B58">
              <w:t>)</w:t>
            </w:r>
            <w:r w:rsidR="00362AF6">
              <w:t>.</w:t>
            </w:r>
            <w:r w:rsidR="00506A78">
              <w:t xml:space="preserve"> </w:t>
            </w:r>
          </w:p>
          <w:p w14:paraId="13772927" w14:textId="44ACCDFB" w:rsidR="002921B1" w:rsidRDefault="00506A78" w:rsidP="00B52920">
            <w:pPr>
              <w:pStyle w:val="ListParagraph"/>
              <w:numPr>
                <w:ilvl w:val="0"/>
                <w:numId w:val="12"/>
              </w:numPr>
            </w:pPr>
            <w:r>
              <w:t xml:space="preserve">Other options that have been ruled out </w:t>
            </w:r>
            <w:r w:rsidR="00EF458C">
              <w:t xml:space="preserve">due to time constraints </w:t>
            </w:r>
            <w:r>
              <w:t xml:space="preserve">include </w:t>
            </w:r>
            <w:r w:rsidR="002921B1">
              <w:t>extending a part-time abatement regime to</w:t>
            </w:r>
            <w:r>
              <w:t xml:space="preserve"> Jobseeker Support on the grounds of a health condition, injury or disability</w:t>
            </w:r>
            <w:r w:rsidR="002921B1">
              <w:t xml:space="preserve"> to more closely match their work obligations</w:t>
            </w:r>
            <w:r>
              <w:t>.</w:t>
            </w:r>
          </w:p>
          <w:p w14:paraId="13E84D03" w14:textId="1280A351" w:rsidR="00362AF6" w:rsidRDefault="00135FF1" w:rsidP="00135FF1">
            <w:pPr>
              <w:pStyle w:val="ListParagraph"/>
              <w:numPr>
                <w:ilvl w:val="0"/>
                <w:numId w:val="12"/>
              </w:numPr>
              <w:spacing w:line="240" w:lineRule="auto"/>
              <w:ind w:left="714" w:hanging="357"/>
            </w:pPr>
            <w:r w:rsidRPr="00135FF1">
              <w:rPr>
                <w:color w:val="BFBFBF" w:themeColor="background1" w:themeShade="BF"/>
                <w:shd w:val="clear" w:color="auto" w:fill="BFBFBF" w:themeFill="background1" w:themeFillShade="BF"/>
              </w:rPr>
              <w:t>.</w:t>
            </w:r>
            <w:r w:rsidRPr="00135FF1">
              <w:rPr>
                <w:shd w:val="clear" w:color="auto" w:fill="BFBFBF" w:themeFill="background1" w:themeFillShade="BF"/>
              </w:rPr>
              <w:t>s 9(2)(f)(iv)</w:t>
            </w:r>
            <w:r w:rsidRPr="00135FF1">
              <w:rPr>
                <w:color w:val="BFBFBF" w:themeColor="background1" w:themeShade="BF"/>
                <w:shd w:val="clear" w:color="auto" w:fill="BFBFBF" w:themeFill="background1" w:themeFillShade="BF"/>
              </w:rPr>
              <w:t>……………</w:t>
            </w:r>
            <w:r>
              <w:rPr>
                <w:color w:val="BFBFBF" w:themeColor="background1" w:themeShade="BF"/>
                <w:shd w:val="clear" w:color="auto" w:fill="BFBFBF" w:themeFill="background1" w:themeFillShade="BF"/>
              </w:rPr>
              <w:t>…</w:t>
            </w:r>
            <w:r w:rsidRPr="00135FF1">
              <w:rPr>
                <w:color w:val="BFBFBF" w:themeColor="background1" w:themeShade="BF"/>
                <w:shd w:val="clear" w:color="auto" w:fill="BFBFBF" w:themeFill="background1" w:themeFillShade="BF"/>
              </w:rPr>
              <w:t>…………………………………………………</w:t>
            </w:r>
            <w:r>
              <w:rPr>
                <w:color w:val="BFBFBF" w:themeColor="background1" w:themeShade="BF"/>
                <w:shd w:val="clear" w:color="auto" w:fill="BFBFBF" w:themeFill="background1" w:themeFillShade="BF"/>
              </w:rPr>
              <w:t>.</w:t>
            </w:r>
            <w:r w:rsidRPr="00135FF1">
              <w:rPr>
                <w:color w:val="BFBFBF" w:themeColor="background1" w:themeShade="BF"/>
                <w:shd w:val="clear" w:color="auto" w:fill="BFBFBF" w:themeFill="background1" w:themeFillShade="BF"/>
              </w:rPr>
              <w:t>……………</w:t>
            </w:r>
            <w:r w:rsidRPr="00135FF1">
              <w:rPr>
                <w:color w:val="BFBFBF" w:themeColor="background1" w:themeShade="BF"/>
                <w:shd w:val="clear" w:color="auto" w:fill="BFBFBF" w:themeFill="background1" w:themeFillShade="BF"/>
              </w:rPr>
              <w:br/>
              <w:t>…………………………………………………………………………………………….</w:t>
            </w:r>
            <w:r w:rsidRPr="00135FF1">
              <w:rPr>
                <w:color w:val="BFBFBF" w:themeColor="background1" w:themeShade="BF"/>
                <w:shd w:val="clear" w:color="auto" w:fill="BFBFBF" w:themeFill="background1" w:themeFillShade="BF"/>
              </w:rPr>
              <w:br/>
              <w:t>…………………………………………………………………………………………….</w:t>
            </w:r>
            <w:r w:rsidRPr="00135FF1">
              <w:rPr>
                <w:color w:val="BFBFBF" w:themeColor="background1" w:themeShade="BF"/>
                <w:shd w:val="clear" w:color="auto" w:fill="BFBFBF" w:themeFill="background1" w:themeFillShade="BF"/>
              </w:rPr>
              <w:br/>
              <w:t>…………………………………………………………………………………………….</w:t>
            </w:r>
          </w:p>
          <w:p w14:paraId="1B8D2492" w14:textId="2DBAF4F6" w:rsidR="00F67B58" w:rsidRDefault="00F67B58" w:rsidP="00B52920">
            <w:pPr>
              <w:pStyle w:val="ListParagraph"/>
              <w:numPr>
                <w:ilvl w:val="0"/>
                <w:numId w:val="12"/>
              </w:numPr>
            </w:pPr>
            <w:r>
              <w:t xml:space="preserve">The modelling </w:t>
            </w:r>
            <w:r w:rsidR="005A74C1">
              <w:t>results</w:t>
            </w:r>
            <w:r w:rsidR="00AC5805">
              <w:t xml:space="preserve"> for abatement threshold increases</w:t>
            </w:r>
            <w:r>
              <w:t xml:space="preserve"> are scaled according to the P</w:t>
            </w:r>
            <w:r w:rsidR="00EC6811">
              <w:t>re-election Economic and Fiscal Update 2020</w:t>
            </w:r>
            <w:r>
              <w:t xml:space="preserve"> recipient and expenditure forecasts. </w:t>
            </w:r>
          </w:p>
          <w:p w14:paraId="40EC0811" w14:textId="65061CF3" w:rsidR="002C2AEE" w:rsidRDefault="00F67B58" w:rsidP="00B52920">
            <w:pPr>
              <w:pStyle w:val="ListParagraph"/>
              <w:numPr>
                <w:ilvl w:val="0"/>
                <w:numId w:val="12"/>
              </w:numPr>
            </w:pPr>
            <w:r>
              <w:t>The estima</w:t>
            </w:r>
            <w:r w:rsidR="002C2AEE">
              <w:t>tes of the impact of</w:t>
            </w:r>
            <w:r w:rsidR="005A74C1">
              <w:t xml:space="preserve"> the</w:t>
            </w:r>
            <w:r w:rsidR="002C2AEE">
              <w:t xml:space="preserve"> newly eligible </w:t>
            </w:r>
            <w:r w:rsidR="00AC5805">
              <w:t xml:space="preserve">for abatement threshold increases </w:t>
            </w:r>
            <w:r w:rsidR="002C2AEE">
              <w:t xml:space="preserve">are created based off existing work done in the Integrated Data Infrastructure (IDI). However, there is high uncertainty around these numbers. </w:t>
            </w:r>
          </w:p>
          <w:p w14:paraId="48799E54" w14:textId="50E9C485" w:rsidR="00AC5805" w:rsidRPr="00AC5805" w:rsidRDefault="00AC5805" w:rsidP="00B52920">
            <w:pPr>
              <w:pStyle w:val="ListParagraph"/>
              <w:numPr>
                <w:ilvl w:val="0"/>
                <w:numId w:val="12"/>
              </w:numPr>
              <w:rPr>
                <w:b/>
                <w:bCs/>
              </w:rPr>
            </w:pPr>
            <w:r>
              <w:t xml:space="preserve">Impacts of abatement threshold increases on Special Needs Grants and </w:t>
            </w:r>
            <w:r w:rsidR="00EC6811">
              <w:t>r</w:t>
            </w:r>
            <w:r>
              <w:t xml:space="preserve">ecoverable </w:t>
            </w:r>
            <w:r w:rsidR="00EC6811">
              <w:t>a</w:t>
            </w:r>
            <w:r>
              <w:t>ssistance have not been modelled.</w:t>
            </w:r>
            <w:r w:rsidR="00604955">
              <w:t xml:space="preserve"> It is expected that the number of these could modestly decrease, but there is a considerable amount of uncertainty.</w:t>
            </w:r>
          </w:p>
          <w:p w14:paraId="0820ED93" w14:textId="1EF07219" w:rsidR="00AC5805" w:rsidRPr="00AC5805" w:rsidRDefault="002C2AEE" w:rsidP="00B52920">
            <w:pPr>
              <w:pStyle w:val="ListParagraph"/>
              <w:numPr>
                <w:ilvl w:val="0"/>
                <w:numId w:val="12"/>
              </w:numPr>
              <w:rPr>
                <w:b/>
                <w:bCs/>
              </w:rPr>
            </w:pPr>
            <w:r>
              <w:t xml:space="preserve">Behavioural </w:t>
            </w:r>
            <w:r w:rsidR="00664265">
              <w:t>impacts</w:t>
            </w:r>
            <w:r>
              <w:t xml:space="preserve"> </w:t>
            </w:r>
            <w:r w:rsidR="00362AF6">
              <w:t>(</w:t>
            </w:r>
            <w:proofErr w:type="spellStart"/>
            <w:r w:rsidR="00362AF6">
              <w:t>ie</w:t>
            </w:r>
            <w:proofErr w:type="spellEnd"/>
            <w:r w:rsidR="00362AF6">
              <w:t xml:space="preserve">, increases in labour market participation or hours worked) </w:t>
            </w:r>
            <w:r>
              <w:t>have not been modelled</w:t>
            </w:r>
            <w:r w:rsidR="00AC5805">
              <w:t xml:space="preserve"> as there are various factors that influence a person’s work choices and</w:t>
            </w:r>
            <w:r w:rsidR="00EF458C">
              <w:t xml:space="preserve"> they</w:t>
            </w:r>
            <w:r w:rsidR="00AC5805">
              <w:t xml:space="preserve"> are difficult to quantify. </w:t>
            </w:r>
          </w:p>
          <w:p w14:paraId="4FD6E8E6" w14:textId="77777777" w:rsidR="00CC3F4F" w:rsidRPr="004B1A93" w:rsidRDefault="00362AF6" w:rsidP="00B52920">
            <w:pPr>
              <w:pStyle w:val="ListParagraph"/>
              <w:numPr>
                <w:ilvl w:val="0"/>
                <w:numId w:val="12"/>
              </w:numPr>
              <w:rPr>
                <w:b/>
                <w:bCs/>
              </w:rPr>
            </w:pPr>
            <w:r>
              <w:lastRenderedPageBreak/>
              <w:t>Analysis</w:t>
            </w:r>
            <w:r w:rsidR="006D7DCA">
              <w:t xml:space="preserve"> in this document</w:t>
            </w:r>
            <w:r>
              <w:t xml:space="preserve"> has been carried out under tight time constraints.</w:t>
            </w:r>
          </w:p>
          <w:p w14:paraId="2C3568BD" w14:textId="13136E6B" w:rsidR="00BD27AE" w:rsidRPr="004B1A93" w:rsidRDefault="00BD27AE" w:rsidP="00B52920">
            <w:pPr>
              <w:pStyle w:val="ListParagraph"/>
              <w:numPr>
                <w:ilvl w:val="0"/>
                <w:numId w:val="12"/>
              </w:numPr>
            </w:pPr>
            <w:r w:rsidRPr="004B1A93">
              <w:t>No consultation (beyond other Government agencies) has taken place as the proposed increases to the abatement thresholds is a Manifesto commitment and the Government’s consideration of the proposed changes in this RIA is Budget Sensitive.</w:t>
            </w:r>
          </w:p>
        </w:tc>
      </w:tr>
      <w:tr w:rsidR="0062657E" w:rsidRPr="009C4129" w14:paraId="1B2A4572" w14:textId="77777777" w:rsidTr="00346B30">
        <w:tc>
          <w:tcPr>
            <w:tcW w:w="5000" w:type="pct"/>
            <w:gridSpan w:val="2"/>
            <w:shd w:val="clear" w:color="auto" w:fill="99CDDD"/>
            <w:hideMark/>
          </w:tcPr>
          <w:p w14:paraId="4E3D27BC" w14:textId="78BE9E4C" w:rsidR="0062657E" w:rsidRPr="009C4129" w:rsidRDefault="00020F75" w:rsidP="006356D0">
            <w:pPr>
              <w:keepNext/>
              <w:spacing w:before="60" w:after="60" w:line="240" w:lineRule="auto"/>
              <w:rPr>
                <w:rFonts w:cs="Arial"/>
                <w:b/>
                <w:szCs w:val="22"/>
              </w:rPr>
            </w:pPr>
            <w:bookmarkStart w:id="4" w:name="_Toc363047038"/>
            <w:bookmarkStart w:id="5" w:name="_Toc362940530"/>
            <w:bookmarkStart w:id="6" w:name="_Toc362618966"/>
            <w:bookmarkStart w:id="7" w:name="_Toc362434720"/>
            <w:bookmarkStart w:id="8" w:name="_Toc362368098"/>
            <w:r>
              <w:rPr>
                <w:rFonts w:cs="Arial"/>
                <w:b/>
                <w:szCs w:val="22"/>
              </w:rPr>
              <w:lastRenderedPageBreak/>
              <w:t xml:space="preserve">1.3   </w:t>
            </w:r>
            <w:r w:rsidR="0062657E" w:rsidRPr="009C4129">
              <w:rPr>
                <w:rFonts w:cs="Arial"/>
                <w:b/>
                <w:szCs w:val="22"/>
              </w:rPr>
              <w:t>Responsible Manager</w:t>
            </w:r>
            <w:r w:rsidR="001B699B">
              <w:rPr>
                <w:rFonts w:cs="Arial"/>
                <w:b/>
                <w:szCs w:val="22"/>
              </w:rPr>
              <w:t>s</w:t>
            </w:r>
            <w:r w:rsidR="0062657E" w:rsidRPr="009C4129">
              <w:rPr>
                <w:rFonts w:cs="Arial"/>
                <w:b/>
                <w:szCs w:val="22"/>
              </w:rPr>
              <w:t>:</w:t>
            </w:r>
          </w:p>
        </w:tc>
      </w:tr>
      <w:tr w:rsidR="001B699B" w:rsidRPr="009C4129" w14:paraId="6C8BFA33" w14:textId="77777777" w:rsidTr="001B699B">
        <w:trPr>
          <w:trHeight w:val="3404"/>
        </w:trPr>
        <w:tc>
          <w:tcPr>
            <w:tcW w:w="2500" w:type="pct"/>
            <w:shd w:val="clear" w:color="auto" w:fill="FFFFFF"/>
          </w:tcPr>
          <w:p w14:paraId="3487AF3C" w14:textId="191AA34C" w:rsidR="00AA36E7" w:rsidRPr="005831EF" w:rsidRDefault="00135FF1" w:rsidP="00135FF1">
            <w:pPr>
              <w:spacing w:before="60" w:after="0" w:line="240" w:lineRule="auto"/>
              <w:ind w:left="284" w:hanging="284"/>
              <w:jc w:val="both"/>
              <w:rPr>
                <w:rFonts w:cs="Arial"/>
                <w:color w:val="BFBFBF" w:themeColor="background1" w:themeShade="BF"/>
                <w:szCs w:val="22"/>
              </w:rPr>
            </w:pPr>
            <w:r w:rsidRPr="005831EF">
              <w:rPr>
                <w:rFonts w:cs="Arial"/>
                <w:color w:val="BFBFBF" w:themeColor="background1" w:themeShade="BF"/>
                <w:szCs w:val="22"/>
                <w:shd w:val="clear" w:color="auto" w:fill="BFBFBF" w:themeFill="background1" w:themeFillShade="BF"/>
              </w:rPr>
              <w:t>.</w:t>
            </w:r>
            <w:r w:rsidRPr="00135FF1">
              <w:rPr>
                <w:rFonts w:cs="Arial"/>
                <w:szCs w:val="22"/>
                <w:shd w:val="clear" w:color="auto" w:fill="BFBFBF" w:themeFill="background1" w:themeFillShade="BF"/>
              </w:rPr>
              <w:t>s 9(2)(a)</w:t>
            </w:r>
            <w:r w:rsidRPr="005831EF">
              <w:rPr>
                <w:rFonts w:cs="Arial"/>
                <w:color w:val="BFBFBF" w:themeColor="background1" w:themeShade="BF"/>
                <w:szCs w:val="22"/>
                <w:shd w:val="clear" w:color="auto" w:fill="BFBFBF" w:themeFill="background1" w:themeFillShade="BF"/>
              </w:rPr>
              <w:t>……………………….</w:t>
            </w:r>
          </w:p>
          <w:p w14:paraId="5476079F" w14:textId="525DA41B" w:rsidR="00135FF1" w:rsidRPr="005831EF" w:rsidRDefault="00135FF1" w:rsidP="00135FF1">
            <w:pPr>
              <w:spacing w:after="0" w:line="240" w:lineRule="auto"/>
              <w:ind w:left="284" w:hanging="284"/>
              <w:jc w:val="both"/>
              <w:rPr>
                <w:rFonts w:cs="Arial"/>
                <w:color w:val="BFBFBF" w:themeColor="background1" w:themeShade="BF"/>
                <w:szCs w:val="22"/>
              </w:rPr>
            </w:pPr>
            <w:r w:rsidRPr="005831EF">
              <w:rPr>
                <w:rFonts w:cs="Arial"/>
                <w:color w:val="BFBFBF" w:themeColor="background1" w:themeShade="BF"/>
                <w:szCs w:val="22"/>
                <w:shd w:val="clear" w:color="auto" w:fill="BFBFBF" w:themeFill="background1" w:themeFillShade="BF"/>
              </w:rPr>
              <w:t>………………………………….</w:t>
            </w:r>
          </w:p>
          <w:p w14:paraId="6D6D7633" w14:textId="53310BF7" w:rsidR="00135FF1" w:rsidRPr="005831EF" w:rsidRDefault="00135FF1" w:rsidP="00135FF1">
            <w:pPr>
              <w:spacing w:after="0" w:line="240" w:lineRule="auto"/>
              <w:ind w:left="284" w:hanging="284"/>
              <w:jc w:val="both"/>
              <w:rPr>
                <w:rFonts w:cs="Arial"/>
                <w:color w:val="BFBFBF" w:themeColor="background1" w:themeShade="BF"/>
                <w:szCs w:val="22"/>
                <w:shd w:val="clear" w:color="auto" w:fill="BFBFBF" w:themeFill="background1" w:themeFillShade="BF"/>
              </w:rPr>
            </w:pPr>
            <w:r w:rsidRPr="005831EF">
              <w:rPr>
                <w:rFonts w:cs="Arial"/>
                <w:color w:val="BFBFBF" w:themeColor="background1" w:themeShade="BF"/>
                <w:szCs w:val="22"/>
                <w:shd w:val="clear" w:color="auto" w:fill="BFBFBF" w:themeFill="background1" w:themeFillShade="BF"/>
              </w:rPr>
              <w:t>………………………………….</w:t>
            </w:r>
          </w:p>
          <w:p w14:paraId="1BA4DC46" w14:textId="43DC59A4" w:rsidR="005831EF" w:rsidRPr="005831EF" w:rsidRDefault="005831EF" w:rsidP="00135FF1">
            <w:pPr>
              <w:spacing w:after="0" w:line="240" w:lineRule="auto"/>
              <w:ind w:left="284" w:hanging="284"/>
              <w:jc w:val="both"/>
              <w:rPr>
                <w:rFonts w:cs="Arial"/>
                <w:color w:val="BFBFBF" w:themeColor="background1" w:themeShade="BF"/>
                <w:szCs w:val="22"/>
              </w:rPr>
            </w:pPr>
            <w:r w:rsidRPr="005831EF">
              <w:rPr>
                <w:rFonts w:cs="Arial"/>
                <w:color w:val="BFBFBF" w:themeColor="background1" w:themeShade="BF"/>
                <w:szCs w:val="22"/>
                <w:shd w:val="clear" w:color="auto" w:fill="BFBFBF" w:themeFill="background1" w:themeFillShade="BF"/>
              </w:rPr>
              <w:t>………………………………….</w:t>
            </w:r>
          </w:p>
          <w:p w14:paraId="4B7C57B5" w14:textId="30A623E6" w:rsidR="00135FF1" w:rsidRPr="005831EF" w:rsidRDefault="00135FF1" w:rsidP="00135FF1">
            <w:pPr>
              <w:spacing w:line="240" w:lineRule="auto"/>
              <w:ind w:left="284" w:hanging="284"/>
              <w:jc w:val="both"/>
              <w:rPr>
                <w:rFonts w:cs="Arial"/>
                <w:color w:val="BFBFBF" w:themeColor="background1" w:themeShade="BF"/>
                <w:szCs w:val="22"/>
              </w:rPr>
            </w:pPr>
            <w:r w:rsidRPr="005831EF">
              <w:rPr>
                <w:rFonts w:cs="Arial"/>
                <w:color w:val="BFBFBF" w:themeColor="background1" w:themeShade="BF"/>
                <w:szCs w:val="22"/>
                <w:shd w:val="clear" w:color="auto" w:fill="BFBFBF" w:themeFill="background1" w:themeFillShade="BF"/>
              </w:rPr>
              <w:t>………………………………….</w:t>
            </w:r>
          </w:p>
          <w:p w14:paraId="64E310B9" w14:textId="5D0674B5" w:rsidR="001B699B" w:rsidRPr="009C4129" w:rsidRDefault="000561C9" w:rsidP="0049234F">
            <w:pPr>
              <w:spacing w:before="60" w:line="276" w:lineRule="auto"/>
              <w:ind w:left="284" w:hanging="284"/>
              <w:jc w:val="both"/>
              <w:rPr>
                <w:rFonts w:cs="Arial"/>
                <w:szCs w:val="22"/>
              </w:rPr>
            </w:pPr>
            <w:r>
              <w:rPr>
                <w:rFonts w:cs="Arial"/>
                <w:szCs w:val="22"/>
              </w:rPr>
              <w:t>Income Support Policy</w:t>
            </w:r>
          </w:p>
          <w:p w14:paraId="14D45252" w14:textId="4E0BC4BE" w:rsidR="001B699B" w:rsidRDefault="000561C9" w:rsidP="0049234F">
            <w:pPr>
              <w:spacing w:before="60" w:line="276" w:lineRule="auto"/>
              <w:ind w:left="284" w:hanging="284"/>
              <w:jc w:val="both"/>
              <w:rPr>
                <w:rFonts w:cs="Arial"/>
                <w:szCs w:val="22"/>
              </w:rPr>
            </w:pPr>
            <w:r>
              <w:rPr>
                <w:rFonts w:cs="Arial"/>
                <w:szCs w:val="22"/>
              </w:rPr>
              <w:t>Welfare System and Income Support Policy</w:t>
            </w:r>
          </w:p>
          <w:p w14:paraId="3066CBE9" w14:textId="300CCA77" w:rsidR="001B699B" w:rsidRDefault="000561C9" w:rsidP="001B699B">
            <w:pPr>
              <w:spacing w:before="60" w:line="276" w:lineRule="auto"/>
              <w:ind w:left="284" w:hanging="284"/>
              <w:jc w:val="both"/>
              <w:rPr>
                <w:rFonts w:cs="Arial"/>
                <w:szCs w:val="22"/>
              </w:rPr>
            </w:pPr>
            <w:r>
              <w:rPr>
                <w:rFonts w:cs="Arial"/>
                <w:szCs w:val="22"/>
              </w:rPr>
              <w:t>Ministry of Social Development</w:t>
            </w:r>
          </w:p>
          <w:p w14:paraId="6AEF4A83" w14:textId="20708225" w:rsidR="001B699B" w:rsidRPr="009C4129" w:rsidRDefault="004275F2" w:rsidP="001B699B">
            <w:pPr>
              <w:spacing w:before="60" w:line="276" w:lineRule="auto"/>
              <w:ind w:left="284" w:hanging="284"/>
              <w:jc w:val="both"/>
              <w:rPr>
                <w:rFonts w:cs="Arial"/>
                <w:szCs w:val="22"/>
              </w:rPr>
            </w:pPr>
            <w:r>
              <w:rPr>
                <w:rFonts w:cs="Arial"/>
                <w:szCs w:val="22"/>
              </w:rPr>
              <w:t>3 December 2020</w:t>
            </w:r>
          </w:p>
        </w:tc>
        <w:tc>
          <w:tcPr>
            <w:tcW w:w="2500" w:type="pct"/>
            <w:shd w:val="clear" w:color="auto" w:fill="FFFFFF"/>
          </w:tcPr>
          <w:p w14:paraId="69DE3807" w14:textId="36882E99" w:rsidR="000058B9" w:rsidRPr="005831EF" w:rsidRDefault="00135FF1" w:rsidP="00135FF1">
            <w:pPr>
              <w:spacing w:before="60" w:after="0" w:line="240" w:lineRule="auto"/>
              <w:ind w:left="284" w:hanging="284"/>
              <w:jc w:val="both"/>
              <w:rPr>
                <w:rFonts w:cs="Arial"/>
                <w:color w:val="BFBFBF" w:themeColor="background1" w:themeShade="BF"/>
                <w:szCs w:val="22"/>
              </w:rPr>
            </w:pPr>
            <w:r w:rsidRPr="005831EF">
              <w:rPr>
                <w:rFonts w:cs="Arial"/>
                <w:color w:val="BFBFBF" w:themeColor="background1" w:themeShade="BF"/>
                <w:szCs w:val="22"/>
                <w:shd w:val="clear" w:color="auto" w:fill="BFBFBF" w:themeFill="background1" w:themeFillShade="BF"/>
              </w:rPr>
              <w:t>.</w:t>
            </w:r>
            <w:r w:rsidRPr="00135FF1">
              <w:rPr>
                <w:rFonts w:cs="Arial"/>
                <w:szCs w:val="22"/>
                <w:shd w:val="clear" w:color="auto" w:fill="BFBFBF" w:themeFill="background1" w:themeFillShade="BF"/>
              </w:rPr>
              <w:t>s 9(2)(a)</w:t>
            </w:r>
            <w:r w:rsidRPr="005831EF">
              <w:rPr>
                <w:rFonts w:cs="Arial"/>
                <w:color w:val="BFBFBF" w:themeColor="background1" w:themeShade="BF"/>
                <w:szCs w:val="22"/>
                <w:shd w:val="clear" w:color="auto" w:fill="BFBFBF" w:themeFill="background1" w:themeFillShade="BF"/>
              </w:rPr>
              <w:t>………………….…...</w:t>
            </w:r>
          </w:p>
          <w:p w14:paraId="0F4D2641" w14:textId="204C1E9F" w:rsidR="00135FF1" w:rsidRPr="005831EF" w:rsidRDefault="00135FF1" w:rsidP="00135FF1">
            <w:pPr>
              <w:spacing w:after="0" w:line="240" w:lineRule="auto"/>
              <w:ind w:left="284" w:hanging="284"/>
              <w:jc w:val="both"/>
              <w:rPr>
                <w:rFonts w:cs="Arial"/>
                <w:color w:val="BFBFBF" w:themeColor="background1" w:themeShade="BF"/>
                <w:szCs w:val="22"/>
                <w:shd w:val="clear" w:color="auto" w:fill="BFBFBF" w:themeFill="background1" w:themeFillShade="BF"/>
              </w:rPr>
            </w:pPr>
            <w:r w:rsidRPr="005831EF">
              <w:rPr>
                <w:rFonts w:cs="Arial"/>
                <w:color w:val="BFBFBF" w:themeColor="background1" w:themeShade="BF"/>
                <w:szCs w:val="22"/>
                <w:shd w:val="clear" w:color="auto" w:fill="BFBFBF" w:themeFill="background1" w:themeFillShade="BF"/>
              </w:rPr>
              <w:t>…………………………….…...</w:t>
            </w:r>
          </w:p>
          <w:p w14:paraId="4337E345" w14:textId="77777777" w:rsidR="00135FF1" w:rsidRDefault="00135FF1" w:rsidP="00135FF1">
            <w:pPr>
              <w:spacing w:line="240" w:lineRule="auto"/>
              <w:ind w:left="284" w:hanging="284"/>
              <w:jc w:val="both"/>
              <w:rPr>
                <w:rFonts w:cs="Arial"/>
                <w:szCs w:val="22"/>
              </w:rPr>
            </w:pPr>
            <w:r w:rsidRPr="005831EF">
              <w:rPr>
                <w:rFonts w:cs="Arial"/>
                <w:color w:val="BFBFBF" w:themeColor="background1" w:themeShade="BF"/>
                <w:szCs w:val="22"/>
                <w:shd w:val="clear" w:color="auto" w:fill="BFBFBF" w:themeFill="background1" w:themeFillShade="BF"/>
              </w:rPr>
              <w:t>…………………………….…...</w:t>
            </w:r>
          </w:p>
          <w:p w14:paraId="2C94178E" w14:textId="545A5C79" w:rsidR="001B699B" w:rsidRDefault="008A4F65" w:rsidP="00AA36E7">
            <w:pPr>
              <w:spacing w:before="60" w:line="276" w:lineRule="auto"/>
              <w:jc w:val="both"/>
              <w:rPr>
                <w:rFonts w:cs="Arial"/>
                <w:szCs w:val="22"/>
              </w:rPr>
            </w:pPr>
            <w:r>
              <w:rPr>
                <w:rFonts w:cs="Arial"/>
                <w:szCs w:val="22"/>
              </w:rPr>
              <w:t>Carolyn Elliott</w:t>
            </w:r>
          </w:p>
          <w:p w14:paraId="106B9ACC" w14:textId="4C1ADAEE" w:rsidR="008A4F65" w:rsidRDefault="008A4F65" w:rsidP="00AA36E7">
            <w:pPr>
              <w:spacing w:before="60" w:line="276" w:lineRule="auto"/>
              <w:ind w:left="284" w:hanging="284"/>
              <w:jc w:val="both"/>
              <w:rPr>
                <w:rFonts w:cs="Arial"/>
                <w:szCs w:val="22"/>
              </w:rPr>
            </w:pPr>
            <w:r>
              <w:rPr>
                <w:rFonts w:cs="Arial"/>
                <w:szCs w:val="22"/>
              </w:rPr>
              <w:t>Families and Individuals</w:t>
            </w:r>
          </w:p>
          <w:p w14:paraId="3D4DB28E" w14:textId="3787E574" w:rsidR="008A4F65" w:rsidRDefault="008A4F65" w:rsidP="00AA36E7">
            <w:pPr>
              <w:spacing w:before="60" w:line="276" w:lineRule="auto"/>
              <w:ind w:left="284" w:hanging="284"/>
              <w:jc w:val="both"/>
              <w:rPr>
                <w:rFonts w:cs="Arial"/>
                <w:szCs w:val="22"/>
              </w:rPr>
            </w:pPr>
            <w:r>
              <w:rPr>
                <w:rFonts w:cs="Arial"/>
                <w:szCs w:val="22"/>
              </w:rPr>
              <w:t>Policy and Strategy</w:t>
            </w:r>
          </w:p>
          <w:p w14:paraId="737A54DA" w14:textId="2A1DD8D4" w:rsidR="008A4F65" w:rsidRPr="009C4129" w:rsidRDefault="008A4F65" w:rsidP="00AA36E7">
            <w:pPr>
              <w:spacing w:before="60" w:line="276" w:lineRule="auto"/>
              <w:ind w:left="284" w:hanging="284"/>
              <w:jc w:val="both"/>
              <w:rPr>
                <w:rFonts w:cs="Arial"/>
                <w:szCs w:val="22"/>
              </w:rPr>
            </w:pPr>
            <w:r>
              <w:rPr>
                <w:rFonts w:cs="Arial"/>
                <w:szCs w:val="22"/>
              </w:rPr>
              <w:t xml:space="preserve">Inland Revenue </w:t>
            </w:r>
          </w:p>
          <w:p w14:paraId="49AF7E45" w14:textId="73A12083" w:rsidR="001B699B" w:rsidRPr="009C4129" w:rsidRDefault="004275F2" w:rsidP="00AA36E7">
            <w:pPr>
              <w:spacing w:before="60" w:line="276" w:lineRule="auto"/>
              <w:jc w:val="both"/>
              <w:rPr>
                <w:rFonts w:cs="Arial"/>
                <w:szCs w:val="22"/>
              </w:rPr>
            </w:pPr>
            <w:r>
              <w:rPr>
                <w:rFonts w:cs="Arial"/>
                <w:szCs w:val="22"/>
              </w:rPr>
              <w:t>3 December 2020</w:t>
            </w:r>
          </w:p>
        </w:tc>
      </w:tr>
    </w:tbl>
    <w:p w14:paraId="510A6E43" w14:textId="77777777" w:rsidR="0062657E" w:rsidRPr="0005691A" w:rsidRDefault="0062657E" w:rsidP="00663BAA">
      <w:pPr>
        <w:spacing w:line="276" w:lineRule="auto"/>
        <w:rPr>
          <w:rFonts w:cs="Arial"/>
          <w:b/>
          <w:color w:val="0082AB"/>
          <w:spacing w:val="20"/>
          <w:w w:val="90"/>
          <w:sz w:val="32"/>
          <w:szCs w:val="24"/>
        </w:rPr>
      </w:pPr>
      <w:r w:rsidRPr="009C4129">
        <w:rPr>
          <w:rFonts w:cs="Arial"/>
          <w:szCs w:val="22"/>
        </w:rPr>
        <w:br w:type="page"/>
      </w:r>
      <w:r w:rsidRPr="0005691A">
        <w:rPr>
          <w:rFonts w:cs="Arial"/>
          <w:b/>
          <w:color w:val="0082AB"/>
          <w:spacing w:val="20"/>
          <w:w w:val="90"/>
          <w:sz w:val="32"/>
          <w:szCs w:val="24"/>
        </w:rPr>
        <w:lastRenderedPageBreak/>
        <w:t>Section 2:</w:t>
      </w:r>
      <w:bookmarkEnd w:id="4"/>
      <w:bookmarkEnd w:id="5"/>
      <w:bookmarkEnd w:id="6"/>
      <w:bookmarkEnd w:id="7"/>
      <w:bookmarkEnd w:id="8"/>
      <w:r w:rsidR="0005691A" w:rsidRPr="0005691A">
        <w:rPr>
          <w:rFonts w:cs="Arial"/>
          <w:b/>
          <w:color w:val="0082AB"/>
          <w:spacing w:val="20"/>
          <w:w w:val="90"/>
          <w:sz w:val="32"/>
          <w:szCs w:val="24"/>
        </w:rPr>
        <w:t xml:space="preserve"> </w:t>
      </w:r>
      <w:r w:rsidRPr="0005691A">
        <w:rPr>
          <w:rFonts w:cs="Arial"/>
          <w:b/>
          <w:color w:val="0082AB"/>
          <w:spacing w:val="20"/>
          <w:w w:val="90"/>
          <w:sz w:val="32"/>
          <w:szCs w:val="24"/>
        </w:rPr>
        <w:t>Problem definition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9C4129" w:rsidRPr="009C4129" w14:paraId="4029D6CB" w14:textId="77777777" w:rsidTr="00346B30">
        <w:trPr>
          <w:trHeight w:val="77"/>
        </w:trPr>
        <w:tc>
          <w:tcPr>
            <w:tcW w:w="5000" w:type="pct"/>
            <w:shd w:val="clear" w:color="auto" w:fill="99CDDD"/>
          </w:tcPr>
          <w:p w14:paraId="1834E45F" w14:textId="45D02DC5" w:rsidR="0062657E" w:rsidRPr="009C4129" w:rsidRDefault="00216981" w:rsidP="006356D0">
            <w:pPr>
              <w:keepNext/>
              <w:spacing w:before="60" w:after="60" w:line="240" w:lineRule="auto"/>
              <w:rPr>
                <w:rFonts w:cs="Arial"/>
                <w:b/>
                <w:szCs w:val="22"/>
              </w:rPr>
            </w:pPr>
            <w:r>
              <w:rPr>
                <w:rFonts w:cs="Arial"/>
                <w:b/>
                <w:szCs w:val="22"/>
              </w:rPr>
              <w:t xml:space="preserve">2.1   </w:t>
            </w:r>
            <w:r w:rsidR="0062657E" w:rsidRPr="009C4129">
              <w:rPr>
                <w:rFonts w:cs="Arial"/>
                <w:b/>
                <w:szCs w:val="22"/>
              </w:rPr>
              <w:t xml:space="preserve">What is the </w:t>
            </w:r>
            <w:r w:rsidR="00B96523">
              <w:rPr>
                <w:rFonts w:cs="Arial"/>
                <w:b/>
                <w:szCs w:val="22"/>
              </w:rPr>
              <w:t xml:space="preserve">current state </w:t>
            </w:r>
            <w:r w:rsidR="0062657E" w:rsidRPr="009C4129">
              <w:rPr>
                <w:rFonts w:cs="Arial"/>
                <w:b/>
                <w:szCs w:val="22"/>
              </w:rPr>
              <w:t>within which action is proposed?</w:t>
            </w:r>
          </w:p>
        </w:tc>
      </w:tr>
      <w:tr w:rsidR="009C4129" w:rsidRPr="009C4129" w14:paraId="69A48309" w14:textId="77777777" w:rsidTr="00346B30">
        <w:trPr>
          <w:trHeight w:val="3346"/>
        </w:trPr>
        <w:tc>
          <w:tcPr>
            <w:tcW w:w="5000" w:type="pct"/>
            <w:shd w:val="clear" w:color="auto" w:fill="FFFFFF"/>
          </w:tcPr>
          <w:p w14:paraId="2E4C4F27" w14:textId="3466EDA0" w:rsidR="004315B9" w:rsidRDefault="00EF458C" w:rsidP="000F2C11">
            <w:pPr>
              <w:spacing w:after="0" w:line="276" w:lineRule="auto"/>
              <w:jc w:val="both"/>
              <w:rPr>
                <w:rFonts w:cs="Arial"/>
                <w:szCs w:val="22"/>
                <w:lang w:eastAsia="en-AU"/>
              </w:rPr>
            </w:pPr>
            <w:r>
              <w:rPr>
                <w:rFonts w:cs="Arial"/>
                <w:b/>
                <w:bCs/>
                <w:szCs w:val="22"/>
                <w:lang w:eastAsia="en-AU"/>
              </w:rPr>
              <w:t>The welfare system is structured to assist those most in need and encourage paid work where possible</w:t>
            </w:r>
          </w:p>
          <w:p w14:paraId="54C75A29" w14:textId="77777777" w:rsidR="00765A0D" w:rsidRDefault="00765A0D" w:rsidP="000F2C11">
            <w:pPr>
              <w:spacing w:after="0" w:line="276" w:lineRule="auto"/>
              <w:jc w:val="both"/>
              <w:rPr>
                <w:rFonts w:cs="Arial"/>
                <w:szCs w:val="22"/>
                <w:lang w:eastAsia="en-AU"/>
              </w:rPr>
            </w:pPr>
          </w:p>
          <w:p w14:paraId="441A972C" w14:textId="144C78EA" w:rsidR="004E6F82" w:rsidRDefault="004315B9" w:rsidP="000F2C11">
            <w:pPr>
              <w:spacing w:after="0" w:line="276" w:lineRule="auto"/>
              <w:jc w:val="both"/>
              <w:rPr>
                <w:rFonts w:cs="Arial"/>
                <w:szCs w:val="22"/>
                <w:lang w:eastAsia="en-AU"/>
              </w:rPr>
            </w:pPr>
            <w:r>
              <w:rPr>
                <w:rFonts w:cs="Arial"/>
                <w:szCs w:val="22"/>
                <w:lang w:eastAsia="en-AU"/>
              </w:rPr>
              <w:t>New Zealand’s welfare system is designed to target people who are unable to full</w:t>
            </w:r>
            <w:r w:rsidR="005961D5">
              <w:rPr>
                <w:rFonts w:cs="Arial"/>
                <w:szCs w:val="22"/>
                <w:lang w:eastAsia="en-AU"/>
              </w:rPr>
              <w:t>y</w:t>
            </w:r>
            <w:r>
              <w:rPr>
                <w:rFonts w:cs="Arial"/>
                <w:szCs w:val="22"/>
                <w:lang w:eastAsia="en-AU"/>
              </w:rPr>
              <w:t xml:space="preserve"> support themselves through paid work. </w:t>
            </w:r>
            <w:r w:rsidR="000F2C11" w:rsidRPr="000F2C11">
              <w:rPr>
                <w:rFonts w:cs="Arial"/>
                <w:szCs w:val="22"/>
                <w:lang w:eastAsia="en-AU"/>
              </w:rPr>
              <w:t>Almost all income support in New Zealand is targeted on the basis of family income (and family</w:t>
            </w:r>
            <w:r w:rsidR="000F2C11">
              <w:rPr>
                <w:rFonts w:cs="Arial"/>
                <w:szCs w:val="22"/>
                <w:lang w:eastAsia="en-AU"/>
              </w:rPr>
              <w:t xml:space="preserve"> </w:t>
            </w:r>
            <w:r w:rsidR="000F2C11" w:rsidRPr="000F2C11">
              <w:rPr>
                <w:rFonts w:cs="Arial"/>
                <w:szCs w:val="22"/>
                <w:lang w:eastAsia="en-AU"/>
              </w:rPr>
              <w:t>assets), with the family defined as the nuclear family (</w:t>
            </w:r>
            <w:proofErr w:type="gramStart"/>
            <w:r w:rsidR="000F2C11" w:rsidRPr="000F2C11">
              <w:rPr>
                <w:rFonts w:cs="Arial"/>
                <w:szCs w:val="22"/>
                <w:lang w:eastAsia="en-AU"/>
              </w:rPr>
              <w:t>i.e.</w:t>
            </w:r>
            <w:proofErr w:type="gramEnd"/>
            <w:r w:rsidR="000F2C11" w:rsidRPr="000F2C11">
              <w:rPr>
                <w:rFonts w:cs="Arial"/>
                <w:szCs w:val="22"/>
                <w:lang w:eastAsia="en-AU"/>
              </w:rPr>
              <w:t xml:space="preserve"> adults and any dependent children).</w:t>
            </w:r>
            <w:r w:rsidR="000F2C11">
              <w:rPr>
                <w:rFonts w:cs="Arial"/>
                <w:szCs w:val="22"/>
                <w:lang w:eastAsia="en-AU"/>
              </w:rPr>
              <w:t xml:space="preserve"> </w:t>
            </w:r>
            <w:r w:rsidR="000F2C11" w:rsidRPr="000F2C11">
              <w:rPr>
                <w:rFonts w:cs="Arial"/>
                <w:szCs w:val="22"/>
                <w:lang w:eastAsia="en-AU"/>
              </w:rPr>
              <w:t>Income and asset tests are determined by a combination of the abatement settings of payments</w:t>
            </w:r>
            <w:r w:rsidR="000F2C11">
              <w:rPr>
                <w:rFonts w:cs="Arial"/>
                <w:szCs w:val="22"/>
                <w:lang w:eastAsia="en-AU"/>
              </w:rPr>
              <w:t xml:space="preserve"> </w:t>
            </w:r>
            <w:r w:rsidR="000F2C11" w:rsidRPr="000F2C11">
              <w:rPr>
                <w:rFonts w:cs="Arial"/>
                <w:szCs w:val="22"/>
                <w:lang w:eastAsia="en-AU"/>
              </w:rPr>
              <w:t>(how fast they are reduced) and the rates of the benefit payments. Generally, the full rate of a</w:t>
            </w:r>
            <w:r w:rsidR="000F2C11">
              <w:rPr>
                <w:rFonts w:cs="Arial"/>
                <w:szCs w:val="22"/>
                <w:lang w:eastAsia="en-AU"/>
              </w:rPr>
              <w:t xml:space="preserve"> </w:t>
            </w:r>
            <w:r w:rsidR="000F2C11" w:rsidRPr="000F2C11">
              <w:rPr>
                <w:rFonts w:cs="Arial"/>
                <w:szCs w:val="22"/>
                <w:lang w:eastAsia="en-AU"/>
              </w:rPr>
              <w:t>payment will be available to people earning up to a certain amount (known as the abatement</w:t>
            </w:r>
            <w:r w:rsidR="000F2C11">
              <w:rPr>
                <w:rFonts w:cs="Arial"/>
                <w:szCs w:val="22"/>
                <w:lang w:eastAsia="en-AU"/>
              </w:rPr>
              <w:t xml:space="preserve"> </w:t>
            </w:r>
            <w:r w:rsidR="000F2C11" w:rsidRPr="000F2C11">
              <w:rPr>
                <w:rFonts w:cs="Arial"/>
                <w:szCs w:val="22"/>
                <w:lang w:eastAsia="en-AU"/>
              </w:rPr>
              <w:t>threshold). Above this amount, payments reduce (abate) as people’s incomes increase.</w:t>
            </w:r>
          </w:p>
          <w:p w14:paraId="5B28F368" w14:textId="77777777" w:rsidR="00FB0B61" w:rsidRDefault="00FB0B61" w:rsidP="00984711">
            <w:pPr>
              <w:spacing w:after="0" w:line="276" w:lineRule="auto"/>
              <w:jc w:val="both"/>
              <w:rPr>
                <w:rFonts w:cs="Arial"/>
                <w:b/>
                <w:bCs/>
                <w:szCs w:val="22"/>
                <w:lang w:eastAsia="en-AU"/>
              </w:rPr>
            </w:pPr>
          </w:p>
          <w:p w14:paraId="6D613C6B" w14:textId="6BB6EBFD" w:rsidR="006F4F28" w:rsidRPr="005B5124" w:rsidRDefault="00EF458C" w:rsidP="00984711">
            <w:pPr>
              <w:spacing w:after="0" w:line="276" w:lineRule="auto"/>
              <w:jc w:val="both"/>
              <w:rPr>
                <w:rFonts w:cs="Arial"/>
                <w:b/>
                <w:bCs/>
                <w:szCs w:val="22"/>
                <w:lang w:eastAsia="en-AU"/>
              </w:rPr>
            </w:pPr>
            <w:r>
              <w:rPr>
                <w:rFonts w:cs="Arial"/>
                <w:b/>
                <w:bCs/>
                <w:szCs w:val="22"/>
                <w:lang w:eastAsia="en-AU"/>
              </w:rPr>
              <w:t>The w</w:t>
            </w:r>
            <w:r w:rsidR="006F4F28" w:rsidRPr="005B5124">
              <w:rPr>
                <w:rFonts w:cs="Arial"/>
                <w:b/>
                <w:bCs/>
                <w:szCs w:val="22"/>
                <w:lang w:eastAsia="en-AU"/>
              </w:rPr>
              <w:t>elfare overhaul</w:t>
            </w:r>
            <w:r>
              <w:rPr>
                <w:rFonts w:cs="Arial"/>
                <w:b/>
                <w:bCs/>
                <w:szCs w:val="22"/>
                <w:lang w:eastAsia="en-AU"/>
              </w:rPr>
              <w:t xml:space="preserve"> involves a range of changes including changes to abatement thresholds and Working for Families tax credits</w:t>
            </w:r>
          </w:p>
          <w:p w14:paraId="27A0E3A0" w14:textId="77777777" w:rsidR="00765A0D" w:rsidRDefault="00765A0D" w:rsidP="00984711">
            <w:pPr>
              <w:spacing w:after="0" w:line="276" w:lineRule="auto"/>
              <w:jc w:val="both"/>
              <w:rPr>
                <w:rFonts w:cs="Arial"/>
                <w:szCs w:val="22"/>
                <w:lang w:eastAsia="en-AU"/>
              </w:rPr>
            </w:pPr>
          </w:p>
          <w:p w14:paraId="42DA06FA" w14:textId="77777777" w:rsidR="00EC6811" w:rsidRDefault="00EC6811" w:rsidP="00EC6811">
            <w:pPr>
              <w:spacing w:after="0" w:line="276" w:lineRule="auto"/>
              <w:jc w:val="both"/>
              <w:rPr>
                <w:rFonts w:cs="Arial"/>
                <w:szCs w:val="22"/>
                <w:lang w:eastAsia="en-AU"/>
              </w:rPr>
            </w:pPr>
            <w:r>
              <w:rPr>
                <w:rFonts w:cs="Arial"/>
                <w:szCs w:val="22"/>
                <w:lang w:eastAsia="en-AU"/>
              </w:rPr>
              <w:t xml:space="preserve">The </w:t>
            </w:r>
            <w:r w:rsidRPr="0067371F">
              <w:rPr>
                <w:rFonts w:cs="Arial"/>
                <w:szCs w:val="22"/>
                <w:lang w:eastAsia="en-AU"/>
              </w:rPr>
              <w:t>W</w:t>
            </w:r>
            <w:r>
              <w:rPr>
                <w:rFonts w:cs="Arial"/>
                <w:szCs w:val="22"/>
                <w:lang w:eastAsia="en-AU"/>
              </w:rPr>
              <w:t xml:space="preserve">elfare </w:t>
            </w:r>
            <w:r w:rsidRPr="0067371F">
              <w:rPr>
                <w:rFonts w:cs="Arial"/>
                <w:szCs w:val="22"/>
                <w:lang w:eastAsia="en-AU"/>
              </w:rPr>
              <w:t>E</w:t>
            </w:r>
            <w:r>
              <w:rPr>
                <w:rFonts w:cs="Arial"/>
                <w:szCs w:val="22"/>
                <w:lang w:eastAsia="en-AU"/>
              </w:rPr>
              <w:t xml:space="preserve">xpert </w:t>
            </w:r>
            <w:r w:rsidRPr="0067371F">
              <w:rPr>
                <w:rFonts w:cs="Arial"/>
                <w:szCs w:val="22"/>
                <w:lang w:eastAsia="en-AU"/>
              </w:rPr>
              <w:t>A</w:t>
            </w:r>
            <w:r>
              <w:rPr>
                <w:rFonts w:cs="Arial"/>
                <w:szCs w:val="22"/>
                <w:lang w:eastAsia="en-AU"/>
              </w:rPr>
              <w:t xml:space="preserve">dvisory </w:t>
            </w:r>
            <w:r w:rsidRPr="0067371F">
              <w:rPr>
                <w:rFonts w:cs="Arial"/>
                <w:szCs w:val="22"/>
                <w:lang w:eastAsia="en-AU"/>
              </w:rPr>
              <w:t>G</w:t>
            </w:r>
            <w:r>
              <w:rPr>
                <w:rFonts w:cs="Arial"/>
                <w:szCs w:val="22"/>
                <w:lang w:eastAsia="en-AU"/>
              </w:rPr>
              <w:t xml:space="preserve">roup (WEAG), in its report </w:t>
            </w:r>
            <w:proofErr w:type="spellStart"/>
            <w:r>
              <w:rPr>
                <w:rFonts w:cs="Arial"/>
                <w:i/>
                <w:iCs/>
                <w:szCs w:val="22"/>
                <w:lang w:eastAsia="en-AU"/>
              </w:rPr>
              <w:t>Whakamana</w:t>
            </w:r>
            <w:proofErr w:type="spellEnd"/>
            <w:r>
              <w:rPr>
                <w:rFonts w:cs="Arial"/>
                <w:i/>
                <w:iCs/>
                <w:szCs w:val="22"/>
                <w:lang w:eastAsia="en-AU"/>
              </w:rPr>
              <w:t xml:space="preserve"> </w:t>
            </w:r>
            <w:proofErr w:type="spellStart"/>
            <w:r>
              <w:rPr>
                <w:rFonts w:cs="Arial"/>
                <w:i/>
                <w:iCs/>
                <w:szCs w:val="22"/>
                <w:lang w:eastAsia="en-AU"/>
              </w:rPr>
              <w:t>Tāngata</w:t>
            </w:r>
            <w:proofErr w:type="spellEnd"/>
            <w:r>
              <w:rPr>
                <w:rFonts w:cs="Arial"/>
                <w:szCs w:val="22"/>
                <w:lang w:eastAsia="en-AU"/>
              </w:rPr>
              <w:t>,</w:t>
            </w:r>
            <w:r w:rsidRPr="0067371F">
              <w:rPr>
                <w:rFonts w:cs="Arial"/>
                <w:szCs w:val="22"/>
                <w:lang w:eastAsia="en-AU"/>
              </w:rPr>
              <w:t xml:space="preserve"> proposed a comprehensive package of substantial changes to income support, while broadly maintaining the existing structure of income support. The WEAG package </w:t>
            </w:r>
            <w:r>
              <w:rPr>
                <w:rFonts w:cs="Arial"/>
                <w:szCs w:val="22"/>
                <w:lang w:eastAsia="en-AU"/>
              </w:rPr>
              <w:t>emphasised</w:t>
            </w:r>
            <w:r w:rsidRPr="0067371F">
              <w:rPr>
                <w:rFonts w:cs="Arial"/>
                <w:szCs w:val="22"/>
                <w:lang w:eastAsia="en-AU"/>
              </w:rPr>
              <w:t xml:space="preserve"> improving income adequacy and simplifying and rationalising the purpose of particular payments.</w:t>
            </w:r>
            <w:r>
              <w:rPr>
                <w:rFonts w:cs="Arial"/>
                <w:szCs w:val="22"/>
                <w:lang w:eastAsia="en-AU"/>
              </w:rPr>
              <w:t xml:space="preserve"> The WEAG recommended that abatement thresholds for main benefits be increased to $150 and $250 per week. </w:t>
            </w:r>
          </w:p>
          <w:p w14:paraId="0A8C4905" w14:textId="77777777" w:rsidR="00EC6811" w:rsidRDefault="00EC6811" w:rsidP="00984711">
            <w:pPr>
              <w:spacing w:after="0" w:line="276" w:lineRule="auto"/>
              <w:jc w:val="both"/>
              <w:rPr>
                <w:rFonts w:cs="Arial"/>
                <w:szCs w:val="22"/>
                <w:lang w:eastAsia="en-AU"/>
              </w:rPr>
            </w:pPr>
          </w:p>
          <w:p w14:paraId="2789402A" w14:textId="414A8D92" w:rsidR="00984711" w:rsidRDefault="0067371F" w:rsidP="00984711">
            <w:pPr>
              <w:spacing w:after="0" w:line="276" w:lineRule="auto"/>
              <w:jc w:val="both"/>
              <w:rPr>
                <w:rFonts w:cs="Arial"/>
                <w:szCs w:val="22"/>
                <w:lang w:eastAsia="en-AU"/>
              </w:rPr>
            </w:pPr>
            <w:r>
              <w:rPr>
                <w:rFonts w:cs="Arial"/>
                <w:szCs w:val="22"/>
                <w:lang w:eastAsia="en-AU"/>
              </w:rPr>
              <w:t>In 2019</w:t>
            </w:r>
            <w:r w:rsidR="00EC6811">
              <w:rPr>
                <w:rFonts w:cs="Arial"/>
                <w:szCs w:val="22"/>
                <w:lang w:eastAsia="en-AU"/>
              </w:rPr>
              <w:t>,</w:t>
            </w:r>
            <w:r>
              <w:rPr>
                <w:rFonts w:cs="Arial"/>
                <w:szCs w:val="22"/>
                <w:lang w:eastAsia="en-AU"/>
              </w:rPr>
              <w:t xml:space="preserve"> </w:t>
            </w:r>
            <w:r w:rsidR="00444633" w:rsidRPr="00444633">
              <w:rPr>
                <w:rFonts w:cs="Arial"/>
                <w:szCs w:val="22"/>
                <w:lang w:eastAsia="en-AU"/>
              </w:rPr>
              <w:t>Cabinet agreed to overhaul the welfare system to achieve its vision for a system that ensures people have an adequate income and standard of living, are treated with respect, can live in dignity, and are able to participate meaningfully in their communities [CAB-19-MIN-0578 refers]. On 6 November 2019, Cabinet endorsed a high-level short, medium, and long-term work programme to achieve this vision, but did not detail when work would be progressed.</w:t>
            </w:r>
          </w:p>
          <w:p w14:paraId="2CC529A7" w14:textId="22DBC3DC" w:rsidR="00681E72" w:rsidRDefault="00681E72" w:rsidP="00984711">
            <w:pPr>
              <w:spacing w:after="0" w:line="276" w:lineRule="auto"/>
              <w:jc w:val="both"/>
              <w:rPr>
                <w:rFonts w:cs="Arial"/>
                <w:szCs w:val="22"/>
                <w:lang w:eastAsia="en-AU"/>
              </w:rPr>
            </w:pPr>
          </w:p>
          <w:p w14:paraId="63F5A0BE" w14:textId="3BD9E327" w:rsidR="00681E72" w:rsidRPr="005A74C1" w:rsidRDefault="00681E72" w:rsidP="00984711">
            <w:pPr>
              <w:spacing w:after="0" w:line="276" w:lineRule="auto"/>
              <w:jc w:val="both"/>
              <w:rPr>
                <w:rFonts w:cs="Arial"/>
                <w:szCs w:val="22"/>
                <w:lang w:eastAsia="en-AU"/>
              </w:rPr>
            </w:pPr>
            <w:r>
              <w:rPr>
                <w:rFonts w:cs="Arial"/>
                <w:szCs w:val="22"/>
                <w:lang w:eastAsia="en-AU"/>
              </w:rPr>
              <w:t>As part of the welfare overhaul work programme, the Government</w:t>
            </w:r>
            <w:r w:rsidR="00E5220C">
              <w:rPr>
                <w:rFonts w:cs="Arial"/>
                <w:szCs w:val="22"/>
                <w:lang w:eastAsia="en-AU"/>
              </w:rPr>
              <w:t xml:space="preserve"> also</w:t>
            </w:r>
            <w:r>
              <w:rPr>
                <w:rFonts w:cs="Arial"/>
                <w:szCs w:val="22"/>
                <w:lang w:eastAsia="en-AU"/>
              </w:rPr>
              <w:t xml:space="preserve"> agreed to a review of Working for Families</w:t>
            </w:r>
            <w:r w:rsidR="00EF458C">
              <w:rPr>
                <w:rFonts w:cs="Arial"/>
                <w:szCs w:val="22"/>
                <w:lang w:eastAsia="en-AU"/>
              </w:rPr>
              <w:t xml:space="preserve"> (WFF)</w:t>
            </w:r>
            <w:r>
              <w:rPr>
                <w:rFonts w:cs="Arial"/>
                <w:szCs w:val="22"/>
                <w:lang w:eastAsia="en-AU"/>
              </w:rPr>
              <w:t xml:space="preserve"> tax credits</w:t>
            </w:r>
            <w:r w:rsidR="00EF458C">
              <w:rPr>
                <w:rFonts w:cs="Arial"/>
                <w:szCs w:val="22"/>
                <w:lang w:eastAsia="en-AU"/>
              </w:rPr>
              <w:t>, including the MFTC</w:t>
            </w:r>
            <w:r>
              <w:rPr>
                <w:rFonts w:cs="Arial"/>
                <w:szCs w:val="22"/>
                <w:lang w:eastAsia="en-AU"/>
              </w:rPr>
              <w:t>.</w:t>
            </w:r>
          </w:p>
          <w:p w14:paraId="7E184B4B" w14:textId="74A4F47A" w:rsidR="00984711" w:rsidRDefault="00984711" w:rsidP="00984711">
            <w:pPr>
              <w:spacing w:after="0" w:line="276" w:lineRule="auto"/>
              <w:jc w:val="both"/>
              <w:rPr>
                <w:rFonts w:cs="Arial"/>
                <w:szCs w:val="22"/>
                <w:lang w:eastAsia="en-AU"/>
              </w:rPr>
            </w:pPr>
          </w:p>
          <w:p w14:paraId="7743F510" w14:textId="08B7A418" w:rsidR="006F4F28" w:rsidRPr="005B5124" w:rsidRDefault="00EF458C" w:rsidP="00984711">
            <w:pPr>
              <w:spacing w:after="0" w:line="276" w:lineRule="auto"/>
              <w:jc w:val="both"/>
              <w:rPr>
                <w:rFonts w:cs="Arial"/>
                <w:b/>
                <w:bCs/>
                <w:szCs w:val="22"/>
                <w:lang w:eastAsia="en-AU"/>
              </w:rPr>
            </w:pPr>
            <w:r>
              <w:rPr>
                <w:rFonts w:cs="Arial"/>
                <w:b/>
                <w:bCs/>
                <w:szCs w:val="22"/>
                <w:lang w:eastAsia="en-AU"/>
              </w:rPr>
              <w:t>COVID-19 has caused significant economic disruption in New Zealand</w:t>
            </w:r>
          </w:p>
          <w:p w14:paraId="2D585F3C" w14:textId="77777777" w:rsidR="00765A0D" w:rsidRDefault="00765A0D" w:rsidP="00763D91">
            <w:pPr>
              <w:spacing w:after="0" w:line="276" w:lineRule="auto"/>
              <w:jc w:val="both"/>
              <w:rPr>
                <w:rFonts w:cs="Arial"/>
                <w:szCs w:val="22"/>
                <w:lang w:eastAsia="en-AU"/>
              </w:rPr>
            </w:pPr>
          </w:p>
          <w:p w14:paraId="1DBDD36B" w14:textId="624933E2" w:rsidR="00876E62" w:rsidRDefault="00984711" w:rsidP="00763D91">
            <w:pPr>
              <w:spacing w:after="0" w:line="276" w:lineRule="auto"/>
              <w:jc w:val="both"/>
              <w:rPr>
                <w:rFonts w:cs="Arial"/>
                <w:szCs w:val="22"/>
                <w:lang w:eastAsia="en-AU"/>
              </w:rPr>
            </w:pPr>
            <w:r w:rsidRPr="00984711">
              <w:rPr>
                <w:rFonts w:cs="Arial"/>
                <w:szCs w:val="22"/>
                <w:lang w:eastAsia="en-AU"/>
              </w:rPr>
              <w:t>COVID-19 has caused major economic disruption</w:t>
            </w:r>
            <w:r w:rsidR="00876E62">
              <w:rPr>
                <w:rFonts w:cs="Arial"/>
                <w:szCs w:val="22"/>
                <w:lang w:eastAsia="en-AU"/>
              </w:rPr>
              <w:t xml:space="preserve"> in New Zealand and globally. With great uncertainty in the economy and with extended border closures, unemployment is forecast to rise, peaking at 7.8</w:t>
            </w:r>
            <w:r w:rsidR="00DE1CD1">
              <w:rPr>
                <w:rFonts w:cs="Arial"/>
                <w:szCs w:val="22"/>
                <w:lang w:eastAsia="en-AU"/>
              </w:rPr>
              <w:t xml:space="preserve"> percent</w:t>
            </w:r>
            <w:r w:rsidR="00876E62">
              <w:rPr>
                <w:rFonts w:cs="Arial"/>
                <w:szCs w:val="22"/>
                <w:lang w:eastAsia="en-AU"/>
              </w:rPr>
              <w:t xml:space="preserve"> in the March 2022 quarter. </w:t>
            </w:r>
          </w:p>
          <w:p w14:paraId="69FF4DDE" w14:textId="77777777" w:rsidR="00D9604D" w:rsidRDefault="00D9604D" w:rsidP="00763D91">
            <w:pPr>
              <w:spacing w:after="0" w:line="276" w:lineRule="auto"/>
              <w:jc w:val="both"/>
              <w:rPr>
                <w:rFonts w:cs="Arial"/>
                <w:szCs w:val="22"/>
                <w:lang w:eastAsia="en-AU"/>
              </w:rPr>
            </w:pPr>
          </w:p>
          <w:p w14:paraId="4B64D386" w14:textId="1D9723E8" w:rsidR="00D9604D" w:rsidRDefault="00876E62" w:rsidP="00D9604D">
            <w:pPr>
              <w:spacing w:after="0" w:line="276" w:lineRule="auto"/>
              <w:jc w:val="both"/>
              <w:rPr>
                <w:rFonts w:cs="Arial"/>
                <w:szCs w:val="22"/>
                <w:lang w:eastAsia="en-AU"/>
              </w:rPr>
            </w:pPr>
            <w:r>
              <w:rPr>
                <w:rFonts w:cs="Arial"/>
                <w:szCs w:val="22"/>
                <w:lang w:eastAsia="en-AU"/>
              </w:rPr>
              <w:t xml:space="preserve">As a result of the weaker economic outlook, beneficiary numbers are forecast to increase. </w:t>
            </w:r>
            <w:r w:rsidR="00D9604D">
              <w:rPr>
                <w:rFonts w:cs="Arial"/>
                <w:szCs w:val="22"/>
                <w:lang w:eastAsia="en-AU"/>
              </w:rPr>
              <w:t xml:space="preserve">In October 2020, 369,860 people were receiving a main benefit, at 11.8 percent of the estimated New Zealand working-age population. This is 69,623 more than October 2019. </w:t>
            </w:r>
          </w:p>
          <w:p w14:paraId="0D282B7D" w14:textId="081EF1BB" w:rsidR="00D9604D" w:rsidRPr="00D9604D" w:rsidRDefault="00D9604D" w:rsidP="00D9604D">
            <w:pPr>
              <w:spacing w:after="0" w:line="276" w:lineRule="auto"/>
              <w:jc w:val="both"/>
              <w:rPr>
                <w:rFonts w:cs="Arial"/>
                <w:szCs w:val="22"/>
                <w:lang w:eastAsia="en-AU"/>
              </w:rPr>
            </w:pPr>
            <w:r>
              <w:rPr>
                <w:rFonts w:cs="Arial"/>
                <w:szCs w:val="22"/>
                <w:lang w:eastAsia="en-AU"/>
              </w:rPr>
              <w:t>Of the 369,860 receiving a main benefit, 203,371 were Jobseeker Support recipients (6.5</w:t>
            </w:r>
            <w:r w:rsidR="004B1C0E">
              <w:rPr>
                <w:rFonts w:cs="Arial"/>
                <w:szCs w:val="22"/>
                <w:lang w:eastAsia="en-AU"/>
              </w:rPr>
              <w:t xml:space="preserve"> percent</w:t>
            </w:r>
            <w:r>
              <w:rPr>
                <w:rFonts w:cs="Arial"/>
                <w:szCs w:val="22"/>
                <w:lang w:eastAsia="en-AU"/>
              </w:rPr>
              <w:t xml:space="preserve"> of the working-age population), which is 61,241 more than October 2019. The number of people on</w:t>
            </w:r>
            <w:r w:rsidR="00DE1CD1">
              <w:rPr>
                <w:rFonts w:cs="Arial"/>
                <w:szCs w:val="22"/>
                <w:lang w:eastAsia="en-AU"/>
              </w:rPr>
              <w:t xml:space="preserve"> a</w:t>
            </w:r>
            <w:r>
              <w:rPr>
                <w:rFonts w:cs="Arial"/>
                <w:szCs w:val="22"/>
                <w:lang w:eastAsia="en-AU"/>
              </w:rPr>
              <w:t xml:space="preserve"> benefit is expected to peak in May 2021 </w:t>
            </w:r>
            <w:r w:rsidR="00EF458C">
              <w:rPr>
                <w:rFonts w:cs="Arial"/>
                <w:szCs w:val="22"/>
                <w:lang w:eastAsia="en-AU"/>
              </w:rPr>
              <w:t>at</w:t>
            </w:r>
            <w:r>
              <w:rPr>
                <w:rFonts w:cs="Arial"/>
                <w:szCs w:val="22"/>
                <w:lang w:eastAsia="en-AU"/>
              </w:rPr>
              <w:t xml:space="preserve"> around 443,000, with another peak later in January 2022 reaching around 453,800. </w:t>
            </w:r>
          </w:p>
          <w:p w14:paraId="4765AF7C" w14:textId="77777777" w:rsidR="00876E62" w:rsidRDefault="00876E62" w:rsidP="00763D91">
            <w:pPr>
              <w:spacing w:after="0" w:line="276" w:lineRule="auto"/>
              <w:jc w:val="both"/>
              <w:rPr>
                <w:rFonts w:cs="Arial"/>
                <w:szCs w:val="22"/>
                <w:lang w:eastAsia="en-AU"/>
              </w:rPr>
            </w:pPr>
          </w:p>
          <w:p w14:paraId="7DDF9691" w14:textId="2918D460" w:rsidR="00AC6B14" w:rsidRDefault="00984711" w:rsidP="00763D91">
            <w:pPr>
              <w:spacing w:after="0" w:line="276" w:lineRule="auto"/>
              <w:jc w:val="both"/>
              <w:rPr>
                <w:rFonts w:cs="Arial"/>
                <w:szCs w:val="22"/>
                <w:lang w:eastAsia="en-AU"/>
              </w:rPr>
            </w:pPr>
            <w:r w:rsidRPr="00984711">
              <w:rPr>
                <w:rFonts w:cs="Arial"/>
                <w:szCs w:val="22"/>
                <w:lang w:eastAsia="en-AU"/>
              </w:rPr>
              <w:lastRenderedPageBreak/>
              <w:t>The economic impacts of COVID-19 are expected to disproportionally impact Māori, Pacific people</w:t>
            </w:r>
            <w:r w:rsidR="00B4241E">
              <w:rPr>
                <w:rFonts w:cs="Arial"/>
                <w:szCs w:val="22"/>
                <w:lang w:eastAsia="en-AU"/>
              </w:rPr>
              <w:t xml:space="preserve">, </w:t>
            </w:r>
            <w:r w:rsidRPr="00984711">
              <w:rPr>
                <w:rFonts w:cs="Arial"/>
                <w:szCs w:val="22"/>
                <w:lang w:eastAsia="en-AU"/>
              </w:rPr>
              <w:t>disabled people</w:t>
            </w:r>
            <w:r w:rsidR="00EF458C">
              <w:rPr>
                <w:rFonts w:cs="Arial"/>
                <w:szCs w:val="22"/>
                <w:lang w:eastAsia="en-AU"/>
              </w:rPr>
              <w:t xml:space="preserve"> (including people with health conditions)</w:t>
            </w:r>
            <w:r w:rsidR="00B4241E">
              <w:rPr>
                <w:rFonts w:cs="Arial"/>
                <w:szCs w:val="22"/>
                <w:lang w:eastAsia="en-AU"/>
              </w:rPr>
              <w:t xml:space="preserve"> and sole parents,</w:t>
            </w:r>
            <w:r w:rsidRPr="00984711">
              <w:rPr>
                <w:rFonts w:cs="Arial"/>
                <w:szCs w:val="22"/>
                <w:lang w:eastAsia="en-AU"/>
              </w:rPr>
              <w:t xml:space="preserve"> who </w:t>
            </w:r>
            <w:r w:rsidR="00EF458C">
              <w:rPr>
                <w:rFonts w:cs="Arial"/>
                <w:szCs w:val="22"/>
                <w:lang w:eastAsia="en-AU"/>
              </w:rPr>
              <w:t xml:space="preserve">are more likely to be employed in areas affected by job losses and </w:t>
            </w:r>
            <w:r w:rsidRPr="00984711">
              <w:rPr>
                <w:rFonts w:cs="Arial"/>
                <w:szCs w:val="22"/>
                <w:lang w:eastAsia="en-AU"/>
              </w:rPr>
              <w:t>have additional barriers to accessing employment.</w:t>
            </w:r>
            <w:r w:rsidR="00AC6B14">
              <w:rPr>
                <w:rFonts w:cs="Arial"/>
                <w:szCs w:val="22"/>
                <w:lang w:eastAsia="en-AU"/>
              </w:rPr>
              <w:t xml:space="preserve"> </w:t>
            </w:r>
            <w:r w:rsidR="00AC6B14" w:rsidRPr="00AC6B14">
              <w:rPr>
                <w:rFonts w:cs="Arial"/>
                <w:szCs w:val="22"/>
                <w:lang w:eastAsia="en-AU"/>
              </w:rPr>
              <w:t xml:space="preserve">COVID-19 will certainly increase poverty and hardship rates, although it is too soon to estimate the size of these impacts. The sudden loss of all employment income, or reduced employment income, can tip many </w:t>
            </w:r>
            <w:r w:rsidR="00EF458C">
              <w:rPr>
                <w:rFonts w:cs="Arial"/>
                <w:szCs w:val="22"/>
                <w:lang w:eastAsia="en-AU"/>
              </w:rPr>
              <w:t xml:space="preserve">families </w:t>
            </w:r>
            <w:r w:rsidR="00AC6B14" w:rsidRPr="00AC6B14">
              <w:rPr>
                <w:rFonts w:cs="Arial"/>
                <w:szCs w:val="22"/>
                <w:lang w:eastAsia="en-AU"/>
              </w:rPr>
              <w:t>into financial hardship, especially if they have limited cash or near-cash assets to maintain existing commitments (e.g. rent, mortgage and consumer debt).</w:t>
            </w:r>
          </w:p>
          <w:p w14:paraId="5DC23AFE" w14:textId="3FCF4CE3" w:rsidR="00737865" w:rsidRDefault="00737865" w:rsidP="00763D91">
            <w:pPr>
              <w:spacing w:after="0" w:line="276" w:lineRule="auto"/>
              <w:jc w:val="both"/>
              <w:rPr>
                <w:rFonts w:cs="Arial"/>
                <w:szCs w:val="22"/>
                <w:lang w:eastAsia="en-AU"/>
              </w:rPr>
            </w:pPr>
          </w:p>
          <w:p w14:paraId="0EC57FB4" w14:textId="1CA6C38B" w:rsidR="001B699B" w:rsidRPr="001B699B" w:rsidRDefault="001B699B" w:rsidP="00763D91">
            <w:pPr>
              <w:spacing w:after="0" w:line="276" w:lineRule="auto"/>
              <w:jc w:val="both"/>
              <w:rPr>
                <w:rFonts w:cs="Arial"/>
                <w:b/>
                <w:bCs/>
                <w:szCs w:val="22"/>
                <w:lang w:eastAsia="en-AU"/>
              </w:rPr>
            </w:pPr>
            <w:r>
              <w:rPr>
                <w:rFonts w:cs="Arial"/>
                <w:b/>
                <w:bCs/>
                <w:szCs w:val="22"/>
                <w:lang w:eastAsia="en-AU"/>
              </w:rPr>
              <w:t>Government’s response to COVID-19</w:t>
            </w:r>
          </w:p>
          <w:p w14:paraId="69F12BF8" w14:textId="425C99DE" w:rsidR="00765A0D" w:rsidRDefault="00765A0D" w:rsidP="00763D91">
            <w:pPr>
              <w:spacing w:after="0" w:line="276" w:lineRule="auto"/>
              <w:jc w:val="both"/>
              <w:rPr>
                <w:rFonts w:cs="Arial"/>
                <w:szCs w:val="22"/>
                <w:lang w:eastAsia="en-AU"/>
              </w:rPr>
            </w:pPr>
          </w:p>
          <w:p w14:paraId="7587AC11" w14:textId="38982C2F" w:rsidR="00765A0D" w:rsidRDefault="00765A0D" w:rsidP="00763D91">
            <w:pPr>
              <w:spacing w:after="0" w:line="276" w:lineRule="auto"/>
              <w:jc w:val="both"/>
              <w:rPr>
                <w:rFonts w:cs="Arial"/>
                <w:szCs w:val="22"/>
                <w:lang w:eastAsia="en-AU"/>
              </w:rPr>
            </w:pPr>
            <w:r>
              <w:rPr>
                <w:rFonts w:cs="Arial"/>
                <w:szCs w:val="22"/>
                <w:lang w:eastAsia="en-AU"/>
              </w:rPr>
              <w:t xml:space="preserve">As part of the Government’s response to COVID-19, </w:t>
            </w:r>
            <w:r w:rsidR="00422FFF">
              <w:rPr>
                <w:rFonts w:cs="Arial"/>
                <w:szCs w:val="22"/>
                <w:lang w:eastAsia="en-AU"/>
              </w:rPr>
              <w:t xml:space="preserve">on 1 April 2020, main benefit rates increased by $25 per week. The Winter Energy Payment (WEP), which is paid from 1 May to 1 October each year, was doubled for the 2020 winter period. </w:t>
            </w:r>
          </w:p>
          <w:p w14:paraId="40E3E196" w14:textId="1FDB2C03" w:rsidR="00EF458C" w:rsidRDefault="00EF458C" w:rsidP="00763D91">
            <w:pPr>
              <w:spacing w:after="0" w:line="276" w:lineRule="auto"/>
              <w:jc w:val="both"/>
              <w:rPr>
                <w:rFonts w:cs="Arial"/>
                <w:szCs w:val="22"/>
                <w:lang w:eastAsia="en-AU"/>
              </w:rPr>
            </w:pPr>
          </w:p>
          <w:p w14:paraId="363429C2" w14:textId="3A93D24B" w:rsidR="00EF458C" w:rsidRDefault="00EF458C" w:rsidP="00763D91">
            <w:pPr>
              <w:spacing w:after="0" w:line="276" w:lineRule="auto"/>
              <w:jc w:val="both"/>
              <w:rPr>
                <w:rFonts w:cs="Arial"/>
                <w:szCs w:val="22"/>
                <w:lang w:eastAsia="en-AU"/>
              </w:rPr>
            </w:pPr>
            <w:r>
              <w:rPr>
                <w:rFonts w:cs="Arial"/>
                <w:szCs w:val="22"/>
                <w:lang w:eastAsia="en-AU"/>
              </w:rPr>
              <w:t xml:space="preserve">Along with work to minimise hardship for families, the Government has introduced a range of initiatives aimed at boosting employment for those who have lost jobs due to COVID-19. </w:t>
            </w:r>
          </w:p>
          <w:p w14:paraId="02EBCFEC" w14:textId="77777777" w:rsidR="00765A0D" w:rsidRDefault="00765A0D" w:rsidP="00763D91">
            <w:pPr>
              <w:spacing w:after="0" w:line="276" w:lineRule="auto"/>
              <w:jc w:val="both"/>
              <w:rPr>
                <w:rFonts w:cs="Arial"/>
                <w:szCs w:val="22"/>
                <w:lang w:eastAsia="en-AU"/>
              </w:rPr>
            </w:pPr>
          </w:p>
          <w:p w14:paraId="0A532EFD" w14:textId="77777777" w:rsidR="001B699B" w:rsidRDefault="001B699B" w:rsidP="00763D91">
            <w:pPr>
              <w:spacing w:after="0" w:line="276" w:lineRule="auto"/>
              <w:jc w:val="both"/>
              <w:rPr>
                <w:rFonts w:cs="Arial"/>
                <w:szCs w:val="22"/>
                <w:lang w:eastAsia="en-AU"/>
              </w:rPr>
            </w:pPr>
            <w:r>
              <w:rPr>
                <w:rFonts w:cs="Arial"/>
                <w:b/>
                <w:bCs/>
                <w:szCs w:val="22"/>
                <w:lang w:eastAsia="en-AU"/>
              </w:rPr>
              <w:t>Labour Party’s 2020 manifesto commitment</w:t>
            </w:r>
          </w:p>
          <w:p w14:paraId="51CF2F0A" w14:textId="77777777" w:rsidR="00765A0D" w:rsidRDefault="00765A0D" w:rsidP="001B699B">
            <w:pPr>
              <w:spacing w:after="0" w:line="276" w:lineRule="auto"/>
              <w:jc w:val="both"/>
              <w:rPr>
                <w:rFonts w:cs="Arial"/>
                <w:szCs w:val="22"/>
                <w:lang w:eastAsia="en-AU"/>
              </w:rPr>
            </w:pPr>
          </w:p>
          <w:p w14:paraId="47B14865" w14:textId="77777777" w:rsidR="00422FFF" w:rsidRDefault="00422FFF" w:rsidP="001B699B">
            <w:pPr>
              <w:spacing w:after="0" w:line="276" w:lineRule="auto"/>
              <w:jc w:val="both"/>
              <w:rPr>
                <w:rFonts w:cs="Arial"/>
                <w:szCs w:val="22"/>
                <w:lang w:eastAsia="en-AU"/>
              </w:rPr>
            </w:pPr>
            <w:r>
              <w:rPr>
                <w:rFonts w:cs="Arial"/>
                <w:szCs w:val="22"/>
                <w:lang w:eastAsia="en-AU"/>
              </w:rPr>
              <w:t xml:space="preserve">The Labour Party’s 2020 manifesto committed to: </w:t>
            </w:r>
          </w:p>
          <w:p w14:paraId="009B989F" w14:textId="4AD3889A" w:rsidR="00422FFF" w:rsidRDefault="00422FFF" w:rsidP="00B52920">
            <w:pPr>
              <w:pStyle w:val="ListParagraph"/>
              <w:numPr>
                <w:ilvl w:val="0"/>
                <w:numId w:val="15"/>
              </w:numPr>
              <w:spacing w:after="0" w:line="276" w:lineRule="auto"/>
              <w:jc w:val="both"/>
              <w:rPr>
                <w:rFonts w:cs="Arial"/>
                <w:szCs w:val="22"/>
                <w:lang w:eastAsia="en-AU"/>
              </w:rPr>
            </w:pPr>
            <w:r w:rsidRPr="00422FFF">
              <w:rPr>
                <w:rFonts w:cs="Arial"/>
                <w:szCs w:val="22"/>
                <w:lang w:eastAsia="en-AU"/>
              </w:rPr>
              <w:t>increase abatement thresholds to $160 and $250 per week from 1 April 2021</w:t>
            </w:r>
            <w:r>
              <w:rPr>
                <w:rFonts w:cs="Arial"/>
                <w:szCs w:val="22"/>
                <w:lang w:eastAsia="en-AU"/>
              </w:rPr>
              <w:t>;</w:t>
            </w:r>
            <w:r w:rsidRPr="00422FFF">
              <w:rPr>
                <w:rFonts w:cs="Arial"/>
                <w:szCs w:val="22"/>
                <w:lang w:eastAsia="en-AU"/>
              </w:rPr>
              <w:t xml:space="preserve"> </w:t>
            </w:r>
          </w:p>
          <w:p w14:paraId="6F49F1D3" w14:textId="38E52BF1" w:rsidR="00422FFF" w:rsidRDefault="00422FFF" w:rsidP="00B52920">
            <w:pPr>
              <w:pStyle w:val="ListParagraph"/>
              <w:numPr>
                <w:ilvl w:val="0"/>
                <w:numId w:val="15"/>
              </w:numPr>
              <w:spacing w:after="0" w:line="276" w:lineRule="auto"/>
              <w:jc w:val="both"/>
              <w:rPr>
                <w:rFonts w:cs="Arial"/>
                <w:szCs w:val="22"/>
                <w:lang w:eastAsia="en-AU"/>
              </w:rPr>
            </w:pPr>
            <w:r>
              <w:rPr>
                <w:rFonts w:cs="Arial"/>
                <w:szCs w:val="22"/>
                <w:lang w:eastAsia="en-AU"/>
              </w:rPr>
              <w:t>p</w:t>
            </w:r>
            <w:r w:rsidRPr="00422FFF">
              <w:rPr>
                <w:rFonts w:cs="Arial"/>
                <w:szCs w:val="22"/>
                <w:lang w:eastAsia="en-AU"/>
              </w:rPr>
              <w:t>rogressively increas</w:t>
            </w:r>
            <w:r>
              <w:rPr>
                <w:rFonts w:cs="Arial"/>
                <w:szCs w:val="22"/>
                <w:lang w:eastAsia="en-AU"/>
              </w:rPr>
              <w:t>e</w:t>
            </w:r>
            <w:r w:rsidRPr="00422FFF">
              <w:rPr>
                <w:rFonts w:cs="Arial"/>
                <w:szCs w:val="22"/>
                <w:lang w:eastAsia="en-AU"/>
              </w:rPr>
              <w:t xml:space="preserve"> the abatement threshold year on year in line with minimum wage increases</w:t>
            </w:r>
            <w:r>
              <w:rPr>
                <w:rFonts w:cs="Arial"/>
                <w:szCs w:val="22"/>
                <w:lang w:eastAsia="en-AU"/>
              </w:rPr>
              <w:t>; and</w:t>
            </w:r>
          </w:p>
          <w:p w14:paraId="36049A69" w14:textId="3A45509E" w:rsidR="001B699B" w:rsidRPr="00422FFF" w:rsidRDefault="00422FFF" w:rsidP="00B52920">
            <w:pPr>
              <w:pStyle w:val="ListParagraph"/>
              <w:numPr>
                <w:ilvl w:val="0"/>
                <w:numId w:val="15"/>
              </w:numPr>
              <w:spacing w:after="0" w:line="276" w:lineRule="auto"/>
              <w:jc w:val="both"/>
              <w:rPr>
                <w:rFonts w:cs="Arial"/>
                <w:szCs w:val="22"/>
                <w:lang w:eastAsia="en-AU"/>
              </w:rPr>
            </w:pPr>
            <w:r>
              <w:rPr>
                <w:rFonts w:cs="Arial"/>
                <w:szCs w:val="22"/>
                <w:lang w:eastAsia="en-AU"/>
              </w:rPr>
              <w:t>continue with the welfare overhaul work and to implement WEAG’s recommendations to improve the welfare system.</w:t>
            </w:r>
          </w:p>
        </w:tc>
      </w:tr>
    </w:tbl>
    <w:p w14:paraId="6743E8C1" w14:textId="77777777" w:rsidR="0062657E" w:rsidRPr="009C4129" w:rsidRDefault="0062657E" w:rsidP="007B090A">
      <w:pPr>
        <w:pStyle w:val="spacer"/>
        <w:spacing w:line="276" w:lineRule="auto"/>
        <w:rPr>
          <w:rFonts w:cs="Arial"/>
          <w:sz w:val="22"/>
        </w:rPr>
      </w:pPr>
    </w:p>
    <w:tbl>
      <w:tblPr>
        <w:tblW w:w="9065"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5"/>
      </w:tblGrid>
      <w:tr w:rsidR="009C4129" w:rsidRPr="009C4129" w14:paraId="7BA81623" w14:textId="77777777" w:rsidTr="00DE1CD1">
        <w:tc>
          <w:tcPr>
            <w:tcW w:w="9065" w:type="dxa"/>
            <w:shd w:val="clear" w:color="auto" w:fill="99CDDD"/>
          </w:tcPr>
          <w:p w14:paraId="334510F3" w14:textId="58A39051" w:rsidR="0062657E" w:rsidRPr="00384E9B" w:rsidRDefault="00216981" w:rsidP="00970321">
            <w:pPr>
              <w:pStyle w:val="Heading5"/>
              <w:spacing w:before="60" w:after="60" w:line="240" w:lineRule="atLeast"/>
              <w:jc w:val="both"/>
              <w:rPr>
                <w:rFonts w:eastAsia="Calibri" w:cs="Arial"/>
                <w:b/>
                <w:color w:val="auto"/>
              </w:rPr>
            </w:pPr>
            <w:r>
              <w:rPr>
                <w:rFonts w:cs="Arial"/>
                <w:b/>
                <w:color w:val="auto"/>
              </w:rPr>
              <w:t xml:space="preserve">2.2   </w:t>
            </w:r>
            <w:r w:rsidR="0062657E" w:rsidRPr="00384E9B">
              <w:rPr>
                <w:rFonts w:cs="Arial"/>
                <w:b/>
                <w:color w:val="auto"/>
              </w:rPr>
              <w:t>What regulatory system</w:t>
            </w:r>
            <w:r w:rsidR="00D96EB2">
              <w:rPr>
                <w:rFonts w:cs="Arial"/>
                <w:b/>
                <w:color w:val="auto"/>
              </w:rPr>
              <w:t>(s)</w:t>
            </w:r>
            <w:r w:rsidR="0062657E" w:rsidRPr="00384E9B">
              <w:rPr>
                <w:rFonts w:cs="Arial"/>
                <w:b/>
                <w:color w:val="auto"/>
              </w:rPr>
              <w:t xml:space="preserve"> are already in place?</w:t>
            </w:r>
          </w:p>
        </w:tc>
      </w:tr>
      <w:tr w:rsidR="009C4129" w:rsidRPr="009C4129" w14:paraId="0B3EF53E" w14:textId="77777777" w:rsidTr="00DE1CD1">
        <w:trPr>
          <w:trHeight w:val="3711"/>
        </w:trPr>
        <w:tc>
          <w:tcPr>
            <w:tcW w:w="9065" w:type="dxa"/>
            <w:shd w:val="clear" w:color="auto" w:fill="FFFFFF"/>
          </w:tcPr>
          <w:p w14:paraId="72A1EBAA" w14:textId="1B8BDC22" w:rsidR="00AA79CA" w:rsidRDefault="00AA79CA" w:rsidP="00C15602">
            <w:pPr>
              <w:spacing w:after="0" w:line="276" w:lineRule="auto"/>
              <w:jc w:val="both"/>
              <w:rPr>
                <w:rFonts w:cs="Arial"/>
                <w:b/>
                <w:bCs/>
                <w:szCs w:val="22"/>
                <w:lang w:eastAsia="en-AU"/>
              </w:rPr>
            </w:pPr>
            <w:r w:rsidRPr="00AA79CA">
              <w:rPr>
                <w:rFonts w:cs="Arial"/>
                <w:b/>
                <w:bCs/>
                <w:szCs w:val="22"/>
                <w:lang w:eastAsia="en-AU"/>
              </w:rPr>
              <w:t xml:space="preserve">Benefit </w:t>
            </w:r>
            <w:r w:rsidR="004B1C0E">
              <w:rPr>
                <w:rFonts w:cs="Arial"/>
                <w:b/>
                <w:bCs/>
                <w:szCs w:val="22"/>
                <w:lang w:eastAsia="en-AU"/>
              </w:rPr>
              <w:t>a</w:t>
            </w:r>
            <w:r w:rsidRPr="00AA79CA">
              <w:rPr>
                <w:rFonts w:cs="Arial"/>
                <w:b/>
                <w:bCs/>
                <w:szCs w:val="22"/>
                <w:lang w:eastAsia="en-AU"/>
              </w:rPr>
              <w:t>batement thresholds</w:t>
            </w:r>
            <w:r w:rsidR="004B1C0E">
              <w:rPr>
                <w:rFonts w:cs="Arial"/>
                <w:b/>
                <w:bCs/>
                <w:szCs w:val="22"/>
                <w:lang w:eastAsia="en-AU"/>
              </w:rPr>
              <w:t xml:space="preserve"> allow people to work some hours while on benefit</w:t>
            </w:r>
          </w:p>
          <w:p w14:paraId="5F88D3C6" w14:textId="77777777" w:rsidR="00C53CCA" w:rsidRPr="00AA79CA" w:rsidRDefault="00C53CCA" w:rsidP="00C15602">
            <w:pPr>
              <w:spacing w:after="0" w:line="276" w:lineRule="auto"/>
              <w:jc w:val="both"/>
              <w:rPr>
                <w:rFonts w:cs="Arial"/>
                <w:b/>
                <w:bCs/>
                <w:szCs w:val="22"/>
                <w:lang w:eastAsia="en-AU"/>
              </w:rPr>
            </w:pPr>
          </w:p>
          <w:p w14:paraId="2EBE467E" w14:textId="42E5FC06" w:rsidR="00C15602" w:rsidRDefault="00BB5CF9" w:rsidP="00C15602">
            <w:pPr>
              <w:spacing w:after="0" w:line="276" w:lineRule="auto"/>
              <w:jc w:val="both"/>
              <w:rPr>
                <w:rFonts w:cs="Arial"/>
                <w:szCs w:val="22"/>
                <w:lang w:eastAsia="en-AU"/>
              </w:rPr>
            </w:pPr>
            <w:r w:rsidRPr="00BB5CF9">
              <w:rPr>
                <w:rFonts w:cs="Arial"/>
                <w:szCs w:val="22"/>
                <w:lang w:eastAsia="en-AU"/>
              </w:rPr>
              <w:t xml:space="preserve">New Zealand’s welfare system is designed to </w:t>
            </w:r>
            <w:r w:rsidR="00EF458C">
              <w:rPr>
                <w:rFonts w:cs="Arial"/>
                <w:szCs w:val="22"/>
                <w:lang w:eastAsia="en-AU"/>
              </w:rPr>
              <w:t xml:space="preserve">assist </w:t>
            </w:r>
            <w:r w:rsidRPr="00BB5CF9">
              <w:rPr>
                <w:rFonts w:cs="Arial"/>
                <w:szCs w:val="22"/>
                <w:lang w:eastAsia="en-AU"/>
              </w:rPr>
              <w:t xml:space="preserve">people who are unable to fully support themselves through paid work. </w:t>
            </w:r>
            <w:r w:rsidR="00EF458C">
              <w:rPr>
                <w:rFonts w:cs="Arial"/>
                <w:szCs w:val="22"/>
                <w:lang w:eastAsia="en-AU"/>
              </w:rPr>
              <w:t>Assistance is targeted</w:t>
            </w:r>
            <w:r w:rsidRPr="00BB5CF9">
              <w:rPr>
                <w:rFonts w:cs="Arial"/>
                <w:szCs w:val="22"/>
                <w:lang w:eastAsia="en-AU"/>
              </w:rPr>
              <w:t xml:space="preserve"> through the eligibility criteria</w:t>
            </w:r>
            <w:r w:rsidR="00EF458C">
              <w:rPr>
                <w:rStyle w:val="FootnoteReference"/>
                <w:rFonts w:cs="Arial"/>
                <w:szCs w:val="22"/>
                <w:lang w:eastAsia="en-AU"/>
              </w:rPr>
              <w:footnoteReference w:id="7"/>
            </w:r>
            <w:r w:rsidRPr="00BB5CF9">
              <w:rPr>
                <w:rFonts w:cs="Arial"/>
                <w:szCs w:val="22"/>
                <w:lang w:eastAsia="en-AU"/>
              </w:rPr>
              <w:t xml:space="preserve"> and the benefit abatement regime, which gradually reduces payments that people receive as their other income increases.</w:t>
            </w:r>
            <w:r>
              <w:rPr>
                <w:rFonts w:cs="Arial"/>
                <w:szCs w:val="22"/>
                <w:lang w:eastAsia="en-AU"/>
              </w:rPr>
              <w:t xml:space="preserve"> </w:t>
            </w:r>
          </w:p>
          <w:p w14:paraId="319E87F9" w14:textId="29D33BD1" w:rsidR="00BB5CF9" w:rsidRDefault="00BB5CF9" w:rsidP="00C15602">
            <w:pPr>
              <w:spacing w:after="0" w:line="276" w:lineRule="auto"/>
              <w:jc w:val="both"/>
              <w:rPr>
                <w:rFonts w:cs="Arial"/>
                <w:szCs w:val="22"/>
                <w:lang w:eastAsia="en-AU"/>
              </w:rPr>
            </w:pPr>
          </w:p>
          <w:p w14:paraId="56610ED1" w14:textId="0C0251DE" w:rsidR="00BB5CF9" w:rsidRDefault="00BB5CF9" w:rsidP="00BB5CF9">
            <w:pPr>
              <w:spacing w:after="0" w:line="276" w:lineRule="auto"/>
              <w:jc w:val="both"/>
              <w:rPr>
                <w:rFonts w:cs="Arial"/>
                <w:szCs w:val="22"/>
                <w:lang w:eastAsia="en-AU"/>
              </w:rPr>
            </w:pPr>
            <w:r w:rsidRPr="00BB5CF9">
              <w:rPr>
                <w:rFonts w:cs="Arial"/>
                <w:szCs w:val="22"/>
                <w:lang w:eastAsia="en-AU"/>
              </w:rPr>
              <w:t>Generally, the full rate of payment will be available to people earning up to a certain amount; this is the abatement threshold. Above this amount, payments abate as people’s other income increase</w:t>
            </w:r>
            <w:r w:rsidR="00EF458C">
              <w:rPr>
                <w:rFonts w:cs="Arial"/>
                <w:szCs w:val="22"/>
                <w:lang w:eastAsia="en-AU"/>
              </w:rPr>
              <w:t>s</w:t>
            </w:r>
            <w:r w:rsidRPr="00BB5CF9">
              <w:rPr>
                <w:rFonts w:cs="Arial"/>
                <w:szCs w:val="22"/>
                <w:lang w:eastAsia="en-AU"/>
              </w:rPr>
              <w:t xml:space="preserve">, but payment can abate in different ways and at different rates based on the type of benefit payment. The abatement rules, along with the benefit rate, determine the benefit cut-out point, which is the amount of income at which a benefit is reduced to zero. </w:t>
            </w:r>
          </w:p>
          <w:p w14:paraId="4A4175E3" w14:textId="77777777" w:rsidR="00FB63CB" w:rsidRPr="00BB5CF9" w:rsidRDefault="00FB63CB" w:rsidP="00BB5CF9">
            <w:pPr>
              <w:spacing w:after="0" w:line="276" w:lineRule="auto"/>
              <w:jc w:val="both"/>
              <w:rPr>
                <w:rFonts w:cs="Arial"/>
                <w:szCs w:val="22"/>
                <w:lang w:eastAsia="en-AU"/>
              </w:rPr>
            </w:pPr>
          </w:p>
          <w:p w14:paraId="27AA8B08" w14:textId="500B6366" w:rsidR="00BB5CF9" w:rsidRDefault="00BB5CF9" w:rsidP="00BB5CF9">
            <w:pPr>
              <w:spacing w:after="0" w:line="276" w:lineRule="auto"/>
              <w:jc w:val="both"/>
              <w:rPr>
                <w:rFonts w:cs="Arial"/>
                <w:szCs w:val="22"/>
                <w:lang w:eastAsia="en-AU"/>
              </w:rPr>
            </w:pPr>
            <w:r w:rsidRPr="00BB5CF9">
              <w:rPr>
                <w:rFonts w:cs="Arial"/>
                <w:szCs w:val="22"/>
                <w:lang w:eastAsia="en-AU"/>
              </w:rPr>
              <w:t>The abatement threshold allows people to work for a small number of hours without having their benefit payment affected and is seen as a way to encourage labour market entry. It</w:t>
            </w:r>
            <w:r w:rsidR="00EF458C">
              <w:rPr>
                <w:rFonts w:cs="Arial"/>
                <w:szCs w:val="22"/>
                <w:lang w:eastAsia="en-AU"/>
              </w:rPr>
              <w:t xml:space="preserve"> is</w:t>
            </w:r>
            <w:r w:rsidRPr="00BB5CF9">
              <w:rPr>
                <w:rFonts w:cs="Arial"/>
                <w:szCs w:val="22"/>
                <w:lang w:eastAsia="en-AU"/>
              </w:rPr>
              <w:t xml:space="preserve"> also</w:t>
            </w:r>
            <w:r w:rsidR="00EF458C">
              <w:rPr>
                <w:rFonts w:cs="Arial"/>
                <w:szCs w:val="22"/>
                <w:lang w:eastAsia="en-AU"/>
              </w:rPr>
              <w:t xml:space="preserve"> intended to</w:t>
            </w:r>
            <w:r w:rsidRPr="00BB5CF9">
              <w:rPr>
                <w:rFonts w:cs="Arial"/>
                <w:szCs w:val="22"/>
                <w:lang w:eastAsia="en-AU"/>
              </w:rPr>
              <w:t xml:space="preserve"> recognise that there are additional costs associated with work, such as transport costs.</w:t>
            </w:r>
          </w:p>
          <w:p w14:paraId="4739111E" w14:textId="43373A15" w:rsidR="00C15602" w:rsidRDefault="00C15602" w:rsidP="00C15602">
            <w:pPr>
              <w:spacing w:after="0" w:line="276" w:lineRule="auto"/>
              <w:jc w:val="both"/>
              <w:rPr>
                <w:rFonts w:cs="Arial"/>
                <w:szCs w:val="22"/>
                <w:lang w:eastAsia="en-AU"/>
              </w:rPr>
            </w:pPr>
            <w:r w:rsidRPr="00C15602">
              <w:rPr>
                <w:rFonts w:cs="Arial"/>
                <w:szCs w:val="22"/>
                <w:lang w:eastAsia="en-AU"/>
              </w:rPr>
              <w:lastRenderedPageBreak/>
              <w:t>Currently there are two main abatement regimes</w:t>
            </w:r>
            <w:r w:rsidR="00EF458C">
              <w:rPr>
                <w:rFonts w:cs="Arial"/>
                <w:szCs w:val="22"/>
                <w:lang w:eastAsia="en-AU"/>
              </w:rPr>
              <w:t xml:space="preserve"> within the welfare system</w:t>
            </w:r>
            <w:r w:rsidRPr="00C15602">
              <w:rPr>
                <w:rFonts w:cs="Arial"/>
                <w:szCs w:val="22"/>
                <w:lang w:eastAsia="en-AU"/>
              </w:rPr>
              <w:t>, which seek to align the financial incentives to work with the level of labour force engagement expected of the individual:</w:t>
            </w:r>
          </w:p>
          <w:p w14:paraId="44A153AC" w14:textId="77777777" w:rsidR="008C2CE9" w:rsidRPr="00C15602" w:rsidRDefault="008C2CE9" w:rsidP="00C15602">
            <w:pPr>
              <w:spacing w:after="0" w:line="276" w:lineRule="auto"/>
              <w:jc w:val="both"/>
              <w:rPr>
                <w:rFonts w:cs="Arial"/>
                <w:szCs w:val="22"/>
                <w:lang w:eastAsia="en-AU"/>
              </w:rPr>
            </w:pPr>
          </w:p>
          <w:p w14:paraId="735288E2" w14:textId="7FC60A67" w:rsidR="00C15602" w:rsidRPr="008B568C" w:rsidRDefault="00C15602" w:rsidP="00B52920">
            <w:pPr>
              <w:pStyle w:val="ListParagraph"/>
              <w:numPr>
                <w:ilvl w:val="0"/>
                <w:numId w:val="9"/>
              </w:numPr>
              <w:spacing w:after="0" w:line="276" w:lineRule="auto"/>
              <w:jc w:val="both"/>
              <w:rPr>
                <w:rFonts w:cs="Arial"/>
                <w:szCs w:val="22"/>
                <w:lang w:eastAsia="en-AU"/>
              </w:rPr>
            </w:pPr>
            <w:r w:rsidRPr="00506D8D">
              <w:rPr>
                <w:rFonts w:cs="Arial"/>
                <w:b/>
                <w:bCs/>
                <w:i/>
                <w:iCs/>
                <w:szCs w:val="22"/>
                <w:lang w:eastAsia="en-AU"/>
              </w:rPr>
              <w:t>a part-time regime</w:t>
            </w:r>
            <w:r w:rsidRPr="00506D8D">
              <w:rPr>
                <w:rFonts w:cs="Arial"/>
                <w:szCs w:val="22"/>
                <w:lang w:eastAsia="en-AU"/>
              </w:rPr>
              <w:t xml:space="preserve"> has two abatement thresholds, with a relatively low abatement rate of 30 percent a</w:t>
            </w:r>
            <w:r w:rsidRPr="0073452B">
              <w:rPr>
                <w:rFonts w:cs="Arial"/>
                <w:szCs w:val="22"/>
                <w:lang w:eastAsia="en-AU"/>
              </w:rPr>
              <w:t>pplied at the first threshold, and an abatement rate of 70 percent applied at the second threshold. This is designed to incentivise part-time work and applies to people receivin</w:t>
            </w:r>
            <w:r w:rsidRPr="008B568C">
              <w:rPr>
                <w:rFonts w:cs="Arial"/>
                <w:szCs w:val="22"/>
                <w:lang w:eastAsia="en-AU"/>
              </w:rPr>
              <w:t>g Sole Parent Support (SPS) and Supported Living Payment (SLP), as well as to those under 65 receiving the Veteran’s Pension (VP).</w:t>
            </w:r>
            <w:r w:rsidR="001B09C3">
              <w:rPr>
                <w:rFonts w:cs="Arial"/>
                <w:szCs w:val="22"/>
                <w:lang w:eastAsia="en-AU"/>
              </w:rPr>
              <w:t xml:space="preserve"> The assumption is that part-time work is often the best option for recipients of these payments. </w:t>
            </w:r>
            <w:r w:rsidRPr="008B568C">
              <w:rPr>
                <w:rFonts w:cs="Arial"/>
                <w:szCs w:val="22"/>
                <w:lang w:eastAsia="en-AU"/>
              </w:rPr>
              <w:t xml:space="preserve">  </w:t>
            </w:r>
          </w:p>
          <w:p w14:paraId="739D6D10" w14:textId="050EA2D6" w:rsidR="0062657E" w:rsidRDefault="00C15602" w:rsidP="00B52920">
            <w:pPr>
              <w:pStyle w:val="ListParagraph"/>
              <w:numPr>
                <w:ilvl w:val="0"/>
                <w:numId w:val="9"/>
              </w:numPr>
              <w:spacing w:after="0" w:line="276" w:lineRule="auto"/>
              <w:jc w:val="both"/>
              <w:rPr>
                <w:rFonts w:cs="Arial"/>
                <w:szCs w:val="22"/>
                <w:lang w:eastAsia="en-AU"/>
              </w:rPr>
            </w:pPr>
            <w:r w:rsidRPr="00C83C38">
              <w:rPr>
                <w:rFonts w:cs="Arial"/>
                <w:b/>
                <w:bCs/>
                <w:i/>
                <w:iCs/>
                <w:szCs w:val="22"/>
                <w:lang w:eastAsia="en-AU"/>
              </w:rPr>
              <w:t>a full-time regime</w:t>
            </w:r>
            <w:r w:rsidRPr="00C83C38">
              <w:rPr>
                <w:rFonts w:cs="Arial"/>
                <w:szCs w:val="22"/>
                <w:lang w:eastAsia="en-AU"/>
              </w:rPr>
              <w:t xml:space="preserve"> has a relatively high abatement rate of 70% which is designed to incentivise full-time work. This </w:t>
            </w:r>
            <w:r w:rsidRPr="00166888">
              <w:rPr>
                <w:rFonts w:cs="Arial"/>
                <w:szCs w:val="22"/>
                <w:lang w:eastAsia="en-AU"/>
              </w:rPr>
              <w:t>mainly applies to people on Jobseeker Support (JS)-related benefits, as well as Non-Qualifying Partners (NQP) of New Zealand Superannuation (NZS) and VP recipients.</w:t>
            </w:r>
            <w:r w:rsidR="004B1C0E">
              <w:rPr>
                <w:rFonts w:cs="Arial"/>
                <w:szCs w:val="22"/>
                <w:lang w:eastAsia="en-AU"/>
              </w:rPr>
              <w:t xml:space="preserve"> The assumption is that people receiving these benefits are able to undertake full-time work where it is available.</w:t>
            </w:r>
          </w:p>
          <w:p w14:paraId="5DB80CCD" w14:textId="77777777" w:rsidR="00DE1CD1" w:rsidRPr="00DE1CD1" w:rsidRDefault="00DE1CD1" w:rsidP="00DE1CD1">
            <w:pPr>
              <w:spacing w:after="0" w:line="276" w:lineRule="auto"/>
              <w:jc w:val="both"/>
              <w:rPr>
                <w:rFonts w:cs="Arial"/>
                <w:szCs w:val="22"/>
                <w:lang w:eastAsia="en-AU"/>
              </w:rPr>
            </w:pPr>
          </w:p>
          <w:p w14:paraId="3A9AAA91" w14:textId="113421C2" w:rsidR="00514A0C" w:rsidRPr="0057153E" w:rsidRDefault="00514A0C" w:rsidP="00514A0C">
            <w:pPr>
              <w:pStyle w:val="CabStandard"/>
              <w:numPr>
                <w:ilvl w:val="0"/>
                <w:numId w:val="0"/>
              </w:numPr>
              <w:ind w:left="720" w:hanging="720"/>
              <w:rPr>
                <w:rFonts w:ascii="Arial Mäori" w:hAnsi="Arial Mäori"/>
                <w:sz w:val="22"/>
                <w:szCs w:val="18"/>
              </w:rPr>
            </w:pPr>
            <w:r w:rsidRPr="0057153E">
              <w:rPr>
                <w:rFonts w:ascii="Arial Mäori" w:hAnsi="Arial Mäori"/>
                <w:sz w:val="22"/>
                <w:szCs w:val="18"/>
              </w:rPr>
              <w:t xml:space="preserve">The current abatement thresholds </w:t>
            </w:r>
            <w:r w:rsidR="00141428">
              <w:rPr>
                <w:rFonts w:ascii="Arial Mäori" w:hAnsi="Arial Mäori"/>
                <w:sz w:val="22"/>
                <w:szCs w:val="18"/>
              </w:rPr>
              <w:t xml:space="preserve">and rates </w:t>
            </w:r>
            <w:r w:rsidRPr="0057153E">
              <w:rPr>
                <w:rFonts w:ascii="Arial Mäori" w:hAnsi="Arial Mäori"/>
                <w:sz w:val="22"/>
                <w:szCs w:val="18"/>
              </w:rPr>
              <w:t xml:space="preserve">are set out below: </w:t>
            </w:r>
          </w:p>
          <w:tbl>
            <w:tblPr>
              <w:tblStyle w:val="TableGrid"/>
              <w:tblW w:w="0" w:type="auto"/>
              <w:tblInd w:w="720" w:type="dxa"/>
              <w:tblLook w:val="04A0" w:firstRow="1" w:lastRow="0" w:firstColumn="1" w:lastColumn="0" w:noHBand="0" w:noVBand="1"/>
            </w:tblPr>
            <w:tblGrid>
              <w:gridCol w:w="5929"/>
              <w:gridCol w:w="2190"/>
            </w:tblGrid>
            <w:tr w:rsidR="00514A0C" w14:paraId="145394CA" w14:textId="77777777" w:rsidTr="002B443F">
              <w:tc>
                <w:tcPr>
                  <w:tcW w:w="6079" w:type="dxa"/>
                  <w:vAlign w:val="center"/>
                </w:tcPr>
                <w:p w14:paraId="07B7B571" w14:textId="77777777" w:rsidR="00514A0C" w:rsidRPr="007B018F" w:rsidRDefault="00514A0C" w:rsidP="00514A0C">
                  <w:pPr>
                    <w:pStyle w:val="CabStandard"/>
                    <w:numPr>
                      <w:ilvl w:val="0"/>
                      <w:numId w:val="0"/>
                    </w:numPr>
                    <w:spacing w:before="120" w:after="120"/>
                    <w:rPr>
                      <w:rFonts w:ascii="Arial Mäori" w:hAnsi="Arial Mäori"/>
                      <w:b/>
                      <w:bCs/>
                      <w:sz w:val="18"/>
                      <w:szCs w:val="14"/>
                    </w:rPr>
                  </w:pPr>
                  <w:r w:rsidRPr="007B018F">
                    <w:rPr>
                      <w:rFonts w:ascii="Arial Mäori" w:hAnsi="Arial Mäori"/>
                      <w:b/>
                      <w:bCs/>
                      <w:sz w:val="18"/>
                      <w:szCs w:val="14"/>
                    </w:rPr>
                    <w:t>Abatement rate at different thresholds</w:t>
                  </w:r>
                </w:p>
              </w:tc>
              <w:tc>
                <w:tcPr>
                  <w:tcW w:w="2217" w:type="dxa"/>
                  <w:vAlign w:val="center"/>
                </w:tcPr>
                <w:p w14:paraId="2DB859A3" w14:textId="77777777" w:rsidR="00514A0C" w:rsidRPr="007B018F" w:rsidRDefault="00514A0C" w:rsidP="00514A0C">
                  <w:pPr>
                    <w:pStyle w:val="CabStandard"/>
                    <w:numPr>
                      <w:ilvl w:val="0"/>
                      <w:numId w:val="0"/>
                    </w:numPr>
                    <w:spacing w:before="120" w:after="120"/>
                    <w:jc w:val="center"/>
                    <w:rPr>
                      <w:rFonts w:ascii="Arial Mäori" w:hAnsi="Arial Mäori"/>
                      <w:b/>
                      <w:bCs/>
                      <w:sz w:val="18"/>
                      <w:szCs w:val="14"/>
                    </w:rPr>
                  </w:pPr>
                  <w:r w:rsidRPr="007B018F">
                    <w:rPr>
                      <w:rFonts w:ascii="Arial Mäori" w:hAnsi="Arial Mäori"/>
                      <w:b/>
                      <w:bCs/>
                      <w:sz w:val="18"/>
                      <w:szCs w:val="14"/>
                    </w:rPr>
                    <w:t>Current amount beneficiaries can earn per week before their benefit begins to abate</w:t>
                  </w:r>
                </w:p>
              </w:tc>
            </w:tr>
            <w:tr w:rsidR="00514A0C" w14:paraId="1559D435" w14:textId="77777777" w:rsidTr="002B443F">
              <w:tc>
                <w:tcPr>
                  <w:tcW w:w="6079" w:type="dxa"/>
                  <w:vAlign w:val="center"/>
                </w:tcPr>
                <w:p w14:paraId="657FC34D" w14:textId="77777777" w:rsidR="00514A0C" w:rsidRPr="00360C57" w:rsidRDefault="00514A0C" w:rsidP="00514A0C">
                  <w:pPr>
                    <w:pStyle w:val="CabStandard"/>
                    <w:numPr>
                      <w:ilvl w:val="0"/>
                      <w:numId w:val="0"/>
                    </w:numPr>
                    <w:spacing w:before="120" w:after="120"/>
                    <w:rPr>
                      <w:rFonts w:ascii="Arial Mäori" w:hAnsi="Arial Mäori"/>
                      <w:sz w:val="18"/>
                      <w:szCs w:val="14"/>
                    </w:rPr>
                  </w:pPr>
                  <w:r>
                    <w:rPr>
                      <w:rFonts w:ascii="Arial Mäori" w:hAnsi="Arial Mäori"/>
                      <w:sz w:val="18"/>
                      <w:szCs w:val="14"/>
                    </w:rPr>
                    <w:t>JS (abatement rate of 70%)</w:t>
                  </w:r>
                </w:p>
              </w:tc>
              <w:tc>
                <w:tcPr>
                  <w:tcW w:w="2217" w:type="dxa"/>
                  <w:vAlign w:val="center"/>
                </w:tcPr>
                <w:p w14:paraId="71744A78" w14:textId="77777777" w:rsidR="00514A0C" w:rsidRPr="00360C57" w:rsidRDefault="00514A0C" w:rsidP="00514A0C">
                  <w:pPr>
                    <w:pStyle w:val="CabStandard"/>
                    <w:numPr>
                      <w:ilvl w:val="0"/>
                      <w:numId w:val="0"/>
                    </w:numPr>
                    <w:spacing w:before="120" w:after="120"/>
                    <w:jc w:val="center"/>
                    <w:rPr>
                      <w:rFonts w:ascii="Arial Mäori" w:hAnsi="Arial Mäori"/>
                      <w:sz w:val="18"/>
                      <w:szCs w:val="14"/>
                    </w:rPr>
                  </w:pPr>
                  <w:r>
                    <w:rPr>
                      <w:rFonts w:ascii="Arial Mäori" w:hAnsi="Arial Mäori"/>
                      <w:sz w:val="18"/>
                      <w:szCs w:val="14"/>
                    </w:rPr>
                    <w:t>$90</w:t>
                  </w:r>
                </w:p>
              </w:tc>
            </w:tr>
            <w:tr w:rsidR="00514A0C" w14:paraId="1D784086" w14:textId="77777777" w:rsidTr="002B443F">
              <w:tc>
                <w:tcPr>
                  <w:tcW w:w="6079" w:type="dxa"/>
                  <w:vAlign w:val="center"/>
                </w:tcPr>
                <w:p w14:paraId="322EBD69" w14:textId="77777777" w:rsidR="00514A0C" w:rsidRPr="00360C57" w:rsidRDefault="00514A0C" w:rsidP="00514A0C">
                  <w:pPr>
                    <w:pStyle w:val="CabStandard"/>
                    <w:numPr>
                      <w:ilvl w:val="0"/>
                      <w:numId w:val="0"/>
                    </w:numPr>
                    <w:spacing w:before="120" w:after="120"/>
                    <w:rPr>
                      <w:rFonts w:ascii="Arial Mäori" w:hAnsi="Arial Mäori"/>
                      <w:sz w:val="18"/>
                      <w:szCs w:val="14"/>
                    </w:rPr>
                  </w:pPr>
                  <w:r>
                    <w:rPr>
                      <w:rFonts w:ascii="Arial Mäori" w:hAnsi="Arial Mäori"/>
                      <w:sz w:val="18"/>
                      <w:szCs w:val="14"/>
                    </w:rPr>
                    <w:t>NZS/VP with non-qualifying partner (abatement rate of 70%)</w:t>
                  </w:r>
                </w:p>
              </w:tc>
              <w:tc>
                <w:tcPr>
                  <w:tcW w:w="2217" w:type="dxa"/>
                  <w:vAlign w:val="center"/>
                </w:tcPr>
                <w:p w14:paraId="46253BE9" w14:textId="77777777" w:rsidR="00514A0C" w:rsidRPr="00360C57" w:rsidRDefault="00514A0C" w:rsidP="00514A0C">
                  <w:pPr>
                    <w:pStyle w:val="CabStandard"/>
                    <w:numPr>
                      <w:ilvl w:val="0"/>
                      <w:numId w:val="0"/>
                    </w:numPr>
                    <w:spacing w:before="120" w:after="120"/>
                    <w:jc w:val="center"/>
                    <w:rPr>
                      <w:rFonts w:ascii="Arial Mäori" w:hAnsi="Arial Mäori"/>
                      <w:sz w:val="18"/>
                      <w:szCs w:val="14"/>
                    </w:rPr>
                  </w:pPr>
                  <w:r>
                    <w:rPr>
                      <w:rFonts w:ascii="Arial Mäori" w:hAnsi="Arial Mäori"/>
                      <w:sz w:val="18"/>
                      <w:szCs w:val="14"/>
                    </w:rPr>
                    <w:t>$115</w:t>
                  </w:r>
                </w:p>
              </w:tc>
            </w:tr>
            <w:tr w:rsidR="00514A0C" w14:paraId="4ED1A04E" w14:textId="77777777" w:rsidTr="002B443F">
              <w:tc>
                <w:tcPr>
                  <w:tcW w:w="6079" w:type="dxa"/>
                  <w:vAlign w:val="center"/>
                </w:tcPr>
                <w:p w14:paraId="29501738" w14:textId="77777777" w:rsidR="00514A0C" w:rsidRPr="00360C57" w:rsidRDefault="00514A0C" w:rsidP="00514A0C">
                  <w:pPr>
                    <w:pStyle w:val="CabStandard"/>
                    <w:numPr>
                      <w:ilvl w:val="0"/>
                      <w:numId w:val="0"/>
                    </w:numPr>
                    <w:spacing w:before="120" w:after="120"/>
                    <w:rPr>
                      <w:rFonts w:ascii="Arial Mäori" w:hAnsi="Arial Mäori"/>
                      <w:sz w:val="18"/>
                      <w:szCs w:val="14"/>
                    </w:rPr>
                  </w:pPr>
                  <w:r>
                    <w:rPr>
                      <w:rFonts w:ascii="Arial Mäori" w:hAnsi="Arial Mäori"/>
                      <w:sz w:val="18"/>
                      <w:szCs w:val="14"/>
                    </w:rPr>
                    <w:t>SPS, SLP and VP (under 65) – Threshold One (abatement rate of 30%)</w:t>
                  </w:r>
                </w:p>
              </w:tc>
              <w:tc>
                <w:tcPr>
                  <w:tcW w:w="2217" w:type="dxa"/>
                  <w:vAlign w:val="center"/>
                </w:tcPr>
                <w:p w14:paraId="00977E36" w14:textId="77777777" w:rsidR="00514A0C" w:rsidRPr="00360C57" w:rsidRDefault="00514A0C" w:rsidP="00514A0C">
                  <w:pPr>
                    <w:pStyle w:val="CabStandard"/>
                    <w:numPr>
                      <w:ilvl w:val="0"/>
                      <w:numId w:val="0"/>
                    </w:numPr>
                    <w:spacing w:before="120" w:after="120"/>
                    <w:jc w:val="center"/>
                    <w:rPr>
                      <w:rFonts w:ascii="Arial Mäori" w:hAnsi="Arial Mäori"/>
                      <w:sz w:val="18"/>
                      <w:szCs w:val="14"/>
                    </w:rPr>
                  </w:pPr>
                  <w:r>
                    <w:rPr>
                      <w:rFonts w:ascii="Arial Mäori" w:hAnsi="Arial Mäori"/>
                      <w:sz w:val="18"/>
                      <w:szCs w:val="14"/>
                    </w:rPr>
                    <w:t>$115</w:t>
                  </w:r>
                </w:p>
              </w:tc>
            </w:tr>
            <w:tr w:rsidR="00514A0C" w14:paraId="6FA33671" w14:textId="77777777" w:rsidTr="002B443F">
              <w:tc>
                <w:tcPr>
                  <w:tcW w:w="6079" w:type="dxa"/>
                  <w:vAlign w:val="center"/>
                </w:tcPr>
                <w:p w14:paraId="5AFF9D23" w14:textId="77777777" w:rsidR="00514A0C" w:rsidRPr="00360C57" w:rsidRDefault="00514A0C" w:rsidP="00514A0C">
                  <w:pPr>
                    <w:pStyle w:val="CabStandard"/>
                    <w:numPr>
                      <w:ilvl w:val="0"/>
                      <w:numId w:val="0"/>
                    </w:numPr>
                    <w:spacing w:before="120" w:after="120"/>
                    <w:rPr>
                      <w:rFonts w:ascii="Arial Mäori" w:hAnsi="Arial Mäori"/>
                      <w:sz w:val="18"/>
                      <w:szCs w:val="14"/>
                    </w:rPr>
                  </w:pPr>
                  <w:r>
                    <w:rPr>
                      <w:rFonts w:ascii="Arial Mäori" w:hAnsi="Arial Mäori"/>
                      <w:sz w:val="18"/>
                      <w:szCs w:val="14"/>
                    </w:rPr>
                    <w:t>SPS, SLP and VP (under 65) – Threshold Two (abatement rate of 70%)</w:t>
                  </w:r>
                </w:p>
              </w:tc>
              <w:tc>
                <w:tcPr>
                  <w:tcW w:w="2217" w:type="dxa"/>
                  <w:vAlign w:val="center"/>
                </w:tcPr>
                <w:p w14:paraId="1B3C33FD" w14:textId="77777777" w:rsidR="00514A0C" w:rsidRPr="00360C57" w:rsidRDefault="00514A0C" w:rsidP="00514A0C">
                  <w:pPr>
                    <w:pStyle w:val="CabStandard"/>
                    <w:numPr>
                      <w:ilvl w:val="0"/>
                      <w:numId w:val="0"/>
                    </w:numPr>
                    <w:spacing w:before="120" w:after="120"/>
                    <w:jc w:val="center"/>
                    <w:rPr>
                      <w:rFonts w:ascii="Arial Mäori" w:hAnsi="Arial Mäori"/>
                      <w:sz w:val="18"/>
                      <w:szCs w:val="14"/>
                    </w:rPr>
                  </w:pPr>
                  <w:r>
                    <w:rPr>
                      <w:rFonts w:ascii="Arial Mäori" w:hAnsi="Arial Mäori"/>
                      <w:sz w:val="18"/>
                      <w:szCs w:val="14"/>
                    </w:rPr>
                    <w:t>$215</w:t>
                  </w:r>
                </w:p>
              </w:tc>
            </w:tr>
          </w:tbl>
          <w:p w14:paraId="4D1177D8" w14:textId="77777777" w:rsidR="00141428" w:rsidRDefault="00141428" w:rsidP="00141428">
            <w:pPr>
              <w:spacing w:after="0"/>
              <w:rPr>
                <w:lang w:eastAsia="en-AU"/>
              </w:rPr>
            </w:pPr>
          </w:p>
          <w:p w14:paraId="6523F335" w14:textId="17FFD816" w:rsidR="00514A0C" w:rsidRPr="00384E9B" w:rsidRDefault="00514A0C" w:rsidP="002428A4">
            <w:pPr>
              <w:rPr>
                <w:lang w:eastAsia="en-AU"/>
              </w:rPr>
            </w:pPr>
            <w:r w:rsidRPr="00514A0C">
              <w:rPr>
                <w:lang w:eastAsia="en-AU"/>
              </w:rPr>
              <w:t>Under the current settings, a JS recipient would have their benefit reduce by 70 cents for every dollar earned over $90. For a SPS recipient, their benefit would reduce by 30 cents for every dollar earned over $115, and by 70 cents for every dollar earned over $215.</w:t>
            </w:r>
          </w:p>
          <w:p w14:paraId="796DFAE4" w14:textId="2A38E7DB" w:rsidR="002428A4" w:rsidRDefault="001B09C3" w:rsidP="002428A4">
            <w:pPr>
              <w:rPr>
                <w:b/>
                <w:bCs/>
                <w:lang w:eastAsia="en-AU"/>
              </w:rPr>
            </w:pPr>
            <w:r>
              <w:rPr>
                <w:b/>
                <w:bCs/>
                <w:lang w:eastAsia="en-AU"/>
              </w:rPr>
              <w:t xml:space="preserve">The </w:t>
            </w:r>
            <w:r w:rsidR="00AA79CA" w:rsidRPr="00AA79CA">
              <w:rPr>
                <w:b/>
                <w:bCs/>
                <w:lang w:eastAsia="en-AU"/>
              </w:rPr>
              <w:t xml:space="preserve">Minimum Family Tax Credit </w:t>
            </w:r>
            <w:r w:rsidR="00B05DDC">
              <w:rPr>
                <w:b/>
                <w:bCs/>
                <w:lang w:eastAsia="en-AU"/>
              </w:rPr>
              <w:t xml:space="preserve">incentivises families with children to move off benefit and into </w:t>
            </w:r>
            <w:r w:rsidR="002921B1">
              <w:rPr>
                <w:b/>
                <w:bCs/>
                <w:lang w:eastAsia="en-AU"/>
              </w:rPr>
              <w:t xml:space="preserve">greater amounts of </w:t>
            </w:r>
            <w:r w:rsidR="00B05DDC">
              <w:rPr>
                <w:b/>
                <w:bCs/>
                <w:lang w:eastAsia="en-AU"/>
              </w:rPr>
              <w:t>work</w:t>
            </w:r>
          </w:p>
          <w:p w14:paraId="41ADE8C2" w14:textId="7165846E" w:rsidR="00CF1BBC" w:rsidRDefault="00CF1BBC" w:rsidP="00CF1BBC">
            <w:pPr>
              <w:rPr>
                <w:rFonts w:cs="Arial"/>
                <w:szCs w:val="22"/>
                <w:lang w:eastAsia="en-AU"/>
              </w:rPr>
            </w:pPr>
            <w:r>
              <w:rPr>
                <w:lang w:eastAsia="en-AU"/>
              </w:rPr>
              <w:t xml:space="preserve">The MFTC is one of the WFF tax credits. </w:t>
            </w:r>
            <w:r w:rsidR="006B3CC4">
              <w:rPr>
                <w:lang w:eastAsia="en-AU"/>
              </w:rPr>
              <w:t xml:space="preserve">The </w:t>
            </w:r>
            <w:r>
              <w:rPr>
                <w:lang w:eastAsia="en-AU"/>
              </w:rPr>
              <w:t xml:space="preserve">MFTC aims to incentivise families with children (in particular, sole parents) to move off benefit and into </w:t>
            </w:r>
            <w:r w:rsidR="002921B1">
              <w:rPr>
                <w:lang w:eastAsia="en-AU"/>
              </w:rPr>
              <w:t xml:space="preserve">greater amounts of </w:t>
            </w:r>
            <w:r w:rsidR="001B09C3">
              <w:rPr>
                <w:lang w:eastAsia="en-AU"/>
              </w:rPr>
              <w:t xml:space="preserve">paid </w:t>
            </w:r>
            <w:r>
              <w:rPr>
                <w:lang w:eastAsia="en-AU"/>
              </w:rPr>
              <w:t>work</w:t>
            </w:r>
            <w:r w:rsidR="002921B1">
              <w:rPr>
                <w:rStyle w:val="FootnoteReference"/>
                <w:lang w:eastAsia="en-AU"/>
              </w:rPr>
              <w:footnoteReference w:id="8"/>
            </w:r>
            <w:r>
              <w:rPr>
                <w:lang w:eastAsia="en-AU"/>
              </w:rPr>
              <w:t xml:space="preserve"> by ensuring people who move from</w:t>
            </w:r>
            <w:r w:rsidR="002921B1">
              <w:rPr>
                <w:lang w:eastAsia="en-AU"/>
              </w:rPr>
              <w:t xml:space="preserve"> working and receiving</w:t>
            </w:r>
            <w:r>
              <w:rPr>
                <w:lang w:eastAsia="en-AU"/>
              </w:rPr>
              <w:t xml:space="preserve"> a main benefit into work</w:t>
            </w:r>
            <w:r w:rsidR="002921B1">
              <w:rPr>
                <w:lang w:eastAsia="en-AU"/>
              </w:rPr>
              <w:t>ing and receiving the MFTC</w:t>
            </w:r>
            <w:r>
              <w:rPr>
                <w:lang w:eastAsia="en-AU"/>
              </w:rPr>
              <w:t xml:space="preserve"> are not financially worse off from doing so</w:t>
            </w:r>
            <w:r w:rsidRPr="00CF1BBC">
              <w:rPr>
                <w:lang w:eastAsia="en-AU"/>
              </w:rPr>
              <w:t xml:space="preserve">. </w:t>
            </w:r>
            <w:r w:rsidRPr="00CF1BBC">
              <w:rPr>
                <w:rFonts w:cs="Arial"/>
                <w:szCs w:val="22"/>
                <w:lang w:eastAsia="en-AU"/>
              </w:rPr>
              <w:t xml:space="preserve">This is done by “topping-up” families’ earned income to a prescribed level (the MFTC threshold) that means they are financially better off by working </w:t>
            </w:r>
            <w:r w:rsidR="002921B1">
              <w:rPr>
                <w:rFonts w:cs="Arial"/>
                <w:szCs w:val="22"/>
                <w:lang w:eastAsia="en-AU"/>
              </w:rPr>
              <w:t>a greater amount and receiving the MFTC</w:t>
            </w:r>
            <w:r w:rsidRPr="00CF1BBC">
              <w:rPr>
                <w:rFonts w:cs="Arial"/>
                <w:szCs w:val="22"/>
                <w:lang w:eastAsia="en-AU"/>
              </w:rPr>
              <w:t xml:space="preserve"> than </w:t>
            </w:r>
            <w:r w:rsidR="002921B1">
              <w:rPr>
                <w:rFonts w:cs="Arial"/>
                <w:szCs w:val="22"/>
                <w:lang w:eastAsia="en-AU"/>
              </w:rPr>
              <w:t>working and receiving</w:t>
            </w:r>
            <w:r w:rsidR="002921B1" w:rsidRPr="00CF1BBC">
              <w:rPr>
                <w:rFonts w:cs="Arial"/>
                <w:szCs w:val="22"/>
                <w:lang w:eastAsia="en-AU"/>
              </w:rPr>
              <w:t xml:space="preserve"> </w:t>
            </w:r>
            <w:r w:rsidRPr="00CF1BBC">
              <w:rPr>
                <w:rFonts w:cs="Arial"/>
                <w:szCs w:val="22"/>
                <w:lang w:eastAsia="en-AU"/>
              </w:rPr>
              <w:t xml:space="preserve">a benefit. </w:t>
            </w:r>
            <w:r>
              <w:rPr>
                <w:rFonts w:cs="Arial"/>
                <w:szCs w:val="22"/>
                <w:lang w:eastAsia="en-AU"/>
              </w:rPr>
              <w:t>This effectively creates a guaranteed income for families, above what they would receive if they were on a benefit.</w:t>
            </w:r>
            <w:r w:rsidR="001A0C5C">
              <w:rPr>
                <w:rFonts w:cs="Arial"/>
                <w:szCs w:val="22"/>
                <w:lang w:eastAsia="en-AU"/>
              </w:rPr>
              <w:t xml:space="preserve"> Around 90 percent of MFTC recipients are sole parent families. </w:t>
            </w:r>
          </w:p>
          <w:p w14:paraId="31A91912" w14:textId="77777777" w:rsidR="001A0C5C" w:rsidRPr="004046D4" w:rsidRDefault="001A0C5C" w:rsidP="001A0C5C">
            <w:pPr>
              <w:rPr>
                <w:lang w:eastAsia="en-AU"/>
              </w:rPr>
            </w:pPr>
            <w:r>
              <w:rPr>
                <w:lang w:eastAsia="en-AU"/>
              </w:rPr>
              <w:lastRenderedPageBreak/>
              <w:t>The MFTC abates at 100 percent for every dollar earned over the MFTC threshold. This means that for every dollar a family earns over the prescribed amount, their MFTC entitlement reduces by one dollar.</w:t>
            </w:r>
          </w:p>
          <w:p w14:paraId="5E5712E1" w14:textId="07ACBB54" w:rsidR="001A0C5C" w:rsidRDefault="001A0C5C" w:rsidP="00CF1BBC">
            <w:pPr>
              <w:rPr>
                <w:lang w:eastAsia="en-AU"/>
              </w:rPr>
            </w:pPr>
            <w:r>
              <w:rPr>
                <w:lang w:eastAsia="en-AU"/>
              </w:rPr>
              <w:t xml:space="preserve">The </w:t>
            </w:r>
            <w:r w:rsidR="00CF1BBC">
              <w:rPr>
                <w:lang w:eastAsia="en-AU"/>
              </w:rPr>
              <w:t>MFTC</w:t>
            </w:r>
            <w:r>
              <w:rPr>
                <w:lang w:eastAsia="en-AU"/>
              </w:rPr>
              <w:t xml:space="preserve"> threshold</w:t>
            </w:r>
            <w:r w:rsidR="0047751A">
              <w:rPr>
                <w:lang w:eastAsia="en-AU"/>
              </w:rPr>
              <w:t>, as at 30 November 2020,</w:t>
            </w:r>
            <w:r w:rsidR="00CF1BBC">
              <w:rPr>
                <w:lang w:eastAsia="en-AU"/>
              </w:rPr>
              <w:t xml:space="preserve"> is $27,768 per year (after tax)</w:t>
            </w:r>
            <w:r>
              <w:rPr>
                <w:lang w:eastAsia="en-AU"/>
              </w:rPr>
              <w:t>. This is $534 per week.</w:t>
            </w:r>
            <w:r w:rsidR="00CF1BBC">
              <w:rPr>
                <w:lang w:eastAsia="en-AU"/>
              </w:rPr>
              <w:t xml:space="preserve"> </w:t>
            </w:r>
            <w:r>
              <w:rPr>
                <w:lang w:eastAsia="en-AU"/>
              </w:rPr>
              <w:t>Approximately 3,800 families were paid nearly $12 million in the 2020/21 tax year. The average MFTC payment amount was $3,100 per family. IR forecasts that there will be a decrease to approximately 3,200 families in the 2021/22 tax year.</w:t>
            </w:r>
            <w:r>
              <w:rPr>
                <w:rStyle w:val="FootnoteReference"/>
                <w:lang w:eastAsia="en-AU"/>
              </w:rPr>
              <w:footnoteReference w:id="9"/>
            </w:r>
            <w:r>
              <w:rPr>
                <w:lang w:eastAsia="en-AU"/>
              </w:rPr>
              <w:t xml:space="preserve"> </w:t>
            </w:r>
          </w:p>
          <w:p w14:paraId="7917D7E7" w14:textId="6DD7074C" w:rsidR="001A0C5C" w:rsidRDefault="001A0C5C" w:rsidP="001A0C5C">
            <w:pPr>
              <w:spacing w:after="0" w:line="276" w:lineRule="auto"/>
              <w:jc w:val="both"/>
              <w:rPr>
                <w:rFonts w:cs="Arial"/>
                <w:szCs w:val="22"/>
                <w:lang w:eastAsia="en-AU"/>
              </w:rPr>
            </w:pPr>
            <w:bookmarkStart w:id="9" w:name="_Hlk57629772"/>
            <w:r w:rsidRPr="001A0C5C">
              <w:rPr>
                <w:rFonts w:cs="Arial"/>
                <w:szCs w:val="22"/>
                <w:lang w:eastAsia="en-AU"/>
              </w:rPr>
              <w:t>As part of the introduction of WFF, on 26 April 2004, Cabinet agreed to increase the MFTC on 1 April each year by an amount sufficient to ensure that couples do not suffer a reduction in income when moving off benefit into 30 hours of paid work a week, from 1 April 2006 onwards [</w:t>
            </w:r>
            <w:r w:rsidRPr="001A0C5C">
              <w:rPr>
                <w:rFonts w:ascii="Arial Mäori" w:hAnsi="Arial Mäori"/>
                <w:szCs w:val="18"/>
              </w:rPr>
              <w:t>CAB Min (04) 13/4 refers]</w:t>
            </w:r>
            <w:r w:rsidRPr="001A0C5C">
              <w:rPr>
                <w:rFonts w:cs="Arial"/>
                <w:szCs w:val="22"/>
                <w:lang w:eastAsia="en-AU"/>
              </w:rPr>
              <w:t xml:space="preserve">. Consequently, the MFTC threshold has been increased each year since 2006 to reflect the latest changes to relevant settings (such as benefit rates, the minimum wage and abatement thresholds).  </w:t>
            </w:r>
          </w:p>
          <w:bookmarkEnd w:id="9"/>
          <w:p w14:paraId="6D3FD9FB" w14:textId="77777777" w:rsidR="001A0C5C" w:rsidRDefault="001A0C5C" w:rsidP="001A0C5C">
            <w:pPr>
              <w:spacing w:after="0" w:line="276" w:lineRule="auto"/>
              <w:jc w:val="both"/>
              <w:rPr>
                <w:lang w:eastAsia="en-AU"/>
              </w:rPr>
            </w:pPr>
          </w:p>
          <w:p w14:paraId="208AF027" w14:textId="1EA814CF" w:rsidR="001A0C5C" w:rsidRDefault="001A0C5C" w:rsidP="002428A4">
            <w:pPr>
              <w:rPr>
                <w:lang w:eastAsia="en-AU"/>
              </w:rPr>
            </w:pPr>
            <w:r w:rsidRPr="001A0C5C">
              <w:rPr>
                <w:lang w:eastAsia="en-AU"/>
              </w:rPr>
              <w:t xml:space="preserve">The MFTC threshold is set by calculating the total income a two-parent family could receive if they were working less than </w:t>
            </w:r>
            <w:r w:rsidR="00292727">
              <w:rPr>
                <w:lang w:eastAsia="en-AU"/>
              </w:rPr>
              <w:t>30 hours</w:t>
            </w:r>
            <w:r w:rsidRPr="001A0C5C">
              <w:rPr>
                <w:lang w:eastAsia="en-AU"/>
              </w:rPr>
              <w:t xml:space="preserve"> and receiving an abated main benefit (the couple</w:t>
            </w:r>
            <w:r>
              <w:rPr>
                <w:lang w:eastAsia="en-AU"/>
              </w:rPr>
              <w:t xml:space="preserve"> </w:t>
            </w:r>
            <w:r w:rsidRPr="001A0C5C">
              <w:rPr>
                <w:lang w:eastAsia="en-AU"/>
              </w:rPr>
              <w:t>rate for Jobseeker Support) and the Winter Energy Payment. This amount is then increased by $1 and rounded up to the next multiple of $52 (as expressed for the weeks in the year).</w:t>
            </w:r>
            <w:r w:rsidR="00292727">
              <w:rPr>
                <w:lang w:eastAsia="en-AU"/>
              </w:rPr>
              <w:t xml:space="preserve"> Sole</w:t>
            </w:r>
            <w:r w:rsidR="00EC6811">
              <w:rPr>
                <w:lang w:eastAsia="en-AU"/>
              </w:rPr>
              <w:t xml:space="preserve"> </w:t>
            </w:r>
            <w:r w:rsidR="00292727">
              <w:rPr>
                <w:lang w:eastAsia="en-AU"/>
              </w:rPr>
              <w:t>parents face the same MFTC threshold as two-parent families. As the sole parent benefit is lower than the couple rate of Jobseeker Support, this means that sole parents gain significantly more than two-parent families by moving onto the MFTC.</w:t>
            </w:r>
          </w:p>
          <w:p w14:paraId="738AE90D" w14:textId="05E4407F" w:rsidR="0098212D" w:rsidRDefault="0098212D" w:rsidP="002428A4">
            <w:pPr>
              <w:rPr>
                <w:b/>
                <w:bCs/>
                <w:lang w:eastAsia="en-AU"/>
              </w:rPr>
            </w:pPr>
            <w:r>
              <w:rPr>
                <w:b/>
                <w:bCs/>
                <w:lang w:eastAsia="en-AU"/>
              </w:rPr>
              <w:t>Roles of government agencies</w:t>
            </w:r>
          </w:p>
          <w:p w14:paraId="11A091A4" w14:textId="39F1157D" w:rsidR="0098212D" w:rsidRDefault="0098212D" w:rsidP="002428A4">
            <w:pPr>
              <w:rPr>
                <w:lang w:eastAsia="en-AU"/>
              </w:rPr>
            </w:pPr>
            <w:r>
              <w:rPr>
                <w:lang w:eastAsia="en-AU"/>
              </w:rPr>
              <w:t xml:space="preserve">The Ministry </w:t>
            </w:r>
            <w:r w:rsidR="004B1C0E">
              <w:rPr>
                <w:lang w:eastAsia="en-AU"/>
              </w:rPr>
              <w:t>of</w:t>
            </w:r>
            <w:r>
              <w:rPr>
                <w:lang w:eastAsia="en-AU"/>
              </w:rPr>
              <w:t xml:space="preserve"> Social Development</w:t>
            </w:r>
            <w:r w:rsidR="00EC6811">
              <w:rPr>
                <w:lang w:eastAsia="en-AU"/>
              </w:rPr>
              <w:t xml:space="preserve"> </w:t>
            </w:r>
            <w:r w:rsidR="00A15AB2">
              <w:rPr>
                <w:lang w:eastAsia="en-AU"/>
              </w:rPr>
              <w:t xml:space="preserve">administers and provides information on </w:t>
            </w:r>
            <w:r w:rsidR="00144BF6">
              <w:rPr>
                <w:lang w:eastAsia="en-AU"/>
              </w:rPr>
              <w:t>financial assistance, employment and housing</w:t>
            </w:r>
            <w:r w:rsidR="00A15AB2">
              <w:rPr>
                <w:lang w:eastAsia="en-AU"/>
              </w:rPr>
              <w:t xml:space="preserve">. </w:t>
            </w:r>
            <w:r w:rsidR="004B1C0E">
              <w:rPr>
                <w:lang w:eastAsia="en-AU"/>
              </w:rPr>
              <w:t>MSD’s</w:t>
            </w:r>
            <w:r w:rsidR="00A15AB2">
              <w:rPr>
                <w:lang w:eastAsia="en-AU"/>
              </w:rPr>
              <w:t xml:space="preserve"> role includes </w:t>
            </w:r>
            <w:r w:rsidR="00144BF6">
              <w:rPr>
                <w:lang w:eastAsia="en-AU"/>
              </w:rPr>
              <w:t>paying financial assistance, providing support for getting people into and maintaining employment and housing.</w:t>
            </w:r>
          </w:p>
          <w:p w14:paraId="7D0EE539" w14:textId="48BAA67A" w:rsidR="0062657E" w:rsidRPr="00842648" w:rsidRDefault="00A15AB2" w:rsidP="00842648">
            <w:pPr>
              <w:rPr>
                <w:lang w:eastAsia="en-AU"/>
              </w:rPr>
            </w:pPr>
            <w:r>
              <w:rPr>
                <w:lang w:eastAsia="en-AU"/>
              </w:rPr>
              <w:t xml:space="preserve">Inland </w:t>
            </w:r>
            <w:r w:rsidR="00EC6811">
              <w:rPr>
                <w:lang w:eastAsia="en-AU"/>
              </w:rPr>
              <w:t>R</w:t>
            </w:r>
            <w:r>
              <w:rPr>
                <w:lang w:eastAsia="en-AU"/>
              </w:rPr>
              <w:t>evenue</w:t>
            </w:r>
            <w:r w:rsidR="0014197A">
              <w:rPr>
                <w:lang w:eastAsia="en-AU"/>
              </w:rPr>
              <w:t xml:space="preserve"> administers New Zealand’s tax system, collecting Crown revenue, as well as collecting and distributing social support programme payments, such as WFF tax credits. </w:t>
            </w:r>
            <w:r w:rsidR="002428A4">
              <w:rPr>
                <w:rFonts w:cs="Arial"/>
                <w:szCs w:val="22"/>
                <w:lang w:eastAsia="en-AU"/>
              </w:rPr>
              <w:tab/>
            </w:r>
          </w:p>
        </w:tc>
      </w:tr>
    </w:tbl>
    <w:p w14:paraId="0952FB1B" w14:textId="77777777" w:rsidR="0062657E" w:rsidRPr="009C4129" w:rsidRDefault="0062657E" w:rsidP="007B090A">
      <w:pPr>
        <w:pStyle w:val="spacer"/>
        <w:spacing w:line="276" w:lineRule="auto"/>
        <w:rPr>
          <w:rFonts w:cs="Arial"/>
          <w:sz w:val="22"/>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9C4129" w:rsidRPr="009C4129" w14:paraId="48F4418F" w14:textId="77777777" w:rsidTr="0049131B">
        <w:trPr>
          <w:trHeight w:val="77"/>
        </w:trPr>
        <w:tc>
          <w:tcPr>
            <w:tcW w:w="5000" w:type="pct"/>
            <w:tcBorders>
              <w:top w:val="single" w:sz="4" w:space="0" w:color="DDDDDD"/>
              <w:left w:val="single" w:sz="4" w:space="0" w:color="DDDDDD"/>
              <w:bottom w:val="single" w:sz="4" w:space="0" w:color="DDDDDD"/>
              <w:right w:val="single" w:sz="4" w:space="0" w:color="DDDDDD"/>
            </w:tcBorders>
            <w:shd w:val="clear" w:color="auto" w:fill="99CDDD"/>
            <w:hideMark/>
          </w:tcPr>
          <w:p w14:paraId="4F77FB65" w14:textId="5241A81D" w:rsidR="0062657E" w:rsidRPr="009C4129" w:rsidRDefault="00B87AED" w:rsidP="00DF2E7B">
            <w:pPr>
              <w:pStyle w:val="Heading5"/>
              <w:spacing w:before="60" w:after="60" w:line="240" w:lineRule="auto"/>
              <w:jc w:val="both"/>
              <w:rPr>
                <w:rFonts w:cs="Arial"/>
                <w:b/>
                <w:color w:val="auto"/>
              </w:rPr>
            </w:pPr>
            <w:r>
              <w:rPr>
                <w:rFonts w:cs="Arial"/>
                <w:b/>
                <w:color w:val="auto"/>
              </w:rPr>
              <w:lastRenderedPageBreak/>
              <w:t xml:space="preserve">2.3   </w:t>
            </w:r>
            <w:r w:rsidR="0062657E" w:rsidRPr="009C4129">
              <w:rPr>
                <w:rFonts w:cs="Arial"/>
                <w:b/>
                <w:color w:val="auto"/>
              </w:rPr>
              <w:t xml:space="preserve">What is the policy problem or opportunity? </w:t>
            </w:r>
          </w:p>
        </w:tc>
      </w:tr>
      <w:tr w:rsidR="009C4129" w:rsidRPr="009C4129" w14:paraId="694FAD63" w14:textId="77777777" w:rsidTr="0049131B">
        <w:trPr>
          <w:trHeight w:val="4059"/>
        </w:trPr>
        <w:tc>
          <w:tcPr>
            <w:tcW w:w="5000" w:type="pct"/>
            <w:tcBorders>
              <w:top w:val="single" w:sz="4" w:space="0" w:color="DDDDDD"/>
              <w:left w:val="single" w:sz="4" w:space="0" w:color="DDDDDD"/>
              <w:bottom w:val="single" w:sz="4" w:space="0" w:color="DDDDDD"/>
              <w:right w:val="single" w:sz="4" w:space="0" w:color="DDDDDD"/>
            </w:tcBorders>
            <w:shd w:val="clear" w:color="auto" w:fill="FFFFFF"/>
          </w:tcPr>
          <w:p w14:paraId="10FF5374" w14:textId="03A3A814" w:rsidR="008A146C" w:rsidRDefault="009360B7" w:rsidP="007E17F1">
            <w:pPr>
              <w:spacing w:after="0" w:line="276" w:lineRule="auto"/>
              <w:jc w:val="both"/>
              <w:rPr>
                <w:rFonts w:cs="Arial"/>
                <w:szCs w:val="22"/>
                <w:lang w:eastAsia="en-AU"/>
              </w:rPr>
            </w:pPr>
            <w:r>
              <w:rPr>
                <w:rFonts w:cs="Arial"/>
                <w:b/>
                <w:bCs/>
                <w:szCs w:val="22"/>
                <w:lang w:eastAsia="en-AU"/>
              </w:rPr>
              <w:t>A</w:t>
            </w:r>
            <w:r w:rsidR="008A146C">
              <w:rPr>
                <w:rFonts w:cs="Arial"/>
                <w:b/>
                <w:bCs/>
                <w:szCs w:val="22"/>
                <w:lang w:eastAsia="en-AU"/>
              </w:rPr>
              <w:t xml:space="preserve">batement thresholds </w:t>
            </w:r>
            <w:r>
              <w:rPr>
                <w:rFonts w:cs="Arial"/>
                <w:b/>
                <w:bCs/>
                <w:szCs w:val="22"/>
                <w:lang w:eastAsia="en-AU"/>
              </w:rPr>
              <w:t xml:space="preserve">have become out of line with </w:t>
            </w:r>
            <w:r w:rsidR="00144BF6">
              <w:rPr>
                <w:rFonts w:cs="Arial"/>
                <w:b/>
                <w:bCs/>
                <w:szCs w:val="22"/>
                <w:lang w:eastAsia="en-AU"/>
              </w:rPr>
              <w:t>their</w:t>
            </w:r>
            <w:r>
              <w:rPr>
                <w:rFonts w:cs="Arial"/>
                <w:b/>
                <w:bCs/>
                <w:szCs w:val="22"/>
                <w:lang w:eastAsia="en-AU"/>
              </w:rPr>
              <w:t xml:space="preserve"> original settings</w:t>
            </w:r>
            <w:r w:rsidR="00506D8D">
              <w:rPr>
                <w:rFonts w:cs="Arial"/>
                <w:b/>
                <w:bCs/>
                <w:szCs w:val="22"/>
                <w:lang w:eastAsia="en-AU"/>
              </w:rPr>
              <w:t xml:space="preserve"> and offer little financial incentive to </w:t>
            </w:r>
            <w:r w:rsidR="00144BF6">
              <w:rPr>
                <w:rFonts w:cs="Arial"/>
                <w:b/>
                <w:bCs/>
                <w:szCs w:val="22"/>
                <w:lang w:eastAsia="en-AU"/>
              </w:rPr>
              <w:t>enter the labour market or work part-time</w:t>
            </w:r>
          </w:p>
          <w:p w14:paraId="42A77306" w14:textId="77777777" w:rsidR="008A146C" w:rsidRPr="00506D8D" w:rsidRDefault="008A146C" w:rsidP="007E17F1">
            <w:pPr>
              <w:spacing w:after="0" w:line="276" w:lineRule="auto"/>
              <w:jc w:val="both"/>
              <w:rPr>
                <w:rFonts w:cs="Arial"/>
                <w:szCs w:val="22"/>
                <w:lang w:eastAsia="en-AU"/>
              </w:rPr>
            </w:pPr>
          </w:p>
          <w:p w14:paraId="4953E842" w14:textId="3235FDB1" w:rsidR="008A146C" w:rsidRDefault="007E17F1" w:rsidP="007E17F1">
            <w:pPr>
              <w:spacing w:after="0" w:line="276" w:lineRule="auto"/>
              <w:jc w:val="both"/>
              <w:rPr>
                <w:rFonts w:cs="Arial"/>
                <w:szCs w:val="22"/>
                <w:lang w:eastAsia="en-AU"/>
              </w:rPr>
            </w:pPr>
            <w:r w:rsidRPr="007E17F1">
              <w:rPr>
                <w:rFonts w:cs="Arial"/>
                <w:szCs w:val="22"/>
                <w:lang w:eastAsia="en-AU"/>
              </w:rPr>
              <w:t>Abatement thresholds are increased through one-off changes, rather than being adjusted annually. On 1 April 2020, the abatement thresholds were adjusted through funding secured through Budget 2019. This funding committed to progressively increase the abatement thresholds for main benefits over four years (until 2023</w:t>
            </w:r>
            <w:r w:rsidR="00577A5D">
              <w:rPr>
                <w:rFonts w:cs="Arial"/>
                <w:szCs w:val="22"/>
                <w:lang w:eastAsia="en-AU"/>
              </w:rPr>
              <w:t>, as set out in the below table</w:t>
            </w:r>
            <w:r w:rsidRPr="007E17F1">
              <w:rPr>
                <w:rFonts w:cs="Arial"/>
                <w:szCs w:val="22"/>
                <w:lang w:eastAsia="en-AU"/>
              </w:rPr>
              <w:t xml:space="preserve">) in line with minimum wage increases [CAB-19-MIN-0174.36 refers]. </w:t>
            </w:r>
            <w:r w:rsidR="00577A5D" w:rsidRPr="007E17F1">
              <w:rPr>
                <w:rFonts w:cs="Arial"/>
                <w:szCs w:val="22"/>
                <w:lang w:eastAsia="en-AU"/>
              </w:rPr>
              <w:t>The adjustment</w:t>
            </w:r>
            <w:r w:rsidR="00577A5D">
              <w:rPr>
                <w:rFonts w:cs="Arial"/>
                <w:szCs w:val="22"/>
                <w:lang w:eastAsia="en-AU"/>
              </w:rPr>
              <w:t xml:space="preserve"> </w:t>
            </w:r>
            <w:r w:rsidR="00577A5D" w:rsidRPr="007E17F1">
              <w:rPr>
                <w:rFonts w:cs="Arial"/>
                <w:szCs w:val="22"/>
                <w:lang w:eastAsia="en-AU"/>
              </w:rPr>
              <w:t xml:space="preserve">aimed to ensure that the number of hours a beneficiary could work on minimum wage before abatement </w:t>
            </w:r>
            <w:r w:rsidR="00577A5D">
              <w:rPr>
                <w:rFonts w:cs="Arial"/>
                <w:szCs w:val="22"/>
                <w:lang w:eastAsia="en-AU"/>
              </w:rPr>
              <w:t>began</w:t>
            </w:r>
            <w:r w:rsidR="00577A5D" w:rsidRPr="007E17F1">
              <w:rPr>
                <w:rFonts w:cs="Arial"/>
                <w:szCs w:val="22"/>
                <w:lang w:eastAsia="en-AU"/>
              </w:rPr>
              <w:t xml:space="preserve"> would not reduce any further. </w:t>
            </w:r>
          </w:p>
          <w:p w14:paraId="5DCC8B45" w14:textId="77777777" w:rsidR="008A146C" w:rsidRDefault="008A146C" w:rsidP="007E17F1">
            <w:pPr>
              <w:spacing w:after="0" w:line="276" w:lineRule="auto"/>
              <w:jc w:val="both"/>
              <w:rPr>
                <w:rFonts w:cs="Arial"/>
                <w:szCs w:val="22"/>
                <w:lang w:eastAsia="en-AU"/>
              </w:rPr>
            </w:pPr>
          </w:p>
          <w:tbl>
            <w:tblPr>
              <w:tblStyle w:val="TableGrid"/>
              <w:tblW w:w="0" w:type="auto"/>
              <w:tblLook w:val="04A0" w:firstRow="1" w:lastRow="0" w:firstColumn="1" w:lastColumn="0" w:noHBand="0" w:noVBand="1"/>
            </w:tblPr>
            <w:tblGrid>
              <w:gridCol w:w="2948"/>
              <w:gridCol w:w="1128"/>
              <w:gridCol w:w="1129"/>
              <w:gridCol w:w="1128"/>
              <w:gridCol w:w="1129"/>
              <w:gridCol w:w="1129"/>
            </w:tblGrid>
            <w:tr w:rsidR="00577A5D" w14:paraId="47E2AEDF" w14:textId="77777777" w:rsidTr="0070201A">
              <w:tc>
                <w:tcPr>
                  <w:tcW w:w="2963" w:type="dxa"/>
                  <w:shd w:val="clear" w:color="auto" w:fill="E2EFD9" w:themeFill="accent6" w:themeFillTint="33"/>
                </w:tcPr>
                <w:p w14:paraId="1BA3F0D9" w14:textId="47262B55" w:rsidR="00577A5D" w:rsidRPr="0070201A" w:rsidRDefault="00577A5D" w:rsidP="007E17F1">
                  <w:pPr>
                    <w:spacing w:after="0" w:line="276" w:lineRule="auto"/>
                    <w:rPr>
                      <w:rFonts w:cs="Arial"/>
                      <w:sz w:val="20"/>
                      <w:lang w:eastAsia="en-AU"/>
                    </w:rPr>
                  </w:pPr>
                  <w:r w:rsidRPr="0070201A">
                    <w:rPr>
                      <w:rFonts w:cs="Arial"/>
                      <w:sz w:val="20"/>
                      <w:lang w:eastAsia="en-AU"/>
                    </w:rPr>
                    <w:t>Abatement threshold for:</w:t>
                  </w:r>
                </w:p>
              </w:tc>
              <w:tc>
                <w:tcPr>
                  <w:tcW w:w="1132" w:type="dxa"/>
                  <w:shd w:val="clear" w:color="auto" w:fill="E2EFD9" w:themeFill="accent6" w:themeFillTint="33"/>
                </w:tcPr>
                <w:p w14:paraId="5E83BCD0" w14:textId="62392E1A" w:rsidR="00577A5D" w:rsidRPr="00506D8D" w:rsidRDefault="00577A5D" w:rsidP="008A146C">
                  <w:pPr>
                    <w:spacing w:after="0" w:line="276" w:lineRule="auto"/>
                    <w:jc w:val="center"/>
                    <w:rPr>
                      <w:rFonts w:cs="Arial"/>
                      <w:sz w:val="20"/>
                      <w:lang w:eastAsia="en-AU"/>
                    </w:rPr>
                  </w:pPr>
                  <w:r>
                    <w:rPr>
                      <w:rFonts w:cs="Arial"/>
                      <w:sz w:val="20"/>
                      <w:lang w:eastAsia="en-AU"/>
                    </w:rPr>
                    <w:t>Prior to April 2020</w:t>
                  </w:r>
                </w:p>
              </w:tc>
              <w:tc>
                <w:tcPr>
                  <w:tcW w:w="1133" w:type="dxa"/>
                  <w:shd w:val="clear" w:color="auto" w:fill="E2EFD9" w:themeFill="accent6" w:themeFillTint="33"/>
                  <w:vAlign w:val="center"/>
                </w:tcPr>
                <w:p w14:paraId="7B5B68E7" w14:textId="609F68C8" w:rsidR="00577A5D" w:rsidRPr="0070201A" w:rsidRDefault="00577A5D" w:rsidP="0070201A">
                  <w:pPr>
                    <w:spacing w:after="0" w:line="276" w:lineRule="auto"/>
                    <w:jc w:val="center"/>
                    <w:rPr>
                      <w:rFonts w:cs="Arial"/>
                      <w:sz w:val="20"/>
                      <w:lang w:eastAsia="en-AU"/>
                    </w:rPr>
                  </w:pPr>
                  <w:r w:rsidRPr="0070201A">
                    <w:rPr>
                      <w:rFonts w:cs="Arial"/>
                      <w:sz w:val="20"/>
                      <w:lang w:eastAsia="en-AU"/>
                    </w:rPr>
                    <w:t>1 April 2020</w:t>
                  </w:r>
                </w:p>
              </w:tc>
              <w:tc>
                <w:tcPr>
                  <w:tcW w:w="1132" w:type="dxa"/>
                  <w:shd w:val="clear" w:color="auto" w:fill="E2EFD9" w:themeFill="accent6" w:themeFillTint="33"/>
                  <w:vAlign w:val="center"/>
                </w:tcPr>
                <w:p w14:paraId="7CD46F55" w14:textId="0FAF6F6D" w:rsidR="00577A5D" w:rsidRPr="0070201A" w:rsidRDefault="00577A5D" w:rsidP="0070201A">
                  <w:pPr>
                    <w:spacing w:after="0" w:line="276" w:lineRule="auto"/>
                    <w:jc w:val="center"/>
                    <w:rPr>
                      <w:rFonts w:cs="Arial"/>
                      <w:sz w:val="20"/>
                      <w:lang w:eastAsia="en-AU"/>
                    </w:rPr>
                  </w:pPr>
                  <w:r w:rsidRPr="0070201A">
                    <w:rPr>
                      <w:rFonts w:cs="Arial"/>
                      <w:sz w:val="20"/>
                      <w:lang w:eastAsia="en-AU"/>
                    </w:rPr>
                    <w:t>1 April 2021</w:t>
                  </w:r>
                </w:p>
              </w:tc>
              <w:tc>
                <w:tcPr>
                  <w:tcW w:w="1133" w:type="dxa"/>
                  <w:shd w:val="clear" w:color="auto" w:fill="E2EFD9" w:themeFill="accent6" w:themeFillTint="33"/>
                  <w:vAlign w:val="center"/>
                </w:tcPr>
                <w:p w14:paraId="7CC0152C" w14:textId="0D96D0A3" w:rsidR="00577A5D" w:rsidRPr="0070201A" w:rsidRDefault="00577A5D" w:rsidP="0070201A">
                  <w:pPr>
                    <w:spacing w:after="0" w:line="276" w:lineRule="auto"/>
                    <w:jc w:val="center"/>
                    <w:rPr>
                      <w:rFonts w:cs="Arial"/>
                      <w:sz w:val="20"/>
                      <w:lang w:eastAsia="en-AU"/>
                    </w:rPr>
                  </w:pPr>
                  <w:r w:rsidRPr="0070201A">
                    <w:rPr>
                      <w:rFonts w:cs="Arial"/>
                      <w:sz w:val="20"/>
                      <w:lang w:eastAsia="en-AU"/>
                    </w:rPr>
                    <w:t>1 April 2022</w:t>
                  </w:r>
                </w:p>
              </w:tc>
              <w:tc>
                <w:tcPr>
                  <w:tcW w:w="1133" w:type="dxa"/>
                  <w:shd w:val="clear" w:color="auto" w:fill="E2EFD9" w:themeFill="accent6" w:themeFillTint="33"/>
                  <w:vAlign w:val="center"/>
                </w:tcPr>
                <w:p w14:paraId="6FF93E94" w14:textId="0A6A5A7C" w:rsidR="00577A5D" w:rsidRPr="0070201A" w:rsidRDefault="00577A5D" w:rsidP="0070201A">
                  <w:pPr>
                    <w:spacing w:after="0" w:line="276" w:lineRule="auto"/>
                    <w:jc w:val="center"/>
                    <w:rPr>
                      <w:rFonts w:cs="Arial"/>
                      <w:sz w:val="20"/>
                      <w:lang w:eastAsia="en-AU"/>
                    </w:rPr>
                  </w:pPr>
                  <w:r w:rsidRPr="0070201A">
                    <w:rPr>
                      <w:rFonts w:cs="Arial"/>
                      <w:sz w:val="20"/>
                      <w:lang w:eastAsia="en-AU"/>
                    </w:rPr>
                    <w:t>1 April 2023</w:t>
                  </w:r>
                </w:p>
              </w:tc>
            </w:tr>
            <w:tr w:rsidR="00577A5D" w14:paraId="0831BDC4" w14:textId="77777777" w:rsidTr="0070201A">
              <w:tc>
                <w:tcPr>
                  <w:tcW w:w="2963" w:type="dxa"/>
                </w:tcPr>
                <w:p w14:paraId="5E5B8BA2" w14:textId="44CB53B0" w:rsidR="00577A5D" w:rsidRPr="0070201A" w:rsidRDefault="00577A5D" w:rsidP="007E17F1">
                  <w:pPr>
                    <w:spacing w:after="0" w:line="276" w:lineRule="auto"/>
                    <w:rPr>
                      <w:rFonts w:cs="Arial"/>
                      <w:sz w:val="20"/>
                      <w:lang w:eastAsia="en-AU"/>
                    </w:rPr>
                  </w:pPr>
                  <w:r w:rsidRPr="0070201A">
                    <w:rPr>
                      <w:rFonts w:cs="Arial"/>
                      <w:sz w:val="20"/>
                      <w:lang w:eastAsia="en-AU"/>
                    </w:rPr>
                    <w:t>Jobseeker Support</w:t>
                  </w:r>
                </w:p>
              </w:tc>
              <w:tc>
                <w:tcPr>
                  <w:tcW w:w="1132" w:type="dxa"/>
                </w:tcPr>
                <w:p w14:paraId="3DF30F83" w14:textId="491E9989" w:rsidR="00577A5D" w:rsidRPr="00506D8D" w:rsidRDefault="00577A5D" w:rsidP="008A146C">
                  <w:pPr>
                    <w:spacing w:after="0" w:line="276" w:lineRule="auto"/>
                    <w:jc w:val="center"/>
                    <w:rPr>
                      <w:rFonts w:cs="Arial"/>
                      <w:sz w:val="20"/>
                      <w:lang w:eastAsia="en-AU"/>
                    </w:rPr>
                  </w:pPr>
                  <w:r>
                    <w:rPr>
                      <w:rFonts w:cs="Arial"/>
                      <w:sz w:val="20"/>
                      <w:lang w:eastAsia="en-AU"/>
                    </w:rPr>
                    <w:t>$80</w:t>
                  </w:r>
                </w:p>
              </w:tc>
              <w:tc>
                <w:tcPr>
                  <w:tcW w:w="1133" w:type="dxa"/>
                  <w:vAlign w:val="center"/>
                </w:tcPr>
                <w:p w14:paraId="7908B1E5" w14:textId="7EEF5093" w:rsidR="00577A5D" w:rsidRPr="0070201A" w:rsidRDefault="00577A5D" w:rsidP="0070201A">
                  <w:pPr>
                    <w:spacing w:after="0" w:line="276" w:lineRule="auto"/>
                    <w:jc w:val="center"/>
                    <w:rPr>
                      <w:rFonts w:cs="Arial"/>
                      <w:sz w:val="20"/>
                      <w:lang w:eastAsia="en-AU"/>
                    </w:rPr>
                  </w:pPr>
                  <w:r w:rsidRPr="0070201A">
                    <w:rPr>
                      <w:rFonts w:cs="Arial"/>
                      <w:sz w:val="20"/>
                      <w:lang w:eastAsia="en-AU"/>
                    </w:rPr>
                    <w:t>$90</w:t>
                  </w:r>
                </w:p>
              </w:tc>
              <w:tc>
                <w:tcPr>
                  <w:tcW w:w="1132" w:type="dxa"/>
                  <w:vAlign w:val="center"/>
                </w:tcPr>
                <w:p w14:paraId="5D9D9B8C" w14:textId="2604FCC3" w:rsidR="00577A5D" w:rsidRPr="0070201A" w:rsidRDefault="00577A5D" w:rsidP="0070201A">
                  <w:pPr>
                    <w:spacing w:after="0" w:line="276" w:lineRule="auto"/>
                    <w:jc w:val="center"/>
                    <w:rPr>
                      <w:rFonts w:cs="Arial"/>
                      <w:sz w:val="20"/>
                      <w:lang w:eastAsia="en-AU"/>
                    </w:rPr>
                  </w:pPr>
                  <w:r w:rsidRPr="0070201A">
                    <w:rPr>
                      <w:rFonts w:cs="Arial"/>
                      <w:sz w:val="20"/>
                      <w:lang w:eastAsia="en-AU"/>
                    </w:rPr>
                    <w:t>$95</w:t>
                  </w:r>
                </w:p>
              </w:tc>
              <w:tc>
                <w:tcPr>
                  <w:tcW w:w="1133" w:type="dxa"/>
                  <w:vAlign w:val="center"/>
                </w:tcPr>
                <w:p w14:paraId="02651F5B" w14:textId="79E9EFE4" w:rsidR="00577A5D" w:rsidRPr="0070201A" w:rsidRDefault="00577A5D" w:rsidP="0070201A">
                  <w:pPr>
                    <w:spacing w:after="0" w:line="276" w:lineRule="auto"/>
                    <w:jc w:val="center"/>
                    <w:rPr>
                      <w:rFonts w:cs="Arial"/>
                      <w:sz w:val="20"/>
                      <w:lang w:eastAsia="en-AU"/>
                    </w:rPr>
                  </w:pPr>
                  <w:r w:rsidRPr="0070201A">
                    <w:rPr>
                      <w:rFonts w:cs="Arial"/>
                      <w:sz w:val="20"/>
                      <w:lang w:eastAsia="en-AU"/>
                    </w:rPr>
                    <w:t>$100</w:t>
                  </w:r>
                </w:p>
              </w:tc>
              <w:tc>
                <w:tcPr>
                  <w:tcW w:w="1133" w:type="dxa"/>
                  <w:vAlign w:val="center"/>
                </w:tcPr>
                <w:p w14:paraId="7C70A332" w14:textId="56B546C0" w:rsidR="00577A5D" w:rsidRPr="0070201A" w:rsidRDefault="00577A5D" w:rsidP="0070201A">
                  <w:pPr>
                    <w:spacing w:after="0" w:line="276" w:lineRule="auto"/>
                    <w:jc w:val="center"/>
                    <w:rPr>
                      <w:rFonts w:cs="Arial"/>
                      <w:sz w:val="20"/>
                      <w:lang w:eastAsia="en-AU"/>
                    </w:rPr>
                  </w:pPr>
                  <w:r w:rsidRPr="0070201A">
                    <w:rPr>
                      <w:rFonts w:cs="Arial"/>
                      <w:sz w:val="20"/>
                      <w:lang w:eastAsia="en-AU"/>
                    </w:rPr>
                    <w:t>$105</w:t>
                  </w:r>
                </w:p>
              </w:tc>
            </w:tr>
            <w:tr w:rsidR="00577A5D" w14:paraId="29966C01" w14:textId="77777777" w:rsidTr="0070201A">
              <w:tc>
                <w:tcPr>
                  <w:tcW w:w="2963" w:type="dxa"/>
                </w:tcPr>
                <w:p w14:paraId="7749B156" w14:textId="563DA9A7" w:rsidR="00577A5D" w:rsidRPr="0070201A" w:rsidRDefault="00577A5D" w:rsidP="007E17F1">
                  <w:pPr>
                    <w:spacing w:after="0" w:line="276" w:lineRule="auto"/>
                    <w:rPr>
                      <w:rFonts w:cs="Arial"/>
                      <w:sz w:val="20"/>
                      <w:lang w:eastAsia="en-AU"/>
                    </w:rPr>
                  </w:pPr>
                  <w:r w:rsidRPr="0070201A">
                    <w:rPr>
                      <w:rFonts w:cs="Arial"/>
                      <w:sz w:val="20"/>
                      <w:lang w:eastAsia="en-AU"/>
                    </w:rPr>
                    <w:t>NZS/VP non-qualifying partner</w:t>
                  </w:r>
                </w:p>
              </w:tc>
              <w:tc>
                <w:tcPr>
                  <w:tcW w:w="1132" w:type="dxa"/>
                </w:tcPr>
                <w:p w14:paraId="1012B841" w14:textId="7E90DA13" w:rsidR="00577A5D" w:rsidRPr="00506D8D" w:rsidRDefault="00577A5D" w:rsidP="008A146C">
                  <w:pPr>
                    <w:spacing w:after="0" w:line="276" w:lineRule="auto"/>
                    <w:jc w:val="center"/>
                    <w:rPr>
                      <w:rFonts w:cs="Arial"/>
                      <w:sz w:val="20"/>
                      <w:lang w:eastAsia="en-AU"/>
                    </w:rPr>
                  </w:pPr>
                  <w:r>
                    <w:rPr>
                      <w:rFonts w:cs="Arial"/>
                      <w:sz w:val="20"/>
                      <w:lang w:eastAsia="en-AU"/>
                    </w:rPr>
                    <w:t>$100</w:t>
                  </w:r>
                </w:p>
              </w:tc>
              <w:tc>
                <w:tcPr>
                  <w:tcW w:w="1133" w:type="dxa"/>
                  <w:vAlign w:val="center"/>
                </w:tcPr>
                <w:p w14:paraId="612525BA" w14:textId="30A6F506" w:rsidR="00577A5D" w:rsidRPr="0070201A" w:rsidRDefault="00577A5D" w:rsidP="0070201A">
                  <w:pPr>
                    <w:spacing w:after="0" w:line="276" w:lineRule="auto"/>
                    <w:jc w:val="center"/>
                    <w:rPr>
                      <w:rFonts w:cs="Arial"/>
                      <w:sz w:val="20"/>
                      <w:lang w:eastAsia="en-AU"/>
                    </w:rPr>
                  </w:pPr>
                  <w:r w:rsidRPr="0070201A">
                    <w:rPr>
                      <w:rFonts w:cs="Arial"/>
                      <w:sz w:val="20"/>
                      <w:lang w:eastAsia="en-AU"/>
                    </w:rPr>
                    <w:t>$115</w:t>
                  </w:r>
                </w:p>
              </w:tc>
              <w:tc>
                <w:tcPr>
                  <w:tcW w:w="1132" w:type="dxa"/>
                  <w:vAlign w:val="center"/>
                </w:tcPr>
                <w:p w14:paraId="69254994" w14:textId="1E017EB0" w:rsidR="00577A5D" w:rsidRPr="0070201A" w:rsidRDefault="00577A5D" w:rsidP="0070201A">
                  <w:pPr>
                    <w:spacing w:after="0" w:line="276" w:lineRule="auto"/>
                    <w:jc w:val="center"/>
                    <w:rPr>
                      <w:rFonts w:cs="Arial"/>
                      <w:sz w:val="20"/>
                      <w:lang w:eastAsia="en-AU"/>
                    </w:rPr>
                  </w:pPr>
                  <w:r w:rsidRPr="0070201A">
                    <w:rPr>
                      <w:rFonts w:cs="Arial"/>
                      <w:sz w:val="20"/>
                      <w:lang w:eastAsia="en-AU"/>
                    </w:rPr>
                    <w:t>$120</w:t>
                  </w:r>
                </w:p>
              </w:tc>
              <w:tc>
                <w:tcPr>
                  <w:tcW w:w="1133" w:type="dxa"/>
                  <w:vAlign w:val="center"/>
                </w:tcPr>
                <w:p w14:paraId="56849A04" w14:textId="014F9B90" w:rsidR="00577A5D" w:rsidRPr="0070201A" w:rsidRDefault="00577A5D" w:rsidP="0070201A">
                  <w:pPr>
                    <w:spacing w:after="0" w:line="276" w:lineRule="auto"/>
                    <w:jc w:val="center"/>
                    <w:rPr>
                      <w:rFonts w:cs="Arial"/>
                      <w:sz w:val="20"/>
                      <w:lang w:eastAsia="en-AU"/>
                    </w:rPr>
                  </w:pPr>
                  <w:r w:rsidRPr="0070201A">
                    <w:rPr>
                      <w:rFonts w:cs="Arial"/>
                      <w:sz w:val="20"/>
                      <w:lang w:eastAsia="en-AU"/>
                    </w:rPr>
                    <w:t>$125</w:t>
                  </w:r>
                </w:p>
              </w:tc>
              <w:tc>
                <w:tcPr>
                  <w:tcW w:w="1133" w:type="dxa"/>
                  <w:vAlign w:val="center"/>
                </w:tcPr>
                <w:p w14:paraId="381570D5" w14:textId="4BE2DACF" w:rsidR="00577A5D" w:rsidRPr="0070201A" w:rsidRDefault="00577A5D" w:rsidP="0070201A">
                  <w:pPr>
                    <w:spacing w:after="0" w:line="276" w:lineRule="auto"/>
                    <w:jc w:val="center"/>
                    <w:rPr>
                      <w:rFonts w:cs="Arial"/>
                      <w:sz w:val="20"/>
                      <w:lang w:eastAsia="en-AU"/>
                    </w:rPr>
                  </w:pPr>
                  <w:r w:rsidRPr="0070201A">
                    <w:rPr>
                      <w:rFonts w:cs="Arial"/>
                      <w:sz w:val="20"/>
                      <w:lang w:eastAsia="en-AU"/>
                    </w:rPr>
                    <w:t>$130</w:t>
                  </w:r>
                </w:p>
              </w:tc>
            </w:tr>
            <w:tr w:rsidR="00577A5D" w14:paraId="5DE1A7CA" w14:textId="77777777" w:rsidTr="0070201A">
              <w:tc>
                <w:tcPr>
                  <w:tcW w:w="2963" w:type="dxa"/>
                </w:tcPr>
                <w:p w14:paraId="0ABA26ED" w14:textId="1F8A8434" w:rsidR="00577A5D" w:rsidRPr="0070201A" w:rsidRDefault="00577A5D" w:rsidP="008A146C">
                  <w:pPr>
                    <w:spacing w:after="0" w:line="276" w:lineRule="auto"/>
                    <w:rPr>
                      <w:rFonts w:cs="Arial"/>
                      <w:sz w:val="20"/>
                      <w:lang w:eastAsia="en-AU"/>
                    </w:rPr>
                  </w:pPr>
                  <w:r w:rsidRPr="0070201A">
                    <w:rPr>
                      <w:rFonts w:cs="Arial"/>
                      <w:sz w:val="20"/>
                      <w:lang w:eastAsia="en-AU"/>
                    </w:rPr>
                    <w:t>SPS and SLP – Threshold One</w:t>
                  </w:r>
                </w:p>
              </w:tc>
              <w:tc>
                <w:tcPr>
                  <w:tcW w:w="1132" w:type="dxa"/>
                </w:tcPr>
                <w:p w14:paraId="029B6599" w14:textId="77808AF9" w:rsidR="00577A5D" w:rsidRPr="00506D8D" w:rsidRDefault="00577A5D" w:rsidP="008A146C">
                  <w:pPr>
                    <w:spacing w:after="0" w:line="276" w:lineRule="auto"/>
                    <w:jc w:val="center"/>
                    <w:rPr>
                      <w:rFonts w:cs="Arial"/>
                      <w:sz w:val="20"/>
                      <w:lang w:eastAsia="en-AU"/>
                    </w:rPr>
                  </w:pPr>
                  <w:r>
                    <w:rPr>
                      <w:rFonts w:cs="Arial"/>
                      <w:sz w:val="20"/>
                      <w:lang w:eastAsia="en-AU"/>
                    </w:rPr>
                    <w:t>$100</w:t>
                  </w:r>
                </w:p>
              </w:tc>
              <w:tc>
                <w:tcPr>
                  <w:tcW w:w="1133" w:type="dxa"/>
                  <w:vAlign w:val="center"/>
                </w:tcPr>
                <w:p w14:paraId="22740D4B" w14:textId="39335D9F" w:rsidR="00577A5D" w:rsidRPr="0070201A" w:rsidRDefault="00577A5D" w:rsidP="0070201A">
                  <w:pPr>
                    <w:spacing w:after="0" w:line="276" w:lineRule="auto"/>
                    <w:jc w:val="center"/>
                    <w:rPr>
                      <w:rFonts w:cs="Arial"/>
                      <w:sz w:val="20"/>
                      <w:lang w:eastAsia="en-AU"/>
                    </w:rPr>
                  </w:pPr>
                  <w:r w:rsidRPr="0070201A">
                    <w:rPr>
                      <w:rFonts w:cs="Arial"/>
                      <w:sz w:val="20"/>
                      <w:lang w:eastAsia="en-AU"/>
                    </w:rPr>
                    <w:t>$115</w:t>
                  </w:r>
                </w:p>
              </w:tc>
              <w:tc>
                <w:tcPr>
                  <w:tcW w:w="1132" w:type="dxa"/>
                  <w:vAlign w:val="center"/>
                </w:tcPr>
                <w:p w14:paraId="592EBCC1" w14:textId="02AFD88E" w:rsidR="00577A5D" w:rsidRPr="0070201A" w:rsidRDefault="00577A5D" w:rsidP="0070201A">
                  <w:pPr>
                    <w:spacing w:after="0" w:line="276" w:lineRule="auto"/>
                    <w:jc w:val="center"/>
                    <w:rPr>
                      <w:rFonts w:cs="Arial"/>
                      <w:sz w:val="20"/>
                      <w:lang w:eastAsia="en-AU"/>
                    </w:rPr>
                  </w:pPr>
                  <w:r w:rsidRPr="0070201A">
                    <w:rPr>
                      <w:rFonts w:cs="Arial"/>
                      <w:sz w:val="20"/>
                      <w:lang w:eastAsia="en-AU"/>
                    </w:rPr>
                    <w:t>$120</w:t>
                  </w:r>
                </w:p>
              </w:tc>
              <w:tc>
                <w:tcPr>
                  <w:tcW w:w="1133" w:type="dxa"/>
                  <w:vAlign w:val="center"/>
                </w:tcPr>
                <w:p w14:paraId="710C0F07" w14:textId="2F136820" w:rsidR="00577A5D" w:rsidRPr="0070201A" w:rsidRDefault="00577A5D" w:rsidP="0070201A">
                  <w:pPr>
                    <w:spacing w:after="0" w:line="276" w:lineRule="auto"/>
                    <w:jc w:val="center"/>
                    <w:rPr>
                      <w:rFonts w:cs="Arial"/>
                      <w:sz w:val="20"/>
                      <w:lang w:eastAsia="en-AU"/>
                    </w:rPr>
                  </w:pPr>
                  <w:r w:rsidRPr="0070201A">
                    <w:rPr>
                      <w:rFonts w:cs="Arial"/>
                      <w:sz w:val="20"/>
                      <w:lang w:eastAsia="en-AU"/>
                    </w:rPr>
                    <w:t>$125</w:t>
                  </w:r>
                </w:p>
              </w:tc>
              <w:tc>
                <w:tcPr>
                  <w:tcW w:w="1133" w:type="dxa"/>
                  <w:vAlign w:val="center"/>
                </w:tcPr>
                <w:p w14:paraId="76A9745A" w14:textId="168E515F" w:rsidR="00577A5D" w:rsidRPr="0070201A" w:rsidRDefault="00577A5D" w:rsidP="0070201A">
                  <w:pPr>
                    <w:spacing w:after="0" w:line="276" w:lineRule="auto"/>
                    <w:jc w:val="center"/>
                    <w:rPr>
                      <w:rFonts w:cs="Arial"/>
                      <w:sz w:val="20"/>
                      <w:lang w:eastAsia="en-AU"/>
                    </w:rPr>
                  </w:pPr>
                  <w:r w:rsidRPr="0070201A">
                    <w:rPr>
                      <w:rFonts w:cs="Arial"/>
                      <w:sz w:val="20"/>
                      <w:lang w:eastAsia="en-AU"/>
                    </w:rPr>
                    <w:t>$130</w:t>
                  </w:r>
                </w:p>
              </w:tc>
            </w:tr>
            <w:tr w:rsidR="00577A5D" w14:paraId="0CEFEFD4" w14:textId="77777777" w:rsidTr="0070201A">
              <w:tc>
                <w:tcPr>
                  <w:tcW w:w="2963" w:type="dxa"/>
                </w:tcPr>
                <w:p w14:paraId="34EEDD68" w14:textId="1F7CCDA3" w:rsidR="00577A5D" w:rsidRPr="0070201A" w:rsidRDefault="00577A5D" w:rsidP="008A146C">
                  <w:pPr>
                    <w:spacing w:after="0" w:line="276" w:lineRule="auto"/>
                    <w:rPr>
                      <w:rFonts w:cs="Arial"/>
                      <w:sz w:val="20"/>
                      <w:lang w:eastAsia="en-AU"/>
                    </w:rPr>
                  </w:pPr>
                  <w:r w:rsidRPr="0070201A">
                    <w:rPr>
                      <w:rFonts w:cs="Arial"/>
                      <w:sz w:val="20"/>
                      <w:lang w:eastAsia="en-AU"/>
                    </w:rPr>
                    <w:t>SPS and SLP – Threshold Two</w:t>
                  </w:r>
                </w:p>
              </w:tc>
              <w:tc>
                <w:tcPr>
                  <w:tcW w:w="1132" w:type="dxa"/>
                </w:tcPr>
                <w:p w14:paraId="5EEA789C" w14:textId="30AF0B5A" w:rsidR="00577A5D" w:rsidRPr="00506D8D" w:rsidRDefault="00577A5D" w:rsidP="008A146C">
                  <w:pPr>
                    <w:spacing w:after="0" w:line="276" w:lineRule="auto"/>
                    <w:jc w:val="center"/>
                    <w:rPr>
                      <w:rFonts w:cs="Arial"/>
                      <w:sz w:val="20"/>
                      <w:lang w:eastAsia="en-AU"/>
                    </w:rPr>
                  </w:pPr>
                  <w:r>
                    <w:rPr>
                      <w:rFonts w:cs="Arial"/>
                      <w:sz w:val="20"/>
                      <w:lang w:eastAsia="en-AU"/>
                    </w:rPr>
                    <w:t>$200</w:t>
                  </w:r>
                </w:p>
              </w:tc>
              <w:tc>
                <w:tcPr>
                  <w:tcW w:w="1133" w:type="dxa"/>
                  <w:vAlign w:val="center"/>
                </w:tcPr>
                <w:p w14:paraId="4AB09D45" w14:textId="1E9540FA" w:rsidR="00577A5D" w:rsidRPr="0070201A" w:rsidRDefault="00577A5D" w:rsidP="0070201A">
                  <w:pPr>
                    <w:spacing w:after="0" w:line="276" w:lineRule="auto"/>
                    <w:jc w:val="center"/>
                    <w:rPr>
                      <w:rFonts w:cs="Arial"/>
                      <w:sz w:val="20"/>
                      <w:lang w:eastAsia="en-AU"/>
                    </w:rPr>
                  </w:pPr>
                  <w:r w:rsidRPr="0070201A">
                    <w:rPr>
                      <w:rFonts w:cs="Arial"/>
                      <w:sz w:val="20"/>
                      <w:lang w:eastAsia="en-AU"/>
                    </w:rPr>
                    <w:t>$215</w:t>
                  </w:r>
                </w:p>
              </w:tc>
              <w:tc>
                <w:tcPr>
                  <w:tcW w:w="1132" w:type="dxa"/>
                  <w:vAlign w:val="center"/>
                </w:tcPr>
                <w:p w14:paraId="748E4CA2" w14:textId="7D9C58A8" w:rsidR="00577A5D" w:rsidRPr="0070201A" w:rsidRDefault="00577A5D" w:rsidP="0070201A">
                  <w:pPr>
                    <w:spacing w:after="0" w:line="276" w:lineRule="auto"/>
                    <w:jc w:val="center"/>
                    <w:rPr>
                      <w:rFonts w:cs="Arial"/>
                      <w:sz w:val="20"/>
                      <w:lang w:eastAsia="en-AU"/>
                    </w:rPr>
                  </w:pPr>
                  <w:r w:rsidRPr="0070201A">
                    <w:rPr>
                      <w:rFonts w:cs="Arial"/>
                      <w:sz w:val="20"/>
                      <w:lang w:eastAsia="en-AU"/>
                    </w:rPr>
                    <w:t>$220</w:t>
                  </w:r>
                </w:p>
              </w:tc>
              <w:tc>
                <w:tcPr>
                  <w:tcW w:w="1133" w:type="dxa"/>
                  <w:vAlign w:val="center"/>
                </w:tcPr>
                <w:p w14:paraId="121EEAA0" w14:textId="42AD51B5" w:rsidR="00577A5D" w:rsidRPr="0070201A" w:rsidRDefault="00577A5D" w:rsidP="0070201A">
                  <w:pPr>
                    <w:spacing w:after="0" w:line="276" w:lineRule="auto"/>
                    <w:jc w:val="center"/>
                    <w:rPr>
                      <w:rFonts w:cs="Arial"/>
                      <w:sz w:val="20"/>
                      <w:lang w:eastAsia="en-AU"/>
                    </w:rPr>
                  </w:pPr>
                  <w:r w:rsidRPr="0070201A">
                    <w:rPr>
                      <w:rFonts w:cs="Arial"/>
                      <w:sz w:val="20"/>
                      <w:lang w:eastAsia="en-AU"/>
                    </w:rPr>
                    <w:t>$225</w:t>
                  </w:r>
                </w:p>
              </w:tc>
              <w:tc>
                <w:tcPr>
                  <w:tcW w:w="1133" w:type="dxa"/>
                  <w:vAlign w:val="center"/>
                </w:tcPr>
                <w:p w14:paraId="471BB4B2" w14:textId="173F19C5" w:rsidR="00577A5D" w:rsidRPr="0070201A" w:rsidRDefault="00577A5D" w:rsidP="0070201A">
                  <w:pPr>
                    <w:spacing w:after="0" w:line="276" w:lineRule="auto"/>
                    <w:jc w:val="center"/>
                    <w:rPr>
                      <w:rFonts w:cs="Arial"/>
                      <w:sz w:val="20"/>
                      <w:lang w:eastAsia="en-AU"/>
                    </w:rPr>
                  </w:pPr>
                  <w:r w:rsidRPr="0070201A">
                    <w:rPr>
                      <w:rFonts w:cs="Arial"/>
                      <w:sz w:val="20"/>
                      <w:lang w:eastAsia="en-AU"/>
                    </w:rPr>
                    <w:t>$230</w:t>
                  </w:r>
                </w:p>
              </w:tc>
            </w:tr>
          </w:tbl>
          <w:p w14:paraId="71F619F4" w14:textId="77777777" w:rsidR="008A146C" w:rsidRDefault="008A146C" w:rsidP="007E17F1">
            <w:pPr>
              <w:spacing w:after="0" w:line="276" w:lineRule="auto"/>
              <w:jc w:val="both"/>
              <w:rPr>
                <w:rFonts w:cs="Arial"/>
                <w:szCs w:val="22"/>
                <w:lang w:eastAsia="en-AU"/>
              </w:rPr>
            </w:pPr>
          </w:p>
          <w:p w14:paraId="5F1D06F6" w14:textId="77777777" w:rsidR="00220B25" w:rsidRPr="007E17F1" w:rsidRDefault="00220B25" w:rsidP="007E17F1">
            <w:pPr>
              <w:spacing w:after="0" w:line="276" w:lineRule="auto"/>
              <w:jc w:val="both"/>
              <w:rPr>
                <w:rFonts w:cs="Arial"/>
                <w:szCs w:val="22"/>
                <w:lang w:eastAsia="en-AU"/>
              </w:rPr>
            </w:pPr>
          </w:p>
          <w:p w14:paraId="51B2E87B" w14:textId="77A0EA60" w:rsidR="007E17F1" w:rsidRDefault="007E17F1" w:rsidP="007E17F1">
            <w:pPr>
              <w:spacing w:after="0" w:line="276" w:lineRule="auto"/>
              <w:jc w:val="both"/>
              <w:rPr>
                <w:rFonts w:cs="Arial"/>
                <w:szCs w:val="22"/>
                <w:lang w:eastAsia="en-AU"/>
              </w:rPr>
            </w:pPr>
            <w:r w:rsidRPr="007E17F1">
              <w:rPr>
                <w:rFonts w:cs="Arial"/>
                <w:szCs w:val="22"/>
                <w:lang w:eastAsia="en-AU"/>
              </w:rPr>
              <w:t xml:space="preserve">However, prior to the April 2020 adjustment, the last adjustment to main benefit abatement settings occurred in September 2010, when changes were made for recipients of (what was then known as) Domestic Purposes Benefit, Invalid’s Benefit, Widow’s Benefit as well as for VP (under 65), and NZS and VP with non-qualifying partners. For the full-time abatement regime for JS, the threshold had remained at $80 since it was last adjusted in 1996. </w:t>
            </w:r>
          </w:p>
          <w:p w14:paraId="734C4B00" w14:textId="77777777" w:rsidR="00220B25" w:rsidRPr="007E17F1" w:rsidRDefault="00220B25" w:rsidP="007E17F1">
            <w:pPr>
              <w:spacing w:after="0" w:line="276" w:lineRule="auto"/>
              <w:jc w:val="both"/>
              <w:rPr>
                <w:rFonts w:cs="Arial"/>
                <w:szCs w:val="22"/>
                <w:lang w:eastAsia="en-AU"/>
              </w:rPr>
            </w:pPr>
          </w:p>
          <w:p w14:paraId="2FDF9353" w14:textId="705B853E" w:rsidR="0062657E" w:rsidRDefault="007E17F1" w:rsidP="007E17F1">
            <w:pPr>
              <w:spacing w:after="0" w:line="276" w:lineRule="auto"/>
              <w:jc w:val="both"/>
              <w:rPr>
                <w:rFonts w:cs="Arial"/>
                <w:szCs w:val="22"/>
                <w:lang w:eastAsia="en-AU"/>
              </w:rPr>
            </w:pPr>
            <w:r w:rsidRPr="007E17F1">
              <w:rPr>
                <w:rFonts w:cs="Arial"/>
                <w:szCs w:val="22"/>
                <w:lang w:eastAsia="en-AU"/>
              </w:rPr>
              <w:t xml:space="preserve">This has meant that the </w:t>
            </w:r>
            <w:r w:rsidR="00144BF6">
              <w:rPr>
                <w:rFonts w:cs="Arial"/>
                <w:szCs w:val="22"/>
                <w:lang w:eastAsia="en-AU"/>
              </w:rPr>
              <w:t>amount that</w:t>
            </w:r>
            <w:r w:rsidRPr="007E17F1">
              <w:rPr>
                <w:rFonts w:cs="Arial"/>
                <w:szCs w:val="22"/>
                <w:lang w:eastAsia="en-AU"/>
              </w:rPr>
              <w:t xml:space="preserve"> people could earn before their benefit abated has declined in real terms over time as wages have increased</w:t>
            </w:r>
            <w:r w:rsidR="001B09C3">
              <w:rPr>
                <w:rFonts w:cs="Arial"/>
                <w:szCs w:val="22"/>
                <w:lang w:eastAsia="en-AU"/>
              </w:rPr>
              <w:t>, particularly for JS recipients</w:t>
            </w:r>
            <w:r w:rsidRPr="007E17F1">
              <w:rPr>
                <w:rFonts w:cs="Arial"/>
                <w:szCs w:val="22"/>
                <w:lang w:eastAsia="en-AU"/>
              </w:rPr>
              <w:t>. For example, a person receiving JS in 1997 could work approximately 11.4 hours on minimum wage ($7.00 per hour) before their benefit abated. In 2019, a person receiving JS could only work for approximately 4.5 hours on minimum wage ($17.70 per hour) before their benefit abated.</w:t>
            </w:r>
            <w:r w:rsidR="00577A5D">
              <w:rPr>
                <w:rFonts w:cs="Arial"/>
                <w:szCs w:val="22"/>
                <w:lang w:eastAsia="en-AU"/>
              </w:rPr>
              <w:t xml:space="preserve"> The current settings, despite the adjustments made in April 2020 and subsequent increases set through till 2023, have </w:t>
            </w:r>
            <w:r w:rsidR="004B1C0E">
              <w:rPr>
                <w:rFonts w:cs="Arial"/>
                <w:szCs w:val="22"/>
                <w:lang w:eastAsia="en-AU"/>
              </w:rPr>
              <w:t>moved</w:t>
            </w:r>
            <w:r w:rsidR="00577A5D">
              <w:rPr>
                <w:rFonts w:cs="Arial"/>
                <w:szCs w:val="22"/>
                <w:lang w:eastAsia="en-AU"/>
              </w:rPr>
              <w:t xml:space="preserve"> out of line with the original abatement settings and</w:t>
            </w:r>
            <w:r w:rsidR="004B1C0E">
              <w:rPr>
                <w:rFonts w:cs="Arial"/>
                <w:szCs w:val="22"/>
                <w:lang w:eastAsia="en-AU"/>
              </w:rPr>
              <w:t xml:space="preserve"> now</w:t>
            </w:r>
            <w:r w:rsidR="00577A5D">
              <w:rPr>
                <w:rFonts w:cs="Arial"/>
                <w:szCs w:val="22"/>
                <w:lang w:eastAsia="en-AU"/>
              </w:rPr>
              <w:t xml:space="preserve"> offer little financial incentive</w:t>
            </w:r>
            <w:r w:rsidR="008C2CE9">
              <w:rPr>
                <w:rFonts w:cs="Arial"/>
                <w:szCs w:val="22"/>
                <w:lang w:eastAsia="en-AU"/>
              </w:rPr>
              <w:t xml:space="preserve"> for people</w:t>
            </w:r>
            <w:r w:rsidR="00577A5D">
              <w:rPr>
                <w:rFonts w:cs="Arial"/>
                <w:szCs w:val="22"/>
                <w:lang w:eastAsia="en-AU"/>
              </w:rPr>
              <w:t xml:space="preserve"> to engage in paid work while receiving a main benefit. </w:t>
            </w:r>
          </w:p>
          <w:p w14:paraId="166706AB" w14:textId="77777777" w:rsidR="001A0C5C" w:rsidRDefault="001A0C5C" w:rsidP="007E17F1">
            <w:pPr>
              <w:spacing w:after="0" w:line="276" w:lineRule="auto"/>
              <w:jc w:val="both"/>
              <w:rPr>
                <w:rFonts w:cs="Arial"/>
                <w:szCs w:val="22"/>
                <w:lang w:eastAsia="en-AU"/>
              </w:rPr>
            </w:pPr>
          </w:p>
          <w:p w14:paraId="336E2C98" w14:textId="2D50BF7A" w:rsidR="00F2438E" w:rsidRPr="00F2438E" w:rsidRDefault="001B09C3" w:rsidP="00F2438E">
            <w:pPr>
              <w:spacing w:after="0" w:line="276" w:lineRule="auto"/>
              <w:jc w:val="both"/>
              <w:rPr>
                <w:rFonts w:cs="Arial"/>
                <w:b/>
                <w:bCs/>
                <w:szCs w:val="22"/>
                <w:lang w:eastAsia="en-AU"/>
              </w:rPr>
            </w:pPr>
            <w:r>
              <w:rPr>
                <w:rFonts w:cs="Arial"/>
                <w:b/>
                <w:bCs/>
                <w:szCs w:val="22"/>
                <w:lang w:eastAsia="en-AU"/>
              </w:rPr>
              <w:t xml:space="preserve">The </w:t>
            </w:r>
            <w:r w:rsidR="00F2438E" w:rsidRPr="00F2438E">
              <w:rPr>
                <w:rFonts w:cs="Arial"/>
                <w:b/>
                <w:bCs/>
                <w:szCs w:val="22"/>
                <w:lang w:eastAsia="en-AU"/>
              </w:rPr>
              <w:t>MFTC was not adjusted following COVID-19 related benefit increases</w:t>
            </w:r>
          </w:p>
          <w:p w14:paraId="24B1926C" w14:textId="77777777" w:rsidR="00F2438E" w:rsidRPr="00F2438E" w:rsidRDefault="00F2438E" w:rsidP="00F2438E">
            <w:pPr>
              <w:spacing w:after="0" w:line="276" w:lineRule="auto"/>
              <w:jc w:val="both"/>
              <w:rPr>
                <w:rFonts w:cs="Arial"/>
                <w:szCs w:val="22"/>
                <w:lang w:eastAsia="en-AU"/>
              </w:rPr>
            </w:pPr>
          </w:p>
          <w:p w14:paraId="476C5DAF" w14:textId="171CB631" w:rsidR="00F2438E" w:rsidRDefault="00F2438E" w:rsidP="00F2438E">
            <w:pPr>
              <w:spacing w:after="0" w:line="276" w:lineRule="auto"/>
              <w:jc w:val="both"/>
              <w:rPr>
                <w:rFonts w:cs="Arial"/>
                <w:szCs w:val="22"/>
                <w:lang w:eastAsia="en-AU"/>
              </w:rPr>
            </w:pPr>
            <w:r>
              <w:rPr>
                <w:rFonts w:cs="Arial"/>
                <w:szCs w:val="22"/>
                <w:lang w:eastAsia="en-AU"/>
              </w:rPr>
              <w:t>On 1 April 2020</w:t>
            </w:r>
            <w:r w:rsidRPr="00F2438E">
              <w:rPr>
                <w:rFonts w:cs="Arial"/>
                <w:szCs w:val="22"/>
                <w:lang w:eastAsia="en-AU"/>
              </w:rPr>
              <w:t>, as part of the previous Government’s response to COVID-19, main benefit rates were increased by $25 per week</w:t>
            </w:r>
            <w:r>
              <w:rPr>
                <w:rFonts w:cs="Arial"/>
                <w:szCs w:val="22"/>
                <w:lang w:eastAsia="en-AU"/>
              </w:rPr>
              <w:t>. The Winter Energy Payment was also temporarily doubled for the 2020 winter period.</w:t>
            </w:r>
          </w:p>
          <w:p w14:paraId="6670397E" w14:textId="77777777" w:rsidR="00117542" w:rsidRDefault="00117542" w:rsidP="00F2438E">
            <w:pPr>
              <w:spacing w:after="0" w:line="276" w:lineRule="auto"/>
              <w:jc w:val="both"/>
              <w:rPr>
                <w:rFonts w:cs="Arial"/>
                <w:szCs w:val="22"/>
                <w:lang w:eastAsia="en-AU"/>
              </w:rPr>
            </w:pPr>
          </w:p>
          <w:p w14:paraId="4B4AEC7C" w14:textId="399BE689" w:rsidR="00F2438E" w:rsidRDefault="00117542" w:rsidP="00F2438E">
            <w:pPr>
              <w:spacing w:after="0" w:line="276" w:lineRule="auto"/>
              <w:jc w:val="both"/>
              <w:rPr>
                <w:rFonts w:cs="Arial"/>
                <w:szCs w:val="22"/>
                <w:lang w:eastAsia="en-AU"/>
              </w:rPr>
            </w:pPr>
            <w:r>
              <w:rPr>
                <w:rFonts w:cs="Arial"/>
                <w:szCs w:val="22"/>
                <w:lang w:eastAsia="en-AU"/>
              </w:rPr>
              <w:t xml:space="preserve">Under </w:t>
            </w:r>
            <w:r w:rsidR="00F2438E" w:rsidRPr="00F2438E">
              <w:rPr>
                <w:rFonts w:cs="Arial"/>
                <w:szCs w:val="22"/>
                <w:lang w:eastAsia="en-AU"/>
              </w:rPr>
              <w:t>normal circumstances, a consequential increase in the MFTC threshold would likely have</w:t>
            </w:r>
            <w:r>
              <w:rPr>
                <w:rFonts w:cs="Arial"/>
                <w:szCs w:val="22"/>
                <w:lang w:eastAsia="en-AU"/>
              </w:rPr>
              <w:t xml:space="preserve"> been</w:t>
            </w:r>
            <w:r w:rsidR="00F2438E" w:rsidRPr="00F2438E">
              <w:rPr>
                <w:rFonts w:cs="Arial"/>
                <w:szCs w:val="22"/>
                <w:lang w:eastAsia="en-AU"/>
              </w:rPr>
              <w:t xml:space="preserve"> made at the same time. However, the urgent pace at which these benefit changes occurred meant that no decision to change the MFTC threshold was made. This has resulted in the current MFTC threshold being misaligned with the current benefit rate. Under current policy, the MFTC threshold should be increased to account for the increase in benefit rates. </w:t>
            </w:r>
          </w:p>
          <w:p w14:paraId="2CE7F860" w14:textId="5A305636" w:rsidR="00117542" w:rsidRDefault="00117542" w:rsidP="00F2438E">
            <w:pPr>
              <w:spacing w:after="0" w:line="276" w:lineRule="auto"/>
              <w:jc w:val="both"/>
              <w:rPr>
                <w:rFonts w:cs="Arial"/>
                <w:szCs w:val="22"/>
                <w:lang w:eastAsia="en-AU"/>
              </w:rPr>
            </w:pPr>
          </w:p>
          <w:p w14:paraId="34120135" w14:textId="5AEC008F" w:rsidR="00117542" w:rsidRPr="000A4BEB" w:rsidRDefault="00117542" w:rsidP="00117542">
            <w:pPr>
              <w:rPr>
                <w:rFonts w:cs="Arial"/>
                <w:b/>
                <w:bCs/>
                <w:szCs w:val="22"/>
                <w:lang w:eastAsia="en-AU"/>
              </w:rPr>
            </w:pPr>
            <w:r w:rsidRPr="000A4BEB">
              <w:rPr>
                <w:rFonts w:cs="Arial"/>
                <w:b/>
                <w:bCs/>
                <w:szCs w:val="22"/>
                <w:lang w:eastAsia="en-AU"/>
              </w:rPr>
              <w:lastRenderedPageBreak/>
              <w:t>Proposed increases to the abatement thresholds</w:t>
            </w:r>
            <w:r w:rsidR="007A1584">
              <w:rPr>
                <w:rFonts w:cs="Arial"/>
                <w:b/>
                <w:bCs/>
                <w:szCs w:val="22"/>
                <w:lang w:eastAsia="en-AU"/>
              </w:rPr>
              <w:t xml:space="preserve"> on 1 April 2021 </w:t>
            </w:r>
            <w:r w:rsidR="001B09C3">
              <w:rPr>
                <w:rFonts w:cs="Arial"/>
                <w:b/>
                <w:bCs/>
                <w:szCs w:val="22"/>
                <w:lang w:eastAsia="en-AU"/>
              </w:rPr>
              <w:t>will also require an increase to the MFTC threshold under current policy</w:t>
            </w:r>
          </w:p>
          <w:p w14:paraId="2F11D81E" w14:textId="5C060478" w:rsidR="00117542" w:rsidRPr="000A4BEB" w:rsidRDefault="00117542" w:rsidP="00117542">
            <w:pPr>
              <w:spacing w:after="0" w:line="276" w:lineRule="auto"/>
              <w:jc w:val="both"/>
            </w:pPr>
            <w:r w:rsidRPr="000A4BEB">
              <w:t xml:space="preserve">Increasing the abatement thresholds on 1 April 2021 (as per the Labour Party’s 2020 manifesto commitment) </w:t>
            </w:r>
            <w:r w:rsidR="00254D9B">
              <w:t>has flow-on implications for the MFTC threshold. Under current policy,</w:t>
            </w:r>
            <w:r w:rsidRPr="000A4BEB">
              <w:t xml:space="preserve"> a consequential increase to the 2021/22 MFTC threshold </w:t>
            </w:r>
            <w:r w:rsidR="00254D9B">
              <w:t>would be made to reflect the changes to the abatement thresholds</w:t>
            </w:r>
            <w:r w:rsidRPr="000A4BEB">
              <w:t xml:space="preserve">. </w:t>
            </w:r>
          </w:p>
          <w:p w14:paraId="71CB6778" w14:textId="77777777" w:rsidR="00117542" w:rsidRPr="000A4BEB" w:rsidRDefault="00117542" w:rsidP="00117542">
            <w:pPr>
              <w:spacing w:after="0" w:line="276" w:lineRule="auto"/>
              <w:jc w:val="both"/>
            </w:pPr>
          </w:p>
          <w:p w14:paraId="12DA458C" w14:textId="7D6B3B83" w:rsidR="00117542" w:rsidRPr="000A4BEB" w:rsidRDefault="00117542" w:rsidP="00117542">
            <w:pPr>
              <w:spacing w:after="0" w:line="276" w:lineRule="auto"/>
              <w:jc w:val="both"/>
            </w:pPr>
            <w:r w:rsidRPr="000A4BEB">
              <w:t xml:space="preserve">If the MFTC threshold does not maintain alignment with the benefit abatement thresholds, this will be inconsistent with the policy intent of </w:t>
            </w:r>
            <w:r w:rsidR="006B3CC4">
              <w:t xml:space="preserve">the </w:t>
            </w:r>
            <w:r w:rsidRPr="000A4BEB">
              <w:t xml:space="preserve">MFTC, that is, to provide a financial incentive to work </w:t>
            </w:r>
            <w:r w:rsidR="00292727">
              <w:t xml:space="preserve">a greater amount </w:t>
            </w:r>
            <w:r w:rsidRPr="000A4BEB">
              <w:t xml:space="preserve">and move off benefit and on to the MFTC. The greater the misalignment of the MFTC threshold and benefits, and the longer the misalignment continues, the greater the impact on the incentives for </w:t>
            </w:r>
            <w:proofErr w:type="gramStart"/>
            <w:r w:rsidRPr="000A4BEB">
              <w:t>low income</w:t>
            </w:r>
            <w:proofErr w:type="gramEnd"/>
            <w:r w:rsidRPr="000A4BEB">
              <w:t xml:space="preserve"> families with children to leave the benefit and </w:t>
            </w:r>
            <w:r w:rsidR="00292727">
              <w:t>work a greater amount and receive the MFTC</w:t>
            </w:r>
            <w:r w:rsidRPr="000A4BEB">
              <w:t xml:space="preserve">. </w:t>
            </w:r>
          </w:p>
          <w:p w14:paraId="636CB88F" w14:textId="77777777" w:rsidR="00117542" w:rsidRPr="000A4BEB" w:rsidRDefault="00117542" w:rsidP="00117542">
            <w:pPr>
              <w:spacing w:after="0" w:line="276" w:lineRule="auto"/>
              <w:jc w:val="both"/>
            </w:pPr>
          </w:p>
          <w:p w14:paraId="0B683F92" w14:textId="52FD01E8" w:rsidR="00117542" w:rsidRDefault="00117542" w:rsidP="00117542">
            <w:pPr>
              <w:spacing w:after="0" w:line="276" w:lineRule="auto"/>
              <w:jc w:val="both"/>
            </w:pPr>
            <w:r w:rsidRPr="000A4BEB">
              <w:t>There is also a potential equity issue in that not fully aligning the MFTC threshold financially disadvantages those families who remain off benefit (relative to those who are on benefit).</w:t>
            </w:r>
            <w:r w:rsidR="007D433D">
              <w:t xml:space="preserve"> </w:t>
            </w:r>
            <w:r w:rsidRPr="000A4BEB">
              <w:t>If benefit settings are intended to reflect a minimum level of income for beneficiaries, then implicitly, the guaranteed minimum income provided to working and off-benefit families (via the MFTC) should be at least the same.</w:t>
            </w:r>
          </w:p>
          <w:p w14:paraId="75C948DA" w14:textId="45FCB893" w:rsidR="007A1584" w:rsidRDefault="007A1584" w:rsidP="00117542">
            <w:pPr>
              <w:spacing w:after="0" w:line="276" w:lineRule="auto"/>
              <w:jc w:val="both"/>
              <w:rPr>
                <w:rFonts w:cs="Arial"/>
                <w:szCs w:val="22"/>
              </w:rPr>
            </w:pPr>
          </w:p>
          <w:p w14:paraId="0B41B01B" w14:textId="7204A152" w:rsidR="007A1584" w:rsidRPr="004B1A93" w:rsidRDefault="007A1584" w:rsidP="00117542">
            <w:pPr>
              <w:spacing w:after="0" w:line="276" w:lineRule="auto"/>
              <w:jc w:val="both"/>
              <w:rPr>
                <w:rFonts w:cs="Arial"/>
                <w:b/>
                <w:bCs/>
                <w:szCs w:val="22"/>
                <w:lang w:eastAsia="en-AU"/>
              </w:rPr>
            </w:pPr>
            <w:r>
              <w:rPr>
                <w:rFonts w:cs="Arial"/>
                <w:b/>
                <w:bCs/>
                <w:szCs w:val="22"/>
              </w:rPr>
              <w:t>The MFTC provides little to no incentive for sole parents to work more than 20 hours a week while receiving the MFTC</w:t>
            </w:r>
          </w:p>
          <w:p w14:paraId="71F281C0" w14:textId="77777777" w:rsidR="00233839" w:rsidRDefault="00233839" w:rsidP="005C4D6C">
            <w:pPr>
              <w:spacing w:after="0" w:line="276" w:lineRule="auto"/>
              <w:jc w:val="both"/>
              <w:rPr>
                <w:rFonts w:cs="Arial"/>
                <w:szCs w:val="22"/>
                <w:lang w:eastAsia="en-AU"/>
              </w:rPr>
            </w:pPr>
          </w:p>
          <w:p w14:paraId="0AD2CBBB" w14:textId="5A75D2AE" w:rsidR="000D1E5D" w:rsidRDefault="001B09C3" w:rsidP="008F45FD">
            <w:pPr>
              <w:spacing w:after="0" w:line="276" w:lineRule="auto"/>
              <w:jc w:val="both"/>
              <w:rPr>
                <w:rFonts w:cs="Arial"/>
                <w:szCs w:val="22"/>
                <w:lang w:eastAsia="en-AU"/>
              </w:rPr>
            </w:pPr>
            <w:r>
              <w:rPr>
                <w:rFonts w:cs="Arial"/>
                <w:szCs w:val="22"/>
                <w:lang w:eastAsia="en-AU"/>
              </w:rPr>
              <w:t>The</w:t>
            </w:r>
            <w:r w:rsidR="008F45FD">
              <w:rPr>
                <w:rFonts w:cs="Arial"/>
                <w:szCs w:val="22"/>
                <w:lang w:eastAsia="en-AU"/>
              </w:rPr>
              <w:t xml:space="preserve"> proposed increases to the abatement thresholds on 1 April 2021 are significant, which would require the 2021/22 MFTC threshold adjustment to be much </w:t>
            </w:r>
            <w:r w:rsidR="00292727">
              <w:rPr>
                <w:rFonts w:cs="Arial"/>
                <w:szCs w:val="22"/>
                <w:lang w:eastAsia="en-AU"/>
              </w:rPr>
              <w:t>greater</w:t>
            </w:r>
            <w:r w:rsidR="008F45FD">
              <w:rPr>
                <w:rFonts w:cs="Arial"/>
                <w:szCs w:val="22"/>
                <w:lang w:eastAsia="en-AU"/>
              </w:rPr>
              <w:t xml:space="preserve"> than its previous adjustments. </w:t>
            </w:r>
            <w:r w:rsidR="004E5F60">
              <w:rPr>
                <w:rFonts w:cs="Arial"/>
                <w:szCs w:val="22"/>
                <w:lang w:eastAsia="en-AU"/>
              </w:rPr>
              <w:t xml:space="preserve">This </w:t>
            </w:r>
            <w:r w:rsidR="008F45FD">
              <w:rPr>
                <w:rFonts w:cs="Arial"/>
                <w:szCs w:val="22"/>
                <w:lang w:eastAsia="en-AU"/>
              </w:rPr>
              <w:t>may</w:t>
            </w:r>
            <w:r w:rsidR="004E5F60">
              <w:rPr>
                <w:rFonts w:cs="Arial"/>
                <w:szCs w:val="22"/>
                <w:lang w:eastAsia="en-AU"/>
              </w:rPr>
              <w:t xml:space="preserve"> </w:t>
            </w:r>
            <w:r w:rsidR="008F45FD">
              <w:rPr>
                <w:rFonts w:cs="Arial"/>
                <w:szCs w:val="22"/>
                <w:lang w:eastAsia="en-AU"/>
              </w:rPr>
              <w:t xml:space="preserve">further </w:t>
            </w:r>
            <w:r w:rsidR="004E5F60">
              <w:rPr>
                <w:rFonts w:cs="Arial"/>
                <w:szCs w:val="22"/>
                <w:lang w:eastAsia="en-AU"/>
              </w:rPr>
              <w:t xml:space="preserve">exacerbate known issues with </w:t>
            </w:r>
            <w:r w:rsidR="006B3CC4">
              <w:rPr>
                <w:rFonts w:cs="Arial"/>
                <w:szCs w:val="22"/>
                <w:lang w:eastAsia="en-AU"/>
              </w:rPr>
              <w:t xml:space="preserve">the </w:t>
            </w:r>
            <w:r w:rsidR="004E5F60">
              <w:rPr>
                <w:rFonts w:cs="Arial"/>
                <w:szCs w:val="22"/>
                <w:lang w:eastAsia="en-AU"/>
              </w:rPr>
              <w:t xml:space="preserve">MFTC, mainly that the MFTC provides little to no financial incentive </w:t>
            </w:r>
            <w:r w:rsidR="008F45FD">
              <w:rPr>
                <w:rFonts w:cs="Arial"/>
                <w:szCs w:val="22"/>
                <w:lang w:eastAsia="en-AU"/>
              </w:rPr>
              <w:t xml:space="preserve">for sole parents </w:t>
            </w:r>
            <w:r w:rsidR="004E5F60">
              <w:rPr>
                <w:rFonts w:cs="Arial"/>
                <w:szCs w:val="22"/>
                <w:lang w:eastAsia="en-AU"/>
              </w:rPr>
              <w:t>to work more than the minimum required hours (20 hours a week)</w:t>
            </w:r>
            <w:r w:rsidR="008F45FD">
              <w:rPr>
                <w:rFonts w:cs="Arial"/>
                <w:szCs w:val="22"/>
                <w:lang w:eastAsia="en-AU"/>
              </w:rPr>
              <w:t xml:space="preserve"> while receiving the MFTC.</w:t>
            </w:r>
            <w:r w:rsidR="004E5F60">
              <w:rPr>
                <w:rFonts w:cs="Arial"/>
                <w:szCs w:val="22"/>
                <w:lang w:eastAsia="en-AU"/>
              </w:rPr>
              <w:t xml:space="preserve"> This is because </w:t>
            </w:r>
            <w:r w:rsidR="00923321">
              <w:rPr>
                <w:rFonts w:cs="Arial"/>
                <w:szCs w:val="22"/>
                <w:lang w:eastAsia="en-AU"/>
              </w:rPr>
              <w:t>income</w:t>
            </w:r>
            <w:r w:rsidR="004E5F60">
              <w:rPr>
                <w:rFonts w:cs="Arial"/>
                <w:szCs w:val="22"/>
                <w:lang w:eastAsia="en-AU"/>
              </w:rPr>
              <w:t xml:space="preserve"> earned over the MFTC threshold would reduce the MFTC payment </w:t>
            </w:r>
            <w:r w:rsidR="00923321">
              <w:rPr>
                <w:rFonts w:cs="Arial"/>
                <w:szCs w:val="22"/>
                <w:lang w:eastAsia="en-AU"/>
              </w:rPr>
              <w:t>dollar for dollar</w:t>
            </w:r>
            <w:r w:rsidR="004E5F60">
              <w:rPr>
                <w:rFonts w:cs="Arial"/>
                <w:szCs w:val="22"/>
                <w:lang w:eastAsia="en-AU"/>
              </w:rPr>
              <w:t xml:space="preserve">. This is known as a 100 percent effective marginal tax rate (EMTR); high EMTRs indicate low financial incentives to work. </w:t>
            </w:r>
          </w:p>
          <w:p w14:paraId="16F51A62" w14:textId="77777777" w:rsidR="000D1E5D" w:rsidRDefault="000D1E5D" w:rsidP="008F45FD">
            <w:pPr>
              <w:spacing w:after="0" w:line="276" w:lineRule="auto"/>
              <w:jc w:val="both"/>
              <w:rPr>
                <w:rFonts w:cs="Arial"/>
                <w:szCs w:val="22"/>
                <w:lang w:eastAsia="en-AU"/>
              </w:rPr>
            </w:pPr>
          </w:p>
          <w:p w14:paraId="18466039" w14:textId="77AC9883" w:rsidR="001B09C3" w:rsidRDefault="008F45FD" w:rsidP="00AE53CC">
            <w:pPr>
              <w:spacing w:after="0" w:line="276" w:lineRule="auto"/>
              <w:jc w:val="both"/>
              <w:rPr>
                <w:rFonts w:cs="Arial"/>
                <w:szCs w:val="22"/>
                <w:lang w:eastAsia="en-AU"/>
              </w:rPr>
            </w:pPr>
            <w:bookmarkStart w:id="10" w:name="_Hlk57813766"/>
            <w:r>
              <w:rPr>
                <w:rFonts w:cs="Arial"/>
                <w:szCs w:val="22"/>
                <w:lang w:eastAsia="en-AU"/>
              </w:rPr>
              <w:t xml:space="preserve">A significant adjustment to the MFTC threshold </w:t>
            </w:r>
            <w:r w:rsidR="001B09C3">
              <w:rPr>
                <w:rFonts w:cs="Arial"/>
                <w:szCs w:val="22"/>
                <w:lang w:eastAsia="en-AU"/>
              </w:rPr>
              <w:t xml:space="preserve">would further reward </w:t>
            </w:r>
            <w:r w:rsidR="009A73BF">
              <w:rPr>
                <w:rFonts w:cs="Arial"/>
                <w:szCs w:val="22"/>
                <w:lang w:eastAsia="en-AU"/>
              </w:rPr>
              <w:t xml:space="preserve">working the minimum number of hours required for </w:t>
            </w:r>
            <w:r w:rsidR="006B3CC4">
              <w:rPr>
                <w:rFonts w:cs="Arial"/>
                <w:szCs w:val="22"/>
                <w:lang w:eastAsia="en-AU"/>
              </w:rPr>
              <w:t xml:space="preserve">the </w:t>
            </w:r>
            <w:r w:rsidR="009A73BF">
              <w:rPr>
                <w:rFonts w:cs="Arial"/>
                <w:szCs w:val="22"/>
                <w:lang w:eastAsia="en-AU"/>
              </w:rPr>
              <w:t>MFTC</w:t>
            </w:r>
            <w:r w:rsidR="001B09C3">
              <w:rPr>
                <w:rFonts w:cs="Arial"/>
                <w:szCs w:val="22"/>
                <w:lang w:eastAsia="en-AU"/>
              </w:rPr>
              <w:t xml:space="preserve"> at the expense of </w:t>
            </w:r>
            <w:r w:rsidR="009A73BF">
              <w:rPr>
                <w:rFonts w:cs="Arial"/>
                <w:szCs w:val="22"/>
                <w:lang w:eastAsia="en-AU"/>
              </w:rPr>
              <w:t>working more than this</w:t>
            </w:r>
            <w:r w:rsidR="001B09C3">
              <w:rPr>
                <w:rFonts w:cs="Arial"/>
                <w:szCs w:val="22"/>
                <w:lang w:eastAsia="en-AU"/>
              </w:rPr>
              <w:t xml:space="preserve">. This is because the adjustment </w:t>
            </w:r>
            <w:r>
              <w:rPr>
                <w:rFonts w:cs="Arial"/>
                <w:szCs w:val="22"/>
                <w:lang w:eastAsia="en-AU"/>
              </w:rPr>
              <w:t>would mean the income range over which the MFTC is available would be extended, resulting in a larger range of hours worked with a 100 percent EMTR and further reduc</w:t>
            </w:r>
            <w:r w:rsidR="00E11BED">
              <w:rPr>
                <w:rFonts w:cs="Arial"/>
                <w:szCs w:val="22"/>
                <w:lang w:eastAsia="en-AU"/>
              </w:rPr>
              <w:t>tion in</w:t>
            </w:r>
            <w:r>
              <w:rPr>
                <w:rFonts w:cs="Arial"/>
                <w:szCs w:val="22"/>
                <w:lang w:eastAsia="en-AU"/>
              </w:rPr>
              <w:t xml:space="preserve"> incentives to work greater hours for sole parents on low/minimum wage. </w:t>
            </w:r>
            <w:r w:rsidR="00AE53CC">
              <w:rPr>
                <w:rFonts w:cs="Arial"/>
                <w:szCs w:val="22"/>
                <w:lang w:eastAsia="en-AU"/>
              </w:rPr>
              <w:t>For example:</w:t>
            </w:r>
          </w:p>
          <w:p w14:paraId="7C70AA27" w14:textId="77777777" w:rsidR="00AE53CC" w:rsidRDefault="00AE53CC" w:rsidP="00AE53CC">
            <w:pPr>
              <w:spacing w:after="0" w:line="276" w:lineRule="auto"/>
              <w:jc w:val="both"/>
              <w:rPr>
                <w:rFonts w:cs="Arial"/>
                <w:szCs w:val="22"/>
                <w:lang w:eastAsia="en-AU"/>
              </w:rPr>
            </w:pPr>
          </w:p>
          <w:p w14:paraId="10139E79" w14:textId="52F44577" w:rsidR="00AE53CC" w:rsidRPr="00F24B69" w:rsidRDefault="00AE53CC" w:rsidP="00AE53CC">
            <w:pPr>
              <w:pStyle w:val="ListParagraph"/>
              <w:numPr>
                <w:ilvl w:val="0"/>
                <w:numId w:val="22"/>
              </w:numPr>
              <w:spacing w:after="0" w:line="276" w:lineRule="auto"/>
              <w:jc w:val="both"/>
              <w:rPr>
                <w:rFonts w:cs="Arial"/>
                <w:szCs w:val="22"/>
                <w:lang w:eastAsia="en-AU"/>
              </w:rPr>
            </w:pPr>
            <w:r w:rsidRPr="00F24B69">
              <w:rPr>
                <w:rFonts w:cs="Arial"/>
                <w:szCs w:val="22"/>
                <w:lang w:eastAsia="en-AU"/>
              </w:rPr>
              <w:t>Fully adjusting the MFTC increases the gain that sole parents receive by moving from working and receiving the benefit to working and receiving the MFTC to around $125 a week; but reduces the gain from increasing work hours from 20 to 40 hours a week to around $20 a week.</w:t>
            </w:r>
            <w:r w:rsidR="009A73BF">
              <w:rPr>
                <w:rStyle w:val="FootnoteReference"/>
                <w:rFonts w:cs="Arial"/>
                <w:szCs w:val="22"/>
                <w:lang w:eastAsia="en-AU"/>
              </w:rPr>
              <w:footnoteReference w:id="10"/>
            </w:r>
            <w:r w:rsidRPr="00F24B69">
              <w:rPr>
                <w:rFonts w:cs="Arial"/>
                <w:szCs w:val="22"/>
                <w:lang w:eastAsia="en-AU"/>
              </w:rPr>
              <w:t xml:space="preserve"> </w:t>
            </w:r>
          </w:p>
          <w:p w14:paraId="75C47D5B" w14:textId="051C2028" w:rsidR="00611F80" w:rsidRPr="00611F80" w:rsidRDefault="00AE53CC" w:rsidP="00611F80">
            <w:pPr>
              <w:pStyle w:val="ListParagraph"/>
              <w:numPr>
                <w:ilvl w:val="0"/>
                <w:numId w:val="22"/>
              </w:numPr>
              <w:spacing w:after="0" w:line="276" w:lineRule="auto"/>
              <w:jc w:val="both"/>
              <w:rPr>
                <w:rFonts w:cs="Arial"/>
                <w:szCs w:val="22"/>
                <w:lang w:eastAsia="en-AU"/>
              </w:rPr>
            </w:pPr>
            <w:r w:rsidRPr="00F24B69">
              <w:rPr>
                <w:rFonts w:cs="Arial"/>
                <w:szCs w:val="22"/>
                <w:lang w:eastAsia="en-AU"/>
              </w:rPr>
              <w:t xml:space="preserve">Partially adjusting the MFTC increases the gain that sole parents receive by moving from working and receiving the benefit to working and receiving the MFTC </w:t>
            </w:r>
            <w:r w:rsidRPr="00F24B69">
              <w:rPr>
                <w:rFonts w:cs="Arial"/>
                <w:szCs w:val="22"/>
                <w:lang w:eastAsia="en-AU"/>
              </w:rPr>
              <w:lastRenderedPageBreak/>
              <w:t xml:space="preserve">to around $85 a week; but reduces the gain from increasing work hours from 20 to 40 hours a week to around $60 a week. </w:t>
            </w:r>
            <w:r w:rsidR="009A73BF">
              <w:rPr>
                <w:rStyle w:val="FootnoteReference"/>
                <w:rFonts w:cs="Arial"/>
                <w:szCs w:val="22"/>
                <w:lang w:eastAsia="en-AU"/>
              </w:rPr>
              <w:footnoteReference w:id="11"/>
            </w:r>
          </w:p>
          <w:p w14:paraId="3E659422" w14:textId="77777777" w:rsidR="001B09C3" w:rsidRDefault="001B09C3" w:rsidP="008F45FD">
            <w:pPr>
              <w:spacing w:after="0" w:line="276" w:lineRule="auto"/>
              <w:jc w:val="both"/>
              <w:rPr>
                <w:rFonts w:cs="Arial"/>
                <w:szCs w:val="22"/>
                <w:lang w:eastAsia="en-AU"/>
              </w:rPr>
            </w:pPr>
          </w:p>
          <w:p w14:paraId="49575D7B" w14:textId="5121B9EB" w:rsidR="00611F80" w:rsidRDefault="009B08DF" w:rsidP="009A73BF">
            <w:pPr>
              <w:spacing w:after="0" w:line="276" w:lineRule="auto"/>
              <w:jc w:val="both"/>
            </w:pPr>
            <w:r>
              <w:rPr>
                <w:rFonts w:cs="Arial"/>
                <w:szCs w:val="22"/>
                <w:lang w:eastAsia="en-AU"/>
              </w:rPr>
              <w:t xml:space="preserve">While </w:t>
            </w:r>
            <w:r w:rsidR="009A73BF">
              <w:rPr>
                <w:rFonts w:cs="Arial"/>
                <w:szCs w:val="22"/>
                <w:lang w:eastAsia="en-AU"/>
              </w:rPr>
              <w:t>working 20 hours a week</w:t>
            </w:r>
            <w:r>
              <w:rPr>
                <w:rFonts w:cs="Arial"/>
                <w:szCs w:val="22"/>
                <w:lang w:eastAsia="en-AU"/>
              </w:rPr>
              <w:t xml:space="preserve"> may be desirable for many sole parents due to their caregiving responsibilities and financial incentives </w:t>
            </w:r>
            <w:r w:rsidR="009A73BF">
              <w:rPr>
                <w:rFonts w:cs="Arial"/>
                <w:szCs w:val="22"/>
                <w:lang w:eastAsia="en-AU"/>
              </w:rPr>
              <w:t>being</w:t>
            </w:r>
            <w:r>
              <w:rPr>
                <w:rFonts w:cs="Arial"/>
                <w:szCs w:val="22"/>
                <w:lang w:eastAsia="en-AU"/>
              </w:rPr>
              <w:t xml:space="preserve"> just one of the reasons for labour supply decisions, disincentivising </w:t>
            </w:r>
            <w:r w:rsidR="009A73BF">
              <w:rPr>
                <w:rFonts w:cs="Arial"/>
                <w:szCs w:val="22"/>
                <w:lang w:eastAsia="en-AU"/>
              </w:rPr>
              <w:t xml:space="preserve">sole parents from </w:t>
            </w:r>
            <w:r>
              <w:rPr>
                <w:rFonts w:cs="Arial"/>
                <w:szCs w:val="22"/>
                <w:lang w:eastAsia="en-AU"/>
              </w:rPr>
              <w:t xml:space="preserve">working </w:t>
            </w:r>
            <w:r w:rsidR="00292727">
              <w:rPr>
                <w:rFonts w:cs="Arial"/>
                <w:szCs w:val="22"/>
                <w:lang w:eastAsia="en-AU"/>
              </w:rPr>
              <w:t>more than 20 hours per week</w:t>
            </w:r>
            <w:r>
              <w:rPr>
                <w:rFonts w:cs="Arial"/>
                <w:szCs w:val="22"/>
                <w:lang w:eastAsia="en-AU"/>
              </w:rPr>
              <w:t xml:space="preserve"> (or taking up higher wage work) may impact on </w:t>
            </w:r>
            <w:r w:rsidR="009A73BF">
              <w:rPr>
                <w:rFonts w:cs="Arial"/>
                <w:szCs w:val="22"/>
                <w:lang w:eastAsia="en-AU"/>
              </w:rPr>
              <w:t>their</w:t>
            </w:r>
            <w:r>
              <w:rPr>
                <w:rFonts w:cs="Arial"/>
                <w:szCs w:val="22"/>
                <w:lang w:eastAsia="en-AU"/>
              </w:rPr>
              <w:t xml:space="preserve"> longer-term labour market trajectories and lifetime earnings. </w:t>
            </w:r>
            <w:r w:rsidR="009A73BF">
              <w:rPr>
                <w:rFonts w:cs="Arial"/>
                <w:szCs w:val="22"/>
                <w:lang w:eastAsia="en-AU"/>
              </w:rPr>
              <w:t>I</w:t>
            </w:r>
            <w:r w:rsidR="00611F80" w:rsidRPr="00352AA6">
              <w:rPr>
                <w:rFonts w:cs="Arial"/>
                <w:szCs w:val="22"/>
                <w:lang w:eastAsia="en-AU"/>
              </w:rPr>
              <w:t xml:space="preserve">t is important to note that there </w:t>
            </w:r>
            <w:r w:rsidR="00611F80" w:rsidRPr="00352AA6">
              <w:t>is</w:t>
            </w:r>
            <w:r w:rsidR="009A73BF">
              <w:t xml:space="preserve"> also</w:t>
            </w:r>
            <w:r w:rsidR="00611F80" w:rsidRPr="00352AA6">
              <w:t xml:space="preserve"> robust evidence to show that the gap between </w:t>
            </w:r>
            <w:r w:rsidR="009A73BF">
              <w:t>“in work” income</w:t>
            </w:r>
            <w:r w:rsidR="00611F80" w:rsidRPr="00352AA6">
              <w:t xml:space="preserve"> and </w:t>
            </w:r>
            <w:r w:rsidR="009A73BF">
              <w:t>“out of work” income</w:t>
            </w:r>
            <w:r w:rsidR="00611F80" w:rsidRPr="00352AA6">
              <w:t xml:space="preserve"> is a stronger driver of behaviour than the incentive to increase work by an additional hour. </w:t>
            </w:r>
            <w:r w:rsidR="009A73BF">
              <w:t xml:space="preserve">A significant adjustment in the MFTC would result in a larger gap between “in work” income and “out of work” income (at 20 hours for sole parents and 30 hours for couples) and would potentially provide a stronger financial incentive to go from not working to working the minimum number of hours for </w:t>
            </w:r>
            <w:r w:rsidR="006B3CC4">
              <w:t xml:space="preserve">the </w:t>
            </w:r>
            <w:r w:rsidR="009A73BF">
              <w:t xml:space="preserve">MFTC than partial or no adjustment options. </w:t>
            </w:r>
          </w:p>
          <w:p w14:paraId="19983C60" w14:textId="77777777" w:rsidR="009A73BF" w:rsidRDefault="009A73BF" w:rsidP="009A73BF">
            <w:pPr>
              <w:spacing w:after="0" w:line="276" w:lineRule="auto"/>
              <w:jc w:val="both"/>
              <w:rPr>
                <w:rFonts w:cs="Arial"/>
                <w:szCs w:val="22"/>
                <w:lang w:eastAsia="en-AU"/>
              </w:rPr>
            </w:pPr>
          </w:p>
          <w:bookmarkEnd w:id="10"/>
          <w:p w14:paraId="5A945663" w14:textId="3A51FC26" w:rsidR="007A1584" w:rsidRPr="004B1A93" w:rsidRDefault="007A1584" w:rsidP="008F45FD">
            <w:pPr>
              <w:spacing w:after="0" w:line="276" w:lineRule="auto"/>
              <w:jc w:val="both"/>
              <w:rPr>
                <w:rFonts w:cs="Arial"/>
                <w:b/>
                <w:bCs/>
                <w:szCs w:val="22"/>
                <w:lang w:eastAsia="en-AU"/>
              </w:rPr>
            </w:pPr>
            <w:r>
              <w:rPr>
                <w:rFonts w:cs="Arial"/>
                <w:b/>
                <w:bCs/>
                <w:szCs w:val="22"/>
                <w:lang w:eastAsia="en-AU"/>
              </w:rPr>
              <w:t xml:space="preserve">There is an upcoming review of Working for Families, which </w:t>
            </w:r>
            <w:r w:rsidR="008A4F65">
              <w:rPr>
                <w:rFonts w:cs="Arial"/>
                <w:b/>
                <w:bCs/>
                <w:szCs w:val="22"/>
                <w:lang w:eastAsia="en-AU"/>
              </w:rPr>
              <w:t>includes</w:t>
            </w:r>
            <w:r w:rsidR="006B3CC4">
              <w:rPr>
                <w:rFonts w:cs="Arial"/>
                <w:b/>
                <w:bCs/>
                <w:szCs w:val="22"/>
                <w:lang w:eastAsia="en-AU"/>
              </w:rPr>
              <w:t xml:space="preserve"> the</w:t>
            </w:r>
            <w:r w:rsidR="008A4F65">
              <w:rPr>
                <w:rFonts w:cs="Arial"/>
                <w:b/>
                <w:bCs/>
                <w:szCs w:val="22"/>
                <w:lang w:eastAsia="en-AU"/>
              </w:rPr>
              <w:t xml:space="preserve"> MFTC</w:t>
            </w:r>
          </w:p>
          <w:p w14:paraId="41D4E5BF" w14:textId="77777777" w:rsidR="007A1584" w:rsidRDefault="007A1584" w:rsidP="008F45FD">
            <w:pPr>
              <w:spacing w:after="0" w:line="276" w:lineRule="auto"/>
              <w:jc w:val="both"/>
              <w:rPr>
                <w:rFonts w:cs="Arial"/>
                <w:szCs w:val="22"/>
                <w:lang w:eastAsia="en-AU"/>
              </w:rPr>
            </w:pPr>
          </w:p>
          <w:p w14:paraId="6EC2CC6B" w14:textId="65FFFE47" w:rsidR="005831EF" w:rsidRDefault="009B08DF" w:rsidP="005831EF">
            <w:pPr>
              <w:spacing w:after="0" w:line="240" w:lineRule="auto"/>
              <w:jc w:val="both"/>
              <w:rPr>
                <w:rFonts w:cs="Arial"/>
                <w:color w:val="BFBFBF" w:themeColor="background1" w:themeShade="BF"/>
                <w:szCs w:val="22"/>
                <w:shd w:val="clear" w:color="auto" w:fill="BFBFBF" w:themeFill="background1" w:themeFillShade="BF"/>
                <w:lang w:eastAsia="en-AU"/>
              </w:rPr>
            </w:pPr>
            <w:r>
              <w:rPr>
                <w:rFonts w:cs="Arial"/>
                <w:szCs w:val="22"/>
                <w:lang w:eastAsia="en-AU"/>
              </w:rPr>
              <w:t>A review</w:t>
            </w:r>
            <w:r w:rsidR="000D1E5D">
              <w:rPr>
                <w:rFonts w:cs="Arial"/>
                <w:szCs w:val="22"/>
                <w:lang w:eastAsia="en-AU"/>
              </w:rPr>
              <w:t xml:space="preserve"> of WFF </w:t>
            </w:r>
            <w:r>
              <w:rPr>
                <w:rFonts w:cs="Arial"/>
                <w:szCs w:val="22"/>
                <w:lang w:eastAsia="en-AU"/>
              </w:rPr>
              <w:t xml:space="preserve">is </w:t>
            </w:r>
            <w:r w:rsidR="000D1E5D">
              <w:rPr>
                <w:rFonts w:cs="Arial"/>
                <w:szCs w:val="22"/>
                <w:lang w:eastAsia="en-AU"/>
              </w:rPr>
              <w:t xml:space="preserve">planned for 2021, </w:t>
            </w:r>
            <w:r w:rsidR="005831EF" w:rsidRPr="005831EF">
              <w:rPr>
                <w:rFonts w:cs="Arial"/>
                <w:color w:val="BFBFBF" w:themeColor="background1" w:themeShade="BF"/>
                <w:szCs w:val="22"/>
                <w:shd w:val="clear" w:color="auto" w:fill="BFBFBF" w:themeFill="background1" w:themeFillShade="BF"/>
                <w:lang w:eastAsia="en-AU"/>
              </w:rPr>
              <w:t>.</w:t>
            </w:r>
            <w:r w:rsidR="005831EF" w:rsidRPr="005831EF">
              <w:rPr>
                <w:rFonts w:cs="Arial"/>
                <w:szCs w:val="22"/>
                <w:shd w:val="clear" w:color="auto" w:fill="BFBFBF" w:themeFill="background1" w:themeFillShade="BF"/>
                <w:lang w:eastAsia="en-AU"/>
              </w:rPr>
              <w:t>s 9(2)(f)(iv)</w:t>
            </w:r>
            <w:r w:rsidR="005831EF" w:rsidRPr="005831EF">
              <w:rPr>
                <w:rFonts w:cs="Arial"/>
                <w:color w:val="BFBFBF" w:themeColor="background1" w:themeShade="BF"/>
                <w:szCs w:val="22"/>
                <w:shd w:val="clear" w:color="auto" w:fill="BFBFBF" w:themeFill="background1" w:themeFillShade="BF"/>
                <w:lang w:eastAsia="en-AU"/>
              </w:rPr>
              <w:t>………………………………</w:t>
            </w:r>
            <w:r w:rsidR="001C37B2">
              <w:rPr>
                <w:rFonts w:cs="Arial"/>
                <w:color w:val="BFBFBF" w:themeColor="background1" w:themeShade="BF"/>
                <w:szCs w:val="22"/>
                <w:shd w:val="clear" w:color="auto" w:fill="BFBFBF" w:themeFill="background1" w:themeFillShade="BF"/>
                <w:lang w:eastAsia="en-AU"/>
              </w:rPr>
              <w:t>…</w:t>
            </w:r>
            <w:r w:rsidR="005831EF" w:rsidRPr="005831EF">
              <w:rPr>
                <w:rFonts w:cs="Arial"/>
                <w:color w:val="BFBFBF" w:themeColor="background1" w:themeShade="BF"/>
                <w:szCs w:val="22"/>
                <w:shd w:val="clear" w:color="auto" w:fill="BFBFBF" w:themeFill="background1" w:themeFillShade="BF"/>
                <w:lang w:eastAsia="en-AU"/>
              </w:rPr>
              <w:t>………….</w:t>
            </w:r>
          </w:p>
          <w:p w14:paraId="56313BCA" w14:textId="5B32C656" w:rsidR="00923321" w:rsidRPr="004B1A93" w:rsidRDefault="005831EF" w:rsidP="004B1A93">
            <w:pPr>
              <w:spacing w:after="120" w:line="276" w:lineRule="auto"/>
              <w:jc w:val="both"/>
              <w:rPr>
                <w:rFonts w:cs="Arial"/>
                <w:szCs w:val="22"/>
                <w:lang w:eastAsia="en-AU"/>
              </w:rPr>
            </w:pPr>
            <w:r w:rsidRPr="005831EF">
              <w:rPr>
                <w:rFonts w:cs="Arial"/>
                <w:color w:val="BFBFBF" w:themeColor="background1" w:themeShade="BF"/>
                <w:szCs w:val="22"/>
                <w:shd w:val="clear" w:color="auto" w:fill="BFBFBF" w:themeFill="background1" w:themeFillShade="BF"/>
                <w:lang w:eastAsia="en-AU"/>
              </w:rPr>
              <w:t>…………………………………………………………………………………</w:t>
            </w:r>
            <w:r w:rsidR="009B08DF">
              <w:rPr>
                <w:rFonts w:cs="Arial"/>
                <w:szCs w:val="22"/>
                <w:lang w:eastAsia="en-AU"/>
              </w:rPr>
              <w:t xml:space="preserve"> This means </w:t>
            </w:r>
            <w:r w:rsidR="005A3F36">
              <w:rPr>
                <w:rFonts w:cs="Arial"/>
                <w:szCs w:val="22"/>
                <w:lang w:eastAsia="en-AU"/>
              </w:rPr>
              <w:t xml:space="preserve">that </w:t>
            </w:r>
            <w:r w:rsidR="009B08DF">
              <w:rPr>
                <w:rFonts w:cs="Arial"/>
                <w:szCs w:val="22"/>
                <w:lang w:eastAsia="en-AU"/>
              </w:rPr>
              <w:t>a</w:t>
            </w:r>
            <w:r w:rsidR="000D1E5D" w:rsidRPr="005C5B0B">
              <w:rPr>
                <w:rFonts w:cs="Arial"/>
                <w:szCs w:val="22"/>
                <w:lang w:eastAsia="en-AU"/>
              </w:rPr>
              <w:t xml:space="preserve">ny significant adjustments to the current MFTC threshold would likely increase the cost of options </w:t>
            </w:r>
            <w:r w:rsidR="000D1E5D" w:rsidRPr="00C623DE">
              <w:rPr>
                <w:rFonts w:cs="Arial"/>
                <w:szCs w:val="22"/>
                <w:lang w:eastAsia="en-AU"/>
              </w:rPr>
              <w:t>for re</w:t>
            </w:r>
            <w:r w:rsidR="000D1E5D" w:rsidRPr="002921B1">
              <w:rPr>
                <w:rFonts w:cs="Arial"/>
                <w:szCs w:val="22"/>
                <w:lang w:eastAsia="en-AU"/>
              </w:rPr>
              <w:t xml:space="preserve">form. </w:t>
            </w:r>
            <w:r w:rsidR="000D1E5D" w:rsidRPr="00F52D93">
              <w:rPr>
                <w:rFonts w:cs="Arial"/>
                <w:szCs w:val="22"/>
                <w:lang w:eastAsia="en-AU"/>
              </w:rPr>
              <w:t>Th</w:t>
            </w:r>
            <w:r w:rsidR="000D1E5D" w:rsidRPr="004B1A93">
              <w:rPr>
                <w:rFonts w:cs="Arial"/>
                <w:szCs w:val="22"/>
                <w:lang w:eastAsia="en-AU"/>
              </w:rPr>
              <w:t>is is largely due to:</w:t>
            </w:r>
          </w:p>
          <w:p w14:paraId="02B40827" w14:textId="3B460788" w:rsidR="000D1E5D" w:rsidRDefault="000D1E5D" w:rsidP="000D1E5D">
            <w:pPr>
              <w:pStyle w:val="ListParagraph"/>
              <w:numPr>
                <w:ilvl w:val="0"/>
                <w:numId w:val="18"/>
              </w:numPr>
              <w:spacing w:after="0" w:line="276" w:lineRule="auto"/>
              <w:jc w:val="both"/>
              <w:rPr>
                <w:rFonts w:cs="Arial"/>
                <w:szCs w:val="22"/>
                <w:lang w:eastAsia="en-AU"/>
              </w:rPr>
            </w:pPr>
            <w:r>
              <w:rPr>
                <w:rFonts w:cs="Arial"/>
                <w:szCs w:val="22"/>
                <w:lang w:eastAsia="en-AU"/>
              </w:rPr>
              <w:t xml:space="preserve">the significant gain that sole parents receive by moving from working and receiving a benefit to working and receiving the MFTC </w:t>
            </w:r>
            <w:r w:rsidR="009B08DF">
              <w:rPr>
                <w:rFonts w:cs="Arial"/>
                <w:szCs w:val="22"/>
                <w:lang w:eastAsia="en-AU"/>
              </w:rPr>
              <w:t xml:space="preserve">– currently </w:t>
            </w:r>
            <w:r w:rsidR="009B08DF" w:rsidRPr="00F24B69">
              <w:rPr>
                <w:rFonts w:cs="Arial"/>
                <w:szCs w:val="22"/>
                <w:lang w:eastAsia="en-AU"/>
              </w:rPr>
              <w:t>around $60 a week</w:t>
            </w:r>
            <w:r w:rsidR="009B08DF">
              <w:rPr>
                <w:rFonts w:cs="Arial"/>
                <w:szCs w:val="22"/>
                <w:lang w:eastAsia="en-AU"/>
              </w:rPr>
              <w:t xml:space="preserve"> (for no extra hours of work)</w:t>
            </w:r>
          </w:p>
          <w:p w14:paraId="7DA0C3DD" w14:textId="1BF30C1B" w:rsidR="00AE53CC" w:rsidRPr="00993603" w:rsidRDefault="009B08DF" w:rsidP="00993603">
            <w:pPr>
              <w:pStyle w:val="ListParagraph"/>
              <w:numPr>
                <w:ilvl w:val="0"/>
                <w:numId w:val="18"/>
              </w:numPr>
              <w:spacing w:after="0" w:line="276" w:lineRule="auto"/>
              <w:jc w:val="both"/>
              <w:rPr>
                <w:lang w:eastAsia="en-AU"/>
              </w:rPr>
            </w:pPr>
            <w:r>
              <w:rPr>
                <w:rFonts w:cs="Arial"/>
                <w:szCs w:val="22"/>
                <w:lang w:eastAsia="en-AU"/>
              </w:rPr>
              <w:t xml:space="preserve">the likely need to ensure that options for reform do not financially disadvantage low-income working sole parents, as this would be likely to be seen as contrary to the Government’s vision for the welfare system, particularly given its focus on improving income adequacy and reducing child poverty. </w:t>
            </w:r>
          </w:p>
          <w:p w14:paraId="4601A2CE" w14:textId="684E2417" w:rsidR="009B08DF" w:rsidRDefault="009B08DF" w:rsidP="00993603">
            <w:pPr>
              <w:spacing w:after="0" w:line="276" w:lineRule="auto"/>
              <w:jc w:val="both"/>
              <w:rPr>
                <w:rFonts w:cs="Arial"/>
                <w:szCs w:val="22"/>
                <w:lang w:eastAsia="en-AU"/>
              </w:rPr>
            </w:pPr>
          </w:p>
          <w:p w14:paraId="1B408A0A" w14:textId="74C3E4AB" w:rsidR="005831EF" w:rsidRPr="001C37B2" w:rsidRDefault="005831EF" w:rsidP="0049131B">
            <w:pPr>
              <w:shd w:val="clear" w:color="auto" w:fill="BFBFBF" w:themeFill="background1" w:themeFillShade="BF"/>
              <w:spacing w:after="0" w:line="276" w:lineRule="auto"/>
              <w:jc w:val="both"/>
              <w:rPr>
                <w:rFonts w:cs="Arial"/>
                <w:color w:val="BFBFBF" w:themeColor="background1" w:themeShade="BF"/>
                <w:szCs w:val="22"/>
                <w:lang w:eastAsia="en-AU"/>
              </w:rPr>
            </w:pPr>
            <w:r w:rsidRPr="001C37B2">
              <w:rPr>
                <w:rFonts w:cs="Arial"/>
                <w:color w:val="BFBFBF" w:themeColor="background1" w:themeShade="BF"/>
                <w:szCs w:val="22"/>
                <w:shd w:val="clear" w:color="auto" w:fill="BFBFBF" w:themeFill="background1" w:themeFillShade="BF"/>
                <w:lang w:eastAsia="en-AU"/>
              </w:rPr>
              <w:t>.</w:t>
            </w:r>
            <w:r w:rsidRPr="001C37B2">
              <w:rPr>
                <w:rFonts w:cs="Arial"/>
                <w:szCs w:val="22"/>
                <w:lang w:eastAsia="en-AU"/>
              </w:rPr>
              <w:t xml:space="preserve"> </w:t>
            </w:r>
            <w:r>
              <w:rPr>
                <w:rFonts w:cs="Arial"/>
                <w:szCs w:val="22"/>
                <w:lang w:eastAsia="en-AU"/>
              </w:rPr>
              <w:t>s 9((2)(f)(iv)</w:t>
            </w:r>
            <w:r w:rsidRPr="001C37B2">
              <w:rPr>
                <w:rFonts w:cs="Arial"/>
                <w:color w:val="BFBFBF" w:themeColor="background1" w:themeShade="BF"/>
                <w:szCs w:val="22"/>
                <w:lang w:eastAsia="en-AU"/>
              </w:rPr>
              <w:t xml:space="preserve">………………………. </w:t>
            </w:r>
            <w:r w:rsidR="00D94A8C" w:rsidRPr="001C37B2">
              <w:rPr>
                <w:rStyle w:val="FootnoteReference"/>
                <w:rFonts w:cs="Arial"/>
                <w:color w:val="BFBFBF" w:themeColor="background1" w:themeShade="BF"/>
                <w:szCs w:val="22"/>
                <w:lang w:eastAsia="en-AU"/>
              </w:rPr>
              <w:footnoteReference w:id="12"/>
            </w:r>
            <w:r w:rsidR="00F32C79" w:rsidRPr="001C37B2">
              <w:rPr>
                <w:rFonts w:cs="Arial"/>
                <w:color w:val="BFBFBF" w:themeColor="background1" w:themeShade="BF"/>
                <w:szCs w:val="22"/>
                <w:lang w:eastAsia="en-AU"/>
              </w:rPr>
              <w:t xml:space="preserve"> </w:t>
            </w:r>
            <w:r w:rsidRPr="001C37B2">
              <w:rPr>
                <w:rFonts w:cs="Arial"/>
                <w:color w:val="BFBFBF" w:themeColor="background1" w:themeShade="BF"/>
                <w:szCs w:val="22"/>
                <w:lang w:eastAsia="en-AU"/>
              </w:rPr>
              <w:t>………</w:t>
            </w:r>
            <w:r w:rsidR="0049131B" w:rsidRPr="001C37B2">
              <w:rPr>
                <w:rFonts w:cs="Arial"/>
                <w:color w:val="BFBFBF" w:themeColor="background1" w:themeShade="BF"/>
                <w:szCs w:val="22"/>
                <w:lang w:eastAsia="en-AU"/>
              </w:rPr>
              <w:t>…</w:t>
            </w:r>
            <w:r w:rsidRPr="001C37B2">
              <w:rPr>
                <w:rFonts w:cs="Arial"/>
                <w:color w:val="BFBFBF" w:themeColor="background1" w:themeShade="BF"/>
                <w:szCs w:val="22"/>
                <w:lang w:eastAsia="en-AU"/>
              </w:rPr>
              <w:t>……</w:t>
            </w:r>
            <w:r w:rsidR="0049131B" w:rsidRPr="001C37B2">
              <w:rPr>
                <w:rFonts w:cs="Arial"/>
                <w:color w:val="BFBFBF" w:themeColor="background1" w:themeShade="BF"/>
                <w:szCs w:val="22"/>
                <w:lang w:eastAsia="en-AU"/>
              </w:rPr>
              <w:t>..</w:t>
            </w:r>
            <w:r w:rsidRPr="001C37B2">
              <w:rPr>
                <w:rFonts w:cs="Arial"/>
                <w:color w:val="BFBFBF" w:themeColor="background1" w:themeShade="BF"/>
                <w:szCs w:val="22"/>
                <w:lang w:eastAsia="en-AU"/>
              </w:rPr>
              <w:t>…………………………………………</w:t>
            </w:r>
          </w:p>
          <w:p w14:paraId="0F40B3D7" w14:textId="1A286677" w:rsidR="005831EF" w:rsidRPr="001C37B2" w:rsidRDefault="005831EF" w:rsidP="0049131B">
            <w:pPr>
              <w:shd w:val="clear" w:color="auto" w:fill="BFBFBF" w:themeFill="background1" w:themeFillShade="BF"/>
              <w:spacing w:after="0" w:line="276" w:lineRule="auto"/>
              <w:jc w:val="both"/>
              <w:rPr>
                <w:rFonts w:cs="Arial"/>
                <w:color w:val="BFBFBF" w:themeColor="background1" w:themeShade="BF"/>
                <w:szCs w:val="22"/>
                <w:lang w:eastAsia="en-AU"/>
              </w:rPr>
            </w:pPr>
            <w:r w:rsidRPr="001C37B2">
              <w:rPr>
                <w:rFonts w:cs="Arial"/>
                <w:color w:val="BFBFBF" w:themeColor="background1" w:themeShade="BF"/>
                <w:szCs w:val="22"/>
                <w:lang w:eastAsia="en-AU"/>
              </w:rPr>
              <w:t>……………………………………………………</w:t>
            </w:r>
            <w:r w:rsidR="0049131B" w:rsidRPr="001C37B2">
              <w:rPr>
                <w:rFonts w:cs="Arial"/>
                <w:color w:val="BFBFBF" w:themeColor="background1" w:themeShade="BF"/>
                <w:szCs w:val="22"/>
                <w:lang w:eastAsia="en-AU"/>
              </w:rPr>
              <w:t>..</w:t>
            </w:r>
            <w:r w:rsidRPr="001C37B2">
              <w:rPr>
                <w:rFonts w:cs="Arial"/>
                <w:color w:val="BFBFBF" w:themeColor="background1" w:themeShade="BF"/>
                <w:szCs w:val="22"/>
                <w:lang w:eastAsia="en-AU"/>
              </w:rPr>
              <w:t>……</w:t>
            </w:r>
            <w:r w:rsidR="0049131B" w:rsidRPr="001C37B2">
              <w:rPr>
                <w:rFonts w:cs="Arial"/>
                <w:color w:val="BFBFBF" w:themeColor="background1" w:themeShade="BF"/>
                <w:szCs w:val="22"/>
                <w:lang w:eastAsia="en-AU"/>
              </w:rPr>
              <w:t>..</w:t>
            </w:r>
            <w:r w:rsidRPr="001C37B2">
              <w:rPr>
                <w:rFonts w:cs="Arial"/>
                <w:color w:val="BFBFBF" w:themeColor="background1" w:themeShade="BF"/>
                <w:szCs w:val="22"/>
                <w:lang w:eastAsia="en-AU"/>
              </w:rPr>
              <w:t>………………………………………...</w:t>
            </w:r>
          </w:p>
          <w:p w14:paraId="706BDED9" w14:textId="37738E11" w:rsidR="005831EF" w:rsidRPr="001C37B2" w:rsidRDefault="005831EF" w:rsidP="0049131B">
            <w:pPr>
              <w:shd w:val="clear" w:color="auto" w:fill="BFBFBF" w:themeFill="background1" w:themeFillShade="BF"/>
              <w:spacing w:after="0" w:line="276" w:lineRule="auto"/>
              <w:jc w:val="both"/>
              <w:rPr>
                <w:rFonts w:cs="Arial"/>
                <w:color w:val="BFBFBF" w:themeColor="background1" w:themeShade="BF"/>
                <w:szCs w:val="22"/>
                <w:lang w:eastAsia="en-AU"/>
              </w:rPr>
            </w:pPr>
            <w:r w:rsidRPr="001C37B2">
              <w:rPr>
                <w:rFonts w:cs="Arial"/>
                <w:color w:val="BFBFBF" w:themeColor="background1" w:themeShade="BF"/>
                <w:szCs w:val="22"/>
                <w:lang w:eastAsia="en-AU"/>
              </w:rPr>
              <w:t>………………………………………………………</w:t>
            </w:r>
            <w:r w:rsidR="0049131B" w:rsidRPr="001C37B2">
              <w:rPr>
                <w:rFonts w:cs="Arial"/>
                <w:color w:val="BFBFBF" w:themeColor="background1" w:themeShade="BF"/>
                <w:szCs w:val="22"/>
                <w:lang w:eastAsia="en-AU"/>
              </w:rPr>
              <w:t>….</w:t>
            </w:r>
            <w:r w:rsidRPr="001C37B2">
              <w:rPr>
                <w:rFonts w:cs="Arial"/>
                <w:color w:val="BFBFBF" w:themeColor="background1" w:themeShade="BF"/>
                <w:szCs w:val="22"/>
                <w:lang w:eastAsia="en-AU"/>
              </w:rPr>
              <w:t>…………………………………………..</w:t>
            </w:r>
          </w:p>
          <w:p w14:paraId="0AF3D1DA" w14:textId="54363331" w:rsidR="0049131B" w:rsidRDefault="0049131B" w:rsidP="009B08DF">
            <w:pPr>
              <w:spacing w:after="0" w:line="276" w:lineRule="auto"/>
              <w:jc w:val="both"/>
              <w:rPr>
                <w:rFonts w:cs="Arial"/>
                <w:szCs w:val="22"/>
                <w:lang w:eastAsia="en-AU"/>
              </w:rPr>
            </w:pPr>
            <w:r w:rsidRPr="001C37B2">
              <w:rPr>
                <w:rFonts w:cs="Arial"/>
                <w:color w:val="BFBFBF" w:themeColor="background1" w:themeShade="BF"/>
                <w:szCs w:val="22"/>
                <w:shd w:val="clear" w:color="auto" w:fill="BFBFBF" w:themeFill="background1" w:themeFillShade="BF"/>
                <w:lang w:eastAsia="en-AU"/>
              </w:rPr>
              <w:t>……………………………….…</w:t>
            </w:r>
            <w:r w:rsidR="005A3F36" w:rsidRPr="001C37B2">
              <w:rPr>
                <w:rFonts w:cs="Arial"/>
                <w:color w:val="BFBFBF" w:themeColor="background1" w:themeShade="BF"/>
                <w:szCs w:val="22"/>
                <w:lang w:eastAsia="en-AU"/>
              </w:rPr>
              <w:t xml:space="preserve"> </w:t>
            </w:r>
            <w:r w:rsidR="005A3F36">
              <w:rPr>
                <w:rFonts w:cs="Arial"/>
                <w:szCs w:val="22"/>
                <w:lang w:eastAsia="en-AU"/>
              </w:rPr>
              <w:t>a</w:t>
            </w:r>
            <w:r w:rsidR="00D94A8C">
              <w:rPr>
                <w:rFonts w:cs="Arial"/>
                <w:szCs w:val="22"/>
                <w:lang w:eastAsia="en-AU"/>
              </w:rPr>
              <w:t>ny significant adjustment to the MFTC threshold would increase the gain that sole parents currently receive by moving onto the MFTC</w:t>
            </w:r>
            <w:r w:rsidR="005A3F36">
              <w:rPr>
                <w:rFonts w:cs="Arial"/>
                <w:szCs w:val="22"/>
                <w:lang w:eastAsia="en-AU"/>
              </w:rPr>
              <w:t xml:space="preserve"> </w:t>
            </w:r>
            <w:r w:rsidR="00C26714" w:rsidRPr="00C26714">
              <w:rPr>
                <w:rFonts w:cs="Arial"/>
                <w:szCs w:val="22"/>
                <w:shd w:val="clear" w:color="auto" w:fill="BFBFBF" w:themeFill="background1" w:themeFillShade="BF"/>
                <w:lang w:eastAsia="en-AU"/>
              </w:rPr>
              <w:t>s 9(2)</w:t>
            </w:r>
            <w:r w:rsidR="00C26714">
              <w:rPr>
                <w:rFonts w:cs="Arial"/>
                <w:szCs w:val="22"/>
                <w:shd w:val="clear" w:color="auto" w:fill="BFBFBF" w:themeFill="background1" w:themeFillShade="BF"/>
                <w:lang w:eastAsia="en-AU"/>
              </w:rPr>
              <w:t>(f)(iv)</w:t>
            </w:r>
          </w:p>
          <w:p w14:paraId="18CB84B0" w14:textId="03DEF5B8" w:rsidR="00F32C79" w:rsidRDefault="0049131B" w:rsidP="009B08DF">
            <w:pPr>
              <w:spacing w:after="0" w:line="276" w:lineRule="auto"/>
              <w:jc w:val="both"/>
              <w:rPr>
                <w:rFonts w:cs="Arial"/>
                <w:szCs w:val="22"/>
                <w:lang w:eastAsia="en-AU"/>
              </w:rPr>
            </w:pPr>
            <w:r w:rsidRPr="001C37B2">
              <w:rPr>
                <w:rFonts w:cs="Arial"/>
                <w:color w:val="BFBFBF" w:themeColor="background1" w:themeShade="BF"/>
                <w:szCs w:val="22"/>
                <w:shd w:val="clear" w:color="auto" w:fill="BFBFBF" w:themeFill="background1" w:themeFillShade="BF"/>
                <w:lang w:eastAsia="en-AU"/>
              </w:rPr>
              <w:t>…………………………………………………………………………………..</w:t>
            </w:r>
            <w:r w:rsidR="00D94A8C" w:rsidRPr="001C37B2">
              <w:rPr>
                <w:rFonts w:cs="Arial"/>
                <w:color w:val="BFBFBF" w:themeColor="background1" w:themeShade="BF"/>
                <w:szCs w:val="22"/>
                <w:shd w:val="clear" w:color="auto" w:fill="BFBFBF" w:themeFill="background1" w:themeFillShade="BF"/>
                <w:lang w:eastAsia="en-AU"/>
              </w:rPr>
              <w:t xml:space="preserve"> </w:t>
            </w:r>
          </w:p>
          <w:p w14:paraId="4C2B272B" w14:textId="2E13F474" w:rsidR="00993603" w:rsidRDefault="00993603" w:rsidP="009B08DF">
            <w:pPr>
              <w:spacing w:after="0" w:line="276" w:lineRule="auto"/>
              <w:jc w:val="both"/>
              <w:rPr>
                <w:rFonts w:cs="Arial"/>
                <w:szCs w:val="22"/>
                <w:lang w:eastAsia="en-AU"/>
              </w:rPr>
            </w:pPr>
          </w:p>
          <w:p w14:paraId="6F674F07" w14:textId="4DA2EFA5" w:rsidR="0047751A" w:rsidRPr="009C4129" w:rsidRDefault="0047751A" w:rsidP="00F52D93">
            <w:pPr>
              <w:spacing w:after="0" w:line="276" w:lineRule="auto"/>
              <w:jc w:val="both"/>
              <w:rPr>
                <w:rFonts w:cs="Arial"/>
                <w:szCs w:val="22"/>
                <w:lang w:eastAsia="en-AU"/>
              </w:rPr>
            </w:pPr>
          </w:p>
        </w:tc>
      </w:tr>
      <w:tr w:rsidR="009C4129" w:rsidRPr="009C4129" w14:paraId="16D8C4A9" w14:textId="77777777" w:rsidTr="0049131B">
        <w:trPr>
          <w:trHeight w:val="77"/>
        </w:trPr>
        <w:tc>
          <w:tcPr>
            <w:tcW w:w="5000" w:type="pct"/>
            <w:tcBorders>
              <w:top w:val="single" w:sz="4" w:space="0" w:color="DDDDDD"/>
              <w:left w:val="single" w:sz="4" w:space="0" w:color="DDDDDD"/>
              <w:bottom w:val="single" w:sz="4" w:space="0" w:color="DDDDDD"/>
              <w:right w:val="single" w:sz="4" w:space="0" w:color="DDDDDD"/>
            </w:tcBorders>
            <w:shd w:val="clear" w:color="auto" w:fill="99CDDD"/>
          </w:tcPr>
          <w:p w14:paraId="76EDAB7D" w14:textId="6C5A5991" w:rsidR="0062657E" w:rsidRPr="009C4129" w:rsidRDefault="00554046" w:rsidP="006356D0">
            <w:pPr>
              <w:keepNext/>
              <w:spacing w:before="60" w:after="60" w:line="240" w:lineRule="auto"/>
              <w:rPr>
                <w:rFonts w:cs="Arial"/>
                <w:b/>
                <w:szCs w:val="22"/>
              </w:rPr>
            </w:pPr>
            <w:r>
              <w:rPr>
                <w:rFonts w:cs="Arial"/>
                <w:b/>
                <w:szCs w:val="22"/>
              </w:rPr>
              <w:lastRenderedPageBreak/>
              <w:t>2.4</w:t>
            </w:r>
            <w:r w:rsidR="00B87AED">
              <w:rPr>
                <w:rFonts w:cs="Arial"/>
                <w:b/>
                <w:szCs w:val="22"/>
              </w:rPr>
              <w:t xml:space="preserve">   </w:t>
            </w:r>
            <w:r w:rsidR="0062657E" w:rsidRPr="009C4129">
              <w:rPr>
                <w:rFonts w:cs="Arial"/>
                <w:b/>
                <w:szCs w:val="22"/>
              </w:rPr>
              <w:t>What do stakeholders think</w:t>
            </w:r>
            <w:r w:rsidR="00EA7ED8">
              <w:rPr>
                <w:rFonts w:cs="Arial"/>
                <w:b/>
                <w:szCs w:val="22"/>
              </w:rPr>
              <w:t xml:space="preserve"> about the problem</w:t>
            </w:r>
            <w:r w:rsidR="0062657E" w:rsidRPr="009C4129">
              <w:rPr>
                <w:rFonts w:cs="Arial"/>
                <w:b/>
                <w:szCs w:val="22"/>
              </w:rPr>
              <w:t>?</w:t>
            </w:r>
          </w:p>
        </w:tc>
      </w:tr>
      <w:tr w:rsidR="009C4129" w:rsidRPr="009C4129" w14:paraId="73892045" w14:textId="77777777" w:rsidTr="0049131B">
        <w:trPr>
          <w:trHeight w:val="5085"/>
        </w:trPr>
        <w:tc>
          <w:tcPr>
            <w:tcW w:w="5000" w:type="pct"/>
            <w:tcBorders>
              <w:top w:val="single" w:sz="4" w:space="0" w:color="DDDDDD"/>
              <w:left w:val="single" w:sz="4" w:space="0" w:color="DDDDDD"/>
              <w:bottom w:val="single" w:sz="4" w:space="0" w:color="DDDDDD"/>
              <w:right w:val="single" w:sz="4" w:space="0" w:color="DDDDDD"/>
            </w:tcBorders>
            <w:shd w:val="clear" w:color="auto" w:fill="FFFFFF"/>
          </w:tcPr>
          <w:p w14:paraId="362159F2" w14:textId="64467B1F" w:rsidR="00993603" w:rsidRDefault="00993603" w:rsidP="00431CA7">
            <w:pPr>
              <w:rPr>
                <w:b/>
                <w:bCs/>
                <w:lang w:eastAsia="en-AU"/>
              </w:rPr>
            </w:pPr>
            <w:r>
              <w:rPr>
                <w:b/>
                <w:bCs/>
                <w:lang w:eastAsia="en-AU"/>
              </w:rPr>
              <w:t>No explicit consultation on these changes beyond Government agencies has taken place</w:t>
            </w:r>
          </w:p>
          <w:p w14:paraId="7E35CA3E" w14:textId="77777777" w:rsidR="00993603" w:rsidRDefault="00993603" w:rsidP="00993603">
            <w:pPr>
              <w:spacing w:after="0" w:line="276" w:lineRule="auto"/>
              <w:jc w:val="both"/>
              <w:rPr>
                <w:rFonts w:cs="Arial"/>
                <w:szCs w:val="22"/>
                <w:lang w:eastAsia="en-AU"/>
              </w:rPr>
            </w:pPr>
            <w:r>
              <w:rPr>
                <w:rFonts w:cs="Arial"/>
                <w:szCs w:val="22"/>
                <w:lang w:eastAsia="en-AU"/>
              </w:rPr>
              <w:t xml:space="preserve">No consultation (beyond other Government agencies) has taken place as the proposed increases to the abatement thresholds is a Manifesto commitment and the Government’s consideration of the proposed changes in this RIA is Budget Sensitive. </w:t>
            </w:r>
          </w:p>
          <w:p w14:paraId="709CB0B2" w14:textId="77777777" w:rsidR="00993603" w:rsidRDefault="00993603" w:rsidP="00993603">
            <w:pPr>
              <w:spacing w:after="0" w:line="276" w:lineRule="auto"/>
              <w:jc w:val="both"/>
              <w:rPr>
                <w:lang w:eastAsia="en-AU"/>
              </w:rPr>
            </w:pPr>
          </w:p>
          <w:p w14:paraId="01AA52C4" w14:textId="37FE966D" w:rsidR="00993603" w:rsidRDefault="003C2735" w:rsidP="00993603">
            <w:pPr>
              <w:rPr>
                <w:b/>
                <w:bCs/>
                <w:lang w:eastAsia="en-AU"/>
              </w:rPr>
            </w:pPr>
            <w:r>
              <w:rPr>
                <w:lang w:eastAsia="en-AU"/>
              </w:rPr>
              <w:t xml:space="preserve">MSD, IR and the Treasury’s views on the adjustments to the MFTC thresholds are set out in Section 5.1. </w:t>
            </w:r>
          </w:p>
          <w:p w14:paraId="474CEC9B" w14:textId="67B025D1" w:rsidR="00514770" w:rsidRPr="005863A6" w:rsidRDefault="00993603" w:rsidP="00431CA7">
            <w:pPr>
              <w:rPr>
                <w:b/>
                <w:bCs/>
                <w:lang w:eastAsia="en-AU"/>
              </w:rPr>
            </w:pPr>
            <w:r>
              <w:rPr>
                <w:b/>
                <w:bCs/>
                <w:lang w:eastAsia="en-AU"/>
              </w:rPr>
              <w:t>However, t</w:t>
            </w:r>
            <w:r w:rsidR="008C2CE9">
              <w:rPr>
                <w:b/>
                <w:bCs/>
                <w:lang w:eastAsia="en-AU"/>
              </w:rPr>
              <w:t>he Welfare Expert Advisory Group</w:t>
            </w:r>
            <w:r w:rsidR="004B1C0E">
              <w:rPr>
                <w:b/>
                <w:bCs/>
                <w:lang w:eastAsia="en-AU"/>
              </w:rPr>
              <w:t xml:space="preserve"> informed our analysis </w:t>
            </w:r>
          </w:p>
          <w:p w14:paraId="438BB93F" w14:textId="569606F7" w:rsidR="00A13353" w:rsidRDefault="00A13353" w:rsidP="00A13353">
            <w:r>
              <w:t xml:space="preserve">The proposed approach </w:t>
            </w:r>
            <w:r w:rsidR="004B1C0E">
              <w:t xml:space="preserve">for abatement threshold changes </w:t>
            </w:r>
            <w:r>
              <w:t xml:space="preserve">has been informed by the findings of the </w:t>
            </w:r>
            <w:r w:rsidR="008C2CE9">
              <w:t>WEAG</w:t>
            </w:r>
            <w:r>
              <w:t>, which in turn was informed by the views of stakeholders and those who took part in the engagement process.</w:t>
            </w:r>
          </w:p>
          <w:p w14:paraId="676FB550" w14:textId="1361E4C6" w:rsidR="00A13353" w:rsidRDefault="00506D8D" w:rsidP="00431CA7">
            <w:r>
              <w:t>T</w:t>
            </w:r>
            <w:r w:rsidR="00A13353">
              <w:t>he WEAG conducted wide consultation with a variety of groups across New Zealand. This included face to face meetings with more than 1,300 individuals and organisations</w:t>
            </w:r>
            <w:r w:rsidR="004B1C0E">
              <w:t xml:space="preserve"> (such as people receiving welfare payments, employers, service providers, advocates, and community workers)</w:t>
            </w:r>
            <w:r w:rsidR="00A13353">
              <w:t xml:space="preserve">, 1,348 written submissions, and additional submissions through online engagement. </w:t>
            </w:r>
          </w:p>
          <w:p w14:paraId="309B9905" w14:textId="6BA7C2AD" w:rsidR="00D50F21" w:rsidRDefault="00506D8D" w:rsidP="0073452B">
            <w:pPr>
              <w:rPr>
                <w:lang w:eastAsia="en-AU"/>
              </w:rPr>
            </w:pPr>
            <w:r>
              <w:rPr>
                <w:lang w:eastAsia="en-AU"/>
              </w:rPr>
              <w:t xml:space="preserve">In February 2019, the WEAG published its report </w:t>
            </w:r>
            <w:proofErr w:type="spellStart"/>
            <w:r>
              <w:rPr>
                <w:i/>
                <w:iCs/>
                <w:lang w:eastAsia="en-AU"/>
              </w:rPr>
              <w:t>Whakamana</w:t>
            </w:r>
            <w:proofErr w:type="spellEnd"/>
            <w:r>
              <w:rPr>
                <w:i/>
                <w:iCs/>
                <w:lang w:eastAsia="en-AU"/>
              </w:rPr>
              <w:t xml:space="preserve"> </w:t>
            </w:r>
            <w:proofErr w:type="spellStart"/>
            <w:r>
              <w:rPr>
                <w:i/>
                <w:iCs/>
                <w:lang w:eastAsia="en-AU"/>
              </w:rPr>
              <w:t>Tāngata</w:t>
            </w:r>
            <w:proofErr w:type="spellEnd"/>
            <w:r w:rsidR="00BC1BBF">
              <w:rPr>
                <w:i/>
                <w:iCs/>
                <w:lang w:eastAsia="en-AU"/>
              </w:rPr>
              <w:t xml:space="preserve">, </w:t>
            </w:r>
            <w:r w:rsidR="00BC1BBF">
              <w:rPr>
                <w:lang w:eastAsia="en-AU"/>
              </w:rPr>
              <w:t xml:space="preserve">which noted that the income support system needs to </w:t>
            </w:r>
            <w:r w:rsidR="00993603">
              <w:rPr>
                <w:lang w:eastAsia="en-AU"/>
              </w:rPr>
              <w:t xml:space="preserve">encourage </w:t>
            </w:r>
            <w:r w:rsidR="00BC1BBF">
              <w:rPr>
                <w:lang w:eastAsia="en-AU"/>
              </w:rPr>
              <w:t xml:space="preserve">the outcomes of good and appropriate work by ensuring people are financially better off in paid work. </w:t>
            </w:r>
          </w:p>
          <w:p w14:paraId="0E0A1242" w14:textId="2CF55F71" w:rsidR="00431CA7" w:rsidRDefault="004B1C0E" w:rsidP="0073452B">
            <w:pPr>
              <w:rPr>
                <w:lang w:eastAsia="en-AU"/>
              </w:rPr>
            </w:pPr>
            <w:r>
              <w:rPr>
                <w:lang w:eastAsia="en-AU"/>
              </w:rPr>
              <w:t>One element of making work pay is ensuring that</w:t>
            </w:r>
            <w:r w:rsidR="00BC1BBF">
              <w:rPr>
                <w:lang w:eastAsia="en-AU"/>
              </w:rPr>
              <w:t xml:space="preserve"> abatement </w:t>
            </w:r>
            <w:r w:rsidR="00EC6811">
              <w:rPr>
                <w:lang w:eastAsia="en-AU"/>
              </w:rPr>
              <w:t>settings</w:t>
            </w:r>
            <w:r w:rsidR="00BC1BBF">
              <w:rPr>
                <w:lang w:eastAsia="en-AU"/>
              </w:rPr>
              <w:t xml:space="preserve"> </w:t>
            </w:r>
            <w:r>
              <w:rPr>
                <w:lang w:eastAsia="en-AU"/>
              </w:rPr>
              <w:t>are</w:t>
            </w:r>
            <w:r w:rsidR="00BC1BBF">
              <w:rPr>
                <w:lang w:eastAsia="en-AU"/>
              </w:rPr>
              <w:t xml:space="preserve"> reasonable, especially at the point when people are entering work. </w:t>
            </w:r>
            <w:r>
              <w:rPr>
                <w:lang w:eastAsia="en-AU"/>
              </w:rPr>
              <w:t>The WEAG</w:t>
            </w:r>
            <w:r w:rsidR="00BC1BBF">
              <w:rPr>
                <w:lang w:eastAsia="en-AU"/>
              </w:rPr>
              <w:t xml:space="preserve"> recommended that the abatement thresholds for main benefits be increased to $150 and $250 per week. </w:t>
            </w:r>
          </w:p>
          <w:p w14:paraId="0D78EF83" w14:textId="587DF12B" w:rsidR="009C467C" w:rsidRPr="009C4129" w:rsidRDefault="00D50F21" w:rsidP="001F616F">
            <w:pPr>
              <w:rPr>
                <w:lang w:eastAsia="en-AU"/>
              </w:rPr>
            </w:pPr>
            <w:r>
              <w:rPr>
                <w:lang w:eastAsia="en-AU"/>
              </w:rPr>
              <w:t xml:space="preserve">The WEAG also recommended substantial changes to WFF and other tax credits to improve the adequacy of incomes and returns from paid work for families with children. This included a recommendation to replace the MFTC, In-Work Tax Credit and Independent Earner Tax Credit with a new Earned Income Tax Credit. </w:t>
            </w:r>
            <w:r w:rsidR="00F87F49">
              <w:rPr>
                <w:lang w:eastAsia="en-AU"/>
              </w:rPr>
              <w:t xml:space="preserve"> </w:t>
            </w:r>
          </w:p>
        </w:tc>
      </w:tr>
      <w:tr w:rsidR="004C6060" w14:paraId="3A3076A9" w14:textId="77777777" w:rsidTr="0049131B">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rPr>
          <w:trHeight w:val="317"/>
        </w:trPr>
        <w:tc>
          <w:tcPr>
            <w:tcW w:w="5000" w:type="pct"/>
            <w:shd w:val="clear" w:color="auto" w:fill="99CDDD"/>
          </w:tcPr>
          <w:p w14:paraId="3C2D8ABE" w14:textId="2C589D5D" w:rsidR="004C6060" w:rsidRPr="00721CE1" w:rsidRDefault="00B87AED" w:rsidP="006356D0">
            <w:pPr>
              <w:keepNext/>
              <w:spacing w:after="120"/>
              <w:jc w:val="both"/>
              <w:rPr>
                <w:b/>
              </w:rPr>
            </w:pPr>
            <w:r w:rsidRPr="00721CE1">
              <w:rPr>
                <w:b/>
              </w:rPr>
              <w:t xml:space="preserve">2.5   </w:t>
            </w:r>
            <w:r w:rsidR="004C6060" w:rsidRPr="00721CE1">
              <w:rPr>
                <w:b/>
              </w:rPr>
              <w:t xml:space="preserve">What are the objectives sought in relation to the identified problem? </w:t>
            </w:r>
          </w:p>
        </w:tc>
      </w:tr>
      <w:tr w:rsidR="004C6060" w14:paraId="538A84A8" w14:textId="77777777" w:rsidTr="0049131B">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rPr>
          <w:trHeight w:val="2585"/>
        </w:trPr>
        <w:tc>
          <w:tcPr>
            <w:tcW w:w="5000" w:type="pct"/>
            <w:shd w:val="clear" w:color="auto" w:fill="auto"/>
          </w:tcPr>
          <w:p w14:paraId="26FBEAAD" w14:textId="5BD1FA5A" w:rsidR="00322D63" w:rsidRDefault="00256B82" w:rsidP="00322D63">
            <w:pPr>
              <w:jc w:val="both"/>
              <w:rPr>
                <w:rFonts w:cs="Arial"/>
              </w:rPr>
            </w:pPr>
            <w:r>
              <w:rPr>
                <w:rFonts w:cs="Arial"/>
              </w:rPr>
              <w:t xml:space="preserve">Three </w:t>
            </w:r>
            <w:r w:rsidR="008C2CE9">
              <w:rPr>
                <w:rFonts w:cs="Arial"/>
              </w:rPr>
              <w:t xml:space="preserve">primary </w:t>
            </w:r>
            <w:r>
              <w:rPr>
                <w:rFonts w:cs="Arial"/>
              </w:rPr>
              <w:t>objectives to consider are</w:t>
            </w:r>
            <w:r w:rsidR="00322D63">
              <w:rPr>
                <w:rFonts w:cs="Arial"/>
              </w:rPr>
              <w:t>:</w:t>
            </w:r>
          </w:p>
          <w:p w14:paraId="630EE912" w14:textId="57A6BE68" w:rsidR="00322D63" w:rsidRDefault="00322D63" w:rsidP="00B52920">
            <w:pPr>
              <w:pStyle w:val="ListParagraph"/>
              <w:numPr>
                <w:ilvl w:val="0"/>
                <w:numId w:val="8"/>
              </w:numPr>
              <w:jc w:val="both"/>
              <w:rPr>
                <w:rFonts w:cs="Arial"/>
              </w:rPr>
            </w:pPr>
            <w:r>
              <w:rPr>
                <w:rFonts w:cs="Arial"/>
              </w:rPr>
              <w:t>Improv</w:t>
            </w:r>
            <w:r w:rsidR="000316C5">
              <w:rPr>
                <w:rFonts w:cs="Arial"/>
              </w:rPr>
              <w:t>e</w:t>
            </w:r>
            <w:r>
              <w:rPr>
                <w:rFonts w:cs="Arial"/>
              </w:rPr>
              <w:t xml:space="preserve"> income adequacy for beneficiaries and low</w:t>
            </w:r>
            <w:r w:rsidR="00144BF6">
              <w:rPr>
                <w:rFonts w:cs="Arial"/>
              </w:rPr>
              <w:t>-</w:t>
            </w:r>
            <w:r>
              <w:rPr>
                <w:rFonts w:cs="Arial"/>
              </w:rPr>
              <w:t xml:space="preserve">income </w:t>
            </w:r>
            <w:r w:rsidR="00144BF6">
              <w:rPr>
                <w:rFonts w:cs="Arial"/>
              </w:rPr>
              <w:t>people</w:t>
            </w:r>
          </w:p>
          <w:p w14:paraId="40D595FF" w14:textId="4D1175A7" w:rsidR="00322D63" w:rsidRDefault="00322D63" w:rsidP="00B52920">
            <w:pPr>
              <w:pStyle w:val="ListParagraph"/>
              <w:numPr>
                <w:ilvl w:val="0"/>
                <w:numId w:val="8"/>
              </w:numPr>
              <w:jc w:val="both"/>
              <w:rPr>
                <w:rFonts w:cs="Arial"/>
              </w:rPr>
            </w:pPr>
            <w:r>
              <w:rPr>
                <w:rFonts w:cs="Arial"/>
              </w:rPr>
              <w:t>Improve financial incentives to work</w:t>
            </w:r>
          </w:p>
          <w:p w14:paraId="3A3AFD10" w14:textId="6CB2941C" w:rsidR="00322D63" w:rsidRPr="00322D63" w:rsidRDefault="00322D63" w:rsidP="00B52920">
            <w:pPr>
              <w:pStyle w:val="ListParagraph"/>
              <w:numPr>
                <w:ilvl w:val="0"/>
                <w:numId w:val="8"/>
              </w:numPr>
              <w:jc w:val="both"/>
              <w:rPr>
                <w:rFonts w:cs="Arial"/>
              </w:rPr>
            </w:pPr>
            <w:r>
              <w:rPr>
                <w:rFonts w:cs="Arial"/>
              </w:rPr>
              <w:t>Pay welfare support at a sustainable cost to government</w:t>
            </w:r>
          </w:p>
          <w:p w14:paraId="48CC1377" w14:textId="32E38F3F" w:rsidR="00BC7B3A" w:rsidRDefault="00322D63" w:rsidP="00322D63">
            <w:pPr>
              <w:jc w:val="both"/>
              <w:rPr>
                <w:rFonts w:cs="Arial"/>
              </w:rPr>
            </w:pPr>
            <w:r>
              <w:rPr>
                <w:rFonts w:cs="Arial"/>
              </w:rPr>
              <w:t>These objectives should be considered within the o</w:t>
            </w:r>
            <w:r w:rsidR="00BC7B3A">
              <w:rPr>
                <w:rFonts w:cs="Arial"/>
              </w:rPr>
              <w:t>verarching government commitment to overhaul the welfare system</w:t>
            </w:r>
            <w:r>
              <w:rPr>
                <w:rFonts w:cs="Arial"/>
              </w:rPr>
              <w:t xml:space="preserve">, in line with the WEAG’s recommendations. </w:t>
            </w:r>
          </w:p>
          <w:p w14:paraId="3EB7D247" w14:textId="76C56335" w:rsidR="00C63ABF" w:rsidRPr="00C83610" w:rsidRDefault="00C63ABF" w:rsidP="00322D63">
            <w:pPr>
              <w:jc w:val="both"/>
              <w:rPr>
                <w:rFonts w:cs="Arial"/>
                <w:b/>
                <w:bCs/>
              </w:rPr>
            </w:pPr>
            <w:r w:rsidRPr="00C83610">
              <w:rPr>
                <w:rFonts w:cs="Arial"/>
                <w:b/>
                <w:bCs/>
              </w:rPr>
              <w:t>I</w:t>
            </w:r>
            <w:r w:rsidR="00993603" w:rsidRPr="00C83610">
              <w:rPr>
                <w:rFonts w:cs="Arial"/>
                <w:b/>
                <w:bCs/>
              </w:rPr>
              <w:t>mproving i</w:t>
            </w:r>
            <w:r w:rsidRPr="00C83610">
              <w:rPr>
                <w:rFonts w:cs="Arial"/>
                <w:b/>
                <w:bCs/>
              </w:rPr>
              <w:t>ncome adequacy</w:t>
            </w:r>
            <w:r w:rsidR="00993603" w:rsidRPr="00C83610">
              <w:rPr>
                <w:rFonts w:cs="Arial"/>
                <w:b/>
                <w:bCs/>
              </w:rPr>
              <w:t xml:space="preserve"> for beneficiaries and low-income people</w:t>
            </w:r>
          </w:p>
          <w:p w14:paraId="4D87DBA0" w14:textId="3FA77540" w:rsidR="000347D1" w:rsidRDefault="000347D1" w:rsidP="00322D63">
            <w:pPr>
              <w:jc w:val="both"/>
              <w:rPr>
                <w:rFonts w:cs="Arial"/>
              </w:rPr>
            </w:pPr>
            <w:r>
              <w:rPr>
                <w:rFonts w:cs="Arial"/>
              </w:rPr>
              <w:t>Any c</w:t>
            </w:r>
            <w:r w:rsidR="00C63ABF">
              <w:rPr>
                <w:rFonts w:cs="Arial"/>
              </w:rPr>
              <w:t xml:space="preserve">hanges </w:t>
            </w:r>
            <w:r w:rsidR="0044107D">
              <w:rPr>
                <w:rFonts w:cs="Arial"/>
              </w:rPr>
              <w:t xml:space="preserve">proposed in this RIA </w:t>
            </w:r>
            <w:r w:rsidR="00C63ABF">
              <w:rPr>
                <w:rFonts w:cs="Arial"/>
              </w:rPr>
              <w:t xml:space="preserve">should seek to improve income adequacy for low-income </w:t>
            </w:r>
            <w:r w:rsidR="00144BF6">
              <w:rPr>
                <w:rFonts w:cs="Arial"/>
              </w:rPr>
              <w:t>people</w:t>
            </w:r>
            <w:r w:rsidR="00C63ABF">
              <w:rPr>
                <w:rFonts w:cs="Arial"/>
              </w:rPr>
              <w:t>.</w:t>
            </w:r>
            <w:r>
              <w:rPr>
                <w:rFonts w:cs="Arial"/>
              </w:rPr>
              <w:t xml:space="preserve"> While the</w:t>
            </w:r>
            <w:r w:rsidR="00C63ABF">
              <w:rPr>
                <w:rFonts w:cs="Arial"/>
              </w:rPr>
              <w:t xml:space="preserve"> recent </w:t>
            </w:r>
            <w:r>
              <w:rPr>
                <w:rFonts w:cs="Arial"/>
              </w:rPr>
              <w:t>changes to the welfare system</w:t>
            </w:r>
            <w:r w:rsidR="00C63ABF">
              <w:rPr>
                <w:rFonts w:cs="Arial"/>
              </w:rPr>
              <w:t xml:space="preserve"> </w:t>
            </w:r>
            <w:r w:rsidR="00EC6811">
              <w:rPr>
                <w:rFonts w:cs="Arial"/>
              </w:rPr>
              <w:t>(</w:t>
            </w:r>
            <w:r>
              <w:rPr>
                <w:rFonts w:cs="Arial"/>
              </w:rPr>
              <w:t>including</w:t>
            </w:r>
            <w:r w:rsidR="00C63ABF">
              <w:rPr>
                <w:rFonts w:cs="Arial"/>
              </w:rPr>
              <w:t xml:space="preserve"> the Families </w:t>
            </w:r>
            <w:r w:rsidR="00EC6811">
              <w:rPr>
                <w:rFonts w:cs="Arial"/>
              </w:rPr>
              <w:t>P</w:t>
            </w:r>
            <w:r w:rsidR="00C63ABF">
              <w:rPr>
                <w:rFonts w:cs="Arial"/>
              </w:rPr>
              <w:t xml:space="preserve">ackage, the </w:t>
            </w:r>
            <w:r>
              <w:rPr>
                <w:rFonts w:cs="Arial"/>
              </w:rPr>
              <w:t>$</w:t>
            </w:r>
            <w:r w:rsidR="00C63ABF">
              <w:rPr>
                <w:rFonts w:cs="Arial"/>
              </w:rPr>
              <w:t>25</w:t>
            </w:r>
            <w:r>
              <w:rPr>
                <w:rFonts w:cs="Arial"/>
              </w:rPr>
              <w:t xml:space="preserve"> </w:t>
            </w:r>
            <w:r w:rsidR="00144BF6">
              <w:rPr>
                <w:rFonts w:cs="Arial"/>
              </w:rPr>
              <w:t>increase to main benefits on 1 April 202</w:t>
            </w:r>
            <w:r w:rsidR="00C52DE6">
              <w:rPr>
                <w:rFonts w:cs="Arial"/>
              </w:rPr>
              <w:t>0</w:t>
            </w:r>
            <w:r w:rsidR="00144BF6">
              <w:rPr>
                <w:rFonts w:cs="Arial"/>
              </w:rPr>
              <w:t xml:space="preserve"> </w:t>
            </w:r>
            <w:r>
              <w:rPr>
                <w:rFonts w:cs="Arial"/>
              </w:rPr>
              <w:t xml:space="preserve">and </w:t>
            </w:r>
            <w:r w:rsidR="00144BF6">
              <w:rPr>
                <w:rFonts w:cs="Arial"/>
              </w:rPr>
              <w:t xml:space="preserve">the indexation of </w:t>
            </w:r>
            <w:r>
              <w:rPr>
                <w:rFonts w:cs="Arial"/>
              </w:rPr>
              <w:t>main benefits to average wage</w:t>
            </w:r>
            <w:r w:rsidR="00EC6811">
              <w:rPr>
                <w:rFonts w:cs="Arial"/>
              </w:rPr>
              <w:t>)</w:t>
            </w:r>
            <w:r>
              <w:rPr>
                <w:rFonts w:cs="Arial"/>
              </w:rPr>
              <w:t xml:space="preserve"> will help to improve living standards of low-income </w:t>
            </w:r>
            <w:r w:rsidR="00B8589B">
              <w:rPr>
                <w:rFonts w:cs="Arial"/>
              </w:rPr>
              <w:t>people</w:t>
            </w:r>
            <w:r>
              <w:rPr>
                <w:rFonts w:cs="Arial"/>
              </w:rPr>
              <w:t xml:space="preserve">, </w:t>
            </w:r>
            <w:r>
              <w:rPr>
                <w:rFonts w:cs="Arial"/>
              </w:rPr>
              <w:lastRenderedPageBreak/>
              <w:t xml:space="preserve">income adequacy issues </w:t>
            </w:r>
            <w:r w:rsidR="00B8589B">
              <w:rPr>
                <w:rFonts w:cs="Arial"/>
              </w:rPr>
              <w:t>are likely to r</w:t>
            </w:r>
            <w:r>
              <w:rPr>
                <w:rFonts w:cs="Arial"/>
              </w:rPr>
              <w:t xml:space="preserve">emain for </w:t>
            </w:r>
            <w:r w:rsidR="00993603">
              <w:rPr>
                <w:rFonts w:cs="Arial"/>
              </w:rPr>
              <w:t xml:space="preserve">many </w:t>
            </w:r>
            <w:r>
              <w:rPr>
                <w:rFonts w:cs="Arial"/>
              </w:rPr>
              <w:t>low</w:t>
            </w:r>
            <w:r w:rsidR="00B8589B">
              <w:rPr>
                <w:rFonts w:cs="Arial"/>
              </w:rPr>
              <w:t>-</w:t>
            </w:r>
            <w:r>
              <w:rPr>
                <w:rFonts w:cs="Arial"/>
              </w:rPr>
              <w:t>income people</w:t>
            </w:r>
            <w:r w:rsidR="003231F5">
              <w:rPr>
                <w:rFonts w:cs="Arial"/>
              </w:rPr>
              <w:t>.</w:t>
            </w:r>
            <w:r w:rsidR="0064321A">
              <w:rPr>
                <w:rFonts w:cs="Arial"/>
              </w:rPr>
              <w:t xml:space="preserve"> </w:t>
            </w:r>
            <w:r w:rsidR="00117542">
              <w:rPr>
                <w:rFonts w:cs="Arial"/>
              </w:rPr>
              <w:t>The changes proposed in this RIA</w:t>
            </w:r>
            <w:r w:rsidR="0064321A">
              <w:rPr>
                <w:rFonts w:cs="Arial"/>
              </w:rPr>
              <w:t xml:space="preserve"> should ensure people can receive increased incomes through undertaking paid </w:t>
            </w:r>
            <w:proofErr w:type="gramStart"/>
            <w:r w:rsidR="0064321A">
              <w:rPr>
                <w:rFonts w:cs="Arial"/>
              </w:rPr>
              <w:t>employment</w:t>
            </w:r>
            <w:r w:rsidR="00A15359">
              <w:rPr>
                <w:rFonts w:cs="Arial"/>
              </w:rPr>
              <w:t>, and</w:t>
            </w:r>
            <w:proofErr w:type="gramEnd"/>
            <w:r w:rsidR="00A15359">
              <w:rPr>
                <w:rFonts w:cs="Arial"/>
              </w:rPr>
              <w:t xml:space="preserve"> </w:t>
            </w:r>
            <w:r w:rsidR="008C2CE9">
              <w:rPr>
                <w:rFonts w:cs="Arial"/>
              </w:rPr>
              <w:t>keep more of their earnings.</w:t>
            </w:r>
            <w:r w:rsidR="00993603">
              <w:rPr>
                <w:rFonts w:cs="Arial"/>
              </w:rPr>
              <w:t xml:space="preserve"> </w:t>
            </w:r>
          </w:p>
          <w:p w14:paraId="73D83612" w14:textId="17E868F0" w:rsidR="00C63ABF" w:rsidRPr="00C83610" w:rsidRDefault="00993603" w:rsidP="00322D63">
            <w:pPr>
              <w:jc w:val="both"/>
              <w:rPr>
                <w:rFonts w:cs="Arial"/>
                <w:b/>
                <w:bCs/>
              </w:rPr>
            </w:pPr>
            <w:r w:rsidRPr="00C83610">
              <w:rPr>
                <w:rFonts w:cs="Arial"/>
                <w:b/>
                <w:bCs/>
              </w:rPr>
              <w:t>Improving f</w:t>
            </w:r>
            <w:r w:rsidR="000347D1" w:rsidRPr="00C83610">
              <w:rPr>
                <w:rFonts w:cs="Arial"/>
                <w:b/>
                <w:bCs/>
              </w:rPr>
              <w:t xml:space="preserve">inancial incentives to work </w:t>
            </w:r>
          </w:p>
          <w:p w14:paraId="3D9F780B" w14:textId="2BC40238" w:rsidR="00B8589B" w:rsidRDefault="00E47E05" w:rsidP="00322D63">
            <w:pPr>
              <w:jc w:val="both"/>
              <w:rPr>
                <w:rFonts w:cs="Arial"/>
              </w:rPr>
            </w:pPr>
            <w:r>
              <w:rPr>
                <w:rFonts w:cs="Arial"/>
              </w:rPr>
              <w:t xml:space="preserve">Improving financial incentives to work is one component of </w:t>
            </w:r>
            <w:r w:rsidR="00400956">
              <w:rPr>
                <w:rFonts w:cs="Arial"/>
              </w:rPr>
              <w:t>encouraging people who are able to</w:t>
            </w:r>
            <w:r w:rsidR="00D8528B">
              <w:rPr>
                <w:rFonts w:cs="Arial"/>
              </w:rPr>
              <w:t xml:space="preserve"> work to</w:t>
            </w:r>
            <w:r w:rsidR="00400956">
              <w:rPr>
                <w:rFonts w:cs="Arial"/>
              </w:rPr>
              <w:t xml:space="preserve"> seek employment</w:t>
            </w:r>
            <w:r w:rsidR="00B8589B">
              <w:rPr>
                <w:rFonts w:cs="Arial"/>
              </w:rPr>
              <w:t>, alongside other interventions such as active labour market policies</w:t>
            </w:r>
            <w:r w:rsidR="00400956">
              <w:rPr>
                <w:rFonts w:cs="Arial"/>
              </w:rPr>
              <w:t xml:space="preserve">. </w:t>
            </w:r>
            <w:r w:rsidR="00B8589B">
              <w:rPr>
                <w:rFonts w:cs="Arial"/>
              </w:rPr>
              <w:t>For the majority of people, paid w</w:t>
            </w:r>
            <w:r w:rsidR="003312A4">
              <w:rPr>
                <w:rFonts w:cs="Arial"/>
              </w:rPr>
              <w:t xml:space="preserve">ork </w:t>
            </w:r>
            <w:r w:rsidR="00B8589B">
              <w:rPr>
                <w:rFonts w:cs="Arial"/>
              </w:rPr>
              <w:t xml:space="preserve">is a </w:t>
            </w:r>
            <w:r w:rsidR="004F0ED4">
              <w:rPr>
                <w:rFonts w:cs="Arial"/>
              </w:rPr>
              <w:t>key</w:t>
            </w:r>
            <w:r w:rsidR="00B8589B">
              <w:rPr>
                <w:rFonts w:cs="Arial"/>
              </w:rPr>
              <w:t xml:space="preserve"> </w:t>
            </w:r>
            <w:r w:rsidR="00993603">
              <w:rPr>
                <w:rFonts w:cs="Arial"/>
              </w:rPr>
              <w:t xml:space="preserve">means </w:t>
            </w:r>
            <w:r w:rsidR="00B8589B">
              <w:rPr>
                <w:rFonts w:cs="Arial"/>
              </w:rPr>
              <w:t xml:space="preserve">of </w:t>
            </w:r>
            <w:r w:rsidR="004F0ED4">
              <w:rPr>
                <w:rFonts w:cs="Arial"/>
              </w:rPr>
              <w:t>achieving</w:t>
            </w:r>
            <w:r w:rsidR="00B8589B">
              <w:rPr>
                <w:rFonts w:cs="Arial"/>
              </w:rPr>
              <w:t xml:space="preserve"> </w:t>
            </w:r>
            <w:r w:rsidR="004F0ED4">
              <w:rPr>
                <w:rFonts w:cs="Arial"/>
              </w:rPr>
              <w:t>improved</w:t>
            </w:r>
            <w:r w:rsidR="00B8589B">
              <w:rPr>
                <w:rFonts w:cs="Arial"/>
              </w:rPr>
              <w:t xml:space="preserve"> wellbeing. </w:t>
            </w:r>
            <w:r w:rsidR="00993603">
              <w:rPr>
                <w:rFonts w:cs="Arial"/>
              </w:rPr>
              <w:t>For this reason,</w:t>
            </w:r>
            <w:r w:rsidR="004F0ED4">
              <w:rPr>
                <w:rFonts w:cs="Arial"/>
              </w:rPr>
              <w:t xml:space="preserve"> </w:t>
            </w:r>
            <w:r w:rsidR="00694ADB">
              <w:rPr>
                <w:rFonts w:cs="Arial"/>
              </w:rPr>
              <w:t>m</w:t>
            </w:r>
            <w:r w:rsidR="00B8589B">
              <w:rPr>
                <w:rFonts w:cs="Arial"/>
              </w:rPr>
              <w:t>ost income support systems</w:t>
            </w:r>
            <w:r w:rsidR="00993603">
              <w:rPr>
                <w:rFonts w:cs="Arial"/>
              </w:rPr>
              <w:t xml:space="preserve"> typically</w:t>
            </w:r>
            <w:r w:rsidR="00B8589B">
              <w:rPr>
                <w:rFonts w:cs="Arial"/>
              </w:rPr>
              <w:t xml:space="preserve"> aim to ensure that people are</w:t>
            </w:r>
            <w:r w:rsidR="003312A4">
              <w:rPr>
                <w:rFonts w:cs="Arial"/>
              </w:rPr>
              <w:t xml:space="preserve"> financially incentivised </w:t>
            </w:r>
            <w:r w:rsidR="00B8589B">
              <w:rPr>
                <w:rFonts w:cs="Arial"/>
              </w:rPr>
              <w:t>to work</w:t>
            </w:r>
            <w:r w:rsidR="00FF6349">
              <w:rPr>
                <w:rFonts w:cs="Arial"/>
              </w:rPr>
              <w:t xml:space="preserve"> where this is a possibility</w:t>
            </w:r>
            <w:r w:rsidR="00694ADB">
              <w:rPr>
                <w:rFonts w:cs="Arial"/>
              </w:rPr>
              <w:t>.</w:t>
            </w:r>
            <w:r w:rsidR="003312A4">
              <w:rPr>
                <w:rFonts w:cs="Arial"/>
              </w:rPr>
              <w:t xml:space="preserve"> </w:t>
            </w:r>
          </w:p>
          <w:p w14:paraId="6AF63776" w14:textId="19054CC2" w:rsidR="00FF6349" w:rsidRDefault="00B8589B" w:rsidP="00322D63">
            <w:pPr>
              <w:jc w:val="both"/>
            </w:pPr>
            <w:r>
              <w:rPr>
                <w:rFonts w:cs="Arial"/>
              </w:rPr>
              <w:t xml:space="preserve">However, financial incentives </w:t>
            </w:r>
            <w:r>
              <w:t xml:space="preserve">are only one of many factors that influence people’s decisions on whether to work and how much to work and they are not usually the most important factor. </w:t>
            </w:r>
            <w:r w:rsidR="00FF6349">
              <w:t xml:space="preserve">Additionally, different amounts of work may be appropriate for different people given their circumstances. </w:t>
            </w:r>
          </w:p>
          <w:p w14:paraId="3A0FF5D3" w14:textId="26345938" w:rsidR="00B8589B" w:rsidRDefault="00FF6349" w:rsidP="00322D63">
            <w:pPr>
              <w:jc w:val="both"/>
              <w:rPr>
                <w:rFonts w:cs="Arial"/>
              </w:rPr>
            </w:pPr>
            <w:r>
              <w:rPr>
                <w:rFonts w:cs="Arial"/>
              </w:rPr>
              <w:t>While t</w:t>
            </w:r>
            <w:r w:rsidR="00B8589B">
              <w:rPr>
                <w:rFonts w:cs="Arial"/>
              </w:rPr>
              <w:t xml:space="preserve">he changes proposed in this </w:t>
            </w:r>
            <w:r w:rsidR="00C52DE6">
              <w:rPr>
                <w:rFonts w:cs="Arial"/>
              </w:rPr>
              <w:t>RIA</w:t>
            </w:r>
            <w:r w:rsidR="00B8589B">
              <w:rPr>
                <w:rFonts w:cs="Arial"/>
              </w:rPr>
              <w:t xml:space="preserve"> seek to improve incentives to enter the labour market and to work part-time, the changes also slightly reduce the incentives to work full-time.</w:t>
            </w:r>
          </w:p>
          <w:p w14:paraId="182C075D" w14:textId="0DC188E7" w:rsidR="000347D1" w:rsidRPr="00C83610" w:rsidRDefault="00FF6349" w:rsidP="00322D63">
            <w:pPr>
              <w:jc w:val="both"/>
              <w:rPr>
                <w:rFonts w:cs="Arial"/>
                <w:b/>
                <w:bCs/>
              </w:rPr>
            </w:pPr>
            <w:r w:rsidRPr="00C83610">
              <w:rPr>
                <w:rFonts w:cs="Arial"/>
                <w:b/>
                <w:bCs/>
              </w:rPr>
              <w:t>Paying welfare at a cost that is su</w:t>
            </w:r>
            <w:r w:rsidR="008C2CE9" w:rsidRPr="00C83610">
              <w:rPr>
                <w:rFonts w:cs="Arial"/>
                <w:b/>
                <w:bCs/>
              </w:rPr>
              <w:t>stainable to</w:t>
            </w:r>
            <w:r w:rsidR="000347D1" w:rsidRPr="00C83610">
              <w:rPr>
                <w:rFonts w:cs="Arial"/>
                <w:b/>
                <w:bCs/>
              </w:rPr>
              <w:t xml:space="preserve"> government</w:t>
            </w:r>
          </w:p>
          <w:p w14:paraId="7F9FAF8F" w14:textId="54ADC947" w:rsidR="005A5D88" w:rsidRPr="00C83610" w:rsidRDefault="005A5D88" w:rsidP="00322D63">
            <w:pPr>
              <w:jc w:val="both"/>
              <w:rPr>
                <w:rFonts w:cs="Arial"/>
              </w:rPr>
            </w:pPr>
            <w:r w:rsidRPr="00C83610">
              <w:rPr>
                <w:rFonts w:cs="Arial"/>
              </w:rPr>
              <w:t xml:space="preserve">The Government </w:t>
            </w:r>
            <w:r w:rsidR="00E00C30" w:rsidRPr="00C83610">
              <w:rPr>
                <w:rFonts w:cs="Arial"/>
              </w:rPr>
              <w:t xml:space="preserve">is required to act and pursue its policy objectives in accordance with the principles of responsible fiscal management as set out in the Public Finance Act 1989, such as managing fiscal risks facing the government, having regard for the impact on present and future generations, and ensuring the Crown’s resources are managed effectively and efficiently. </w:t>
            </w:r>
          </w:p>
          <w:p w14:paraId="3B318CCA" w14:textId="31068452" w:rsidR="005A5D88" w:rsidRPr="00C83610" w:rsidRDefault="00E00C30" w:rsidP="00322D63">
            <w:pPr>
              <w:jc w:val="both"/>
              <w:rPr>
                <w:rFonts w:cs="Arial"/>
              </w:rPr>
            </w:pPr>
            <w:r w:rsidRPr="00C83610">
              <w:rPr>
                <w:rFonts w:cs="Arial"/>
              </w:rPr>
              <w:t>Any changes proposed in this RIA must be at a sustainable cost to government, particularly given the current tight fiscal environment following the range of initiatives implemented by the Government in response to COVID-19.</w:t>
            </w:r>
          </w:p>
          <w:p w14:paraId="3FBFD263" w14:textId="7BDA2D8E" w:rsidR="000347D1" w:rsidRPr="00C83610" w:rsidRDefault="00FF6349" w:rsidP="00322D63">
            <w:pPr>
              <w:jc w:val="both"/>
              <w:rPr>
                <w:rFonts w:cs="Arial"/>
                <w:b/>
                <w:bCs/>
              </w:rPr>
            </w:pPr>
            <w:r w:rsidRPr="00C83610">
              <w:rPr>
                <w:rFonts w:cs="Arial"/>
                <w:b/>
                <w:bCs/>
              </w:rPr>
              <w:t>There are significant trade-offs between these three objectives</w:t>
            </w:r>
          </w:p>
          <w:p w14:paraId="618201C3" w14:textId="4A71D8FA" w:rsidR="00A76FE7" w:rsidRPr="00D8528B" w:rsidRDefault="00A76FE7" w:rsidP="00322D63">
            <w:pPr>
              <w:jc w:val="both"/>
              <w:rPr>
                <w:rFonts w:cs="Arial"/>
                <w:lang w:val="en-NZ"/>
              </w:rPr>
            </w:pPr>
            <w:r>
              <w:rPr>
                <w:rFonts w:cs="Arial"/>
              </w:rPr>
              <w:t xml:space="preserve">There are </w:t>
            </w:r>
            <w:r w:rsidR="000316C5">
              <w:rPr>
                <w:rFonts w:cs="Arial"/>
              </w:rPr>
              <w:t xml:space="preserve">significant </w:t>
            </w:r>
            <w:r>
              <w:rPr>
                <w:rFonts w:cs="Arial"/>
              </w:rPr>
              <w:t xml:space="preserve">trade-offs between these three objectives. </w:t>
            </w:r>
            <w:r w:rsidR="00510FB9">
              <w:rPr>
                <w:rFonts w:cs="Arial"/>
              </w:rPr>
              <w:t xml:space="preserve">It is generally possible to achieve two of the three objectives for any given policy change, but not all three. </w:t>
            </w:r>
            <w:r w:rsidR="003F4510">
              <w:rPr>
                <w:rFonts w:cs="Arial"/>
              </w:rPr>
              <w:t>These three objectives are all important, and any policy will need to balance the trade</w:t>
            </w:r>
            <w:r w:rsidR="008C2CE9">
              <w:rPr>
                <w:rFonts w:cs="Arial"/>
              </w:rPr>
              <w:t>-</w:t>
            </w:r>
            <w:r w:rsidR="003F4510">
              <w:rPr>
                <w:rFonts w:cs="Arial"/>
              </w:rPr>
              <w:t>offs between these objectives.</w:t>
            </w:r>
          </w:p>
        </w:tc>
      </w:tr>
    </w:tbl>
    <w:p w14:paraId="041013AD" w14:textId="77777777" w:rsidR="004C6060" w:rsidRPr="004C6060" w:rsidRDefault="004C6060" w:rsidP="00C45EDF"/>
    <w:p w14:paraId="77CF83E0" w14:textId="08A6E2B9" w:rsidR="0062657E" w:rsidRPr="00537EFE" w:rsidRDefault="00F05AD9" w:rsidP="00AF2098">
      <w:pPr>
        <w:pStyle w:val="Heading2"/>
      </w:pPr>
      <w:r>
        <w:rPr>
          <w:rFonts w:cs="Arial"/>
        </w:rPr>
        <w:lastRenderedPageBreak/>
        <w:t>Section 3</w:t>
      </w:r>
      <w:r w:rsidRPr="0005691A">
        <w:rPr>
          <w:rFonts w:cs="Arial"/>
        </w:rPr>
        <w:t xml:space="preserve">: </w:t>
      </w:r>
      <w:r>
        <w:rPr>
          <w:rFonts w:cs="Arial"/>
        </w:rPr>
        <w:t>Option identification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2"/>
      </w:tblGrid>
      <w:tr w:rsidR="009C4129" w:rsidRPr="009C4129" w14:paraId="63F40D12" w14:textId="77777777" w:rsidTr="00346B30">
        <w:trPr>
          <w:trHeight w:val="77"/>
        </w:trPr>
        <w:tc>
          <w:tcPr>
            <w:tcW w:w="5000" w:type="pct"/>
            <w:shd w:val="clear" w:color="auto" w:fill="99CDDD"/>
            <w:hideMark/>
          </w:tcPr>
          <w:p w14:paraId="6F0312C5" w14:textId="21FE2159" w:rsidR="0062657E" w:rsidRPr="009C4129" w:rsidRDefault="00F05AD9" w:rsidP="006356D0">
            <w:pPr>
              <w:keepNext/>
              <w:spacing w:before="60" w:after="60" w:line="240" w:lineRule="auto"/>
              <w:rPr>
                <w:rFonts w:cs="Arial"/>
                <w:b/>
                <w:szCs w:val="22"/>
                <w:lang w:eastAsia="en-AU"/>
              </w:rPr>
            </w:pPr>
            <w:r>
              <w:rPr>
                <w:rFonts w:cs="Arial"/>
                <w:b/>
                <w:szCs w:val="22"/>
                <w:lang w:eastAsia="en-AU"/>
              </w:rPr>
              <w:t xml:space="preserve">3.1   </w:t>
            </w:r>
            <w:r w:rsidR="0062657E" w:rsidRPr="009C4129">
              <w:rPr>
                <w:rFonts w:cs="Arial"/>
                <w:b/>
                <w:szCs w:val="22"/>
                <w:lang w:eastAsia="en-AU"/>
              </w:rPr>
              <w:t>What options are available to address the problem?</w:t>
            </w:r>
          </w:p>
        </w:tc>
      </w:tr>
      <w:tr w:rsidR="009C4129" w:rsidRPr="009C4129" w14:paraId="5152248D" w14:textId="77777777" w:rsidTr="00222459">
        <w:trPr>
          <w:trHeight w:val="2726"/>
        </w:trPr>
        <w:tc>
          <w:tcPr>
            <w:tcW w:w="5000" w:type="pct"/>
            <w:shd w:val="clear" w:color="auto" w:fill="FFFFFF"/>
          </w:tcPr>
          <w:p w14:paraId="1BBD8B25" w14:textId="7C12A761" w:rsidR="004158C4" w:rsidRPr="002911BE" w:rsidRDefault="00FF6349" w:rsidP="002911BE">
            <w:pPr>
              <w:jc w:val="both"/>
              <w:rPr>
                <w:rFonts w:cs="Arial"/>
                <w:b/>
                <w:bCs/>
                <w:i/>
                <w:iCs/>
              </w:rPr>
            </w:pPr>
            <w:r>
              <w:rPr>
                <w:rFonts w:cs="Arial"/>
                <w:b/>
                <w:bCs/>
                <w:i/>
                <w:iCs/>
              </w:rPr>
              <w:t>There are two options for a</w:t>
            </w:r>
            <w:r w:rsidR="004158C4" w:rsidRPr="004158C4">
              <w:rPr>
                <w:rFonts w:cs="Arial"/>
                <w:b/>
                <w:bCs/>
                <w:i/>
                <w:iCs/>
              </w:rPr>
              <w:t>batement threshold increases</w:t>
            </w:r>
          </w:p>
          <w:p w14:paraId="12ECA5C0" w14:textId="3BB6C1D9" w:rsidR="004158C4" w:rsidRDefault="004158C4" w:rsidP="00F46B23">
            <w:pPr>
              <w:spacing w:after="120" w:line="276" w:lineRule="auto"/>
              <w:jc w:val="both"/>
              <w:rPr>
                <w:rFonts w:cs="Arial"/>
                <w:szCs w:val="22"/>
                <w:u w:val="single"/>
                <w:lang w:eastAsia="en-AU"/>
              </w:rPr>
            </w:pPr>
            <w:r>
              <w:rPr>
                <w:rFonts w:cs="Arial"/>
                <w:szCs w:val="22"/>
                <w:u w:val="single"/>
                <w:lang w:eastAsia="en-AU"/>
              </w:rPr>
              <w:t xml:space="preserve">Option </w:t>
            </w:r>
            <w:r w:rsidR="002911BE">
              <w:rPr>
                <w:rFonts w:cs="Arial"/>
                <w:szCs w:val="22"/>
                <w:u w:val="single"/>
                <w:lang w:eastAsia="en-AU"/>
              </w:rPr>
              <w:t>One</w:t>
            </w:r>
            <w:r>
              <w:rPr>
                <w:rFonts w:cs="Arial"/>
                <w:szCs w:val="22"/>
                <w:u w:val="single"/>
                <w:lang w:eastAsia="en-AU"/>
              </w:rPr>
              <w:t xml:space="preserve"> – Increase the abatement thresholds to $160 and $250 per week on 1 April 2021</w:t>
            </w:r>
          </w:p>
          <w:p w14:paraId="06C626FF" w14:textId="76009F5B" w:rsidR="004158C4" w:rsidRDefault="004158C4" w:rsidP="004158C4">
            <w:pPr>
              <w:rPr>
                <w:lang w:eastAsia="en-AU"/>
              </w:rPr>
            </w:pPr>
            <w:r>
              <w:rPr>
                <w:lang w:eastAsia="en-AU"/>
              </w:rPr>
              <w:t>Th</w:t>
            </w:r>
            <w:r w:rsidR="000218AD">
              <w:rPr>
                <w:lang w:eastAsia="en-AU"/>
              </w:rPr>
              <w:t>is</w:t>
            </w:r>
            <w:r>
              <w:rPr>
                <w:lang w:eastAsia="en-AU"/>
              </w:rPr>
              <w:t xml:space="preserve"> option proposes to increase abatement thresholds to $160 and $250 per week from 1 April 2020, as specified in the Labour Party Manifesto 2020. The proposed increases are set out below:</w:t>
            </w:r>
          </w:p>
          <w:tbl>
            <w:tblPr>
              <w:tblStyle w:val="TableGrid"/>
              <w:tblW w:w="0" w:type="auto"/>
              <w:jc w:val="center"/>
              <w:tblLook w:val="04A0" w:firstRow="1" w:lastRow="0" w:firstColumn="1" w:lastColumn="0" w:noHBand="0" w:noVBand="1"/>
            </w:tblPr>
            <w:tblGrid>
              <w:gridCol w:w="4902"/>
              <w:gridCol w:w="3211"/>
            </w:tblGrid>
            <w:tr w:rsidR="000218AD" w:rsidRPr="0070201A" w14:paraId="36B21505" w14:textId="77777777" w:rsidTr="00C364EB">
              <w:trPr>
                <w:jc w:val="center"/>
              </w:trPr>
              <w:tc>
                <w:tcPr>
                  <w:tcW w:w="4902" w:type="dxa"/>
                  <w:shd w:val="clear" w:color="auto" w:fill="E2EFD9" w:themeFill="accent6" w:themeFillTint="33"/>
                </w:tcPr>
                <w:p w14:paraId="20DC57DF" w14:textId="77777777" w:rsidR="000218AD" w:rsidRPr="0070201A" w:rsidRDefault="000218AD" w:rsidP="000218AD">
                  <w:pPr>
                    <w:spacing w:after="0" w:line="276" w:lineRule="auto"/>
                    <w:rPr>
                      <w:rFonts w:cs="Arial"/>
                      <w:sz w:val="20"/>
                      <w:lang w:eastAsia="en-AU"/>
                    </w:rPr>
                  </w:pPr>
                  <w:r w:rsidRPr="0070201A">
                    <w:rPr>
                      <w:rFonts w:cs="Arial"/>
                      <w:sz w:val="20"/>
                      <w:lang w:eastAsia="en-AU"/>
                    </w:rPr>
                    <w:t>Abatement threshold for:</w:t>
                  </w:r>
                </w:p>
              </w:tc>
              <w:tc>
                <w:tcPr>
                  <w:tcW w:w="3211" w:type="dxa"/>
                  <w:shd w:val="clear" w:color="auto" w:fill="E2EFD9" w:themeFill="accent6" w:themeFillTint="33"/>
                  <w:vAlign w:val="center"/>
                </w:tcPr>
                <w:p w14:paraId="4023C10E" w14:textId="77777777" w:rsidR="000218AD" w:rsidRPr="0070201A" w:rsidRDefault="000218AD" w:rsidP="000218AD">
                  <w:pPr>
                    <w:spacing w:after="0" w:line="276" w:lineRule="auto"/>
                    <w:jc w:val="center"/>
                    <w:rPr>
                      <w:rFonts w:cs="Arial"/>
                      <w:sz w:val="20"/>
                      <w:lang w:eastAsia="en-AU"/>
                    </w:rPr>
                  </w:pPr>
                  <w:r w:rsidRPr="0070201A">
                    <w:rPr>
                      <w:rFonts w:cs="Arial"/>
                      <w:sz w:val="20"/>
                      <w:lang w:eastAsia="en-AU"/>
                    </w:rPr>
                    <w:t>1 April 2021</w:t>
                  </w:r>
                </w:p>
              </w:tc>
            </w:tr>
            <w:tr w:rsidR="000218AD" w:rsidRPr="0070201A" w14:paraId="20B50105" w14:textId="77777777" w:rsidTr="00C364EB">
              <w:trPr>
                <w:jc w:val="center"/>
              </w:trPr>
              <w:tc>
                <w:tcPr>
                  <w:tcW w:w="4902" w:type="dxa"/>
                </w:tcPr>
                <w:p w14:paraId="68DD3FF9" w14:textId="77777777" w:rsidR="000218AD" w:rsidRPr="0070201A" w:rsidRDefault="000218AD" w:rsidP="000218AD">
                  <w:pPr>
                    <w:spacing w:after="0" w:line="276" w:lineRule="auto"/>
                    <w:rPr>
                      <w:rFonts w:cs="Arial"/>
                      <w:sz w:val="20"/>
                      <w:lang w:eastAsia="en-AU"/>
                    </w:rPr>
                  </w:pPr>
                  <w:r w:rsidRPr="0070201A">
                    <w:rPr>
                      <w:rFonts w:cs="Arial"/>
                      <w:sz w:val="20"/>
                      <w:lang w:eastAsia="en-AU"/>
                    </w:rPr>
                    <w:t>Jobseeker Support</w:t>
                  </w:r>
                </w:p>
              </w:tc>
              <w:tc>
                <w:tcPr>
                  <w:tcW w:w="3211" w:type="dxa"/>
                  <w:vAlign w:val="center"/>
                </w:tcPr>
                <w:p w14:paraId="0AEC2786" w14:textId="3B035262" w:rsidR="000218AD" w:rsidRPr="0070201A" w:rsidRDefault="000218AD" w:rsidP="000218AD">
                  <w:pPr>
                    <w:spacing w:after="0" w:line="276" w:lineRule="auto"/>
                    <w:jc w:val="center"/>
                    <w:rPr>
                      <w:rFonts w:cs="Arial"/>
                      <w:sz w:val="20"/>
                      <w:lang w:eastAsia="en-AU"/>
                    </w:rPr>
                  </w:pPr>
                  <w:r w:rsidRPr="000218AD">
                    <w:rPr>
                      <w:rFonts w:cs="Arial"/>
                      <w:sz w:val="20"/>
                      <w:lang w:eastAsia="en-AU"/>
                    </w:rPr>
                    <w:t>$160</w:t>
                  </w:r>
                </w:p>
              </w:tc>
            </w:tr>
            <w:tr w:rsidR="000218AD" w:rsidRPr="0070201A" w14:paraId="03CB30E6" w14:textId="77777777" w:rsidTr="00C364EB">
              <w:trPr>
                <w:jc w:val="center"/>
              </w:trPr>
              <w:tc>
                <w:tcPr>
                  <w:tcW w:w="4902" w:type="dxa"/>
                </w:tcPr>
                <w:p w14:paraId="5AF4DF47" w14:textId="495C7B25" w:rsidR="000218AD" w:rsidRPr="0070201A" w:rsidRDefault="000218AD" w:rsidP="000218AD">
                  <w:pPr>
                    <w:spacing w:after="0" w:line="276" w:lineRule="auto"/>
                    <w:rPr>
                      <w:rFonts w:cs="Arial"/>
                      <w:sz w:val="20"/>
                      <w:lang w:eastAsia="en-AU"/>
                    </w:rPr>
                  </w:pPr>
                  <w:r w:rsidRPr="0070201A">
                    <w:rPr>
                      <w:rFonts w:cs="Arial"/>
                      <w:sz w:val="20"/>
                      <w:lang w:eastAsia="en-AU"/>
                    </w:rPr>
                    <w:t>NZS/VP</w:t>
                  </w:r>
                  <w:r w:rsidR="002911BE">
                    <w:rPr>
                      <w:rFonts w:cs="Arial"/>
                      <w:sz w:val="20"/>
                      <w:lang w:eastAsia="en-AU"/>
                    </w:rPr>
                    <w:t xml:space="preserve"> with</w:t>
                  </w:r>
                  <w:r w:rsidRPr="0070201A">
                    <w:rPr>
                      <w:rFonts w:cs="Arial"/>
                      <w:sz w:val="20"/>
                      <w:lang w:eastAsia="en-AU"/>
                    </w:rPr>
                    <w:t xml:space="preserve"> non-qualifying partner</w:t>
                  </w:r>
                </w:p>
              </w:tc>
              <w:tc>
                <w:tcPr>
                  <w:tcW w:w="3211" w:type="dxa"/>
                  <w:vAlign w:val="center"/>
                </w:tcPr>
                <w:p w14:paraId="7F26850D" w14:textId="01A28757" w:rsidR="000218AD" w:rsidRPr="0070201A" w:rsidRDefault="000218AD" w:rsidP="000218AD">
                  <w:pPr>
                    <w:spacing w:after="0" w:line="276" w:lineRule="auto"/>
                    <w:jc w:val="center"/>
                    <w:rPr>
                      <w:rFonts w:cs="Arial"/>
                      <w:sz w:val="20"/>
                      <w:lang w:eastAsia="en-AU"/>
                    </w:rPr>
                  </w:pPr>
                  <w:r w:rsidRPr="000218AD">
                    <w:rPr>
                      <w:rFonts w:cs="Arial"/>
                      <w:sz w:val="20"/>
                      <w:lang w:eastAsia="en-AU"/>
                    </w:rPr>
                    <w:t>$160</w:t>
                  </w:r>
                </w:p>
              </w:tc>
            </w:tr>
            <w:tr w:rsidR="000218AD" w:rsidRPr="0070201A" w14:paraId="771C8D9D" w14:textId="77777777" w:rsidTr="00C364EB">
              <w:trPr>
                <w:trHeight w:val="70"/>
                <w:jc w:val="center"/>
              </w:trPr>
              <w:tc>
                <w:tcPr>
                  <w:tcW w:w="4902" w:type="dxa"/>
                </w:tcPr>
                <w:p w14:paraId="251F8DB2" w14:textId="77777777" w:rsidR="000218AD" w:rsidRPr="0070201A" w:rsidRDefault="000218AD" w:rsidP="000218AD">
                  <w:pPr>
                    <w:spacing w:after="0" w:line="276" w:lineRule="auto"/>
                    <w:rPr>
                      <w:rFonts w:cs="Arial"/>
                      <w:sz w:val="20"/>
                      <w:lang w:eastAsia="en-AU"/>
                    </w:rPr>
                  </w:pPr>
                  <w:r w:rsidRPr="0070201A">
                    <w:rPr>
                      <w:rFonts w:cs="Arial"/>
                      <w:sz w:val="20"/>
                      <w:lang w:eastAsia="en-AU"/>
                    </w:rPr>
                    <w:t>SPS and SLP – Threshold One</w:t>
                  </w:r>
                </w:p>
              </w:tc>
              <w:tc>
                <w:tcPr>
                  <w:tcW w:w="3211" w:type="dxa"/>
                  <w:vAlign w:val="center"/>
                </w:tcPr>
                <w:p w14:paraId="468BAA99" w14:textId="42D3156B" w:rsidR="000218AD" w:rsidRPr="0070201A" w:rsidRDefault="000218AD" w:rsidP="000218AD">
                  <w:pPr>
                    <w:spacing w:after="0" w:line="276" w:lineRule="auto"/>
                    <w:jc w:val="center"/>
                    <w:rPr>
                      <w:rFonts w:cs="Arial"/>
                      <w:sz w:val="20"/>
                      <w:lang w:eastAsia="en-AU"/>
                    </w:rPr>
                  </w:pPr>
                  <w:r w:rsidRPr="000218AD">
                    <w:rPr>
                      <w:rFonts w:cs="Arial"/>
                      <w:sz w:val="20"/>
                      <w:lang w:eastAsia="en-AU"/>
                    </w:rPr>
                    <w:t>$160</w:t>
                  </w:r>
                </w:p>
              </w:tc>
            </w:tr>
            <w:tr w:rsidR="000218AD" w:rsidRPr="0070201A" w14:paraId="01D395CF" w14:textId="77777777" w:rsidTr="00C364EB">
              <w:trPr>
                <w:jc w:val="center"/>
              </w:trPr>
              <w:tc>
                <w:tcPr>
                  <w:tcW w:w="4902" w:type="dxa"/>
                </w:tcPr>
                <w:p w14:paraId="1D71BEAB" w14:textId="77777777" w:rsidR="000218AD" w:rsidRPr="0070201A" w:rsidRDefault="000218AD" w:rsidP="000218AD">
                  <w:pPr>
                    <w:spacing w:after="0" w:line="276" w:lineRule="auto"/>
                    <w:rPr>
                      <w:rFonts w:cs="Arial"/>
                      <w:sz w:val="20"/>
                      <w:lang w:eastAsia="en-AU"/>
                    </w:rPr>
                  </w:pPr>
                  <w:r w:rsidRPr="0070201A">
                    <w:rPr>
                      <w:rFonts w:cs="Arial"/>
                      <w:sz w:val="20"/>
                      <w:lang w:eastAsia="en-AU"/>
                    </w:rPr>
                    <w:t>SPS and SLP – Threshold Two</w:t>
                  </w:r>
                </w:p>
              </w:tc>
              <w:tc>
                <w:tcPr>
                  <w:tcW w:w="3211" w:type="dxa"/>
                  <w:vAlign w:val="center"/>
                </w:tcPr>
                <w:p w14:paraId="2FAC58B3" w14:textId="3574C58D" w:rsidR="000218AD" w:rsidRPr="0070201A" w:rsidRDefault="000218AD" w:rsidP="000218AD">
                  <w:pPr>
                    <w:spacing w:after="0" w:line="276" w:lineRule="auto"/>
                    <w:jc w:val="center"/>
                    <w:rPr>
                      <w:rFonts w:cs="Arial"/>
                      <w:sz w:val="20"/>
                      <w:lang w:eastAsia="en-AU"/>
                    </w:rPr>
                  </w:pPr>
                  <w:r w:rsidRPr="000218AD">
                    <w:rPr>
                      <w:rFonts w:cs="Arial"/>
                      <w:sz w:val="20"/>
                      <w:lang w:eastAsia="en-AU"/>
                    </w:rPr>
                    <w:t>$250</w:t>
                  </w:r>
                </w:p>
              </w:tc>
            </w:tr>
          </w:tbl>
          <w:p w14:paraId="3EB56356" w14:textId="77777777" w:rsidR="001F616F" w:rsidRDefault="001F616F" w:rsidP="001F616F">
            <w:pPr>
              <w:spacing w:after="0"/>
              <w:rPr>
                <w:lang w:eastAsia="en-AU"/>
              </w:rPr>
            </w:pPr>
          </w:p>
          <w:p w14:paraId="2A27F48B" w14:textId="2E48ECE9" w:rsidR="002911BE" w:rsidRDefault="002911BE" w:rsidP="004158C4">
            <w:pPr>
              <w:rPr>
                <w:lang w:eastAsia="en-AU"/>
              </w:rPr>
            </w:pPr>
            <w:r>
              <w:rPr>
                <w:lang w:eastAsia="en-AU"/>
              </w:rPr>
              <w:t>Under this option, beneficiaries will be able to work up to eight hours on minimum wage (based on minimum wage increasing to $20 per hour on 1 April 2021) before their benefit begins to abate. For recipients of SPS, SLP and VP (under 65), they can work up to 12.5 hours before their benefit begins to abate at the higher rate</w:t>
            </w:r>
            <w:r w:rsidR="00FF6349">
              <w:rPr>
                <w:lang w:eastAsia="en-AU"/>
              </w:rPr>
              <w:t xml:space="preserve"> (Threshold Two)</w:t>
            </w:r>
            <w:r>
              <w:rPr>
                <w:lang w:eastAsia="en-AU"/>
              </w:rPr>
              <w:t xml:space="preserve">. </w:t>
            </w:r>
          </w:p>
          <w:p w14:paraId="3B3F3703" w14:textId="13EE298A" w:rsidR="00C364EB" w:rsidRDefault="00C364EB" w:rsidP="004158C4">
            <w:pPr>
              <w:rPr>
                <w:lang w:eastAsia="en-AU"/>
              </w:rPr>
            </w:pPr>
            <w:r>
              <w:rPr>
                <w:lang w:eastAsia="en-AU"/>
              </w:rPr>
              <w:t xml:space="preserve">This would have a fiscal cost to </w:t>
            </w:r>
            <w:r w:rsidRPr="00334D92">
              <w:rPr>
                <w:lang w:eastAsia="en-AU"/>
              </w:rPr>
              <w:t>the Government of $</w:t>
            </w:r>
            <w:r w:rsidRPr="00334D92">
              <w:rPr>
                <w:rFonts w:ascii="Arial Mäori" w:hAnsi="Arial Mäori"/>
                <w:szCs w:val="18"/>
              </w:rPr>
              <w:t xml:space="preserve">387.496 million </w:t>
            </w:r>
            <w:r w:rsidRPr="00334D92">
              <w:t>in income support payments and $6.4 million in operatin</w:t>
            </w:r>
            <w:r>
              <w:t>g costs over the forecast period.</w:t>
            </w:r>
          </w:p>
          <w:p w14:paraId="7BED1181" w14:textId="17325B2D" w:rsidR="002911BE" w:rsidRPr="004158C4" w:rsidRDefault="002911BE" w:rsidP="002911BE">
            <w:pPr>
              <w:jc w:val="both"/>
              <w:rPr>
                <w:rFonts w:cs="Arial"/>
                <w:u w:val="single"/>
              </w:rPr>
            </w:pPr>
            <w:r w:rsidRPr="004158C4">
              <w:rPr>
                <w:rFonts w:cs="Arial"/>
                <w:u w:val="single"/>
              </w:rPr>
              <w:t xml:space="preserve">Option </w:t>
            </w:r>
            <w:r>
              <w:rPr>
                <w:rFonts w:cs="Arial"/>
                <w:u w:val="single"/>
              </w:rPr>
              <w:t>Two</w:t>
            </w:r>
            <w:r w:rsidRPr="004158C4">
              <w:rPr>
                <w:rFonts w:cs="Arial"/>
                <w:u w:val="single"/>
              </w:rPr>
              <w:t xml:space="preserve"> – Status quo</w:t>
            </w:r>
          </w:p>
          <w:p w14:paraId="50C5849D" w14:textId="080A916A" w:rsidR="002911BE" w:rsidRDefault="002911BE" w:rsidP="002911BE">
            <w:pPr>
              <w:spacing w:after="0" w:line="276" w:lineRule="auto"/>
              <w:jc w:val="both"/>
              <w:rPr>
                <w:rFonts w:cs="Arial"/>
                <w:szCs w:val="22"/>
                <w:lang w:eastAsia="en-AU"/>
              </w:rPr>
            </w:pPr>
            <w:r>
              <w:rPr>
                <w:rFonts w:cs="Arial"/>
                <w:szCs w:val="22"/>
                <w:lang w:eastAsia="en-AU"/>
              </w:rPr>
              <w:t xml:space="preserve">This option proposes not to increase abatement thresholds on 1 April 2021, other than the adjustments that have been set to occur for 2021, 2022 and 2023 through funding secured through Budget 2019. This means for the next three </w:t>
            </w:r>
            <w:proofErr w:type="gramStart"/>
            <w:r>
              <w:rPr>
                <w:rFonts w:cs="Arial"/>
                <w:szCs w:val="22"/>
                <w:lang w:eastAsia="en-AU"/>
              </w:rPr>
              <w:t>years,</w:t>
            </w:r>
            <w:proofErr w:type="gramEnd"/>
            <w:r>
              <w:rPr>
                <w:rFonts w:cs="Arial"/>
                <w:szCs w:val="22"/>
                <w:lang w:eastAsia="en-AU"/>
              </w:rPr>
              <w:t xml:space="preserve"> the abatement thresholds would be adjusted as follows:</w:t>
            </w:r>
          </w:p>
          <w:p w14:paraId="447D5387" w14:textId="77777777" w:rsidR="002911BE" w:rsidRDefault="002911BE" w:rsidP="002911BE">
            <w:pPr>
              <w:spacing w:after="0" w:line="276" w:lineRule="auto"/>
              <w:jc w:val="both"/>
              <w:rPr>
                <w:rFonts w:cs="Arial"/>
                <w:szCs w:val="22"/>
                <w:lang w:eastAsia="en-AU"/>
              </w:rPr>
            </w:pPr>
          </w:p>
          <w:tbl>
            <w:tblPr>
              <w:tblStyle w:val="TableGrid"/>
              <w:tblW w:w="0" w:type="auto"/>
              <w:jc w:val="center"/>
              <w:tblLook w:val="04A0" w:firstRow="1" w:lastRow="0" w:firstColumn="1" w:lastColumn="0" w:noHBand="0" w:noVBand="1"/>
            </w:tblPr>
            <w:tblGrid>
              <w:gridCol w:w="4602"/>
              <w:gridCol w:w="1132"/>
              <w:gridCol w:w="1133"/>
              <w:gridCol w:w="1133"/>
            </w:tblGrid>
            <w:tr w:rsidR="002911BE" w14:paraId="48C75410" w14:textId="77777777" w:rsidTr="001525DD">
              <w:trPr>
                <w:jc w:val="center"/>
              </w:trPr>
              <w:tc>
                <w:tcPr>
                  <w:tcW w:w="4602" w:type="dxa"/>
                  <w:shd w:val="clear" w:color="auto" w:fill="E2EFD9" w:themeFill="accent6" w:themeFillTint="33"/>
                </w:tcPr>
                <w:p w14:paraId="16FA2961" w14:textId="77777777" w:rsidR="002911BE" w:rsidRPr="0070201A" w:rsidRDefault="002911BE" w:rsidP="002911BE">
                  <w:pPr>
                    <w:spacing w:after="0" w:line="276" w:lineRule="auto"/>
                    <w:rPr>
                      <w:rFonts w:cs="Arial"/>
                      <w:sz w:val="20"/>
                      <w:lang w:eastAsia="en-AU"/>
                    </w:rPr>
                  </w:pPr>
                  <w:r w:rsidRPr="0070201A">
                    <w:rPr>
                      <w:rFonts w:cs="Arial"/>
                      <w:sz w:val="20"/>
                      <w:lang w:eastAsia="en-AU"/>
                    </w:rPr>
                    <w:t>Abatement threshold for:</w:t>
                  </w:r>
                </w:p>
              </w:tc>
              <w:tc>
                <w:tcPr>
                  <w:tcW w:w="1132" w:type="dxa"/>
                  <w:shd w:val="clear" w:color="auto" w:fill="E2EFD9" w:themeFill="accent6" w:themeFillTint="33"/>
                  <w:vAlign w:val="center"/>
                </w:tcPr>
                <w:p w14:paraId="16121EB8"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 April 2021</w:t>
                  </w:r>
                </w:p>
              </w:tc>
              <w:tc>
                <w:tcPr>
                  <w:tcW w:w="1133" w:type="dxa"/>
                  <w:shd w:val="clear" w:color="auto" w:fill="E2EFD9" w:themeFill="accent6" w:themeFillTint="33"/>
                  <w:vAlign w:val="center"/>
                </w:tcPr>
                <w:p w14:paraId="50314053"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 April 2022</w:t>
                  </w:r>
                </w:p>
              </w:tc>
              <w:tc>
                <w:tcPr>
                  <w:tcW w:w="1133" w:type="dxa"/>
                  <w:shd w:val="clear" w:color="auto" w:fill="E2EFD9" w:themeFill="accent6" w:themeFillTint="33"/>
                  <w:vAlign w:val="center"/>
                </w:tcPr>
                <w:p w14:paraId="0C7D94EF"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 April 2023</w:t>
                  </w:r>
                </w:p>
              </w:tc>
            </w:tr>
            <w:tr w:rsidR="002911BE" w14:paraId="2EFF789A" w14:textId="77777777" w:rsidTr="001525DD">
              <w:trPr>
                <w:jc w:val="center"/>
              </w:trPr>
              <w:tc>
                <w:tcPr>
                  <w:tcW w:w="4602" w:type="dxa"/>
                </w:tcPr>
                <w:p w14:paraId="21F0CF58" w14:textId="77777777" w:rsidR="002911BE" w:rsidRPr="0070201A" w:rsidRDefault="002911BE" w:rsidP="002911BE">
                  <w:pPr>
                    <w:spacing w:after="0" w:line="276" w:lineRule="auto"/>
                    <w:rPr>
                      <w:rFonts w:cs="Arial"/>
                      <w:sz w:val="20"/>
                      <w:lang w:eastAsia="en-AU"/>
                    </w:rPr>
                  </w:pPr>
                  <w:r w:rsidRPr="0070201A">
                    <w:rPr>
                      <w:rFonts w:cs="Arial"/>
                      <w:sz w:val="20"/>
                      <w:lang w:eastAsia="en-AU"/>
                    </w:rPr>
                    <w:t>Jobseeker Support</w:t>
                  </w:r>
                </w:p>
              </w:tc>
              <w:tc>
                <w:tcPr>
                  <w:tcW w:w="1132" w:type="dxa"/>
                  <w:vAlign w:val="center"/>
                </w:tcPr>
                <w:p w14:paraId="2E4F1B2B"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$95</w:t>
                  </w:r>
                </w:p>
              </w:tc>
              <w:tc>
                <w:tcPr>
                  <w:tcW w:w="1133" w:type="dxa"/>
                  <w:vAlign w:val="center"/>
                </w:tcPr>
                <w:p w14:paraId="2BD1FCF1"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$100</w:t>
                  </w:r>
                </w:p>
              </w:tc>
              <w:tc>
                <w:tcPr>
                  <w:tcW w:w="1133" w:type="dxa"/>
                  <w:vAlign w:val="center"/>
                </w:tcPr>
                <w:p w14:paraId="31E1657F"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$105</w:t>
                  </w:r>
                </w:p>
              </w:tc>
            </w:tr>
            <w:tr w:rsidR="002911BE" w14:paraId="63369F62" w14:textId="77777777" w:rsidTr="001525DD">
              <w:trPr>
                <w:jc w:val="center"/>
              </w:trPr>
              <w:tc>
                <w:tcPr>
                  <w:tcW w:w="4602" w:type="dxa"/>
                </w:tcPr>
                <w:p w14:paraId="19C28004" w14:textId="15530DBD" w:rsidR="002911BE" w:rsidRPr="0070201A" w:rsidRDefault="002911BE" w:rsidP="002911BE">
                  <w:pPr>
                    <w:spacing w:after="0" w:line="276" w:lineRule="auto"/>
                    <w:rPr>
                      <w:rFonts w:cs="Arial"/>
                      <w:sz w:val="20"/>
                      <w:lang w:eastAsia="en-AU"/>
                    </w:rPr>
                  </w:pPr>
                  <w:r w:rsidRPr="0070201A">
                    <w:rPr>
                      <w:rFonts w:cs="Arial"/>
                      <w:sz w:val="20"/>
                      <w:lang w:eastAsia="en-AU"/>
                    </w:rPr>
                    <w:t xml:space="preserve">NZS/VP </w:t>
                  </w:r>
                  <w:r>
                    <w:rPr>
                      <w:rFonts w:cs="Arial"/>
                      <w:sz w:val="20"/>
                      <w:lang w:eastAsia="en-AU"/>
                    </w:rPr>
                    <w:t xml:space="preserve">with </w:t>
                  </w:r>
                  <w:r w:rsidRPr="0070201A">
                    <w:rPr>
                      <w:rFonts w:cs="Arial"/>
                      <w:sz w:val="20"/>
                      <w:lang w:eastAsia="en-AU"/>
                    </w:rPr>
                    <w:t>non-qualifying partner</w:t>
                  </w:r>
                </w:p>
              </w:tc>
              <w:tc>
                <w:tcPr>
                  <w:tcW w:w="1132" w:type="dxa"/>
                  <w:vAlign w:val="center"/>
                </w:tcPr>
                <w:p w14:paraId="55B5EBA6"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$120</w:t>
                  </w:r>
                </w:p>
              </w:tc>
              <w:tc>
                <w:tcPr>
                  <w:tcW w:w="1133" w:type="dxa"/>
                  <w:vAlign w:val="center"/>
                </w:tcPr>
                <w:p w14:paraId="3F1E231C"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$125</w:t>
                  </w:r>
                </w:p>
              </w:tc>
              <w:tc>
                <w:tcPr>
                  <w:tcW w:w="1133" w:type="dxa"/>
                  <w:vAlign w:val="center"/>
                </w:tcPr>
                <w:p w14:paraId="0235C0EB"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$130</w:t>
                  </w:r>
                </w:p>
              </w:tc>
            </w:tr>
            <w:tr w:rsidR="002911BE" w14:paraId="4453AD77" w14:textId="77777777" w:rsidTr="001525DD">
              <w:trPr>
                <w:jc w:val="center"/>
              </w:trPr>
              <w:tc>
                <w:tcPr>
                  <w:tcW w:w="4602" w:type="dxa"/>
                </w:tcPr>
                <w:p w14:paraId="418D4C4B" w14:textId="77777777" w:rsidR="002911BE" w:rsidRPr="0070201A" w:rsidRDefault="002911BE" w:rsidP="002911BE">
                  <w:pPr>
                    <w:spacing w:after="0" w:line="276" w:lineRule="auto"/>
                    <w:rPr>
                      <w:rFonts w:cs="Arial"/>
                      <w:sz w:val="20"/>
                      <w:lang w:eastAsia="en-AU"/>
                    </w:rPr>
                  </w:pPr>
                  <w:r w:rsidRPr="0070201A">
                    <w:rPr>
                      <w:rFonts w:cs="Arial"/>
                      <w:sz w:val="20"/>
                      <w:lang w:eastAsia="en-AU"/>
                    </w:rPr>
                    <w:t>SPS and SLP – Threshold One</w:t>
                  </w:r>
                </w:p>
              </w:tc>
              <w:tc>
                <w:tcPr>
                  <w:tcW w:w="1132" w:type="dxa"/>
                  <w:vAlign w:val="center"/>
                </w:tcPr>
                <w:p w14:paraId="64B4B3FB"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$120</w:t>
                  </w:r>
                </w:p>
              </w:tc>
              <w:tc>
                <w:tcPr>
                  <w:tcW w:w="1133" w:type="dxa"/>
                  <w:vAlign w:val="center"/>
                </w:tcPr>
                <w:p w14:paraId="0369A31E"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$125</w:t>
                  </w:r>
                </w:p>
              </w:tc>
              <w:tc>
                <w:tcPr>
                  <w:tcW w:w="1133" w:type="dxa"/>
                  <w:vAlign w:val="center"/>
                </w:tcPr>
                <w:p w14:paraId="06A35DD7"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$130</w:t>
                  </w:r>
                </w:p>
              </w:tc>
            </w:tr>
            <w:tr w:rsidR="002911BE" w14:paraId="4BCD9AB4" w14:textId="77777777" w:rsidTr="001525DD">
              <w:trPr>
                <w:jc w:val="center"/>
              </w:trPr>
              <w:tc>
                <w:tcPr>
                  <w:tcW w:w="4602" w:type="dxa"/>
                </w:tcPr>
                <w:p w14:paraId="59327616" w14:textId="77777777" w:rsidR="002911BE" w:rsidRPr="0070201A" w:rsidRDefault="002911BE" w:rsidP="002911BE">
                  <w:pPr>
                    <w:spacing w:after="0" w:line="276" w:lineRule="auto"/>
                    <w:rPr>
                      <w:rFonts w:cs="Arial"/>
                      <w:sz w:val="20"/>
                      <w:lang w:eastAsia="en-AU"/>
                    </w:rPr>
                  </w:pPr>
                  <w:r w:rsidRPr="0070201A">
                    <w:rPr>
                      <w:rFonts w:cs="Arial"/>
                      <w:sz w:val="20"/>
                      <w:lang w:eastAsia="en-AU"/>
                    </w:rPr>
                    <w:t>SPS and SLP – Threshold Two</w:t>
                  </w:r>
                </w:p>
              </w:tc>
              <w:tc>
                <w:tcPr>
                  <w:tcW w:w="1132" w:type="dxa"/>
                  <w:vAlign w:val="center"/>
                </w:tcPr>
                <w:p w14:paraId="7FE90B3F"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$220</w:t>
                  </w:r>
                </w:p>
              </w:tc>
              <w:tc>
                <w:tcPr>
                  <w:tcW w:w="1133" w:type="dxa"/>
                  <w:vAlign w:val="center"/>
                </w:tcPr>
                <w:p w14:paraId="2A616740"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$225</w:t>
                  </w:r>
                </w:p>
              </w:tc>
              <w:tc>
                <w:tcPr>
                  <w:tcW w:w="1133" w:type="dxa"/>
                  <w:vAlign w:val="center"/>
                </w:tcPr>
                <w:p w14:paraId="75C2C35C" w14:textId="77777777" w:rsidR="002911BE" w:rsidRPr="0070201A" w:rsidRDefault="002911BE" w:rsidP="002911BE">
                  <w:pPr>
                    <w:spacing w:after="0" w:line="276" w:lineRule="auto"/>
                    <w:jc w:val="center"/>
                    <w:rPr>
                      <w:rFonts w:cs="Arial"/>
                      <w:sz w:val="20"/>
                      <w:lang w:eastAsia="en-AU"/>
                    </w:rPr>
                  </w:pPr>
                  <w:r w:rsidRPr="0070201A">
                    <w:rPr>
                      <w:rFonts w:cs="Arial"/>
                      <w:sz w:val="20"/>
                      <w:lang w:eastAsia="en-AU"/>
                    </w:rPr>
                    <w:t>$230</w:t>
                  </w:r>
                </w:p>
              </w:tc>
            </w:tr>
          </w:tbl>
          <w:p w14:paraId="4DD55845" w14:textId="77777777" w:rsidR="001F616F" w:rsidRDefault="001F616F" w:rsidP="001F616F">
            <w:pPr>
              <w:spacing w:after="0"/>
              <w:rPr>
                <w:lang w:eastAsia="en-AU"/>
              </w:rPr>
            </w:pPr>
          </w:p>
          <w:p w14:paraId="5218AE79" w14:textId="02A34D33" w:rsidR="002911BE" w:rsidRDefault="002911BE" w:rsidP="004158C4">
            <w:pPr>
              <w:rPr>
                <w:lang w:eastAsia="en-AU"/>
              </w:rPr>
            </w:pPr>
            <w:r>
              <w:rPr>
                <w:lang w:eastAsia="en-AU"/>
              </w:rPr>
              <w:t xml:space="preserve">Under this option, the number of hours beneficiaries can currently work up to before their benefit begins to abate (around 4.5 hours on minimum wage) will be maintained (not reduce any further) over the next three years. </w:t>
            </w:r>
          </w:p>
          <w:p w14:paraId="65F2ABC0" w14:textId="5F2B0B39" w:rsidR="00D6211E" w:rsidRDefault="00FF6349" w:rsidP="004158C4">
            <w:pPr>
              <w:rPr>
                <w:lang w:eastAsia="en-AU"/>
              </w:rPr>
            </w:pPr>
            <w:r>
              <w:rPr>
                <w:b/>
                <w:bCs/>
                <w:i/>
                <w:iCs/>
                <w:lang w:eastAsia="en-AU"/>
              </w:rPr>
              <w:t>There are two options for retrospectively adjusting the Minimum Family Tax Credit threshold</w:t>
            </w:r>
          </w:p>
          <w:p w14:paraId="253C41A0" w14:textId="20AAD40E" w:rsidR="00A61F33" w:rsidRDefault="00A61F33" w:rsidP="004158C4">
            <w:pPr>
              <w:rPr>
                <w:lang w:eastAsia="en-AU"/>
              </w:rPr>
            </w:pPr>
            <w:r>
              <w:rPr>
                <w:lang w:eastAsia="en-AU"/>
              </w:rPr>
              <w:t>There are two options to consider for retrospective adjustment to the 2020/21 MFTC threshold:</w:t>
            </w:r>
          </w:p>
          <w:p w14:paraId="5495D116" w14:textId="42206141" w:rsidR="00A61F33" w:rsidRDefault="00A61F33" w:rsidP="00F46B23">
            <w:pPr>
              <w:pStyle w:val="ListParagraph"/>
              <w:numPr>
                <w:ilvl w:val="0"/>
                <w:numId w:val="19"/>
              </w:numPr>
              <w:spacing w:after="120"/>
              <w:ind w:left="714" w:hanging="357"/>
              <w:contextualSpacing w:val="0"/>
              <w:rPr>
                <w:lang w:eastAsia="en-AU"/>
              </w:rPr>
            </w:pPr>
            <w:r>
              <w:rPr>
                <w:lang w:eastAsia="en-AU"/>
              </w:rPr>
              <w:t>Option One</w:t>
            </w:r>
            <w:r w:rsidR="00FF6349">
              <w:rPr>
                <w:lang w:eastAsia="en-AU"/>
              </w:rPr>
              <w:t xml:space="preserve"> (status quo)</w:t>
            </w:r>
            <w:r>
              <w:rPr>
                <w:lang w:eastAsia="en-AU"/>
              </w:rPr>
              <w:t xml:space="preserve"> – full retrospective alignment of the 2020/21 MFTC threshold. This is the status quo, as under current policy, </w:t>
            </w:r>
            <w:r w:rsidR="006B3CC4">
              <w:rPr>
                <w:lang w:eastAsia="en-AU"/>
              </w:rPr>
              <w:t xml:space="preserve">the </w:t>
            </w:r>
            <w:r>
              <w:rPr>
                <w:lang w:eastAsia="en-AU"/>
              </w:rPr>
              <w:t xml:space="preserve">MFTC threshold </w:t>
            </w:r>
            <w:r>
              <w:rPr>
                <w:lang w:eastAsia="en-AU"/>
              </w:rPr>
              <w:lastRenderedPageBreak/>
              <w:t>would be adjusted in line with changes to benefit rates and abatement thresholds.</w:t>
            </w:r>
          </w:p>
          <w:p w14:paraId="3BA63A61" w14:textId="5B1909D4" w:rsidR="00A61F33" w:rsidRDefault="00A61F33" w:rsidP="00F46B23">
            <w:pPr>
              <w:pStyle w:val="ListParagraph"/>
              <w:numPr>
                <w:ilvl w:val="0"/>
                <w:numId w:val="19"/>
              </w:numPr>
              <w:ind w:left="714" w:hanging="357"/>
              <w:contextualSpacing w:val="0"/>
              <w:rPr>
                <w:lang w:eastAsia="en-AU"/>
              </w:rPr>
            </w:pPr>
            <w:r>
              <w:rPr>
                <w:lang w:eastAsia="en-AU"/>
              </w:rPr>
              <w:t>Option Two – no retrospective alignment of the 2020/21 MFTC threshold.</w:t>
            </w:r>
          </w:p>
          <w:tbl>
            <w:tblPr>
              <w:tblW w:w="0" w:type="auto"/>
              <w:tblCellMar>
                <w:left w:w="0" w:type="dxa"/>
                <w:right w:w="0" w:type="dxa"/>
              </w:tblCellMar>
              <w:tblLook w:val="04A0" w:firstRow="1" w:lastRow="0" w:firstColumn="1" w:lastColumn="0" w:noHBand="0" w:noVBand="1"/>
            </w:tblPr>
            <w:tblGrid>
              <w:gridCol w:w="1762"/>
              <w:gridCol w:w="1709"/>
              <w:gridCol w:w="1714"/>
              <w:gridCol w:w="1714"/>
              <w:gridCol w:w="1717"/>
            </w:tblGrid>
            <w:tr w:rsidR="00A61F33" w:rsidRPr="004B1A93" w14:paraId="07954783" w14:textId="77777777" w:rsidTr="004B1A93">
              <w:tc>
                <w:tcPr>
                  <w:tcW w:w="1762"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E5AA8E0" w14:textId="5B7BB8F2" w:rsidR="00A61F33" w:rsidRPr="004B1A93" w:rsidRDefault="00CE73ED" w:rsidP="004B1A93">
                  <w:pPr>
                    <w:spacing w:before="40" w:after="40" w:line="240" w:lineRule="auto"/>
                    <w:rPr>
                      <w:rFonts w:ascii="Verdana" w:hAnsi="Verdana"/>
                      <w:b/>
                      <w:bCs/>
                      <w:sz w:val="16"/>
                      <w:szCs w:val="16"/>
                    </w:rPr>
                  </w:pPr>
                  <w:r w:rsidRPr="004B1A93">
                    <w:rPr>
                      <w:rFonts w:ascii="Verdana" w:hAnsi="Verdana"/>
                      <w:b/>
                      <w:bCs/>
                      <w:sz w:val="16"/>
                      <w:szCs w:val="16"/>
                    </w:rPr>
                    <w:t>Retrospective adjustment</w:t>
                  </w:r>
                </w:p>
              </w:tc>
              <w:tc>
                <w:tcPr>
                  <w:tcW w:w="1709"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70D826C" w14:textId="77777777" w:rsidR="00A61F33" w:rsidRPr="004B1A93" w:rsidRDefault="00A61F33" w:rsidP="004B1A93">
                  <w:pPr>
                    <w:spacing w:before="40" w:after="40" w:line="240" w:lineRule="auto"/>
                    <w:rPr>
                      <w:rFonts w:ascii="Verdana" w:hAnsi="Verdana"/>
                      <w:b/>
                      <w:bCs/>
                      <w:sz w:val="16"/>
                      <w:szCs w:val="16"/>
                    </w:rPr>
                  </w:pPr>
                  <w:r w:rsidRPr="004B1A93">
                    <w:rPr>
                      <w:rFonts w:ascii="Verdana" w:hAnsi="Verdana"/>
                      <w:b/>
                      <w:bCs/>
                      <w:sz w:val="16"/>
                      <w:szCs w:val="16"/>
                    </w:rPr>
                    <w:t>Detail</w:t>
                  </w:r>
                </w:p>
              </w:tc>
              <w:tc>
                <w:tcPr>
                  <w:tcW w:w="1714"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C515C66" w14:textId="77777777" w:rsidR="00A61F33" w:rsidRPr="004B1A93" w:rsidRDefault="00A61F33" w:rsidP="004B1A93">
                  <w:pPr>
                    <w:spacing w:before="40" w:after="40" w:line="240" w:lineRule="auto"/>
                    <w:rPr>
                      <w:rFonts w:ascii="Verdana" w:hAnsi="Verdana"/>
                      <w:b/>
                      <w:bCs/>
                      <w:sz w:val="16"/>
                      <w:szCs w:val="16"/>
                    </w:rPr>
                  </w:pPr>
                  <w:r w:rsidRPr="004B1A93">
                    <w:rPr>
                      <w:rFonts w:ascii="Verdana" w:hAnsi="Verdana"/>
                      <w:b/>
                      <w:bCs/>
                      <w:sz w:val="16"/>
                      <w:szCs w:val="16"/>
                    </w:rPr>
                    <w:t>Fiscal cost</w:t>
                  </w:r>
                </w:p>
              </w:tc>
              <w:tc>
                <w:tcPr>
                  <w:tcW w:w="1714"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185295DD" w14:textId="77777777" w:rsidR="00A61F33" w:rsidRPr="004B1A93" w:rsidRDefault="00A61F33" w:rsidP="004B1A93">
                  <w:pPr>
                    <w:spacing w:before="40" w:after="40" w:line="240" w:lineRule="auto"/>
                    <w:rPr>
                      <w:rFonts w:ascii="Verdana" w:hAnsi="Verdana"/>
                      <w:b/>
                      <w:bCs/>
                      <w:sz w:val="16"/>
                      <w:szCs w:val="16"/>
                    </w:rPr>
                  </w:pPr>
                  <w:r w:rsidRPr="004B1A93">
                    <w:rPr>
                      <w:rFonts w:ascii="Verdana" w:hAnsi="Verdana"/>
                      <w:b/>
                      <w:bCs/>
                      <w:sz w:val="16"/>
                      <w:szCs w:val="16"/>
                    </w:rPr>
                    <w:t>Number of families affected</w:t>
                  </w:r>
                </w:p>
              </w:tc>
              <w:tc>
                <w:tcPr>
                  <w:tcW w:w="1717"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334C0CD6" w14:textId="77777777" w:rsidR="00A61F33" w:rsidRPr="004B1A93" w:rsidRDefault="00A61F33" w:rsidP="004B1A93">
                  <w:pPr>
                    <w:spacing w:before="40" w:after="40" w:line="240" w:lineRule="auto"/>
                    <w:rPr>
                      <w:rFonts w:ascii="Verdana" w:hAnsi="Verdana"/>
                      <w:b/>
                      <w:bCs/>
                      <w:sz w:val="16"/>
                      <w:szCs w:val="16"/>
                    </w:rPr>
                  </w:pPr>
                  <w:r w:rsidRPr="004B1A93">
                    <w:rPr>
                      <w:rFonts w:ascii="Verdana" w:hAnsi="Verdana"/>
                      <w:b/>
                      <w:bCs/>
                      <w:sz w:val="16"/>
                      <w:szCs w:val="16"/>
                    </w:rPr>
                    <w:t>Average gain for affected families</w:t>
                  </w:r>
                </w:p>
              </w:tc>
            </w:tr>
            <w:tr w:rsidR="00A61F33" w:rsidRPr="004B1A93" w14:paraId="66B65AB4" w14:textId="77777777" w:rsidTr="004B1A93">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510EF" w14:textId="2B523D5A"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Option One</w:t>
                  </w:r>
                  <w:r w:rsidR="00CE73ED">
                    <w:rPr>
                      <w:rFonts w:ascii="Verdana" w:hAnsi="Verdana"/>
                      <w:sz w:val="16"/>
                      <w:szCs w:val="16"/>
                    </w:rPr>
                    <w:t xml:space="preserve"> – full alignment (status quo)</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14:paraId="62C757F8" w14:textId="77777777"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This would increase the threshold to $29,432.</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1486B94F" w14:textId="77777777"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$24.1 million over the forecast period.</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0F7FDAFA" w14:textId="323FA6DB"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Around 3,</w:t>
                  </w:r>
                  <w:r w:rsidR="00C03E40" w:rsidRPr="004B1A93">
                    <w:rPr>
                      <w:rFonts w:ascii="Verdana" w:hAnsi="Verdana"/>
                      <w:sz w:val="16"/>
                      <w:szCs w:val="16"/>
                    </w:rPr>
                    <w:t>2</w:t>
                  </w:r>
                  <w:r w:rsidRPr="004B1A93">
                    <w:rPr>
                      <w:rFonts w:ascii="Verdana" w:hAnsi="Verdana"/>
                      <w:sz w:val="16"/>
                      <w:szCs w:val="16"/>
                    </w:rPr>
                    <w:t>00 families receiving the MFTC in the 2020/21 tax year would be affected.</w:t>
                  </w:r>
                </w:p>
                <w:p w14:paraId="3700630A" w14:textId="77777777"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Around 400 additional families would become newly eligible.</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4D0E4FA6" w14:textId="77777777" w:rsidR="008A4F65" w:rsidRDefault="00A61F33" w:rsidP="004B1A93">
                  <w:pPr>
                    <w:spacing w:before="40" w:after="40" w:line="240" w:lineRule="auto"/>
                    <w:rPr>
                      <w:rFonts w:ascii="Verdana" w:hAnsi="Verdana"/>
                      <w:sz w:val="16"/>
                      <w:szCs w:val="16"/>
                    </w:rPr>
                  </w:pPr>
                  <w:r w:rsidRPr="004B1A93">
                    <w:rPr>
                      <w:rFonts w:ascii="Verdana" w:hAnsi="Verdana"/>
                      <w:sz w:val="16"/>
                      <w:szCs w:val="16"/>
                    </w:rPr>
                    <w:t>Additional gain of $32 for each week they receive the MFTC</w:t>
                  </w:r>
                  <w:r w:rsidR="008A4F65">
                    <w:rPr>
                      <w:rFonts w:ascii="Verdana" w:hAnsi="Verdana"/>
                      <w:sz w:val="16"/>
                      <w:szCs w:val="16"/>
                    </w:rPr>
                    <w:t xml:space="preserve">. </w:t>
                  </w:r>
                </w:p>
                <w:p w14:paraId="24E455A5" w14:textId="5E92153C" w:rsidR="00A61F33" w:rsidRPr="004B1A93" w:rsidRDefault="008A4F65" w:rsidP="004B1A93">
                  <w:pPr>
                    <w:spacing w:before="40" w:after="40" w:line="240" w:lineRule="auto"/>
                    <w:rPr>
                      <w:rFonts w:ascii="Verdana" w:hAnsi="Verdana"/>
                      <w:sz w:val="16"/>
                      <w:szCs w:val="16"/>
                    </w:rPr>
                  </w:pPr>
                  <w:r>
                    <w:rPr>
                      <w:rFonts w:ascii="Verdana" w:hAnsi="Verdana"/>
                      <w:sz w:val="16"/>
                      <w:szCs w:val="16"/>
                    </w:rPr>
                    <w:t>It is estimated that the</w:t>
                  </w:r>
                  <w:r w:rsidR="00A61F33" w:rsidRPr="004B1A93">
                    <w:rPr>
                      <w:rFonts w:ascii="Verdana" w:hAnsi="Verdana"/>
                      <w:sz w:val="16"/>
                      <w:szCs w:val="16"/>
                    </w:rPr>
                    <w:t xml:space="preserve"> average MFTC increase </w:t>
                  </w:r>
                  <w:r>
                    <w:rPr>
                      <w:rFonts w:ascii="Verdana" w:hAnsi="Verdana"/>
                      <w:sz w:val="16"/>
                      <w:szCs w:val="16"/>
                    </w:rPr>
                    <w:t>would be</w:t>
                  </w:r>
                  <w:r w:rsidR="00A61F33" w:rsidRPr="004B1A93">
                    <w:rPr>
                      <w:rFonts w:ascii="Verdana" w:hAnsi="Verdana"/>
                      <w:sz w:val="16"/>
                      <w:szCs w:val="16"/>
                    </w:rPr>
                    <w:t xml:space="preserve"> $1,280 per family</w:t>
                  </w:r>
                  <w:r>
                    <w:rPr>
                      <w:rFonts w:ascii="Verdana" w:hAnsi="Verdana"/>
                      <w:sz w:val="16"/>
                      <w:szCs w:val="16"/>
                    </w:rPr>
                    <w:t xml:space="preserve"> per year</w:t>
                  </w:r>
                  <w:r w:rsidR="00A61F33" w:rsidRPr="004B1A93">
                    <w:rPr>
                      <w:rFonts w:ascii="Verdana" w:hAnsi="Verdana"/>
                      <w:sz w:val="16"/>
                      <w:szCs w:val="16"/>
                    </w:rPr>
                    <w:t>.</w:t>
                  </w:r>
                  <w:r w:rsidR="00FF6349">
                    <w:rPr>
                      <w:rStyle w:val="FootnoteReference"/>
                      <w:szCs w:val="16"/>
                    </w:rPr>
                    <w:footnoteReference w:id="13"/>
                  </w:r>
                  <w:r w:rsidR="00A61F33" w:rsidRPr="004B1A93">
                    <w:rPr>
                      <w:rFonts w:ascii="Verdana" w:hAnsi="Verdana"/>
                      <w:sz w:val="16"/>
                      <w:szCs w:val="16"/>
                    </w:rPr>
                    <w:t xml:space="preserve"> </w:t>
                  </w:r>
                </w:p>
              </w:tc>
            </w:tr>
            <w:tr w:rsidR="00A61F33" w:rsidRPr="004B1A93" w14:paraId="31860A3B" w14:textId="77777777" w:rsidTr="004B1A93">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29B55" w14:textId="3A66D1BC"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Option Two</w:t>
                  </w:r>
                  <w:r w:rsidR="00CE73ED">
                    <w:rPr>
                      <w:rFonts w:ascii="Verdana" w:hAnsi="Verdana"/>
                      <w:sz w:val="16"/>
                      <w:szCs w:val="16"/>
                    </w:rPr>
                    <w:t xml:space="preserve"> – no alignment</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14:paraId="50CDF3F4" w14:textId="77777777"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This would maintain the threshold at $27,768.</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0814BD06" w14:textId="0C7188BC"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No additional cost</w:t>
                  </w:r>
                  <w:r w:rsidR="000C2636">
                    <w:rPr>
                      <w:rFonts w:ascii="Verdana" w:hAnsi="Verdana"/>
                      <w:sz w:val="16"/>
                      <w:szCs w:val="16"/>
                    </w:rPr>
                    <w:t>.</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1EA43971" w14:textId="0CF2F75C"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Around 3,</w:t>
                  </w:r>
                  <w:r w:rsidR="00C03E40" w:rsidRPr="004B1A93">
                    <w:rPr>
                      <w:rFonts w:ascii="Verdana" w:hAnsi="Verdana"/>
                      <w:sz w:val="16"/>
                      <w:szCs w:val="16"/>
                    </w:rPr>
                    <w:t>2</w:t>
                  </w:r>
                  <w:r w:rsidRPr="004B1A93">
                    <w:rPr>
                      <w:rFonts w:ascii="Verdana" w:hAnsi="Verdana"/>
                      <w:sz w:val="16"/>
                      <w:szCs w:val="16"/>
                    </w:rPr>
                    <w:t>00 families receiving the MFTC in the 2020/21 tax year would continue to receive the same amount of MFTC as currently.</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14:paraId="1D3C689D" w14:textId="77777777" w:rsidR="00A61F33" w:rsidRPr="004B1A93" w:rsidRDefault="00A61F33" w:rsidP="004B1A93">
                  <w:pPr>
                    <w:spacing w:before="40" w:after="40" w:line="240" w:lineRule="auto"/>
                    <w:rPr>
                      <w:rFonts w:ascii="Verdana" w:hAnsi="Verdana"/>
                      <w:sz w:val="16"/>
                      <w:szCs w:val="16"/>
                    </w:rPr>
                  </w:pPr>
                  <w:r w:rsidRPr="004B1A93">
                    <w:rPr>
                      <w:rFonts w:ascii="Verdana" w:hAnsi="Verdana"/>
                      <w:sz w:val="16"/>
                      <w:szCs w:val="16"/>
                    </w:rPr>
                    <w:t>Some families may be better off working and receiving an abated benefit than staying on the MFTC.</w:t>
                  </w:r>
                </w:p>
              </w:tc>
            </w:tr>
          </w:tbl>
          <w:p w14:paraId="51D346D3" w14:textId="77777777" w:rsidR="00222459" w:rsidRPr="004B1A93" w:rsidRDefault="00222459" w:rsidP="00C623DE">
            <w:pPr>
              <w:rPr>
                <w:lang w:eastAsia="en-AU"/>
              </w:rPr>
            </w:pPr>
          </w:p>
          <w:p w14:paraId="730AF782" w14:textId="0EB0540C" w:rsidR="004158C4" w:rsidRDefault="00FF6349" w:rsidP="009C4129">
            <w:pPr>
              <w:spacing w:after="0" w:line="276" w:lineRule="auto"/>
              <w:jc w:val="both"/>
              <w:rPr>
                <w:rFonts w:cs="Arial"/>
                <w:szCs w:val="22"/>
                <w:lang w:eastAsia="en-AU"/>
              </w:rPr>
            </w:pPr>
            <w:r>
              <w:rPr>
                <w:rFonts w:cs="Arial"/>
                <w:b/>
                <w:bCs/>
                <w:i/>
                <w:iCs/>
                <w:szCs w:val="22"/>
                <w:lang w:eastAsia="en-AU"/>
              </w:rPr>
              <w:t>There are three options for prospectively a</w:t>
            </w:r>
            <w:r w:rsidR="00C364EB">
              <w:rPr>
                <w:rFonts w:cs="Arial"/>
                <w:b/>
                <w:bCs/>
                <w:i/>
                <w:iCs/>
                <w:szCs w:val="22"/>
                <w:lang w:eastAsia="en-AU"/>
              </w:rPr>
              <w:t>djust</w:t>
            </w:r>
            <w:r>
              <w:rPr>
                <w:rFonts w:cs="Arial"/>
                <w:b/>
                <w:bCs/>
                <w:i/>
                <w:iCs/>
                <w:szCs w:val="22"/>
                <w:lang w:eastAsia="en-AU"/>
              </w:rPr>
              <w:t xml:space="preserve">ing </w:t>
            </w:r>
            <w:r w:rsidR="00C364EB">
              <w:rPr>
                <w:rFonts w:cs="Arial"/>
                <w:b/>
                <w:bCs/>
                <w:i/>
                <w:iCs/>
                <w:szCs w:val="22"/>
                <w:lang w:eastAsia="en-AU"/>
              </w:rPr>
              <w:t xml:space="preserve">the Minimum Family Tax Credit </w:t>
            </w:r>
            <w:r>
              <w:rPr>
                <w:rFonts w:cs="Arial"/>
                <w:b/>
                <w:bCs/>
                <w:i/>
                <w:iCs/>
                <w:szCs w:val="22"/>
                <w:lang w:eastAsia="en-AU"/>
              </w:rPr>
              <w:t>threshold</w:t>
            </w:r>
          </w:p>
          <w:p w14:paraId="5634BABB" w14:textId="1D7DD63D" w:rsidR="00C364EB" w:rsidRDefault="00C364EB" w:rsidP="009C4129">
            <w:pPr>
              <w:spacing w:after="0" w:line="276" w:lineRule="auto"/>
              <w:jc w:val="both"/>
              <w:rPr>
                <w:rFonts w:cs="Arial"/>
                <w:szCs w:val="22"/>
                <w:lang w:eastAsia="en-AU"/>
              </w:rPr>
            </w:pPr>
          </w:p>
          <w:p w14:paraId="64B4DFA8" w14:textId="05C9E5FF" w:rsidR="00A61F33" w:rsidRDefault="00A61F33" w:rsidP="00A61F33">
            <w:pPr>
              <w:rPr>
                <w:lang w:eastAsia="en-AU"/>
              </w:rPr>
            </w:pPr>
            <w:r>
              <w:rPr>
                <w:lang w:eastAsia="en-AU"/>
              </w:rPr>
              <w:t>There are three options to consider for prospective adjustment to the 2021/22 MFTC threshold:</w:t>
            </w:r>
          </w:p>
          <w:p w14:paraId="782D448B" w14:textId="753B0ECD" w:rsidR="00A61F33" w:rsidRPr="004B1A93" w:rsidRDefault="00A61F33" w:rsidP="00F46B23">
            <w:pPr>
              <w:pStyle w:val="ListParagraph"/>
              <w:numPr>
                <w:ilvl w:val="0"/>
                <w:numId w:val="20"/>
              </w:numPr>
              <w:spacing w:after="120" w:line="276" w:lineRule="auto"/>
              <w:ind w:left="714" w:hanging="357"/>
              <w:contextualSpacing w:val="0"/>
              <w:jc w:val="both"/>
              <w:rPr>
                <w:rFonts w:cs="Arial"/>
                <w:szCs w:val="22"/>
                <w:u w:val="single"/>
                <w:lang w:eastAsia="en-AU"/>
              </w:rPr>
            </w:pPr>
            <w:r>
              <w:rPr>
                <w:rFonts w:cs="Arial"/>
                <w:szCs w:val="22"/>
                <w:lang w:eastAsia="en-AU"/>
              </w:rPr>
              <w:t>Option One</w:t>
            </w:r>
            <w:r w:rsidR="00FF6349">
              <w:rPr>
                <w:rFonts w:cs="Arial"/>
                <w:szCs w:val="22"/>
                <w:lang w:eastAsia="en-AU"/>
              </w:rPr>
              <w:t xml:space="preserve"> (status quo)</w:t>
            </w:r>
            <w:r>
              <w:rPr>
                <w:rFonts w:cs="Arial"/>
                <w:szCs w:val="22"/>
                <w:lang w:eastAsia="en-AU"/>
              </w:rPr>
              <w:t xml:space="preserve"> – full alignment of the 2021/22 MFTC threshold to reflect abatement threshold increases. This is the status quo, as under current policy, </w:t>
            </w:r>
            <w:r w:rsidR="006B3CC4">
              <w:rPr>
                <w:rFonts w:cs="Arial"/>
                <w:szCs w:val="22"/>
                <w:lang w:eastAsia="en-AU"/>
              </w:rPr>
              <w:t xml:space="preserve">the </w:t>
            </w:r>
            <w:r>
              <w:rPr>
                <w:rFonts w:cs="Arial"/>
                <w:szCs w:val="22"/>
                <w:lang w:eastAsia="en-AU"/>
              </w:rPr>
              <w:t>MFTC threshold would be adjusted in line with changes to benefit rates and abatement threshold.</w:t>
            </w:r>
          </w:p>
          <w:p w14:paraId="5E1CA660" w14:textId="256AF092" w:rsidR="00A61F33" w:rsidRPr="004B1A93" w:rsidRDefault="00A61F33" w:rsidP="00F46B23">
            <w:pPr>
              <w:pStyle w:val="ListParagraph"/>
              <w:numPr>
                <w:ilvl w:val="0"/>
                <w:numId w:val="20"/>
              </w:numPr>
              <w:spacing w:after="120" w:line="276" w:lineRule="auto"/>
              <w:ind w:left="714" w:hanging="357"/>
              <w:contextualSpacing w:val="0"/>
              <w:jc w:val="both"/>
              <w:rPr>
                <w:rFonts w:cs="Arial"/>
                <w:szCs w:val="22"/>
                <w:u w:val="single"/>
                <w:lang w:eastAsia="en-AU"/>
              </w:rPr>
            </w:pPr>
            <w:r>
              <w:rPr>
                <w:rFonts w:cs="Arial"/>
                <w:szCs w:val="22"/>
                <w:lang w:eastAsia="en-AU"/>
              </w:rPr>
              <w:t>Option Two – partial alignment of the 2021/22 MFTC threshold.</w:t>
            </w:r>
          </w:p>
          <w:p w14:paraId="129BE530" w14:textId="71E3632A" w:rsidR="00A61F33" w:rsidRPr="004B1A93" w:rsidRDefault="00A61F33" w:rsidP="00F46B23">
            <w:pPr>
              <w:pStyle w:val="ListParagraph"/>
              <w:numPr>
                <w:ilvl w:val="0"/>
                <w:numId w:val="20"/>
              </w:numPr>
              <w:spacing w:line="276" w:lineRule="auto"/>
              <w:ind w:left="714" w:hanging="357"/>
              <w:contextualSpacing w:val="0"/>
              <w:jc w:val="both"/>
              <w:rPr>
                <w:rFonts w:cs="Arial"/>
                <w:szCs w:val="22"/>
                <w:u w:val="single"/>
                <w:lang w:eastAsia="en-AU"/>
              </w:rPr>
            </w:pPr>
            <w:r>
              <w:rPr>
                <w:rFonts w:cs="Arial"/>
                <w:szCs w:val="22"/>
                <w:lang w:eastAsia="en-AU"/>
              </w:rPr>
              <w:t xml:space="preserve">Option Three – no adjustment </w:t>
            </w:r>
            <w:r w:rsidR="000C2636">
              <w:rPr>
                <w:rFonts w:cs="Arial"/>
                <w:szCs w:val="22"/>
                <w:lang w:eastAsia="en-AU"/>
              </w:rPr>
              <w:t>to the MFTC thre</w:t>
            </w:r>
            <w:r w:rsidR="00085849">
              <w:rPr>
                <w:rFonts w:cs="Arial"/>
                <w:szCs w:val="22"/>
                <w:lang w:eastAsia="en-AU"/>
              </w:rPr>
              <w:t>s</w:t>
            </w:r>
            <w:r w:rsidR="000C2636">
              <w:rPr>
                <w:rFonts w:cs="Arial"/>
                <w:szCs w:val="22"/>
                <w:lang w:eastAsia="en-AU"/>
              </w:rPr>
              <w:t>hold.</w:t>
            </w:r>
          </w:p>
          <w:p w14:paraId="755A460B" w14:textId="37B82E84" w:rsidR="004046C9" w:rsidRDefault="004046C9" w:rsidP="00C623DE">
            <w:pPr>
              <w:spacing w:after="0" w:line="276" w:lineRule="auto"/>
              <w:jc w:val="both"/>
              <w:rPr>
                <w:rFonts w:cs="Arial"/>
                <w:szCs w:val="22"/>
                <w:u w:val="single"/>
                <w:lang w:eastAsia="en-AU"/>
              </w:rPr>
            </w:pPr>
          </w:p>
          <w:p w14:paraId="2FDD48F5" w14:textId="5744B206" w:rsidR="00863870" w:rsidRDefault="00863870" w:rsidP="00C623DE">
            <w:pPr>
              <w:spacing w:after="0" w:line="276" w:lineRule="auto"/>
              <w:jc w:val="both"/>
              <w:rPr>
                <w:rFonts w:cs="Arial"/>
                <w:szCs w:val="22"/>
                <w:u w:val="single"/>
                <w:lang w:eastAsia="en-AU"/>
              </w:rPr>
            </w:pPr>
          </w:p>
          <w:p w14:paraId="016E73EA" w14:textId="123C39F4" w:rsidR="00863870" w:rsidRDefault="00863870" w:rsidP="00C623DE">
            <w:pPr>
              <w:spacing w:after="0" w:line="276" w:lineRule="auto"/>
              <w:jc w:val="both"/>
              <w:rPr>
                <w:rFonts w:cs="Arial"/>
                <w:szCs w:val="22"/>
                <w:u w:val="single"/>
                <w:lang w:eastAsia="en-AU"/>
              </w:rPr>
            </w:pPr>
          </w:p>
          <w:p w14:paraId="2B87F2E6" w14:textId="197E304F" w:rsidR="00F46B23" w:rsidRDefault="00F46B23" w:rsidP="00C623DE">
            <w:pPr>
              <w:spacing w:after="0" w:line="276" w:lineRule="auto"/>
              <w:jc w:val="both"/>
              <w:rPr>
                <w:rFonts w:cs="Arial"/>
                <w:szCs w:val="22"/>
                <w:u w:val="single"/>
                <w:lang w:eastAsia="en-AU"/>
              </w:rPr>
            </w:pPr>
          </w:p>
          <w:p w14:paraId="190FF682" w14:textId="1470885C" w:rsidR="00F46B23" w:rsidRDefault="00F46B23" w:rsidP="00C623DE">
            <w:pPr>
              <w:spacing w:after="0" w:line="276" w:lineRule="auto"/>
              <w:jc w:val="both"/>
              <w:rPr>
                <w:rFonts w:cs="Arial"/>
                <w:szCs w:val="22"/>
                <w:u w:val="single"/>
                <w:lang w:eastAsia="en-AU"/>
              </w:rPr>
            </w:pPr>
          </w:p>
          <w:p w14:paraId="3C2BEE90" w14:textId="7C6BEC8A" w:rsidR="00F46B23" w:rsidRDefault="00F46B23" w:rsidP="00C623DE">
            <w:pPr>
              <w:spacing w:after="0" w:line="276" w:lineRule="auto"/>
              <w:jc w:val="both"/>
              <w:rPr>
                <w:rFonts w:cs="Arial"/>
                <w:szCs w:val="22"/>
                <w:u w:val="single"/>
                <w:lang w:eastAsia="en-AU"/>
              </w:rPr>
            </w:pPr>
          </w:p>
          <w:p w14:paraId="535E6F5B" w14:textId="68E2CE66" w:rsidR="00F46B23" w:rsidRDefault="00F46B23" w:rsidP="00C623DE">
            <w:pPr>
              <w:spacing w:after="0" w:line="276" w:lineRule="auto"/>
              <w:jc w:val="both"/>
              <w:rPr>
                <w:rFonts w:cs="Arial"/>
                <w:szCs w:val="22"/>
                <w:u w:val="single"/>
                <w:lang w:eastAsia="en-AU"/>
              </w:rPr>
            </w:pPr>
          </w:p>
          <w:p w14:paraId="6014FED0" w14:textId="77777777" w:rsidR="00F46B23" w:rsidRDefault="00F46B23" w:rsidP="00C623DE">
            <w:pPr>
              <w:spacing w:after="0" w:line="276" w:lineRule="auto"/>
              <w:jc w:val="both"/>
              <w:rPr>
                <w:rFonts w:cs="Arial"/>
                <w:szCs w:val="22"/>
                <w:u w:val="single"/>
                <w:lang w:eastAsia="en-AU"/>
              </w:rPr>
            </w:pPr>
          </w:p>
          <w:p w14:paraId="08D5155F" w14:textId="71A19BF5" w:rsidR="00863870" w:rsidRDefault="00863870" w:rsidP="00C623DE">
            <w:pPr>
              <w:spacing w:after="0" w:line="276" w:lineRule="auto"/>
              <w:jc w:val="both"/>
              <w:rPr>
                <w:rFonts w:cs="Arial"/>
                <w:szCs w:val="22"/>
                <w:u w:val="single"/>
                <w:lang w:eastAsia="en-AU"/>
              </w:rPr>
            </w:pPr>
          </w:p>
          <w:p w14:paraId="5FE8FAA6" w14:textId="07E48CE6" w:rsidR="00863870" w:rsidRDefault="00863870" w:rsidP="00C623DE">
            <w:pPr>
              <w:spacing w:after="0" w:line="276" w:lineRule="auto"/>
              <w:jc w:val="both"/>
              <w:rPr>
                <w:rFonts w:cs="Arial"/>
                <w:szCs w:val="22"/>
                <w:u w:val="single"/>
                <w:lang w:eastAsia="en-AU"/>
              </w:rPr>
            </w:pPr>
          </w:p>
          <w:p w14:paraId="65FDF7D1" w14:textId="77777777" w:rsidR="00863870" w:rsidRPr="004B1A93" w:rsidRDefault="00863870" w:rsidP="00C623DE">
            <w:pPr>
              <w:spacing w:after="0" w:line="276" w:lineRule="auto"/>
              <w:jc w:val="both"/>
              <w:rPr>
                <w:rFonts w:cs="Arial"/>
                <w:szCs w:val="22"/>
                <w:u w:val="single"/>
                <w:lang w:eastAsia="en-AU"/>
              </w:rPr>
            </w:pPr>
          </w:p>
          <w:tbl>
            <w:tblPr>
              <w:tblW w:w="0" w:type="auto"/>
              <w:tblCellMar>
                <w:left w:w="0" w:type="dxa"/>
                <w:right w:w="0" w:type="dxa"/>
              </w:tblCellMar>
              <w:tblLook w:val="04A0" w:firstRow="1" w:lastRow="0" w:firstColumn="1" w:lastColumn="0" w:noHBand="0" w:noVBand="1"/>
            </w:tblPr>
            <w:tblGrid>
              <w:gridCol w:w="1749"/>
              <w:gridCol w:w="1749"/>
              <w:gridCol w:w="1706"/>
              <w:gridCol w:w="1697"/>
              <w:gridCol w:w="1715"/>
            </w:tblGrid>
            <w:tr w:rsidR="00C03E40" w:rsidRPr="004B1A93" w14:paraId="05D57B39" w14:textId="77777777" w:rsidTr="004B1A93">
              <w:tc>
                <w:tcPr>
                  <w:tcW w:w="1848"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0D76174" w14:textId="77777777" w:rsidR="000C2636" w:rsidRPr="004B1A93" w:rsidRDefault="000C2636" w:rsidP="004B1A93">
                  <w:pPr>
                    <w:spacing w:before="40" w:after="40" w:line="240" w:lineRule="auto"/>
                    <w:rPr>
                      <w:rFonts w:ascii="Verdana" w:hAnsi="Verdana"/>
                      <w:b/>
                      <w:bCs/>
                      <w:sz w:val="16"/>
                      <w:szCs w:val="16"/>
                      <w:lang w:val="en-NZ" w:eastAsia="en-US"/>
                    </w:rPr>
                  </w:pPr>
                  <w:r w:rsidRPr="004B1A93">
                    <w:rPr>
                      <w:rFonts w:ascii="Verdana" w:hAnsi="Verdana"/>
                      <w:b/>
                      <w:bCs/>
                      <w:sz w:val="16"/>
                      <w:szCs w:val="16"/>
                    </w:rPr>
                    <w:lastRenderedPageBreak/>
                    <w:t>Prospective adjustment</w:t>
                  </w:r>
                </w:p>
              </w:tc>
              <w:tc>
                <w:tcPr>
                  <w:tcW w:w="1848"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1C25C36" w14:textId="77777777" w:rsidR="000C2636" w:rsidRPr="004B1A93" w:rsidRDefault="000C2636" w:rsidP="004B1A93">
                  <w:pPr>
                    <w:spacing w:before="40" w:after="40" w:line="240" w:lineRule="auto"/>
                    <w:rPr>
                      <w:rFonts w:ascii="Verdana" w:hAnsi="Verdana"/>
                      <w:b/>
                      <w:bCs/>
                      <w:sz w:val="16"/>
                      <w:szCs w:val="16"/>
                    </w:rPr>
                  </w:pPr>
                  <w:r w:rsidRPr="004B1A93">
                    <w:rPr>
                      <w:rFonts w:ascii="Verdana" w:hAnsi="Verdana"/>
                      <w:b/>
                      <w:bCs/>
                      <w:sz w:val="16"/>
                      <w:szCs w:val="16"/>
                    </w:rPr>
                    <w:t>Detail</w:t>
                  </w:r>
                </w:p>
              </w:tc>
              <w:tc>
                <w:tcPr>
                  <w:tcW w:w="1848"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18583885" w14:textId="1E3A02C9" w:rsidR="000C2636" w:rsidRPr="004B1A93" w:rsidRDefault="000C2636" w:rsidP="004B1A93">
                  <w:pPr>
                    <w:spacing w:before="40" w:after="40" w:line="240" w:lineRule="auto"/>
                    <w:rPr>
                      <w:rFonts w:ascii="Verdana" w:hAnsi="Verdana"/>
                      <w:b/>
                      <w:bCs/>
                      <w:sz w:val="16"/>
                      <w:szCs w:val="16"/>
                    </w:rPr>
                  </w:pPr>
                  <w:r w:rsidRPr="004B1A93">
                    <w:rPr>
                      <w:rFonts w:ascii="Verdana" w:hAnsi="Verdana"/>
                      <w:b/>
                      <w:bCs/>
                      <w:sz w:val="16"/>
                      <w:szCs w:val="16"/>
                    </w:rPr>
                    <w:t>Fiscal cost</w:t>
                  </w:r>
                  <w:r w:rsidR="00C03E40" w:rsidRPr="004B1A93">
                    <w:rPr>
                      <w:rFonts w:ascii="Verdana" w:hAnsi="Verdana"/>
                      <w:b/>
                      <w:bCs/>
                      <w:sz w:val="16"/>
                      <w:szCs w:val="16"/>
                    </w:rPr>
                    <w:t xml:space="preserve"> </w:t>
                  </w:r>
                  <w:r w:rsidR="004046C9">
                    <w:rPr>
                      <w:rFonts w:ascii="Verdana" w:hAnsi="Verdana"/>
                      <w:b/>
                      <w:bCs/>
                      <w:sz w:val="16"/>
                      <w:szCs w:val="16"/>
                    </w:rPr>
                    <w:t>**</w:t>
                  </w:r>
                </w:p>
              </w:tc>
              <w:tc>
                <w:tcPr>
                  <w:tcW w:w="1849"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B7D02F0" w14:textId="4427F079" w:rsidR="000C2636" w:rsidRPr="004B1A93" w:rsidRDefault="000C2636" w:rsidP="004B1A93">
                  <w:pPr>
                    <w:spacing w:before="40" w:after="40" w:line="240" w:lineRule="auto"/>
                    <w:rPr>
                      <w:rFonts w:ascii="Verdana" w:hAnsi="Verdana"/>
                      <w:b/>
                      <w:bCs/>
                      <w:sz w:val="16"/>
                      <w:szCs w:val="16"/>
                    </w:rPr>
                  </w:pPr>
                  <w:r w:rsidRPr="004B1A93">
                    <w:rPr>
                      <w:rFonts w:ascii="Verdana" w:hAnsi="Verdana"/>
                      <w:b/>
                      <w:bCs/>
                      <w:sz w:val="16"/>
                      <w:szCs w:val="16"/>
                    </w:rPr>
                    <w:t>Number of families affected</w:t>
                  </w:r>
                  <w:r w:rsidR="004046C9">
                    <w:rPr>
                      <w:rFonts w:ascii="Verdana" w:hAnsi="Verdana"/>
                      <w:b/>
                      <w:bCs/>
                      <w:sz w:val="16"/>
                      <w:szCs w:val="16"/>
                    </w:rPr>
                    <w:t xml:space="preserve"> **</w:t>
                  </w:r>
                </w:p>
              </w:tc>
              <w:tc>
                <w:tcPr>
                  <w:tcW w:w="1849"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5E679A4" w14:textId="48A8243F" w:rsidR="000C2636" w:rsidRPr="004B1A93" w:rsidRDefault="000C2636" w:rsidP="004B1A93">
                  <w:pPr>
                    <w:spacing w:before="40" w:after="40" w:line="240" w:lineRule="auto"/>
                    <w:rPr>
                      <w:rFonts w:ascii="Verdana" w:hAnsi="Verdana"/>
                      <w:b/>
                      <w:bCs/>
                      <w:sz w:val="16"/>
                      <w:szCs w:val="16"/>
                    </w:rPr>
                  </w:pPr>
                  <w:r w:rsidRPr="004B1A93">
                    <w:rPr>
                      <w:rFonts w:ascii="Verdana" w:hAnsi="Verdana"/>
                      <w:b/>
                      <w:bCs/>
                      <w:sz w:val="16"/>
                      <w:szCs w:val="16"/>
                    </w:rPr>
                    <w:t>Average gain for affected families</w:t>
                  </w:r>
                  <w:r w:rsidR="004046C9">
                    <w:rPr>
                      <w:rFonts w:ascii="Verdana" w:hAnsi="Verdana"/>
                      <w:b/>
                      <w:bCs/>
                      <w:sz w:val="16"/>
                      <w:szCs w:val="16"/>
                    </w:rPr>
                    <w:t xml:space="preserve"> **</w:t>
                  </w:r>
                </w:p>
              </w:tc>
            </w:tr>
            <w:tr w:rsidR="00C03E40" w:rsidRPr="004B1A93" w14:paraId="270C07D2" w14:textId="77777777" w:rsidTr="000C2636">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4E9BC" w14:textId="2CD69A78"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 xml:space="preserve">Option One – full alignment </w:t>
                  </w:r>
                  <w:r w:rsidR="00CE73ED">
                    <w:rPr>
                      <w:rFonts w:ascii="Verdana" w:hAnsi="Verdana"/>
                      <w:sz w:val="16"/>
                      <w:szCs w:val="16"/>
                    </w:rPr>
                    <w:t>(status quo)</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DE7BBB3" w14:textId="2F544615"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This would increase the threshold to $32,604</w:t>
                  </w:r>
                  <w:r w:rsidR="00C3380B">
                    <w:rPr>
                      <w:rFonts w:ascii="Verdana" w:hAnsi="Verdana"/>
                      <w:sz w:val="16"/>
                      <w:szCs w:val="16"/>
                    </w:rPr>
                    <w: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E1872CF" w14:textId="4A3B1ED2"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w:t>
                  </w:r>
                  <w:r w:rsidR="00C03E40">
                    <w:rPr>
                      <w:rFonts w:ascii="Verdana" w:hAnsi="Verdana"/>
                      <w:sz w:val="16"/>
                      <w:szCs w:val="16"/>
                    </w:rPr>
                    <w:t>51</w:t>
                  </w:r>
                  <w:r w:rsidRPr="004B1A93">
                    <w:rPr>
                      <w:rFonts w:ascii="Verdana" w:hAnsi="Verdana"/>
                      <w:sz w:val="16"/>
                      <w:szCs w:val="16"/>
                    </w:rPr>
                    <w:t xml:space="preserve"> million over the forecast period</w:t>
                  </w:r>
                  <w:r w:rsidR="00C3380B">
                    <w:rPr>
                      <w:rFonts w:ascii="Verdana" w:hAnsi="Verdana"/>
                      <w:sz w:val="16"/>
                      <w:szCs w:val="16"/>
                    </w:rPr>
                    <w:t>.</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5AF92C31" w14:textId="4C055BC7" w:rsidR="00C03E40" w:rsidRPr="004B1A93" w:rsidRDefault="000C2636" w:rsidP="004B1A93">
                  <w:pPr>
                    <w:spacing w:before="40" w:after="40" w:line="240" w:lineRule="auto"/>
                    <w:rPr>
                      <w:rFonts w:ascii="Verdana" w:hAnsi="Verdana"/>
                      <w:sz w:val="16"/>
                      <w:szCs w:val="16"/>
                    </w:rPr>
                  </w:pPr>
                  <w:r w:rsidRPr="004B1A93">
                    <w:rPr>
                      <w:rFonts w:ascii="Verdana" w:hAnsi="Verdana"/>
                      <w:sz w:val="16"/>
                      <w:szCs w:val="16"/>
                    </w:rPr>
                    <w:t>Around 4,900 families expected to be receiving MFTC in the 2021/22 tax year</w:t>
                  </w:r>
                  <w:r w:rsidR="00C03E40" w:rsidRPr="00C623DE">
                    <w:rPr>
                      <w:rFonts w:ascii="Verdana" w:hAnsi="Verdana"/>
                      <w:sz w:val="16"/>
                      <w:szCs w:val="16"/>
                    </w:rPr>
                    <w:t>. Of t</w:t>
                  </w:r>
                  <w:r w:rsidR="00C03E40" w:rsidRPr="00F52D93">
                    <w:rPr>
                      <w:rFonts w:ascii="Verdana" w:hAnsi="Verdana"/>
                      <w:sz w:val="16"/>
                      <w:szCs w:val="16"/>
                    </w:rPr>
                    <w:t xml:space="preserve">hese, around 1,300 families </w:t>
                  </w:r>
                  <w:r w:rsidR="00C03E40" w:rsidRPr="004B1A93">
                    <w:rPr>
                      <w:rFonts w:ascii="Verdana" w:hAnsi="Verdana"/>
                      <w:sz w:val="16"/>
                      <w:szCs w:val="16"/>
                    </w:rPr>
                    <w:t>would be newly eligible for the MFTC.</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38D49129" w14:textId="77777777" w:rsidR="008A4F65" w:rsidRDefault="000C2636" w:rsidP="004B1A93">
                  <w:pPr>
                    <w:spacing w:before="40" w:after="40" w:line="240" w:lineRule="auto"/>
                    <w:rPr>
                      <w:rFonts w:ascii="Verdana" w:hAnsi="Verdana"/>
                      <w:sz w:val="16"/>
                      <w:szCs w:val="16"/>
                    </w:rPr>
                  </w:pPr>
                  <w:r w:rsidRPr="004B1A93">
                    <w:rPr>
                      <w:rFonts w:ascii="Verdana" w:hAnsi="Verdana"/>
                      <w:sz w:val="16"/>
                      <w:szCs w:val="16"/>
                    </w:rPr>
                    <w:t>Additional gain $</w:t>
                  </w:r>
                  <w:r w:rsidR="008E2595">
                    <w:rPr>
                      <w:rFonts w:ascii="Verdana" w:hAnsi="Verdana"/>
                      <w:sz w:val="16"/>
                      <w:szCs w:val="16"/>
                    </w:rPr>
                    <w:t>61</w:t>
                  </w:r>
                  <w:r w:rsidRPr="004B1A93">
                    <w:rPr>
                      <w:rFonts w:ascii="Verdana" w:hAnsi="Verdana"/>
                      <w:sz w:val="16"/>
                      <w:szCs w:val="16"/>
                    </w:rPr>
                    <w:t xml:space="preserve"> for each week they receive the MFTC</w:t>
                  </w:r>
                  <w:r w:rsidR="008A4F65">
                    <w:rPr>
                      <w:rFonts w:ascii="Verdana" w:hAnsi="Verdana"/>
                      <w:sz w:val="16"/>
                      <w:szCs w:val="16"/>
                    </w:rPr>
                    <w:t>.</w:t>
                  </w:r>
                </w:p>
                <w:p w14:paraId="24212819" w14:textId="06C22346" w:rsidR="000C2636" w:rsidRPr="004B1A93" w:rsidRDefault="008A4F65" w:rsidP="004B1A93">
                  <w:pPr>
                    <w:spacing w:before="40" w:after="40" w:line="240" w:lineRule="auto"/>
                    <w:rPr>
                      <w:rFonts w:ascii="Verdana" w:hAnsi="Verdana"/>
                      <w:sz w:val="16"/>
                      <w:szCs w:val="16"/>
                    </w:rPr>
                  </w:pPr>
                  <w:r>
                    <w:rPr>
                      <w:rFonts w:ascii="Verdana" w:hAnsi="Verdana"/>
                      <w:sz w:val="16"/>
                      <w:szCs w:val="16"/>
                    </w:rPr>
                    <w:t xml:space="preserve">The maximum possible increase for the year would be </w:t>
                  </w:r>
                  <w:r w:rsidR="000C2636" w:rsidRPr="004B1A93">
                    <w:rPr>
                      <w:rFonts w:ascii="Verdana" w:hAnsi="Verdana"/>
                      <w:sz w:val="16"/>
                      <w:szCs w:val="16"/>
                    </w:rPr>
                    <w:t>$</w:t>
                  </w:r>
                  <w:r w:rsidR="008E2595">
                    <w:rPr>
                      <w:rFonts w:ascii="Verdana" w:hAnsi="Verdana"/>
                      <w:sz w:val="16"/>
                      <w:szCs w:val="16"/>
                    </w:rPr>
                    <w:t>3,172</w:t>
                  </w:r>
                  <w:r w:rsidR="000C2636" w:rsidRPr="004B1A93">
                    <w:rPr>
                      <w:rFonts w:ascii="Verdana" w:hAnsi="Verdana"/>
                      <w:sz w:val="16"/>
                      <w:szCs w:val="16"/>
                    </w:rPr>
                    <w:t xml:space="preserve"> per family</w:t>
                  </w:r>
                  <w:r w:rsidR="000D5576">
                    <w:rPr>
                      <w:rStyle w:val="FootnoteReference"/>
                      <w:szCs w:val="16"/>
                    </w:rPr>
                    <w:footnoteReference w:id="14"/>
                  </w:r>
                  <w:r w:rsidR="000C2636" w:rsidRPr="004B1A93">
                    <w:rPr>
                      <w:rFonts w:ascii="Verdana" w:hAnsi="Verdana"/>
                      <w:sz w:val="16"/>
                      <w:szCs w:val="16"/>
                    </w:rPr>
                    <w:t>.</w:t>
                  </w:r>
                </w:p>
              </w:tc>
            </w:tr>
            <w:tr w:rsidR="00C03E40" w:rsidRPr="004B1A93" w14:paraId="09A9A84E" w14:textId="77777777" w:rsidTr="000C2636">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4DABC" w14:textId="77777777"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Option Two – partial alignment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09810CC" w14:textId="4F11702A"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This would increase the threshold to $30,576</w:t>
                  </w:r>
                  <w:r w:rsidR="00C3380B">
                    <w:rPr>
                      <w:rFonts w:ascii="Verdana" w:hAnsi="Verdana"/>
                      <w:sz w:val="16"/>
                      <w:szCs w:val="16"/>
                    </w:rPr>
                    <w: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74C94C48" w14:textId="591A3F9F"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w:t>
                  </w:r>
                  <w:r w:rsidR="00C03E40">
                    <w:rPr>
                      <w:rFonts w:ascii="Verdana" w:hAnsi="Verdana"/>
                      <w:sz w:val="16"/>
                      <w:szCs w:val="16"/>
                    </w:rPr>
                    <w:t>17</w:t>
                  </w:r>
                  <w:r w:rsidRPr="004B1A93">
                    <w:rPr>
                      <w:rFonts w:ascii="Verdana" w:hAnsi="Verdana"/>
                      <w:sz w:val="16"/>
                      <w:szCs w:val="16"/>
                    </w:rPr>
                    <w:t xml:space="preserve"> million over the forecast period</w:t>
                  </w:r>
                  <w:r w:rsidR="00C3380B">
                    <w:rPr>
                      <w:rFonts w:ascii="Verdana" w:hAnsi="Verdana"/>
                      <w:sz w:val="16"/>
                      <w:szCs w:val="16"/>
                    </w:rPr>
                    <w:t>.</w:t>
                  </w:r>
                </w:p>
                <w:p w14:paraId="69804EC1" w14:textId="7F4C5F9E" w:rsidR="000C2636" w:rsidRPr="004B1A93" w:rsidRDefault="000C2636" w:rsidP="004B1A93">
                  <w:pPr>
                    <w:spacing w:before="40" w:after="40" w:line="240" w:lineRule="auto"/>
                    <w:rPr>
                      <w:rFonts w:ascii="Verdana" w:hAnsi="Verdana"/>
                      <w:sz w:val="16"/>
                      <w:szCs w:val="16"/>
                    </w:rPr>
                  </w:pP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565A1DF1" w14:textId="77777777" w:rsidR="000C2636" w:rsidRPr="002921B1" w:rsidRDefault="000C2636" w:rsidP="000C2636">
                  <w:pPr>
                    <w:spacing w:before="40" w:after="40" w:line="240" w:lineRule="auto"/>
                    <w:rPr>
                      <w:rFonts w:ascii="Verdana" w:hAnsi="Verdana"/>
                      <w:sz w:val="16"/>
                      <w:szCs w:val="16"/>
                    </w:rPr>
                  </w:pPr>
                  <w:r w:rsidRPr="004B1A93">
                    <w:rPr>
                      <w:rFonts w:ascii="Verdana" w:hAnsi="Verdana"/>
                      <w:sz w:val="16"/>
                      <w:szCs w:val="16"/>
                    </w:rPr>
                    <w:t>Around 4,000 families expected to be receiving the MFTC in the 2021/22 tax year</w:t>
                  </w:r>
                  <w:r w:rsidR="00C03E40" w:rsidRPr="00C623DE">
                    <w:rPr>
                      <w:rFonts w:ascii="Verdana" w:hAnsi="Verdana"/>
                      <w:sz w:val="16"/>
                      <w:szCs w:val="16"/>
                    </w:rPr>
                    <w:t xml:space="preserve">. </w:t>
                  </w:r>
                </w:p>
                <w:p w14:paraId="7A5A31D4" w14:textId="22783E13" w:rsidR="00C03E40" w:rsidRPr="004B1A93" w:rsidRDefault="00C03E40" w:rsidP="004B1A93">
                  <w:pPr>
                    <w:spacing w:before="40" w:after="40" w:line="240" w:lineRule="auto"/>
                    <w:rPr>
                      <w:rFonts w:ascii="Verdana" w:hAnsi="Verdana"/>
                      <w:sz w:val="16"/>
                      <w:szCs w:val="16"/>
                    </w:rPr>
                  </w:pPr>
                  <w:r w:rsidRPr="00F52D93">
                    <w:rPr>
                      <w:rFonts w:ascii="Verdana" w:hAnsi="Verdana"/>
                      <w:sz w:val="16"/>
                      <w:szCs w:val="16"/>
                    </w:rPr>
                    <w:t>Of these, around 400 families</w:t>
                  </w:r>
                  <w:r w:rsidRPr="004B1A93">
                    <w:rPr>
                      <w:rFonts w:ascii="Verdana" w:hAnsi="Verdana"/>
                      <w:sz w:val="16"/>
                      <w:szCs w:val="16"/>
                    </w:rPr>
                    <w:t xml:space="preserve"> would be newly eligible for the MFTC.</w:t>
                  </w:r>
                </w:p>
              </w:tc>
              <w:tc>
                <w:tcPr>
                  <w:tcW w:w="1849" w:type="dxa"/>
                  <w:tcBorders>
                    <w:top w:val="nil"/>
                    <w:left w:val="nil"/>
                    <w:bottom w:val="single" w:sz="8" w:space="0" w:color="auto"/>
                    <w:right w:val="single" w:sz="8" w:space="0" w:color="auto"/>
                  </w:tcBorders>
                  <w:tcMar>
                    <w:top w:w="0" w:type="dxa"/>
                    <w:left w:w="108" w:type="dxa"/>
                    <w:bottom w:w="0" w:type="dxa"/>
                    <w:right w:w="108" w:type="dxa"/>
                  </w:tcMar>
                </w:tcPr>
                <w:p w14:paraId="14CFF4A5" w14:textId="77777777" w:rsidR="008A4F65" w:rsidRDefault="000C2636" w:rsidP="004B1A93">
                  <w:pPr>
                    <w:spacing w:before="40" w:after="40" w:line="240" w:lineRule="auto"/>
                    <w:rPr>
                      <w:rFonts w:ascii="Verdana" w:hAnsi="Verdana"/>
                      <w:sz w:val="16"/>
                      <w:szCs w:val="16"/>
                    </w:rPr>
                  </w:pPr>
                  <w:r w:rsidRPr="004B1A93">
                    <w:rPr>
                      <w:rFonts w:ascii="Verdana" w:hAnsi="Verdana"/>
                      <w:sz w:val="16"/>
                      <w:szCs w:val="16"/>
                    </w:rPr>
                    <w:t>Additional gain of $</w:t>
                  </w:r>
                  <w:r w:rsidR="008E2595">
                    <w:rPr>
                      <w:rFonts w:ascii="Verdana" w:hAnsi="Verdana"/>
                      <w:sz w:val="16"/>
                      <w:szCs w:val="16"/>
                    </w:rPr>
                    <w:t>22</w:t>
                  </w:r>
                  <w:r w:rsidRPr="004B1A93">
                    <w:rPr>
                      <w:rFonts w:ascii="Verdana" w:hAnsi="Verdana"/>
                      <w:sz w:val="16"/>
                      <w:szCs w:val="16"/>
                    </w:rPr>
                    <w:t xml:space="preserve"> for each week they receive the MFTC</w:t>
                  </w:r>
                  <w:r w:rsidR="008A4F65">
                    <w:rPr>
                      <w:rFonts w:ascii="Verdana" w:hAnsi="Verdana"/>
                      <w:sz w:val="16"/>
                      <w:szCs w:val="16"/>
                    </w:rPr>
                    <w:t xml:space="preserve">. </w:t>
                  </w:r>
                </w:p>
                <w:p w14:paraId="71368B8C" w14:textId="1CB4FCCF" w:rsidR="000C2636" w:rsidRPr="004B1A93" w:rsidRDefault="008A4F65" w:rsidP="004B1A93">
                  <w:pPr>
                    <w:spacing w:before="40" w:after="40" w:line="240" w:lineRule="auto"/>
                    <w:rPr>
                      <w:rFonts w:ascii="Verdana" w:hAnsi="Verdana"/>
                      <w:sz w:val="16"/>
                      <w:szCs w:val="16"/>
                    </w:rPr>
                  </w:pPr>
                  <w:r>
                    <w:rPr>
                      <w:rFonts w:ascii="Verdana" w:hAnsi="Verdana"/>
                      <w:sz w:val="16"/>
                      <w:szCs w:val="16"/>
                    </w:rPr>
                    <w:t>The maximum possible increase for the year would be</w:t>
                  </w:r>
                  <w:r w:rsidR="000C2636" w:rsidRPr="004B1A93">
                    <w:rPr>
                      <w:rFonts w:ascii="Verdana" w:hAnsi="Verdana"/>
                      <w:sz w:val="16"/>
                      <w:szCs w:val="16"/>
                    </w:rPr>
                    <w:t xml:space="preserve"> $</w:t>
                  </w:r>
                  <w:r w:rsidR="008E2595">
                    <w:rPr>
                      <w:rFonts w:ascii="Verdana" w:hAnsi="Verdana"/>
                      <w:sz w:val="16"/>
                      <w:szCs w:val="16"/>
                    </w:rPr>
                    <w:t>1,144</w:t>
                  </w:r>
                  <w:r w:rsidR="000C2636" w:rsidRPr="004B1A93">
                    <w:rPr>
                      <w:rFonts w:ascii="Verdana" w:hAnsi="Verdana"/>
                      <w:sz w:val="16"/>
                      <w:szCs w:val="16"/>
                    </w:rPr>
                    <w:t xml:space="preserve"> per family</w:t>
                  </w:r>
                  <w:r w:rsidR="000D5576">
                    <w:rPr>
                      <w:rStyle w:val="FootnoteReference"/>
                      <w:szCs w:val="16"/>
                    </w:rPr>
                    <w:footnoteReference w:id="15"/>
                  </w:r>
                  <w:r w:rsidR="000C2636" w:rsidRPr="004B1A93">
                    <w:rPr>
                      <w:rFonts w:ascii="Verdana" w:hAnsi="Verdana"/>
                      <w:sz w:val="16"/>
                      <w:szCs w:val="16"/>
                    </w:rPr>
                    <w:t xml:space="preserve">. </w:t>
                  </w:r>
                </w:p>
                <w:p w14:paraId="54946BAD" w14:textId="77777777" w:rsidR="000C2636" w:rsidRPr="004B1A93" w:rsidRDefault="000C2636" w:rsidP="004B1A93">
                  <w:pPr>
                    <w:spacing w:before="40" w:after="40" w:line="240" w:lineRule="auto"/>
                    <w:rPr>
                      <w:rFonts w:ascii="Calibri" w:hAnsi="Calibri"/>
                      <w:sz w:val="16"/>
                      <w:szCs w:val="16"/>
                    </w:rPr>
                  </w:pPr>
                </w:p>
                <w:p w14:paraId="5CF3A263" w14:textId="75673CBC" w:rsidR="000C2636" w:rsidRPr="004B1A93" w:rsidRDefault="00E05C3E" w:rsidP="004B1A93">
                  <w:pPr>
                    <w:spacing w:before="40" w:after="40" w:line="240" w:lineRule="auto"/>
                    <w:rPr>
                      <w:rFonts w:ascii="Verdana" w:hAnsi="Verdana"/>
                      <w:sz w:val="16"/>
                      <w:szCs w:val="16"/>
                    </w:rPr>
                  </w:pPr>
                  <w:r>
                    <w:rPr>
                      <w:rFonts w:ascii="Verdana" w:hAnsi="Verdana"/>
                      <w:sz w:val="16"/>
                      <w:szCs w:val="16"/>
                    </w:rPr>
                    <w:t xml:space="preserve">Two-parent </w:t>
                  </w:r>
                  <w:r w:rsidR="000C2636" w:rsidRPr="004B1A93">
                    <w:rPr>
                      <w:rFonts w:ascii="Verdana" w:hAnsi="Verdana"/>
                      <w:sz w:val="16"/>
                      <w:szCs w:val="16"/>
                    </w:rPr>
                    <w:t>families</w:t>
                  </w:r>
                  <w:r>
                    <w:rPr>
                      <w:rFonts w:ascii="Verdana" w:hAnsi="Verdana"/>
                      <w:sz w:val="16"/>
                      <w:szCs w:val="16"/>
                    </w:rPr>
                    <w:t xml:space="preserve"> (10% of the MFTC recipients)</w:t>
                  </w:r>
                  <w:r w:rsidR="000C2636" w:rsidRPr="004B1A93">
                    <w:rPr>
                      <w:rFonts w:ascii="Verdana" w:hAnsi="Verdana"/>
                      <w:sz w:val="16"/>
                      <w:szCs w:val="16"/>
                    </w:rPr>
                    <w:t xml:space="preserve"> would be better off receiving an abated benefit and working than staying on the MFTC.</w:t>
                  </w:r>
                </w:p>
              </w:tc>
            </w:tr>
            <w:tr w:rsidR="00C03E40" w:rsidRPr="004B1A93" w14:paraId="4B621BF8" w14:textId="77777777" w:rsidTr="000C2636">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A60DF" w14:textId="690F7DDF"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 xml:space="preserve">Option Three – no alignment </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F532F1E" w14:textId="1C32EF35"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This would maintain the threshold at $29,432</w:t>
                  </w:r>
                  <w:r>
                    <w:rPr>
                      <w:rFonts w:ascii="Verdana" w:hAnsi="Verdana"/>
                      <w:sz w:val="16"/>
                      <w:szCs w:val="16"/>
                    </w:rPr>
                    <w:t xml:space="preserve"> (assuming retrospective change goes ahead).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DB0F475" w14:textId="77777777" w:rsidR="00FF6349" w:rsidRDefault="00C03E40" w:rsidP="004B1A93">
                  <w:pPr>
                    <w:spacing w:before="40" w:after="40" w:line="240" w:lineRule="auto"/>
                    <w:rPr>
                      <w:rFonts w:ascii="Verdana" w:hAnsi="Verdana"/>
                      <w:sz w:val="16"/>
                      <w:szCs w:val="16"/>
                    </w:rPr>
                  </w:pPr>
                  <w:r>
                    <w:rPr>
                      <w:rFonts w:ascii="Verdana" w:hAnsi="Verdana"/>
                      <w:sz w:val="16"/>
                      <w:szCs w:val="16"/>
                    </w:rPr>
                    <w:t>There may be some</w:t>
                  </w:r>
                  <w:r w:rsidR="00292727">
                    <w:rPr>
                      <w:rFonts w:ascii="Verdana" w:hAnsi="Verdana"/>
                      <w:sz w:val="16"/>
                      <w:szCs w:val="16"/>
                    </w:rPr>
                    <w:t xml:space="preserve"> working</w:t>
                  </w:r>
                  <w:r>
                    <w:rPr>
                      <w:rFonts w:ascii="Verdana" w:hAnsi="Verdana"/>
                      <w:sz w:val="16"/>
                      <w:szCs w:val="16"/>
                    </w:rPr>
                    <w:t xml:space="preserve"> families</w:t>
                  </w:r>
                  <w:r w:rsidR="001F1B03">
                    <w:rPr>
                      <w:rFonts w:ascii="Verdana" w:hAnsi="Verdana"/>
                      <w:sz w:val="16"/>
                      <w:szCs w:val="16"/>
                    </w:rPr>
                    <w:t>,</w:t>
                  </w:r>
                  <w:r>
                    <w:rPr>
                      <w:rFonts w:ascii="Verdana" w:hAnsi="Verdana"/>
                      <w:sz w:val="16"/>
                      <w:szCs w:val="16"/>
                    </w:rPr>
                    <w:t xml:space="preserve"> who move off the MFTC and on to a benefit</w:t>
                  </w:r>
                  <w:r w:rsidR="00292727">
                    <w:rPr>
                      <w:rFonts w:ascii="Verdana" w:hAnsi="Verdana"/>
                      <w:sz w:val="16"/>
                      <w:szCs w:val="16"/>
                    </w:rPr>
                    <w:t xml:space="preserve"> (or stay on benefit rather than move onto the MFTC)</w:t>
                  </w:r>
                  <w:r w:rsidR="00FF6349">
                    <w:rPr>
                      <w:rFonts w:ascii="Verdana" w:hAnsi="Verdana"/>
                      <w:sz w:val="16"/>
                      <w:szCs w:val="16"/>
                    </w:rPr>
                    <w:t xml:space="preserve">. </w:t>
                  </w:r>
                </w:p>
                <w:p w14:paraId="75435F26" w14:textId="12D7DBD7" w:rsidR="000C2636" w:rsidRPr="004B1A93" w:rsidRDefault="00FF6349" w:rsidP="004B1A93">
                  <w:pPr>
                    <w:spacing w:before="40" w:after="40" w:line="240" w:lineRule="auto"/>
                    <w:rPr>
                      <w:rFonts w:ascii="Verdana" w:hAnsi="Verdana"/>
                      <w:sz w:val="16"/>
                      <w:szCs w:val="16"/>
                    </w:rPr>
                  </w:pPr>
                  <w:r>
                    <w:rPr>
                      <w:rFonts w:ascii="Verdana" w:hAnsi="Verdana"/>
                      <w:sz w:val="16"/>
                      <w:szCs w:val="16"/>
                    </w:rPr>
                    <w:t>T</w:t>
                  </w:r>
                  <w:r w:rsidR="00C03E40">
                    <w:rPr>
                      <w:rFonts w:ascii="Verdana" w:hAnsi="Verdana"/>
                      <w:sz w:val="16"/>
                      <w:szCs w:val="16"/>
                    </w:rPr>
                    <w:t xml:space="preserve">his would mean reduced MFTC (and In-work Tax Credit) costs, but an increase in benefit costs. These costs have not been quantified and are likely to be small.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34A6190F" w14:textId="57A39A4E"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Around 3,</w:t>
                  </w:r>
                  <w:r w:rsidR="00C03E40" w:rsidRPr="004B1A93">
                    <w:rPr>
                      <w:rFonts w:ascii="Verdana" w:hAnsi="Verdana"/>
                      <w:sz w:val="16"/>
                      <w:szCs w:val="16"/>
                    </w:rPr>
                    <w:t>6</w:t>
                  </w:r>
                  <w:r w:rsidRPr="004B1A93">
                    <w:rPr>
                      <w:rFonts w:ascii="Verdana" w:hAnsi="Verdana"/>
                      <w:sz w:val="16"/>
                      <w:szCs w:val="16"/>
                    </w:rPr>
                    <w:t>00 families receiving the MFTC in the 2020/21 tax year would continue to receive the same amount of MFTC as in 2020/21.</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14:paraId="631C2FC9" w14:textId="77777777" w:rsidR="000C2636" w:rsidRPr="004B1A93" w:rsidRDefault="000C2636" w:rsidP="004B1A93">
                  <w:pPr>
                    <w:spacing w:before="40" w:after="40" w:line="240" w:lineRule="auto"/>
                    <w:rPr>
                      <w:rFonts w:ascii="Verdana" w:hAnsi="Verdana"/>
                      <w:sz w:val="16"/>
                      <w:szCs w:val="16"/>
                    </w:rPr>
                  </w:pPr>
                  <w:r w:rsidRPr="004B1A93">
                    <w:rPr>
                      <w:rFonts w:ascii="Verdana" w:hAnsi="Verdana"/>
                      <w:sz w:val="16"/>
                      <w:szCs w:val="16"/>
                    </w:rPr>
                    <w:t>Couples (and some sole-parent families) would be better off working and receiving an abated benefit than staying on the MFTC.</w:t>
                  </w:r>
                </w:p>
              </w:tc>
            </w:tr>
          </w:tbl>
          <w:p w14:paraId="0A2E045A" w14:textId="77777777" w:rsidR="00222459" w:rsidRDefault="00222459" w:rsidP="004B1A93">
            <w:pPr>
              <w:spacing w:before="60" w:after="0" w:line="276" w:lineRule="auto"/>
              <w:jc w:val="both"/>
              <w:rPr>
                <w:rFonts w:cs="Arial"/>
                <w:szCs w:val="22"/>
                <w:lang w:eastAsia="en-AU"/>
              </w:rPr>
            </w:pPr>
          </w:p>
          <w:p w14:paraId="6C534385" w14:textId="6B3A4A32" w:rsidR="004158C4" w:rsidRPr="004158C4" w:rsidRDefault="004046C9" w:rsidP="004B1A93">
            <w:pPr>
              <w:spacing w:before="60" w:after="0" w:line="276" w:lineRule="auto"/>
              <w:jc w:val="both"/>
              <w:rPr>
                <w:rFonts w:cs="Arial"/>
                <w:szCs w:val="22"/>
                <w:lang w:eastAsia="en-AU"/>
              </w:rPr>
            </w:pPr>
            <w:r w:rsidRPr="004B1A93">
              <w:rPr>
                <w:rFonts w:cs="Arial"/>
                <w:szCs w:val="22"/>
                <w:lang w:eastAsia="en-AU"/>
              </w:rPr>
              <w:t xml:space="preserve">** </w:t>
            </w:r>
            <w:r w:rsidRPr="00BF7560">
              <w:rPr>
                <w:rFonts w:cs="Arial"/>
                <w:szCs w:val="22"/>
                <w:lang w:eastAsia="en-AU"/>
              </w:rPr>
              <w:t xml:space="preserve">Note </w:t>
            </w:r>
            <w:r w:rsidRPr="00C83610">
              <w:rPr>
                <w:rFonts w:cs="Arial"/>
                <w:szCs w:val="22"/>
                <w:lang w:eastAsia="en-AU"/>
              </w:rPr>
              <w:t xml:space="preserve">that this table </w:t>
            </w:r>
            <w:r w:rsidR="00F934F5" w:rsidRPr="00C83610">
              <w:rPr>
                <w:rFonts w:cs="Arial"/>
                <w:szCs w:val="22"/>
                <w:lang w:eastAsia="en-AU"/>
              </w:rPr>
              <w:t>assumes the full retrospective alignment for the 2020/21 MFTC threshold</w:t>
            </w:r>
            <w:r w:rsidR="00F934F5" w:rsidRPr="00BF7560">
              <w:rPr>
                <w:rFonts w:cs="Arial"/>
                <w:szCs w:val="22"/>
                <w:lang w:eastAsia="en-AU"/>
              </w:rPr>
              <w:t xml:space="preserve">, which </w:t>
            </w:r>
            <w:r w:rsidR="007C26D4" w:rsidRPr="00C83610">
              <w:rPr>
                <w:rFonts w:cs="Arial"/>
                <w:szCs w:val="22"/>
                <w:lang w:eastAsia="en-AU"/>
              </w:rPr>
              <w:t>was</w:t>
            </w:r>
            <w:r w:rsidR="00F934F5" w:rsidRPr="00BF7560">
              <w:rPr>
                <w:rFonts w:cs="Arial"/>
                <w:szCs w:val="22"/>
                <w:lang w:eastAsia="en-AU"/>
              </w:rPr>
              <w:t xml:space="preserve"> agreed by Cabinet on 30 </w:t>
            </w:r>
            <w:r w:rsidR="00F934F5" w:rsidRPr="00C83610">
              <w:rPr>
                <w:rFonts w:cs="Arial"/>
                <w:szCs w:val="22"/>
                <w:lang w:eastAsia="en-AU"/>
              </w:rPr>
              <w:t>November 2020</w:t>
            </w:r>
            <w:r w:rsidR="00C3380B">
              <w:rPr>
                <w:rFonts w:cs="Arial"/>
                <w:szCs w:val="22"/>
                <w:lang w:eastAsia="en-AU"/>
              </w:rPr>
              <w:t xml:space="preserve">, </w:t>
            </w:r>
            <w:r w:rsidR="00C3380B" w:rsidRPr="00C83610">
              <w:rPr>
                <w:rFonts w:cs="Arial"/>
                <w:szCs w:val="22"/>
                <w:lang w:eastAsia="en-AU"/>
              </w:rPr>
              <w:t>has been implemented</w:t>
            </w:r>
            <w:r w:rsidR="00F934F5" w:rsidRPr="00C83610">
              <w:rPr>
                <w:rFonts w:cs="Arial"/>
                <w:szCs w:val="22"/>
                <w:lang w:eastAsia="en-AU"/>
              </w:rPr>
              <w:t xml:space="preserve"> [CAB</w:t>
            </w:r>
            <w:r w:rsidR="004557E0" w:rsidRPr="00C83610">
              <w:rPr>
                <w:rFonts w:cs="Arial"/>
                <w:szCs w:val="22"/>
                <w:lang w:eastAsia="en-AU"/>
              </w:rPr>
              <w:t>-20-MIN-0490</w:t>
            </w:r>
            <w:r w:rsidR="008613CD">
              <w:rPr>
                <w:rFonts w:cs="Arial"/>
                <w:szCs w:val="22"/>
                <w:lang w:eastAsia="en-AU"/>
              </w:rPr>
              <w:t xml:space="preserve"> refers</w:t>
            </w:r>
            <w:r w:rsidR="00F934F5" w:rsidRPr="00BF7560">
              <w:rPr>
                <w:rFonts w:cs="Arial"/>
                <w:szCs w:val="22"/>
                <w:lang w:eastAsia="en-AU"/>
              </w:rPr>
              <w:t>]</w:t>
            </w:r>
            <w:r w:rsidRPr="00C83610">
              <w:rPr>
                <w:rFonts w:cs="Arial"/>
                <w:szCs w:val="22"/>
                <w:lang w:eastAsia="en-AU"/>
              </w:rPr>
              <w:t>.</w:t>
            </w:r>
          </w:p>
        </w:tc>
      </w:tr>
    </w:tbl>
    <w:p w14:paraId="575109F7" w14:textId="77777777" w:rsidR="0062657E" w:rsidRPr="009C4129" w:rsidRDefault="0062657E" w:rsidP="00C17661">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2"/>
      </w:tblGrid>
      <w:tr w:rsidR="009C4129" w:rsidRPr="009C4129" w14:paraId="7ED40FDE" w14:textId="77777777" w:rsidTr="00346B30">
        <w:trPr>
          <w:trHeight w:val="510"/>
        </w:trPr>
        <w:tc>
          <w:tcPr>
            <w:tcW w:w="5000" w:type="pct"/>
            <w:shd w:val="clear" w:color="auto" w:fill="99CDDD"/>
          </w:tcPr>
          <w:p w14:paraId="5AF83347" w14:textId="2B7A6D8A" w:rsidR="0062657E" w:rsidRPr="009C4129" w:rsidRDefault="00F05AD9" w:rsidP="002428A4">
            <w:pPr>
              <w:keepNext/>
              <w:keepLines/>
              <w:spacing w:before="60" w:after="60" w:line="240" w:lineRule="auto"/>
              <w:rPr>
                <w:rFonts w:cs="Arial"/>
                <w:b/>
                <w:szCs w:val="22"/>
                <w:lang w:eastAsia="en-AU"/>
              </w:rPr>
            </w:pPr>
            <w:r>
              <w:rPr>
                <w:rFonts w:cs="Arial"/>
                <w:b/>
                <w:szCs w:val="22"/>
                <w:lang w:eastAsia="en-AU"/>
              </w:rPr>
              <w:lastRenderedPageBreak/>
              <w:t xml:space="preserve">3.2   </w:t>
            </w:r>
            <w:r w:rsidR="0062657E" w:rsidRPr="009C4129">
              <w:rPr>
                <w:rFonts w:cs="Arial"/>
                <w:b/>
                <w:szCs w:val="22"/>
                <w:lang w:eastAsia="en-AU"/>
              </w:rPr>
              <w:t>What criteria, in addition to monetary costs and benefits</w:t>
            </w:r>
            <w:r w:rsidR="001837C1">
              <w:rPr>
                <w:rFonts w:cs="Arial"/>
                <w:b/>
                <w:szCs w:val="22"/>
                <w:lang w:eastAsia="en-AU"/>
              </w:rPr>
              <w:t xml:space="preserve"> </w:t>
            </w:r>
            <w:r w:rsidR="0062657E" w:rsidRPr="009C4129">
              <w:rPr>
                <w:rFonts w:cs="Arial"/>
                <w:b/>
                <w:szCs w:val="22"/>
                <w:lang w:eastAsia="en-AU"/>
              </w:rPr>
              <w:t>have been used to assess the likely impacts of the options under consideration?</w:t>
            </w:r>
          </w:p>
        </w:tc>
      </w:tr>
      <w:tr w:rsidR="009C4129" w:rsidRPr="009C4129" w14:paraId="2F126AF3" w14:textId="77777777" w:rsidTr="008C7392">
        <w:trPr>
          <w:trHeight w:val="742"/>
        </w:trPr>
        <w:tc>
          <w:tcPr>
            <w:tcW w:w="5000" w:type="pct"/>
            <w:shd w:val="clear" w:color="auto" w:fill="FFFFFF"/>
          </w:tcPr>
          <w:p w14:paraId="27FAA285" w14:textId="0E6C5297" w:rsidR="008C7392" w:rsidRPr="008C7392" w:rsidRDefault="00FF6349" w:rsidP="008C7392">
            <w:pPr>
              <w:rPr>
                <w:b/>
                <w:bCs/>
                <w:i/>
                <w:iCs/>
                <w:lang w:eastAsia="en-AU"/>
              </w:rPr>
            </w:pPr>
            <w:r>
              <w:rPr>
                <w:b/>
                <w:bCs/>
                <w:i/>
                <w:iCs/>
                <w:lang w:eastAsia="en-AU"/>
              </w:rPr>
              <w:t>Full assessment of impacts was not completed for a</w:t>
            </w:r>
            <w:r w:rsidR="008C7392">
              <w:rPr>
                <w:b/>
                <w:bCs/>
                <w:i/>
                <w:iCs/>
                <w:lang w:eastAsia="en-AU"/>
              </w:rPr>
              <w:t>batement threshold increases</w:t>
            </w:r>
          </w:p>
          <w:p w14:paraId="3DF03E3F" w14:textId="208050A6" w:rsidR="003C2735" w:rsidRDefault="008C7392" w:rsidP="008C7392">
            <w:pPr>
              <w:rPr>
                <w:lang w:eastAsia="en-AU"/>
              </w:rPr>
            </w:pPr>
            <w:r>
              <w:rPr>
                <w:lang w:eastAsia="en-AU"/>
              </w:rPr>
              <w:t xml:space="preserve">As the Labour Party has committed to increasing the abatement thresholds as per Option One, </w:t>
            </w:r>
            <w:r w:rsidR="005F5995">
              <w:rPr>
                <w:lang w:eastAsia="en-AU"/>
              </w:rPr>
              <w:t>MSD has</w:t>
            </w:r>
            <w:r>
              <w:rPr>
                <w:lang w:eastAsia="en-AU"/>
              </w:rPr>
              <w:t xml:space="preserve"> not undertaken a full assessment of the likely impacts of the options</w:t>
            </w:r>
            <w:r w:rsidR="005D137B">
              <w:rPr>
                <w:lang w:eastAsia="en-AU"/>
              </w:rPr>
              <w:t xml:space="preserve"> in this RIA</w:t>
            </w:r>
            <w:r>
              <w:rPr>
                <w:lang w:eastAsia="en-AU"/>
              </w:rPr>
              <w:t xml:space="preserve">. </w:t>
            </w:r>
          </w:p>
          <w:p w14:paraId="4C532955" w14:textId="24CED306" w:rsidR="008C7392" w:rsidRPr="008C7392" w:rsidRDefault="00FF6349" w:rsidP="008C7392">
            <w:pPr>
              <w:rPr>
                <w:b/>
                <w:bCs/>
                <w:lang w:eastAsia="en-AU"/>
              </w:rPr>
            </w:pPr>
            <w:r>
              <w:rPr>
                <w:b/>
                <w:bCs/>
                <w:i/>
                <w:iCs/>
                <w:lang w:eastAsia="en-AU"/>
              </w:rPr>
              <w:t>Criteria for evaluating options for a</w:t>
            </w:r>
            <w:r w:rsidR="008C7392">
              <w:rPr>
                <w:b/>
                <w:bCs/>
                <w:i/>
                <w:iCs/>
                <w:lang w:eastAsia="en-AU"/>
              </w:rPr>
              <w:t>djust</w:t>
            </w:r>
            <w:r>
              <w:rPr>
                <w:b/>
                <w:bCs/>
                <w:i/>
                <w:iCs/>
                <w:lang w:eastAsia="en-AU"/>
              </w:rPr>
              <w:t xml:space="preserve">ing </w:t>
            </w:r>
            <w:r w:rsidR="008C7392">
              <w:rPr>
                <w:b/>
                <w:bCs/>
                <w:i/>
                <w:iCs/>
                <w:lang w:eastAsia="en-AU"/>
              </w:rPr>
              <w:t>the Minimum Family Tax Credit</w:t>
            </w:r>
          </w:p>
          <w:p w14:paraId="323F6528" w14:textId="77777777" w:rsidR="008C7392" w:rsidRPr="008C7392" w:rsidRDefault="008C7392" w:rsidP="008C7392">
            <w:pPr>
              <w:rPr>
                <w:lang w:eastAsia="en-AU"/>
              </w:rPr>
            </w:pPr>
            <w:r w:rsidRPr="008C7392">
              <w:rPr>
                <w:lang w:eastAsia="en-AU"/>
              </w:rPr>
              <w:t>Both the retrospective and prospective alignment options have been evaluated against the following criteria:</w:t>
            </w:r>
          </w:p>
          <w:p w14:paraId="45186E05" w14:textId="0F0EF090" w:rsidR="008C7392" w:rsidRPr="008C7392" w:rsidRDefault="008C7392" w:rsidP="00C83610">
            <w:pPr>
              <w:pStyle w:val="ListParagraph"/>
              <w:numPr>
                <w:ilvl w:val="0"/>
                <w:numId w:val="23"/>
              </w:numPr>
              <w:rPr>
                <w:lang w:eastAsia="en-AU"/>
              </w:rPr>
            </w:pPr>
            <w:r w:rsidRPr="000E6237">
              <w:rPr>
                <w:b/>
                <w:bCs/>
                <w:lang w:eastAsia="en-AU"/>
              </w:rPr>
              <w:t>Work incentives</w:t>
            </w:r>
            <w:r w:rsidRPr="008C7392">
              <w:rPr>
                <w:lang w:eastAsia="en-AU"/>
              </w:rPr>
              <w:t xml:space="preserve"> – the option should ensure the MFTC continues to fulfil its policy objective </w:t>
            </w:r>
            <w:r w:rsidR="005D137B">
              <w:rPr>
                <w:lang w:eastAsia="en-AU"/>
              </w:rPr>
              <w:t xml:space="preserve">to </w:t>
            </w:r>
            <w:r w:rsidRPr="008C7392">
              <w:rPr>
                <w:lang w:eastAsia="en-AU"/>
              </w:rPr>
              <w:t xml:space="preserve">financially incentivise low-income families with children to move </w:t>
            </w:r>
            <w:r w:rsidR="00292727">
              <w:rPr>
                <w:lang w:eastAsia="en-AU"/>
              </w:rPr>
              <w:t>from working and receiving a</w:t>
            </w:r>
            <w:r w:rsidR="00292727" w:rsidRPr="008C7392">
              <w:rPr>
                <w:lang w:eastAsia="en-AU"/>
              </w:rPr>
              <w:t xml:space="preserve"> </w:t>
            </w:r>
            <w:r w:rsidRPr="008C7392">
              <w:rPr>
                <w:lang w:eastAsia="en-AU"/>
              </w:rPr>
              <w:t xml:space="preserve">benefit </w:t>
            </w:r>
            <w:r w:rsidR="00292727">
              <w:rPr>
                <w:lang w:eastAsia="en-AU"/>
              </w:rPr>
              <w:t>to working and receiving the MFTC</w:t>
            </w:r>
            <w:r w:rsidRPr="008C7392">
              <w:rPr>
                <w:lang w:eastAsia="en-AU"/>
              </w:rPr>
              <w:t>.</w:t>
            </w:r>
          </w:p>
          <w:p w14:paraId="5541A263" w14:textId="610F4B4D" w:rsidR="008C7392" w:rsidRPr="008C7392" w:rsidRDefault="008C7392" w:rsidP="00C83610">
            <w:pPr>
              <w:pStyle w:val="ListParagraph"/>
              <w:numPr>
                <w:ilvl w:val="0"/>
                <w:numId w:val="23"/>
              </w:numPr>
              <w:rPr>
                <w:lang w:eastAsia="en-AU"/>
              </w:rPr>
            </w:pPr>
            <w:r w:rsidRPr="000E6237">
              <w:rPr>
                <w:b/>
                <w:bCs/>
                <w:lang w:eastAsia="en-AU"/>
              </w:rPr>
              <w:t>Equity</w:t>
            </w:r>
            <w:r w:rsidRPr="008C7392">
              <w:rPr>
                <w:lang w:eastAsia="en-AU"/>
              </w:rPr>
              <w:t xml:space="preserve"> – the option should not financially disadvantage those families receiving the MFTC (</w:t>
            </w:r>
            <w:proofErr w:type="spellStart"/>
            <w:r w:rsidR="00FF6349">
              <w:rPr>
                <w:lang w:eastAsia="en-AU"/>
              </w:rPr>
              <w:t>ie</w:t>
            </w:r>
            <w:proofErr w:type="spellEnd"/>
            <w:r w:rsidR="00FF6349">
              <w:rPr>
                <w:lang w:eastAsia="en-AU"/>
              </w:rPr>
              <w:t xml:space="preserve">, </w:t>
            </w:r>
            <w:r w:rsidRPr="008C7392">
              <w:rPr>
                <w:lang w:eastAsia="en-AU"/>
              </w:rPr>
              <w:t>in</w:t>
            </w:r>
            <w:r w:rsidR="00E05C3E">
              <w:rPr>
                <w:lang w:eastAsia="en-AU"/>
              </w:rPr>
              <w:t xml:space="preserve"> full-time</w:t>
            </w:r>
            <w:r w:rsidRPr="008C7392">
              <w:rPr>
                <w:lang w:eastAsia="en-AU"/>
              </w:rPr>
              <w:t xml:space="preserve"> work and off benefit) compared with families who are on benefit.</w:t>
            </w:r>
          </w:p>
          <w:p w14:paraId="70C7764D" w14:textId="239EDB2E" w:rsidR="0062657E" w:rsidRPr="000E6237" w:rsidRDefault="008C7392" w:rsidP="00C83610">
            <w:pPr>
              <w:pStyle w:val="ListParagraph"/>
              <w:numPr>
                <w:ilvl w:val="0"/>
                <w:numId w:val="23"/>
              </w:numPr>
              <w:rPr>
                <w:rFonts w:cs="Arial"/>
                <w:szCs w:val="22"/>
                <w:lang w:eastAsia="en-AU"/>
              </w:rPr>
            </w:pPr>
            <w:r w:rsidRPr="000E6237">
              <w:rPr>
                <w:b/>
                <w:bCs/>
                <w:lang w:eastAsia="en-AU"/>
              </w:rPr>
              <w:t xml:space="preserve">Future reform </w:t>
            </w:r>
            <w:r w:rsidR="00A242CF">
              <w:rPr>
                <w:lang w:eastAsia="en-AU"/>
              </w:rPr>
              <w:t xml:space="preserve">– the </w:t>
            </w:r>
            <w:r w:rsidRPr="008C7392">
              <w:rPr>
                <w:lang w:eastAsia="en-AU"/>
              </w:rPr>
              <w:t xml:space="preserve">option should not </w:t>
            </w:r>
            <w:r w:rsidR="00FF6349">
              <w:rPr>
                <w:lang w:eastAsia="en-AU"/>
              </w:rPr>
              <w:t xml:space="preserve">significantly </w:t>
            </w:r>
            <w:r w:rsidRPr="008C7392">
              <w:rPr>
                <w:lang w:eastAsia="en-AU"/>
              </w:rPr>
              <w:t>limit choices for future reform of the MFTC and WFF scheme generally.</w:t>
            </w:r>
          </w:p>
        </w:tc>
      </w:tr>
    </w:tbl>
    <w:p w14:paraId="709DB33B" w14:textId="77777777" w:rsidR="0062657E" w:rsidRPr="009C4129" w:rsidRDefault="0062657E" w:rsidP="00C17661">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9C4129" w:rsidRPr="009C4129" w14:paraId="160B0422" w14:textId="77777777" w:rsidTr="00346B30">
        <w:trPr>
          <w:trHeight w:val="124"/>
        </w:trPr>
        <w:tc>
          <w:tcPr>
            <w:tcW w:w="5000" w:type="pct"/>
            <w:shd w:val="clear" w:color="auto" w:fill="99CDDD"/>
          </w:tcPr>
          <w:p w14:paraId="6CF1DF28" w14:textId="3B7B5D64" w:rsidR="0062657E" w:rsidRPr="009C4129" w:rsidRDefault="00F05AD9" w:rsidP="006356D0">
            <w:pPr>
              <w:keepNext/>
              <w:spacing w:before="60" w:after="60" w:line="240" w:lineRule="auto"/>
              <w:rPr>
                <w:rFonts w:cs="Arial"/>
                <w:b/>
                <w:szCs w:val="22"/>
                <w:lang w:eastAsia="en-AU"/>
              </w:rPr>
            </w:pPr>
            <w:r>
              <w:rPr>
                <w:rFonts w:cs="Arial"/>
                <w:b/>
                <w:szCs w:val="22"/>
                <w:lang w:eastAsia="en-AU"/>
              </w:rPr>
              <w:t xml:space="preserve">3.3   </w:t>
            </w:r>
            <w:r w:rsidR="0062657E" w:rsidRPr="009C4129">
              <w:rPr>
                <w:rFonts w:cs="Arial"/>
                <w:b/>
                <w:szCs w:val="22"/>
                <w:lang w:eastAsia="en-AU"/>
              </w:rPr>
              <w:t>What other</w:t>
            </w:r>
            <w:r w:rsidR="0062657E" w:rsidRPr="004A11FC">
              <w:rPr>
                <w:rFonts w:cs="Arial"/>
                <w:b/>
                <w:szCs w:val="22"/>
                <w:lang w:eastAsia="en-AU"/>
              </w:rPr>
              <w:t xml:space="preserve"> </w:t>
            </w:r>
            <w:r w:rsidR="0062657E" w:rsidRPr="009C4129">
              <w:rPr>
                <w:rFonts w:cs="Arial"/>
                <w:b/>
                <w:szCs w:val="22"/>
                <w:lang w:eastAsia="en-AU"/>
              </w:rPr>
              <w:t>options have been ruled out of scope, or not considered, and why?</w:t>
            </w:r>
          </w:p>
        </w:tc>
      </w:tr>
      <w:tr w:rsidR="009C4129" w:rsidRPr="009C4129" w14:paraId="5803D46D" w14:textId="77777777" w:rsidTr="008C7392">
        <w:trPr>
          <w:trHeight w:val="1516"/>
        </w:trPr>
        <w:tc>
          <w:tcPr>
            <w:tcW w:w="5000" w:type="pct"/>
            <w:shd w:val="clear" w:color="auto" w:fill="FFFFFF"/>
          </w:tcPr>
          <w:p w14:paraId="3C92CAEE" w14:textId="2AB997AD" w:rsidR="00506A78" w:rsidRDefault="002911BE" w:rsidP="00C6766E">
            <w:pPr>
              <w:rPr>
                <w:lang w:eastAsia="en-AU"/>
              </w:rPr>
            </w:pPr>
            <w:r>
              <w:rPr>
                <w:lang w:eastAsia="en-AU"/>
              </w:rPr>
              <w:t xml:space="preserve">As the Labour Party has committed to increasing the abatement thresholds as per Option One, </w:t>
            </w:r>
            <w:r w:rsidR="005F5995">
              <w:rPr>
                <w:lang w:eastAsia="en-AU"/>
              </w:rPr>
              <w:t>MSD has</w:t>
            </w:r>
            <w:r>
              <w:rPr>
                <w:lang w:eastAsia="en-AU"/>
              </w:rPr>
              <w:t xml:space="preserve"> not considered any other options for change, such as increasing the abatement thresholds by different amounts, or changing the abatement rate.</w:t>
            </w:r>
            <w:r w:rsidR="00C6766E">
              <w:rPr>
                <w:lang w:eastAsia="en-AU"/>
              </w:rPr>
              <w:t xml:space="preserve"> </w:t>
            </w:r>
            <w:r w:rsidR="00506A78">
              <w:rPr>
                <w:lang w:eastAsia="en-AU"/>
              </w:rPr>
              <w:t>Note that changing the abatement rate</w:t>
            </w:r>
            <w:r w:rsidR="00C6766E">
              <w:rPr>
                <w:lang w:eastAsia="en-AU"/>
              </w:rPr>
              <w:t xml:space="preserve"> may be </w:t>
            </w:r>
            <w:r w:rsidR="000E6237">
              <w:rPr>
                <w:lang w:eastAsia="en-AU"/>
              </w:rPr>
              <w:t xml:space="preserve">more difficult </w:t>
            </w:r>
            <w:r w:rsidR="00C6766E">
              <w:rPr>
                <w:lang w:eastAsia="en-AU"/>
              </w:rPr>
              <w:t>to influence people’s decision to work as it</w:t>
            </w:r>
            <w:r w:rsidR="00506A78">
              <w:rPr>
                <w:lang w:eastAsia="en-AU"/>
              </w:rPr>
              <w:t xml:space="preserve"> can be </w:t>
            </w:r>
            <w:r w:rsidR="00C6766E">
              <w:rPr>
                <w:lang w:eastAsia="en-AU"/>
              </w:rPr>
              <w:t xml:space="preserve">harder for people to understand how the changes in the abatement rates affect their payments. </w:t>
            </w:r>
          </w:p>
          <w:p w14:paraId="0E3E8914" w14:textId="7096D0E7" w:rsidR="00C6766E" w:rsidRDefault="00C6766E" w:rsidP="00C6766E">
            <w:pPr>
              <w:rPr>
                <w:lang w:eastAsia="en-AU"/>
              </w:rPr>
            </w:pPr>
            <w:r>
              <w:rPr>
                <w:lang w:eastAsia="en-AU"/>
              </w:rPr>
              <w:t xml:space="preserve">Other options ruled out include possible abatement setting changes for clients on Jobseeker Support on the ground of a health condition, injury or disability (JS-HCD). JS-HCD is available for people assessed as being temporarily unable to work, or able to work only part-time. Therefore, JS-HCD </w:t>
            </w:r>
            <w:r w:rsidR="000E6237">
              <w:rPr>
                <w:lang w:eastAsia="en-AU"/>
              </w:rPr>
              <w:t xml:space="preserve">recipients </w:t>
            </w:r>
            <w:r>
              <w:rPr>
                <w:lang w:eastAsia="en-AU"/>
              </w:rPr>
              <w:t xml:space="preserve">have either part-time or deferred work obligations. However, JS-HCD </w:t>
            </w:r>
            <w:r w:rsidR="000E6237">
              <w:rPr>
                <w:lang w:eastAsia="en-AU"/>
              </w:rPr>
              <w:t xml:space="preserve">recipients </w:t>
            </w:r>
            <w:r>
              <w:rPr>
                <w:lang w:eastAsia="en-AU"/>
              </w:rPr>
              <w:t xml:space="preserve">face the same high abatement rate of 70 percent as other JS clients, aimed at incentivising full-time work, which means current settings may not adequately support JS-HCD </w:t>
            </w:r>
            <w:r w:rsidR="000E6237">
              <w:rPr>
                <w:lang w:eastAsia="en-AU"/>
              </w:rPr>
              <w:t xml:space="preserve">recipients </w:t>
            </w:r>
            <w:r>
              <w:rPr>
                <w:lang w:eastAsia="en-AU"/>
              </w:rPr>
              <w:t xml:space="preserve">to engage in part-time work. </w:t>
            </w:r>
            <w:r w:rsidR="000E6237">
              <w:rPr>
                <w:lang w:eastAsia="en-AU"/>
              </w:rPr>
              <w:t>Changing the abatement settings for JS-HCD recipients to better support part-time work</w:t>
            </w:r>
            <w:r>
              <w:rPr>
                <w:lang w:eastAsia="en-AU"/>
              </w:rPr>
              <w:t xml:space="preserve"> was ruled out due to time constraints</w:t>
            </w:r>
            <w:r w:rsidR="000E6237">
              <w:rPr>
                <w:lang w:eastAsia="en-AU"/>
              </w:rPr>
              <w:t>.</w:t>
            </w:r>
            <w:r>
              <w:rPr>
                <w:lang w:eastAsia="en-AU"/>
              </w:rPr>
              <w:t xml:space="preserve"> </w:t>
            </w:r>
            <w:r w:rsidR="000E6237">
              <w:rPr>
                <w:lang w:eastAsia="en-AU"/>
              </w:rPr>
              <w:t>F</w:t>
            </w:r>
            <w:r>
              <w:rPr>
                <w:lang w:eastAsia="en-AU"/>
              </w:rPr>
              <w:t xml:space="preserve">urther work is required to design and implement any changes in this space to ensure positive outcomes for JS-HCD </w:t>
            </w:r>
            <w:r w:rsidR="000E6237">
              <w:rPr>
                <w:lang w:eastAsia="en-AU"/>
              </w:rPr>
              <w:t>recipients</w:t>
            </w:r>
            <w:r>
              <w:rPr>
                <w:lang w:eastAsia="en-AU"/>
              </w:rPr>
              <w:t xml:space="preserve">. </w:t>
            </w:r>
          </w:p>
          <w:p w14:paraId="19EA9932" w14:textId="725CC2C2" w:rsidR="00010E6F" w:rsidRPr="008C7392" w:rsidRDefault="001C37B2" w:rsidP="001C37B2">
            <w:pPr>
              <w:spacing w:line="240" w:lineRule="auto"/>
              <w:rPr>
                <w:lang w:eastAsia="en-AU"/>
              </w:rPr>
            </w:pPr>
            <w:r w:rsidRPr="001C37B2">
              <w:rPr>
                <w:color w:val="BFBFBF" w:themeColor="background1" w:themeShade="BF"/>
                <w:shd w:val="clear" w:color="auto" w:fill="BFBFBF" w:themeFill="background1" w:themeFillShade="BF"/>
                <w:lang w:eastAsia="en-AU"/>
              </w:rPr>
              <w:t>.</w:t>
            </w:r>
            <w:r w:rsidRPr="001C37B2">
              <w:rPr>
                <w:shd w:val="clear" w:color="auto" w:fill="BFBFBF" w:themeFill="background1" w:themeFillShade="BF"/>
                <w:lang w:eastAsia="en-AU"/>
              </w:rPr>
              <w:t>s 9(2)(f)(iv)</w:t>
            </w:r>
            <w:r w:rsidRPr="001C37B2">
              <w:rPr>
                <w:color w:val="BFBFBF" w:themeColor="background1" w:themeShade="BF"/>
                <w:shd w:val="clear" w:color="auto" w:fill="BFBFBF" w:themeFill="background1" w:themeFillShade="BF"/>
                <w:lang w:eastAsia="en-AU"/>
              </w:rPr>
              <w:t>………………………</w:t>
            </w:r>
            <w:r>
              <w:rPr>
                <w:color w:val="BFBFBF" w:themeColor="background1" w:themeShade="BF"/>
                <w:shd w:val="clear" w:color="auto" w:fill="BFBFBF" w:themeFill="background1" w:themeFillShade="BF"/>
                <w:lang w:eastAsia="en-AU"/>
              </w:rPr>
              <w:t>.</w:t>
            </w:r>
            <w:r w:rsidRPr="001C37B2">
              <w:rPr>
                <w:color w:val="BFBFBF" w:themeColor="background1" w:themeShade="BF"/>
                <w:shd w:val="clear" w:color="auto" w:fill="BFBFBF" w:themeFill="background1" w:themeFillShade="BF"/>
                <w:lang w:eastAsia="en-AU"/>
              </w:rPr>
              <w:t>……………………………………………………………</w:t>
            </w:r>
            <w:proofErr w:type="gramStart"/>
            <w:r w:rsidRPr="001C37B2">
              <w:rPr>
                <w:color w:val="BFBFBF" w:themeColor="background1" w:themeShade="BF"/>
                <w:shd w:val="clear" w:color="auto" w:fill="BFBFBF" w:themeFill="background1" w:themeFillShade="BF"/>
                <w:lang w:eastAsia="en-AU"/>
              </w:rPr>
              <w:t>…..</w:t>
            </w:r>
            <w:proofErr w:type="gramEnd"/>
            <w:r w:rsidRPr="001C37B2">
              <w:rPr>
                <w:color w:val="BFBFBF" w:themeColor="background1" w:themeShade="BF"/>
                <w:shd w:val="clear" w:color="auto" w:fill="BFBFBF" w:themeFill="background1" w:themeFillShade="BF"/>
                <w:lang w:eastAsia="en-AU"/>
              </w:rPr>
              <w:br/>
              <w:t>…………………………</w:t>
            </w:r>
            <w:r>
              <w:rPr>
                <w:color w:val="BFBFBF" w:themeColor="background1" w:themeShade="BF"/>
                <w:shd w:val="clear" w:color="auto" w:fill="BFBFBF" w:themeFill="background1" w:themeFillShade="BF"/>
                <w:lang w:eastAsia="en-AU"/>
              </w:rPr>
              <w:t>….</w:t>
            </w:r>
            <w:r w:rsidRPr="001C37B2">
              <w:rPr>
                <w:color w:val="BFBFBF" w:themeColor="background1" w:themeShade="BF"/>
                <w:shd w:val="clear" w:color="auto" w:fill="BFBFBF" w:themeFill="background1" w:themeFillShade="BF"/>
                <w:lang w:eastAsia="en-AU"/>
              </w:rPr>
              <w:t>……</w:t>
            </w:r>
            <w:r>
              <w:rPr>
                <w:color w:val="BFBFBF" w:themeColor="background1" w:themeShade="BF"/>
                <w:shd w:val="clear" w:color="auto" w:fill="BFBFBF" w:themeFill="background1" w:themeFillShade="BF"/>
                <w:lang w:eastAsia="en-AU"/>
              </w:rPr>
              <w:t>…</w:t>
            </w:r>
            <w:r w:rsidRPr="001C37B2">
              <w:rPr>
                <w:color w:val="BFBFBF" w:themeColor="background1" w:themeShade="BF"/>
                <w:shd w:val="clear" w:color="auto" w:fill="BFBFBF" w:themeFill="background1" w:themeFillShade="BF"/>
                <w:lang w:eastAsia="en-AU"/>
              </w:rPr>
              <w:t>………………………………………………………………...</w:t>
            </w:r>
            <w:r w:rsidRPr="001C37B2">
              <w:rPr>
                <w:color w:val="BFBFBF" w:themeColor="background1" w:themeShade="BF"/>
                <w:shd w:val="clear" w:color="auto" w:fill="BFBFBF" w:themeFill="background1" w:themeFillShade="BF"/>
                <w:lang w:eastAsia="en-AU"/>
              </w:rPr>
              <w:br/>
              <w:t>………………………………………………………………………………………………………</w:t>
            </w:r>
            <w:r w:rsidRPr="001C37B2">
              <w:rPr>
                <w:color w:val="BFBFBF" w:themeColor="background1" w:themeShade="BF"/>
                <w:shd w:val="clear" w:color="auto" w:fill="BFBFBF" w:themeFill="background1" w:themeFillShade="BF"/>
                <w:lang w:eastAsia="en-AU"/>
              </w:rPr>
              <w:br/>
              <w:t>………………………………………………………………………………………………………</w:t>
            </w:r>
          </w:p>
        </w:tc>
      </w:tr>
    </w:tbl>
    <w:p w14:paraId="25F93B75" w14:textId="77777777" w:rsidR="0062657E" w:rsidRPr="009C4129" w:rsidRDefault="0062657E" w:rsidP="007B090A">
      <w:pPr>
        <w:pStyle w:val="spacer"/>
        <w:spacing w:line="276" w:lineRule="auto"/>
        <w:rPr>
          <w:sz w:val="22"/>
        </w:rPr>
      </w:pPr>
    </w:p>
    <w:p w14:paraId="656AB385" w14:textId="77777777" w:rsidR="0062657E" w:rsidRPr="0049234F" w:rsidRDefault="0062657E" w:rsidP="00C17661">
      <w:pPr>
        <w:pStyle w:val="spacer"/>
        <w:sectPr w:rsidR="0062657E" w:rsidRPr="0049234F" w:rsidSect="00FA7EFC">
          <w:headerReference w:type="default" r:id="rId8"/>
          <w:footerReference w:type="default" r:id="rId9"/>
          <w:pgSz w:w="11906" w:h="16838"/>
          <w:pgMar w:top="1134" w:right="1418" w:bottom="992" w:left="1418" w:header="709" w:footer="709" w:gutter="0"/>
          <w:cols w:space="708"/>
          <w:docGrid w:linePitch="360"/>
        </w:sectPr>
      </w:pPr>
    </w:p>
    <w:p w14:paraId="4975E21D" w14:textId="77777777"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lastRenderedPageBreak/>
        <w:t>Section 4:  Impact Analysis</w:t>
      </w:r>
    </w:p>
    <w:p w14:paraId="4A70427C" w14:textId="39821C8A" w:rsidR="009435C4" w:rsidRDefault="009435C4" w:rsidP="009435C4">
      <w:pPr>
        <w:spacing w:after="0" w:line="276" w:lineRule="auto"/>
        <w:rPr>
          <w:rFonts w:cs="Arial"/>
          <w:b/>
          <w:i/>
          <w:szCs w:val="22"/>
        </w:rPr>
      </w:pPr>
      <w:r w:rsidRPr="009435C4">
        <w:rPr>
          <w:rFonts w:cs="Arial"/>
          <w:b/>
          <w:szCs w:val="22"/>
        </w:rPr>
        <w:t xml:space="preserve">Marginal impact: How does each of the options identified </w:t>
      </w:r>
      <w:r w:rsidR="0023241A">
        <w:rPr>
          <w:rFonts w:cs="Arial"/>
          <w:b/>
          <w:szCs w:val="22"/>
        </w:rPr>
        <w:t xml:space="preserve">in </w:t>
      </w:r>
      <w:r w:rsidRPr="009435C4">
        <w:rPr>
          <w:rFonts w:cs="Arial"/>
          <w:b/>
          <w:szCs w:val="22"/>
        </w:rPr>
        <w:t xml:space="preserve">section 3.1 compare with </w:t>
      </w:r>
      <w:r w:rsidR="00DF0840">
        <w:rPr>
          <w:rFonts w:cs="Arial"/>
          <w:b/>
          <w:szCs w:val="22"/>
        </w:rPr>
        <w:t>taking no action</w:t>
      </w:r>
      <w:r w:rsidR="007271F7">
        <w:rPr>
          <w:rFonts w:cs="Arial"/>
          <w:b/>
          <w:szCs w:val="22"/>
        </w:rPr>
        <w:t xml:space="preserve"> </w:t>
      </w:r>
      <w:r w:rsidRPr="009435C4">
        <w:rPr>
          <w:rFonts w:cs="Arial"/>
          <w:b/>
          <w:szCs w:val="22"/>
        </w:rPr>
        <w:t>under each of the criteria set out in section 3.2?</w:t>
      </w:r>
      <w:r w:rsidRPr="009435C4">
        <w:rPr>
          <w:rFonts w:cs="Arial"/>
          <w:b/>
          <w:i/>
          <w:szCs w:val="22"/>
        </w:rPr>
        <w:t xml:space="preserve">  </w:t>
      </w:r>
    </w:p>
    <w:p w14:paraId="4F8DBD30" w14:textId="0B9FB93A" w:rsidR="004A6E48" w:rsidRDefault="004A6E48" w:rsidP="009435C4">
      <w:pPr>
        <w:spacing w:after="0" w:line="276" w:lineRule="auto"/>
        <w:rPr>
          <w:rFonts w:cs="Arial"/>
          <w:b/>
          <w:i/>
          <w:szCs w:val="22"/>
        </w:rPr>
      </w:pPr>
    </w:p>
    <w:p w14:paraId="099190EF" w14:textId="4D63E29D" w:rsidR="004A6E48" w:rsidRPr="004A6E48" w:rsidRDefault="004A6E48" w:rsidP="009435C4">
      <w:pPr>
        <w:spacing w:after="0" w:line="276" w:lineRule="auto"/>
        <w:rPr>
          <w:rFonts w:cs="Arial"/>
          <w:bCs/>
          <w:i/>
          <w:szCs w:val="22"/>
        </w:rPr>
      </w:pPr>
      <w:r>
        <w:rPr>
          <w:rFonts w:cs="Arial"/>
          <w:bCs/>
          <w:i/>
          <w:szCs w:val="22"/>
        </w:rPr>
        <w:t>Adjustment to the Minimum Family Tax Credit - retrospective</w:t>
      </w:r>
    </w:p>
    <w:p w14:paraId="4FB3619E" w14:textId="7EAAAA5B" w:rsidR="0049234F" w:rsidRDefault="0049234F" w:rsidP="0049234F">
      <w:pPr>
        <w:pStyle w:val="spacer"/>
      </w:pP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363"/>
        <w:gridCol w:w="5895"/>
        <w:gridCol w:w="6521"/>
      </w:tblGrid>
      <w:tr w:rsidR="004A6E48" w:rsidRPr="00FE5831" w14:paraId="4C557625" w14:textId="77777777" w:rsidTr="001525DD">
        <w:tc>
          <w:tcPr>
            <w:tcW w:w="1363" w:type="dxa"/>
            <w:shd w:val="clear" w:color="auto" w:fill="99CDDD"/>
          </w:tcPr>
          <w:p w14:paraId="71DCAD35" w14:textId="77777777" w:rsidR="004A6E48" w:rsidRPr="004A6E48" w:rsidRDefault="004A6E48" w:rsidP="001525DD">
            <w:pPr>
              <w:spacing w:before="60" w:after="60" w:line="276" w:lineRule="auto"/>
              <w:jc w:val="both"/>
              <w:rPr>
                <w:rFonts w:cs="Arial"/>
                <w:b/>
                <w:color w:val="FFFFFF"/>
                <w:sz w:val="20"/>
                <w:szCs w:val="24"/>
              </w:rPr>
            </w:pPr>
          </w:p>
        </w:tc>
        <w:tc>
          <w:tcPr>
            <w:tcW w:w="5895" w:type="dxa"/>
            <w:shd w:val="clear" w:color="auto" w:fill="99CDDD"/>
          </w:tcPr>
          <w:p w14:paraId="39EDBC4C" w14:textId="5244FC4C" w:rsidR="004A6E48" w:rsidRPr="004A6E48" w:rsidRDefault="00FA178A" w:rsidP="001525DD">
            <w:pPr>
              <w:spacing w:before="60" w:after="60" w:line="240" w:lineRule="auto"/>
              <w:jc w:val="center"/>
              <w:rPr>
                <w:rFonts w:cs="Arial"/>
                <w:b/>
                <w:color w:val="000000"/>
                <w:sz w:val="20"/>
                <w:szCs w:val="24"/>
              </w:rPr>
            </w:pPr>
            <w:r>
              <w:rPr>
                <w:rFonts w:cs="Arial"/>
                <w:b/>
                <w:color w:val="000000"/>
                <w:sz w:val="20"/>
                <w:szCs w:val="24"/>
              </w:rPr>
              <w:t xml:space="preserve">Option One - </w:t>
            </w:r>
            <w:r w:rsidRPr="00FA178A">
              <w:rPr>
                <w:rFonts w:cs="Arial"/>
                <w:b/>
                <w:color w:val="000000"/>
                <w:sz w:val="20"/>
                <w:szCs w:val="24"/>
              </w:rPr>
              <w:t>Full retrospective alignment of the 2020/21 MFTC threshold</w:t>
            </w:r>
            <w:r w:rsidR="0011674A">
              <w:rPr>
                <w:rFonts w:cs="Arial"/>
                <w:b/>
                <w:color w:val="000000"/>
                <w:sz w:val="20"/>
                <w:szCs w:val="24"/>
              </w:rPr>
              <w:t xml:space="preserve"> (status quo)</w:t>
            </w:r>
          </w:p>
        </w:tc>
        <w:tc>
          <w:tcPr>
            <w:tcW w:w="6521" w:type="dxa"/>
            <w:shd w:val="clear" w:color="auto" w:fill="99CDDD"/>
          </w:tcPr>
          <w:p w14:paraId="705D74C4" w14:textId="378528EA" w:rsidR="004A6E48" w:rsidRPr="004A6E48" w:rsidRDefault="00FA178A" w:rsidP="001525DD">
            <w:pPr>
              <w:spacing w:before="60" w:after="60" w:line="276" w:lineRule="auto"/>
              <w:jc w:val="center"/>
              <w:rPr>
                <w:rFonts w:cs="Arial"/>
                <w:b/>
                <w:color w:val="000000"/>
                <w:sz w:val="20"/>
                <w:szCs w:val="24"/>
              </w:rPr>
            </w:pPr>
            <w:r>
              <w:rPr>
                <w:rFonts w:cs="Arial"/>
                <w:b/>
                <w:color w:val="000000"/>
                <w:sz w:val="20"/>
                <w:szCs w:val="24"/>
              </w:rPr>
              <w:t xml:space="preserve">Option Two - </w:t>
            </w:r>
            <w:r w:rsidRPr="00FA178A">
              <w:rPr>
                <w:rFonts w:cs="Arial"/>
                <w:b/>
                <w:color w:val="000000"/>
                <w:sz w:val="20"/>
                <w:szCs w:val="24"/>
              </w:rPr>
              <w:t>No retrospective alignment of the 2020/21 MFTC threshold</w:t>
            </w:r>
            <w:r w:rsidR="00B74207">
              <w:rPr>
                <w:rFonts w:cs="Arial"/>
                <w:b/>
                <w:color w:val="000000"/>
                <w:sz w:val="20"/>
                <w:szCs w:val="24"/>
              </w:rPr>
              <w:t xml:space="preserve"> </w:t>
            </w:r>
          </w:p>
        </w:tc>
      </w:tr>
      <w:tr w:rsidR="004A6E48" w:rsidRPr="00FE5831" w14:paraId="0C446896" w14:textId="77777777" w:rsidTr="001525DD">
        <w:tc>
          <w:tcPr>
            <w:tcW w:w="1363" w:type="dxa"/>
            <w:shd w:val="clear" w:color="auto" w:fill="99CDDD"/>
          </w:tcPr>
          <w:p w14:paraId="05A2357F" w14:textId="77777777" w:rsidR="004A6E48" w:rsidRPr="004A6E48" w:rsidRDefault="004A6E48" w:rsidP="001525DD">
            <w:pPr>
              <w:spacing w:before="60" w:after="60" w:line="240" w:lineRule="auto"/>
              <w:rPr>
                <w:rFonts w:cs="Arial"/>
                <w:b/>
                <w:color w:val="000000"/>
                <w:sz w:val="20"/>
                <w:szCs w:val="24"/>
              </w:rPr>
            </w:pPr>
            <w:r w:rsidRPr="004A6E48">
              <w:rPr>
                <w:rFonts w:cs="Arial"/>
                <w:b/>
                <w:color w:val="000000"/>
                <w:sz w:val="20"/>
                <w:szCs w:val="24"/>
              </w:rPr>
              <w:t>Work incentives</w:t>
            </w:r>
          </w:p>
        </w:tc>
        <w:tc>
          <w:tcPr>
            <w:tcW w:w="5895" w:type="dxa"/>
            <w:shd w:val="clear" w:color="auto" w:fill="auto"/>
          </w:tcPr>
          <w:p w14:paraId="6B780068" w14:textId="77777777" w:rsidR="00FA178A" w:rsidRPr="001275B9" w:rsidRDefault="004A6E48" w:rsidP="001525DD">
            <w:pPr>
              <w:pStyle w:val="TableText"/>
              <w:spacing w:line="276" w:lineRule="auto"/>
              <w:jc w:val="center"/>
              <w:rPr>
                <w:rFonts w:cs="Arial"/>
                <w:b/>
                <w:sz w:val="24"/>
                <w:szCs w:val="28"/>
              </w:rPr>
            </w:pPr>
            <w:r w:rsidRPr="001275B9">
              <w:rPr>
                <w:rFonts w:cs="Arial"/>
                <w:b/>
                <w:sz w:val="24"/>
                <w:szCs w:val="28"/>
              </w:rPr>
              <w:t xml:space="preserve">0 </w:t>
            </w:r>
          </w:p>
          <w:p w14:paraId="72309C89" w14:textId="7D2F8BDA" w:rsidR="004A6E48" w:rsidRDefault="004A6E48" w:rsidP="008610A9">
            <w:pPr>
              <w:pStyle w:val="TableText"/>
              <w:spacing w:line="276" w:lineRule="auto"/>
              <w:rPr>
                <w:rFonts w:cs="Arial"/>
                <w:bCs/>
                <w:sz w:val="18"/>
                <w:szCs w:val="20"/>
              </w:rPr>
            </w:pPr>
            <w:r w:rsidRPr="004A6E48">
              <w:rPr>
                <w:rFonts w:cs="Arial"/>
                <w:bCs/>
                <w:sz w:val="18"/>
                <w:szCs w:val="20"/>
              </w:rPr>
              <w:t>Work incentives for the months remaining in the tax year (up until 1 April 2021) would be maintained.</w:t>
            </w:r>
          </w:p>
          <w:p w14:paraId="3AEB0AA0" w14:textId="7967CA93" w:rsidR="008610A9" w:rsidRPr="004A6E48" w:rsidRDefault="001275B9" w:rsidP="001275B9">
            <w:pPr>
              <w:pStyle w:val="TableText"/>
              <w:spacing w:line="276" w:lineRule="auto"/>
              <w:rPr>
                <w:rFonts w:cs="Arial"/>
                <w:bCs/>
                <w:sz w:val="18"/>
                <w:szCs w:val="20"/>
              </w:rPr>
            </w:pPr>
            <w:r>
              <w:rPr>
                <w:rFonts w:cs="Arial"/>
                <w:bCs/>
                <w:sz w:val="18"/>
                <w:szCs w:val="20"/>
              </w:rPr>
              <w:t xml:space="preserve">However, any increase delivered by a lump sum at the end of the tax year (to cover April to December 2020) cannot incentivise families to move off benefit after the fact. </w:t>
            </w:r>
          </w:p>
        </w:tc>
        <w:tc>
          <w:tcPr>
            <w:tcW w:w="6521" w:type="dxa"/>
            <w:shd w:val="clear" w:color="auto" w:fill="auto"/>
          </w:tcPr>
          <w:p w14:paraId="66036C85" w14:textId="6E8DC7AF" w:rsidR="004A6E48" w:rsidRPr="001275B9" w:rsidRDefault="004A6E48" w:rsidP="001525DD">
            <w:pPr>
              <w:pStyle w:val="TableText"/>
              <w:spacing w:line="276" w:lineRule="auto"/>
              <w:jc w:val="center"/>
              <w:rPr>
                <w:rFonts w:cs="Arial"/>
                <w:b/>
                <w:color w:val="FF0000"/>
                <w:sz w:val="24"/>
                <w:szCs w:val="28"/>
              </w:rPr>
            </w:pPr>
            <w:r w:rsidRPr="001275B9">
              <w:rPr>
                <w:rFonts w:cs="Arial"/>
                <w:b/>
                <w:color w:val="FF0000"/>
                <w:sz w:val="24"/>
                <w:szCs w:val="28"/>
              </w:rPr>
              <w:t>-</w:t>
            </w:r>
          </w:p>
          <w:p w14:paraId="2C6726B3" w14:textId="01DA9CFB" w:rsidR="004A6E48" w:rsidRPr="004A6E48" w:rsidRDefault="004A6E48" w:rsidP="008610A9">
            <w:pPr>
              <w:pStyle w:val="TableText"/>
              <w:spacing w:line="276" w:lineRule="auto"/>
              <w:rPr>
                <w:rFonts w:cs="Arial"/>
                <w:bCs/>
                <w:sz w:val="18"/>
                <w:szCs w:val="20"/>
              </w:rPr>
            </w:pPr>
            <w:r w:rsidRPr="004A6E48">
              <w:rPr>
                <w:rFonts w:cs="Arial"/>
                <w:bCs/>
                <w:sz w:val="18"/>
                <w:szCs w:val="20"/>
              </w:rPr>
              <w:t>The MFTC threshold would not have met its policy intent of making low</w:t>
            </w:r>
            <w:r w:rsidR="00700A90">
              <w:rPr>
                <w:rFonts w:cs="Arial"/>
                <w:bCs/>
                <w:sz w:val="18"/>
                <w:szCs w:val="20"/>
              </w:rPr>
              <w:t>-</w:t>
            </w:r>
            <w:r w:rsidRPr="004A6E48">
              <w:rPr>
                <w:rFonts w:cs="Arial"/>
                <w:bCs/>
                <w:sz w:val="18"/>
                <w:szCs w:val="20"/>
              </w:rPr>
              <w:t xml:space="preserve">income families better off </w:t>
            </w:r>
            <w:r w:rsidR="00130C32">
              <w:rPr>
                <w:rFonts w:cs="Arial"/>
                <w:bCs/>
                <w:sz w:val="18"/>
                <w:szCs w:val="20"/>
              </w:rPr>
              <w:t>working and receiving</w:t>
            </w:r>
            <w:r w:rsidR="006B3CC4">
              <w:rPr>
                <w:rFonts w:cs="Arial"/>
                <w:bCs/>
                <w:sz w:val="18"/>
                <w:szCs w:val="20"/>
              </w:rPr>
              <w:t xml:space="preserve"> the</w:t>
            </w:r>
            <w:r w:rsidR="00130C32">
              <w:rPr>
                <w:rFonts w:cs="Arial"/>
                <w:bCs/>
                <w:sz w:val="18"/>
                <w:szCs w:val="20"/>
              </w:rPr>
              <w:t xml:space="preserve"> MFTC than working and receiving a benefit</w:t>
            </w:r>
            <w:r w:rsidRPr="004A6E48">
              <w:rPr>
                <w:rFonts w:cs="Arial"/>
                <w:bCs/>
                <w:sz w:val="18"/>
                <w:szCs w:val="20"/>
              </w:rPr>
              <w:t xml:space="preserve">. </w:t>
            </w:r>
          </w:p>
        </w:tc>
      </w:tr>
      <w:tr w:rsidR="004A6E48" w:rsidRPr="00FE5831" w14:paraId="7B1EA9E7" w14:textId="77777777" w:rsidTr="001525DD">
        <w:tc>
          <w:tcPr>
            <w:tcW w:w="1363" w:type="dxa"/>
            <w:shd w:val="clear" w:color="auto" w:fill="99CDDD"/>
          </w:tcPr>
          <w:p w14:paraId="376D07E0" w14:textId="77777777" w:rsidR="004A6E48" w:rsidRPr="004A6E48" w:rsidRDefault="004A6E48" w:rsidP="001525DD">
            <w:pPr>
              <w:spacing w:before="60" w:after="60" w:line="240" w:lineRule="auto"/>
              <w:rPr>
                <w:rFonts w:cs="Arial"/>
                <w:b/>
                <w:color w:val="000000"/>
                <w:sz w:val="20"/>
                <w:szCs w:val="24"/>
              </w:rPr>
            </w:pPr>
            <w:r w:rsidRPr="004A6E48">
              <w:rPr>
                <w:rFonts w:cs="Arial"/>
                <w:b/>
                <w:color w:val="000000"/>
                <w:sz w:val="20"/>
                <w:szCs w:val="24"/>
              </w:rPr>
              <w:t>Equity</w:t>
            </w:r>
          </w:p>
        </w:tc>
        <w:tc>
          <w:tcPr>
            <w:tcW w:w="5895" w:type="dxa"/>
            <w:shd w:val="clear" w:color="auto" w:fill="auto"/>
          </w:tcPr>
          <w:p w14:paraId="294CF481" w14:textId="0CF86C13" w:rsidR="00FA178A" w:rsidRPr="00FA178A" w:rsidRDefault="001275B9" w:rsidP="001525DD">
            <w:pPr>
              <w:pStyle w:val="TableText"/>
              <w:spacing w:line="276" w:lineRule="auto"/>
              <w:jc w:val="center"/>
              <w:rPr>
                <w:rFonts w:cs="Arial"/>
                <w:b/>
                <w:sz w:val="18"/>
                <w:szCs w:val="20"/>
              </w:rPr>
            </w:pPr>
            <w:r w:rsidRPr="001275B9">
              <w:rPr>
                <w:rFonts w:cs="Arial"/>
                <w:b/>
                <w:color w:val="00B050"/>
                <w:sz w:val="24"/>
                <w:szCs w:val="28"/>
              </w:rPr>
              <w:t>+</w:t>
            </w:r>
            <w:r w:rsidRPr="001275B9">
              <w:rPr>
                <w:rFonts w:cs="Arial"/>
                <w:color w:val="00B050"/>
                <w:sz w:val="24"/>
                <w:szCs w:val="28"/>
              </w:rPr>
              <w:t xml:space="preserve"> </w:t>
            </w:r>
            <w:r w:rsidRPr="0049467D">
              <w:rPr>
                <w:rFonts w:cs="Arial"/>
              </w:rPr>
              <w:t xml:space="preserve"> </w:t>
            </w:r>
          </w:p>
          <w:p w14:paraId="370F98E8" w14:textId="58140E36" w:rsidR="004A6E48" w:rsidRDefault="004A6E48" w:rsidP="008610A9">
            <w:pPr>
              <w:pStyle w:val="TableText"/>
              <w:spacing w:line="276" w:lineRule="auto"/>
              <w:rPr>
                <w:rFonts w:cs="Arial"/>
                <w:bCs/>
                <w:sz w:val="18"/>
                <w:szCs w:val="20"/>
              </w:rPr>
            </w:pPr>
            <w:r w:rsidRPr="004A6E48">
              <w:rPr>
                <w:rFonts w:cs="Arial"/>
                <w:bCs/>
                <w:sz w:val="18"/>
                <w:szCs w:val="20"/>
              </w:rPr>
              <w:t xml:space="preserve">Fully aligning the threshold </w:t>
            </w:r>
            <w:r w:rsidR="0086400C">
              <w:rPr>
                <w:rFonts w:cs="Arial"/>
                <w:bCs/>
                <w:sz w:val="18"/>
                <w:szCs w:val="20"/>
              </w:rPr>
              <w:t>will</w:t>
            </w:r>
            <w:r w:rsidRPr="004A6E48">
              <w:rPr>
                <w:rFonts w:cs="Arial"/>
                <w:bCs/>
                <w:sz w:val="18"/>
                <w:szCs w:val="20"/>
              </w:rPr>
              <w:t xml:space="preserve"> mean MFTC recipients </w:t>
            </w:r>
            <w:r w:rsidR="0086400C">
              <w:rPr>
                <w:rFonts w:cs="Arial"/>
                <w:bCs/>
                <w:sz w:val="18"/>
                <w:szCs w:val="20"/>
              </w:rPr>
              <w:t>would</w:t>
            </w:r>
            <w:r w:rsidRPr="004A6E48">
              <w:rPr>
                <w:rFonts w:cs="Arial"/>
                <w:bCs/>
                <w:sz w:val="18"/>
                <w:szCs w:val="20"/>
              </w:rPr>
              <w:t xml:space="preserve"> be not be disadvantaged compared to</w:t>
            </w:r>
            <w:r w:rsidR="00332F2D">
              <w:rPr>
                <w:rFonts w:cs="Arial"/>
                <w:bCs/>
                <w:sz w:val="18"/>
                <w:szCs w:val="20"/>
              </w:rPr>
              <w:t xml:space="preserve"> working</w:t>
            </w:r>
            <w:r w:rsidRPr="004A6E48">
              <w:rPr>
                <w:rFonts w:cs="Arial"/>
                <w:bCs/>
                <w:sz w:val="18"/>
                <w:szCs w:val="20"/>
              </w:rPr>
              <w:t xml:space="preserve"> families </w:t>
            </w:r>
            <w:r w:rsidR="00332F2D">
              <w:rPr>
                <w:rFonts w:cs="Arial"/>
                <w:bCs/>
                <w:sz w:val="18"/>
                <w:szCs w:val="20"/>
              </w:rPr>
              <w:t>receiving a</w:t>
            </w:r>
            <w:r w:rsidRPr="004A6E48">
              <w:rPr>
                <w:rFonts w:cs="Arial"/>
                <w:bCs/>
                <w:sz w:val="18"/>
                <w:szCs w:val="20"/>
              </w:rPr>
              <w:t xml:space="preserve"> benefit</w:t>
            </w:r>
            <w:r w:rsidR="00083C3A">
              <w:rPr>
                <w:rFonts w:cs="Arial"/>
                <w:bCs/>
                <w:sz w:val="18"/>
                <w:szCs w:val="20"/>
              </w:rPr>
              <w:t>.</w:t>
            </w:r>
          </w:p>
          <w:p w14:paraId="6CD3FDDB" w14:textId="64D92C18" w:rsidR="00083C3A" w:rsidRPr="004A6E48" w:rsidRDefault="00083C3A" w:rsidP="008610A9">
            <w:pPr>
              <w:pStyle w:val="TableText"/>
              <w:spacing w:line="276" w:lineRule="auto"/>
              <w:rPr>
                <w:rFonts w:cs="Arial"/>
                <w:bCs/>
                <w:sz w:val="18"/>
                <w:szCs w:val="20"/>
              </w:rPr>
            </w:pPr>
            <w:r>
              <w:rPr>
                <w:rFonts w:cs="Arial"/>
                <w:bCs/>
                <w:sz w:val="18"/>
                <w:szCs w:val="20"/>
              </w:rPr>
              <w:t xml:space="preserve">Given the income assistance provided to those on benefit was increased on 1 April 2020 and the MFTC is set </w:t>
            </w:r>
            <w:r w:rsidR="000E6237">
              <w:rPr>
                <w:rFonts w:cs="Arial"/>
                <w:bCs/>
                <w:sz w:val="18"/>
                <w:szCs w:val="20"/>
              </w:rPr>
              <w:t xml:space="preserve">relative </w:t>
            </w:r>
            <w:r>
              <w:rPr>
                <w:rFonts w:cs="Arial"/>
                <w:bCs/>
                <w:sz w:val="18"/>
                <w:szCs w:val="20"/>
              </w:rPr>
              <w:t xml:space="preserve">to the amount </w:t>
            </w:r>
            <w:r w:rsidR="004678D8">
              <w:rPr>
                <w:rFonts w:cs="Arial"/>
                <w:bCs/>
                <w:sz w:val="18"/>
                <w:szCs w:val="20"/>
              </w:rPr>
              <w:t xml:space="preserve">of income a beneficiary can receive, MFTC recipients should also be compensated for the increase in assistance to beneficiaries. </w:t>
            </w:r>
          </w:p>
        </w:tc>
        <w:tc>
          <w:tcPr>
            <w:tcW w:w="6521" w:type="dxa"/>
            <w:shd w:val="clear" w:color="auto" w:fill="auto"/>
          </w:tcPr>
          <w:p w14:paraId="0C72F90C" w14:textId="77777777" w:rsidR="00FA178A" w:rsidRPr="001275B9" w:rsidRDefault="004A6E48" w:rsidP="001525DD">
            <w:pPr>
              <w:pStyle w:val="TableText"/>
              <w:spacing w:line="276" w:lineRule="auto"/>
              <w:jc w:val="center"/>
              <w:rPr>
                <w:rFonts w:cs="Arial"/>
                <w:b/>
                <w:sz w:val="24"/>
                <w:szCs w:val="28"/>
              </w:rPr>
            </w:pPr>
            <w:r w:rsidRPr="001275B9">
              <w:rPr>
                <w:rFonts w:cs="Arial"/>
                <w:b/>
                <w:color w:val="FF0000"/>
                <w:sz w:val="24"/>
                <w:szCs w:val="28"/>
              </w:rPr>
              <w:t>- -</w:t>
            </w:r>
            <w:r w:rsidRPr="001275B9">
              <w:rPr>
                <w:rFonts w:cs="Arial"/>
                <w:b/>
                <w:sz w:val="24"/>
                <w:szCs w:val="28"/>
              </w:rPr>
              <w:t xml:space="preserve"> </w:t>
            </w:r>
          </w:p>
          <w:p w14:paraId="1BBEA077" w14:textId="14721A57" w:rsidR="004A6E48" w:rsidRPr="004A6E48" w:rsidRDefault="004A6E48" w:rsidP="008610A9">
            <w:pPr>
              <w:pStyle w:val="TableText"/>
              <w:spacing w:line="276" w:lineRule="auto"/>
              <w:rPr>
                <w:rFonts w:cs="Arial"/>
                <w:bCs/>
                <w:sz w:val="18"/>
                <w:szCs w:val="20"/>
              </w:rPr>
            </w:pPr>
            <w:r w:rsidRPr="004A6E48">
              <w:rPr>
                <w:rFonts w:cs="Arial"/>
                <w:bCs/>
                <w:sz w:val="18"/>
                <w:szCs w:val="20"/>
              </w:rPr>
              <w:t xml:space="preserve">Not aligning the threshold </w:t>
            </w:r>
            <w:r w:rsidR="0086400C">
              <w:rPr>
                <w:rFonts w:cs="Arial"/>
                <w:bCs/>
                <w:sz w:val="18"/>
                <w:szCs w:val="20"/>
              </w:rPr>
              <w:t>will</w:t>
            </w:r>
            <w:r w:rsidRPr="004A6E48">
              <w:rPr>
                <w:rFonts w:cs="Arial"/>
                <w:bCs/>
                <w:sz w:val="18"/>
                <w:szCs w:val="20"/>
              </w:rPr>
              <w:t xml:space="preserve"> mean MFTC recipients </w:t>
            </w:r>
            <w:r w:rsidR="0086400C">
              <w:rPr>
                <w:rFonts w:cs="Arial"/>
                <w:bCs/>
                <w:sz w:val="18"/>
                <w:szCs w:val="20"/>
              </w:rPr>
              <w:t>would</w:t>
            </w:r>
            <w:r w:rsidRPr="004A6E48">
              <w:rPr>
                <w:rFonts w:cs="Arial"/>
                <w:bCs/>
                <w:sz w:val="18"/>
                <w:szCs w:val="20"/>
              </w:rPr>
              <w:t xml:space="preserve"> be disadvantaged compared to</w:t>
            </w:r>
            <w:r w:rsidR="00332F2D">
              <w:rPr>
                <w:rFonts w:cs="Arial"/>
                <w:bCs/>
                <w:sz w:val="18"/>
                <w:szCs w:val="20"/>
              </w:rPr>
              <w:t xml:space="preserve"> working</w:t>
            </w:r>
            <w:r w:rsidRPr="004A6E48">
              <w:rPr>
                <w:rFonts w:cs="Arial"/>
                <w:bCs/>
                <w:sz w:val="18"/>
                <w:szCs w:val="20"/>
              </w:rPr>
              <w:t xml:space="preserve"> families </w:t>
            </w:r>
            <w:r w:rsidR="00332F2D">
              <w:rPr>
                <w:rFonts w:cs="Arial"/>
                <w:bCs/>
                <w:sz w:val="18"/>
                <w:szCs w:val="20"/>
              </w:rPr>
              <w:t>receiving a</w:t>
            </w:r>
            <w:r w:rsidRPr="004A6E48">
              <w:rPr>
                <w:rFonts w:cs="Arial"/>
                <w:bCs/>
                <w:sz w:val="18"/>
                <w:szCs w:val="20"/>
              </w:rPr>
              <w:t xml:space="preserve"> benefit</w:t>
            </w:r>
            <w:r w:rsidR="00700A90">
              <w:rPr>
                <w:rFonts w:cs="Arial"/>
                <w:bCs/>
                <w:sz w:val="18"/>
                <w:szCs w:val="20"/>
              </w:rPr>
              <w:t>.</w:t>
            </w:r>
          </w:p>
        </w:tc>
      </w:tr>
      <w:tr w:rsidR="004A6E48" w:rsidRPr="00FE5831" w14:paraId="29F7274E" w14:textId="77777777" w:rsidTr="001525DD">
        <w:tc>
          <w:tcPr>
            <w:tcW w:w="1363" w:type="dxa"/>
            <w:shd w:val="clear" w:color="auto" w:fill="99CDDD"/>
          </w:tcPr>
          <w:p w14:paraId="6268F75B" w14:textId="77777777" w:rsidR="004A6E48" w:rsidRPr="004A6E48" w:rsidRDefault="004A6E48" w:rsidP="001525DD">
            <w:pPr>
              <w:spacing w:before="60" w:after="60" w:line="240" w:lineRule="auto"/>
              <w:rPr>
                <w:rFonts w:cs="Arial"/>
                <w:b/>
                <w:color w:val="000000"/>
                <w:sz w:val="20"/>
                <w:szCs w:val="24"/>
              </w:rPr>
            </w:pPr>
            <w:r w:rsidRPr="004A6E48">
              <w:rPr>
                <w:rFonts w:cs="Arial"/>
                <w:b/>
                <w:color w:val="000000"/>
                <w:sz w:val="20"/>
                <w:szCs w:val="24"/>
              </w:rPr>
              <w:t>Future reform</w:t>
            </w:r>
          </w:p>
        </w:tc>
        <w:tc>
          <w:tcPr>
            <w:tcW w:w="5895" w:type="dxa"/>
            <w:shd w:val="clear" w:color="auto" w:fill="auto"/>
          </w:tcPr>
          <w:p w14:paraId="3C202346" w14:textId="37F60A13" w:rsidR="00F80CE7" w:rsidRDefault="00F80CE7" w:rsidP="00F80CE7">
            <w:pPr>
              <w:pStyle w:val="TableText"/>
              <w:spacing w:line="276" w:lineRule="auto"/>
              <w:jc w:val="center"/>
              <w:rPr>
                <w:rFonts w:cs="Arial"/>
                <w:b/>
                <w:color w:val="FF0000"/>
                <w:sz w:val="24"/>
                <w:szCs w:val="28"/>
              </w:rPr>
            </w:pPr>
            <w:r w:rsidRPr="001275B9">
              <w:rPr>
                <w:rFonts w:cs="Arial"/>
                <w:b/>
                <w:color w:val="FF0000"/>
                <w:sz w:val="24"/>
                <w:szCs w:val="28"/>
              </w:rPr>
              <w:t>-</w:t>
            </w:r>
          </w:p>
          <w:p w14:paraId="6FE64263" w14:textId="06536641" w:rsidR="004A6E48" w:rsidRPr="004A6E48" w:rsidRDefault="004A6E48" w:rsidP="008610A9">
            <w:pPr>
              <w:pStyle w:val="TableText"/>
              <w:spacing w:line="276" w:lineRule="auto"/>
              <w:rPr>
                <w:rFonts w:cs="Arial"/>
                <w:bCs/>
                <w:sz w:val="18"/>
                <w:szCs w:val="20"/>
              </w:rPr>
            </w:pPr>
            <w:r w:rsidRPr="004A6E48">
              <w:rPr>
                <w:rFonts w:cs="Arial"/>
                <w:bCs/>
                <w:sz w:val="18"/>
                <w:szCs w:val="20"/>
              </w:rPr>
              <w:t>Increasing the MFTC threshold may make future WFF reform more complex and costly</w:t>
            </w:r>
            <w:r w:rsidR="0057475C">
              <w:rPr>
                <w:rFonts w:cs="Arial"/>
                <w:bCs/>
                <w:sz w:val="18"/>
                <w:szCs w:val="20"/>
              </w:rPr>
              <w:t>,</w:t>
            </w:r>
            <w:r w:rsidR="0057475C">
              <w:t xml:space="preserve"> </w:t>
            </w:r>
            <w:r w:rsidR="001C37B2" w:rsidRPr="001C37B2">
              <w:rPr>
                <w:rFonts w:cs="Arial"/>
                <w:bCs/>
                <w:color w:val="BFBFBF" w:themeColor="background1" w:themeShade="BF"/>
                <w:sz w:val="18"/>
                <w:szCs w:val="20"/>
                <w:shd w:val="clear" w:color="auto" w:fill="BFBFBF" w:themeFill="background1" w:themeFillShade="BF"/>
              </w:rPr>
              <w:t>.</w:t>
            </w:r>
            <w:r w:rsidR="001C37B2" w:rsidRPr="001C37B2">
              <w:rPr>
                <w:rFonts w:cs="Arial"/>
                <w:bCs/>
                <w:sz w:val="18"/>
                <w:szCs w:val="20"/>
                <w:shd w:val="clear" w:color="auto" w:fill="BFBFBF" w:themeFill="background1" w:themeFillShade="BF"/>
              </w:rPr>
              <w:t>s 9(2)(f)(iv)</w:t>
            </w:r>
            <w:r w:rsidR="001C37B2" w:rsidRPr="001C37B2">
              <w:rPr>
                <w:rFonts w:cs="Arial"/>
                <w:bCs/>
                <w:color w:val="BFBFBF" w:themeColor="background1" w:themeShade="BF"/>
                <w:sz w:val="18"/>
                <w:szCs w:val="20"/>
                <w:shd w:val="clear" w:color="auto" w:fill="BFBFBF" w:themeFill="background1" w:themeFillShade="BF"/>
              </w:rPr>
              <w:t>…………………………………………...</w:t>
            </w:r>
            <w:r w:rsidR="001C37B2" w:rsidRPr="001C37B2">
              <w:rPr>
                <w:rFonts w:cs="Arial"/>
                <w:bCs/>
                <w:color w:val="BFBFBF" w:themeColor="background1" w:themeShade="BF"/>
                <w:sz w:val="18"/>
                <w:szCs w:val="20"/>
                <w:shd w:val="clear" w:color="auto" w:fill="BFBFBF" w:themeFill="background1" w:themeFillShade="BF"/>
              </w:rPr>
              <w:br/>
              <w:t>……………………………</w:t>
            </w:r>
            <w:r w:rsidR="001C37B2">
              <w:rPr>
                <w:rFonts w:cs="Arial"/>
                <w:bCs/>
                <w:sz w:val="18"/>
                <w:szCs w:val="20"/>
              </w:rPr>
              <w:t>.</w:t>
            </w:r>
            <w:r w:rsidR="0057475C" w:rsidRPr="0057475C">
              <w:rPr>
                <w:rFonts w:cs="Arial"/>
                <w:bCs/>
                <w:sz w:val="18"/>
                <w:szCs w:val="20"/>
              </w:rPr>
              <w:t xml:space="preserve"> particularly if there is a desire to avoid people being financially disadvantaged.</w:t>
            </w:r>
          </w:p>
        </w:tc>
        <w:tc>
          <w:tcPr>
            <w:tcW w:w="6521" w:type="dxa"/>
            <w:shd w:val="clear" w:color="auto" w:fill="auto"/>
          </w:tcPr>
          <w:p w14:paraId="2A14D9D2" w14:textId="06AA4996" w:rsidR="00F80CE7" w:rsidRDefault="00F80CE7" w:rsidP="00F80CE7">
            <w:pPr>
              <w:pStyle w:val="TableText"/>
              <w:spacing w:line="276" w:lineRule="auto"/>
              <w:jc w:val="center"/>
              <w:rPr>
                <w:rFonts w:cs="Arial"/>
                <w:color w:val="00B050"/>
                <w:sz w:val="24"/>
                <w:szCs w:val="28"/>
              </w:rPr>
            </w:pPr>
            <w:r w:rsidRPr="001275B9">
              <w:rPr>
                <w:rFonts w:cs="Arial"/>
                <w:b/>
                <w:color w:val="00B050"/>
                <w:sz w:val="24"/>
                <w:szCs w:val="28"/>
              </w:rPr>
              <w:t>+</w:t>
            </w:r>
          </w:p>
          <w:p w14:paraId="6F8DB21E" w14:textId="6481864F" w:rsidR="004A6E48" w:rsidRPr="004A6E48" w:rsidRDefault="00F80CE7" w:rsidP="008610A9">
            <w:pPr>
              <w:pStyle w:val="TableText"/>
              <w:spacing w:line="276" w:lineRule="auto"/>
              <w:rPr>
                <w:rFonts w:cs="Arial"/>
                <w:bCs/>
                <w:sz w:val="18"/>
                <w:szCs w:val="20"/>
              </w:rPr>
            </w:pPr>
            <w:r>
              <w:rPr>
                <w:rFonts w:cs="Arial"/>
                <w:bCs/>
                <w:color w:val="000000" w:themeColor="text1"/>
                <w:sz w:val="18"/>
                <w:szCs w:val="20"/>
              </w:rPr>
              <w:t xml:space="preserve">Not increasing the MFTC threshold </w:t>
            </w:r>
            <w:r w:rsidR="0086400C">
              <w:rPr>
                <w:rFonts w:cs="Arial"/>
                <w:bCs/>
                <w:color w:val="000000" w:themeColor="text1"/>
                <w:sz w:val="18"/>
                <w:szCs w:val="20"/>
              </w:rPr>
              <w:t>would</w:t>
            </w:r>
            <w:r>
              <w:rPr>
                <w:rFonts w:cs="Arial"/>
                <w:bCs/>
                <w:color w:val="000000" w:themeColor="text1"/>
                <w:sz w:val="18"/>
                <w:szCs w:val="20"/>
              </w:rPr>
              <w:t xml:space="preserve"> make</w:t>
            </w:r>
            <w:r w:rsidRPr="00FA178A">
              <w:rPr>
                <w:rFonts w:cs="Arial"/>
                <w:bCs/>
                <w:sz w:val="18"/>
                <w:szCs w:val="20"/>
              </w:rPr>
              <w:t xml:space="preserve"> future WFF reform less complex and costly than </w:t>
            </w:r>
            <w:r>
              <w:rPr>
                <w:rFonts w:cs="Arial"/>
                <w:bCs/>
                <w:sz w:val="18"/>
                <w:szCs w:val="20"/>
              </w:rPr>
              <w:t>Option One.</w:t>
            </w:r>
          </w:p>
        </w:tc>
      </w:tr>
      <w:tr w:rsidR="004A6E48" w:rsidRPr="00FE5831" w14:paraId="591E7245" w14:textId="77777777" w:rsidTr="0036785D">
        <w:tc>
          <w:tcPr>
            <w:tcW w:w="1363" w:type="dxa"/>
            <w:shd w:val="clear" w:color="auto" w:fill="99CDDD"/>
          </w:tcPr>
          <w:p w14:paraId="09AB9F4D" w14:textId="77777777" w:rsidR="004A6E48" w:rsidRPr="004A6E48" w:rsidRDefault="004A6E48" w:rsidP="001525DD">
            <w:pPr>
              <w:spacing w:before="60" w:after="60" w:line="240" w:lineRule="auto"/>
              <w:rPr>
                <w:rFonts w:cs="Arial"/>
                <w:b/>
                <w:color w:val="000000"/>
                <w:sz w:val="20"/>
                <w:szCs w:val="24"/>
              </w:rPr>
            </w:pPr>
            <w:r w:rsidRPr="004A6E48">
              <w:rPr>
                <w:rFonts w:cs="Arial"/>
                <w:b/>
                <w:color w:val="000000"/>
                <w:sz w:val="20"/>
                <w:szCs w:val="24"/>
              </w:rPr>
              <w:t>Overall assessment</w:t>
            </w:r>
          </w:p>
        </w:tc>
        <w:tc>
          <w:tcPr>
            <w:tcW w:w="5895" w:type="dxa"/>
            <w:shd w:val="clear" w:color="auto" w:fill="auto"/>
            <w:vAlign w:val="center"/>
          </w:tcPr>
          <w:p w14:paraId="180AF6C9" w14:textId="7A7D906C" w:rsidR="004A6E48" w:rsidRPr="0036785D" w:rsidRDefault="000E6237" w:rsidP="0036785D">
            <w:pPr>
              <w:pStyle w:val="TableText"/>
              <w:spacing w:before="120" w:after="120" w:line="276" w:lineRule="auto"/>
              <w:jc w:val="center"/>
              <w:rPr>
                <w:rFonts w:cs="Arial"/>
                <w:b/>
                <w:sz w:val="18"/>
                <w:szCs w:val="20"/>
              </w:rPr>
            </w:pPr>
            <w:r w:rsidRPr="001275B9">
              <w:rPr>
                <w:rFonts w:cs="Arial"/>
                <w:b/>
                <w:sz w:val="24"/>
                <w:szCs w:val="28"/>
              </w:rPr>
              <w:t>0</w:t>
            </w:r>
          </w:p>
        </w:tc>
        <w:tc>
          <w:tcPr>
            <w:tcW w:w="6521" w:type="dxa"/>
            <w:shd w:val="clear" w:color="auto" w:fill="auto"/>
            <w:vAlign w:val="center"/>
          </w:tcPr>
          <w:p w14:paraId="77AA3E21" w14:textId="0600A30E" w:rsidR="004A6E48" w:rsidRPr="0036785D" w:rsidRDefault="00F80CE7" w:rsidP="0036785D">
            <w:pPr>
              <w:pStyle w:val="TableText"/>
              <w:spacing w:before="120" w:after="120" w:line="276" w:lineRule="auto"/>
              <w:jc w:val="center"/>
              <w:rPr>
                <w:rFonts w:cs="Arial"/>
                <w:b/>
                <w:color w:val="FF0000"/>
                <w:sz w:val="24"/>
                <w:szCs w:val="28"/>
              </w:rPr>
            </w:pPr>
            <w:r w:rsidRPr="00714887">
              <w:rPr>
                <w:rFonts w:cs="Arial"/>
                <w:b/>
                <w:color w:val="FF0000"/>
                <w:sz w:val="24"/>
                <w:szCs w:val="28"/>
              </w:rPr>
              <w:t>-</w:t>
            </w:r>
          </w:p>
        </w:tc>
      </w:tr>
    </w:tbl>
    <w:p w14:paraId="745658D2" w14:textId="2F9A628E" w:rsidR="004A6E48" w:rsidRDefault="004A6E48" w:rsidP="0049234F">
      <w:pPr>
        <w:pStyle w:val="spacer"/>
      </w:pPr>
    </w:p>
    <w:p w14:paraId="50C3BB93" w14:textId="72DAD8F5" w:rsidR="004A6E48" w:rsidRDefault="004A6E48" w:rsidP="0049234F">
      <w:pPr>
        <w:pStyle w:val="spacer"/>
      </w:pPr>
    </w:p>
    <w:p w14:paraId="50C21B93" w14:textId="41A8B7E2" w:rsidR="00700A90" w:rsidRDefault="00700A90" w:rsidP="0049234F">
      <w:pPr>
        <w:pStyle w:val="spacer"/>
      </w:pPr>
    </w:p>
    <w:p w14:paraId="00A33F02" w14:textId="11B4E468" w:rsidR="00700A90" w:rsidRDefault="00700A90" w:rsidP="0049234F">
      <w:pPr>
        <w:pStyle w:val="spacer"/>
      </w:pPr>
    </w:p>
    <w:p w14:paraId="63AB117E" w14:textId="34CAFE74" w:rsidR="00700A90" w:rsidRDefault="00700A90" w:rsidP="0049234F">
      <w:pPr>
        <w:pStyle w:val="spacer"/>
      </w:pPr>
    </w:p>
    <w:p w14:paraId="6A908B0B" w14:textId="46331C35" w:rsidR="00700A90" w:rsidRDefault="00700A90" w:rsidP="0049234F">
      <w:pPr>
        <w:pStyle w:val="spacer"/>
      </w:pPr>
    </w:p>
    <w:p w14:paraId="31CDF6B8" w14:textId="457EC60A" w:rsidR="00700A90" w:rsidRDefault="00700A90" w:rsidP="0049234F">
      <w:pPr>
        <w:pStyle w:val="spacer"/>
      </w:pPr>
    </w:p>
    <w:p w14:paraId="2B803544" w14:textId="77777777" w:rsidR="00700A90" w:rsidRDefault="00700A90" w:rsidP="0049234F">
      <w:pPr>
        <w:pStyle w:val="spacer"/>
      </w:pPr>
    </w:p>
    <w:p w14:paraId="7B22A99B" w14:textId="2A7FC0C0" w:rsidR="004A6E48" w:rsidRPr="004A6E48" w:rsidRDefault="004A6E48" w:rsidP="004A6E48">
      <w:pPr>
        <w:spacing w:after="0" w:line="276" w:lineRule="auto"/>
        <w:rPr>
          <w:rFonts w:cs="Arial"/>
          <w:bCs/>
          <w:i/>
          <w:szCs w:val="22"/>
        </w:rPr>
      </w:pPr>
      <w:r>
        <w:rPr>
          <w:rFonts w:cs="Arial"/>
          <w:bCs/>
          <w:i/>
          <w:szCs w:val="22"/>
        </w:rPr>
        <w:t>Adjustment to the Minimum Family Tax Credit - prospective</w:t>
      </w:r>
    </w:p>
    <w:p w14:paraId="14C2023D" w14:textId="77777777" w:rsidR="004A6E48" w:rsidRDefault="004A6E48" w:rsidP="0049234F">
      <w:pPr>
        <w:pStyle w:val="spacer"/>
      </w:pPr>
    </w:p>
    <w:p w14:paraId="33EEAA3B" w14:textId="77777777" w:rsidR="009435C4" w:rsidRDefault="009435C4" w:rsidP="0049234F">
      <w:pPr>
        <w:pStyle w:val="spacer"/>
      </w:pPr>
    </w:p>
    <w:tbl>
      <w:tblPr>
        <w:tblW w:w="0" w:type="auto"/>
        <w:tblInd w:w="11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570"/>
        <w:gridCol w:w="4102"/>
        <w:gridCol w:w="4103"/>
        <w:gridCol w:w="4104"/>
      </w:tblGrid>
      <w:tr w:rsidR="00C53CCA" w:rsidRPr="00FA178A" w14:paraId="3DF284AB" w14:textId="77777777" w:rsidTr="00C53CCA">
        <w:tc>
          <w:tcPr>
            <w:tcW w:w="1570" w:type="dxa"/>
            <w:shd w:val="clear" w:color="auto" w:fill="99CDDD"/>
          </w:tcPr>
          <w:p w14:paraId="05E46080" w14:textId="77777777" w:rsidR="00C53CCA" w:rsidRDefault="00C53CCA" w:rsidP="00C53CCA">
            <w:pPr>
              <w:spacing w:before="60" w:after="60" w:line="240" w:lineRule="auto"/>
              <w:jc w:val="center"/>
              <w:rPr>
                <w:rFonts w:cs="Arial"/>
                <w:b/>
                <w:color w:val="000000"/>
                <w:sz w:val="20"/>
                <w:szCs w:val="24"/>
              </w:rPr>
            </w:pPr>
          </w:p>
        </w:tc>
        <w:tc>
          <w:tcPr>
            <w:tcW w:w="4102" w:type="dxa"/>
            <w:shd w:val="clear" w:color="auto" w:fill="99CDDD"/>
          </w:tcPr>
          <w:p w14:paraId="4E918FC8" w14:textId="02F217D3" w:rsidR="00C53CCA" w:rsidRPr="00FA178A" w:rsidRDefault="00C53CCA" w:rsidP="00C53CCA">
            <w:pPr>
              <w:spacing w:before="60" w:after="60" w:line="240" w:lineRule="auto"/>
              <w:jc w:val="center"/>
              <w:rPr>
                <w:rFonts w:cs="Arial"/>
                <w:b/>
                <w:color w:val="000000"/>
                <w:sz w:val="20"/>
                <w:szCs w:val="24"/>
              </w:rPr>
            </w:pPr>
            <w:r>
              <w:rPr>
                <w:rFonts w:cs="Arial"/>
                <w:b/>
                <w:color w:val="000000"/>
                <w:sz w:val="20"/>
                <w:szCs w:val="24"/>
              </w:rPr>
              <w:t xml:space="preserve">Option One - </w:t>
            </w:r>
            <w:r w:rsidRPr="005847F5">
              <w:rPr>
                <w:rFonts w:cs="Arial"/>
                <w:b/>
                <w:color w:val="000000"/>
                <w:sz w:val="20"/>
                <w:szCs w:val="24"/>
              </w:rPr>
              <w:t>Full alignment of the 2021/22 MFTC threshold to reflect abatement threshold increases</w:t>
            </w:r>
            <w:r w:rsidR="0011674A">
              <w:rPr>
                <w:rFonts w:cs="Arial"/>
                <w:b/>
                <w:color w:val="000000"/>
                <w:sz w:val="20"/>
                <w:szCs w:val="24"/>
              </w:rPr>
              <w:t xml:space="preserve"> (status quo)</w:t>
            </w:r>
          </w:p>
        </w:tc>
        <w:tc>
          <w:tcPr>
            <w:tcW w:w="4103" w:type="dxa"/>
            <w:shd w:val="clear" w:color="auto" w:fill="99CDDD"/>
          </w:tcPr>
          <w:p w14:paraId="4145C412" w14:textId="77777777" w:rsidR="00C53CCA" w:rsidRPr="00FA178A" w:rsidRDefault="00C53CCA" w:rsidP="00C53CCA">
            <w:pPr>
              <w:spacing w:before="60" w:after="60" w:line="276" w:lineRule="auto"/>
              <w:jc w:val="center"/>
              <w:rPr>
                <w:rFonts w:cs="Arial"/>
                <w:b/>
                <w:color w:val="000000"/>
                <w:sz w:val="20"/>
                <w:szCs w:val="24"/>
              </w:rPr>
            </w:pPr>
            <w:r>
              <w:rPr>
                <w:rFonts w:cs="Arial"/>
                <w:b/>
                <w:color w:val="000000"/>
                <w:sz w:val="20"/>
                <w:szCs w:val="24"/>
              </w:rPr>
              <w:t xml:space="preserve">Option Two - </w:t>
            </w:r>
            <w:r w:rsidRPr="005847F5">
              <w:rPr>
                <w:rFonts w:cs="Arial"/>
                <w:b/>
                <w:color w:val="000000"/>
                <w:sz w:val="20"/>
                <w:szCs w:val="24"/>
              </w:rPr>
              <w:t>Partial alignment of the 2021/22 MFTC threshold</w:t>
            </w:r>
          </w:p>
        </w:tc>
        <w:tc>
          <w:tcPr>
            <w:tcW w:w="4104" w:type="dxa"/>
            <w:shd w:val="clear" w:color="auto" w:fill="99CDDD"/>
          </w:tcPr>
          <w:p w14:paraId="2C7FCD44" w14:textId="7A959C90" w:rsidR="00C53CCA" w:rsidRPr="00FA178A" w:rsidRDefault="00C53CCA" w:rsidP="00C53CCA">
            <w:pPr>
              <w:spacing w:before="60" w:after="60" w:line="276" w:lineRule="auto"/>
              <w:jc w:val="center"/>
              <w:rPr>
                <w:rFonts w:cs="Arial"/>
                <w:b/>
                <w:color w:val="000000"/>
                <w:sz w:val="20"/>
                <w:szCs w:val="24"/>
              </w:rPr>
            </w:pPr>
            <w:r>
              <w:rPr>
                <w:rFonts w:cs="Arial"/>
                <w:b/>
                <w:color w:val="000000"/>
                <w:sz w:val="20"/>
                <w:szCs w:val="24"/>
              </w:rPr>
              <w:t xml:space="preserve">Option Three - </w:t>
            </w:r>
            <w:r w:rsidRPr="005847F5">
              <w:rPr>
                <w:rFonts w:cs="Arial"/>
                <w:b/>
                <w:color w:val="000000"/>
                <w:sz w:val="20"/>
                <w:szCs w:val="24"/>
              </w:rPr>
              <w:t>No adjustment to the MFTC threshold</w:t>
            </w:r>
          </w:p>
        </w:tc>
      </w:tr>
      <w:tr w:rsidR="00C53CCA" w:rsidRPr="00FA178A" w14:paraId="33D7FEA8" w14:textId="77777777" w:rsidTr="00C53CCA">
        <w:trPr>
          <w:trHeight w:val="527"/>
        </w:trPr>
        <w:tc>
          <w:tcPr>
            <w:tcW w:w="1570" w:type="dxa"/>
            <w:shd w:val="clear" w:color="auto" w:fill="99CDDD"/>
          </w:tcPr>
          <w:p w14:paraId="0EE33F64" w14:textId="17EAC183" w:rsidR="00C53CCA" w:rsidRPr="00FA178A" w:rsidRDefault="00C53CCA" w:rsidP="00C53CCA">
            <w:pPr>
              <w:pStyle w:val="TableText"/>
              <w:spacing w:line="276" w:lineRule="auto"/>
              <w:rPr>
                <w:rFonts w:cs="Arial"/>
                <w:bCs/>
                <w:sz w:val="18"/>
                <w:szCs w:val="20"/>
              </w:rPr>
            </w:pPr>
            <w:r w:rsidRPr="00FA178A">
              <w:rPr>
                <w:rFonts w:cs="Arial"/>
                <w:b/>
                <w:color w:val="000000"/>
                <w:szCs w:val="24"/>
              </w:rPr>
              <w:t>Work incentives</w:t>
            </w:r>
          </w:p>
        </w:tc>
        <w:tc>
          <w:tcPr>
            <w:tcW w:w="4102" w:type="dxa"/>
            <w:shd w:val="clear" w:color="auto" w:fill="auto"/>
          </w:tcPr>
          <w:p w14:paraId="082D7E81" w14:textId="77777777" w:rsidR="001525DD" w:rsidRDefault="001525DD" w:rsidP="001525DD">
            <w:pPr>
              <w:pStyle w:val="TableText"/>
              <w:spacing w:line="276" w:lineRule="auto"/>
              <w:jc w:val="center"/>
              <w:rPr>
                <w:rFonts w:cs="Arial"/>
                <w:color w:val="00B050"/>
                <w:sz w:val="24"/>
                <w:szCs w:val="28"/>
              </w:rPr>
            </w:pPr>
            <w:r w:rsidRPr="001275B9">
              <w:rPr>
                <w:rFonts w:cs="Arial"/>
                <w:b/>
                <w:color w:val="00B050"/>
                <w:sz w:val="24"/>
                <w:szCs w:val="28"/>
              </w:rPr>
              <w:t>+</w:t>
            </w:r>
          </w:p>
          <w:p w14:paraId="7CB62623" w14:textId="2251C1EB" w:rsidR="008B0895" w:rsidRDefault="00C53CCA" w:rsidP="00E228C1">
            <w:pPr>
              <w:pStyle w:val="TableText"/>
              <w:spacing w:line="276" w:lineRule="auto"/>
              <w:rPr>
                <w:rFonts w:cs="Arial"/>
                <w:bCs/>
                <w:sz w:val="18"/>
                <w:szCs w:val="20"/>
              </w:rPr>
            </w:pPr>
            <w:r w:rsidRPr="00FA178A">
              <w:rPr>
                <w:rFonts w:cs="Arial"/>
                <w:bCs/>
                <w:sz w:val="18"/>
                <w:szCs w:val="20"/>
              </w:rPr>
              <w:t xml:space="preserve">This option </w:t>
            </w:r>
            <w:r w:rsidR="0086400C">
              <w:rPr>
                <w:rFonts w:cs="Arial"/>
                <w:bCs/>
                <w:sz w:val="18"/>
                <w:szCs w:val="20"/>
              </w:rPr>
              <w:t>would</w:t>
            </w:r>
            <w:r w:rsidRPr="00FA178A">
              <w:rPr>
                <w:rFonts w:cs="Arial"/>
                <w:bCs/>
                <w:sz w:val="18"/>
                <w:szCs w:val="20"/>
              </w:rPr>
              <w:t xml:space="preserve"> maintain the original MFTC policy intent of providing low-income families </w:t>
            </w:r>
            <w:r w:rsidR="00AC163D">
              <w:rPr>
                <w:rFonts w:cs="Arial"/>
                <w:bCs/>
                <w:sz w:val="18"/>
                <w:szCs w:val="20"/>
              </w:rPr>
              <w:t xml:space="preserve">(both sole parent and two-parent families) </w:t>
            </w:r>
            <w:r w:rsidR="000E6237">
              <w:rPr>
                <w:rFonts w:cs="Arial"/>
                <w:bCs/>
                <w:sz w:val="18"/>
                <w:szCs w:val="20"/>
              </w:rPr>
              <w:t xml:space="preserve">with </w:t>
            </w:r>
            <w:r w:rsidRPr="00FA178A">
              <w:rPr>
                <w:rFonts w:cs="Arial"/>
                <w:bCs/>
                <w:sz w:val="18"/>
                <w:szCs w:val="20"/>
              </w:rPr>
              <w:t>a financial incentive to</w:t>
            </w:r>
            <w:r w:rsidR="00332F2D">
              <w:rPr>
                <w:rFonts w:cs="Arial"/>
                <w:bCs/>
                <w:sz w:val="18"/>
                <w:szCs w:val="20"/>
              </w:rPr>
              <w:t xml:space="preserve"> increase</w:t>
            </w:r>
            <w:r w:rsidRPr="00FA178A">
              <w:rPr>
                <w:rFonts w:cs="Arial"/>
                <w:bCs/>
                <w:sz w:val="18"/>
                <w:szCs w:val="20"/>
              </w:rPr>
              <w:t xml:space="preserve"> work and move off benefit.</w:t>
            </w:r>
          </w:p>
          <w:p w14:paraId="5630A85F" w14:textId="79867905" w:rsidR="00C53CCA" w:rsidRPr="008B0895" w:rsidRDefault="0086400C" w:rsidP="00E228C1">
            <w:pPr>
              <w:pStyle w:val="TableText"/>
              <w:spacing w:line="276" w:lineRule="auto"/>
              <w:rPr>
                <w:rFonts w:cs="Arial"/>
                <w:bCs/>
                <w:sz w:val="18"/>
                <w:szCs w:val="20"/>
              </w:rPr>
            </w:pPr>
            <w:r>
              <w:rPr>
                <w:rFonts w:cs="Arial"/>
                <w:bCs/>
                <w:sz w:val="18"/>
                <w:szCs w:val="20"/>
              </w:rPr>
              <w:t>However, t</w:t>
            </w:r>
            <w:r w:rsidR="008B0895" w:rsidRPr="008B0895">
              <w:rPr>
                <w:rFonts w:cs="Arial"/>
                <w:bCs/>
                <w:sz w:val="18"/>
                <w:szCs w:val="20"/>
              </w:rPr>
              <w:t>his</w:t>
            </w:r>
            <w:r w:rsidR="000E6237">
              <w:rPr>
                <w:rFonts w:cs="Arial"/>
                <w:bCs/>
                <w:sz w:val="18"/>
                <w:szCs w:val="20"/>
              </w:rPr>
              <w:t xml:space="preserve"> option</w:t>
            </w:r>
            <w:r w:rsidR="008B0895" w:rsidRPr="008B0895">
              <w:rPr>
                <w:rFonts w:cs="Arial"/>
                <w:bCs/>
                <w:sz w:val="18"/>
                <w:szCs w:val="20"/>
              </w:rPr>
              <w:t xml:space="preserve"> would</w:t>
            </w:r>
            <w:r w:rsidR="008B0895">
              <w:rPr>
                <w:rFonts w:cs="Arial"/>
                <w:bCs/>
                <w:sz w:val="18"/>
                <w:szCs w:val="20"/>
              </w:rPr>
              <w:t xml:space="preserve"> extend the range of income over which families receive the MFTC, </w:t>
            </w:r>
            <w:r w:rsidR="008B0895" w:rsidRPr="008B0895">
              <w:rPr>
                <w:rFonts w:cs="Arial"/>
                <w:bCs/>
                <w:sz w:val="18"/>
                <w:szCs w:val="20"/>
              </w:rPr>
              <w:t xml:space="preserve">thereby reducing the financial incentive for those families to work </w:t>
            </w:r>
            <w:r w:rsidR="00AC163D">
              <w:rPr>
                <w:rFonts w:cs="Arial"/>
                <w:bCs/>
                <w:sz w:val="18"/>
                <w:szCs w:val="20"/>
              </w:rPr>
              <w:t>more</w:t>
            </w:r>
            <w:r w:rsidR="008B0895" w:rsidRPr="008B0895">
              <w:rPr>
                <w:rFonts w:cs="Arial"/>
                <w:bCs/>
                <w:sz w:val="18"/>
                <w:szCs w:val="20"/>
              </w:rPr>
              <w:t xml:space="preserve"> hours </w:t>
            </w:r>
            <w:r w:rsidR="00AC163D">
              <w:rPr>
                <w:rFonts w:cs="Arial"/>
                <w:bCs/>
                <w:sz w:val="18"/>
                <w:szCs w:val="20"/>
              </w:rPr>
              <w:t xml:space="preserve">than the minimum required for </w:t>
            </w:r>
            <w:r w:rsidR="006B3CC4">
              <w:rPr>
                <w:rFonts w:cs="Arial"/>
                <w:bCs/>
                <w:sz w:val="18"/>
                <w:szCs w:val="20"/>
              </w:rPr>
              <w:t xml:space="preserve">the </w:t>
            </w:r>
            <w:r w:rsidR="00AC163D">
              <w:rPr>
                <w:rFonts w:cs="Arial"/>
                <w:bCs/>
                <w:sz w:val="18"/>
                <w:szCs w:val="20"/>
              </w:rPr>
              <w:t xml:space="preserve">MFTC </w:t>
            </w:r>
            <w:r w:rsidR="008B0895" w:rsidRPr="008B0895">
              <w:rPr>
                <w:rFonts w:cs="Arial"/>
                <w:bCs/>
                <w:sz w:val="18"/>
                <w:szCs w:val="20"/>
              </w:rPr>
              <w:t>or earn more income.</w:t>
            </w:r>
            <w:r w:rsidR="00C53CCA" w:rsidRPr="00FA178A">
              <w:rPr>
                <w:b/>
              </w:rPr>
              <w:t xml:space="preserve">  </w:t>
            </w:r>
          </w:p>
        </w:tc>
        <w:tc>
          <w:tcPr>
            <w:tcW w:w="4103" w:type="dxa"/>
            <w:shd w:val="clear" w:color="auto" w:fill="auto"/>
          </w:tcPr>
          <w:p w14:paraId="74B4BC7B" w14:textId="54AFB4F7" w:rsidR="00E228C1" w:rsidRDefault="00E228C1" w:rsidP="00E228C1">
            <w:pPr>
              <w:pStyle w:val="TableText"/>
              <w:spacing w:line="276" w:lineRule="auto"/>
              <w:jc w:val="center"/>
              <w:rPr>
                <w:rFonts w:cs="Arial"/>
                <w:b/>
                <w:sz w:val="18"/>
                <w:szCs w:val="20"/>
              </w:rPr>
            </w:pPr>
            <w:r w:rsidRPr="001275B9">
              <w:rPr>
                <w:rFonts w:cs="Arial"/>
                <w:b/>
                <w:color w:val="00B050"/>
                <w:sz w:val="24"/>
                <w:szCs w:val="28"/>
              </w:rPr>
              <w:t>+</w:t>
            </w:r>
          </w:p>
          <w:p w14:paraId="62CB27B6" w14:textId="30394B56" w:rsidR="0086400C" w:rsidRDefault="0086400C" w:rsidP="00E228C1">
            <w:pPr>
              <w:pStyle w:val="TableText"/>
              <w:spacing w:line="276" w:lineRule="auto"/>
              <w:rPr>
                <w:rFonts w:cs="Arial"/>
                <w:bCs/>
                <w:sz w:val="18"/>
                <w:szCs w:val="20"/>
              </w:rPr>
            </w:pPr>
            <w:r>
              <w:rPr>
                <w:rFonts w:cs="Arial"/>
                <w:bCs/>
                <w:sz w:val="18"/>
                <w:szCs w:val="20"/>
              </w:rPr>
              <w:t>This option would maintain the original policy intent of providing low-income families a financial incentive to work and move off benefit</w:t>
            </w:r>
            <w:r w:rsidR="007D433D">
              <w:rPr>
                <w:rFonts w:cs="Arial"/>
                <w:bCs/>
                <w:sz w:val="18"/>
                <w:szCs w:val="20"/>
              </w:rPr>
              <w:t>. I</w:t>
            </w:r>
            <w:r w:rsidR="000F5E12">
              <w:rPr>
                <w:rFonts w:cs="Arial"/>
                <w:bCs/>
                <w:sz w:val="18"/>
                <w:szCs w:val="20"/>
              </w:rPr>
              <w:t>t</w:t>
            </w:r>
            <w:r>
              <w:rPr>
                <w:rFonts w:cs="Arial"/>
                <w:bCs/>
                <w:sz w:val="18"/>
                <w:szCs w:val="20"/>
              </w:rPr>
              <w:t xml:space="preserve"> would be for a slightly smaller group than Option One as only sole parents (who account for approximately 90% of MFTC recipients) would be better off on</w:t>
            </w:r>
            <w:r w:rsidR="006B3CC4">
              <w:rPr>
                <w:rFonts w:cs="Arial"/>
                <w:bCs/>
                <w:sz w:val="18"/>
                <w:szCs w:val="20"/>
              </w:rPr>
              <w:t xml:space="preserve"> the</w:t>
            </w:r>
            <w:r>
              <w:rPr>
                <w:rFonts w:cs="Arial"/>
                <w:bCs/>
                <w:sz w:val="18"/>
                <w:szCs w:val="20"/>
              </w:rPr>
              <w:t xml:space="preserve"> MFTC.</w:t>
            </w:r>
          </w:p>
          <w:p w14:paraId="688B3EB6" w14:textId="7209F351" w:rsidR="00C53CCA" w:rsidRPr="00FA178A" w:rsidRDefault="008B0895" w:rsidP="00E228C1">
            <w:pPr>
              <w:pStyle w:val="TableText"/>
              <w:spacing w:line="276" w:lineRule="auto"/>
              <w:rPr>
                <w:bCs/>
              </w:rPr>
            </w:pPr>
            <w:r w:rsidRPr="008B0895">
              <w:rPr>
                <w:rFonts w:cs="Arial"/>
                <w:bCs/>
                <w:sz w:val="18"/>
                <w:szCs w:val="20"/>
              </w:rPr>
              <w:t>This would</w:t>
            </w:r>
            <w:r>
              <w:rPr>
                <w:rFonts w:cs="Arial"/>
                <w:bCs/>
                <w:sz w:val="18"/>
                <w:szCs w:val="20"/>
              </w:rPr>
              <w:t xml:space="preserve"> also extend the range of income over which families receive the MFTC, </w:t>
            </w:r>
            <w:r w:rsidRPr="008B0895">
              <w:rPr>
                <w:rFonts w:cs="Arial"/>
                <w:bCs/>
                <w:sz w:val="18"/>
                <w:szCs w:val="20"/>
              </w:rPr>
              <w:t xml:space="preserve">thereby reducing the financial incentive for those families to work </w:t>
            </w:r>
            <w:r w:rsidR="00AC163D">
              <w:rPr>
                <w:rFonts w:cs="Arial"/>
                <w:bCs/>
                <w:sz w:val="18"/>
                <w:szCs w:val="20"/>
              </w:rPr>
              <w:t>more</w:t>
            </w:r>
            <w:r w:rsidR="00AC163D" w:rsidRPr="008B0895">
              <w:rPr>
                <w:rFonts w:cs="Arial"/>
                <w:bCs/>
                <w:sz w:val="18"/>
                <w:szCs w:val="20"/>
              </w:rPr>
              <w:t xml:space="preserve"> hours </w:t>
            </w:r>
            <w:r w:rsidR="00AC163D">
              <w:rPr>
                <w:rFonts w:cs="Arial"/>
                <w:bCs/>
                <w:sz w:val="18"/>
                <w:szCs w:val="20"/>
              </w:rPr>
              <w:t xml:space="preserve">than the minimum required for </w:t>
            </w:r>
            <w:r w:rsidR="006B3CC4">
              <w:rPr>
                <w:rFonts w:cs="Arial"/>
                <w:bCs/>
                <w:sz w:val="18"/>
                <w:szCs w:val="20"/>
              </w:rPr>
              <w:t xml:space="preserve">the </w:t>
            </w:r>
            <w:r w:rsidR="00AC163D">
              <w:rPr>
                <w:rFonts w:cs="Arial"/>
                <w:bCs/>
                <w:sz w:val="18"/>
                <w:szCs w:val="20"/>
              </w:rPr>
              <w:t>MFTC</w:t>
            </w:r>
            <w:r w:rsidR="00AC163D" w:rsidRPr="008B0895">
              <w:rPr>
                <w:rFonts w:cs="Arial"/>
                <w:bCs/>
                <w:sz w:val="18"/>
                <w:szCs w:val="20"/>
              </w:rPr>
              <w:t xml:space="preserve"> </w:t>
            </w:r>
            <w:r w:rsidRPr="008B0895">
              <w:rPr>
                <w:rFonts w:cs="Arial"/>
                <w:bCs/>
                <w:sz w:val="18"/>
                <w:szCs w:val="20"/>
              </w:rPr>
              <w:t>or earn more income.</w:t>
            </w:r>
            <w:r>
              <w:rPr>
                <w:rFonts w:cs="Arial"/>
                <w:bCs/>
                <w:sz w:val="18"/>
                <w:szCs w:val="20"/>
              </w:rPr>
              <w:t xml:space="preserve"> However, this would be less than Option One. </w:t>
            </w:r>
            <w:r w:rsidRPr="00FA178A">
              <w:rPr>
                <w:b/>
              </w:rPr>
              <w:t xml:space="preserve">  </w:t>
            </w:r>
            <w:r w:rsidR="00C53CCA" w:rsidRPr="00FA178A">
              <w:rPr>
                <w:b/>
              </w:rPr>
              <w:t xml:space="preserve"> </w:t>
            </w:r>
          </w:p>
        </w:tc>
        <w:tc>
          <w:tcPr>
            <w:tcW w:w="4104" w:type="dxa"/>
            <w:shd w:val="clear" w:color="auto" w:fill="auto"/>
          </w:tcPr>
          <w:p w14:paraId="40F1BC49" w14:textId="77777777" w:rsidR="00C53CCA" w:rsidRPr="005246DA" w:rsidRDefault="00C53CCA" w:rsidP="00C53CCA">
            <w:pPr>
              <w:pStyle w:val="TableText"/>
              <w:spacing w:line="276" w:lineRule="auto"/>
              <w:jc w:val="center"/>
              <w:rPr>
                <w:rFonts w:cs="Arial"/>
                <w:b/>
                <w:sz w:val="24"/>
                <w:szCs w:val="28"/>
              </w:rPr>
            </w:pPr>
            <w:r w:rsidRPr="005246DA">
              <w:rPr>
                <w:rFonts w:cs="Arial"/>
                <w:b/>
                <w:color w:val="FF0000"/>
                <w:sz w:val="24"/>
                <w:szCs w:val="28"/>
              </w:rPr>
              <w:t>- -</w:t>
            </w:r>
            <w:r w:rsidRPr="005246DA">
              <w:rPr>
                <w:rFonts w:cs="Arial"/>
                <w:b/>
                <w:sz w:val="24"/>
                <w:szCs w:val="28"/>
              </w:rPr>
              <w:t xml:space="preserve"> </w:t>
            </w:r>
          </w:p>
          <w:p w14:paraId="14D11324" w14:textId="62329305" w:rsidR="00C53CCA" w:rsidRPr="00FA178A" w:rsidRDefault="00C53CCA" w:rsidP="00E228C1">
            <w:pPr>
              <w:pStyle w:val="TableText"/>
              <w:spacing w:line="276" w:lineRule="auto"/>
              <w:rPr>
                <w:rFonts w:cs="Arial"/>
              </w:rPr>
            </w:pPr>
            <w:r w:rsidRPr="00FA178A">
              <w:rPr>
                <w:rFonts w:cs="Arial"/>
                <w:bCs/>
                <w:sz w:val="18"/>
                <w:szCs w:val="20"/>
              </w:rPr>
              <w:t xml:space="preserve">This option </w:t>
            </w:r>
            <w:r w:rsidR="000F5E12">
              <w:rPr>
                <w:rFonts w:cs="Arial"/>
                <w:bCs/>
                <w:sz w:val="18"/>
                <w:szCs w:val="20"/>
              </w:rPr>
              <w:t>would</w:t>
            </w:r>
            <w:r w:rsidRPr="00FA178A">
              <w:rPr>
                <w:rFonts w:cs="Arial"/>
                <w:bCs/>
                <w:sz w:val="18"/>
                <w:szCs w:val="20"/>
              </w:rPr>
              <w:t xml:space="preserve"> significantly diminish the original MFTC policy intent of providing low-income families a financial incentive to</w:t>
            </w:r>
            <w:r w:rsidR="00332F2D">
              <w:rPr>
                <w:rFonts w:cs="Arial"/>
                <w:bCs/>
                <w:sz w:val="18"/>
                <w:szCs w:val="20"/>
              </w:rPr>
              <w:t xml:space="preserve"> increase</w:t>
            </w:r>
            <w:r w:rsidRPr="00FA178A">
              <w:rPr>
                <w:rFonts w:cs="Arial"/>
                <w:bCs/>
                <w:sz w:val="18"/>
                <w:szCs w:val="20"/>
              </w:rPr>
              <w:t xml:space="preserve"> work and move off benefit.</w:t>
            </w:r>
            <w:r w:rsidRPr="00FA178A">
              <w:rPr>
                <w:b/>
              </w:rPr>
              <w:t xml:space="preserve">  </w:t>
            </w:r>
          </w:p>
        </w:tc>
      </w:tr>
      <w:tr w:rsidR="00C53CCA" w:rsidRPr="00FA178A" w14:paraId="3C0501E9" w14:textId="77777777" w:rsidTr="00C53CCA">
        <w:tc>
          <w:tcPr>
            <w:tcW w:w="1570" w:type="dxa"/>
            <w:shd w:val="clear" w:color="auto" w:fill="99CDDD"/>
          </w:tcPr>
          <w:p w14:paraId="08335E4A" w14:textId="240E833A" w:rsidR="00C53CCA" w:rsidRPr="00FA178A" w:rsidRDefault="00C53CCA" w:rsidP="00C53CCA">
            <w:pPr>
              <w:pStyle w:val="TableText"/>
              <w:spacing w:line="276" w:lineRule="auto"/>
              <w:rPr>
                <w:rFonts w:cs="Arial"/>
                <w:bCs/>
                <w:sz w:val="18"/>
                <w:szCs w:val="20"/>
              </w:rPr>
            </w:pPr>
            <w:r w:rsidRPr="00FA178A">
              <w:rPr>
                <w:rFonts w:cs="Arial"/>
                <w:b/>
                <w:color w:val="000000"/>
                <w:szCs w:val="24"/>
              </w:rPr>
              <w:t>Equity</w:t>
            </w:r>
          </w:p>
        </w:tc>
        <w:tc>
          <w:tcPr>
            <w:tcW w:w="4102" w:type="dxa"/>
            <w:shd w:val="clear" w:color="auto" w:fill="auto"/>
          </w:tcPr>
          <w:p w14:paraId="00513DD0" w14:textId="453DF3E2" w:rsidR="00C53CCA" w:rsidRPr="001525DD" w:rsidRDefault="001525DD" w:rsidP="000E6237">
            <w:pPr>
              <w:pStyle w:val="TableText"/>
              <w:spacing w:line="276" w:lineRule="auto"/>
              <w:jc w:val="center"/>
              <w:rPr>
                <w:rFonts w:cs="Arial"/>
                <w:color w:val="00B050"/>
                <w:sz w:val="24"/>
                <w:szCs w:val="28"/>
              </w:rPr>
            </w:pPr>
            <w:r w:rsidRPr="001275B9">
              <w:rPr>
                <w:rFonts w:cs="Arial"/>
                <w:b/>
                <w:color w:val="00B050"/>
                <w:sz w:val="24"/>
                <w:szCs w:val="28"/>
              </w:rPr>
              <w:t>+</w:t>
            </w:r>
          </w:p>
          <w:p w14:paraId="47BD12AE" w14:textId="319AF60C" w:rsidR="00C53CCA" w:rsidRPr="00FA178A" w:rsidRDefault="00C53CCA" w:rsidP="00E228C1">
            <w:pPr>
              <w:pStyle w:val="TableText"/>
              <w:spacing w:line="276" w:lineRule="auto"/>
              <w:rPr>
                <w:b/>
              </w:rPr>
            </w:pPr>
            <w:r w:rsidRPr="00FA178A">
              <w:rPr>
                <w:rFonts w:cs="Arial"/>
                <w:bCs/>
                <w:sz w:val="18"/>
                <w:szCs w:val="20"/>
              </w:rPr>
              <w:t>Fully aligning the threshold will mean MFTC recipients</w:t>
            </w:r>
            <w:r w:rsidR="00AC163D">
              <w:rPr>
                <w:rFonts w:cs="Arial"/>
                <w:bCs/>
                <w:sz w:val="18"/>
                <w:szCs w:val="20"/>
              </w:rPr>
              <w:t xml:space="preserve"> (both sole parent and two-parent families)</w:t>
            </w:r>
            <w:r w:rsidRPr="00FA178A">
              <w:rPr>
                <w:rFonts w:cs="Arial"/>
                <w:bCs/>
                <w:sz w:val="18"/>
                <w:szCs w:val="20"/>
              </w:rPr>
              <w:t xml:space="preserve"> </w:t>
            </w:r>
            <w:r w:rsidR="0086400C">
              <w:rPr>
                <w:rFonts w:cs="Arial"/>
                <w:bCs/>
                <w:sz w:val="18"/>
                <w:szCs w:val="20"/>
              </w:rPr>
              <w:t>would</w:t>
            </w:r>
            <w:r w:rsidRPr="00FA178A">
              <w:rPr>
                <w:rFonts w:cs="Arial"/>
                <w:bCs/>
                <w:sz w:val="18"/>
                <w:szCs w:val="20"/>
              </w:rPr>
              <w:t xml:space="preserve"> be not be disadvantaged compared to </w:t>
            </w:r>
            <w:r w:rsidR="00332F2D">
              <w:rPr>
                <w:rFonts w:cs="Arial"/>
                <w:bCs/>
                <w:sz w:val="18"/>
                <w:szCs w:val="20"/>
              </w:rPr>
              <w:t xml:space="preserve">working </w:t>
            </w:r>
            <w:r w:rsidRPr="00FA178A">
              <w:rPr>
                <w:rFonts w:cs="Arial"/>
                <w:bCs/>
                <w:sz w:val="18"/>
                <w:szCs w:val="20"/>
              </w:rPr>
              <w:t xml:space="preserve">families </w:t>
            </w:r>
            <w:r w:rsidR="00332F2D">
              <w:rPr>
                <w:rFonts w:cs="Arial"/>
                <w:bCs/>
                <w:sz w:val="18"/>
                <w:szCs w:val="20"/>
              </w:rPr>
              <w:t>receiving a</w:t>
            </w:r>
            <w:r w:rsidR="00332F2D" w:rsidRPr="00FA178A">
              <w:rPr>
                <w:rFonts w:cs="Arial"/>
                <w:bCs/>
                <w:sz w:val="18"/>
                <w:szCs w:val="20"/>
              </w:rPr>
              <w:t xml:space="preserve"> </w:t>
            </w:r>
            <w:r w:rsidRPr="00FA178A">
              <w:rPr>
                <w:rFonts w:cs="Arial"/>
                <w:bCs/>
                <w:sz w:val="18"/>
                <w:szCs w:val="20"/>
              </w:rPr>
              <w:t>benefit</w:t>
            </w:r>
            <w:r w:rsidR="0086400C">
              <w:rPr>
                <w:rFonts w:cs="Arial"/>
                <w:bCs/>
                <w:sz w:val="18"/>
                <w:szCs w:val="20"/>
              </w:rPr>
              <w:t>.</w:t>
            </w:r>
          </w:p>
        </w:tc>
        <w:tc>
          <w:tcPr>
            <w:tcW w:w="4103" w:type="dxa"/>
            <w:shd w:val="clear" w:color="auto" w:fill="auto"/>
          </w:tcPr>
          <w:p w14:paraId="1B7FA7CA" w14:textId="7E665D75" w:rsidR="001525DD" w:rsidRPr="001525DD" w:rsidRDefault="001525DD" w:rsidP="001525DD">
            <w:pPr>
              <w:pStyle w:val="TableText"/>
              <w:spacing w:line="276" w:lineRule="auto"/>
              <w:jc w:val="center"/>
              <w:rPr>
                <w:rFonts w:cs="Arial"/>
                <w:color w:val="00B050"/>
                <w:sz w:val="24"/>
                <w:szCs w:val="28"/>
              </w:rPr>
            </w:pPr>
            <w:r w:rsidRPr="001275B9">
              <w:rPr>
                <w:rFonts w:cs="Arial"/>
                <w:b/>
                <w:color w:val="00B050"/>
                <w:sz w:val="24"/>
                <w:szCs w:val="28"/>
              </w:rPr>
              <w:t>+</w:t>
            </w:r>
            <w:r w:rsidRPr="005246DA">
              <w:rPr>
                <w:rFonts w:cs="Arial"/>
                <w:b/>
                <w:sz w:val="18"/>
                <w:szCs w:val="20"/>
              </w:rPr>
              <w:t xml:space="preserve"> </w:t>
            </w:r>
            <w:r>
              <w:rPr>
                <w:rFonts w:cs="Arial"/>
                <w:b/>
                <w:sz w:val="18"/>
                <w:szCs w:val="20"/>
              </w:rPr>
              <w:t xml:space="preserve"> </w:t>
            </w:r>
          </w:p>
          <w:p w14:paraId="56D36587" w14:textId="13352F7F" w:rsidR="0086400C" w:rsidRDefault="0086400C" w:rsidP="0086400C">
            <w:pPr>
              <w:pStyle w:val="TableText"/>
              <w:spacing w:line="276" w:lineRule="auto"/>
              <w:rPr>
                <w:rFonts w:cs="Arial"/>
                <w:bCs/>
                <w:sz w:val="18"/>
                <w:szCs w:val="20"/>
              </w:rPr>
            </w:pPr>
            <w:r>
              <w:rPr>
                <w:rFonts w:cs="Arial"/>
                <w:bCs/>
                <w:sz w:val="18"/>
                <w:szCs w:val="20"/>
              </w:rPr>
              <w:t xml:space="preserve">Sole parents, who account for approximately 90% of MFTC recipients, would remain better off on the MFTC. </w:t>
            </w:r>
          </w:p>
          <w:p w14:paraId="06EAD313" w14:textId="038907D4" w:rsidR="0086400C" w:rsidRDefault="0086400C" w:rsidP="0086400C">
            <w:pPr>
              <w:pStyle w:val="TableText"/>
              <w:spacing w:line="276" w:lineRule="auto"/>
              <w:rPr>
                <w:b/>
              </w:rPr>
            </w:pPr>
            <w:r>
              <w:rPr>
                <w:rFonts w:cs="Arial"/>
                <w:bCs/>
                <w:sz w:val="18"/>
                <w:szCs w:val="20"/>
              </w:rPr>
              <w:t xml:space="preserve">However, </w:t>
            </w:r>
            <w:r w:rsidR="00332F2D">
              <w:rPr>
                <w:rFonts w:cs="Arial"/>
                <w:bCs/>
                <w:sz w:val="18"/>
                <w:szCs w:val="20"/>
              </w:rPr>
              <w:t xml:space="preserve">some of </w:t>
            </w:r>
            <w:r>
              <w:rPr>
                <w:rFonts w:cs="Arial"/>
                <w:bCs/>
                <w:sz w:val="18"/>
                <w:szCs w:val="20"/>
              </w:rPr>
              <w:t>t</w:t>
            </w:r>
            <w:r w:rsidRPr="008B0895">
              <w:rPr>
                <w:rFonts w:cs="Arial"/>
                <w:bCs/>
                <w:sz w:val="18"/>
                <w:szCs w:val="20"/>
              </w:rPr>
              <w:t>he remaining 10%</w:t>
            </w:r>
            <w:r>
              <w:rPr>
                <w:rFonts w:cs="Arial"/>
                <w:bCs/>
                <w:sz w:val="18"/>
                <w:szCs w:val="20"/>
              </w:rPr>
              <w:t xml:space="preserve"> families receiving </w:t>
            </w:r>
            <w:r w:rsidR="006B3CC4">
              <w:rPr>
                <w:rFonts w:cs="Arial"/>
                <w:bCs/>
                <w:sz w:val="18"/>
                <w:szCs w:val="20"/>
              </w:rPr>
              <w:t xml:space="preserve">the </w:t>
            </w:r>
            <w:r>
              <w:rPr>
                <w:rFonts w:cs="Arial"/>
                <w:bCs/>
                <w:sz w:val="18"/>
                <w:szCs w:val="20"/>
              </w:rPr>
              <w:t xml:space="preserve">MFTC may be financially better off </w:t>
            </w:r>
            <w:r w:rsidR="00332F2D">
              <w:rPr>
                <w:rFonts w:cs="Arial"/>
                <w:bCs/>
                <w:sz w:val="18"/>
                <w:szCs w:val="20"/>
              </w:rPr>
              <w:t>working and receiving a benefit</w:t>
            </w:r>
            <w:r>
              <w:rPr>
                <w:rFonts w:cs="Arial"/>
                <w:bCs/>
                <w:sz w:val="18"/>
                <w:szCs w:val="20"/>
              </w:rPr>
              <w:t xml:space="preserve"> than</w:t>
            </w:r>
            <w:r w:rsidR="00332F2D">
              <w:rPr>
                <w:rFonts w:cs="Arial"/>
                <w:bCs/>
                <w:sz w:val="18"/>
                <w:szCs w:val="20"/>
              </w:rPr>
              <w:t xml:space="preserve"> working and</w:t>
            </w:r>
            <w:r>
              <w:rPr>
                <w:rFonts w:cs="Arial"/>
                <w:bCs/>
                <w:sz w:val="18"/>
                <w:szCs w:val="20"/>
              </w:rPr>
              <w:t xml:space="preserve"> receiving the MFTC. </w:t>
            </w:r>
            <w:r>
              <w:rPr>
                <w:b/>
              </w:rPr>
              <w:t xml:space="preserve"> </w:t>
            </w:r>
          </w:p>
          <w:p w14:paraId="14B40997" w14:textId="73D1E88D" w:rsidR="00C53CCA" w:rsidRPr="00FA178A" w:rsidRDefault="00C53CCA" w:rsidP="00E228C1">
            <w:pPr>
              <w:pStyle w:val="TableText"/>
              <w:spacing w:line="276" w:lineRule="auto"/>
            </w:pPr>
          </w:p>
        </w:tc>
        <w:tc>
          <w:tcPr>
            <w:tcW w:w="4104" w:type="dxa"/>
            <w:shd w:val="clear" w:color="auto" w:fill="auto"/>
          </w:tcPr>
          <w:p w14:paraId="59E097C2" w14:textId="77777777" w:rsidR="00C53CCA" w:rsidRPr="005246DA" w:rsidRDefault="00C53CCA" w:rsidP="00C53CCA">
            <w:pPr>
              <w:pStyle w:val="TableText"/>
              <w:spacing w:line="276" w:lineRule="auto"/>
              <w:jc w:val="center"/>
              <w:rPr>
                <w:rFonts w:cs="Arial"/>
                <w:b/>
                <w:color w:val="FF0000"/>
                <w:sz w:val="28"/>
                <w:szCs w:val="32"/>
              </w:rPr>
            </w:pPr>
            <w:r w:rsidRPr="005246DA">
              <w:rPr>
                <w:rFonts w:cs="Arial"/>
                <w:b/>
                <w:color w:val="FF0000"/>
                <w:sz w:val="24"/>
                <w:szCs w:val="28"/>
              </w:rPr>
              <w:t>- -</w:t>
            </w:r>
            <w:r w:rsidRPr="005246DA">
              <w:rPr>
                <w:rFonts w:cs="Arial"/>
                <w:b/>
                <w:color w:val="FF0000"/>
                <w:sz w:val="28"/>
                <w:szCs w:val="32"/>
              </w:rPr>
              <w:t xml:space="preserve"> </w:t>
            </w:r>
          </w:p>
          <w:p w14:paraId="182AC645" w14:textId="4AD30CF4" w:rsidR="00C53CCA" w:rsidRPr="00FA178A" w:rsidRDefault="00C53CCA" w:rsidP="00E228C1">
            <w:pPr>
              <w:pStyle w:val="TableText"/>
              <w:spacing w:line="276" w:lineRule="auto"/>
            </w:pPr>
            <w:r w:rsidRPr="00FA178A">
              <w:rPr>
                <w:rFonts w:cs="Arial"/>
                <w:bCs/>
                <w:sz w:val="18"/>
                <w:szCs w:val="20"/>
              </w:rPr>
              <w:t xml:space="preserve">Not aligning the threshold will mean </w:t>
            </w:r>
            <w:r w:rsidR="00332F2D">
              <w:rPr>
                <w:rFonts w:cs="Arial"/>
                <w:bCs/>
                <w:sz w:val="18"/>
                <w:szCs w:val="20"/>
              </w:rPr>
              <w:t xml:space="preserve">some </w:t>
            </w:r>
            <w:r w:rsidRPr="00FA178A">
              <w:rPr>
                <w:rFonts w:cs="Arial"/>
                <w:bCs/>
                <w:sz w:val="18"/>
                <w:szCs w:val="20"/>
              </w:rPr>
              <w:t xml:space="preserve">MFTC recipients </w:t>
            </w:r>
            <w:r w:rsidR="0024626C">
              <w:rPr>
                <w:rFonts w:cs="Arial"/>
                <w:bCs/>
                <w:sz w:val="18"/>
                <w:szCs w:val="20"/>
              </w:rPr>
              <w:t>would</w:t>
            </w:r>
            <w:r w:rsidRPr="00FA178A">
              <w:rPr>
                <w:rFonts w:cs="Arial"/>
                <w:bCs/>
                <w:sz w:val="18"/>
                <w:szCs w:val="20"/>
              </w:rPr>
              <w:t xml:space="preserve"> be </w:t>
            </w:r>
            <w:r w:rsidR="00332F2D">
              <w:rPr>
                <w:rFonts w:cs="Arial"/>
                <w:bCs/>
                <w:sz w:val="18"/>
                <w:szCs w:val="20"/>
              </w:rPr>
              <w:t>better off working and receiving a benefit than working and receiving the MFTC</w:t>
            </w:r>
            <w:r w:rsidR="0024626C">
              <w:rPr>
                <w:rFonts w:cs="Arial"/>
                <w:bCs/>
                <w:sz w:val="18"/>
                <w:szCs w:val="20"/>
              </w:rPr>
              <w:t>.</w:t>
            </w:r>
            <w:r w:rsidR="000E6237">
              <w:rPr>
                <w:rFonts w:cs="Arial"/>
                <w:bCs/>
                <w:sz w:val="18"/>
                <w:szCs w:val="20"/>
              </w:rPr>
              <w:t xml:space="preserve"> An important goal of the welfare system is to enable people </w:t>
            </w:r>
            <w:r w:rsidR="00E05C3E">
              <w:rPr>
                <w:rFonts w:cs="Arial"/>
                <w:bCs/>
                <w:sz w:val="18"/>
                <w:szCs w:val="20"/>
              </w:rPr>
              <w:t xml:space="preserve">to </w:t>
            </w:r>
            <w:r w:rsidR="000E6237">
              <w:rPr>
                <w:rFonts w:cs="Arial"/>
                <w:bCs/>
                <w:sz w:val="18"/>
                <w:szCs w:val="20"/>
              </w:rPr>
              <w:t>fully support themselves through paid work where this is appropriate.</w:t>
            </w:r>
          </w:p>
        </w:tc>
      </w:tr>
      <w:tr w:rsidR="00C53CCA" w:rsidRPr="00FA178A" w14:paraId="7E32E531" w14:textId="77777777" w:rsidTr="00C53CCA">
        <w:tc>
          <w:tcPr>
            <w:tcW w:w="1570" w:type="dxa"/>
            <w:shd w:val="clear" w:color="auto" w:fill="99CDDD"/>
          </w:tcPr>
          <w:p w14:paraId="7B6714B8" w14:textId="5BCD0A3B" w:rsidR="00C53CCA" w:rsidRDefault="00C53CCA" w:rsidP="00C53CCA">
            <w:pPr>
              <w:pStyle w:val="TableText"/>
              <w:spacing w:line="276" w:lineRule="auto"/>
              <w:rPr>
                <w:rFonts w:cs="Arial"/>
                <w:bCs/>
                <w:sz w:val="18"/>
                <w:szCs w:val="20"/>
              </w:rPr>
            </w:pPr>
            <w:r w:rsidRPr="00FA178A">
              <w:rPr>
                <w:rFonts w:cs="Arial"/>
                <w:b/>
                <w:color w:val="000000"/>
                <w:szCs w:val="24"/>
              </w:rPr>
              <w:t>Future reform</w:t>
            </w:r>
          </w:p>
        </w:tc>
        <w:tc>
          <w:tcPr>
            <w:tcW w:w="4102" w:type="dxa"/>
            <w:shd w:val="clear" w:color="auto" w:fill="auto"/>
          </w:tcPr>
          <w:p w14:paraId="27270E01" w14:textId="11C66E49" w:rsidR="00C53CCA" w:rsidRPr="00F24B69" w:rsidRDefault="005246DA" w:rsidP="001525DD">
            <w:pPr>
              <w:pStyle w:val="TableText"/>
              <w:spacing w:line="276" w:lineRule="auto"/>
              <w:jc w:val="center"/>
              <w:rPr>
                <w:rFonts w:cs="Arial"/>
                <w:b/>
                <w:color w:val="FF0000"/>
                <w:sz w:val="28"/>
                <w:szCs w:val="32"/>
              </w:rPr>
            </w:pPr>
            <w:r w:rsidRPr="00F24B69">
              <w:rPr>
                <w:rFonts w:cs="Arial"/>
                <w:b/>
                <w:color w:val="FF0000"/>
                <w:sz w:val="22"/>
                <w:szCs w:val="24"/>
              </w:rPr>
              <w:t xml:space="preserve">- </w:t>
            </w:r>
          </w:p>
          <w:p w14:paraId="70C79DA6" w14:textId="77777777" w:rsidR="007E3458" w:rsidRDefault="00C53CCA" w:rsidP="00C53CCA">
            <w:pPr>
              <w:pStyle w:val="TableText"/>
              <w:spacing w:line="276" w:lineRule="auto"/>
              <w:rPr>
                <w:rFonts w:cs="Arial"/>
                <w:bCs/>
                <w:sz w:val="18"/>
                <w:szCs w:val="20"/>
              </w:rPr>
            </w:pPr>
            <w:r w:rsidRPr="00F24B69">
              <w:rPr>
                <w:rFonts w:cs="Arial"/>
                <w:bCs/>
                <w:sz w:val="18"/>
                <w:szCs w:val="20"/>
              </w:rPr>
              <w:t>Increasing the MFTC threshold may make future WFF reform more complex and costly</w:t>
            </w:r>
            <w:r w:rsidR="0057475C" w:rsidRPr="00F24B69">
              <w:rPr>
                <w:rFonts w:cs="Arial"/>
                <w:bCs/>
                <w:sz w:val="18"/>
                <w:szCs w:val="20"/>
              </w:rPr>
              <w:t xml:space="preserve">, </w:t>
            </w:r>
            <w:r w:rsidR="001C37B2" w:rsidRPr="001C37B2">
              <w:rPr>
                <w:rFonts w:cs="Arial"/>
                <w:bCs/>
                <w:color w:val="BFBFBF" w:themeColor="background1" w:themeShade="BF"/>
                <w:sz w:val="18"/>
                <w:szCs w:val="20"/>
                <w:shd w:val="clear" w:color="auto" w:fill="BFBFBF" w:themeFill="background1" w:themeFillShade="BF"/>
              </w:rPr>
              <w:t>……….</w:t>
            </w:r>
            <w:r w:rsidR="001C37B2" w:rsidRPr="001C37B2">
              <w:rPr>
                <w:rFonts w:cs="Arial"/>
                <w:bCs/>
                <w:sz w:val="18"/>
                <w:szCs w:val="20"/>
                <w:shd w:val="clear" w:color="auto" w:fill="BFBFBF" w:themeFill="background1" w:themeFillShade="BF"/>
              </w:rPr>
              <w:br/>
            </w:r>
            <w:r w:rsidR="001C37B2" w:rsidRPr="001C37B2">
              <w:rPr>
                <w:rFonts w:cs="Arial"/>
                <w:bCs/>
                <w:color w:val="BFBFBF" w:themeColor="background1" w:themeShade="BF"/>
                <w:sz w:val="18"/>
                <w:szCs w:val="20"/>
                <w:shd w:val="clear" w:color="auto" w:fill="BFBFBF" w:themeFill="background1" w:themeFillShade="BF"/>
              </w:rPr>
              <w:t>.</w:t>
            </w:r>
            <w:r w:rsidR="001C37B2" w:rsidRPr="001C37B2">
              <w:rPr>
                <w:rFonts w:cs="Arial"/>
                <w:bCs/>
                <w:sz w:val="18"/>
                <w:szCs w:val="20"/>
                <w:shd w:val="clear" w:color="auto" w:fill="BFBFBF" w:themeFill="background1" w:themeFillShade="BF"/>
              </w:rPr>
              <w:t>s 9(2)(f)(iv)</w:t>
            </w:r>
            <w:r w:rsidR="001C37B2" w:rsidRPr="001C37B2">
              <w:rPr>
                <w:rFonts w:cs="Arial"/>
                <w:bCs/>
                <w:color w:val="BFBFBF" w:themeColor="background1" w:themeShade="BF"/>
                <w:sz w:val="18"/>
                <w:szCs w:val="20"/>
                <w:shd w:val="clear" w:color="auto" w:fill="BFBFBF" w:themeFill="background1" w:themeFillShade="BF"/>
              </w:rPr>
              <w:t>……………………………………</w:t>
            </w:r>
            <w:proofErr w:type="gramStart"/>
            <w:r w:rsidR="001C37B2" w:rsidRPr="001C37B2">
              <w:rPr>
                <w:rFonts w:cs="Arial"/>
                <w:bCs/>
                <w:color w:val="BFBFBF" w:themeColor="background1" w:themeShade="BF"/>
                <w:sz w:val="18"/>
                <w:szCs w:val="20"/>
                <w:shd w:val="clear" w:color="auto" w:fill="BFBFBF" w:themeFill="background1" w:themeFillShade="BF"/>
              </w:rPr>
              <w:t>…..</w:t>
            </w:r>
            <w:proofErr w:type="gramEnd"/>
            <w:r w:rsidR="001C37B2" w:rsidRPr="001C37B2">
              <w:rPr>
                <w:rFonts w:cs="Arial"/>
                <w:bCs/>
                <w:color w:val="BFBFBF" w:themeColor="background1" w:themeShade="BF"/>
                <w:sz w:val="18"/>
                <w:szCs w:val="20"/>
                <w:shd w:val="clear" w:color="auto" w:fill="BFBFBF" w:themeFill="background1" w:themeFillShade="BF"/>
              </w:rPr>
              <w:br/>
              <w:t>……………….</w:t>
            </w:r>
            <w:r w:rsidR="001C37B2" w:rsidRPr="001C37B2">
              <w:rPr>
                <w:rFonts w:cs="Arial"/>
                <w:bCs/>
                <w:color w:val="BFBFBF" w:themeColor="background1" w:themeShade="BF"/>
                <w:sz w:val="18"/>
                <w:szCs w:val="20"/>
              </w:rPr>
              <w:t>.</w:t>
            </w:r>
            <w:r w:rsidR="0057475C" w:rsidRPr="00F24B69">
              <w:rPr>
                <w:rFonts w:cs="Arial"/>
                <w:bCs/>
                <w:sz w:val="18"/>
                <w:szCs w:val="20"/>
              </w:rPr>
              <w:t xml:space="preserve"> particularly if there is a desire to </w:t>
            </w:r>
            <w:r w:rsidR="0057475C" w:rsidRPr="00F24B69">
              <w:rPr>
                <w:rFonts w:cs="Arial"/>
                <w:bCs/>
                <w:sz w:val="18"/>
                <w:szCs w:val="20"/>
              </w:rPr>
              <w:lastRenderedPageBreak/>
              <w:t>avoid people being financially disadvantaged.</w:t>
            </w:r>
            <w:r w:rsidR="00A330D0" w:rsidRPr="00F24B69">
              <w:rPr>
                <w:rFonts w:cs="Arial"/>
                <w:bCs/>
                <w:sz w:val="18"/>
                <w:szCs w:val="20"/>
              </w:rPr>
              <w:t xml:space="preserve"> A full alignment means families would gain around $125 a week moving from working and receiving a benefit, to working and receiving the MFTC</w:t>
            </w:r>
            <w:r w:rsidR="000E6237" w:rsidRPr="00F24B69">
              <w:rPr>
                <w:rFonts w:cs="Arial"/>
                <w:bCs/>
                <w:sz w:val="18"/>
                <w:szCs w:val="20"/>
              </w:rPr>
              <w:t xml:space="preserve">. </w:t>
            </w:r>
          </w:p>
          <w:p w14:paraId="20510558" w14:textId="5D66747C" w:rsidR="00C53CCA" w:rsidRPr="00F24B69" w:rsidRDefault="007E3458" w:rsidP="007E3458">
            <w:pPr>
              <w:pStyle w:val="TableText"/>
              <w:spacing w:line="240" w:lineRule="auto"/>
              <w:rPr>
                <w:rFonts w:cs="Arial"/>
                <w:bCs/>
                <w:sz w:val="18"/>
                <w:szCs w:val="20"/>
              </w:rPr>
            </w:pPr>
            <w:r w:rsidRPr="007E3458">
              <w:rPr>
                <w:rFonts w:cs="Arial"/>
                <w:bCs/>
                <w:color w:val="BFBFBF" w:themeColor="background1" w:themeShade="BF"/>
                <w:sz w:val="18"/>
                <w:szCs w:val="20"/>
                <w:shd w:val="clear" w:color="auto" w:fill="BFBFBF" w:themeFill="background1" w:themeFillShade="BF"/>
              </w:rPr>
              <w:t>.</w:t>
            </w:r>
            <w:r w:rsidRPr="007E3458">
              <w:rPr>
                <w:rFonts w:cs="Arial"/>
                <w:bCs/>
                <w:sz w:val="18"/>
                <w:szCs w:val="20"/>
                <w:shd w:val="clear" w:color="auto" w:fill="BFBFBF" w:themeFill="background1" w:themeFillShade="BF"/>
              </w:rPr>
              <w:t>s 9(2)(f)(iv)</w:t>
            </w:r>
            <w:r w:rsidRPr="007E3458">
              <w:rPr>
                <w:rFonts w:cs="Arial"/>
                <w:bCs/>
                <w:color w:val="BFBFBF" w:themeColor="background1" w:themeShade="BF"/>
                <w:sz w:val="18"/>
                <w:szCs w:val="20"/>
                <w:shd w:val="clear" w:color="auto" w:fill="BFBFBF" w:themeFill="background1" w:themeFillShade="BF"/>
              </w:rPr>
              <w:t>…</w:t>
            </w:r>
            <w:r>
              <w:rPr>
                <w:rFonts w:cs="Arial"/>
                <w:bCs/>
                <w:color w:val="BFBFBF" w:themeColor="background1" w:themeShade="BF"/>
                <w:sz w:val="18"/>
                <w:szCs w:val="20"/>
                <w:shd w:val="clear" w:color="auto" w:fill="BFBFBF" w:themeFill="background1" w:themeFillShade="BF"/>
              </w:rPr>
              <w:t>.</w:t>
            </w:r>
            <w:r w:rsidRPr="007E3458">
              <w:rPr>
                <w:rFonts w:cs="Arial"/>
                <w:bCs/>
                <w:color w:val="BFBFBF" w:themeColor="background1" w:themeShade="BF"/>
                <w:sz w:val="18"/>
                <w:szCs w:val="20"/>
                <w:shd w:val="clear" w:color="auto" w:fill="BFBFBF" w:themeFill="background1" w:themeFillShade="BF"/>
              </w:rPr>
              <w:t>…</w:t>
            </w:r>
            <w:proofErr w:type="gramStart"/>
            <w:r w:rsidRPr="007E3458">
              <w:rPr>
                <w:rFonts w:cs="Arial"/>
                <w:bCs/>
                <w:color w:val="BFBFBF" w:themeColor="background1" w:themeShade="BF"/>
                <w:sz w:val="18"/>
                <w:szCs w:val="20"/>
                <w:shd w:val="clear" w:color="auto" w:fill="BFBFBF" w:themeFill="background1" w:themeFillShade="BF"/>
              </w:rPr>
              <w:t>…..</w:t>
            </w:r>
            <w:proofErr w:type="gramEnd"/>
            <w:r w:rsidRPr="007E3458">
              <w:rPr>
                <w:rFonts w:cs="Arial"/>
                <w:bCs/>
                <w:color w:val="BFBFBF" w:themeColor="background1" w:themeShade="BF"/>
                <w:sz w:val="18"/>
                <w:szCs w:val="20"/>
                <w:shd w:val="clear" w:color="auto" w:fill="BFBFBF" w:themeFill="background1" w:themeFillShade="BF"/>
              </w:rPr>
              <w:t>……………………………….</w:t>
            </w:r>
            <w:r w:rsidRPr="007E3458">
              <w:rPr>
                <w:rFonts w:cs="Arial"/>
                <w:bCs/>
                <w:color w:val="BFBFBF" w:themeColor="background1" w:themeShade="BF"/>
                <w:sz w:val="18"/>
                <w:szCs w:val="20"/>
                <w:shd w:val="clear" w:color="auto" w:fill="BFBFBF" w:themeFill="background1" w:themeFillShade="BF"/>
              </w:rPr>
              <w:br/>
              <w:t>……………………………………………………….</w:t>
            </w:r>
            <w:r w:rsidRPr="007E3458">
              <w:rPr>
                <w:rFonts w:cs="Arial"/>
                <w:bCs/>
                <w:color w:val="BFBFBF" w:themeColor="background1" w:themeShade="BF"/>
                <w:sz w:val="18"/>
                <w:szCs w:val="20"/>
                <w:shd w:val="clear" w:color="auto" w:fill="BFBFBF" w:themeFill="background1" w:themeFillShade="BF"/>
              </w:rPr>
              <w:br/>
              <w:t>……………………….………………………………</w:t>
            </w:r>
          </w:p>
        </w:tc>
        <w:tc>
          <w:tcPr>
            <w:tcW w:w="4103" w:type="dxa"/>
            <w:shd w:val="clear" w:color="auto" w:fill="auto"/>
          </w:tcPr>
          <w:p w14:paraId="5F46D7A9" w14:textId="0CF105D8" w:rsidR="00C53CCA" w:rsidRPr="00F24B69" w:rsidRDefault="000F5E12" w:rsidP="000F5E12">
            <w:pPr>
              <w:pStyle w:val="TableText"/>
              <w:spacing w:line="276" w:lineRule="auto"/>
              <w:jc w:val="center"/>
              <w:rPr>
                <w:rFonts w:cs="Arial"/>
                <w:b/>
                <w:color w:val="FF0000"/>
                <w:sz w:val="28"/>
                <w:szCs w:val="32"/>
              </w:rPr>
            </w:pPr>
            <w:r w:rsidRPr="00F24B69">
              <w:rPr>
                <w:rFonts w:cs="Arial"/>
                <w:b/>
                <w:color w:val="FF0000"/>
                <w:sz w:val="22"/>
                <w:szCs w:val="24"/>
              </w:rPr>
              <w:lastRenderedPageBreak/>
              <w:t xml:space="preserve">- </w:t>
            </w:r>
            <w:r w:rsidR="00C53CCA" w:rsidRPr="00F24B69">
              <w:rPr>
                <w:b/>
              </w:rPr>
              <w:t xml:space="preserve"> </w:t>
            </w:r>
          </w:p>
          <w:p w14:paraId="3BCC4E4E" w14:textId="2BE1A1AB" w:rsidR="00C53CCA" w:rsidRPr="00F24B69" w:rsidRDefault="00C53CCA" w:rsidP="00BD27AE">
            <w:pPr>
              <w:pStyle w:val="TableText"/>
              <w:spacing w:line="276" w:lineRule="auto"/>
              <w:rPr>
                <w:rFonts w:cs="Arial"/>
                <w:bCs/>
                <w:sz w:val="18"/>
                <w:szCs w:val="20"/>
              </w:rPr>
            </w:pPr>
            <w:r w:rsidRPr="00F24B69">
              <w:rPr>
                <w:rFonts w:cs="Arial"/>
                <w:bCs/>
                <w:sz w:val="18"/>
                <w:szCs w:val="20"/>
              </w:rPr>
              <w:t xml:space="preserve">Partially increasing the MFTC threshold may make future WFF reform </w:t>
            </w:r>
            <w:r w:rsidR="0024626C" w:rsidRPr="00F24B69">
              <w:rPr>
                <w:rFonts w:cs="Arial"/>
                <w:bCs/>
                <w:sz w:val="18"/>
                <w:szCs w:val="20"/>
              </w:rPr>
              <w:t>complex and costly;</w:t>
            </w:r>
            <w:r w:rsidR="00A330D0" w:rsidRPr="00F24B69">
              <w:rPr>
                <w:rFonts w:cs="Arial"/>
                <w:bCs/>
                <w:sz w:val="18"/>
                <w:szCs w:val="20"/>
              </w:rPr>
              <w:t xml:space="preserve"> a partial alignment means families would gain </w:t>
            </w:r>
            <w:r w:rsidR="00BD27AE" w:rsidRPr="00F24B69">
              <w:rPr>
                <w:rFonts w:cs="Arial"/>
                <w:bCs/>
                <w:sz w:val="18"/>
                <w:szCs w:val="20"/>
              </w:rPr>
              <w:t xml:space="preserve">around $85 a week moving from working and </w:t>
            </w:r>
            <w:r w:rsidR="00BD27AE" w:rsidRPr="00F24B69">
              <w:rPr>
                <w:rFonts w:cs="Arial"/>
                <w:bCs/>
                <w:sz w:val="18"/>
                <w:szCs w:val="20"/>
              </w:rPr>
              <w:lastRenderedPageBreak/>
              <w:t>receiving a benefit, to working and receiving the MFTC</w:t>
            </w:r>
            <w:r w:rsidR="000E6237" w:rsidRPr="00F24B69">
              <w:rPr>
                <w:rFonts w:cs="Arial"/>
                <w:bCs/>
                <w:sz w:val="18"/>
                <w:szCs w:val="20"/>
              </w:rPr>
              <w:t xml:space="preserve">. </w:t>
            </w:r>
            <w:r w:rsidR="007E3458" w:rsidRPr="007E3458">
              <w:rPr>
                <w:rFonts w:cs="Arial"/>
                <w:bCs/>
                <w:color w:val="BFBFBF" w:themeColor="background1" w:themeShade="BF"/>
                <w:sz w:val="18"/>
                <w:szCs w:val="20"/>
                <w:shd w:val="clear" w:color="auto" w:fill="BFBFBF" w:themeFill="background1" w:themeFillShade="BF"/>
              </w:rPr>
              <w:t>.</w:t>
            </w:r>
            <w:r w:rsidR="007E3458" w:rsidRPr="007E3458">
              <w:rPr>
                <w:rFonts w:cs="Arial"/>
                <w:bCs/>
                <w:sz w:val="18"/>
                <w:szCs w:val="20"/>
                <w:shd w:val="clear" w:color="auto" w:fill="BFBFBF" w:themeFill="background1" w:themeFillShade="BF"/>
              </w:rPr>
              <w:t>s 9(2)(f)(iv)</w:t>
            </w:r>
            <w:r w:rsidR="007E3458" w:rsidRPr="007E3458">
              <w:rPr>
                <w:rFonts w:cs="Arial"/>
                <w:bCs/>
                <w:color w:val="BFBFBF" w:themeColor="background1" w:themeShade="BF"/>
                <w:sz w:val="18"/>
                <w:szCs w:val="20"/>
                <w:shd w:val="clear" w:color="auto" w:fill="BFBFBF" w:themeFill="background1" w:themeFillShade="BF"/>
              </w:rPr>
              <w:t>……………………………</w:t>
            </w:r>
            <w:proofErr w:type="gramStart"/>
            <w:r w:rsidR="007E3458" w:rsidRPr="007E3458">
              <w:rPr>
                <w:rFonts w:cs="Arial"/>
                <w:bCs/>
                <w:color w:val="BFBFBF" w:themeColor="background1" w:themeShade="BF"/>
                <w:sz w:val="18"/>
                <w:szCs w:val="20"/>
                <w:shd w:val="clear" w:color="auto" w:fill="BFBFBF" w:themeFill="background1" w:themeFillShade="BF"/>
              </w:rPr>
              <w:t>…..</w:t>
            </w:r>
            <w:proofErr w:type="gramEnd"/>
            <w:r w:rsidR="007E3458" w:rsidRPr="007E3458">
              <w:rPr>
                <w:rFonts w:cs="Arial"/>
                <w:bCs/>
                <w:color w:val="BFBFBF" w:themeColor="background1" w:themeShade="BF"/>
                <w:sz w:val="18"/>
                <w:szCs w:val="20"/>
                <w:shd w:val="clear" w:color="auto" w:fill="BFBFBF" w:themeFill="background1" w:themeFillShade="BF"/>
              </w:rPr>
              <w:br/>
              <w:t>……………………………………………………….</w:t>
            </w:r>
            <w:r w:rsidR="00BD27AE" w:rsidRPr="00F24B69">
              <w:rPr>
                <w:rFonts w:cs="Arial"/>
                <w:bCs/>
                <w:sz w:val="18"/>
                <w:szCs w:val="20"/>
              </w:rPr>
              <w:t xml:space="preserve"> However,</w:t>
            </w:r>
            <w:r w:rsidR="0024626C" w:rsidRPr="00F24B69">
              <w:rPr>
                <w:rFonts w:cs="Arial"/>
                <w:bCs/>
                <w:sz w:val="18"/>
                <w:szCs w:val="20"/>
              </w:rPr>
              <w:t xml:space="preserve"> this would be less </w:t>
            </w:r>
            <w:r w:rsidR="000E6237" w:rsidRPr="00F24B69">
              <w:rPr>
                <w:rFonts w:cs="Arial"/>
                <w:bCs/>
                <w:sz w:val="18"/>
                <w:szCs w:val="20"/>
              </w:rPr>
              <w:t xml:space="preserve">costly and complex </w:t>
            </w:r>
            <w:r w:rsidR="0024626C" w:rsidRPr="00F24B69">
              <w:rPr>
                <w:rFonts w:cs="Arial"/>
                <w:bCs/>
                <w:sz w:val="18"/>
                <w:szCs w:val="20"/>
              </w:rPr>
              <w:t xml:space="preserve">than Option One. </w:t>
            </w:r>
          </w:p>
        </w:tc>
        <w:tc>
          <w:tcPr>
            <w:tcW w:w="4104" w:type="dxa"/>
            <w:shd w:val="clear" w:color="auto" w:fill="auto"/>
          </w:tcPr>
          <w:p w14:paraId="28E3E0A9" w14:textId="77777777" w:rsidR="005246DA" w:rsidRDefault="005246DA" w:rsidP="005246DA">
            <w:pPr>
              <w:pStyle w:val="TableText"/>
              <w:spacing w:line="276" w:lineRule="auto"/>
              <w:jc w:val="center"/>
              <w:rPr>
                <w:rFonts w:cs="Arial"/>
                <w:color w:val="00B050"/>
                <w:sz w:val="24"/>
                <w:szCs w:val="28"/>
              </w:rPr>
            </w:pPr>
            <w:r w:rsidRPr="001275B9">
              <w:rPr>
                <w:rFonts w:cs="Arial"/>
                <w:b/>
                <w:color w:val="00B050"/>
                <w:sz w:val="24"/>
                <w:szCs w:val="28"/>
              </w:rPr>
              <w:lastRenderedPageBreak/>
              <w:t>+</w:t>
            </w:r>
          </w:p>
          <w:p w14:paraId="0B196C9E" w14:textId="3D382571" w:rsidR="004205A0" w:rsidRDefault="00F24B69" w:rsidP="00E228C1">
            <w:pPr>
              <w:pStyle w:val="TableText"/>
              <w:spacing w:line="276" w:lineRule="auto"/>
              <w:rPr>
                <w:rFonts w:cs="Arial"/>
                <w:bCs/>
                <w:color w:val="000000" w:themeColor="text1"/>
                <w:sz w:val="18"/>
                <w:szCs w:val="20"/>
              </w:rPr>
            </w:pPr>
            <w:r w:rsidRPr="00F24B69">
              <w:rPr>
                <w:rFonts w:cs="Arial"/>
                <w:bCs/>
                <w:color w:val="000000" w:themeColor="text1"/>
                <w:sz w:val="18"/>
                <w:szCs w:val="20"/>
              </w:rPr>
              <w:t>With no alignment (</w:t>
            </w:r>
            <w:proofErr w:type="spellStart"/>
            <w:r w:rsidRPr="00F24B69">
              <w:rPr>
                <w:rFonts w:cs="Arial"/>
                <w:bCs/>
                <w:color w:val="000000" w:themeColor="text1"/>
                <w:sz w:val="18"/>
                <w:szCs w:val="20"/>
              </w:rPr>
              <w:t>ie</w:t>
            </w:r>
            <w:proofErr w:type="spellEnd"/>
            <w:r w:rsidRPr="00F24B69">
              <w:rPr>
                <w:rFonts w:cs="Arial"/>
                <w:bCs/>
                <w:color w:val="000000" w:themeColor="text1"/>
                <w:sz w:val="18"/>
                <w:szCs w:val="20"/>
              </w:rPr>
              <w:t>, 2020/21 threshold</w:t>
            </w:r>
            <w:r w:rsidR="004205A0" w:rsidRPr="00F24B69">
              <w:rPr>
                <w:rFonts w:cs="Arial"/>
                <w:bCs/>
                <w:color w:val="000000" w:themeColor="text1"/>
                <w:sz w:val="18"/>
                <w:szCs w:val="20"/>
              </w:rPr>
              <w:t xml:space="preserve"> </w:t>
            </w:r>
            <w:r w:rsidRPr="00F24B69">
              <w:rPr>
                <w:rFonts w:cs="Arial"/>
                <w:bCs/>
                <w:color w:val="000000" w:themeColor="text1"/>
                <w:sz w:val="18"/>
                <w:szCs w:val="20"/>
              </w:rPr>
              <w:t xml:space="preserve">of $29,432 maintained for 2021/22), </w:t>
            </w:r>
            <w:r w:rsidR="004205A0" w:rsidRPr="00F24B69">
              <w:rPr>
                <w:rFonts w:cs="Arial"/>
                <w:bCs/>
                <w:color w:val="000000" w:themeColor="text1"/>
                <w:sz w:val="18"/>
                <w:szCs w:val="20"/>
              </w:rPr>
              <w:t xml:space="preserve">families would gain around $60 a week moving from working and receiving a benefit, to working and receiving </w:t>
            </w:r>
            <w:r w:rsidR="004205A0" w:rsidRPr="00F24B69">
              <w:rPr>
                <w:rFonts w:cs="Arial"/>
                <w:bCs/>
                <w:color w:val="000000" w:themeColor="text1"/>
                <w:sz w:val="18"/>
                <w:szCs w:val="20"/>
              </w:rPr>
              <w:lastRenderedPageBreak/>
              <w:t>the MFTC. Therefore, non-alignment of the MFTC threshold is likely to make future WFF reforms less complex and costly than Options One and Two.</w:t>
            </w:r>
            <w:r w:rsidR="004205A0">
              <w:rPr>
                <w:rFonts w:cs="Arial"/>
                <w:bCs/>
                <w:color w:val="000000" w:themeColor="text1"/>
                <w:sz w:val="18"/>
                <w:szCs w:val="20"/>
              </w:rPr>
              <w:t xml:space="preserve"> </w:t>
            </w:r>
          </w:p>
          <w:p w14:paraId="0F991121" w14:textId="726E1892" w:rsidR="00C53CCA" w:rsidRPr="00FA178A" w:rsidRDefault="00C53CCA" w:rsidP="00E228C1">
            <w:pPr>
              <w:pStyle w:val="TableText"/>
              <w:spacing w:line="276" w:lineRule="auto"/>
              <w:rPr>
                <w:rFonts w:cs="Arial"/>
                <w:bCs/>
                <w:sz w:val="18"/>
                <w:szCs w:val="20"/>
              </w:rPr>
            </w:pPr>
          </w:p>
        </w:tc>
      </w:tr>
      <w:tr w:rsidR="00C53CCA" w:rsidRPr="00FA178A" w14:paraId="45F260A3" w14:textId="77777777" w:rsidTr="0036785D">
        <w:tc>
          <w:tcPr>
            <w:tcW w:w="1570" w:type="dxa"/>
            <w:shd w:val="clear" w:color="auto" w:fill="99CDDD"/>
          </w:tcPr>
          <w:p w14:paraId="64E400A0" w14:textId="640E622E" w:rsidR="00C53CCA" w:rsidRPr="00FA178A" w:rsidRDefault="00C53CCA" w:rsidP="00C53CCA">
            <w:pPr>
              <w:pStyle w:val="TableText"/>
              <w:spacing w:line="276" w:lineRule="auto"/>
              <w:rPr>
                <w:rFonts w:cs="Arial"/>
                <w:bCs/>
                <w:sz w:val="18"/>
                <w:szCs w:val="20"/>
              </w:rPr>
            </w:pPr>
            <w:r w:rsidRPr="00FA178A">
              <w:rPr>
                <w:rFonts w:cs="Arial"/>
                <w:b/>
                <w:color w:val="000000"/>
                <w:szCs w:val="24"/>
              </w:rPr>
              <w:lastRenderedPageBreak/>
              <w:t>Overall assessment</w:t>
            </w:r>
          </w:p>
        </w:tc>
        <w:tc>
          <w:tcPr>
            <w:tcW w:w="4102" w:type="dxa"/>
            <w:shd w:val="clear" w:color="auto" w:fill="auto"/>
            <w:vAlign w:val="center"/>
          </w:tcPr>
          <w:p w14:paraId="018F9093" w14:textId="66CBF832" w:rsidR="00C53CCA" w:rsidRPr="0036785D" w:rsidRDefault="00714887" w:rsidP="0036785D">
            <w:pPr>
              <w:pStyle w:val="TableText"/>
              <w:spacing w:line="276" w:lineRule="auto"/>
              <w:jc w:val="center"/>
              <w:rPr>
                <w:rFonts w:cs="Arial"/>
                <w:color w:val="00B050"/>
                <w:sz w:val="24"/>
                <w:szCs w:val="28"/>
              </w:rPr>
            </w:pPr>
            <w:r w:rsidRPr="001275B9">
              <w:rPr>
                <w:rFonts w:cs="Arial"/>
                <w:b/>
                <w:color w:val="00B050"/>
                <w:sz w:val="24"/>
                <w:szCs w:val="28"/>
              </w:rPr>
              <w:t>+</w:t>
            </w:r>
          </w:p>
        </w:tc>
        <w:tc>
          <w:tcPr>
            <w:tcW w:w="4103" w:type="dxa"/>
            <w:shd w:val="clear" w:color="auto" w:fill="auto"/>
            <w:vAlign w:val="center"/>
          </w:tcPr>
          <w:p w14:paraId="7BAA0FF8" w14:textId="16FB0E9E" w:rsidR="00C53CCA" w:rsidRPr="0036785D" w:rsidRDefault="00714887" w:rsidP="0036785D">
            <w:pPr>
              <w:pStyle w:val="TableText"/>
              <w:spacing w:line="276" w:lineRule="auto"/>
              <w:jc w:val="center"/>
              <w:rPr>
                <w:rFonts w:cs="Arial"/>
                <w:color w:val="00B050"/>
                <w:sz w:val="24"/>
                <w:szCs w:val="28"/>
              </w:rPr>
            </w:pPr>
            <w:r w:rsidRPr="001275B9">
              <w:rPr>
                <w:rFonts w:cs="Arial"/>
                <w:b/>
                <w:color w:val="00B050"/>
                <w:sz w:val="24"/>
                <w:szCs w:val="28"/>
              </w:rPr>
              <w:t>+</w:t>
            </w:r>
          </w:p>
        </w:tc>
        <w:tc>
          <w:tcPr>
            <w:tcW w:w="4104" w:type="dxa"/>
            <w:shd w:val="clear" w:color="auto" w:fill="auto"/>
            <w:vAlign w:val="center"/>
          </w:tcPr>
          <w:p w14:paraId="4633A29E" w14:textId="37A5982E" w:rsidR="00C53CCA" w:rsidRPr="00241A86" w:rsidRDefault="00714887" w:rsidP="0036785D">
            <w:pPr>
              <w:pStyle w:val="TableText"/>
              <w:spacing w:line="276" w:lineRule="auto"/>
              <w:jc w:val="center"/>
              <w:rPr>
                <w:rFonts w:cs="Arial"/>
                <w:bCs/>
                <w:sz w:val="18"/>
                <w:szCs w:val="20"/>
                <w:highlight w:val="yellow"/>
              </w:rPr>
            </w:pPr>
            <w:r w:rsidRPr="005246DA">
              <w:rPr>
                <w:rFonts w:cs="Arial"/>
                <w:b/>
                <w:color w:val="FF0000"/>
                <w:sz w:val="24"/>
                <w:szCs w:val="28"/>
              </w:rPr>
              <w:t>-</w:t>
            </w:r>
          </w:p>
        </w:tc>
      </w:tr>
    </w:tbl>
    <w:p w14:paraId="074013AD" w14:textId="77777777" w:rsidR="0062657E" w:rsidRDefault="0062657E" w:rsidP="0049234F">
      <w:pPr>
        <w:pStyle w:val="spacer"/>
      </w:pPr>
    </w:p>
    <w:p w14:paraId="403F7963" w14:textId="77777777" w:rsidR="0049467D" w:rsidRPr="0049467D" w:rsidRDefault="0049467D" w:rsidP="0049467D">
      <w:pPr>
        <w:spacing w:after="120" w:line="276" w:lineRule="auto"/>
        <w:rPr>
          <w:rFonts w:cs="Arial"/>
          <w:b/>
          <w:sz w:val="20"/>
        </w:rPr>
      </w:pPr>
      <w:r w:rsidRPr="0049467D">
        <w:rPr>
          <w:rFonts w:cs="Arial"/>
          <w:b/>
          <w:sz w:val="20"/>
        </w:rPr>
        <w:t>Key:</w:t>
      </w:r>
    </w:p>
    <w:p w14:paraId="5E20A4E1" w14:textId="77777777" w:rsidR="0062657E" w:rsidRPr="0049467D" w:rsidRDefault="0062657E" w:rsidP="0049467D">
      <w:pPr>
        <w:spacing w:after="120" w:line="276" w:lineRule="auto"/>
        <w:rPr>
          <w:rFonts w:cs="Arial"/>
          <w:sz w:val="20"/>
        </w:rPr>
      </w:pPr>
      <w:r w:rsidRPr="00373CD5">
        <w:rPr>
          <w:rFonts w:cs="Arial"/>
          <w:b/>
          <w:color w:val="00B050"/>
          <w:sz w:val="20"/>
        </w:rPr>
        <w:t>++</w:t>
      </w:r>
      <w:r w:rsidRPr="0049467D">
        <w:rPr>
          <w:rFonts w:cs="Arial"/>
          <w:sz w:val="20"/>
        </w:rPr>
        <w:t xml:space="preserve">  </w:t>
      </w:r>
      <w:r w:rsidRPr="0049467D">
        <w:rPr>
          <w:rFonts w:cs="Arial"/>
          <w:sz w:val="20"/>
        </w:rPr>
        <w:tab/>
        <w:t>much better than doing nothing/the status quo</w:t>
      </w:r>
    </w:p>
    <w:p w14:paraId="25622461" w14:textId="77777777" w:rsidR="0062657E" w:rsidRPr="0049467D" w:rsidRDefault="0062657E" w:rsidP="0049467D">
      <w:pPr>
        <w:spacing w:after="120" w:line="276" w:lineRule="auto"/>
        <w:rPr>
          <w:rFonts w:cs="Arial"/>
          <w:sz w:val="20"/>
        </w:rPr>
      </w:pPr>
      <w:r w:rsidRPr="00373CD5">
        <w:rPr>
          <w:rFonts w:cs="Arial"/>
          <w:b/>
          <w:color w:val="00B050"/>
          <w:sz w:val="20"/>
        </w:rPr>
        <w:t>+</w:t>
      </w:r>
      <w:r w:rsidRPr="00373CD5">
        <w:rPr>
          <w:rFonts w:cs="Arial"/>
          <w:color w:val="00B050"/>
          <w:sz w:val="20"/>
        </w:rPr>
        <w:t xml:space="preserve"> </w:t>
      </w:r>
      <w:r w:rsidRPr="0049467D">
        <w:rPr>
          <w:rFonts w:cs="Arial"/>
          <w:sz w:val="20"/>
        </w:rPr>
        <w:t xml:space="preserve"> </w:t>
      </w:r>
      <w:r w:rsidRPr="0049467D">
        <w:rPr>
          <w:rFonts w:cs="Arial"/>
          <w:sz w:val="20"/>
        </w:rPr>
        <w:tab/>
        <w:t>better than doing nothing/the status quo</w:t>
      </w:r>
    </w:p>
    <w:p w14:paraId="411A7282" w14:textId="77777777" w:rsidR="0062657E" w:rsidRPr="0049467D" w:rsidRDefault="0062657E" w:rsidP="0049467D">
      <w:pPr>
        <w:spacing w:after="120" w:line="276" w:lineRule="auto"/>
        <w:rPr>
          <w:rFonts w:cs="Arial"/>
          <w:sz w:val="20"/>
        </w:rPr>
      </w:pPr>
      <w:r w:rsidRPr="0049467D">
        <w:rPr>
          <w:rFonts w:cs="Arial"/>
          <w:b/>
          <w:sz w:val="20"/>
        </w:rPr>
        <w:t>0</w:t>
      </w:r>
      <w:r w:rsidRPr="0049467D">
        <w:rPr>
          <w:rFonts w:cs="Arial"/>
          <w:sz w:val="20"/>
        </w:rPr>
        <w:t xml:space="preserve">  </w:t>
      </w:r>
      <w:r w:rsidRPr="0049467D">
        <w:rPr>
          <w:rFonts w:cs="Arial"/>
          <w:sz w:val="20"/>
        </w:rPr>
        <w:tab/>
        <w:t>about the same as doing nothing/the status quo</w:t>
      </w:r>
    </w:p>
    <w:p w14:paraId="2EA7B3D4" w14:textId="77777777" w:rsidR="0062657E" w:rsidRPr="0049467D" w:rsidRDefault="0062657E" w:rsidP="0049467D">
      <w:pPr>
        <w:spacing w:after="120" w:line="276" w:lineRule="auto"/>
        <w:rPr>
          <w:rFonts w:cs="Arial"/>
          <w:sz w:val="20"/>
        </w:rPr>
      </w:pPr>
      <w:r w:rsidRPr="00373CD5">
        <w:rPr>
          <w:rFonts w:cs="Arial"/>
          <w:b/>
          <w:color w:val="FF0000"/>
          <w:sz w:val="20"/>
        </w:rPr>
        <w:t>-</w:t>
      </w:r>
      <w:r w:rsidRPr="0049467D">
        <w:rPr>
          <w:rFonts w:cs="Arial"/>
          <w:sz w:val="20"/>
        </w:rPr>
        <w:t xml:space="preserve"> </w:t>
      </w:r>
      <w:r w:rsidRPr="0049467D">
        <w:rPr>
          <w:rFonts w:cs="Arial"/>
          <w:sz w:val="20"/>
        </w:rPr>
        <w:tab/>
        <w:t>worse than doing nothing/the status quo</w:t>
      </w:r>
    </w:p>
    <w:p w14:paraId="72AA943E" w14:textId="77777777" w:rsidR="0049467D" w:rsidRPr="0049467D" w:rsidRDefault="0062657E" w:rsidP="0049467D">
      <w:pPr>
        <w:spacing w:after="120" w:line="276" w:lineRule="auto"/>
        <w:rPr>
          <w:rFonts w:cs="Arial"/>
          <w:sz w:val="20"/>
        </w:rPr>
      </w:pPr>
      <w:r w:rsidRPr="00373CD5">
        <w:rPr>
          <w:rFonts w:cs="Arial"/>
          <w:b/>
          <w:color w:val="FF0000"/>
          <w:sz w:val="20"/>
        </w:rPr>
        <w:t>- -</w:t>
      </w:r>
      <w:r w:rsidRPr="0049467D">
        <w:rPr>
          <w:rFonts w:cs="Arial"/>
          <w:sz w:val="20"/>
        </w:rPr>
        <w:t xml:space="preserve"> </w:t>
      </w:r>
      <w:r w:rsidRPr="0049467D">
        <w:rPr>
          <w:rFonts w:cs="Arial"/>
          <w:sz w:val="20"/>
        </w:rPr>
        <w:tab/>
        <w:t>much worse than doing nothing/the status quo</w:t>
      </w:r>
    </w:p>
    <w:p w14:paraId="150612A0" w14:textId="77777777" w:rsidR="0062657E" w:rsidRPr="0049467D" w:rsidRDefault="0062657E" w:rsidP="0049467D">
      <w:pPr>
        <w:spacing w:after="120" w:line="276" w:lineRule="auto"/>
        <w:rPr>
          <w:rFonts w:ascii="Arial Narrow" w:hAnsi="Arial Narrow"/>
          <w:i/>
          <w:sz w:val="20"/>
        </w:rPr>
        <w:sectPr w:rsidR="0062657E" w:rsidRPr="0049467D" w:rsidSect="00FE1832">
          <w:footerReference w:type="default" r:id="rId10"/>
          <w:pgSz w:w="16838" w:h="11906" w:orient="landscape"/>
          <w:pgMar w:top="1134" w:right="1418" w:bottom="992" w:left="1418" w:header="709" w:footer="709" w:gutter="0"/>
          <w:cols w:space="708"/>
          <w:docGrid w:linePitch="360"/>
        </w:sectPr>
      </w:pPr>
    </w:p>
    <w:p w14:paraId="25054098" w14:textId="77777777"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lastRenderedPageBreak/>
        <w:t>Section 5:  Conclusions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6FE189AA" w14:textId="77777777" w:rsidTr="00346B30">
        <w:trPr>
          <w:trHeight w:val="529"/>
        </w:trPr>
        <w:tc>
          <w:tcPr>
            <w:tcW w:w="9072" w:type="dxa"/>
            <w:shd w:val="clear" w:color="auto" w:fill="99CDDD"/>
          </w:tcPr>
          <w:p w14:paraId="558BD119" w14:textId="3DF47BAE" w:rsidR="0062657E" w:rsidRPr="0049467D" w:rsidRDefault="00F05AD9" w:rsidP="00DF2E7B">
            <w:pPr>
              <w:spacing w:before="60" w:after="60" w:line="240" w:lineRule="auto"/>
              <w:rPr>
                <w:rFonts w:cs="Arial"/>
                <w:b/>
                <w:szCs w:val="22"/>
                <w:lang w:eastAsia="en-AU"/>
              </w:rPr>
            </w:pPr>
            <w:r>
              <w:rPr>
                <w:rFonts w:cs="Arial"/>
                <w:b/>
                <w:szCs w:val="22"/>
                <w:lang w:eastAsia="en-AU"/>
              </w:rPr>
              <w:br w:type="page"/>
              <w:t xml:space="preserve">5.1   </w:t>
            </w:r>
            <w:r w:rsidR="0062657E" w:rsidRPr="0049467D">
              <w:rPr>
                <w:rFonts w:cs="Arial"/>
                <w:b/>
                <w:szCs w:val="22"/>
                <w:lang w:eastAsia="en-AU"/>
              </w:rPr>
              <w:t xml:space="preserve">What option, or combination of options is likely </w:t>
            </w:r>
            <w:r w:rsidR="00105D66">
              <w:rPr>
                <w:rFonts w:cs="Arial"/>
                <w:b/>
                <w:szCs w:val="22"/>
                <w:lang w:eastAsia="en-AU"/>
              </w:rPr>
              <w:t xml:space="preserve">to </w:t>
            </w:r>
            <w:r w:rsidR="0062657E" w:rsidRPr="0049467D">
              <w:rPr>
                <w:rFonts w:cs="Arial"/>
                <w:b/>
                <w:szCs w:val="22"/>
                <w:lang w:eastAsia="en-AU"/>
              </w:rPr>
              <w:t>best address the problem, meet the policy objectives and deliver the highest net benefits?</w:t>
            </w:r>
          </w:p>
        </w:tc>
      </w:tr>
      <w:tr w:rsidR="0049467D" w:rsidRPr="0049467D" w14:paraId="49AD4F84" w14:textId="77777777" w:rsidTr="00346B30">
        <w:trPr>
          <w:trHeight w:val="6105"/>
        </w:trPr>
        <w:tc>
          <w:tcPr>
            <w:tcW w:w="9072" w:type="dxa"/>
            <w:shd w:val="clear" w:color="auto" w:fill="FFFFFF"/>
          </w:tcPr>
          <w:p w14:paraId="1323B025" w14:textId="30051582" w:rsidR="004158C4" w:rsidRPr="004158C4" w:rsidRDefault="000E6237" w:rsidP="009822A8">
            <w:pPr>
              <w:rPr>
                <w:b/>
                <w:bCs/>
                <w:i/>
                <w:iCs/>
              </w:rPr>
            </w:pPr>
            <w:r>
              <w:rPr>
                <w:b/>
                <w:bCs/>
                <w:i/>
                <w:iCs/>
              </w:rPr>
              <w:t>Option One is the preferred option for a</w:t>
            </w:r>
            <w:r w:rsidR="004158C4">
              <w:rPr>
                <w:b/>
                <w:bCs/>
                <w:i/>
                <w:iCs/>
              </w:rPr>
              <w:t>batement threshold increases</w:t>
            </w:r>
          </w:p>
          <w:p w14:paraId="0B48D061" w14:textId="4E16F8C3" w:rsidR="009360B7" w:rsidRDefault="00D93927" w:rsidP="009822A8">
            <w:r>
              <w:t>The proposed option for abatement threshold increase is Option One as it</w:t>
            </w:r>
            <w:r w:rsidR="009822A8">
              <w:t xml:space="preserve"> </w:t>
            </w:r>
            <w:r w:rsidR="009360B7">
              <w:t>means the thresholds will better align with the original abatement settings</w:t>
            </w:r>
            <w:r w:rsidR="00BC4B79">
              <w:t xml:space="preserve"> (as well as WEAG’s recommendation)</w:t>
            </w:r>
            <w:r w:rsidR="009360B7">
              <w:t>, which enabled beneficiaries to work for longer hours before abatement occurred. This option will allow working beneficiaries to keep a greater proportion of their earnings before their benefit is affected, thereby improving income adequacy and financial incentives to work</w:t>
            </w:r>
            <w:r w:rsidR="00C96179">
              <w:t xml:space="preserve"> part</w:t>
            </w:r>
            <w:r w:rsidR="00340510">
              <w:t>-</w:t>
            </w:r>
            <w:r w:rsidR="00C96179">
              <w:t>time</w:t>
            </w:r>
            <w:r w:rsidR="009360B7">
              <w:t xml:space="preserve"> while on a benefit.</w:t>
            </w:r>
          </w:p>
          <w:p w14:paraId="7429A178" w14:textId="18CF298A" w:rsidR="00BB03D8" w:rsidRDefault="00C96179" w:rsidP="00621D7F">
            <w:r>
              <w:t xml:space="preserve">This option </w:t>
            </w:r>
            <w:r w:rsidR="00BB03D8">
              <w:t>may</w:t>
            </w:r>
            <w:r>
              <w:t xml:space="preserve"> reduce the financial incentive for beneficiaries working part time to move into full time work. However, better incentivising beneficiaries to enter the labour market and maintain work, even if part-time work, is importan</w:t>
            </w:r>
            <w:r w:rsidR="00BB03D8">
              <w:t>t</w:t>
            </w:r>
            <w:r w:rsidR="000218AD">
              <w:t>. This is</w:t>
            </w:r>
            <w:r w:rsidR="00BB03D8">
              <w:t xml:space="preserve"> particularly </w:t>
            </w:r>
            <w:r w:rsidR="000218AD">
              <w:t xml:space="preserve">so </w:t>
            </w:r>
            <w:r w:rsidR="00BB03D8">
              <w:t xml:space="preserve">for those already disadvantaged in the labour market prior to COVID-19, such as sole parents and people with health conditions, injury or disability, for whom suitable work may only be part-time work. </w:t>
            </w:r>
          </w:p>
          <w:p w14:paraId="6AC4F17B" w14:textId="77FFF18B" w:rsidR="00857F61" w:rsidRDefault="00C96179" w:rsidP="00621D7F">
            <w:r>
              <w:t>Paid work can not only lift incomes and living standards, it can also enable people to experience better self-assessed health, life satisfaction and social connectedness. Part-time work can also provide a pathway to full-time work by providing opportunities to connect with the labour market, g</w:t>
            </w:r>
            <w:r w:rsidR="007D433D">
              <w:t>ain</w:t>
            </w:r>
            <w:r>
              <w:t xml:space="preserve"> work experience and become familiar with the demands that can come with employment. Also, given the economic impacts of COVID-19 and many people facing reduced hours, this option ensures that those on low incomes with reduced hours can access financial assistance while still being attached to their job.</w:t>
            </w:r>
          </w:p>
          <w:p w14:paraId="04077FFC" w14:textId="77777777" w:rsidR="000A159A" w:rsidRDefault="00794FF8" w:rsidP="000A159A">
            <w:pPr>
              <w:spacing w:after="0" w:line="276" w:lineRule="auto"/>
              <w:jc w:val="both"/>
              <w:rPr>
                <w:rFonts w:cs="Arial"/>
                <w:szCs w:val="22"/>
                <w:lang w:eastAsia="en-AU"/>
              </w:rPr>
            </w:pPr>
            <w:r>
              <w:rPr>
                <w:rFonts w:cs="Arial"/>
                <w:szCs w:val="22"/>
                <w:lang w:eastAsia="en-AU"/>
              </w:rPr>
              <w:t xml:space="preserve">No consultation (beyond other Government agencies) has taken place as this change is a Manifesto commitment (and the Government’s consideration of it is Budget Sensitive). </w:t>
            </w:r>
          </w:p>
          <w:p w14:paraId="423AE359" w14:textId="77777777" w:rsidR="000218AD" w:rsidRDefault="000218AD" w:rsidP="000A159A">
            <w:pPr>
              <w:spacing w:after="0" w:line="276" w:lineRule="auto"/>
              <w:jc w:val="both"/>
              <w:rPr>
                <w:rFonts w:cs="Arial"/>
                <w:szCs w:val="22"/>
                <w:lang w:val="mi-NZ" w:eastAsia="en-AU"/>
              </w:rPr>
            </w:pPr>
          </w:p>
          <w:p w14:paraId="4845EA97" w14:textId="6F5252DC" w:rsidR="000218AD" w:rsidRDefault="00621D7F" w:rsidP="000A159A">
            <w:pPr>
              <w:spacing w:after="0" w:line="276" w:lineRule="auto"/>
              <w:jc w:val="both"/>
              <w:rPr>
                <w:rFonts w:cs="Arial"/>
                <w:b/>
                <w:bCs/>
                <w:i/>
                <w:iCs/>
                <w:szCs w:val="22"/>
                <w:lang w:val="mi-NZ" w:eastAsia="en-AU"/>
              </w:rPr>
            </w:pPr>
            <w:r>
              <w:rPr>
                <w:rFonts w:cs="Arial"/>
                <w:b/>
                <w:bCs/>
                <w:i/>
                <w:iCs/>
                <w:szCs w:val="22"/>
                <w:lang w:val="mi-NZ" w:eastAsia="en-AU"/>
              </w:rPr>
              <w:t>Option One is the preferred option by IR for restrospectively adjusting the Minimum Family Tax Credit</w:t>
            </w:r>
          </w:p>
          <w:p w14:paraId="2C94386F" w14:textId="1B611B33" w:rsidR="00AF7B1E" w:rsidRDefault="00AF7B1E" w:rsidP="000A159A">
            <w:pPr>
              <w:spacing w:after="0" w:line="276" w:lineRule="auto"/>
              <w:jc w:val="both"/>
              <w:rPr>
                <w:rFonts w:cs="Arial"/>
                <w:szCs w:val="22"/>
                <w:lang w:val="mi-NZ" w:eastAsia="en-AU"/>
              </w:rPr>
            </w:pPr>
          </w:p>
          <w:p w14:paraId="51032496" w14:textId="0E435BE5" w:rsidR="00F87F49" w:rsidRDefault="00BA1CDC" w:rsidP="000A159A">
            <w:pPr>
              <w:spacing w:after="0" w:line="276" w:lineRule="auto"/>
              <w:jc w:val="both"/>
              <w:rPr>
                <w:rFonts w:cs="Arial"/>
                <w:szCs w:val="22"/>
                <w:lang w:val="mi-NZ" w:eastAsia="en-AU"/>
              </w:rPr>
            </w:pPr>
            <w:bookmarkStart w:id="11" w:name="_Hlk57790049"/>
            <w:r w:rsidRPr="00BF7560">
              <w:rPr>
                <w:rFonts w:cs="Arial"/>
                <w:szCs w:val="22"/>
                <w:lang w:val="mi-NZ" w:eastAsia="en-AU"/>
              </w:rPr>
              <w:t>Option One is t</w:t>
            </w:r>
            <w:r w:rsidRPr="00C83610">
              <w:rPr>
                <w:rFonts w:cs="Arial"/>
                <w:szCs w:val="22"/>
                <w:lang w:val="mi-NZ" w:eastAsia="en-AU"/>
              </w:rPr>
              <w:t>he preferred option by IR, and is the proposed option in the Cabinet paper.</w:t>
            </w:r>
            <w:r w:rsidR="00181463">
              <w:rPr>
                <w:rFonts w:cs="Arial"/>
                <w:szCs w:val="22"/>
                <w:lang w:val="mi-NZ" w:eastAsia="en-AU"/>
              </w:rPr>
              <w:t xml:space="preserve"> MSD does not have a preferred option.</w:t>
            </w:r>
            <w:r w:rsidRPr="00C83610">
              <w:rPr>
                <w:rFonts w:cs="Arial"/>
                <w:szCs w:val="22"/>
                <w:lang w:val="mi-NZ" w:eastAsia="en-AU"/>
              </w:rPr>
              <w:t xml:space="preserve"> </w:t>
            </w:r>
            <w:r w:rsidR="00F87F49" w:rsidRPr="00C83610">
              <w:rPr>
                <w:rFonts w:cs="Arial"/>
                <w:szCs w:val="22"/>
                <w:lang w:val="mi-NZ" w:eastAsia="en-AU"/>
              </w:rPr>
              <w:t>Note that Cabinet agreed to adjust the 2020/21 MFTC threshold as per Option One on 30 November 2020 [CAB</w:t>
            </w:r>
            <w:r w:rsidR="004557E0" w:rsidRPr="00C83610">
              <w:rPr>
                <w:rFonts w:cs="Arial"/>
                <w:szCs w:val="22"/>
                <w:lang w:val="mi-NZ" w:eastAsia="en-AU"/>
              </w:rPr>
              <w:t>-20-MIN-0490</w:t>
            </w:r>
            <w:r w:rsidR="00F87F49" w:rsidRPr="00BF7560">
              <w:rPr>
                <w:rFonts w:cs="Arial"/>
                <w:szCs w:val="22"/>
                <w:lang w:val="mi-NZ" w:eastAsia="en-AU"/>
              </w:rPr>
              <w:t>].</w:t>
            </w:r>
          </w:p>
          <w:p w14:paraId="0317EDB2" w14:textId="2C56A0C2" w:rsidR="00BA1CDC" w:rsidRDefault="00BA1CDC" w:rsidP="000A159A">
            <w:pPr>
              <w:spacing w:after="0" w:line="276" w:lineRule="auto"/>
              <w:jc w:val="both"/>
              <w:rPr>
                <w:rFonts w:cs="Arial"/>
                <w:szCs w:val="22"/>
                <w:lang w:val="mi-NZ" w:eastAsia="en-AU"/>
              </w:rPr>
            </w:pPr>
          </w:p>
          <w:p w14:paraId="1FFAAABD" w14:textId="08110ABE" w:rsidR="00BA1CDC" w:rsidRDefault="00BA1CDC" w:rsidP="00BA1CDC">
            <w:pPr>
              <w:spacing w:after="0" w:line="276" w:lineRule="auto"/>
              <w:jc w:val="both"/>
              <w:rPr>
                <w:rFonts w:cs="Arial"/>
                <w:szCs w:val="22"/>
                <w:lang w:val="mi-NZ" w:eastAsia="en-AU"/>
              </w:rPr>
            </w:pPr>
            <w:r>
              <w:rPr>
                <w:rFonts w:cs="Arial"/>
                <w:szCs w:val="22"/>
                <w:lang w:val="mi-NZ" w:eastAsia="en-AU"/>
              </w:rPr>
              <w:t xml:space="preserve">This option means the financial incentive provided by </w:t>
            </w:r>
            <w:r w:rsidR="00A70374">
              <w:rPr>
                <w:rFonts w:cs="Arial"/>
                <w:szCs w:val="22"/>
                <w:lang w:val="mi-NZ" w:eastAsia="en-AU"/>
              </w:rPr>
              <w:t xml:space="preserve">the </w:t>
            </w:r>
            <w:r>
              <w:rPr>
                <w:rFonts w:cs="Arial"/>
                <w:szCs w:val="22"/>
                <w:lang w:val="mi-NZ" w:eastAsia="en-AU"/>
              </w:rPr>
              <w:t xml:space="preserve">MFTC for families with children to move off benefit and into </w:t>
            </w:r>
            <w:r w:rsidR="00332F2D">
              <w:rPr>
                <w:rFonts w:cs="Arial"/>
                <w:szCs w:val="22"/>
                <w:lang w:val="mi-NZ" w:eastAsia="en-AU"/>
              </w:rPr>
              <w:t>greater amounts of</w:t>
            </w:r>
            <w:r>
              <w:rPr>
                <w:rFonts w:cs="Arial"/>
                <w:szCs w:val="22"/>
                <w:lang w:val="mi-NZ" w:eastAsia="en-AU"/>
              </w:rPr>
              <w:t xml:space="preserve"> work would be maintained for the remainder of the 2020/21 tax year. While the increase cannot incentivise families with children to move off benefit for the period of the 2020/21 tax year that has already pas</w:t>
            </w:r>
            <w:r w:rsidR="007D433D">
              <w:rPr>
                <w:rFonts w:cs="Arial"/>
                <w:szCs w:val="22"/>
                <w:lang w:val="mi-NZ" w:eastAsia="en-AU"/>
              </w:rPr>
              <w:t>sed</w:t>
            </w:r>
            <w:r>
              <w:rPr>
                <w:rFonts w:cs="Arial"/>
                <w:szCs w:val="22"/>
                <w:lang w:val="mi-NZ" w:eastAsia="en-AU"/>
              </w:rPr>
              <w:t xml:space="preserve"> (April to December 2020), </w:t>
            </w:r>
            <w:r w:rsidR="00BB2569">
              <w:rPr>
                <w:rFonts w:cs="Arial"/>
                <w:szCs w:val="22"/>
                <w:lang w:val="mi-NZ" w:eastAsia="en-AU"/>
              </w:rPr>
              <w:t xml:space="preserve">it addresses the potential equity issues, whereby those families who remained off benefit and in work during April to December 2020 are financially disadvantaged relative to those who were on benefit. </w:t>
            </w:r>
          </w:p>
          <w:bookmarkEnd w:id="11"/>
          <w:p w14:paraId="0D37B09B" w14:textId="2C7ED1CC" w:rsidR="00BB2569" w:rsidRDefault="00BB2569" w:rsidP="00BA1CDC">
            <w:pPr>
              <w:spacing w:after="0" w:line="276" w:lineRule="auto"/>
              <w:jc w:val="both"/>
              <w:rPr>
                <w:rFonts w:cs="Arial"/>
                <w:szCs w:val="22"/>
                <w:lang w:val="mi-NZ" w:eastAsia="en-AU"/>
              </w:rPr>
            </w:pPr>
          </w:p>
          <w:p w14:paraId="18434E63" w14:textId="028F137C" w:rsidR="00BB2569" w:rsidRDefault="00621D7F" w:rsidP="00BA1CDC">
            <w:pPr>
              <w:spacing w:after="0" w:line="276" w:lineRule="auto"/>
              <w:jc w:val="both"/>
              <w:rPr>
                <w:rFonts w:cs="Arial"/>
                <w:szCs w:val="22"/>
                <w:lang w:val="mi-NZ" w:eastAsia="en-AU"/>
              </w:rPr>
            </w:pPr>
            <w:r>
              <w:rPr>
                <w:rFonts w:cs="Arial"/>
                <w:b/>
                <w:bCs/>
                <w:i/>
                <w:iCs/>
                <w:szCs w:val="22"/>
                <w:lang w:val="mi-NZ" w:eastAsia="en-AU"/>
              </w:rPr>
              <w:t>MSD and IR have different preferred options for prospectively adjusting the Minimum Family Tax Credit</w:t>
            </w:r>
          </w:p>
          <w:p w14:paraId="49176C41" w14:textId="22A0D015" w:rsidR="006C6BD5" w:rsidRDefault="006C6BD5" w:rsidP="00BA1CDC">
            <w:pPr>
              <w:spacing w:after="0" w:line="276" w:lineRule="auto"/>
              <w:jc w:val="both"/>
              <w:rPr>
                <w:rFonts w:cs="Arial"/>
                <w:szCs w:val="22"/>
                <w:lang w:val="mi-NZ" w:eastAsia="en-AU"/>
              </w:rPr>
            </w:pPr>
          </w:p>
          <w:p w14:paraId="0E5B80A3" w14:textId="28F9724D" w:rsidR="006C6BD5" w:rsidRDefault="006C6BD5" w:rsidP="00BA1CDC">
            <w:pPr>
              <w:spacing w:after="0" w:line="276" w:lineRule="auto"/>
              <w:jc w:val="both"/>
              <w:rPr>
                <w:rFonts w:cs="Arial"/>
                <w:szCs w:val="22"/>
                <w:lang w:val="mi-NZ" w:eastAsia="en-AU"/>
              </w:rPr>
            </w:pPr>
            <w:r>
              <w:rPr>
                <w:rFonts w:cs="Arial"/>
                <w:szCs w:val="22"/>
                <w:lang w:val="mi-NZ" w:eastAsia="en-AU"/>
              </w:rPr>
              <w:t>Option Two is the preferred option by MSD, and is the proposed option in the Cabinet paper.</w:t>
            </w:r>
          </w:p>
          <w:p w14:paraId="04A2C4F9" w14:textId="736B457E" w:rsidR="006C6BD5" w:rsidRDefault="006C6BD5" w:rsidP="00BA1CDC">
            <w:pPr>
              <w:spacing w:after="0" w:line="276" w:lineRule="auto"/>
              <w:jc w:val="both"/>
              <w:rPr>
                <w:rFonts w:cs="Arial"/>
                <w:szCs w:val="22"/>
                <w:lang w:val="mi-NZ" w:eastAsia="en-AU"/>
              </w:rPr>
            </w:pPr>
          </w:p>
          <w:p w14:paraId="0BE1CDD2" w14:textId="05F629EF" w:rsidR="00CE6D05" w:rsidRDefault="003C457E" w:rsidP="00BA1CDC">
            <w:pPr>
              <w:spacing w:after="0" w:line="276" w:lineRule="auto"/>
              <w:jc w:val="both"/>
              <w:rPr>
                <w:rFonts w:cs="Arial"/>
                <w:szCs w:val="22"/>
                <w:lang w:val="mi-NZ" w:eastAsia="en-AU"/>
              </w:rPr>
            </w:pPr>
            <w:r>
              <w:rPr>
                <w:rFonts w:cs="Arial"/>
                <w:szCs w:val="22"/>
                <w:lang w:val="mi-NZ" w:eastAsia="en-AU"/>
              </w:rPr>
              <w:lastRenderedPageBreak/>
              <w:t xml:space="preserve">This option ensures that </w:t>
            </w:r>
            <w:r w:rsidR="00332F2D">
              <w:rPr>
                <w:rFonts w:cs="Arial"/>
                <w:szCs w:val="22"/>
                <w:lang w:val="mi-NZ" w:eastAsia="en-AU"/>
              </w:rPr>
              <w:t>around 90%</w:t>
            </w:r>
            <w:r>
              <w:rPr>
                <w:rFonts w:cs="Arial"/>
                <w:szCs w:val="22"/>
                <w:lang w:val="mi-NZ" w:eastAsia="en-AU"/>
              </w:rPr>
              <w:t xml:space="preserve"> of MFTC recipients (ie, sole parents)</w:t>
            </w:r>
            <w:r w:rsidR="00332F2D">
              <w:rPr>
                <w:rFonts w:cs="Arial"/>
                <w:szCs w:val="22"/>
                <w:lang w:val="mi-NZ" w:eastAsia="en-AU"/>
              </w:rPr>
              <w:t xml:space="preserve"> </w:t>
            </w:r>
            <w:r>
              <w:rPr>
                <w:rFonts w:cs="Arial"/>
                <w:szCs w:val="22"/>
                <w:lang w:val="mi-NZ" w:eastAsia="en-AU"/>
              </w:rPr>
              <w:t xml:space="preserve">would remain better off </w:t>
            </w:r>
            <w:r w:rsidR="00CE6D05">
              <w:rPr>
                <w:rFonts w:cs="Arial"/>
                <w:szCs w:val="22"/>
                <w:lang w:val="mi-NZ" w:eastAsia="en-AU"/>
              </w:rPr>
              <w:t>working and receiving the MFTC</w:t>
            </w:r>
            <w:r>
              <w:rPr>
                <w:rFonts w:cs="Arial"/>
                <w:szCs w:val="22"/>
                <w:lang w:val="mi-NZ" w:eastAsia="en-AU"/>
              </w:rPr>
              <w:t xml:space="preserve"> than </w:t>
            </w:r>
            <w:r w:rsidR="00332F2D">
              <w:rPr>
                <w:rFonts w:cs="Arial"/>
                <w:szCs w:val="22"/>
                <w:lang w:val="mi-NZ" w:eastAsia="en-AU"/>
              </w:rPr>
              <w:t xml:space="preserve">working and </w:t>
            </w:r>
            <w:r>
              <w:rPr>
                <w:rFonts w:cs="Arial"/>
                <w:szCs w:val="22"/>
                <w:lang w:val="mi-NZ" w:eastAsia="en-AU"/>
              </w:rPr>
              <w:t xml:space="preserve">receiving a benefit. While </w:t>
            </w:r>
            <w:r w:rsidR="00CE6D05">
              <w:rPr>
                <w:rFonts w:cs="Arial"/>
                <w:szCs w:val="22"/>
                <w:lang w:val="mi-NZ" w:eastAsia="en-AU"/>
              </w:rPr>
              <w:t>a partial increase</w:t>
            </w:r>
            <w:r>
              <w:rPr>
                <w:rFonts w:cs="Arial"/>
                <w:szCs w:val="22"/>
                <w:lang w:val="mi-NZ" w:eastAsia="en-AU"/>
              </w:rPr>
              <w:t xml:space="preserve"> would extend the income range over which</w:t>
            </w:r>
            <w:r w:rsidR="00A70374">
              <w:rPr>
                <w:rFonts w:cs="Arial"/>
                <w:szCs w:val="22"/>
                <w:lang w:val="mi-NZ" w:eastAsia="en-AU"/>
              </w:rPr>
              <w:t xml:space="preserve"> the</w:t>
            </w:r>
            <w:r>
              <w:rPr>
                <w:rFonts w:cs="Arial"/>
                <w:szCs w:val="22"/>
                <w:lang w:val="mi-NZ" w:eastAsia="en-AU"/>
              </w:rPr>
              <w:t xml:space="preserve"> </w:t>
            </w:r>
            <w:r w:rsidR="00CE6D05">
              <w:rPr>
                <w:rFonts w:cs="Arial"/>
                <w:szCs w:val="22"/>
                <w:lang w:val="mi-NZ" w:eastAsia="en-AU"/>
              </w:rPr>
              <w:t>MFTC is available, resulting in reduced</w:t>
            </w:r>
            <w:r w:rsidR="00621D7F">
              <w:rPr>
                <w:rFonts w:cs="Arial"/>
                <w:szCs w:val="22"/>
                <w:lang w:val="mi-NZ" w:eastAsia="en-AU"/>
              </w:rPr>
              <w:t xml:space="preserve"> financial</w:t>
            </w:r>
            <w:r w:rsidR="00CE6D05">
              <w:rPr>
                <w:rFonts w:cs="Arial"/>
                <w:szCs w:val="22"/>
                <w:lang w:val="mi-NZ" w:eastAsia="en-AU"/>
              </w:rPr>
              <w:t xml:space="preserve"> incentives to work greater hours for sole parents on low-incomes, the impact would be smaller than Option One. </w:t>
            </w:r>
            <w:r w:rsidR="00AC163D">
              <w:rPr>
                <w:rFonts w:cs="Arial"/>
                <w:szCs w:val="22"/>
                <w:lang w:val="mi-NZ" w:eastAsia="en-AU"/>
              </w:rPr>
              <w:t xml:space="preserve">MSD </w:t>
            </w:r>
            <w:r w:rsidR="00AC163D" w:rsidRPr="00786A8D">
              <w:rPr>
                <w:rFonts w:cs="Arial"/>
                <w:szCs w:val="22"/>
                <w:lang w:val="mi-NZ" w:eastAsia="en-AU"/>
              </w:rPr>
              <w:t>consider</w:t>
            </w:r>
            <w:r w:rsidR="00AC163D">
              <w:rPr>
                <w:rFonts w:cs="Arial"/>
                <w:szCs w:val="22"/>
                <w:lang w:val="mi-NZ" w:eastAsia="en-AU"/>
              </w:rPr>
              <w:t>s</w:t>
            </w:r>
            <w:r w:rsidR="00332F2D">
              <w:rPr>
                <w:rFonts w:cs="Arial"/>
                <w:szCs w:val="22"/>
                <w:lang w:val="mi-NZ" w:eastAsia="en-AU"/>
              </w:rPr>
              <w:t xml:space="preserve"> fully</w:t>
            </w:r>
            <w:r w:rsidR="00AC163D">
              <w:rPr>
                <w:rFonts w:cs="Arial"/>
                <w:szCs w:val="22"/>
                <w:lang w:val="mi-NZ" w:eastAsia="en-AU"/>
              </w:rPr>
              <w:t xml:space="preserve"> </w:t>
            </w:r>
            <w:r w:rsidR="00AC163D" w:rsidRPr="00786A8D">
              <w:rPr>
                <w:rFonts w:cs="Arial"/>
                <w:szCs w:val="22"/>
                <w:lang w:val="mi-NZ" w:eastAsia="en-AU"/>
              </w:rPr>
              <w:t xml:space="preserve">aligning the MFTC threshold </w:t>
            </w:r>
            <w:r w:rsidR="00AC163D">
              <w:rPr>
                <w:rFonts w:cs="Arial"/>
                <w:szCs w:val="22"/>
                <w:lang w:val="mi-NZ" w:eastAsia="en-AU"/>
              </w:rPr>
              <w:t>would increase the cost and complexity of</w:t>
            </w:r>
            <w:r w:rsidR="00AC163D" w:rsidRPr="00786A8D">
              <w:rPr>
                <w:rFonts w:cs="Arial"/>
                <w:szCs w:val="22"/>
                <w:lang w:val="mi-NZ" w:eastAsia="en-AU"/>
              </w:rPr>
              <w:t xml:space="preserve"> any future WFF review </w:t>
            </w:r>
            <w:r w:rsidR="007E3458" w:rsidRPr="007E3458">
              <w:rPr>
                <w:rFonts w:cs="Arial"/>
                <w:color w:val="BFBFBF" w:themeColor="background1" w:themeShade="BF"/>
                <w:szCs w:val="22"/>
                <w:shd w:val="clear" w:color="auto" w:fill="BFBFBF" w:themeFill="background1" w:themeFillShade="BF"/>
                <w:lang w:val="mi-NZ" w:eastAsia="en-AU"/>
              </w:rPr>
              <w:t>.</w:t>
            </w:r>
            <w:r w:rsidR="007E3458" w:rsidRPr="007E3458">
              <w:rPr>
                <w:rFonts w:cs="Arial"/>
                <w:szCs w:val="22"/>
                <w:shd w:val="clear" w:color="auto" w:fill="BFBFBF" w:themeFill="background1" w:themeFillShade="BF"/>
                <w:lang w:val="mi-NZ" w:eastAsia="en-AU"/>
              </w:rPr>
              <w:t>s 9(2)(f)(iv)</w:t>
            </w:r>
            <w:r w:rsidR="007E3458" w:rsidRPr="007E3458">
              <w:rPr>
                <w:rFonts w:cs="Arial"/>
                <w:color w:val="BFBFBF" w:themeColor="background1" w:themeShade="BF"/>
                <w:szCs w:val="22"/>
                <w:shd w:val="clear" w:color="auto" w:fill="BFBFBF" w:themeFill="background1" w:themeFillShade="BF"/>
                <w:lang w:val="mi-NZ" w:eastAsia="en-AU"/>
              </w:rPr>
              <w:t>..................</w:t>
            </w:r>
            <w:r w:rsidR="007E3458" w:rsidRPr="007E3458">
              <w:rPr>
                <w:rFonts w:cs="Arial"/>
                <w:color w:val="BFBFBF" w:themeColor="background1" w:themeShade="BF"/>
                <w:szCs w:val="22"/>
                <w:shd w:val="clear" w:color="auto" w:fill="BFBFBF" w:themeFill="background1" w:themeFillShade="BF"/>
                <w:lang w:val="mi-NZ" w:eastAsia="en-AU"/>
              </w:rPr>
              <w:br/>
              <w:t>.......................................................................</w:t>
            </w:r>
            <w:r w:rsidR="00AC163D" w:rsidRPr="00786A8D">
              <w:rPr>
                <w:rFonts w:cs="Arial"/>
                <w:szCs w:val="22"/>
                <w:lang w:val="mi-NZ" w:eastAsia="en-AU"/>
              </w:rPr>
              <w:t xml:space="preserve"> particularly if there is a desire to avoid people being financially disadvantaged</w:t>
            </w:r>
            <w:r w:rsidR="00AC163D">
              <w:rPr>
                <w:rFonts w:cs="Arial"/>
                <w:szCs w:val="22"/>
                <w:lang w:val="mi-NZ" w:eastAsia="en-AU"/>
              </w:rPr>
              <w:t>. However, these effects</w:t>
            </w:r>
            <w:r w:rsidR="00CE6D05">
              <w:rPr>
                <w:rFonts w:cs="Arial"/>
                <w:szCs w:val="22"/>
                <w:lang w:val="mi-NZ" w:eastAsia="en-AU"/>
              </w:rPr>
              <w:t xml:space="preserve"> will</w:t>
            </w:r>
            <w:r w:rsidR="00752A81">
              <w:rPr>
                <w:rFonts w:cs="Arial"/>
                <w:szCs w:val="22"/>
                <w:lang w:val="mi-NZ" w:eastAsia="en-AU"/>
              </w:rPr>
              <w:t xml:space="preserve"> be less </w:t>
            </w:r>
            <w:r w:rsidR="00AC163D">
              <w:rPr>
                <w:rFonts w:cs="Arial"/>
                <w:szCs w:val="22"/>
                <w:lang w:val="mi-NZ" w:eastAsia="en-AU"/>
              </w:rPr>
              <w:t>under Option One than Option Two.</w:t>
            </w:r>
          </w:p>
          <w:p w14:paraId="77C2A8D4" w14:textId="01D3C701" w:rsidR="003C457E" w:rsidRDefault="003C457E" w:rsidP="00BA1CDC">
            <w:pPr>
              <w:spacing w:after="0" w:line="276" w:lineRule="auto"/>
              <w:jc w:val="both"/>
              <w:rPr>
                <w:rFonts w:cs="Arial"/>
                <w:szCs w:val="22"/>
                <w:lang w:val="mi-NZ" w:eastAsia="en-AU"/>
              </w:rPr>
            </w:pPr>
          </w:p>
          <w:p w14:paraId="69D74A80" w14:textId="1106DCF4" w:rsidR="00CE6D05" w:rsidRPr="00407131" w:rsidRDefault="00CE6D05" w:rsidP="00CE6D05">
            <w:r w:rsidRPr="00407131">
              <w:rPr>
                <w:rFonts w:cs="Arial"/>
                <w:szCs w:val="22"/>
                <w:lang w:val="mi-NZ" w:eastAsia="en-AU"/>
              </w:rPr>
              <w:t xml:space="preserve">IR’s preferred option is Option One. </w:t>
            </w:r>
            <w:r w:rsidRPr="00407131">
              <w:t>While</w:t>
            </w:r>
            <w:r w:rsidR="007D433D">
              <w:t xml:space="preserve"> the</w:t>
            </w:r>
            <w:r w:rsidRPr="00407131">
              <w:t xml:space="preserve"> fiscal cost of full alignment </w:t>
            </w:r>
            <w:r w:rsidR="00AC163D">
              <w:t>are greater than under other options</w:t>
            </w:r>
            <w:r w:rsidRPr="00407131">
              <w:t xml:space="preserve">, </w:t>
            </w:r>
            <w:r w:rsidR="00407131" w:rsidRPr="00407131">
              <w:t xml:space="preserve">this option </w:t>
            </w:r>
            <w:r w:rsidRPr="00407131">
              <w:t>maintain</w:t>
            </w:r>
            <w:r w:rsidR="00407131" w:rsidRPr="00407131">
              <w:t>s</w:t>
            </w:r>
            <w:r w:rsidRPr="00407131">
              <w:t xml:space="preserve"> the work incentives provided by</w:t>
            </w:r>
            <w:r w:rsidR="00407131" w:rsidRPr="00407131">
              <w:t xml:space="preserve"> the</w:t>
            </w:r>
            <w:r w:rsidRPr="00407131">
              <w:t xml:space="preserve"> </w:t>
            </w:r>
            <w:r w:rsidR="00407131" w:rsidRPr="00407131">
              <w:t>MFTC</w:t>
            </w:r>
            <w:r w:rsidRPr="00407131">
              <w:t xml:space="preserve"> by ensuring low</w:t>
            </w:r>
            <w:r w:rsidR="00407131" w:rsidRPr="00407131">
              <w:t>-</w:t>
            </w:r>
            <w:r w:rsidRPr="00407131">
              <w:t>income families with children (both sole parents and two</w:t>
            </w:r>
            <w:r w:rsidR="00407131" w:rsidRPr="00407131">
              <w:t>-</w:t>
            </w:r>
            <w:r w:rsidRPr="00407131">
              <w:t xml:space="preserve">parent families) are better off </w:t>
            </w:r>
            <w:r w:rsidR="00332F2D">
              <w:t>working and receiving the MFTC than working and receiving a benefit</w:t>
            </w:r>
            <w:r w:rsidRPr="00407131">
              <w:t xml:space="preserve">. </w:t>
            </w:r>
          </w:p>
          <w:p w14:paraId="0352011F" w14:textId="054D95E6" w:rsidR="00CE6D05" w:rsidRDefault="00CE6D05" w:rsidP="00CE6D05">
            <w:r w:rsidRPr="00407131">
              <w:t xml:space="preserve">IR does not consider </w:t>
            </w:r>
            <w:r w:rsidR="00AC163D">
              <w:t>the potential effects of aligning the MFTC threshold on any future WFF review</w:t>
            </w:r>
            <w:r w:rsidRPr="00407131">
              <w:t xml:space="preserve"> to be a significant enough issue to warrant removing the work incentives currently provided by the MFTC.</w:t>
            </w:r>
          </w:p>
          <w:p w14:paraId="7F544764" w14:textId="77777777" w:rsidR="00AF7B1E" w:rsidRDefault="00CE6D05" w:rsidP="00993603">
            <w:pPr>
              <w:spacing w:after="0" w:line="276" w:lineRule="auto"/>
              <w:jc w:val="both"/>
            </w:pPr>
            <w:r w:rsidRPr="00407131">
              <w:t xml:space="preserve">IR considers that there is a potential equity issue if the MFTC threshold is not fully aligned. Less than full alignment potentially disadvantages those families who remain in work and off benefit, relative to those </w:t>
            </w:r>
            <w:r w:rsidR="00332F2D">
              <w:t>in work and receiving a</w:t>
            </w:r>
            <w:r w:rsidRPr="00407131">
              <w:t xml:space="preserve"> benefit. If benefit settings are intended to reflect a minimum level of income for beneficiaries, then implicitly, the guaranteed minimum income provided to working and off-benefit families (via the MFTC) should be at least the same.</w:t>
            </w:r>
          </w:p>
          <w:p w14:paraId="44703391" w14:textId="77777777" w:rsidR="003C2735" w:rsidRDefault="003C2735" w:rsidP="00993603">
            <w:pPr>
              <w:spacing w:after="0" w:line="276" w:lineRule="auto"/>
              <w:jc w:val="both"/>
              <w:rPr>
                <w:rFonts w:cs="Arial"/>
                <w:szCs w:val="22"/>
              </w:rPr>
            </w:pPr>
          </w:p>
          <w:p w14:paraId="35DBBB4D" w14:textId="41D0969A" w:rsidR="003C2735" w:rsidRPr="00AF7B1E" w:rsidRDefault="002F2AC5" w:rsidP="00993603">
            <w:pPr>
              <w:spacing w:after="0" w:line="276" w:lineRule="auto"/>
              <w:jc w:val="both"/>
              <w:rPr>
                <w:rFonts w:cs="Arial"/>
                <w:szCs w:val="22"/>
                <w:lang w:val="mi-NZ" w:eastAsia="en-AU"/>
              </w:rPr>
            </w:pPr>
            <w:r w:rsidRPr="002F2AC5">
              <w:t xml:space="preserve">In advice to Ministers, the Treasury recommended the no prospective alignment option due to the tight fiscal environment. The Treasury also did not consider that the policy decision [to align the MFTC threshold with benefit rates] meets the threshold to be progressed as a Budget pre-commitment. While the Treasury acknowledged that it was likely to introduce greater complexity for clients, the Treasury did not agree that these adverse effects were sufficient to justify funding the initiative ahead of the Budget process given the tight fiscal environment. </w:t>
            </w:r>
            <w:r w:rsidR="007E3458" w:rsidRPr="007E3458">
              <w:rPr>
                <w:color w:val="BFBFBF" w:themeColor="background1" w:themeShade="BF"/>
                <w:shd w:val="clear" w:color="auto" w:fill="BFBFBF" w:themeFill="background1" w:themeFillShade="BF"/>
              </w:rPr>
              <w:t>.</w:t>
            </w:r>
            <w:r w:rsidR="007E3458" w:rsidRPr="007E3458">
              <w:rPr>
                <w:shd w:val="clear" w:color="auto" w:fill="BFBFBF" w:themeFill="background1" w:themeFillShade="BF"/>
              </w:rPr>
              <w:t>s</w:t>
            </w:r>
            <w:r w:rsidR="007E3458" w:rsidRPr="007E3458">
              <w:rPr>
                <w:color w:val="BFBFBF" w:themeColor="background1" w:themeShade="BF"/>
                <w:shd w:val="clear" w:color="auto" w:fill="BFBFBF" w:themeFill="background1" w:themeFillShade="BF"/>
              </w:rPr>
              <w:t>.</w:t>
            </w:r>
            <w:r w:rsidR="007E3458" w:rsidRPr="007E3458">
              <w:rPr>
                <w:shd w:val="clear" w:color="auto" w:fill="BFBFBF" w:themeFill="background1" w:themeFillShade="BF"/>
              </w:rPr>
              <w:t>9(2)(f)(iv)</w:t>
            </w:r>
            <w:r w:rsidR="007E3458" w:rsidRPr="007E3458">
              <w:rPr>
                <w:color w:val="BFBFBF" w:themeColor="background1" w:themeShade="BF"/>
                <w:shd w:val="clear" w:color="auto" w:fill="BFBFBF" w:themeFill="background1" w:themeFillShade="BF"/>
              </w:rPr>
              <w:t>………</w:t>
            </w:r>
            <w:proofErr w:type="gramStart"/>
            <w:r w:rsidR="007E3458" w:rsidRPr="007E3458">
              <w:rPr>
                <w:color w:val="BFBFBF" w:themeColor="background1" w:themeShade="BF"/>
                <w:shd w:val="clear" w:color="auto" w:fill="BFBFBF" w:themeFill="background1" w:themeFillShade="BF"/>
              </w:rPr>
              <w:t>…</w:t>
            </w:r>
            <w:r w:rsidR="007E3458">
              <w:rPr>
                <w:color w:val="BFBFBF" w:themeColor="background1" w:themeShade="BF"/>
                <w:shd w:val="clear" w:color="auto" w:fill="BFBFBF" w:themeFill="background1" w:themeFillShade="BF"/>
              </w:rPr>
              <w:t>..</w:t>
            </w:r>
            <w:proofErr w:type="gramEnd"/>
            <w:r w:rsidR="007E3458" w:rsidRPr="007E3458">
              <w:rPr>
                <w:color w:val="BFBFBF" w:themeColor="background1" w:themeShade="BF"/>
                <w:shd w:val="clear" w:color="auto" w:fill="BFBFBF" w:themeFill="background1" w:themeFillShade="BF"/>
              </w:rPr>
              <w:t>………………………………………………………………</w:t>
            </w:r>
            <w:r w:rsidR="007E3458" w:rsidRPr="007E3458">
              <w:rPr>
                <w:color w:val="BFBFBF" w:themeColor="background1" w:themeShade="BF"/>
                <w:shd w:val="clear" w:color="auto" w:fill="BFBFBF" w:themeFill="background1" w:themeFillShade="BF"/>
              </w:rPr>
              <w:br/>
            </w:r>
            <w:r w:rsidR="007E3458" w:rsidRPr="007E3458">
              <w:rPr>
                <w:rFonts w:cs="Arial"/>
                <w:color w:val="BFBFBF" w:themeColor="background1" w:themeShade="BF"/>
                <w:szCs w:val="22"/>
                <w:shd w:val="clear" w:color="auto" w:fill="BFBFBF" w:themeFill="background1" w:themeFillShade="BF"/>
              </w:rPr>
              <w:t>………………………………………………………………..</w:t>
            </w:r>
          </w:p>
        </w:tc>
      </w:tr>
    </w:tbl>
    <w:p w14:paraId="18D04CED" w14:textId="7F31373F" w:rsidR="002428A4" w:rsidRDefault="002428A4" w:rsidP="0049234F">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2"/>
      </w:tblGrid>
      <w:tr w:rsidR="0049467D" w:rsidRPr="0049467D" w14:paraId="1F9490BE" w14:textId="77777777" w:rsidTr="00346B30">
        <w:trPr>
          <w:trHeight w:val="141"/>
        </w:trPr>
        <w:tc>
          <w:tcPr>
            <w:tcW w:w="5000" w:type="pct"/>
            <w:shd w:val="clear" w:color="auto" w:fill="99CDDD"/>
            <w:hideMark/>
          </w:tcPr>
          <w:p w14:paraId="0A23EF00" w14:textId="1FC4473F" w:rsidR="0062657E" w:rsidRPr="0049467D" w:rsidRDefault="002428A4" w:rsidP="002428A4">
            <w:pPr>
              <w:keepNext/>
              <w:keepLines/>
              <w:spacing w:before="60" w:after="60" w:line="240" w:lineRule="auto"/>
              <w:rPr>
                <w:rFonts w:cs="Arial"/>
                <w:b/>
                <w:szCs w:val="22"/>
                <w:lang w:eastAsia="en-AU"/>
              </w:rPr>
            </w:pPr>
            <w:r>
              <w:br w:type="page"/>
            </w:r>
            <w:r w:rsidR="00F05AD9">
              <w:rPr>
                <w:rFonts w:cs="Arial"/>
                <w:b/>
                <w:szCs w:val="22"/>
                <w:lang w:eastAsia="en-AU"/>
              </w:rPr>
              <w:t xml:space="preserve">5.2   </w:t>
            </w:r>
            <w:r w:rsidR="0062657E" w:rsidRPr="0049467D">
              <w:rPr>
                <w:rFonts w:cs="Arial"/>
                <w:b/>
                <w:szCs w:val="22"/>
                <w:lang w:eastAsia="en-AU"/>
              </w:rPr>
              <w:t>Summary table of costs and benefits of the preferred approach</w:t>
            </w:r>
          </w:p>
        </w:tc>
      </w:tr>
    </w:tbl>
    <w:p w14:paraId="4C43DA22" w14:textId="77777777" w:rsidR="0049234F" w:rsidRPr="0049467D" w:rsidRDefault="0049234F" w:rsidP="0049234F">
      <w:pPr>
        <w:pStyle w:val="spacer"/>
      </w:pPr>
    </w:p>
    <w:tbl>
      <w:tblPr>
        <w:tblpPr w:leftFromText="180" w:rightFromText="180" w:vertAnchor="text" w:tblpX="114" w:tblpY="1"/>
        <w:tblOverlap w:val="never"/>
        <w:tblW w:w="908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874"/>
        <w:gridCol w:w="3544"/>
        <w:gridCol w:w="2268"/>
        <w:gridCol w:w="1395"/>
      </w:tblGrid>
      <w:tr w:rsidR="0049467D" w:rsidRPr="0049467D" w14:paraId="1CEC7574" w14:textId="77777777" w:rsidTr="00346B30">
        <w:trPr>
          <w:trHeight w:val="732"/>
        </w:trPr>
        <w:tc>
          <w:tcPr>
            <w:tcW w:w="1874" w:type="dxa"/>
            <w:tcBorders>
              <w:top w:val="single" w:sz="4" w:space="0" w:color="DDDDDD"/>
              <w:left w:val="single" w:sz="4" w:space="0" w:color="DDDDDD"/>
              <w:bottom w:val="single" w:sz="4" w:space="0" w:color="DDDDDD"/>
              <w:right w:val="single" w:sz="4" w:space="0" w:color="DDDDDD"/>
            </w:tcBorders>
            <w:shd w:val="clear" w:color="auto" w:fill="99CDDD"/>
          </w:tcPr>
          <w:p w14:paraId="62141F52" w14:textId="77777777" w:rsidR="0062657E" w:rsidRPr="0049467D" w:rsidRDefault="0062657E" w:rsidP="002428A4">
            <w:pPr>
              <w:pStyle w:val="TableText"/>
              <w:autoSpaceDE/>
              <w:autoSpaceDN/>
              <w:adjustRightInd/>
              <w:spacing w:line="240" w:lineRule="auto"/>
              <w:rPr>
                <w:rFonts w:eastAsia="Calibri" w:cs="Arial"/>
                <w:sz w:val="22"/>
              </w:rPr>
            </w:pPr>
            <w:bookmarkStart w:id="12" w:name="_Hlk57273474"/>
            <w:r w:rsidRPr="0049467D">
              <w:rPr>
                <w:rFonts w:eastAsia="Calibri" w:cs="Arial"/>
                <w:b/>
                <w:sz w:val="22"/>
              </w:rPr>
              <w:t>Affected parties</w:t>
            </w:r>
            <w:r w:rsidRPr="0049467D">
              <w:rPr>
                <w:rFonts w:eastAsia="Calibri" w:cs="Arial"/>
                <w:sz w:val="22"/>
              </w:rPr>
              <w:t xml:space="preserve"> </w:t>
            </w:r>
            <w:r w:rsidRPr="0049467D">
              <w:rPr>
                <w:rFonts w:eastAsia="Calibri" w:cs="Arial"/>
                <w:i/>
                <w:sz w:val="22"/>
              </w:rPr>
              <w:t>(identify)</w:t>
            </w:r>
          </w:p>
        </w:tc>
        <w:tc>
          <w:tcPr>
            <w:tcW w:w="3544" w:type="dxa"/>
            <w:tcBorders>
              <w:top w:val="single" w:sz="4" w:space="0" w:color="DDDDDD"/>
              <w:left w:val="single" w:sz="4" w:space="0" w:color="DDDDDD"/>
              <w:bottom w:val="single" w:sz="4" w:space="0" w:color="DDDDDD"/>
              <w:right w:val="single" w:sz="4" w:space="0" w:color="DDDDDD"/>
            </w:tcBorders>
            <w:shd w:val="clear" w:color="auto" w:fill="99CDDD"/>
          </w:tcPr>
          <w:p w14:paraId="390265E1" w14:textId="739EA077" w:rsidR="0062657E" w:rsidRPr="0049467D" w:rsidRDefault="0062657E" w:rsidP="00431CA7">
            <w:pPr>
              <w:pStyle w:val="TableText"/>
              <w:autoSpaceDE/>
              <w:autoSpaceDN/>
              <w:adjustRightInd/>
              <w:spacing w:line="240" w:lineRule="auto"/>
              <w:rPr>
                <w:rFonts w:eastAsia="Calibri" w:cs="Arial"/>
                <w:sz w:val="22"/>
              </w:rPr>
            </w:pPr>
            <w:r w:rsidRPr="0049467D">
              <w:rPr>
                <w:rFonts w:eastAsia="Calibri" w:cs="Arial"/>
                <w:b/>
                <w:sz w:val="22"/>
              </w:rPr>
              <w:t>Comment</w:t>
            </w:r>
            <w:r w:rsidRPr="0049467D">
              <w:rPr>
                <w:rFonts w:eastAsia="Calibri" w:cs="Arial"/>
                <w:i/>
                <w:sz w:val="22"/>
              </w:rPr>
              <w:t>: nature of cost or benefit (</w:t>
            </w:r>
            <w:proofErr w:type="spellStart"/>
            <w:r w:rsidRPr="0049467D">
              <w:rPr>
                <w:rFonts w:eastAsia="Calibri" w:cs="Arial"/>
                <w:i/>
                <w:sz w:val="22"/>
              </w:rPr>
              <w:t>eg</w:t>
            </w:r>
            <w:proofErr w:type="spellEnd"/>
            <w:r w:rsidR="00431CA7">
              <w:rPr>
                <w:rFonts w:eastAsia="Calibri" w:cs="Arial"/>
                <w:i/>
                <w:sz w:val="22"/>
              </w:rPr>
              <w:t>,</w:t>
            </w:r>
            <w:r w:rsidRPr="0049467D">
              <w:rPr>
                <w:rFonts w:eastAsia="Calibri" w:cs="Arial"/>
                <w:i/>
                <w:sz w:val="22"/>
              </w:rPr>
              <w:t xml:space="preserve"> ongoing, one-off), evidence and assumption (</w:t>
            </w:r>
            <w:proofErr w:type="spellStart"/>
            <w:r w:rsidRPr="0049467D">
              <w:rPr>
                <w:rFonts w:eastAsia="Calibri" w:cs="Arial"/>
                <w:i/>
                <w:sz w:val="22"/>
              </w:rPr>
              <w:t>eg</w:t>
            </w:r>
            <w:proofErr w:type="spellEnd"/>
            <w:r w:rsidR="00431CA7">
              <w:rPr>
                <w:rFonts w:eastAsia="Calibri" w:cs="Arial"/>
                <w:i/>
                <w:sz w:val="22"/>
              </w:rPr>
              <w:t>,</w:t>
            </w:r>
            <w:r w:rsidRPr="0049467D">
              <w:rPr>
                <w:rFonts w:eastAsia="Calibri" w:cs="Arial"/>
                <w:i/>
                <w:sz w:val="22"/>
              </w:rPr>
              <w:t xml:space="preserve"> compliance rates), risks</w:t>
            </w:r>
          </w:p>
        </w:tc>
        <w:tc>
          <w:tcPr>
            <w:tcW w:w="2268" w:type="dxa"/>
            <w:tcBorders>
              <w:top w:val="single" w:sz="4" w:space="0" w:color="DDDDDD"/>
              <w:left w:val="single" w:sz="4" w:space="0" w:color="DDDDDD"/>
              <w:bottom w:val="single" w:sz="4" w:space="0" w:color="DDDDDD"/>
              <w:right w:val="single" w:sz="4" w:space="0" w:color="DDDDDD"/>
            </w:tcBorders>
            <w:shd w:val="clear" w:color="auto" w:fill="99CDDD"/>
          </w:tcPr>
          <w:p w14:paraId="2C0B4174" w14:textId="77777777" w:rsidR="0062657E" w:rsidRPr="0049467D" w:rsidRDefault="0062657E" w:rsidP="002428A4">
            <w:pPr>
              <w:pStyle w:val="TableText"/>
              <w:autoSpaceDE/>
              <w:autoSpaceDN/>
              <w:adjustRightInd/>
              <w:spacing w:line="240" w:lineRule="auto"/>
              <w:rPr>
                <w:rFonts w:eastAsia="Calibri" w:cs="Arial"/>
                <w:b/>
                <w:sz w:val="22"/>
              </w:rPr>
            </w:pPr>
            <w:r w:rsidRPr="0049467D">
              <w:rPr>
                <w:rFonts w:eastAsia="Calibri" w:cs="Arial"/>
                <w:b/>
                <w:sz w:val="22"/>
              </w:rPr>
              <w:t>Impact</w:t>
            </w:r>
          </w:p>
          <w:p w14:paraId="46DADB61" w14:textId="67963609" w:rsidR="0062657E" w:rsidRPr="0049467D" w:rsidRDefault="0062657E" w:rsidP="002428A4">
            <w:pPr>
              <w:pStyle w:val="TableText"/>
              <w:autoSpaceDE/>
              <w:autoSpaceDN/>
              <w:adjustRightInd/>
              <w:spacing w:line="240" w:lineRule="auto"/>
              <w:rPr>
                <w:rFonts w:eastAsia="Calibri" w:cs="Arial"/>
                <w:i/>
                <w:sz w:val="22"/>
              </w:rPr>
            </w:pPr>
            <w:r w:rsidRPr="0049467D">
              <w:rPr>
                <w:rFonts w:eastAsia="Calibri" w:cs="Arial"/>
                <w:i/>
                <w:sz w:val="22"/>
              </w:rPr>
              <w:t>$m present value</w:t>
            </w:r>
            <w:r w:rsidR="00B56273">
              <w:rPr>
                <w:rFonts w:eastAsia="Calibri" w:cs="Arial"/>
                <w:i/>
                <w:sz w:val="22"/>
              </w:rPr>
              <w:t xml:space="preserve"> where appropriate</w:t>
            </w:r>
            <w:r w:rsidRPr="0049467D">
              <w:rPr>
                <w:rFonts w:eastAsia="Calibri" w:cs="Arial"/>
                <w:i/>
                <w:sz w:val="22"/>
              </w:rPr>
              <w:t xml:space="preserve">,  for monetised impacts; high, </w:t>
            </w:r>
            <w:proofErr w:type="gramStart"/>
            <w:r w:rsidRPr="0049467D">
              <w:rPr>
                <w:rFonts w:eastAsia="Calibri" w:cs="Arial"/>
                <w:i/>
                <w:sz w:val="22"/>
              </w:rPr>
              <w:t>medium</w:t>
            </w:r>
            <w:proofErr w:type="gramEnd"/>
            <w:r w:rsidRPr="0049467D">
              <w:rPr>
                <w:rFonts w:eastAsia="Calibri" w:cs="Arial"/>
                <w:i/>
                <w:sz w:val="22"/>
              </w:rPr>
              <w:t xml:space="preserve"> or low for non-monetised impacts  </w:t>
            </w:r>
          </w:p>
        </w:tc>
        <w:tc>
          <w:tcPr>
            <w:tcW w:w="1395" w:type="dxa"/>
            <w:tcBorders>
              <w:top w:val="single" w:sz="4" w:space="0" w:color="DDDDDD"/>
              <w:left w:val="single" w:sz="4" w:space="0" w:color="DDDDDD"/>
              <w:bottom w:val="single" w:sz="4" w:space="0" w:color="DDDDDD"/>
              <w:right w:val="single" w:sz="4" w:space="0" w:color="DDDDDD"/>
            </w:tcBorders>
            <w:shd w:val="clear" w:color="auto" w:fill="99CDDD"/>
          </w:tcPr>
          <w:p w14:paraId="551EE2B7" w14:textId="77777777" w:rsidR="0062657E" w:rsidRPr="0049467D" w:rsidRDefault="0062657E" w:rsidP="002428A4">
            <w:pPr>
              <w:pStyle w:val="TableText"/>
              <w:autoSpaceDE/>
              <w:autoSpaceDN/>
              <w:adjustRightInd/>
              <w:spacing w:line="240"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r w:rsidRPr="0049467D">
              <w:rPr>
                <w:rFonts w:eastAsia="Calibri" w:cs="Arial"/>
                <w:sz w:val="22"/>
              </w:rPr>
              <w:t xml:space="preserve"> </w:t>
            </w:r>
            <w:r w:rsidRPr="0049467D">
              <w:rPr>
                <w:rFonts w:eastAsia="Calibri" w:cs="Arial"/>
                <w:i/>
                <w:sz w:val="22"/>
              </w:rPr>
              <w:t>(High, medium or low)</w:t>
            </w:r>
            <w:r w:rsidRPr="0049467D">
              <w:rPr>
                <w:rFonts w:eastAsia="Calibri" w:cs="Arial"/>
                <w:sz w:val="22"/>
              </w:rPr>
              <w:t xml:space="preserve"> </w:t>
            </w:r>
          </w:p>
        </w:tc>
      </w:tr>
      <w:tr w:rsidR="0049467D" w:rsidRPr="0049467D" w14:paraId="7F475C6C" w14:textId="77777777" w:rsidTr="00346B30">
        <w:trPr>
          <w:trHeight w:val="253"/>
        </w:trPr>
        <w:tc>
          <w:tcPr>
            <w:tcW w:w="9081" w:type="dxa"/>
            <w:gridSpan w:val="4"/>
            <w:tcBorders>
              <w:top w:val="single" w:sz="4" w:space="0" w:color="DDDDDD"/>
              <w:left w:val="nil"/>
              <w:bottom w:val="single" w:sz="4" w:space="0" w:color="DDDDDD"/>
              <w:right w:val="nil"/>
            </w:tcBorders>
          </w:tcPr>
          <w:p w14:paraId="366296FE" w14:textId="77777777" w:rsidR="0062657E" w:rsidRPr="0049467D" w:rsidRDefault="0062657E" w:rsidP="002428A4">
            <w:pPr>
              <w:pStyle w:val="spacer"/>
              <w:keepNext/>
              <w:rPr>
                <w:rFonts w:eastAsia="Calibri"/>
              </w:rPr>
            </w:pPr>
          </w:p>
        </w:tc>
      </w:tr>
      <w:tr w:rsidR="0036785D" w:rsidRPr="0049467D" w14:paraId="7A1DD8E3" w14:textId="77777777" w:rsidTr="00346B30">
        <w:trPr>
          <w:trHeight w:val="253"/>
        </w:trPr>
        <w:tc>
          <w:tcPr>
            <w:tcW w:w="9081" w:type="dxa"/>
            <w:gridSpan w:val="4"/>
            <w:tcBorders>
              <w:top w:val="single" w:sz="4" w:space="0" w:color="DDDDDD"/>
              <w:left w:val="single" w:sz="4" w:space="0" w:color="DDDDDD"/>
              <w:bottom w:val="single" w:sz="4" w:space="0" w:color="DDDDDD"/>
              <w:right w:val="single" w:sz="4" w:space="0" w:color="DDDDDD"/>
            </w:tcBorders>
            <w:shd w:val="clear" w:color="auto" w:fill="99CDDD"/>
          </w:tcPr>
          <w:p w14:paraId="7F1C4206" w14:textId="3052341F" w:rsidR="0036785D" w:rsidRPr="0049467D" w:rsidRDefault="0036785D" w:rsidP="002428A4">
            <w:pPr>
              <w:keepNext/>
              <w:spacing w:before="40" w:after="20" w:line="276" w:lineRule="auto"/>
              <w:rPr>
                <w:rFonts w:eastAsia="Calibri" w:cs="Arial"/>
                <w:b/>
                <w:szCs w:val="22"/>
              </w:rPr>
            </w:pPr>
            <w:r>
              <w:rPr>
                <w:rFonts w:eastAsia="Calibri" w:cs="Arial"/>
                <w:b/>
                <w:szCs w:val="22"/>
              </w:rPr>
              <w:t>Abatement threshold increases</w:t>
            </w:r>
          </w:p>
        </w:tc>
      </w:tr>
      <w:tr w:rsidR="0049467D" w:rsidRPr="0049467D" w14:paraId="087D2DDA" w14:textId="77777777" w:rsidTr="00B9780C">
        <w:trPr>
          <w:trHeight w:val="253"/>
        </w:trPr>
        <w:tc>
          <w:tcPr>
            <w:tcW w:w="9081" w:type="dxa"/>
            <w:gridSpan w:val="4"/>
            <w:tcBorders>
              <w:top w:val="single" w:sz="4" w:space="0" w:color="DDDDDD"/>
              <w:left w:val="single" w:sz="4" w:space="0" w:color="DDDDDD"/>
              <w:bottom w:val="single" w:sz="4" w:space="0" w:color="DDDDDD"/>
              <w:right w:val="single" w:sz="4" w:space="0" w:color="DDDDDD"/>
            </w:tcBorders>
            <w:shd w:val="clear" w:color="auto" w:fill="99CDDD"/>
          </w:tcPr>
          <w:p w14:paraId="6FB18661" w14:textId="3408F7CB" w:rsidR="0062657E" w:rsidRPr="0049467D" w:rsidRDefault="0062657E" w:rsidP="002428A4">
            <w:pPr>
              <w:keepNext/>
              <w:spacing w:before="40" w:after="20" w:line="276" w:lineRule="auto"/>
              <w:rPr>
                <w:rFonts w:eastAsia="Calibri" w:cs="Arial"/>
                <w:b/>
                <w:szCs w:val="22"/>
              </w:rPr>
            </w:pPr>
            <w:r w:rsidRPr="0049467D">
              <w:rPr>
                <w:rFonts w:eastAsia="Calibri" w:cs="Arial"/>
                <w:b/>
                <w:szCs w:val="22"/>
              </w:rPr>
              <w:t>Additional costs of proposed approach compared to taking no action</w:t>
            </w:r>
          </w:p>
        </w:tc>
      </w:tr>
      <w:tr w:rsidR="009D698B" w:rsidRPr="0049467D" w14:paraId="614CA7F6" w14:textId="77777777" w:rsidTr="00166888">
        <w:trPr>
          <w:trHeight w:val="253"/>
        </w:trPr>
        <w:tc>
          <w:tcPr>
            <w:tcW w:w="1874" w:type="dxa"/>
            <w:vMerge w:val="restart"/>
            <w:tcBorders>
              <w:top w:val="single" w:sz="4" w:space="0" w:color="DDDDDD"/>
              <w:left w:val="single" w:sz="4" w:space="0" w:color="DDDDDD"/>
              <w:right w:val="single" w:sz="4" w:space="0" w:color="DDDDDD"/>
            </w:tcBorders>
            <w:shd w:val="clear" w:color="auto" w:fill="auto"/>
          </w:tcPr>
          <w:p w14:paraId="6715FCB2" w14:textId="1D177A20" w:rsidR="009D698B" w:rsidRPr="0049467D" w:rsidRDefault="009D698B" w:rsidP="002428A4">
            <w:pPr>
              <w:pStyle w:val="TableText"/>
              <w:keepNext/>
              <w:spacing w:line="276" w:lineRule="auto"/>
              <w:rPr>
                <w:rFonts w:eastAsia="Calibri" w:cs="Arial"/>
                <w:sz w:val="22"/>
              </w:rPr>
            </w:pPr>
            <w:r>
              <w:rPr>
                <w:rFonts w:eastAsia="Calibri" w:cs="Arial"/>
                <w:sz w:val="22"/>
              </w:rPr>
              <w:t>Monetised cost to Crown</w:t>
            </w:r>
          </w:p>
          <w:p w14:paraId="518C13A0" w14:textId="28B4EDE0" w:rsidR="009D698B" w:rsidRPr="0049467D" w:rsidRDefault="009D698B" w:rsidP="009D698B">
            <w:pPr>
              <w:pStyle w:val="TableText"/>
              <w:keepNext/>
              <w:spacing w:line="276" w:lineRule="auto"/>
              <w:rPr>
                <w:rFonts w:eastAsia="Calibri" w:cs="Arial"/>
                <w:sz w:val="22"/>
              </w:rPr>
            </w:pPr>
          </w:p>
          <w:p w14:paraId="4554CC5A" w14:textId="3831C24E" w:rsidR="009D698B" w:rsidRPr="0049467D" w:rsidRDefault="009D698B" w:rsidP="00166888">
            <w:pPr>
              <w:pStyle w:val="TableText"/>
              <w:keepNext/>
              <w:spacing w:line="276" w:lineRule="auto"/>
              <w:rPr>
                <w:rFonts w:eastAsia="Calibri" w:cs="Arial"/>
                <w:sz w:val="22"/>
              </w:rPr>
            </w:pP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61306F76" w14:textId="4F5738A8" w:rsidR="009D698B" w:rsidRPr="0049467D" w:rsidRDefault="009D698B" w:rsidP="002428A4">
            <w:pPr>
              <w:pStyle w:val="TableText"/>
              <w:keepNext/>
              <w:spacing w:line="276" w:lineRule="auto"/>
              <w:rPr>
                <w:rFonts w:eastAsia="Calibri" w:cs="Arial"/>
                <w:sz w:val="22"/>
              </w:rPr>
            </w:pPr>
            <w:r>
              <w:rPr>
                <w:rFonts w:eastAsia="Calibri" w:cs="Arial"/>
                <w:sz w:val="22"/>
              </w:rPr>
              <w:lastRenderedPageBreak/>
              <w:t xml:space="preserve">Increase in Benefit or Related Expenses from increasing </w:t>
            </w:r>
            <w:r>
              <w:rPr>
                <w:rFonts w:eastAsia="Calibri" w:cs="Arial"/>
                <w:sz w:val="22"/>
              </w:rPr>
              <w:lastRenderedPageBreak/>
              <w:t>abatement thresholds to $160 and $250 per week on 1 April 2021 (one-off increase, no further increases in subsequent years)</w:t>
            </w:r>
            <w:r w:rsidR="007D433D">
              <w:rPr>
                <w:rFonts w:eastAsia="Calibri" w:cs="Arial"/>
                <w:sz w:val="22"/>
              </w:rPr>
              <w:t>.</w:t>
            </w:r>
            <w:r>
              <w:rPr>
                <w:rFonts w:eastAsia="Calibri" w:cs="Arial"/>
                <w:sz w:val="22"/>
              </w:rPr>
              <w:t xml:space="preserve"> </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1A30E8BF" w14:textId="092E534E" w:rsidR="009D698B" w:rsidRPr="00334D92" w:rsidRDefault="009D698B" w:rsidP="002428A4">
            <w:pPr>
              <w:pStyle w:val="TableText"/>
              <w:keepNext/>
              <w:spacing w:line="276" w:lineRule="auto"/>
              <w:rPr>
                <w:rFonts w:eastAsia="Calibri" w:cs="Arial"/>
                <w:sz w:val="22"/>
              </w:rPr>
            </w:pPr>
            <w:r w:rsidRPr="00334D92">
              <w:rPr>
                <w:rFonts w:eastAsia="Calibri" w:cs="Arial"/>
                <w:sz w:val="22"/>
              </w:rPr>
              <w:lastRenderedPageBreak/>
              <w:t>$</w:t>
            </w:r>
            <w:r w:rsidR="00A07357" w:rsidRPr="00334D92">
              <w:rPr>
                <w:rFonts w:eastAsia="Calibri" w:cs="Arial"/>
                <w:sz w:val="22"/>
              </w:rPr>
              <w:t>387.496</w:t>
            </w:r>
            <w:r w:rsidRPr="00334D92">
              <w:rPr>
                <w:rFonts w:eastAsia="Calibri" w:cs="Arial"/>
                <w:sz w:val="22"/>
              </w:rPr>
              <w:t xml:space="preserve"> million over five years</w:t>
            </w:r>
            <w:r w:rsidR="007D433D">
              <w:rPr>
                <w:rFonts w:eastAsia="Calibri" w:cs="Arial"/>
                <w:sz w:val="22"/>
              </w:rPr>
              <w:t>.</w:t>
            </w:r>
            <w:r w:rsidRPr="00334D92">
              <w:rPr>
                <w:rFonts w:eastAsia="Calibri" w:cs="Arial"/>
                <w:sz w:val="22"/>
              </w:rPr>
              <w:t xml:space="preserve"> </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615DA9EC" w14:textId="4E07DECE" w:rsidR="009D698B" w:rsidRPr="0049467D" w:rsidRDefault="00D85308" w:rsidP="002428A4">
            <w:pPr>
              <w:pStyle w:val="TableText"/>
              <w:keepNext/>
              <w:spacing w:line="276" w:lineRule="auto"/>
              <w:rPr>
                <w:rFonts w:eastAsia="Calibri" w:cs="Arial"/>
                <w:sz w:val="22"/>
              </w:rPr>
            </w:pPr>
            <w:r>
              <w:rPr>
                <w:rFonts w:eastAsia="Calibri" w:cs="Arial"/>
                <w:sz w:val="22"/>
              </w:rPr>
              <w:t>High</w:t>
            </w:r>
          </w:p>
        </w:tc>
      </w:tr>
      <w:tr w:rsidR="00B9780C" w:rsidRPr="0049467D" w14:paraId="6FE696F2" w14:textId="77777777" w:rsidTr="00B9780C">
        <w:trPr>
          <w:trHeight w:val="1357"/>
        </w:trPr>
        <w:tc>
          <w:tcPr>
            <w:tcW w:w="1874" w:type="dxa"/>
            <w:vMerge/>
            <w:tcBorders>
              <w:left w:val="single" w:sz="4" w:space="0" w:color="DDDDDD"/>
              <w:bottom w:val="single" w:sz="4" w:space="0" w:color="DDDDDD"/>
              <w:right w:val="single" w:sz="4" w:space="0" w:color="DDDDDD"/>
            </w:tcBorders>
            <w:shd w:val="clear" w:color="auto" w:fill="auto"/>
          </w:tcPr>
          <w:p w14:paraId="54D4716A" w14:textId="53A11E58" w:rsidR="00B9780C" w:rsidRPr="0049467D" w:rsidRDefault="00B9780C" w:rsidP="00166888">
            <w:pPr>
              <w:pStyle w:val="TableText"/>
              <w:keepNext/>
              <w:spacing w:line="276" w:lineRule="auto"/>
              <w:rPr>
                <w:rFonts w:eastAsia="Calibri" w:cs="Arial"/>
                <w:sz w:val="22"/>
              </w:rPr>
            </w:pP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750FE2AB" w14:textId="602571D3" w:rsidR="00B9780C" w:rsidRPr="0049467D" w:rsidRDefault="00B9780C" w:rsidP="009D698B">
            <w:pPr>
              <w:pStyle w:val="TableText"/>
              <w:keepNext/>
              <w:spacing w:line="276" w:lineRule="auto"/>
              <w:rPr>
                <w:rFonts w:eastAsia="Calibri" w:cs="Arial"/>
                <w:sz w:val="22"/>
              </w:rPr>
            </w:pPr>
            <w:r>
              <w:rPr>
                <w:rFonts w:eastAsia="Calibri" w:cs="Arial"/>
                <w:sz w:val="22"/>
              </w:rPr>
              <w:t>C</w:t>
            </w:r>
            <w:r w:rsidRPr="000A159A">
              <w:rPr>
                <w:rFonts w:eastAsia="Calibri" w:cs="Arial"/>
                <w:sz w:val="22"/>
              </w:rPr>
              <w:t>ost of</w:t>
            </w:r>
            <w:r>
              <w:rPr>
                <w:rFonts w:eastAsia="Calibri" w:cs="Arial"/>
                <w:sz w:val="22"/>
              </w:rPr>
              <w:t xml:space="preserve"> MSD</w:t>
            </w:r>
            <w:r w:rsidRPr="000A159A">
              <w:rPr>
                <w:rFonts w:eastAsia="Calibri" w:cs="Arial"/>
                <w:sz w:val="22"/>
              </w:rPr>
              <w:t xml:space="preserve"> </w:t>
            </w:r>
            <w:r>
              <w:rPr>
                <w:rFonts w:eastAsia="Calibri" w:cs="Arial"/>
                <w:sz w:val="22"/>
              </w:rPr>
              <w:t>implementing the abatement threshold increases</w:t>
            </w:r>
            <w:r w:rsidRPr="000A159A">
              <w:rPr>
                <w:rFonts w:eastAsia="Calibri" w:cs="Arial"/>
                <w:sz w:val="22"/>
              </w:rPr>
              <w:t xml:space="preserve"> (IT,</w:t>
            </w:r>
            <w:r>
              <w:rPr>
                <w:rFonts w:eastAsia="Calibri" w:cs="Arial"/>
                <w:sz w:val="22"/>
              </w:rPr>
              <w:t xml:space="preserve"> additional staff,</w:t>
            </w:r>
            <w:r w:rsidRPr="000A159A">
              <w:rPr>
                <w:rFonts w:eastAsia="Calibri" w:cs="Arial"/>
                <w:sz w:val="22"/>
              </w:rPr>
              <w:t xml:space="preserve"> training, comm</w:t>
            </w:r>
            <w:r w:rsidR="00621D7F">
              <w:rPr>
                <w:rFonts w:eastAsia="Calibri" w:cs="Arial"/>
                <w:sz w:val="22"/>
              </w:rPr>
              <w:t>unications</w:t>
            </w:r>
            <w:r w:rsidRPr="000A159A">
              <w:rPr>
                <w:rFonts w:eastAsia="Calibri" w:cs="Arial"/>
                <w:sz w:val="22"/>
              </w:rPr>
              <w:t xml:space="preserve"> etc)</w:t>
            </w:r>
            <w:r w:rsidR="007D433D">
              <w:rPr>
                <w:rFonts w:eastAsia="Calibri" w:cs="Arial"/>
                <w:sz w:val="22"/>
              </w:rPr>
              <w:t>.</w:t>
            </w:r>
            <w:r w:rsidRPr="000A159A">
              <w:rPr>
                <w:rFonts w:eastAsia="Calibri" w:cs="Arial"/>
                <w:sz w:val="22"/>
              </w:rPr>
              <w:tab/>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7D77C14A" w14:textId="178CA1F8" w:rsidR="00B9780C" w:rsidRPr="00334D92" w:rsidRDefault="00B9780C" w:rsidP="0073452B">
            <w:pPr>
              <w:pStyle w:val="TableText"/>
              <w:keepNext/>
              <w:spacing w:line="276" w:lineRule="auto"/>
              <w:rPr>
                <w:rFonts w:eastAsia="Calibri" w:cs="Arial"/>
                <w:sz w:val="22"/>
              </w:rPr>
            </w:pPr>
            <w:r w:rsidRPr="00334D92">
              <w:rPr>
                <w:rFonts w:eastAsia="Calibri"/>
                <w:sz w:val="22"/>
              </w:rPr>
              <w:t>$6.4 million (one-off cost)</w:t>
            </w:r>
            <w:r w:rsidR="007D433D">
              <w:rPr>
                <w:rFonts w:eastAsia="Calibri"/>
                <w:sz w:val="22"/>
              </w:rPr>
              <w:t>.</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763F27CB" w14:textId="6D873CE8" w:rsidR="00B9780C" w:rsidRPr="0049467D" w:rsidRDefault="00B9780C" w:rsidP="009D698B">
            <w:pPr>
              <w:pStyle w:val="TableText"/>
              <w:keepNext/>
              <w:spacing w:line="276" w:lineRule="auto"/>
              <w:rPr>
                <w:rFonts w:eastAsia="Calibri" w:cs="Arial"/>
                <w:sz w:val="22"/>
              </w:rPr>
            </w:pPr>
            <w:r>
              <w:rPr>
                <w:rFonts w:eastAsia="Calibri" w:cs="Arial"/>
                <w:sz w:val="22"/>
              </w:rPr>
              <w:t>High</w:t>
            </w:r>
          </w:p>
        </w:tc>
      </w:tr>
      <w:tr w:rsidR="002C2AEE" w:rsidRPr="0049467D" w14:paraId="18736BEB" w14:textId="77777777" w:rsidTr="00B9780C">
        <w:trPr>
          <w:trHeight w:val="253"/>
        </w:trPr>
        <w:tc>
          <w:tcPr>
            <w:tcW w:w="1874" w:type="dxa"/>
            <w:vMerge w:val="restart"/>
            <w:tcBorders>
              <w:top w:val="single" w:sz="4" w:space="0" w:color="DDDDDD"/>
              <w:left w:val="single" w:sz="4" w:space="0" w:color="DDDDDD"/>
              <w:right w:val="single" w:sz="4" w:space="0" w:color="DDDDDD"/>
            </w:tcBorders>
            <w:shd w:val="clear" w:color="auto" w:fill="auto"/>
          </w:tcPr>
          <w:p w14:paraId="10B0A0C8" w14:textId="7E94038B" w:rsidR="002C2AEE" w:rsidRDefault="002C2AEE" w:rsidP="00DC0EAD">
            <w:pPr>
              <w:pStyle w:val="TableText"/>
              <w:keepNext/>
              <w:spacing w:line="276" w:lineRule="auto"/>
              <w:rPr>
                <w:rFonts w:eastAsia="Calibri" w:cs="Arial"/>
                <w:bCs/>
                <w:sz w:val="22"/>
              </w:rPr>
            </w:pPr>
            <w:r>
              <w:rPr>
                <w:rFonts w:eastAsia="Calibri" w:cs="Arial"/>
                <w:bCs/>
                <w:sz w:val="22"/>
              </w:rPr>
              <w:t>Low-income working individuals and families receiving main benefits</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2A1B3A3E" w14:textId="77777777" w:rsidR="002C2AEE" w:rsidRDefault="002C2AEE" w:rsidP="009D698B">
            <w:pPr>
              <w:pStyle w:val="TableText"/>
              <w:keepNext/>
              <w:spacing w:line="276" w:lineRule="auto"/>
              <w:rPr>
                <w:rFonts w:eastAsia="Calibri" w:cs="Arial"/>
                <w:iCs/>
                <w:sz w:val="22"/>
              </w:rPr>
            </w:pPr>
            <w:r>
              <w:rPr>
                <w:rFonts w:eastAsia="Calibri" w:cs="Arial"/>
                <w:iCs/>
                <w:sz w:val="22"/>
              </w:rPr>
              <w:t>Reduction in financial incentive to work full-time.</w:t>
            </w:r>
          </w:p>
          <w:p w14:paraId="2A7F81A8" w14:textId="77777777" w:rsidR="002C2AEE" w:rsidRDefault="002C2AEE" w:rsidP="009D698B">
            <w:pPr>
              <w:pStyle w:val="TableText"/>
              <w:keepNext/>
              <w:spacing w:line="276" w:lineRule="auto"/>
              <w:rPr>
                <w:rFonts w:eastAsia="Calibri" w:cs="Arial"/>
                <w:iCs/>
                <w:sz w:val="22"/>
              </w:rPr>
            </w:pPr>
          </w:p>
          <w:p w14:paraId="6314CD7B" w14:textId="71963516" w:rsidR="002C2AEE" w:rsidRDefault="002C2AEE" w:rsidP="002C2AEE">
            <w:pPr>
              <w:rPr>
                <w:rFonts w:eastAsia="Calibri" w:cs="Arial"/>
                <w:iCs/>
              </w:rPr>
            </w:pP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5D612219" w14:textId="72FC2517" w:rsidR="002C2AEE" w:rsidRDefault="00332F2D" w:rsidP="009D698B">
            <w:pPr>
              <w:pStyle w:val="TableText"/>
              <w:keepNext/>
              <w:spacing w:line="276" w:lineRule="auto"/>
              <w:rPr>
                <w:rFonts w:eastAsia="Calibri" w:cs="Arial"/>
                <w:sz w:val="22"/>
              </w:rPr>
            </w:pPr>
            <w:r>
              <w:rPr>
                <w:rFonts w:eastAsia="Calibri" w:cs="Arial"/>
                <w:sz w:val="22"/>
              </w:rPr>
              <w:t>Low to moderate impact</w:t>
            </w:r>
            <w:r w:rsidR="002C2AEE">
              <w:rPr>
                <w:rFonts w:eastAsia="Calibri" w:cs="Arial"/>
                <w:sz w:val="22"/>
              </w:rPr>
              <w:t>:</w:t>
            </w:r>
          </w:p>
          <w:p w14:paraId="301BC3B2" w14:textId="51F56D25" w:rsidR="002C2AEE" w:rsidRDefault="002C2AEE" w:rsidP="00B9780C">
            <w:pPr>
              <w:pStyle w:val="TableText"/>
              <w:keepNext/>
              <w:spacing w:line="276" w:lineRule="auto"/>
              <w:rPr>
                <w:rFonts w:eastAsia="Calibri" w:cs="Arial"/>
                <w:sz w:val="22"/>
              </w:rPr>
            </w:pPr>
            <w:r>
              <w:rPr>
                <w:rFonts w:eastAsia="Calibri" w:cs="Arial"/>
                <w:sz w:val="22"/>
              </w:rPr>
              <w:t xml:space="preserve">Increasing abatement thresholds will reduce the Effective Marginal Tax Rate (EMTR) for those below </w:t>
            </w:r>
            <w:proofErr w:type="gramStart"/>
            <w:r>
              <w:rPr>
                <w:rFonts w:eastAsia="Calibri" w:cs="Arial"/>
                <w:sz w:val="22"/>
              </w:rPr>
              <w:t>it,</w:t>
            </w:r>
            <w:r w:rsidR="00FE7DBF">
              <w:rPr>
                <w:rFonts w:eastAsia="Calibri" w:cs="Arial"/>
                <w:sz w:val="22"/>
              </w:rPr>
              <w:t xml:space="preserve"> </w:t>
            </w:r>
            <w:r>
              <w:rPr>
                <w:rFonts w:eastAsia="Calibri" w:cs="Arial"/>
                <w:sz w:val="22"/>
              </w:rPr>
              <w:t>but</w:t>
            </w:r>
            <w:proofErr w:type="gramEnd"/>
            <w:r>
              <w:rPr>
                <w:rFonts w:eastAsia="Calibri" w:cs="Arial"/>
                <w:sz w:val="22"/>
              </w:rPr>
              <w:t xml:space="preserve"> will extend the range of incomes above it that experience high EMTRs</w:t>
            </w:r>
            <w:r w:rsidR="00E4185B">
              <w:rPr>
                <w:rFonts w:eastAsia="Calibri" w:cs="Arial"/>
                <w:sz w:val="22"/>
              </w:rPr>
              <w:t xml:space="preserve"> (</w:t>
            </w:r>
            <w:proofErr w:type="spellStart"/>
            <w:r w:rsidR="00E4185B">
              <w:rPr>
                <w:rFonts w:eastAsia="Calibri" w:cs="Arial"/>
                <w:sz w:val="22"/>
              </w:rPr>
              <w:t>ie</w:t>
            </w:r>
            <w:proofErr w:type="spellEnd"/>
            <w:r w:rsidR="00E4185B">
              <w:rPr>
                <w:rFonts w:eastAsia="Calibri" w:cs="Arial"/>
                <w:sz w:val="22"/>
              </w:rPr>
              <w:t>, low financial incentive to work)</w:t>
            </w:r>
            <w:r w:rsidR="00B9780C">
              <w:rPr>
                <w:rFonts w:eastAsia="Calibri" w:cs="Arial"/>
                <w:sz w:val="22"/>
              </w:rPr>
              <w:t>.</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342F5F9A" w14:textId="654E882F" w:rsidR="002C2AEE" w:rsidRDefault="002C2AEE" w:rsidP="009D698B">
            <w:pPr>
              <w:pStyle w:val="TableText"/>
              <w:keepNext/>
              <w:spacing w:line="276" w:lineRule="auto"/>
              <w:rPr>
                <w:rFonts w:eastAsia="Calibri" w:cs="Arial"/>
                <w:sz w:val="22"/>
              </w:rPr>
            </w:pPr>
            <w:r>
              <w:rPr>
                <w:rFonts w:eastAsia="Calibri" w:cs="Arial"/>
                <w:sz w:val="22"/>
              </w:rPr>
              <w:t>Medium</w:t>
            </w:r>
          </w:p>
        </w:tc>
      </w:tr>
      <w:tr w:rsidR="002C2AEE" w:rsidRPr="0049467D" w14:paraId="52BC6399" w14:textId="77777777" w:rsidTr="00DC0EAD">
        <w:trPr>
          <w:trHeight w:val="253"/>
        </w:trPr>
        <w:tc>
          <w:tcPr>
            <w:tcW w:w="1874" w:type="dxa"/>
            <w:vMerge/>
            <w:tcBorders>
              <w:left w:val="single" w:sz="4" w:space="0" w:color="DDDDDD"/>
              <w:bottom w:val="single" w:sz="4" w:space="0" w:color="DDDDDD"/>
              <w:right w:val="single" w:sz="4" w:space="0" w:color="DDDDDD"/>
            </w:tcBorders>
            <w:shd w:val="clear" w:color="auto" w:fill="auto"/>
          </w:tcPr>
          <w:p w14:paraId="4B6A858C" w14:textId="17CBC011" w:rsidR="002C2AEE" w:rsidRPr="0070201A" w:rsidRDefault="002C2AEE" w:rsidP="009D698B">
            <w:pPr>
              <w:pStyle w:val="TableText"/>
              <w:keepNext/>
              <w:spacing w:line="276" w:lineRule="auto"/>
              <w:rPr>
                <w:rFonts w:eastAsia="Calibri" w:cs="Arial"/>
                <w:bCs/>
                <w:sz w:val="22"/>
              </w:rPr>
            </w:pP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38DCA025" w14:textId="77777777" w:rsidR="002C2AEE" w:rsidRDefault="002C2AEE" w:rsidP="009D698B">
            <w:pPr>
              <w:pStyle w:val="TableText"/>
              <w:keepNext/>
              <w:spacing w:line="276" w:lineRule="auto"/>
              <w:rPr>
                <w:rFonts w:eastAsia="Calibri" w:cs="Arial"/>
                <w:iCs/>
                <w:sz w:val="22"/>
              </w:rPr>
            </w:pPr>
            <w:r>
              <w:rPr>
                <w:rFonts w:eastAsia="Calibri" w:cs="Arial"/>
                <w:iCs/>
                <w:sz w:val="22"/>
              </w:rPr>
              <w:t>Some may be financially disadvantaged as a result of the abatement threshold increases:</w:t>
            </w:r>
          </w:p>
          <w:p w14:paraId="5375C489" w14:textId="77777777" w:rsidR="002C2AEE" w:rsidRDefault="002C2AEE" w:rsidP="00B52920">
            <w:pPr>
              <w:pStyle w:val="TableText"/>
              <w:keepNext/>
              <w:numPr>
                <w:ilvl w:val="0"/>
                <w:numId w:val="10"/>
              </w:numPr>
              <w:spacing w:line="276" w:lineRule="auto"/>
              <w:rPr>
                <w:rFonts w:eastAsia="Calibri" w:cs="Arial"/>
                <w:iCs/>
                <w:sz w:val="22"/>
              </w:rPr>
            </w:pPr>
            <w:r>
              <w:rPr>
                <w:rFonts w:eastAsia="Calibri" w:cs="Arial"/>
                <w:iCs/>
                <w:sz w:val="22"/>
              </w:rPr>
              <w:t>Some people will lose their TAS disability exception as they move off the TAS upper limit and become ineligible for the DA exception</w:t>
            </w:r>
          </w:p>
          <w:p w14:paraId="509238BB" w14:textId="513E9141" w:rsidR="002C2AEE" w:rsidRPr="0070201A" w:rsidRDefault="002C2AEE" w:rsidP="00B52920">
            <w:pPr>
              <w:pStyle w:val="TableText"/>
              <w:keepNext/>
              <w:numPr>
                <w:ilvl w:val="0"/>
                <w:numId w:val="10"/>
              </w:numPr>
              <w:spacing w:line="276" w:lineRule="auto"/>
              <w:rPr>
                <w:rFonts w:eastAsia="Calibri" w:cs="Arial"/>
                <w:iCs/>
                <w:sz w:val="22"/>
              </w:rPr>
            </w:pPr>
            <w:r>
              <w:rPr>
                <w:rFonts w:eastAsia="Calibri" w:cs="Arial"/>
                <w:iCs/>
                <w:sz w:val="22"/>
              </w:rPr>
              <w:t>Some may face a reduction in the hourly Childcare Assistance subsidy rate as a result of abatement threshold increases if they become newly eligible for AS or their AS payment increases</w:t>
            </w:r>
            <w:r w:rsidR="007D433D">
              <w:rPr>
                <w:rFonts w:eastAsia="Calibri" w:cs="Arial"/>
                <w:iCs/>
                <w:sz w:val="22"/>
              </w:rPr>
              <w: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5339AF7E" w14:textId="77777777" w:rsidR="002C2AEE" w:rsidRDefault="002C2AEE" w:rsidP="009D698B">
            <w:pPr>
              <w:pStyle w:val="TableText"/>
              <w:keepNext/>
              <w:spacing w:line="276" w:lineRule="auto"/>
              <w:rPr>
                <w:rFonts w:eastAsia="Calibri" w:cs="Arial"/>
                <w:sz w:val="22"/>
              </w:rPr>
            </w:pPr>
            <w:r>
              <w:rPr>
                <w:rFonts w:eastAsia="Calibri" w:cs="Arial"/>
                <w:sz w:val="22"/>
              </w:rPr>
              <w:t>Low to moderate impact:</w:t>
            </w:r>
          </w:p>
          <w:p w14:paraId="149734DA" w14:textId="4F691249" w:rsidR="002C2AEE" w:rsidRPr="0049467D" w:rsidRDefault="002C2AEE" w:rsidP="009D698B">
            <w:pPr>
              <w:pStyle w:val="TableText"/>
              <w:keepNext/>
              <w:spacing w:line="276" w:lineRule="auto"/>
              <w:rPr>
                <w:rFonts w:eastAsia="Calibri" w:cs="Arial"/>
                <w:sz w:val="22"/>
              </w:rPr>
            </w:pPr>
            <w:r>
              <w:rPr>
                <w:rFonts w:eastAsia="Calibri" w:cs="Arial"/>
                <w:sz w:val="22"/>
              </w:rPr>
              <w:t>Around 79 individuals and families are expected to lose an average of $19 a week</w:t>
            </w:r>
            <w:r w:rsidR="00B9780C">
              <w:rPr>
                <w:rFonts w:eastAsia="Calibri" w:cs="Arial"/>
                <w:sz w:val="22"/>
              </w:rPr>
              <w:t>.</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07D35DA6" w14:textId="416D70FC" w:rsidR="002C2AEE" w:rsidRPr="0049467D" w:rsidRDefault="002C2AEE" w:rsidP="009D698B">
            <w:pPr>
              <w:pStyle w:val="TableText"/>
              <w:keepNext/>
              <w:spacing w:line="276" w:lineRule="auto"/>
              <w:rPr>
                <w:rFonts w:eastAsia="Calibri" w:cs="Arial"/>
                <w:sz w:val="22"/>
              </w:rPr>
            </w:pPr>
            <w:r>
              <w:rPr>
                <w:rFonts w:eastAsia="Calibri" w:cs="Arial"/>
                <w:sz w:val="22"/>
              </w:rPr>
              <w:t>Medium</w:t>
            </w:r>
          </w:p>
        </w:tc>
      </w:tr>
      <w:tr w:rsidR="009D698B" w:rsidRPr="0049467D" w14:paraId="5EEFD2C5" w14:textId="77777777" w:rsidTr="00346B30">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09F588C1" w14:textId="77777777" w:rsidR="009D698B" w:rsidRPr="0049467D" w:rsidRDefault="009D698B" w:rsidP="009D698B">
            <w:pPr>
              <w:pStyle w:val="TableText"/>
              <w:keepNext/>
              <w:spacing w:line="276" w:lineRule="auto"/>
              <w:rPr>
                <w:rFonts w:eastAsia="Calibri" w:cs="Arial"/>
                <w:b/>
                <w:sz w:val="22"/>
              </w:rPr>
            </w:pPr>
            <w:r w:rsidRPr="0049467D">
              <w:rPr>
                <w:rFonts w:eastAsia="Calibri" w:cs="Arial"/>
                <w:b/>
                <w:sz w:val="22"/>
              </w:rPr>
              <w:t>Total Monetised Cost</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2B8C12E8" w14:textId="7942ACC8" w:rsidR="009D698B" w:rsidRPr="009778D6" w:rsidRDefault="009D698B" w:rsidP="009D698B">
            <w:pPr>
              <w:pStyle w:val="TableText"/>
              <w:keepNext/>
              <w:spacing w:line="276" w:lineRule="auto"/>
              <w:rPr>
                <w:rFonts w:eastAsia="Calibri" w:cs="Arial"/>
                <w:iCs/>
                <w:sz w:val="22"/>
              </w:rPr>
            </w:pPr>
            <w:r w:rsidRPr="009778D6">
              <w:rPr>
                <w:rFonts w:eastAsia="Calibri" w:cs="Arial"/>
                <w:iCs/>
                <w:sz w:val="22"/>
              </w:rPr>
              <w:t>Implementation and alterations to the operating model and the ongoing increase in benefit payments due to higher abatement thresholds</w:t>
            </w:r>
            <w:r w:rsidR="007D433D">
              <w:rPr>
                <w:rFonts w:eastAsia="Calibri" w:cs="Arial"/>
                <w:iCs/>
                <w:sz w:val="22"/>
              </w:rPr>
              <w: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37BE17A8" w14:textId="6857541C" w:rsidR="009D698B" w:rsidRPr="0049467D" w:rsidRDefault="009778D6" w:rsidP="009D698B">
            <w:pPr>
              <w:pStyle w:val="TableText"/>
              <w:keepNext/>
              <w:spacing w:line="276" w:lineRule="auto"/>
              <w:rPr>
                <w:rFonts w:eastAsia="Calibri" w:cs="Arial"/>
                <w:sz w:val="22"/>
              </w:rPr>
            </w:pPr>
            <w:r>
              <w:rPr>
                <w:rFonts w:eastAsia="Calibri" w:cs="Arial"/>
                <w:sz w:val="22"/>
              </w:rPr>
              <w:t>$</w:t>
            </w:r>
            <w:r w:rsidR="00334D92">
              <w:rPr>
                <w:rFonts w:eastAsia="Calibri" w:cs="Arial"/>
                <w:sz w:val="22"/>
              </w:rPr>
              <w:t>393.896 million over five years</w:t>
            </w:r>
            <w:r w:rsidR="007D433D">
              <w:rPr>
                <w:rFonts w:eastAsia="Calibri" w:cs="Arial"/>
                <w:sz w:val="22"/>
              </w:rPr>
              <w:t>.</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129E5356" w14:textId="77777777" w:rsidR="009D698B" w:rsidRPr="0049467D" w:rsidRDefault="009D698B" w:rsidP="009D698B">
            <w:pPr>
              <w:pStyle w:val="TableText"/>
              <w:keepNext/>
              <w:spacing w:line="276" w:lineRule="auto"/>
              <w:rPr>
                <w:rFonts w:eastAsia="Calibri" w:cs="Arial"/>
                <w:sz w:val="22"/>
              </w:rPr>
            </w:pPr>
          </w:p>
        </w:tc>
      </w:tr>
      <w:tr w:rsidR="009D698B" w:rsidRPr="0049467D" w14:paraId="73F1290E" w14:textId="77777777" w:rsidTr="00346B30">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3175C92D" w14:textId="77777777" w:rsidR="009D698B" w:rsidRPr="0049467D" w:rsidRDefault="009D698B" w:rsidP="009D698B">
            <w:pPr>
              <w:pStyle w:val="TableText"/>
              <w:keepNext/>
              <w:spacing w:line="276" w:lineRule="auto"/>
              <w:rPr>
                <w:rFonts w:eastAsia="Calibri" w:cs="Arial"/>
                <w:b/>
                <w:sz w:val="22"/>
              </w:rPr>
            </w:pPr>
            <w:r w:rsidRPr="0049467D">
              <w:rPr>
                <w:rFonts w:eastAsia="Calibri" w:cs="Arial"/>
                <w:b/>
                <w:sz w:val="22"/>
              </w:rPr>
              <w:lastRenderedPageBreak/>
              <w:t xml:space="preserve">Non-monetised costs </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77ED6A16" w14:textId="2D9B84EB" w:rsidR="000352F3" w:rsidRDefault="000352F3" w:rsidP="000352F3">
            <w:pPr>
              <w:pStyle w:val="TableText"/>
              <w:keepNext/>
              <w:spacing w:line="276" w:lineRule="auto"/>
              <w:rPr>
                <w:rFonts w:eastAsia="Calibri" w:cs="Arial"/>
                <w:iCs/>
                <w:sz w:val="22"/>
              </w:rPr>
            </w:pPr>
            <w:r>
              <w:rPr>
                <w:rFonts w:eastAsia="Calibri" w:cs="Arial"/>
                <w:iCs/>
                <w:sz w:val="22"/>
              </w:rPr>
              <w:t>Following adjustment to the new abatement thresholds, there will be:</w:t>
            </w:r>
          </w:p>
          <w:p w14:paraId="09DF850D" w14:textId="77777777" w:rsidR="000352F3" w:rsidRDefault="000352F3" w:rsidP="000352F3">
            <w:pPr>
              <w:pStyle w:val="TableText"/>
              <w:keepNext/>
              <w:numPr>
                <w:ilvl w:val="0"/>
                <w:numId w:val="26"/>
              </w:numPr>
              <w:spacing w:line="276" w:lineRule="auto"/>
              <w:rPr>
                <w:rFonts w:eastAsia="Calibri" w:cs="Arial"/>
                <w:iCs/>
                <w:sz w:val="22"/>
              </w:rPr>
            </w:pPr>
            <w:r>
              <w:rPr>
                <w:rFonts w:eastAsia="Calibri" w:cs="Arial"/>
                <w:iCs/>
                <w:sz w:val="22"/>
              </w:rPr>
              <w:t>a small number of people financially disadvantaged</w:t>
            </w:r>
          </w:p>
          <w:p w14:paraId="419740CA" w14:textId="77777777" w:rsidR="000352F3" w:rsidRDefault="00C96D85" w:rsidP="000352F3">
            <w:pPr>
              <w:pStyle w:val="TableText"/>
              <w:keepNext/>
              <w:numPr>
                <w:ilvl w:val="0"/>
                <w:numId w:val="26"/>
              </w:numPr>
              <w:spacing w:line="276" w:lineRule="auto"/>
              <w:rPr>
                <w:rFonts w:eastAsia="Calibri" w:cs="Arial"/>
                <w:iCs/>
                <w:sz w:val="22"/>
              </w:rPr>
            </w:pPr>
            <w:r>
              <w:rPr>
                <w:rFonts w:eastAsia="Calibri" w:cs="Arial"/>
                <w:iCs/>
                <w:sz w:val="22"/>
              </w:rPr>
              <w:t>a reduction in financial incentive to work full-time</w:t>
            </w:r>
          </w:p>
          <w:p w14:paraId="0EB3959F" w14:textId="1A45AC65" w:rsidR="00C96D85" w:rsidRPr="009778D6" w:rsidRDefault="00C96D85" w:rsidP="00C83610">
            <w:pPr>
              <w:pStyle w:val="TableText"/>
              <w:keepNext/>
              <w:numPr>
                <w:ilvl w:val="0"/>
                <w:numId w:val="26"/>
              </w:numPr>
              <w:spacing w:line="276" w:lineRule="auto"/>
              <w:rPr>
                <w:rFonts w:eastAsia="Calibri" w:cs="Arial"/>
                <w:iCs/>
                <w:sz w:val="22"/>
              </w:rPr>
            </w:pPr>
            <w:r>
              <w:rPr>
                <w:rFonts w:eastAsia="Calibri" w:cs="Arial"/>
                <w:iCs/>
                <w:sz w:val="22"/>
              </w:rPr>
              <w:t>additional work for case workers as more people become eligible for main benefits or AS</w:t>
            </w:r>
            <w:r w:rsidR="007D433D">
              <w:rPr>
                <w:rFonts w:eastAsia="Calibri" w:cs="Arial"/>
                <w:iCs/>
                <w:sz w:val="22"/>
              </w:rPr>
              <w: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1A7FB92D" w14:textId="0DEB631B" w:rsidR="009D698B" w:rsidRPr="009778D6" w:rsidRDefault="009778D6" w:rsidP="009D698B">
            <w:pPr>
              <w:pStyle w:val="TableText"/>
              <w:keepNext/>
              <w:spacing w:line="276" w:lineRule="auto"/>
              <w:rPr>
                <w:rFonts w:eastAsia="Calibri" w:cs="Arial"/>
                <w:iCs/>
                <w:sz w:val="22"/>
              </w:rPr>
            </w:pPr>
            <w:r w:rsidRPr="009778D6">
              <w:rPr>
                <w:rFonts w:eastAsia="Calibri" w:cs="Arial"/>
                <w:iCs/>
                <w:sz w:val="22"/>
              </w:rPr>
              <w:t>Moderate impact</w:t>
            </w:r>
            <w:r w:rsidR="007D433D">
              <w:rPr>
                <w:rFonts w:eastAsia="Calibri" w:cs="Arial"/>
                <w:iCs/>
                <w:sz w:val="22"/>
              </w:rPr>
              <w:t>.</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30EFA09B" w14:textId="1D25B59A" w:rsidR="009D698B" w:rsidRPr="0049467D" w:rsidRDefault="009D698B" w:rsidP="009D698B">
            <w:pPr>
              <w:pStyle w:val="TableText"/>
              <w:keepNext/>
              <w:spacing w:line="276" w:lineRule="auto"/>
              <w:rPr>
                <w:rFonts w:eastAsia="Calibri" w:cs="Arial"/>
                <w:sz w:val="22"/>
              </w:rPr>
            </w:pPr>
          </w:p>
        </w:tc>
      </w:tr>
      <w:bookmarkEnd w:id="12"/>
    </w:tbl>
    <w:p w14:paraId="05C0FA9F" w14:textId="77777777" w:rsidR="0062657E" w:rsidRPr="0049467D" w:rsidRDefault="0062657E" w:rsidP="0049234F">
      <w:pPr>
        <w:pStyle w:val="spacer"/>
      </w:pPr>
    </w:p>
    <w:tbl>
      <w:tblPr>
        <w:tblpPr w:leftFromText="180" w:rightFromText="180" w:vertAnchor="text" w:tblpX="114" w:tblpY="1"/>
        <w:tblOverlap w:val="never"/>
        <w:tblW w:w="908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874"/>
        <w:gridCol w:w="3685"/>
        <w:gridCol w:w="2127"/>
        <w:gridCol w:w="1395"/>
      </w:tblGrid>
      <w:tr w:rsidR="0036785D" w:rsidRPr="0049467D" w14:paraId="6E57B4C2" w14:textId="77777777" w:rsidTr="00346B30">
        <w:trPr>
          <w:trHeight w:val="253"/>
        </w:trPr>
        <w:tc>
          <w:tcPr>
            <w:tcW w:w="9081" w:type="dxa"/>
            <w:gridSpan w:val="4"/>
            <w:shd w:val="clear" w:color="auto" w:fill="99CDDD"/>
          </w:tcPr>
          <w:p w14:paraId="72DEF486" w14:textId="4662B830" w:rsidR="0036785D" w:rsidRPr="0049467D" w:rsidRDefault="0036785D" w:rsidP="002428A4">
            <w:pPr>
              <w:spacing w:before="40" w:after="20" w:line="276" w:lineRule="auto"/>
              <w:rPr>
                <w:rFonts w:eastAsia="Calibri" w:cs="Arial"/>
                <w:b/>
                <w:szCs w:val="22"/>
              </w:rPr>
            </w:pPr>
            <w:bookmarkStart w:id="13" w:name="_Hlk57273483"/>
            <w:r>
              <w:rPr>
                <w:rFonts w:eastAsia="Calibri" w:cs="Arial"/>
                <w:b/>
                <w:szCs w:val="22"/>
              </w:rPr>
              <w:t>Abatement threshold increases</w:t>
            </w:r>
          </w:p>
        </w:tc>
      </w:tr>
      <w:tr w:rsidR="0049467D" w:rsidRPr="0049467D" w14:paraId="65DA5212" w14:textId="77777777" w:rsidTr="00346B30">
        <w:trPr>
          <w:trHeight w:val="253"/>
        </w:trPr>
        <w:tc>
          <w:tcPr>
            <w:tcW w:w="9081" w:type="dxa"/>
            <w:gridSpan w:val="4"/>
            <w:shd w:val="clear" w:color="auto" w:fill="99CDDD"/>
          </w:tcPr>
          <w:p w14:paraId="575B550A" w14:textId="0C76E2EA" w:rsidR="0062657E" w:rsidRPr="0049467D" w:rsidRDefault="0062657E" w:rsidP="002428A4">
            <w:pPr>
              <w:spacing w:before="40" w:after="20" w:line="276" w:lineRule="auto"/>
              <w:rPr>
                <w:rFonts w:eastAsia="Calibri" w:cs="Arial"/>
                <w:b/>
                <w:szCs w:val="22"/>
              </w:rPr>
            </w:pPr>
            <w:r w:rsidRPr="0049467D">
              <w:rPr>
                <w:rFonts w:eastAsia="Calibri" w:cs="Arial"/>
                <w:b/>
                <w:szCs w:val="22"/>
              </w:rPr>
              <w:t>Expected benefits of proposed approach compared to taking no action</w:t>
            </w:r>
          </w:p>
        </w:tc>
      </w:tr>
      <w:tr w:rsidR="0049467D" w:rsidRPr="0049467D" w14:paraId="5A15EFAD" w14:textId="77777777" w:rsidTr="00346B30">
        <w:trPr>
          <w:trHeight w:val="253"/>
        </w:trPr>
        <w:tc>
          <w:tcPr>
            <w:tcW w:w="1874" w:type="dxa"/>
            <w:shd w:val="clear" w:color="auto" w:fill="auto"/>
          </w:tcPr>
          <w:p w14:paraId="4A1A0D2D" w14:textId="708D4F52" w:rsidR="0062657E" w:rsidRPr="0049467D" w:rsidRDefault="00D85308" w:rsidP="002428A4">
            <w:pPr>
              <w:pStyle w:val="TableText"/>
              <w:spacing w:line="276" w:lineRule="auto"/>
              <w:rPr>
                <w:rFonts w:eastAsia="Calibri" w:cs="Arial"/>
                <w:sz w:val="22"/>
              </w:rPr>
            </w:pPr>
            <w:r>
              <w:rPr>
                <w:rFonts w:eastAsia="Calibri" w:cs="Arial"/>
                <w:sz w:val="22"/>
              </w:rPr>
              <w:t>Low-income working individuals and families receiving main benefits</w:t>
            </w:r>
            <w:r w:rsidR="00014822">
              <w:rPr>
                <w:rFonts w:eastAsia="Calibri" w:cs="Arial"/>
                <w:sz w:val="22"/>
              </w:rPr>
              <w:t xml:space="preserve">, non-beneficiaries receiving the </w:t>
            </w:r>
            <w:r w:rsidR="0073452B">
              <w:rPr>
                <w:rFonts w:eastAsia="Calibri" w:cs="Arial"/>
                <w:sz w:val="22"/>
              </w:rPr>
              <w:t>AS</w:t>
            </w:r>
            <w:r w:rsidR="00014822">
              <w:rPr>
                <w:rFonts w:eastAsia="Calibri" w:cs="Arial"/>
                <w:sz w:val="22"/>
              </w:rPr>
              <w:t>, people newly eligible for benefits as a result of the changes</w:t>
            </w:r>
          </w:p>
        </w:tc>
        <w:tc>
          <w:tcPr>
            <w:tcW w:w="3685" w:type="dxa"/>
            <w:shd w:val="clear" w:color="auto" w:fill="auto"/>
          </w:tcPr>
          <w:p w14:paraId="5C296BC3" w14:textId="7DF37142" w:rsidR="0062657E" w:rsidRDefault="00D85308" w:rsidP="002428A4">
            <w:pPr>
              <w:pStyle w:val="TableText"/>
              <w:spacing w:line="276" w:lineRule="auto"/>
              <w:rPr>
                <w:rFonts w:eastAsia="Calibri" w:cs="Arial"/>
                <w:sz w:val="22"/>
              </w:rPr>
            </w:pPr>
            <w:r>
              <w:rPr>
                <w:rFonts w:eastAsia="Calibri" w:cs="Arial"/>
                <w:sz w:val="22"/>
              </w:rPr>
              <w:t>Incomes will increase as a result of changes to abatement thresholds</w:t>
            </w:r>
            <w:r w:rsidR="007D433D">
              <w:rPr>
                <w:rFonts w:eastAsia="Calibri" w:cs="Arial"/>
                <w:sz w:val="22"/>
              </w:rPr>
              <w:t>.</w:t>
            </w:r>
          </w:p>
          <w:p w14:paraId="18BCE532" w14:textId="21B15B00" w:rsidR="007D7EFA" w:rsidRDefault="007D7EFA" w:rsidP="002428A4">
            <w:pPr>
              <w:pStyle w:val="TableText"/>
              <w:spacing w:line="276" w:lineRule="auto"/>
              <w:rPr>
                <w:rFonts w:eastAsia="Calibri" w:cs="Arial"/>
                <w:sz w:val="22"/>
              </w:rPr>
            </w:pPr>
          </w:p>
          <w:p w14:paraId="2BFCCC71" w14:textId="7F4CF79F" w:rsidR="007D7EFA" w:rsidRDefault="004E0DCA" w:rsidP="002428A4">
            <w:pPr>
              <w:pStyle w:val="TableText"/>
              <w:spacing w:line="276" w:lineRule="auto"/>
              <w:rPr>
                <w:rFonts w:eastAsia="Calibri" w:cs="Arial"/>
                <w:sz w:val="22"/>
              </w:rPr>
            </w:pPr>
            <w:r>
              <w:rPr>
                <w:rFonts w:eastAsia="Calibri" w:cs="Arial"/>
                <w:sz w:val="22"/>
              </w:rPr>
              <w:t>*This may, as a result, make housing more affordable for some (low to moderate impact)</w:t>
            </w:r>
            <w:r w:rsidR="007D433D">
              <w:rPr>
                <w:rFonts w:eastAsia="Calibri" w:cs="Arial"/>
                <w:sz w:val="22"/>
              </w:rPr>
              <w:t>.</w:t>
            </w:r>
          </w:p>
          <w:p w14:paraId="7D9C9202" w14:textId="77777777" w:rsidR="00D85308" w:rsidRDefault="00D85308" w:rsidP="002428A4">
            <w:pPr>
              <w:pStyle w:val="TableText"/>
              <w:spacing w:line="276" w:lineRule="auto"/>
              <w:rPr>
                <w:rFonts w:eastAsia="Calibri" w:cs="Arial"/>
                <w:sz w:val="22"/>
              </w:rPr>
            </w:pPr>
          </w:p>
          <w:p w14:paraId="6478565B" w14:textId="1D8A5334" w:rsidR="00D85308" w:rsidRPr="0049467D" w:rsidRDefault="00D85308" w:rsidP="002428A4">
            <w:pPr>
              <w:pStyle w:val="TableText"/>
              <w:spacing w:line="276" w:lineRule="auto"/>
              <w:rPr>
                <w:rFonts w:eastAsia="Calibri" w:cs="Arial"/>
                <w:sz w:val="22"/>
              </w:rPr>
            </w:pPr>
          </w:p>
        </w:tc>
        <w:tc>
          <w:tcPr>
            <w:tcW w:w="2127" w:type="dxa"/>
            <w:shd w:val="clear" w:color="auto" w:fill="auto"/>
          </w:tcPr>
          <w:p w14:paraId="308D9E92" w14:textId="6B5EDB4B" w:rsidR="0062657E" w:rsidRDefault="006004EC" w:rsidP="002428A4">
            <w:pPr>
              <w:pStyle w:val="TableText"/>
              <w:spacing w:line="276" w:lineRule="auto"/>
              <w:rPr>
                <w:rFonts w:eastAsia="Calibri" w:cs="Arial"/>
                <w:sz w:val="22"/>
              </w:rPr>
            </w:pPr>
            <w:r>
              <w:rPr>
                <w:rFonts w:eastAsia="Calibri" w:cs="Arial"/>
                <w:sz w:val="22"/>
              </w:rPr>
              <w:t>Moderate to high impact:</w:t>
            </w:r>
          </w:p>
          <w:p w14:paraId="310FBBBE" w14:textId="46C47856" w:rsidR="00014822" w:rsidRDefault="00014822" w:rsidP="002428A4">
            <w:pPr>
              <w:pStyle w:val="TableText"/>
              <w:spacing w:line="276" w:lineRule="auto"/>
              <w:rPr>
                <w:rFonts w:eastAsia="Calibri" w:cs="Arial"/>
                <w:sz w:val="22"/>
              </w:rPr>
            </w:pPr>
            <w:r>
              <w:rPr>
                <w:rFonts w:eastAsia="Calibri" w:cs="Arial"/>
                <w:sz w:val="22"/>
              </w:rPr>
              <w:t xml:space="preserve">Around 82,900 individuals and families are expected to benefit by on average $18 per week. </w:t>
            </w:r>
            <w:r w:rsidR="007D7EFA">
              <w:rPr>
                <w:rFonts w:eastAsia="Calibri" w:cs="Arial"/>
                <w:sz w:val="22"/>
              </w:rPr>
              <w:t>Of these, around 15,500 are Māori families and 5,100 are Pacific families</w:t>
            </w:r>
            <w:r w:rsidR="007D433D">
              <w:rPr>
                <w:rFonts w:eastAsia="Calibri" w:cs="Arial"/>
                <w:sz w:val="22"/>
              </w:rPr>
              <w:t>.</w:t>
            </w:r>
          </w:p>
          <w:p w14:paraId="3EA3BC8D" w14:textId="2CF5C121" w:rsidR="00014822" w:rsidRDefault="00014822" w:rsidP="002428A4">
            <w:pPr>
              <w:pStyle w:val="TableText"/>
              <w:spacing w:line="276" w:lineRule="auto"/>
              <w:rPr>
                <w:rFonts w:eastAsia="Calibri" w:cs="Arial"/>
                <w:sz w:val="22"/>
              </w:rPr>
            </w:pPr>
          </w:p>
          <w:p w14:paraId="4F006CA7" w14:textId="7A495288" w:rsidR="007D7EFA" w:rsidRDefault="007D7EFA" w:rsidP="007D7EFA">
            <w:pPr>
              <w:pStyle w:val="TableText"/>
              <w:spacing w:line="276" w:lineRule="auto"/>
              <w:rPr>
                <w:rFonts w:eastAsia="Calibri" w:cs="Arial"/>
                <w:sz w:val="22"/>
              </w:rPr>
            </w:pPr>
            <w:r>
              <w:rPr>
                <w:rFonts w:eastAsia="Calibri" w:cs="Arial"/>
                <w:sz w:val="22"/>
              </w:rPr>
              <w:t>Around 50,300 non-beneficiaries receiving AS are expected to benefit with an average gain of $12</w:t>
            </w:r>
            <w:r w:rsidR="004E0DCA">
              <w:rPr>
                <w:rFonts w:eastAsia="Calibri" w:cs="Arial"/>
                <w:sz w:val="22"/>
              </w:rPr>
              <w:t>*</w:t>
            </w:r>
            <w:r w:rsidR="007D433D">
              <w:rPr>
                <w:rFonts w:eastAsia="Calibri" w:cs="Arial"/>
                <w:sz w:val="22"/>
              </w:rPr>
              <w:t>.</w:t>
            </w:r>
          </w:p>
          <w:p w14:paraId="66ABBE14" w14:textId="65A7F4C2" w:rsidR="007D7EFA" w:rsidRDefault="007D7EFA" w:rsidP="007D7EFA">
            <w:pPr>
              <w:pStyle w:val="TableText"/>
              <w:spacing w:line="276" w:lineRule="auto"/>
              <w:rPr>
                <w:rFonts w:eastAsia="Calibri" w:cs="Arial"/>
                <w:sz w:val="22"/>
              </w:rPr>
            </w:pPr>
          </w:p>
          <w:p w14:paraId="7795C72F" w14:textId="69F01CB2" w:rsidR="006004EC" w:rsidRPr="0049467D" w:rsidRDefault="007D7EFA" w:rsidP="008B568C">
            <w:pPr>
              <w:pStyle w:val="TableText"/>
              <w:spacing w:line="276" w:lineRule="auto"/>
              <w:rPr>
                <w:rFonts w:eastAsia="Calibri" w:cs="Arial"/>
                <w:sz w:val="22"/>
              </w:rPr>
            </w:pPr>
            <w:r>
              <w:rPr>
                <w:rFonts w:eastAsia="Calibri" w:cs="Arial"/>
                <w:sz w:val="22"/>
              </w:rPr>
              <w:t xml:space="preserve">Around 7,000 newly eligible people could take up a main benefit, while around 4,000 people could take up AS </w:t>
            </w:r>
            <w:proofErr w:type="spellStart"/>
            <w:r>
              <w:rPr>
                <w:rFonts w:eastAsia="Calibri" w:cs="Arial"/>
                <w:sz w:val="22"/>
              </w:rPr>
              <w:t>as</w:t>
            </w:r>
            <w:proofErr w:type="spellEnd"/>
            <w:r>
              <w:rPr>
                <w:rFonts w:eastAsia="Calibri" w:cs="Arial"/>
                <w:sz w:val="22"/>
              </w:rPr>
              <w:t xml:space="preserve"> a result of the changes</w:t>
            </w:r>
            <w:r w:rsidR="007D433D">
              <w:rPr>
                <w:rFonts w:eastAsia="Calibri" w:cs="Arial"/>
                <w:sz w:val="22"/>
              </w:rPr>
              <w:t>.</w:t>
            </w:r>
          </w:p>
        </w:tc>
        <w:tc>
          <w:tcPr>
            <w:tcW w:w="1395" w:type="dxa"/>
            <w:shd w:val="clear" w:color="auto" w:fill="auto"/>
          </w:tcPr>
          <w:p w14:paraId="48074604" w14:textId="17E354FE" w:rsidR="0062657E" w:rsidRPr="0049467D" w:rsidRDefault="00014822" w:rsidP="002428A4">
            <w:pPr>
              <w:pStyle w:val="TableText"/>
              <w:spacing w:line="276" w:lineRule="auto"/>
              <w:rPr>
                <w:rFonts w:eastAsia="Calibri" w:cs="Arial"/>
                <w:sz w:val="22"/>
              </w:rPr>
            </w:pPr>
            <w:r>
              <w:rPr>
                <w:rFonts w:eastAsia="Calibri" w:cs="Arial"/>
                <w:sz w:val="22"/>
              </w:rPr>
              <w:t>Medium</w:t>
            </w:r>
          </w:p>
        </w:tc>
      </w:tr>
      <w:tr w:rsidR="007D7EFA" w:rsidRPr="0049467D" w14:paraId="562C95C3" w14:textId="77777777" w:rsidTr="00346B30">
        <w:trPr>
          <w:trHeight w:val="253"/>
        </w:trPr>
        <w:tc>
          <w:tcPr>
            <w:tcW w:w="1874" w:type="dxa"/>
            <w:shd w:val="clear" w:color="auto" w:fill="auto"/>
          </w:tcPr>
          <w:p w14:paraId="43CFF611" w14:textId="4DE988FD" w:rsidR="007D7EFA" w:rsidRPr="0049467D" w:rsidRDefault="007D7EFA" w:rsidP="002428A4">
            <w:pPr>
              <w:pStyle w:val="TableText"/>
              <w:spacing w:line="276" w:lineRule="auto"/>
              <w:rPr>
                <w:rFonts w:eastAsia="Calibri" w:cs="Arial"/>
                <w:b/>
                <w:sz w:val="22"/>
              </w:rPr>
            </w:pPr>
            <w:r>
              <w:rPr>
                <w:rFonts w:eastAsia="Calibri" w:cs="Arial"/>
                <w:sz w:val="22"/>
              </w:rPr>
              <w:t xml:space="preserve">Low-income working individuals and families </w:t>
            </w:r>
            <w:r>
              <w:rPr>
                <w:rFonts w:eastAsia="Calibri" w:cs="Arial"/>
                <w:sz w:val="22"/>
              </w:rPr>
              <w:lastRenderedPageBreak/>
              <w:t>receiving main benefits</w:t>
            </w:r>
          </w:p>
        </w:tc>
        <w:tc>
          <w:tcPr>
            <w:tcW w:w="3685" w:type="dxa"/>
            <w:shd w:val="clear" w:color="auto" w:fill="auto"/>
          </w:tcPr>
          <w:p w14:paraId="1C1FC644" w14:textId="3B89CB15" w:rsidR="007D7EFA" w:rsidRPr="0049467D" w:rsidRDefault="007D7EFA" w:rsidP="002428A4">
            <w:pPr>
              <w:pStyle w:val="TableText"/>
              <w:spacing w:line="276" w:lineRule="auto"/>
              <w:rPr>
                <w:rFonts w:eastAsia="Calibri" w:cs="Arial"/>
                <w:sz w:val="22"/>
              </w:rPr>
            </w:pPr>
            <w:r>
              <w:rPr>
                <w:rFonts w:eastAsia="Calibri" w:cs="Arial"/>
                <w:sz w:val="22"/>
              </w:rPr>
              <w:lastRenderedPageBreak/>
              <w:t>Improved financial incentives to work, particularly part-time which will increase incomes</w:t>
            </w:r>
            <w:r w:rsidR="007D433D">
              <w:rPr>
                <w:rFonts w:eastAsia="Calibri" w:cs="Arial"/>
                <w:sz w:val="22"/>
              </w:rPr>
              <w:t>.</w:t>
            </w:r>
            <w:r w:rsidR="006449C8">
              <w:rPr>
                <w:rFonts w:eastAsia="Calibri" w:cs="Arial"/>
                <w:sz w:val="22"/>
              </w:rPr>
              <w:t xml:space="preserve"> </w:t>
            </w:r>
          </w:p>
        </w:tc>
        <w:tc>
          <w:tcPr>
            <w:tcW w:w="2127" w:type="dxa"/>
            <w:shd w:val="clear" w:color="auto" w:fill="auto"/>
          </w:tcPr>
          <w:p w14:paraId="2EE1298B" w14:textId="134E6F2D" w:rsidR="007D7EFA" w:rsidRDefault="007D7EFA" w:rsidP="007D7EFA">
            <w:pPr>
              <w:pStyle w:val="TableText"/>
              <w:spacing w:line="276" w:lineRule="auto"/>
              <w:rPr>
                <w:rFonts w:eastAsia="Calibri" w:cs="Arial"/>
                <w:sz w:val="22"/>
              </w:rPr>
            </w:pPr>
            <w:r w:rsidRPr="004C731C">
              <w:rPr>
                <w:rFonts w:eastAsia="Calibri" w:cs="Arial"/>
                <w:sz w:val="22"/>
              </w:rPr>
              <w:t>Moderate</w:t>
            </w:r>
            <w:r w:rsidR="004C731C" w:rsidRPr="004C731C">
              <w:rPr>
                <w:rFonts w:eastAsia="Calibri" w:cs="Arial"/>
                <w:sz w:val="22"/>
              </w:rPr>
              <w:t xml:space="preserve"> impact</w:t>
            </w:r>
            <w:r w:rsidRPr="004C731C">
              <w:rPr>
                <w:rFonts w:eastAsia="Calibri" w:cs="Arial"/>
                <w:sz w:val="22"/>
              </w:rPr>
              <w:t>:</w:t>
            </w:r>
            <w:r>
              <w:rPr>
                <w:rFonts w:eastAsia="Calibri" w:cs="Arial"/>
                <w:sz w:val="22"/>
              </w:rPr>
              <w:t xml:space="preserve"> </w:t>
            </w:r>
          </w:p>
          <w:p w14:paraId="1FB8C294" w14:textId="3040A61E" w:rsidR="007D7EFA" w:rsidRDefault="007D7EFA" w:rsidP="007D7EFA">
            <w:pPr>
              <w:pStyle w:val="TableText"/>
              <w:spacing w:line="276" w:lineRule="auto"/>
              <w:rPr>
                <w:rFonts w:eastAsia="Calibri" w:cs="Arial"/>
                <w:sz w:val="22"/>
              </w:rPr>
            </w:pPr>
            <w:r>
              <w:rPr>
                <w:rFonts w:eastAsia="Calibri" w:cs="Arial"/>
                <w:sz w:val="22"/>
              </w:rPr>
              <w:t xml:space="preserve">Around 29,500 individuals and families currently receiving a main </w:t>
            </w:r>
            <w:r>
              <w:rPr>
                <w:rFonts w:eastAsia="Calibri" w:cs="Arial"/>
                <w:sz w:val="22"/>
              </w:rPr>
              <w:lastRenderedPageBreak/>
              <w:t>benefit are expected to benefit with an average weekly gain of $29</w:t>
            </w:r>
            <w:r w:rsidR="007D433D">
              <w:rPr>
                <w:rFonts w:eastAsia="Calibri" w:cs="Arial"/>
                <w:sz w:val="22"/>
              </w:rPr>
              <w:t>.</w:t>
            </w:r>
          </w:p>
          <w:p w14:paraId="3A872885" w14:textId="77777777" w:rsidR="007D7EFA" w:rsidRDefault="007D7EFA" w:rsidP="007D7EFA">
            <w:pPr>
              <w:pStyle w:val="TableText"/>
              <w:spacing w:line="276" w:lineRule="auto"/>
              <w:rPr>
                <w:rFonts w:eastAsia="Calibri" w:cs="Arial"/>
                <w:sz w:val="22"/>
              </w:rPr>
            </w:pPr>
          </w:p>
          <w:p w14:paraId="6E2A3F38" w14:textId="3B319D4C" w:rsidR="007D7EFA" w:rsidRDefault="007D7EFA" w:rsidP="007D7EFA">
            <w:pPr>
              <w:pStyle w:val="TableText"/>
              <w:spacing w:line="276" w:lineRule="auto"/>
              <w:rPr>
                <w:rFonts w:eastAsia="Calibri" w:cs="Arial"/>
                <w:sz w:val="22"/>
              </w:rPr>
            </w:pPr>
            <w:r>
              <w:rPr>
                <w:rFonts w:eastAsia="Calibri" w:cs="Arial"/>
                <w:sz w:val="22"/>
              </w:rPr>
              <w:t>Around 3,100 individuals and families receiving NZS are expected to benefit with an average weekly gain of $21</w:t>
            </w:r>
            <w:r w:rsidR="007D433D">
              <w:rPr>
                <w:rFonts w:eastAsia="Calibri" w:cs="Arial"/>
                <w:sz w:val="22"/>
              </w:rPr>
              <w:t>.</w:t>
            </w:r>
          </w:p>
          <w:p w14:paraId="0A05DB40" w14:textId="77777777" w:rsidR="007D7EFA" w:rsidRPr="0049467D" w:rsidRDefault="007D7EFA" w:rsidP="002428A4">
            <w:pPr>
              <w:pStyle w:val="TableText"/>
              <w:spacing w:line="276" w:lineRule="auto"/>
              <w:rPr>
                <w:rFonts w:eastAsia="Calibri" w:cs="Arial"/>
                <w:sz w:val="22"/>
              </w:rPr>
            </w:pPr>
          </w:p>
        </w:tc>
        <w:tc>
          <w:tcPr>
            <w:tcW w:w="1395" w:type="dxa"/>
            <w:shd w:val="clear" w:color="auto" w:fill="auto"/>
          </w:tcPr>
          <w:p w14:paraId="1DB8D0BD" w14:textId="0F92BE27" w:rsidR="007D7EFA" w:rsidRPr="0049467D" w:rsidRDefault="007D7EFA" w:rsidP="002428A4">
            <w:pPr>
              <w:pStyle w:val="TableText"/>
              <w:spacing w:line="276" w:lineRule="auto"/>
              <w:rPr>
                <w:rFonts w:eastAsia="Calibri" w:cs="Arial"/>
                <w:sz w:val="22"/>
              </w:rPr>
            </w:pPr>
            <w:r>
              <w:rPr>
                <w:rFonts w:eastAsia="Calibri" w:cs="Arial"/>
                <w:sz w:val="22"/>
              </w:rPr>
              <w:lastRenderedPageBreak/>
              <w:t>Medium</w:t>
            </w:r>
          </w:p>
        </w:tc>
      </w:tr>
      <w:tr w:rsidR="007D7EFA" w:rsidRPr="0049467D" w14:paraId="032EF07F" w14:textId="77777777" w:rsidTr="00346B30">
        <w:trPr>
          <w:trHeight w:val="253"/>
        </w:trPr>
        <w:tc>
          <w:tcPr>
            <w:tcW w:w="1874" w:type="dxa"/>
            <w:shd w:val="clear" w:color="auto" w:fill="auto"/>
          </w:tcPr>
          <w:p w14:paraId="3D4BEFA5" w14:textId="7FEE5B53" w:rsidR="007D7EFA" w:rsidRPr="0070201A" w:rsidRDefault="007D7EFA" w:rsidP="002428A4">
            <w:pPr>
              <w:pStyle w:val="TableText"/>
              <w:spacing w:line="276" w:lineRule="auto"/>
              <w:rPr>
                <w:rFonts w:eastAsia="Calibri" w:cs="Arial"/>
                <w:bCs/>
                <w:sz w:val="22"/>
              </w:rPr>
            </w:pPr>
            <w:r>
              <w:rPr>
                <w:rFonts w:eastAsia="Calibri" w:cs="Arial"/>
                <w:bCs/>
                <w:sz w:val="22"/>
              </w:rPr>
              <w:t>Clients with children, including SPS recipients</w:t>
            </w:r>
          </w:p>
        </w:tc>
        <w:tc>
          <w:tcPr>
            <w:tcW w:w="3685" w:type="dxa"/>
            <w:shd w:val="clear" w:color="auto" w:fill="auto"/>
          </w:tcPr>
          <w:p w14:paraId="25355626" w14:textId="796C42A0" w:rsidR="007D7EFA" w:rsidRPr="0049467D" w:rsidRDefault="006449C8" w:rsidP="002428A4">
            <w:pPr>
              <w:pStyle w:val="TableText"/>
              <w:spacing w:line="276" w:lineRule="auto"/>
              <w:rPr>
                <w:rFonts w:eastAsia="Calibri" w:cs="Arial"/>
                <w:sz w:val="22"/>
              </w:rPr>
            </w:pPr>
            <w:r>
              <w:rPr>
                <w:rFonts w:eastAsia="Calibri" w:cs="Arial"/>
                <w:sz w:val="22"/>
              </w:rPr>
              <w:t>Reductions</w:t>
            </w:r>
            <w:r w:rsidR="007D7EFA">
              <w:rPr>
                <w:rFonts w:eastAsia="Calibri" w:cs="Arial"/>
                <w:sz w:val="22"/>
              </w:rPr>
              <w:t xml:space="preserve"> in child poverty as families with children are able to work more hours before their benefits are abated</w:t>
            </w:r>
            <w:r w:rsidR="007D433D">
              <w:rPr>
                <w:rFonts w:eastAsia="Calibri" w:cs="Arial"/>
                <w:sz w:val="22"/>
              </w:rPr>
              <w:t>.</w:t>
            </w:r>
          </w:p>
        </w:tc>
        <w:tc>
          <w:tcPr>
            <w:tcW w:w="2127" w:type="dxa"/>
            <w:shd w:val="clear" w:color="auto" w:fill="auto"/>
          </w:tcPr>
          <w:p w14:paraId="356C679D" w14:textId="4F3A31FF" w:rsidR="007D7EFA" w:rsidRDefault="007D7EFA" w:rsidP="002428A4">
            <w:pPr>
              <w:pStyle w:val="TableText"/>
              <w:spacing w:line="276" w:lineRule="auto"/>
              <w:rPr>
                <w:rFonts w:eastAsia="Calibri" w:cs="Arial"/>
                <w:sz w:val="22"/>
              </w:rPr>
            </w:pPr>
            <w:r>
              <w:rPr>
                <w:rFonts w:eastAsia="Calibri" w:cs="Arial"/>
                <w:sz w:val="22"/>
              </w:rPr>
              <w:t>Low to moderate impact:</w:t>
            </w:r>
          </w:p>
          <w:p w14:paraId="1ECDE09C" w14:textId="4944E20B" w:rsidR="007D7EFA" w:rsidRDefault="007D7EFA" w:rsidP="002428A4">
            <w:pPr>
              <w:pStyle w:val="TableText"/>
              <w:spacing w:line="276" w:lineRule="auto"/>
              <w:rPr>
                <w:rFonts w:eastAsia="Calibri" w:cs="Arial"/>
                <w:sz w:val="22"/>
              </w:rPr>
            </w:pPr>
            <w:r>
              <w:rPr>
                <w:rFonts w:eastAsia="Calibri" w:cs="Arial"/>
                <w:sz w:val="22"/>
              </w:rPr>
              <w:t>Around 50,200 families with children</w:t>
            </w:r>
            <w:r w:rsidR="00C96D85">
              <w:rPr>
                <w:rFonts w:eastAsia="Calibri" w:cs="Arial"/>
                <w:sz w:val="22"/>
              </w:rPr>
              <w:t xml:space="preserve"> will benefit</w:t>
            </w:r>
            <w:r w:rsidR="007D433D">
              <w:rPr>
                <w:rFonts w:eastAsia="Calibri" w:cs="Arial"/>
                <w:sz w:val="22"/>
              </w:rPr>
              <w:t>.</w:t>
            </w:r>
          </w:p>
          <w:p w14:paraId="0A36B50B" w14:textId="76725D2F" w:rsidR="007D7EFA" w:rsidRPr="0049467D" w:rsidRDefault="007D7EFA" w:rsidP="002428A4">
            <w:pPr>
              <w:pStyle w:val="TableText"/>
              <w:spacing w:line="276" w:lineRule="auto"/>
              <w:rPr>
                <w:rFonts w:eastAsia="Calibri" w:cs="Arial"/>
                <w:sz w:val="22"/>
              </w:rPr>
            </w:pPr>
            <w:r>
              <w:rPr>
                <w:rFonts w:eastAsia="Calibri" w:cs="Arial"/>
                <w:sz w:val="22"/>
              </w:rPr>
              <w:t>It is estimated that the abatement thresholds will reduce child poverty by around 6,000 (+/- 3,000) on the AHC50 fixed line measure and 2,000 (+/- 3,000) on the BHC50 measure in 2021/22</w:t>
            </w:r>
            <w:r w:rsidR="007D433D">
              <w:rPr>
                <w:rFonts w:eastAsia="Calibri" w:cs="Arial"/>
                <w:sz w:val="22"/>
              </w:rPr>
              <w:t>.</w:t>
            </w:r>
          </w:p>
        </w:tc>
        <w:tc>
          <w:tcPr>
            <w:tcW w:w="1395" w:type="dxa"/>
            <w:shd w:val="clear" w:color="auto" w:fill="auto"/>
          </w:tcPr>
          <w:p w14:paraId="6FCC142D" w14:textId="786DE0C6" w:rsidR="007D7EFA" w:rsidRPr="0049467D" w:rsidRDefault="007D7EFA" w:rsidP="002428A4">
            <w:pPr>
              <w:pStyle w:val="TableText"/>
              <w:spacing w:line="276" w:lineRule="auto"/>
              <w:rPr>
                <w:rFonts w:eastAsia="Calibri" w:cs="Arial"/>
                <w:sz w:val="22"/>
              </w:rPr>
            </w:pPr>
            <w:r>
              <w:rPr>
                <w:rFonts w:eastAsia="Calibri" w:cs="Arial"/>
                <w:sz w:val="22"/>
              </w:rPr>
              <w:t>Medium</w:t>
            </w:r>
          </w:p>
        </w:tc>
      </w:tr>
      <w:tr w:rsidR="0049467D" w:rsidRPr="0049467D" w14:paraId="4DBCC979" w14:textId="77777777" w:rsidTr="00346B30">
        <w:trPr>
          <w:trHeight w:val="253"/>
        </w:trPr>
        <w:tc>
          <w:tcPr>
            <w:tcW w:w="1874" w:type="dxa"/>
            <w:shd w:val="clear" w:color="auto" w:fill="auto"/>
          </w:tcPr>
          <w:p w14:paraId="1698B317" w14:textId="77777777" w:rsidR="0062657E" w:rsidRPr="0049467D" w:rsidRDefault="0062657E" w:rsidP="002428A4">
            <w:pPr>
              <w:pStyle w:val="TableText"/>
              <w:spacing w:line="276" w:lineRule="auto"/>
              <w:rPr>
                <w:rFonts w:eastAsia="Calibri" w:cs="Arial"/>
                <w:b/>
                <w:sz w:val="22"/>
              </w:rPr>
            </w:pPr>
            <w:r w:rsidRPr="0049467D">
              <w:rPr>
                <w:rFonts w:eastAsia="Calibri" w:cs="Arial"/>
                <w:b/>
                <w:sz w:val="22"/>
              </w:rPr>
              <w:t>Total Monetised  Benefit</w:t>
            </w:r>
          </w:p>
        </w:tc>
        <w:tc>
          <w:tcPr>
            <w:tcW w:w="3685" w:type="dxa"/>
            <w:shd w:val="clear" w:color="auto" w:fill="auto"/>
          </w:tcPr>
          <w:p w14:paraId="7B1B3AC4" w14:textId="1C6DBCC0" w:rsidR="0062657E" w:rsidRPr="0049467D" w:rsidRDefault="009778D6" w:rsidP="002428A4">
            <w:pPr>
              <w:pStyle w:val="TableText"/>
              <w:spacing w:line="276" w:lineRule="auto"/>
              <w:rPr>
                <w:rFonts w:eastAsia="Calibri" w:cs="Arial"/>
                <w:sz w:val="22"/>
              </w:rPr>
            </w:pPr>
            <w:r>
              <w:rPr>
                <w:rFonts w:eastAsia="Calibri" w:cs="Arial"/>
                <w:sz w:val="22"/>
              </w:rPr>
              <w:t>No costings of monetised benefits</w:t>
            </w:r>
            <w:r w:rsidR="007D433D">
              <w:rPr>
                <w:rFonts w:eastAsia="Calibri" w:cs="Arial"/>
                <w:sz w:val="22"/>
              </w:rPr>
              <w:t>.</w:t>
            </w:r>
          </w:p>
        </w:tc>
        <w:tc>
          <w:tcPr>
            <w:tcW w:w="2127" w:type="dxa"/>
            <w:shd w:val="clear" w:color="auto" w:fill="auto"/>
          </w:tcPr>
          <w:p w14:paraId="5EAA60FF" w14:textId="5E71771C" w:rsidR="0062657E" w:rsidRPr="0049467D" w:rsidRDefault="009778D6" w:rsidP="002428A4">
            <w:pPr>
              <w:pStyle w:val="TableText"/>
              <w:spacing w:line="276" w:lineRule="auto"/>
              <w:rPr>
                <w:rFonts w:eastAsia="Calibri" w:cs="Arial"/>
                <w:sz w:val="22"/>
              </w:rPr>
            </w:pPr>
            <w:r>
              <w:rPr>
                <w:rFonts w:eastAsia="Calibri" w:cs="Arial"/>
                <w:sz w:val="22"/>
              </w:rPr>
              <w:t>N/A</w:t>
            </w:r>
          </w:p>
        </w:tc>
        <w:tc>
          <w:tcPr>
            <w:tcW w:w="1395" w:type="dxa"/>
            <w:shd w:val="clear" w:color="auto" w:fill="auto"/>
          </w:tcPr>
          <w:p w14:paraId="4957F0C6" w14:textId="77777777" w:rsidR="0062657E" w:rsidRPr="0049467D" w:rsidRDefault="0062657E" w:rsidP="002428A4">
            <w:pPr>
              <w:pStyle w:val="TableText"/>
              <w:spacing w:line="276" w:lineRule="auto"/>
              <w:rPr>
                <w:rFonts w:eastAsia="Calibri" w:cs="Arial"/>
                <w:sz w:val="22"/>
              </w:rPr>
            </w:pPr>
          </w:p>
        </w:tc>
      </w:tr>
      <w:tr w:rsidR="0049467D" w:rsidRPr="0049467D" w14:paraId="5C8484A6" w14:textId="77777777" w:rsidTr="00346B30">
        <w:trPr>
          <w:trHeight w:val="253"/>
        </w:trPr>
        <w:tc>
          <w:tcPr>
            <w:tcW w:w="1874" w:type="dxa"/>
            <w:shd w:val="clear" w:color="auto" w:fill="auto"/>
          </w:tcPr>
          <w:p w14:paraId="5E8A1639" w14:textId="77777777" w:rsidR="0062657E" w:rsidRPr="0049467D" w:rsidRDefault="0062657E" w:rsidP="002428A4">
            <w:pPr>
              <w:pStyle w:val="TableText"/>
              <w:spacing w:line="276" w:lineRule="auto"/>
              <w:rPr>
                <w:rFonts w:eastAsia="Calibri" w:cs="Arial"/>
                <w:b/>
                <w:sz w:val="22"/>
              </w:rPr>
            </w:pPr>
            <w:r w:rsidRPr="0049467D">
              <w:rPr>
                <w:rFonts w:eastAsia="Calibri" w:cs="Arial"/>
                <w:b/>
                <w:sz w:val="22"/>
              </w:rPr>
              <w:t>Non-monetised benefits</w:t>
            </w:r>
          </w:p>
        </w:tc>
        <w:tc>
          <w:tcPr>
            <w:tcW w:w="3685" w:type="dxa"/>
            <w:shd w:val="clear" w:color="auto" w:fill="auto"/>
          </w:tcPr>
          <w:p w14:paraId="72837ECB" w14:textId="38EEE226" w:rsidR="0062657E" w:rsidRPr="0049467D" w:rsidRDefault="009778D6" w:rsidP="002428A4">
            <w:pPr>
              <w:pStyle w:val="TableText"/>
              <w:spacing w:line="276" w:lineRule="auto"/>
              <w:rPr>
                <w:rFonts w:eastAsia="Calibri" w:cs="Arial"/>
                <w:sz w:val="22"/>
              </w:rPr>
            </w:pPr>
            <w:r>
              <w:rPr>
                <w:rFonts w:eastAsia="Calibri" w:cs="Arial"/>
                <w:sz w:val="22"/>
              </w:rPr>
              <w:t>Improves financial incentive to work part-time and income adequacy for low-income individuals and families</w:t>
            </w:r>
            <w:r w:rsidR="007D433D">
              <w:rPr>
                <w:rFonts w:eastAsia="Calibri" w:cs="Arial"/>
                <w:sz w:val="22"/>
              </w:rPr>
              <w:t>.</w:t>
            </w:r>
            <w:r>
              <w:rPr>
                <w:rFonts w:eastAsia="Calibri" w:cs="Arial"/>
                <w:sz w:val="22"/>
              </w:rPr>
              <w:t xml:space="preserve"> </w:t>
            </w:r>
          </w:p>
        </w:tc>
        <w:tc>
          <w:tcPr>
            <w:tcW w:w="2127" w:type="dxa"/>
            <w:shd w:val="clear" w:color="auto" w:fill="auto"/>
          </w:tcPr>
          <w:p w14:paraId="39A415C7" w14:textId="3F66A1D3" w:rsidR="0062657E" w:rsidRPr="009778D6" w:rsidRDefault="009778D6" w:rsidP="002428A4">
            <w:pPr>
              <w:pStyle w:val="TableText"/>
              <w:spacing w:line="276" w:lineRule="auto"/>
              <w:rPr>
                <w:rFonts w:eastAsia="Calibri" w:cs="Arial"/>
                <w:iCs/>
                <w:sz w:val="22"/>
              </w:rPr>
            </w:pPr>
            <w:r w:rsidRPr="009778D6">
              <w:rPr>
                <w:rFonts w:eastAsia="Calibri" w:cs="Arial"/>
                <w:iCs/>
                <w:sz w:val="22"/>
              </w:rPr>
              <w:t>Moderate impact</w:t>
            </w:r>
            <w:r w:rsidR="007D433D">
              <w:rPr>
                <w:rFonts w:eastAsia="Calibri" w:cs="Arial"/>
                <w:iCs/>
                <w:sz w:val="22"/>
              </w:rPr>
              <w:t>.</w:t>
            </w:r>
          </w:p>
        </w:tc>
        <w:tc>
          <w:tcPr>
            <w:tcW w:w="1395" w:type="dxa"/>
            <w:shd w:val="clear" w:color="auto" w:fill="auto"/>
          </w:tcPr>
          <w:p w14:paraId="66E439A6" w14:textId="77777777" w:rsidR="0062657E" w:rsidRPr="0049467D" w:rsidRDefault="0062657E" w:rsidP="002428A4">
            <w:pPr>
              <w:pStyle w:val="TableText"/>
              <w:spacing w:line="276" w:lineRule="auto"/>
              <w:rPr>
                <w:rFonts w:eastAsia="Calibri" w:cs="Arial"/>
                <w:sz w:val="22"/>
              </w:rPr>
            </w:pPr>
          </w:p>
        </w:tc>
      </w:tr>
      <w:bookmarkEnd w:id="13"/>
    </w:tbl>
    <w:p w14:paraId="62E1AAFF" w14:textId="1AF2BFD8" w:rsidR="0062657E" w:rsidRDefault="0062657E" w:rsidP="0049234F">
      <w:pPr>
        <w:pStyle w:val="spacer"/>
      </w:pPr>
    </w:p>
    <w:tbl>
      <w:tblPr>
        <w:tblpPr w:leftFromText="180" w:rightFromText="180" w:vertAnchor="text" w:tblpX="114" w:tblpY="1"/>
        <w:tblOverlap w:val="never"/>
        <w:tblW w:w="908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874"/>
        <w:gridCol w:w="3544"/>
        <w:gridCol w:w="2268"/>
        <w:gridCol w:w="247"/>
        <w:gridCol w:w="1148"/>
      </w:tblGrid>
      <w:tr w:rsidR="00985529" w:rsidRPr="0049467D" w14:paraId="0AE41913" w14:textId="77777777" w:rsidTr="00E5220C">
        <w:trPr>
          <w:trHeight w:val="253"/>
        </w:trPr>
        <w:tc>
          <w:tcPr>
            <w:tcW w:w="9081" w:type="dxa"/>
            <w:gridSpan w:val="5"/>
            <w:tcBorders>
              <w:top w:val="single" w:sz="4" w:space="0" w:color="DDDDDD"/>
              <w:left w:val="single" w:sz="4" w:space="0" w:color="DDDDDD"/>
              <w:bottom w:val="single" w:sz="4" w:space="0" w:color="DDDDDD"/>
              <w:right w:val="single" w:sz="4" w:space="0" w:color="DDDDDD"/>
            </w:tcBorders>
            <w:shd w:val="clear" w:color="auto" w:fill="99CDDD"/>
          </w:tcPr>
          <w:p w14:paraId="112671B0" w14:textId="77777777" w:rsidR="00985529" w:rsidRPr="0049467D" w:rsidRDefault="00985529" w:rsidP="00E5220C">
            <w:pPr>
              <w:keepNext/>
              <w:spacing w:before="40" w:after="20" w:line="276" w:lineRule="auto"/>
              <w:rPr>
                <w:rFonts w:eastAsia="Calibri" w:cs="Arial"/>
                <w:b/>
                <w:szCs w:val="22"/>
              </w:rPr>
            </w:pPr>
            <w:r>
              <w:rPr>
                <w:rFonts w:eastAsia="Calibri" w:cs="Arial"/>
                <w:b/>
                <w:szCs w:val="22"/>
              </w:rPr>
              <w:t>Adjustment to the Minimum Family Tax Credit – retrospective (full alignment)</w:t>
            </w:r>
          </w:p>
        </w:tc>
      </w:tr>
      <w:tr w:rsidR="00985529" w:rsidRPr="0049467D" w14:paraId="5901B8D0" w14:textId="77777777" w:rsidTr="00E5220C">
        <w:trPr>
          <w:trHeight w:val="253"/>
        </w:trPr>
        <w:tc>
          <w:tcPr>
            <w:tcW w:w="9081" w:type="dxa"/>
            <w:gridSpan w:val="5"/>
            <w:tcBorders>
              <w:top w:val="single" w:sz="4" w:space="0" w:color="DDDDDD"/>
              <w:left w:val="single" w:sz="4" w:space="0" w:color="DDDDDD"/>
              <w:bottom w:val="single" w:sz="4" w:space="0" w:color="DDDDDD"/>
              <w:right w:val="single" w:sz="4" w:space="0" w:color="DDDDDD"/>
            </w:tcBorders>
            <w:shd w:val="clear" w:color="auto" w:fill="99CDDD"/>
          </w:tcPr>
          <w:p w14:paraId="6BA2A0DA" w14:textId="382AA504" w:rsidR="00985529" w:rsidRPr="0049467D" w:rsidRDefault="00985529" w:rsidP="00E5220C">
            <w:pPr>
              <w:keepNext/>
              <w:spacing w:before="40" w:after="20" w:line="276" w:lineRule="auto"/>
              <w:rPr>
                <w:rFonts w:eastAsia="Calibri" w:cs="Arial"/>
                <w:b/>
                <w:szCs w:val="22"/>
              </w:rPr>
            </w:pPr>
            <w:r w:rsidRPr="0049467D">
              <w:rPr>
                <w:rFonts w:eastAsia="Calibri" w:cs="Arial"/>
                <w:b/>
                <w:szCs w:val="22"/>
              </w:rPr>
              <w:t xml:space="preserve">Additional costs of proposed approach </w:t>
            </w:r>
          </w:p>
        </w:tc>
      </w:tr>
      <w:tr w:rsidR="00985529" w:rsidRPr="0049467D" w14:paraId="050BE234" w14:textId="77777777" w:rsidTr="00E5220C">
        <w:trPr>
          <w:trHeight w:val="1825"/>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321BF9E0" w14:textId="77777777" w:rsidR="00985529" w:rsidRPr="0049467D" w:rsidRDefault="00985529" w:rsidP="00E5220C">
            <w:pPr>
              <w:pStyle w:val="TableText"/>
              <w:keepNext/>
              <w:spacing w:line="276" w:lineRule="auto"/>
              <w:rPr>
                <w:rFonts w:eastAsia="Calibri" w:cs="Arial"/>
                <w:sz w:val="22"/>
              </w:rPr>
            </w:pPr>
            <w:r>
              <w:rPr>
                <w:rFonts w:eastAsia="Calibri" w:cs="Arial"/>
                <w:sz w:val="22"/>
              </w:rPr>
              <w:t>Monetised cost to Crown</w:t>
            </w:r>
          </w:p>
          <w:p w14:paraId="764DD8F1" w14:textId="77777777" w:rsidR="00985529" w:rsidRPr="0049467D" w:rsidRDefault="00985529" w:rsidP="00E5220C">
            <w:pPr>
              <w:pStyle w:val="TableText"/>
              <w:keepNext/>
              <w:spacing w:line="276" w:lineRule="auto"/>
              <w:rPr>
                <w:rFonts w:eastAsia="Calibri" w:cs="Arial"/>
                <w:sz w:val="22"/>
              </w:rPr>
            </w:pPr>
          </w:p>
          <w:p w14:paraId="23889C33" w14:textId="77777777" w:rsidR="00985529" w:rsidRPr="0049467D" w:rsidRDefault="00985529" w:rsidP="00E5220C">
            <w:pPr>
              <w:pStyle w:val="TableText"/>
              <w:keepNext/>
              <w:spacing w:line="276" w:lineRule="auto"/>
              <w:rPr>
                <w:rFonts w:eastAsia="Calibri" w:cs="Arial"/>
                <w:sz w:val="22"/>
              </w:rPr>
            </w:pP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4ADD13BD" w14:textId="5F5AE335" w:rsidR="00985529" w:rsidRPr="0049467D" w:rsidRDefault="00985529" w:rsidP="00E5220C">
            <w:pPr>
              <w:pStyle w:val="TableText"/>
              <w:keepNext/>
              <w:spacing w:line="276" w:lineRule="auto"/>
              <w:rPr>
                <w:rFonts w:eastAsia="Calibri" w:cs="Arial"/>
                <w:sz w:val="22"/>
              </w:rPr>
            </w:pPr>
            <w:r>
              <w:rPr>
                <w:rFonts w:eastAsia="Calibri" w:cs="Arial"/>
                <w:sz w:val="22"/>
              </w:rPr>
              <w:t>Cost of adjusting the 2020/21 MFTC threshold (retrospective)</w:t>
            </w:r>
            <w:r w:rsidR="007D433D">
              <w:rPr>
                <w:rFonts w:eastAsia="Calibri" w:cs="Arial"/>
                <w:sz w:val="22"/>
              </w:rPr>
              <w: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1E4B10E1" w14:textId="5F62657B" w:rsidR="00985529" w:rsidRPr="0049467D" w:rsidRDefault="00985529" w:rsidP="00E5220C">
            <w:pPr>
              <w:pStyle w:val="TableText"/>
              <w:keepNext/>
              <w:spacing w:line="276" w:lineRule="auto"/>
              <w:rPr>
                <w:rFonts w:eastAsia="Calibri" w:cs="Arial"/>
                <w:sz w:val="22"/>
              </w:rPr>
            </w:pPr>
            <w:r>
              <w:rPr>
                <w:rFonts w:eastAsia="Calibri" w:cs="Arial"/>
                <w:sz w:val="22"/>
              </w:rPr>
              <w:t xml:space="preserve">$4.6 million in the 2020/21 tax year, $24.1 million over </w:t>
            </w:r>
            <w:r>
              <w:rPr>
                <w:rFonts w:eastAsia="Calibri" w:cs="Arial"/>
                <w:sz w:val="22"/>
              </w:rPr>
              <w:lastRenderedPageBreak/>
              <w:t>the forecast period</w:t>
            </w:r>
            <w:r w:rsidR="007D433D">
              <w:rPr>
                <w:rFonts w:eastAsia="Calibri" w:cs="Arial"/>
                <w:sz w:val="22"/>
              </w:rPr>
              <w:t>.</w:t>
            </w:r>
            <w:r>
              <w:rPr>
                <w:rStyle w:val="FootnoteReference"/>
                <w:rFonts w:eastAsia="Calibri" w:cs="Arial"/>
              </w:rPr>
              <w:footnoteReference w:id="16"/>
            </w:r>
          </w:p>
        </w:tc>
        <w:tc>
          <w:tcPr>
            <w:tcW w:w="1395" w:type="dxa"/>
            <w:gridSpan w:val="2"/>
            <w:tcBorders>
              <w:top w:val="single" w:sz="4" w:space="0" w:color="DDDDDD"/>
              <w:left w:val="single" w:sz="4" w:space="0" w:color="DDDDDD"/>
              <w:bottom w:val="single" w:sz="4" w:space="0" w:color="DDDDDD"/>
              <w:right w:val="single" w:sz="4" w:space="0" w:color="DDDDDD"/>
            </w:tcBorders>
            <w:shd w:val="clear" w:color="auto" w:fill="auto"/>
          </w:tcPr>
          <w:p w14:paraId="40D34BB3" w14:textId="77777777" w:rsidR="00985529" w:rsidRPr="0049467D" w:rsidRDefault="00985529" w:rsidP="00E5220C">
            <w:pPr>
              <w:pStyle w:val="TableText"/>
              <w:keepNext/>
              <w:spacing w:line="276" w:lineRule="auto"/>
              <w:rPr>
                <w:rFonts w:eastAsia="Calibri" w:cs="Arial"/>
                <w:sz w:val="22"/>
              </w:rPr>
            </w:pPr>
            <w:r>
              <w:rPr>
                <w:rFonts w:eastAsia="Calibri" w:cs="Arial"/>
                <w:sz w:val="22"/>
              </w:rPr>
              <w:lastRenderedPageBreak/>
              <w:t>High</w:t>
            </w:r>
          </w:p>
        </w:tc>
      </w:tr>
      <w:tr w:rsidR="00985529" w:rsidRPr="0049467D" w14:paraId="1BD0C57C" w14:textId="77777777" w:rsidTr="004B1A93">
        <w:trPr>
          <w:trHeight w:val="5457"/>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33F1A601" w14:textId="53C93084" w:rsidR="00985529" w:rsidRDefault="00985529" w:rsidP="00E5220C">
            <w:pPr>
              <w:pStyle w:val="TableText"/>
              <w:keepNext/>
              <w:spacing w:line="276" w:lineRule="auto"/>
              <w:rPr>
                <w:rFonts w:eastAsia="Calibri" w:cs="Arial"/>
                <w:bCs/>
                <w:sz w:val="22"/>
              </w:rPr>
            </w:pPr>
            <w:r>
              <w:rPr>
                <w:rFonts w:eastAsia="Calibri" w:cs="Arial"/>
                <w:bCs/>
                <w:sz w:val="22"/>
              </w:rPr>
              <w:t xml:space="preserve">Low-income working individuals and families receiving </w:t>
            </w:r>
            <w:r w:rsidR="00A70374">
              <w:rPr>
                <w:rFonts w:eastAsia="Calibri" w:cs="Arial"/>
                <w:bCs/>
                <w:sz w:val="22"/>
              </w:rPr>
              <w:t xml:space="preserve">the </w:t>
            </w:r>
            <w:r>
              <w:rPr>
                <w:rFonts w:eastAsia="Calibri" w:cs="Arial"/>
                <w:bCs/>
                <w:sz w:val="22"/>
              </w:rPr>
              <w:t>MFTC</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587A4848" w14:textId="3A12DFD7" w:rsidR="00985529" w:rsidRDefault="00985529" w:rsidP="00E5220C">
            <w:pPr>
              <w:pStyle w:val="TableText"/>
              <w:keepNext/>
              <w:spacing w:line="276" w:lineRule="auto"/>
              <w:rPr>
                <w:rFonts w:eastAsia="Calibri" w:cs="Arial"/>
                <w:iCs/>
                <w:sz w:val="22"/>
              </w:rPr>
            </w:pPr>
            <w:r>
              <w:rPr>
                <w:rFonts w:eastAsia="Calibri" w:cs="Arial"/>
                <w:iCs/>
                <w:sz w:val="22"/>
              </w:rPr>
              <w:t>Some</w:t>
            </w:r>
            <w:r w:rsidR="00C96D85">
              <w:rPr>
                <w:rFonts w:eastAsia="Calibri" w:cs="Arial"/>
                <w:iCs/>
                <w:sz w:val="22"/>
              </w:rPr>
              <w:t xml:space="preserve"> families</w:t>
            </w:r>
            <w:r>
              <w:rPr>
                <w:rFonts w:eastAsia="Calibri" w:cs="Arial"/>
                <w:iCs/>
                <w:sz w:val="22"/>
              </w:rPr>
              <w:t xml:space="preserve"> may </w:t>
            </w:r>
            <w:r w:rsidR="00332F2D">
              <w:rPr>
                <w:rFonts w:eastAsia="Calibri" w:cs="Arial"/>
                <w:iCs/>
                <w:sz w:val="22"/>
              </w:rPr>
              <w:t>not gain as much</w:t>
            </w:r>
            <w:r>
              <w:rPr>
                <w:rFonts w:eastAsia="Calibri" w:cs="Arial"/>
                <w:iCs/>
                <w:sz w:val="22"/>
              </w:rPr>
              <w:t xml:space="preserve"> when they receive a lump sum</w:t>
            </w:r>
            <w:r w:rsidR="00C96D85">
              <w:rPr>
                <w:rFonts w:eastAsia="Calibri" w:cs="Arial"/>
                <w:iCs/>
                <w:sz w:val="22"/>
              </w:rPr>
              <w:t xml:space="preserve"> payment</w:t>
            </w:r>
            <w:r>
              <w:rPr>
                <w:rFonts w:eastAsia="Calibri" w:cs="Arial"/>
                <w:iCs/>
                <w:sz w:val="22"/>
              </w:rPr>
              <w:t xml:space="preserve"> for the 2020/21 tax year that has already past (April to December 2020):</w:t>
            </w:r>
          </w:p>
          <w:p w14:paraId="6633DCC7" w14:textId="342FFEFE" w:rsidR="00985529" w:rsidRPr="00E61237" w:rsidRDefault="00985529" w:rsidP="00985529">
            <w:pPr>
              <w:pStyle w:val="TableText"/>
              <w:keepNext/>
              <w:numPr>
                <w:ilvl w:val="0"/>
                <w:numId w:val="17"/>
              </w:numPr>
              <w:spacing w:line="276" w:lineRule="auto"/>
              <w:rPr>
                <w:rFonts w:eastAsia="Calibri" w:cs="Arial"/>
                <w:iCs/>
              </w:rPr>
            </w:pPr>
            <w:r>
              <w:rPr>
                <w:rFonts w:eastAsia="Calibri" w:cs="Arial"/>
                <w:iCs/>
                <w:sz w:val="22"/>
              </w:rPr>
              <w:t xml:space="preserve">A lump sum payment could lead to debts for some people as </w:t>
            </w:r>
            <w:r w:rsidR="00A70374">
              <w:rPr>
                <w:rFonts w:eastAsia="Calibri" w:cs="Arial"/>
                <w:iCs/>
                <w:sz w:val="22"/>
              </w:rPr>
              <w:t xml:space="preserve">the </w:t>
            </w:r>
            <w:r>
              <w:rPr>
                <w:rFonts w:eastAsia="Calibri" w:cs="Arial"/>
                <w:iCs/>
                <w:sz w:val="22"/>
              </w:rPr>
              <w:t>MFTC is chargeable income for some types of financial assistance paid under the Social Security Act 2018</w:t>
            </w:r>
          </w:p>
          <w:p w14:paraId="6EA9AA56" w14:textId="73F94A58" w:rsidR="00985529" w:rsidRDefault="00A70374" w:rsidP="00985529">
            <w:pPr>
              <w:pStyle w:val="TableText"/>
              <w:keepNext/>
              <w:numPr>
                <w:ilvl w:val="0"/>
                <w:numId w:val="17"/>
              </w:numPr>
              <w:spacing w:line="276" w:lineRule="auto"/>
              <w:rPr>
                <w:rFonts w:eastAsia="Calibri" w:cs="Arial"/>
                <w:iCs/>
              </w:rPr>
            </w:pPr>
            <w:r>
              <w:rPr>
                <w:rFonts w:eastAsia="Calibri" w:cs="Arial"/>
                <w:iCs/>
                <w:sz w:val="22"/>
              </w:rPr>
              <w:t xml:space="preserve">The </w:t>
            </w:r>
            <w:r w:rsidR="00985529">
              <w:rPr>
                <w:rFonts w:eastAsia="Calibri" w:cs="Arial"/>
                <w:iCs/>
                <w:sz w:val="22"/>
              </w:rPr>
              <w:t xml:space="preserve">MFTC is assessable income for Public Housing purposes, for assessing eligibility and calculating the rate of Income Related Rent.  </w:t>
            </w:r>
          </w:p>
        </w:tc>
        <w:tc>
          <w:tcPr>
            <w:tcW w:w="2515" w:type="dxa"/>
            <w:gridSpan w:val="2"/>
            <w:tcBorders>
              <w:top w:val="single" w:sz="4" w:space="0" w:color="DDDDDD"/>
              <w:left w:val="single" w:sz="4" w:space="0" w:color="DDDDDD"/>
              <w:bottom w:val="single" w:sz="4" w:space="0" w:color="DDDDDD"/>
              <w:right w:val="single" w:sz="4" w:space="0" w:color="DDDDDD"/>
            </w:tcBorders>
            <w:shd w:val="clear" w:color="auto" w:fill="auto"/>
          </w:tcPr>
          <w:p w14:paraId="7DF8A298" w14:textId="5CDC0596" w:rsidR="00985529" w:rsidRPr="008F67A0" w:rsidRDefault="00985529" w:rsidP="00E5220C">
            <w:pPr>
              <w:pStyle w:val="TableText"/>
              <w:keepNext/>
              <w:spacing w:line="276" w:lineRule="auto"/>
              <w:rPr>
                <w:rFonts w:eastAsia="Calibri" w:cs="Arial"/>
                <w:sz w:val="22"/>
              </w:rPr>
            </w:pPr>
            <w:r w:rsidRPr="008F67A0">
              <w:rPr>
                <w:rFonts w:eastAsia="Calibri" w:cs="Arial"/>
                <w:sz w:val="22"/>
              </w:rPr>
              <w:t>Low impact</w:t>
            </w:r>
            <w:r w:rsidR="007D433D">
              <w:rPr>
                <w:rFonts w:eastAsia="Calibri" w:cs="Arial"/>
                <w:sz w:val="22"/>
              </w:rPr>
              <w:t>.</w:t>
            </w:r>
          </w:p>
        </w:tc>
        <w:tc>
          <w:tcPr>
            <w:tcW w:w="1148" w:type="dxa"/>
            <w:tcBorders>
              <w:top w:val="single" w:sz="4" w:space="0" w:color="DDDDDD"/>
              <w:left w:val="single" w:sz="4" w:space="0" w:color="DDDDDD"/>
              <w:bottom w:val="single" w:sz="4" w:space="0" w:color="DDDDDD"/>
              <w:right w:val="single" w:sz="4" w:space="0" w:color="DDDDDD"/>
            </w:tcBorders>
            <w:shd w:val="clear" w:color="auto" w:fill="auto"/>
          </w:tcPr>
          <w:p w14:paraId="46829D13" w14:textId="77777777" w:rsidR="00985529" w:rsidRPr="008F67A0" w:rsidRDefault="00985529" w:rsidP="00E5220C">
            <w:pPr>
              <w:pStyle w:val="TableText"/>
              <w:keepNext/>
              <w:spacing w:line="276" w:lineRule="auto"/>
              <w:rPr>
                <w:rFonts w:eastAsia="Calibri" w:cs="Arial"/>
                <w:sz w:val="22"/>
              </w:rPr>
            </w:pPr>
            <w:r w:rsidRPr="008F67A0">
              <w:rPr>
                <w:rFonts w:eastAsia="Calibri" w:cs="Arial"/>
                <w:sz w:val="22"/>
              </w:rPr>
              <w:t>Medium</w:t>
            </w:r>
          </w:p>
        </w:tc>
      </w:tr>
      <w:tr w:rsidR="00985529" w:rsidRPr="0049467D" w14:paraId="048B45BF" w14:textId="77777777" w:rsidTr="00E5220C">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3334E8E2" w14:textId="77777777" w:rsidR="00985529" w:rsidRPr="0049467D" w:rsidRDefault="00985529" w:rsidP="00E5220C">
            <w:pPr>
              <w:pStyle w:val="TableText"/>
              <w:keepNext/>
              <w:spacing w:line="276" w:lineRule="auto"/>
              <w:rPr>
                <w:rFonts w:eastAsia="Calibri" w:cs="Arial"/>
                <w:b/>
                <w:sz w:val="22"/>
              </w:rPr>
            </w:pPr>
            <w:r w:rsidRPr="0049467D">
              <w:rPr>
                <w:rFonts w:eastAsia="Calibri" w:cs="Arial"/>
                <w:b/>
                <w:sz w:val="22"/>
              </w:rPr>
              <w:t>Total Monetised Cost</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0FD700D8" w14:textId="77777777" w:rsidR="00985529" w:rsidRPr="009778D6" w:rsidRDefault="00985529" w:rsidP="00E5220C">
            <w:pPr>
              <w:pStyle w:val="TableText"/>
              <w:keepNext/>
              <w:spacing w:line="276" w:lineRule="auto"/>
              <w:rPr>
                <w:rFonts w:eastAsia="Calibri" w:cs="Arial"/>
                <w:iCs/>
                <w:sz w:val="22"/>
              </w:rPr>
            </w:pP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464810AC" w14:textId="7FCF2687" w:rsidR="00985529" w:rsidRPr="0049467D" w:rsidRDefault="00200F91" w:rsidP="00E5220C">
            <w:pPr>
              <w:pStyle w:val="TableText"/>
              <w:keepNext/>
              <w:spacing w:line="276" w:lineRule="auto"/>
              <w:rPr>
                <w:rFonts w:eastAsia="Calibri" w:cs="Arial"/>
                <w:sz w:val="22"/>
              </w:rPr>
            </w:pPr>
            <w:r>
              <w:rPr>
                <w:rFonts w:eastAsia="Calibri" w:cs="Arial"/>
                <w:sz w:val="22"/>
              </w:rPr>
              <w:t>$4.6 million in the 2020/21 tax year, $24.1 million over the forecast period</w:t>
            </w:r>
            <w:r w:rsidR="007D433D">
              <w:rPr>
                <w:rFonts w:eastAsia="Calibri" w:cs="Arial"/>
                <w:sz w:val="22"/>
              </w:rPr>
              <w:t>.</w:t>
            </w:r>
          </w:p>
        </w:tc>
        <w:tc>
          <w:tcPr>
            <w:tcW w:w="1395" w:type="dxa"/>
            <w:gridSpan w:val="2"/>
            <w:tcBorders>
              <w:top w:val="single" w:sz="4" w:space="0" w:color="DDDDDD"/>
              <w:left w:val="single" w:sz="4" w:space="0" w:color="DDDDDD"/>
              <w:bottom w:val="single" w:sz="4" w:space="0" w:color="DDDDDD"/>
              <w:right w:val="single" w:sz="4" w:space="0" w:color="DDDDDD"/>
            </w:tcBorders>
            <w:shd w:val="clear" w:color="auto" w:fill="auto"/>
          </w:tcPr>
          <w:p w14:paraId="55B464C9" w14:textId="77777777" w:rsidR="00985529" w:rsidRPr="0049467D" w:rsidRDefault="00985529" w:rsidP="00E5220C">
            <w:pPr>
              <w:pStyle w:val="TableText"/>
              <w:keepNext/>
              <w:spacing w:line="276" w:lineRule="auto"/>
              <w:rPr>
                <w:rFonts w:eastAsia="Calibri" w:cs="Arial"/>
                <w:sz w:val="22"/>
              </w:rPr>
            </w:pPr>
          </w:p>
        </w:tc>
      </w:tr>
      <w:tr w:rsidR="00985529" w:rsidRPr="0049467D" w14:paraId="76E88C37" w14:textId="77777777" w:rsidTr="00E5220C">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6DFF51E1" w14:textId="77777777" w:rsidR="00985529" w:rsidRPr="0049467D" w:rsidRDefault="00985529" w:rsidP="00E5220C">
            <w:pPr>
              <w:pStyle w:val="TableText"/>
              <w:keepNext/>
              <w:spacing w:line="276" w:lineRule="auto"/>
              <w:rPr>
                <w:rFonts w:eastAsia="Calibri" w:cs="Arial"/>
                <w:b/>
                <w:sz w:val="22"/>
              </w:rPr>
            </w:pPr>
            <w:r w:rsidRPr="0049467D">
              <w:rPr>
                <w:rFonts w:eastAsia="Calibri" w:cs="Arial"/>
                <w:b/>
                <w:sz w:val="22"/>
              </w:rPr>
              <w:t xml:space="preserve">Non-monetised costs </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76F505FE" w14:textId="05DA3C04" w:rsidR="00985529" w:rsidRPr="009778D6" w:rsidRDefault="00985529" w:rsidP="00E5220C">
            <w:pPr>
              <w:pStyle w:val="TableText"/>
              <w:keepNext/>
              <w:spacing w:line="276" w:lineRule="auto"/>
              <w:rPr>
                <w:rFonts w:eastAsia="Calibri" w:cs="Arial"/>
                <w:iCs/>
                <w:sz w:val="22"/>
              </w:rPr>
            </w:pPr>
            <w:r>
              <w:rPr>
                <w:rFonts w:eastAsia="Calibri" w:cs="Arial"/>
                <w:iCs/>
                <w:sz w:val="22"/>
              </w:rPr>
              <w:t xml:space="preserve">Some </w:t>
            </w:r>
            <w:r w:rsidR="00C96D85">
              <w:rPr>
                <w:rFonts w:eastAsia="Calibri" w:cs="Arial"/>
                <w:iCs/>
                <w:sz w:val="22"/>
              </w:rPr>
              <w:t xml:space="preserve">families </w:t>
            </w:r>
            <w:r>
              <w:rPr>
                <w:rFonts w:eastAsia="Calibri" w:cs="Arial"/>
                <w:iCs/>
                <w:sz w:val="22"/>
              </w:rPr>
              <w:t>may be financially disadvantaged due to a lump sum payment for the retrospective increase</w:t>
            </w:r>
            <w:r w:rsidR="007D433D">
              <w:rPr>
                <w:rFonts w:eastAsia="Calibri" w:cs="Arial"/>
                <w:iCs/>
                <w:sz w:val="22"/>
              </w:rPr>
              <w: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30F3D8C9" w14:textId="4905FD7B" w:rsidR="00985529" w:rsidRPr="009778D6" w:rsidRDefault="00985529" w:rsidP="00E5220C">
            <w:pPr>
              <w:pStyle w:val="TableText"/>
              <w:keepNext/>
              <w:spacing w:line="276" w:lineRule="auto"/>
              <w:rPr>
                <w:rFonts w:eastAsia="Calibri" w:cs="Arial"/>
                <w:iCs/>
                <w:sz w:val="22"/>
              </w:rPr>
            </w:pPr>
            <w:r w:rsidRPr="009778D6">
              <w:rPr>
                <w:rFonts w:eastAsia="Calibri" w:cs="Arial"/>
                <w:iCs/>
                <w:sz w:val="22"/>
              </w:rPr>
              <w:t>Moderate impact</w:t>
            </w:r>
            <w:r w:rsidR="007D433D">
              <w:rPr>
                <w:rFonts w:eastAsia="Calibri" w:cs="Arial"/>
                <w:iCs/>
                <w:sz w:val="22"/>
              </w:rPr>
              <w:t>.</w:t>
            </w:r>
          </w:p>
        </w:tc>
        <w:tc>
          <w:tcPr>
            <w:tcW w:w="1395" w:type="dxa"/>
            <w:gridSpan w:val="2"/>
            <w:tcBorders>
              <w:top w:val="single" w:sz="4" w:space="0" w:color="DDDDDD"/>
              <w:left w:val="single" w:sz="4" w:space="0" w:color="DDDDDD"/>
              <w:bottom w:val="single" w:sz="4" w:space="0" w:color="DDDDDD"/>
              <w:right w:val="single" w:sz="4" w:space="0" w:color="DDDDDD"/>
            </w:tcBorders>
            <w:shd w:val="clear" w:color="auto" w:fill="auto"/>
          </w:tcPr>
          <w:p w14:paraId="15D06612" w14:textId="77777777" w:rsidR="00985529" w:rsidRPr="0049467D" w:rsidRDefault="00985529" w:rsidP="00E5220C">
            <w:pPr>
              <w:pStyle w:val="TableText"/>
              <w:keepNext/>
              <w:spacing w:line="276" w:lineRule="auto"/>
              <w:rPr>
                <w:rFonts w:eastAsia="Calibri" w:cs="Arial"/>
                <w:sz w:val="22"/>
              </w:rPr>
            </w:pPr>
          </w:p>
        </w:tc>
      </w:tr>
    </w:tbl>
    <w:p w14:paraId="6DB6928A" w14:textId="687EC80A" w:rsidR="00985529" w:rsidRDefault="00985529" w:rsidP="0049234F">
      <w:pPr>
        <w:pStyle w:val="spacer"/>
      </w:pPr>
    </w:p>
    <w:p w14:paraId="62CD07B0" w14:textId="52F56637" w:rsidR="00985529" w:rsidRDefault="00985529" w:rsidP="0049234F">
      <w:pPr>
        <w:pStyle w:val="spacer"/>
      </w:pPr>
    </w:p>
    <w:tbl>
      <w:tblPr>
        <w:tblpPr w:leftFromText="180" w:rightFromText="180" w:vertAnchor="text" w:tblpX="114" w:tblpY="1"/>
        <w:tblOverlap w:val="never"/>
        <w:tblW w:w="908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874"/>
        <w:gridCol w:w="3685"/>
        <w:gridCol w:w="2127"/>
        <w:gridCol w:w="1395"/>
      </w:tblGrid>
      <w:tr w:rsidR="00985529" w:rsidRPr="0049467D" w14:paraId="7C93D563" w14:textId="77777777" w:rsidTr="004B1A93">
        <w:tc>
          <w:tcPr>
            <w:tcW w:w="9081" w:type="dxa"/>
            <w:gridSpan w:val="4"/>
            <w:shd w:val="clear" w:color="auto" w:fill="99CDDD"/>
          </w:tcPr>
          <w:p w14:paraId="257B0C4E" w14:textId="77777777" w:rsidR="00985529" w:rsidRPr="0049467D" w:rsidRDefault="00985529" w:rsidP="00E5220C">
            <w:pPr>
              <w:spacing w:before="40" w:after="20" w:line="276" w:lineRule="auto"/>
              <w:rPr>
                <w:rFonts w:eastAsia="Calibri" w:cs="Arial"/>
                <w:b/>
                <w:szCs w:val="22"/>
              </w:rPr>
            </w:pPr>
            <w:r>
              <w:rPr>
                <w:rFonts w:eastAsia="Calibri" w:cs="Arial"/>
                <w:b/>
                <w:szCs w:val="22"/>
              </w:rPr>
              <w:t>Adjustment to the Minimum Family Tax Credit – retrospective (full alignment)</w:t>
            </w:r>
          </w:p>
        </w:tc>
      </w:tr>
      <w:tr w:rsidR="00985529" w:rsidRPr="0049467D" w14:paraId="75D9D7D8" w14:textId="77777777" w:rsidTr="004B1A93">
        <w:tc>
          <w:tcPr>
            <w:tcW w:w="9081" w:type="dxa"/>
            <w:gridSpan w:val="4"/>
            <w:shd w:val="clear" w:color="auto" w:fill="99CDDD"/>
          </w:tcPr>
          <w:p w14:paraId="4E6E3AFD" w14:textId="6A370011" w:rsidR="00985529" w:rsidRPr="0049467D" w:rsidRDefault="00985529" w:rsidP="00E5220C">
            <w:pPr>
              <w:spacing w:before="40" w:after="20" w:line="276" w:lineRule="auto"/>
              <w:rPr>
                <w:rFonts w:eastAsia="Calibri" w:cs="Arial"/>
                <w:b/>
                <w:szCs w:val="22"/>
              </w:rPr>
            </w:pPr>
            <w:r w:rsidRPr="0049467D">
              <w:rPr>
                <w:rFonts w:eastAsia="Calibri" w:cs="Arial"/>
                <w:b/>
                <w:szCs w:val="22"/>
              </w:rPr>
              <w:t xml:space="preserve">Expected benefits of proposed approach </w:t>
            </w:r>
          </w:p>
        </w:tc>
      </w:tr>
      <w:tr w:rsidR="00985529" w:rsidRPr="0049467D" w14:paraId="1732EB7C" w14:textId="77777777" w:rsidTr="004B1A93">
        <w:tc>
          <w:tcPr>
            <w:tcW w:w="1874" w:type="dxa"/>
            <w:shd w:val="clear" w:color="auto" w:fill="auto"/>
          </w:tcPr>
          <w:p w14:paraId="413A74CD" w14:textId="02096D42" w:rsidR="00985529" w:rsidRPr="0049467D" w:rsidRDefault="00985529" w:rsidP="00E5220C">
            <w:pPr>
              <w:pStyle w:val="TableText"/>
              <w:spacing w:line="276" w:lineRule="auto"/>
              <w:rPr>
                <w:rFonts w:eastAsia="Calibri" w:cs="Arial"/>
                <w:sz w:val="22"/>
              </w:rPr>
            </w:pPr>
            <w:r>
              <w:rPr>
                <w:rFonts w:eastAsia="Calibri" w:cs="Arial"/>
                <w:sz w:val="22"/>
              </w:rPr>
              <w:t xml:space="preserve">Low-income working individuals and families receiving </w:t>
            </w:r>
            <w:r w:rsidR="00A70374">
              <w:rPr>
                <w:rFonts w:eastAsia="Calibri" w:cs="Arial"/>
                <w:sz w:val="22"/>
              </w:rPr>
              <w:t xml:space="preserve">the </w:t>
            </w:r>
            <w:r>
              <w:rPr>
                <w:rFonts w:eastAsia="Calibri" w:cs="Arial"/>
                <w:sz w:val="22"/>
              </w:rPr>
              <w:t>MFTC, and newly eligible</w:t>
            </w:r>
          </w:p>
        </w:tc>
        <w:tc>
          <w:tcPr>
            <w:tcW w:w="3685" w:type="dxa"/>
            <w:shd w:val="clear" w:color="auto" w:fill="auto"/>
          </w:tcPr>
          <w:p w14:paraId="7A9FB5B6" w14:textId="203D2140" w:rsidR="00985529" w:rsidRDefault="00985529" w:rsidP="00E5220C">
            <w:pPr>
              <w:pStyle w:val="TableText"/>
              <w:spacing w:line="276" w:lineRule="auto"/>
              <w:rPr>
                <w:rFonts w:eastAsia="Calibri" w:cs="Arial"/>
                <w:sz w:val="22"/>
              </w:rPr>
            </w:pPr>
            <w:r>
              <w:rPr>
                <w:rFonts w:eastAsia="Calibri" w:cs="Arial"/>
                <w:sz w:val="22"/>
              </w:rPr>
              <w:t>Incomes will increase as a result of retrospective increase</w:t>
            </w:r>
            <w:r w:rsidR="007D433D">
              <w:rPr>
                <w:rFonts w:eastAsia="Calibri" w:cs="Arial"/>
                <w:sz w:val="22"/>
              </w:rPr>
              <w:t>.</w:t>
            </w:r>
          </w:p>
          <w:p w14:paraId="5C0AEDC4" w14:textId="77777777" w:rsidR="00985529" w:rsidRDefault="00985529" w:rsidP="00E5220C">
            <w:pPr>
              <w:pStyle w:val="TableText"/>
              <w:spacing w:line="276" w:lineRule="auto"/>
              <w:rPr>
                <w:rFonts w:eastAsia="Calibri" w:cs="Arial"/>
                <w:sz w:val="22"/>
              </w:rPr>
            </w:pPr>
          </w:p>
          <w:p w14:paraId="2A5072B6" w14:textId="58672067" w:rsidR="00985529" w:rsidRDefault="00985529" w:rsidP="00E5220C">
            <w:pPr>
              <w:pStyle w:val="TableText"/>
              <w:spacing w:line="276" w:lineRule="auto"/>
              <w:rPr>
                <w:rFonts w:eastAsia="Calibri" w:cs="Arial"/>
                <w:sz w:val="22"/>
              </w:rPr>
            </w:pPr>
            <w:r>
              <w:rPr>
                <w:rFonts w:eastAsia="Calibri" w:cs="Arial"/>
                <w:sz w:val="22"/>
              </w:rPr>
              <w:t>Improved financial incentives to work and receive</w:t>
            </w:r>
            <w:r w:rsidR="00A70374">
              <w:rPr>
                <w:rFonts w:eastAsia="Calibri" w:cs="Arial"/>
                <w:sz w:val="22"/>
              </w:rPr>
              <w:t xml:space="preserve"> the</w:t>
            </w:r>
            <w:r>
              <w:rPr>
                <w:rFonts w:eastAsia="Calibri" w:cs="Arial"/>
                <w:sz w:val="22"/>
              </w:rPr>
              <w:t xml:space="preserve"> MFTC</w:t>
            </w:r>
            <w:r w:rsidR="00CB7924">
              <w:rPr>
                <w:rFonts w:eastAsia="Calibri" w:cs="Arial"/>
                <w:sz w:val="22"/>
              </w:rPr>
              <w:t xml:space="preserve"> compared to working and receiving a benefit</w:t>
            </w:r>
            <w:r w:rsidR="007D433D">
              <w:rPr>
                <w:rFonts w:eastAsia="Calibri" w:cs="Arial"/>
                <w:sz w:val="22"/>
              </w:rPr>
              <w:t>.</w:t>
            </w:r>
          </w:p>
          <w:p w14:paraId="6B4D8948" w14:textId="77777777" w:rsidR="00985529" w:rsidRDefault="00985529" w:rsidP="00E5220C">
            <w:pPr>
              <w:pStyle w:val="TableText"/>
              <w:spacing w:line="276" w:lineRule="auto"/>
              <w:rPr>
                <w:rFonts w:eastAsia="Calibri" w:cs="Arial"/>
                <w:sz w:val="22"/>
              </w:rPr>
            </w:pPr>
          </w:p>
          <w:p w14:paraId="18986ED8" w14:textId="77777777" w:rsidR="00985529" w:rsidRPr="0049467D" w:rsidRDefault="00985529" w:rsidP="00E5220C">
            <w:pPr>
              <w:pStyle w:val="TableText"/>
              <w:spacing w:line="276" w:lineRule="auto"/>
              <w:rPr>
                <w:rFonts w:eastAsia="Calibri" w:cs="Arial"/>
                <w:sz w:val="22"/>
              </w:rPr>
            </w:pPr>
          </w:p>
        </w:tc>
        <w:tc>
          <w:tcPr>
            <w:tcW w:w="2127" w:type="dxa"/>
            <w:shd w:val="clear" w:color="auto" w:fill="auto"/>
          </w:tcPr>
          <w:p w14:paraId="2AE1064C" w14:textId="77777777" w:rsidR="00985529" w:rsidRDefault="00985529" w:rsidP="00E5220C">
            <w:pPr>
              <w:pStyle w:val="TableText"/>
              <w:spacing w:line="276" w:lineRule="auto"/>
              <w:rPr>
                <w:rFonts w:eastAsia="Calibri" w:cs="Arial"/>
                <w:sz w:val="22"/>
              </w:rPr>
            </w:pPr>
            <w:r>
              <w:rPr>
                <w:rFonts w:eastAsia="Calibri" w:cs="Arial"/>
                <w:sz w:val="22"/>
              </w:rPr>
              <w:lastRenderedPageBreak/>
              <w:t>Moderate impact:</w:t>
            </w:r>
          </w:p>
          <w:p w14:paraId="15BB636F" w14:textId="2773620A" w:rsidR="00985529" w:rsidRDefault="00985529" w:rsidP="00E5220C">
            <w:pPr>
              <w:pStyle w:val="TableText"/>
              <w:spacing w:line="276" w:lineRule="auto"/>
              <w:rPr>
                <w:rFonts w:eastAsia="Calibri" w:cs="Arial"/>
                <w:sz w:val="22"/>
              </w:rPr>
            </w:pPr>
            <w:r>
              <w:rPr>
                <w:rFonts w:eastAsia="Calibri" w:cs="Arial"/>
                <w:sz w:val="22"/>
              </w:rPr>
              <w:t>Around 3,</w:t>
            </w:r>
            <w:r w:rsidR="003C1488">
              <w:rPr>
                <w:rFonts w:eastAsia="Calibri" w:cs="Arial"/>
                <w:sz w:val="22"/>
              </w:rPr>
              <w:t>2</w:t>
            </w:r>
            <w:r>
              <w:rPr>
                <w:rFonts w:eastAsia="Calibri" w:cs="Arial"/>
                <w:sz w:val="22"/>
              </w:rPr>
              <w:t xml:space="preserve">00 families receiving </w:t>
            </w:r>
            <w:r w:rsidR="00A70374">
              <w:rPr>
                <w:rFonts w:eastAsia="Calibri" w:cs="Arial"/>
                <w:sz w:val="22"/>
              </w:rPr>
              <w:t xml:space="preserve">the </w:t>
            </w:r>
            <w:r>
              <w:rPr>
                <w:rFonts w:eastAsia="Calibri" w:cs="Arial"/>
                <w:sz w:val="22"/>
              </w:rPr>
              <w:t xml:space="preserve">MFTC in the 2020/21 tax year would gain an additional $32 for each week they </w:t>
            </w:r>
            <w:r>
              <w:rPr>
                <w:rFonts w:eastAsia="Calibri" w:cs="Arial"/>
                <w:sz w:val="22"/>
              </w:rPr>
              <w:lastRenderedPageBreak/>
              <w:t xml:space="preserve">received the MFTC. </w:t>
            </w:r>
          </w:p>
          <w:p w14:paraId="50E25A49" w14:textId="22127A37" w:rsidR="00985529" w:rsidRDefault="00E05C3E" w:rsidP="00E5220C">
            <w:pPr>
              <w:pStyle w:val="TableText"/>
              <w:spacing w:line="276" w:lineRule="auto"/>
              <w:rPr>
                <w:rFonts w:eastAsia="Calibri" w:cs="Arial"/>
                <w:sz w:val="22"/>
              </w:rPr>
            </w:pPr>
            <w:r>
              <w:rPr>
                <w:rFonts w:eastAsia="Calibri" w:cs="Arial"/>
                <w:sz w:val="22"/>
              </w:rPr>
              <w:t>The maximum possible increase for the year would be $1,664 with an estimated</w:t>
            </w:r>
            <w:r w:rsidR="00985529">
              <w:rPr>
                <w:rFonts w:eastAsia="Calibri" w:cs="Arial"/>
                <w:sz w:val="22"/>
              </w:rPr>
              <w:t xml:space="preserve"> average MFTC increase of $1,280 per family.</w:t>
            </w:r>
            <w:r w:rsidR="003E1D5A">
              <w:rPr>
                <w:rStyle w:val="FootnoteReference"/>
                <w:rFonts w:eastAsia="Calibri" w:cs="Arial"/>
              </w:rPr>
              <w:footnoteReference w:id="17"/>
            </w:r>
          </w:p>
          <w:p w14:paraId="16AE8EDE" w14:textId="77777777" w:rsidR="00985529" w:rsidRDefault="00985529" w:rsidP="00E5220C">
            <w:pPr>
              <w:pStyle w:val="TableText"/>
              <w:spacing w:line="276" w:lineRule="auto"/>
              <w:rPr>
                <w:rFonts w:eastAsia="Calibri" w:cs="Arial"/>
                <w:sz w:val="22"/>
              </w:rPr>
            </w:pPr>
          </w:p>
          <w:p w14:paraId="41ABA727" w14:textId="77777777" w:rsidR="00985529" w:rsidRPr="0049467D" w:rsidRDefault="00985529" w:rsidP="00E5220C">
            <w:pPr>
              <w:pStyle w:val="TableText"/>
              <w:spacing w:line="276" w:lineRule="auto"/>
              <w:rPr>
                <w:rFonts w:eastAsia="Calibri" w:cs="Arial"/>
                <w:sz w:val="22"/>
              </w:rPr>
            </w:pPr>
            <w:r>
              <w:rPr>
                <w:rFonts w:eastAsia="Calibri" w:cs="Arial"/>
                <w:sz w:val="22"/>
              </w:rPr>
              <w:t>Around 400 additional families would become newly eligible for the MFTC in the 2020/21 tax year.</w:t>
            </w:r>
          </w:p>
        </w:tc>
        <w:tc>
          <w:tcPr>
            <w:tcW w:w="1395" w:type="dxa"/>
            <w:shd w:val="clear" w:color="auto" w:fill="auto"/>
          </w:tcPr>
          <w:p w14:paraId="71384819" w14:textId="77777777" w:rsidR="00985529" w:rsidRPr="0049467D" w:rsidRDefault="00985529" w:rsidP="00E5220C">
            <w:pPr>
              <w:pStyle w:val="TableText"/>
              <w:spacing w:line="276" w:lineRule="auto"/>
              <w:rPr>
                <w:rFonts w:eastAsia="Calibri" w:cs="Arial"/>
                <w:sz w:val="22"/>
              </w:rPr>
            </w:pPr>
            <w:r>
              <w:rPr>
                <w:rFonts w:eastAsia="Calibri" w:cs="Arial"/>
                <w:sz w:val="22"/>
              </w:rPr>
              <w:lastRenderedPageBreak/>
              <w:t>Medium</w:t>
            </w:r>
          </w:p>
        </w:tc>
      </w:tr>
      <w:tr w:rsidR="00985529" w:rsidRPr="0049467D" w14:paraId="52F329B7" w14:textId="77777777" w:rsidTr="004B1A93">
        <w:tc>
          <w:tcPr>
            <w:tcW w:w="1874" w:type="dxa"/>
            <w:shd w:val="clear" w:color="auto" w:fill="auto"/>
          </w:tcPr>
          <w:p w14:paraId="1780A607" w14:textId="77777777" w:rsidR="00985529" w:rsidRPr="0049467D" w:rsidRDefault="00985529" w:rsidP="00E5220C">
            <w:pPr>
              <w:pStyle w:val="TableText"/>
              <w:spacing w:line="276" w:lineRule="auto"/>
              <w:rPr>
                <w:rFonts w:eastAsia="Calibri" w:cs="Arial"/>
                <w:b/>
                <w:sz w:val="22"/>
              </w:rPr>
            </w:pPr>
            <w:r w:rsidRPr="0049467D">
              <w:rPr>
                <w:rFonts w:eastAsia="Calibri" w:cs="Arial"/>
                <w:b/>
                <w:sz w:val="22"/>
              </w:rPr>
              <w:t>Total Monetised  Benefit</w:t>
            </w:r>
          </w:p>
        </w:tc>
        <w:tc>
          <w:tcPr>
            <w:tcW w:w="3685" w:type="dxa"/>
            <w:shd w:val="clear" w:color="auto" w:fill="auto"/>
          </w:tcPr>
          <w:p w14:paraId="3D6E13F0" w14:textId="514EBF9B" w:rsidR="00985529" w:rsidRPr="0049467D" w:rsidRDefault="00985529" w:rsidP="00E5220C">
            <w:pPr>
              <w:pStyle w:val="TableText"/>
              <w:spacing w:line="276" w:lineRule="auto"/>
              <w:rPr>
                <w:rFonts w:eastAsia="Calibri" w:cs="Arial"/>
                <w:sz w:val="22"/>
              </w:rPr>
            </w:pPr>
            <w:r>
              <w:rPr>
                <w:rFonts w:eastAsia="Calibri" w:cs="Arial"/>
                <w:sz w:val="22"/>
              </w:rPr>
              <w:t>No costings of monetised benefits</w:t>
            </w:r>
            <w:r w:rsidR="007D433D">
              <w:rPr>
                <w:rFonts w:eastAsia="Calibri" w:cs="Arial"/>
                <w:sz w:val="22"/>
              </w:rPr>
              <w:t>.</w:t>
            </w:r>
          </w:p>
        </w:tc>
        <w:tc>
          <w:tcPr>
            <w:tcW w:w="2127" w:type="dxa"/>
            <w:shd w:val="clear" w:color="auto" w:fill="auto"/>
          </w:tcPr>
          <w:p w14:paraId="42FFBD46" w14:textId="77777777" w:rsidR="00985529" w:rsidRPr="0049467D" w:rsidRDefault="00985529" w:rsidP="00E5220C">
            <w:pPr>
              <w:pStyle w:val="TableText"/>
              <w:spacing w:line="276" w:lineRule="auto"/>
              <w:rPr>
                <w:rFonts w:eastAsia="Calibri" w:cs="Arial"/>
                <w:sz w:val="22"/>
              </w:rPr>
            </w:pPr>
            <w:r>
              <w:rPr>
                <w:rFonts w:eastAsia="Calibri" w:cs="Arial"/>
                <w:sz w:val="22"/>
              </w:rPr>
              <w:t>N/A</w:t>
            </w:r>
          </w:p>
        </w:tc>
        <w:tc>
          <w:tcPr>
            <w:tcW w:w="1395" w:type="dxa"/>
            <w:shd w:val="clear" w:color="auto" w:fill="auto"/>
          </w:tcPr>
          <w:p w14:paraId="680CED29" w14:textId="77777777" w:rsidR="00985529" w:rsidRPr="0049467D" w:rsidRDefault="00985529" w:rsidP="00E5220C">
            <w:pPr>
              <w:pStyle w:val="TableText"/>
              <w:spacing w:line="276" w:lineRule="auto"/>
              <w:rPr>
                <w:rFonts w:eastAsia="Calibri" w:cs="Arial"/>
                <w:sz w:val="22"/>
              </w:rPr>
            </w:pPr>
          </w:p>
        </w:tc>
      </w:tr>
      <w:tr w:rsidR="00985529" w:rsidRPr="0049467D" w14:paraId="6B7DB798" w14:textId="77777777" w:rsidTr="004B1A93">
        <w:tc>
          <w:tcPr>
            <w:tcW w:w="1874" w:type="dxa"/>
            <w:shd w:val="clear" w:color="auto" w:fill="auto"/>
          </w:tcPr>
          <w:p w14:paraId="559439EE" w14:textId="77777777" w:rsidR="00985529" w:rsidRPr="0049467D" w:rsidRDefault="00985529" w:rsidP="00E5220C">
            <w:pPr>
              <w:pStyle w:val="TableText"/>
              <w:spacing w:line="276" w:lineRule="auto"/>
              <w:rPr>
                <w:rFonts w:eastAsia="Calibri" w:cs="Arial"/>
                <w:b/>
                <w:sz w:val="22"/>
              </w:rPr>
            </w:pPr>
            <w:r w:rsidRPr="0049467D">
              <w:rPr>
                <w:rFonts w:eastAsia="Calibri" w:cs="Arial"/>
                <w:b/>
                <w:sz w:val="22"/>
              </w:rPr>
              <w:t>Non-monetised benefits</w:t>
            </w:r>
          </w:p>
        </w:tc>
        <w:tc>
          <w:tcPr>
            <w:tcW w:w="3685" w:type="dxa"/>
            <w:shd w:val="clear" w:color="auto" w:fill="auto"/>
          </w:tcPr>
          <w:p w14:paraId="327F413E" w14:textId="7BAFA2AB" w:rsidR="00985529" w:rsidRPr="0049467D" w:rsidRDefault="00985529" w:rsidP="00E5220C">
            <w:pPr>
              <w:pStyle w:val="TableText"/>
              <w:spacing w:line="276" w:lineRule="auto"/>
              <w:rPr>
                <w:rFonts w:eastAsia="Calibri" w:cs="Arial"/>
                <w:sz w:val="22"/>
              </w:rPr>
            </w:pPr>
            <w:r>
              <w:rPr>
                <w:rFonts w:eastAsia="Calibri" w:cs="Arial"/>
                <w:sz w:val="22"/>
              </w:rPr>
              <w:t xml:space="preserve">Improves financial incentive to work part-time and </w:t>
            </w:r>
            <w:r w:rsidR="007D433D">
              <w:rPr>
                <w:rFonts w:eastAsia="Calibri" w:cs="Arial"/>
                <w:sz w:val="22"/>
              </w:rPr>
              <w:t xml:space="preserve">improves </w:t>
            </w:r>
            <w:r>
              <w:rPr>
                <w:rFonts w:eastAsia="Calibri" w:cs="Arial"/>
                <w:sz w:val="22"/>
              </w:rPr>
              <w:t>income adequacy for low-income individuals and families</w:t>
            </w:r>
            <w:r w:rsidR="007D433D">
              <w:rPr>
                <w:rFonts w:eastAsia="Calibri" w:cs="Arial"/>
                <w:sz w:val="22"/>
              </w:rPr>
              <w:t>.</w:t>
            </w:r>
            <w:r>
              <w:rPr>
                <w:rFonts w:eastAsia="Calibri" w:cs="Arial"/>
                <w:sz w:val="22"/>
              </w:rPr>
              <w:t xml:space="preserve"> </w:t>
            </w:r>
          </w:p>
        </w:tc>
        <w:tc>
          <w:tcPr>
            <w:tcW w:w="2127" w:type="dxa"/>
            <w:shd w:val="clear" w:color="auto" w:fill="auto"/>
          </w:tcPr>
          <w:p w14:paraId="56F6C2EF" w14:textId="4BBACCF6" w:rsidR="00985529" w:rsidRPr="009778D6" w:rsidRDefault="00985529" w:rsidP="00E5220C">
            <w:pPr>
              <w:pStyle w:val="TableText"/>
              <w:spacing w:line="276" w:lineRule="auto"/>
              <w:rPr>
                <w:rFonts w:eastAsia="Calibri" w:cs="Arial"/>
                <w:iCs/>
                <w:sz w:val="22"/>
              </w:rPr>
            </w:pPr>
            <w:r w:rsidRPr="009778D6">
              <w:rPr>
                <w:rFonts w:eastAsia="Calibri" w:cs="Arial"/>
                <w:iCs/>
                <w:sz w:val="22"/>
              </w:rPr>
              <w:t>Moderate impact</w:t>
            </w:r>
            <w:r w:rsidR="007D433D">
              <w:rPr>
                <w:rFonts w:eastAsia="Calibri" w:cs="Arial"/>
                <w:iCs/>
                <w:sz w:val="22"/>
              </w:rPr>
              <w:t>.</w:t>
            </w:r>
          </w:p>
        </w:tc>
        <w:tc>
          <w:tcPr>
            <w:tcW w:w="1395" w:type="dxa"/>
            <w:shd w:val="clear" w:color="auto" w:fill="auto"/>
          </w:tcPr>
          <w:p w14:paraId="53A13BBE" w14:textId="77777777" w:rsidR="00985529" w:rsidRPr="0049467D" w:rsidRDefault="00985529" w:rsidP="00E5220C">
            <w:pPr>
              <w:pStyle w:val="TableText"/>
              <w:spacing w:line="276" w:lineRule="auto"/>
              <w:rPr>
                <w:rFonts w:eastAsia="Calibri" w:cs="Arial"/>
                <w:sz w:val="22"/>
              </w:rPr>
            </w:pPr>
          </w:p>
        </w:tc>
      </w:tr>
    </w:tbl>
    <w:p w14:paraId="79FC5ECD" w14:textId="72945248" w:rsidR="00985529" w:rsidRDefault="00985529" w:rsidP="0049234F">
      <w:pPr>
        <w:pStyle w:val="spacer"/>
      </w:pPr>
    </w:p>
    <w:tbl>
      <w:tblPr>
        <w:tblpPr w:leftFromText="180" w:rightFromText="180" w:vertAnchor="text" w:tblpX="114" w:tblpY="1"/>
        <w:tblOverlap w:val="never"/>
        <w:tblW w:w="908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874"/>
        <w:gridCol w:w="3544"/>
        <w:gridCol w:w="2268"/>
        <w:gridCol w:w="1395"/>
      </w:tblGrid>
      <w:tr w:rsidR="00985529" w:rsidRPr="0049467D" w14:paraId="7C40BF54" w14:textId="77777777" w:rsidTr="00E5220C">
        <w:trPr>
          <w:trHeight w:val="253"/>
        </w:trPr>
        <w:tc>
          <w:tcPr>
            <w:tcW w:w="9081" w:type="dxa"/>
            <w:gridSpan w:val="4"/>
            <w:tcBorders>
              <w:top w:val="single" w:sz="4" w:space="0" w:color="DDDDDD"/>
              <w:left w:val="single" w:sz="4" w:space="0" w:color="DDDDDD"/>
              <w:bottom w:val="single" w:sz="4" w:space="0" w:color="DDDDDD"/>
              <w:right w:val="single" w:sz="4" w:space="0" w:color="DDDDDD"/>
            </w:tcBorders>
            <w:shd w:val="clear" w:color="auto" w:fill="99CDDD"/>
          </w:tcPr>
          <w:p w14:paraId="1F43848C" w14:textId="77777777" w:rsidR="00985529" w:rsidRPr="0049467D" w:rsidRDefault="00985529" w:rsidP="00E5220C">
            <w:pPr>
              <w:keepNext/>
              <w:spacing w:before="40" w:after="20" w:line="276" w:lineRule="auto"/>
              <w:rPr>
                <w:rFonts w:eastAsia="Calibri" w:cs="Arial"/>
                <w:b/>
                <w:szCs w:val="22"/>
              </w:rPr>
            </w:pPr>
            <w:r>
              <w:rPr>
                <w:rFonts w:eastAsia="Calibri" w:cs="Arial"/>
                <w:b/>
                <w:szCs w:val="22"/>
              </w:rPr>
              <w:t xml:space="preserve">Adjustment to the Minimum Family Tax Credit – prospective (partial alignment) </w:t>
            </w:r>
          </w:p>
        </w:tc>
      </w:tr>
      <w:tr w:rsidR="00985529" w:rsidRPr="0049467D" w14:paraId="1D099429" w14:textId="77777777" w:rsidTr="00E5220C">
        <w:trPr>
          <w:trHeight w:val="253"/>
        </w:trPr>
        <w:tc>
          <w:tcPr>
            <w:tcW w:w="9081" w:type="dxa"/>
            <w:gridSpan w:val="4"/>
            <w:tcBorders>
              <w:top w:val="single" w:sz="4" w:space="0" w:color="DDDDDD"/>
              <w:left w:val="single" w:sz="4" w:space="0" w:color="DDDDDD"/>
              <w:bottom w:val="single" w:sz="4" w:space="0" w:color="DDDDDD"/>
              <w:right w:val="single" w:sz="4" w:space="0" w:color="DDDDDD"/>
            </w:tcBorders>
            <w:shd w:val="clear" w:color="auto" w:fill="99CDDD"/>
          </w:tcPr>
          <w:p w14:paraId="5AF8FCDD" w14:textId="7E1D603D" w:rsidR="00985529" w:rsidRPr="0049467D" w:rsidRDefault="00985529" w:rsidP="00E5220C">
            <w:pPr>
              <w:keepNext/>
              <w:spacing w:before="40" w:after="20" w:line="276" w:lineRule="auto"/>
              <w:rPr>
                <w:rFonts w:eastAsia="Calibri" w:cs="Arial"/>
                <w:b/>
                <w:szCs w:val="22"/>
              </w:rPr>
            </w:pPr>
            <w:r w:rsidRPr="0049467D">
              <w:rPr>
                <w:rFonts w:eastAsia="Calibri" w:cs="Arial"/>
                <w:b/>
                <w:szCs w:val="22"/>
              </w:rPr>
              <w:t xml:space="preserve">Additional costs of proposed approach </w:t>
            </w:r>
          </w:p>
        </w:tc>
      </w:tr>
      <w:tr w:rsidR="00985529" w:rsidRPr="0049467D" w14:paraId="08DEDB78" w14:textId="77777777" w:rsidTr="00E5220C">
        <w:trPr>
          <w:trHeight w:val="1846"/>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1385B5A0" w14:textId="77777777" w:rsidR="00985529" w:rsidRPr="0049467D" w:rsidRDefault="00985529" w:rsidP="00E5220C">
            <w:pPr>
              <w:pStyle w:val="TableText"/>
              <w:keepNext/>
              <w:spacing w:line="276" w:lineRule="auto"/>
              <w:rPr>
                <w:rFonts w:eastAsia="Calibri" w:cs="Arial"/>
                <w:sz w:val="22"/>
              </w:rPr>
            </w:pPr>
            <w:r>
              <w:rPr>
                <w:rFonts w:eastAsia="Calibri" w:cs="Arial"/>
                <w:sz w:val="22"/>
              </w:rPr>
              <w:t>Monetised cost to Crown</w:t>
            </w:r>
          </w:p>
          <w:p w14:paraId="0B956E9B" w14:textId="77777777" w:rsidR="00985529" w:rsidRPr="0049467D" w:rsidRDefault="00985529" w:rsidP="00E5220C">
            <w:pPr>
              <w:pStyle w:val="TableText"/>
              <w:keepNext/>
              <w:spacing w:line="276" w:lineRule="auto"/>
              <w:rPr>
                <w:rFonts w:eastAsia="Calibri" w:cs="Arial"/>
                <w:sz w:val="22"/>
              </w:rPr>
            </w:pPr>
          </w:p>
          <w:p w14:paraId="7EC0DB9D" w14:textId="77777777" w:rsidR="00985529" w:rsidRPr="0049467D" w:rsidRDefault="00985529" w:rsidP="00E5220C">
            <w:pPr>
              <w:pStyle w:val="TableText"/>
              <w:keepNext/>
              <w:spacing w:line="276" w:lineRule="auto"/>
              <w:rPr>
                <w:rFonts w:eastAsia="Calibri" w:cs="Arial"/>
                <w:sz w:val="22"/>
              </w:rPr>
            </w:pP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47B615CA" w14:textId="6FB128A1" w:rsidR="00985529" w:rsidRPr="0049467D" w:rsidRDefault="00985529" w:rsidP="00E5220C">
            <w:pPr>
              <w:pStyle w:val="TableText"/>
              <w:keepNext/>
              <w:spacing w:line="276" w:lineRule="auto"/>
              <w:rPr>
                <w:rFonts w:eastAsia="Calibri" w:cs="Arial"/>
                <w:sz w:val="22"/>
              </w:rPr>
            </w:pPr>
            <w:r>
              <w:rPr>
                <w:rFonts w:eastAsia="Calibri" w:cs="Arial"/>
                <w:sz w:val="22"/>
              </w:rPr>
              <w:t>Cost of adjusting the 2021/22 MFTC threshold (prospective)</w:t>
            </w:r>
            <w:r w:rsidR="007D433D">
              <w:rPr>
                <w:rFonts w:eastAsia="Calibri" w:cs="Arial"/>
                <w:sz w:val="22"/>
              </w:rPr>
              <w: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25E1FBF5" w14:textId="0EA24A3A" w:rsidR="00A52401" w:rsidRDefault="00A52401" w:rsidP="00E5220C">
            <w:pPr>
              <w:pStyle w:val="TableText"/>
              <w:keepNext/>
              <w:spacing w:line="276" w:lineRule="auto"/>
              <w:rPr>
                <w:rFonts w:eastAsia="Calibri" w:cs="Arial"/>
                <w:sz w:val="22"/>
              </w:rPr>
            </w:pPr>
            <w:r>
              <w:rPr>
                <w:rFonts w:eastAsia="Calibri" w:cs="Arial"/>
                <w:sz w:val="22"/>
              </w:rPr>
              <w:t>$17 million over the forecast period (assuming retrospective adjustment goes ahead).</w:t>
            </w:r>
          </w:p>
          <w:p w14:paraId="2F6EB4AF" w14:textId="5855D3F4" w:rsidR="00A52401" w:rsidRPr="0049467D" w:rsidRDefault="00A52401" w:rsidP="00E5220C">
            <w:pPr>
              <w:pStyle w:val="TableText"/>
              <w:keepNext/>
              <w:spacing w:line="276" w:lineRule="auto"/>
              <w:rPr>
                <w:rFonts w:eastAsia="Calibri" w:cs="Arial"/>
                <w:sz w:val="22"/>
              </w:rPr>
            </w:pPr>
            <w:r>
              <w:rPr>
                <w:rFonts w:eastAsia="Calibri" w:cs="Arial"/>
                <w:sz w:val="22"/>
              </w:rPr>
              <w:t>(This is $34 million less than Option One)</w:t>
            </w:r>
            <w:r w:rsidR="007D433D">
              <w:rPr>
                <w:rFonts w:eastAsia="Calibri" w:cs="Arial"/>
                <w:sz w:val="22"/>
              </w:rPr>
              <w:t>.</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4516704C" w14:textId="77777777" w:rsidR="00985529" w:rsidRPr="0049467D" w:rsidRDefault="00985529" w:rsidP="00E5220C">
            <w:pPr>
              <w:pStyle w:val="TableText"/>
              <w:keepNext/>
              <w:spacing w:line="276" w:lineRule="auto"/>
              <w:rPr>
                <w:rFonts w:eastAsia="Calibri" w:cs="Arial"/>
                <w:sz w:val="22"/>
              </w:rPr>
            </w:pPr>
            <w:r>
              <w:rPr>
                <w:rFonts w:eastAsia="Calibri" w:cs="Arial"/>
                <w:sz w:val="22"/>
              </w:rPr>
              <w:t>High</w:t>
            </w:r>
          </w:p>
        </w:tc>
      </w:tr>
      <w:tr w:rsidR="00985529" w:rsidRPr="0049467D" w14:paraId="47D08368" w14:textId="77777777" w:rsidTr="00E5220C">
        <w:trPr>
          <w:trHeight w:val="183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6896457C" w14:textId="4AD86C98" w:rsidR="00985529" w:rsidRDefault="00985529" w:rsidP="00E5220C">
            <w:pPr>
              <w:pStyle w:val="TableText"/>
              <w:keepNext/>
              <w:spacing w:line="276" w:lineRule="auto"/>
              <w:rPr>
                <w:rFonts w:eastAsia="Calibri" w:cs="Arial"/>
                <w:bCs/>
                <w:sz w:val="22"/>
              </w:rPr>
            </w:pPr>
            <w:r>
              <w:rPr>
                <w:rFonts w:eastAsia="Calibri" w:cs="Arial"/>
                <w:sz w:val="22"/>
              </w:rPr>
              <w:t xml:space="preserve">Two-parent families on </w:t>
            </w:r>
            <w:r w:rsidR="00A70374">
              <w:rPr>
                <w:rFonts w:eastAsia="Calibri" w:cs="Arial"/>
                <w:sz w:val="22"/>
              </w:rPr>
              <w:t xml:space="preserve">the </w:t>
            </w:r>
            <w:r>
              <w:rPr>
                <w:rFonts w:eastAsia="Calibri" w:cs="Arial"/>
                <w:sz w:val="22"/>
              </w:rPr>
              <w:t>MFTC</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67F49D68" w14:textId="1912A0A4" w:rsidR="00985529" w:rsidRPr="00091605" w:rsidRDefault="00985529" w:rsidP="00E5220C">
            <w:pPr>
              <w:pStyle w:val="TableText"/>
              <w:spacing w:line="276" w:lineRule="auto"/>
              <w:rPr>
                <w:rFonts w:eastAsia="Calibri" w:cs="Arial"/>
                <w:sz w:val="22"/>
              </w:rPr>
            </w:pPr>
            <w:r>
              <w:rPr>
                <w:rFonts w:eastAsia="Calibri" w:cs="Arial"/>
                <w:sz w:val="22"/>
              </w:rPr>
              <w:t xml:space="preserve">Reduced incentive to be in work and on </w:t>
            </w:r>
            <w:r w:rsidR="00A70374">
              <w:rPr>
                <w:rFonts w:eastAsia="Calibri" w:cs="Arial"/>
                <w:sz w:val="22"/>
              </w:rPr>
              <w:t xml:space="preserve">the </w:t>
            </w:r>
            <w:r>
              <w:rPr>
                <w:rFonts w:eastAsia="Calibri" w:cs="Arial"/>
                <w:sz w:val="22"/>
              </w:rPr>
              <w:t xml:space="preserve">MFTC than </w:t>
            </w:r>
            <w:r w:rsidR="00CB7924">
              <w:rPr>
                <w:rFonts w:eastAsia="Calibri" w:cs="Arial"/>
                <w:sz w:val="22"/>
              </w:rPr>
              <w:t xml:space="preserve">working and receiving a </w:t>
            </w:r>
            <w:r>
              <w:rPr>
                <w:rFonts w:eastAsia="Calibri" w:cs="Arial"/>
                <w:sz w:val="22"/>
              </w:rPr>
              <w:t xml:space="preserve">benefit as some two-parent families may be financially better off </w:t>
            </w:r>
            <w:r w:rsidR="00CB7924">
              <w:rPr>
                <w:rFonts w:eastAsia="Calibri" w:cs="Arial"/>
                <w:sz w:val="22"/>
              </w:rPr>
              <w:t>working and receiving</w:t>
            </w:r>
            <w:r>
              <w:rPr>
                <w:rFonts w:eastAsia="Calibri" w:cs="Arial"/>
                <w:sz w:val="22"/>
              </w:rPr>
              <w:t xml:space="preserve"> benefit</w:t>
            </w:r>
            <w:r w:rsidR="007D433D">
              <w:rPr>
                <w:rFonts w:eastAsia="Calibri" w:cs="Arial"/>
                <w:sz w:val="22"/>
              </w:rPr>
              <w: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2E47862F" w14:textId="77777777" w:rsidR="00985529" w:rsidRDefault="00985529" w:rsidP="00E5220C">
            <w:pPr>
              <w:pStyle w:val="TableText"/>
              <w:spacing w:line="276" w:lineRule="auto"/>
              <w:rPr>
                <w:rFonts w:eastAsia="Calibri" w:cs="Arial"/>
                <w:sz w:val="22"/>
              </w:rPr>
            </w:pPr>
            <w:r>
              <w:rPr>
                <w:rFonts w:eastAsia="Calibri" w:cs="Arial"/>
                <w:sz w:val="22"/>
              </w:rPr>
              <w:t>Low impact:</w:t>
            </w:r>
          </w:p>
          <w:p w14:paraId="08F38607" w14:textId="3EBAF410" w:rsidR="00985529" w:rsidRPr="00E61237" w:rsidRDefault="00985529" w:rsidP="00E5220C">
            <w:pPr>
              <w:pStyle w:val="TableText"/>
              <w:keepNext/>
              <w:spacing w:line="276" w:lineRule="auto"/>
              <w:rPr>
                <w:rFonts w:eastAsia="Calibri" w:cs="Arial"/>
                <w:sz w:val="22"/>
                <w:highlight w:val="yellow"/>
              </w:rPr>
            </w:pPr>
            <w:r>
              <w:rPr>
                <w:rFonts w:eastAsia="Calibri" w:cs="Arial"/>
                <w:sz w:val="22"/>
              </w:rPr>
              <w:t>Around 10 percent of MFTC recipients are two-parent families</w:t>
            </w:r>
            <w:r w:rsidR="007D433D">
              <w:rPr>
                <w:rFonts w:eastAsia="Calibri" w:cs="Arial"/>
                <w:sz w:val="22"/>
              </w:rPr>
              <w:t>.</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016982EE" w14:textId="77777777" w:rsidR="00985529" w:rsidRPr="00E61237" w:rsidRDefault="00985529" w:rsidP="00E5220C">
            <w:pPr>
              <w:pStyle w:val="TableText"/>
              <w:keepNext/>
              <w:spacing w:line="276" w:lineRule="auto"/>
              <w:rPr>
                <w:rFonts w:eastAsia="Calibri" w:cs="Arial"/>
                <w:sz w:val="22"/>
                <w:highlight w:val="yellow"/>
              </w:rPr>
            </w:pPr>
            <w:r>
              <w:rPr>
                <w:rFonts w:eastAsia="Calibri" w:cs="Arial"/>
                <w:sz w:val="22"/>
              </w:rPr>
              <w:t>Medium</w:t>
            </w:r>
          </w:p>
        </w:tc>
      </w:tr>
      <w:tr w:rsidR="00985529" w:rsidRPr="0049467D" w14:paraId="143FEBE5" w14:textId="77777777" w:rsidTr="00E5220C">
        <w:trPr>
          <w:trHeight w:val="183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254E074C" w14:textId="5674B4B5" w:rsidR="00985529" w:rsidRDefault="00985529" w:rsidP="00E5220C">
            <w:pPr>
              <w:pStyle w:val="TableText"/>
              <w:keepNext/>
              <w:spacing w:line="276" w:lineRule="auto"/>
              <w:rPr>
                <w:rFonts w:eastAsia="Calibri" w:cs="Arial"/>
                <w:sz w:val="22"/>
              </w:rPr>
            </w:pPr>
            <w:r>
              <w:rPr>
                <w:rFonts w:eastAsia="Calibri" w:cs="Arial"/>
                <w:sz w:val="22"/>
              </w:rPr>
              <w:lastRenderedPageBreak/>
              <w:t xml:space="preserve">Sole-parent families on </w:t>
            </w:r>
            <w:r w:rsidR="00A70374">
              <w:rPr>
                <w:rFonts w:eastAsia="Calibri" w:cs="Arial"/>
                <w:sz w:val="22"/>
              </w:rPr>
              <w:t xml:space="preserve">the </w:t>
            </w:r>
            <w:r>
              <w:rPr>
                <w:rFonts w:eastAsia="Calibri" w:cs="Arial"/>
                <w:sz w:val="22"/>
              </w:rPr>
              <w:t>MFTC</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3D7ABDBC" w14:textId="0A07B190" w:rsidR="00985529" w:rsidRPr="00AC163D" w:rsidRDefault="00AC163D" w:rsidP="00E5220C">
            <w:pPr>
              <w:pStyle w:val="TableText"/>
              <w:spacing w:line="276" w:lineRule="auto"/>
              <w:rPr>
                <w:rFonts w:eastAsia="Calibri" w:cs="Arial"/>
                <w:sz w:val="22"/>
              </w:rPr>
            </w:pPr>
            <w:r w:rsidRPr="00AC163D">
              <w:rPr>
                <w:rFonts w:eastAsia="Calibri" w:cs="Arial"/>
                <w:sz w:val="22"/>
              </w:rPr>
              <w:t>Reduced incentive</w:t>
            </w:r>
            <w:r w:rsidR="00C96D85">
              <w:rPr>
                <w:rFonts w:eastAsia="Calibri" w:cs="Arial"/>
                <w:sz w:val="22"/>
              </w:rPr>
              <w:t xml:space="preserve"> for sole-parent families</w:t>
            </w:r>
            <w:r w:rsidRPr="00AC163D">
              <w:rPr>
                <w:rFonts w:eastAsia="Calibri" w:cs="Arial"/>
                <w:sz w:val="22"/>
              </w:rPr>
              <w:t xml:space="preserve"> to work more hours than the minimum required to qualify for</w:t>
            </w:r>
            <w:r w:rsidR="00A70374">
              <w:rPr>
                <w:rFonts w:eastAsia="Calibri" w:cs="Arial"/>
                <w:sz w:val="22"/>
              </w:rPr>
              <w:t xml:space="preserve"> the</w:t>
            </w:r>
            <w:r w:rsidRPr="00AC163D">
              <w:rPr>
                <w:rFonts w:eastAsia="Calibri" w:cs="Arial"/>
                <w:sz w:val="22"/>
              </w:rPr>
              <w:t xml:space="preserve"> MFTC</w:t>
            </w:r>
            <w:r w:rsidR="007D433D">
              <w:rPr>
                <w:rFonts w:eastAsia="Calibri" w:cs="Arial"/>
                <w:sz w:val="22"/>
              </w:rPr>
              <w:t>.</w:t>
            </w:r>
            <w:r w:rsidR="00985529" w:rsidRPr="00AC163D">
              <w:rPr>
                <w:rFonts w:eastAsia="Calibri" w:cs="Arial"/>
                <w:sz w:val="22"/>
              </w:rPr>
              <w:t xml:space="preserve"> </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28CDA7F2" w14:textId="71394FE5" w:rsidR="00985529" w:rsidRPr="00AC163D" w:rsidRDefault="00985529" w:rsidP="00E5220C">
            <w:pPr>
              <w:pStyle w:val="TableText"/>
              <w:spacing w:line="276" w:lineRule="auto"/>
              <w:rPr>
                <w:rFonts w:eastAsia="Calibri" w:cs="Arial"/>
                <w:sz w:val="22"/>
              </w:rPr>
            </w:pPr>
            <w:r w:rsidRPr="00AC163D">
              <w:rPr>
                <w:rFonts w:eastAsia="Calibri" w:cs="Arial"/>
                <w:sz w:val="22"/>
              </w:rPr>
              <w:t>Moderate impact</w:t>
            </w:r>
            <w:r w:rsidR="007D433D">
              <w:rPr>
                <w:rFonts w:eastAsia="Calibri" w:cs="Arial"/>
                <w:sz w:val="22"/>
              </w:rPr>
              <w:t>.</w:t>
            </w:r>
          </w:p>
          <w:p w14:paraId="74B0AFCD" w14:textId="77777777" w:rsidR="00985529" w:rsidRPr="00AC163D" w:rsidRDefault="00985529" w:rsidP="00E5220C">
            <w:pPr>
              <w:pStyle w:val="TableText"/>
              <w:spacing w:line="276" w:lineRule="auto"/>
              <w:rPr>
                <w:rFonts w:eastAsia="Calibri" w:cs="Arial"/>
                <w:sz w:val="22"/>
              </w:rPr>
            </w:pP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395530DA" w14:textId="77777777" w:rsidR="00985529" w:rsidRDefault="00985529" w:rsidP="00E5220C">
            <w:pPr>
              <w:pStyle w:val="TableText"/>
              <w:keepNext/>
              <w:spacing w:line="276" w:lineRule="auto"/>
              <w:rPr>
                <w:rFonts w:eastAsia="Calibri" w:cs="Arial"/>
                <w:sz w:val="22"/>
              </w:rPr>
            </w:pPr>
            <w:r>
              <w:rPr>
                <w:rFonts w:eastAsia="Calibri" w:cs="Arial"/>
                <w:sz w:val="22"/>
              </w:rPr>
              <w:t>Medium</w:t>
            </w:r>
          </w:p>
        </w:tc>
      </w:tr>
      <w:tr w:rsidR="00985529" w:rsidRPr="0049467D" w14:paraId="572CF1A5" w14:textId="77777777" w:rsidTr="00E5220C">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73497BB7" w14:textId="77777777" w:rsidR="00985529" w:rsidRPr="0049467D" w:rsidRDefault="00985529" w:rsidP="00E5220C">
            <w:pPr>
              <w:pStyle w:val="TableText"/>
              <w:keepNext/>
              <w:spacing w:line="276" w:lineRule="auto"/>
              <w:rPr>
                <w:rFonts w:eastAsia="Calibri" w:cs="Arial"/>
                <w:b/>
                <w:sz w:val="22"/>
              </w:rPr>
            </w:pPr>
            <w:r w:rsidRPr="0049467D">
              <w:rPr>
                <w:rFonts w:eastAsia="Calibri" w:cs="Arial"/>
                <w:b/>
                <w:sz w:val="22"/>
              </w:rPr>
              <w:t>Total Monetised Cost</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651C1F47" w14:textId="77777777" w:rsidR="00985529" w:rsidRPr="009778D6" w:rsidRDefault="00985529" w:rsidP="00E5220C">
            <w:pPr>
              <w:pStyle w:val="TableText"/>
              <w:keepNext/>
              <w:spacing w:line="276" w:lineRule="auto"/>
              <w:rPr>
                <w:rFonts w:eastAsia="Calibri" w:cs="Arial"/>
                <w:iCs/>
                <w:sz w:val="22"/>
              </w:rPr>
            </w:pP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02E8D41E" w14:textId="01CB599B" w:rsidR="00985529" w:rsidRPr="0049467D" w:rsidRDefault="00200F91" w:rsidP="00E5220C">
            <w:pPr>
              <w:pStyle w:val="TableText"/>
              <w:keepNext/>
              <w:spacing w:line="276" w:lineRule="auto"/>
              <w:rPr>
                <w:rFonts w:eastAsia="Calibri" w:cs="Arial"/>
                <w:sz w:val="22"/>
              </w:rPr>
            </w:pPr>
            <w:r>
              <w:rPr>
                <w:rFonts w:eastAsia="Calibri" w:cs="Arial"/>
                <w:sz w:val="22"/>
              </w:rPr>
              <w:t>$</w:t>
            </w:r>
            <w:r w:rsidR="00A52401">
              <w:rPr>
                <w:rFonts w:eastAsia="Calibri" w:cs="Arial"/>
                <w:sz w:val="22"/>
              </w:rPr>
              <w:t>17 million over the forecast period (assuming retrospective adjustment goes ahead)</w:t>
            </w:r>
            <w:r w:rsidR="007D433D">
              <w:rPr>
                <w:rFonts w:eastAsia="Calibri" w:cs="Arial"/>
                <w:sz w:val="22"/>
              </w:rPr>
              <w:t>.</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391E36E6" w14:textId="77777777" w:rsidR="00985529" w:rsidRPr="0049467D" w:rsidRDefault="00985529" w:rsidP="00E5220C">
            <w:pPr>
              <w:pStyle w:val="TableText"/>
              <w:keepNext/>
              <w:spacing w:line="276" w:lineRule="auto"/>
              <w:rPr>
                <w:rFonts w:eastAsia="Calibri" w:cs="Arial"/>
                <w:sz w:val="22"/>
              </w:rPr>
            </w:pPr>
          </w:p>
        </w:tc>
      </w:tr>
      <w:tr w:rsidR="00985529" w:rsidRPr="0049467D" w14:paraId="38D792A3" w14:textId="77777777" w:rsidTr="00E5220C">
        <w:trPr>
          <w:trHeight w:val="253"/>
        </w:trPr>
        <w:tc>
          <w:tcPr>
            <w:tcW w:w="1874" w:type="dxa"/>
            <w:tcBorders>
              <w:top w:val="single" w:sz="4" w:space="0" w:color="DDDDDD"/>
              <w:left w:val="single" w:sz="4" w:space="0" w:color="DDDDDD"/>
              <w:bottom w:val="single" w:sz="4" w:space="0" w:color="DDDDDD"/>
              <w:right w:val="single" w:sz="4" w:space="0" w:color="DDDDDD"/>
            </w:tcBorders>
            <w:shd w:val="clear" w:color="auto" w:fill="auto"/>
          </w:tcPr>
          <w:p w14:paraId="723F1A7C" w14:textId="77777777" w:rsidR="00985529" w:rsidRPr="0049467D" w:rsidRDefault="00985529" w:rsidP="00E5220C">
            <w:pPr>
              <w:pStyle w:val="TableText"/>
              <w:keepNext/>
              <w:spacing w:line="276" w:lineRule="auto"/>
              <w:rPr>
                <w:rFonts w:eastAsia="Calibri" w:cs="Arial"/>
                <w:b/>
                <w:sz w:val="22"/>
              </w:rPr>
            </w:pPr>
            <w:r w:rsidRPr="0049467D">
              <w:rPr>
                <w:rFonts w:eastAsia="Calibri" w:cs="Arial"/>
                <w:b/>
                <w:sz w:val="22"/>
              </w:rPr>
              <w:t xml:space="preserve">Non-monetised costs </w:t>
            </w:r>
          </w:p>
        </w:tc>
        <w:tc>
          <w:tcPr>
            <w:tcW w:w="3544" w:type="dxa"/>
            <w:tcBorders>
              <w:top w:val="single" w:sz="4" w:space="0" w:color="DDDDDD"/>
              <w:left w:val="single" w:sz="4" w:space="0" w:color="DDDDDD"/>
              <w:bottom w:val="single" w:sz="4" w:space="0" w:color="DDDDDD"/>
              <w:right w:val="single" w:sz="4" w:space="0" w:color="DDDDDD"/>
            </w:tcBorders>
            <w:shd w:val="clear" w:color="auto" w:fill="auto"/>
          </w:tcPr>
          <w:p w14:paraId="7AB29EE8" w14:textId="798DD888" w:rsidR="00C96D85" w:rsidRDefault="00C96D85" w:rsidP="00E5220C">
            <w:pPr>
              <w:pStyle w:val="TableText"/>
              <w:keepNext/>
              <w:spacing w:line="276" w:lineRule="auto"/>
              <w:rPr>
                <w:rFonts w:eastAsia="Calibri" w:cs="Arial"/>
                <w:iCs/>
                <w:sz w:val="22"/>
              </w:rPr>
            </w:pPr>
            <w:r>
              <w:rPr>
                <w:rFonts w:eastAsia="Calibri" w:cs="Arial"/>
                <w:iCs/>
                <w:sz w:val="22"/>
              </w:rPr>
              <w:t>For s</w:t>
            </w:r>
            <w:r w:rsidR="00CB7924">
              <w:rPr>
                <w:rFonts w:eastAsia="Calibri" w:cs="Arial"/>
                <w:iCs/>
                <w:sz w:val="22"/>
              </w:rPr>
              <w:t>ome families</w:t>
            </w:r>
            <w:r>
              <w:rPr>
                <w:rFonts w:eastAsia="Calibri" w:cs="Arial"/>
                <w:iCs/>
                <w:sz w:val="22"/>
              </w:rPr>
              <w:t xml:space="preserve"> there</w:t>
            </w:r>
            <w:r w:rsidR="00CB7924">
              <w:rPr>
                <w:rFonts w:eastAsia="Calibri" w:cs="Arial"/>
                <w:iCs/>
                <w:sz w:val="22"/>
              </w:rPr>
              <w:t xml:space="preserve"> may </w:t>
            </w:r>
            <w:r>
              <w:rPr>
                <w:rFonts w:eastAsia="Calibri" w:cs="Arial"/>
                <w:iCs/>
                <w:sz w:val="22"/>
              </w:rPr>
              <w:t xml:space="preserve">be </w:t>
            </w:r>
            <w:r w:rsidR="00CB7924">
              <w:rPr>
                <w:rFonts w:eastAsia="Calibri" w:cs="Arial"/>
                <w:iCs/>
                <w:sz w:val="22"/>
              </w:rPr>
              <w:t>reduced incentive</w:t>
            </w:r>
            <w:r>
              <w:rPr>
                <w:rFonts w:eastAsia="Calibri" w:cs="Arial"/>
                <w:iCs/>
                <w:sz w:val="22"/>
              </w:rPr>
              <w:t>s</w:t>
            </w:r>
            <w:r w:rsidR="00CB7924">
              <w:rPr>
                <w:rFonts w:eastAsia="Calibri" w:cs="Arial"/>
                <w:iCs/>
                <w:sz w:val="22"/>
              </w:rPr>
              <w:t xml:space="preserve"> to</w:t>
            </w:r>
            <w:r>
              <w:rPr>
                <w:rFonts w:eastAsia="Calibri" w:cs="Arial"/>
                <w:iCs/>
                <w:sz w:val="22"/>
              </w:rPr>
              <w:t>:</w:t>
            </w:r>
          </w:p>
          <w:p w14:paraId="25FEAAFD" w14:textId="1BA57143" w:rsidR="00C96D85" w:rsidRDefault="00CB7924" w:rsidP="00C96D85">
            <w:pPr>
              <w:pStyle w:val="TableText"/>
              <w:keepNext/>
              <w:numPr>
                <w:ilvl w:val="0"/>
                <w:numId w:val="27"/>
              </w:numPr>
              <w:spacing w:line="276" w:lineRule="auto"/>
              <w:rPr>
                <w:rFonts w:eastAsia="Calibri" w:cs="Arial"/>
                <w:iCs/>
                <w:sz w:val="22"/>
              </w:rPr>
            </w:pPr>
            <w:r>
              <w:rPr>
                <w:rFonts w:eastAsia="Calibri" w:cs="Arial"/>
                <w:iCs/>
                <w:sz w:val="22"/>
              </w:rPr>
              <w:t xml:space="preserve">be </w:t>
            </w:r>
            <w:r w:rsidR="00C96D85">
              <w:rPr>
                <w:rFonts w:eastAsia="Calibri" w:cs="Arial"/>
                <w:iCs/>
                <w:sz w:val="22"/>
              </w:rPr>
              <w:t>working and receiving the</w:t>
            </w:r>
            <w:r>
              <w:rPr>
                <w:rFonts w:eastAsia="Calibri" w:cs="Arial"/>
                <w:iCs/>
                <w:sz w:val="22"/>
              </w:rPr>
              <w:t xml:space="preserve"> MFTC than working and receiving a benefit</w:t>
            </w:r>
          </w:p>
          <w:p w14:paraId="79E7F530" w14:textId="04C0DD50" w:rsidR="00985529" w:rsidRPr="009778D6" w:rsidRDefault="00CB7924" w:rsidP="00C83610">
            <w:pPr>
              <w:pStyle w:val="TableText"/>
              <w:keepNext/>
              <w:numPr>
                <w:ilvl w:val="0"/>
                <w:numId w:val="27"/>
              </w:numPr>
              <w:spacing w:line="276" w:lineRule="auto"/>
              <w:rPr>
                <w:rFonts w:eastAsia="Calibri" w:cs="Arial"/>
                <w:iCs/>
                <w:sz w:val="22"/>
              </w:rPr>
            </w:pPr>
            <w:r>
              <w:rPr>
                <w:rFonts w:eastAsia="Calibri" w:cs="Arial"/>
                <w:iCs/>
                <w:sz w:val="22"/>
              </w:rPr>
              <w:t>work greater hours than the minimum required</w:t>
            </w:r>
            <w:r w:rsidR="007D433D">
              <w:rPr>
                <w:rFonts w:eastAsia="Calibri" w:cs="Arial"/>
                <w:iCs/>
                <w:sz w:val="22"/>
              </w:rPr>
              <w:t>.</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52B6333D" w14:textId="2531DB90" w:rsidR="00985529" w:rsidRPr="009778D6" w:rsidRDefault="00985529" w:rsidP="00E5220C">
            <w:pPr>
              <w:pStyle w:val="TableText"/>
              <w:keepNext/>
              <w:spacing w:line="276" w:lineRule="auto"/>
              <w:rPr>
                <w:rFonts w:eastAsia="Calibri" w:cs="Arial"/>
                <w:iCs/>
                <w:sz w:val="22"/>
              </w:rPr>
            </w:pPr>
            <w:r w:rsidRPr="009778D6">
              <w:rPr>
                <w:rFonts w:eastAsia="Calibri" w:cs="Arial"/>
                <w:iCs/>
                <w:sz w:val="22"/>
              </w:rPr>
              <w:t>Moderate impact</w:t>
            </w:r>
            <w:r w:rsidR="007D433D">
              <w:rPr>
                <w:rFonts w:eastAsia="Calibri" w:cs="Arial"/>
                <w:iCs/>
                <w:sz w:val="22"/>
              </w:rPr>
              <w:t>.</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32D88E4B" w14:textId="77777777" w:rsidR="00985529" w:rsidRPr="0049467D" w:rsidRDefault="00985529" w:rsidP="00E5220C">
            <w:pPr>
              <w:pStyle w:val="TableText"/>
              <w:keepNext/>
              <w:spacing w:line="276" w:lineRule="auto"/>
              <w:rPr>
                <w:rFonts w:eastAsia="Calibri" w:cs="Arial"/>
                <w:sz w:val="22"/>
              </w:rPr>
            </w:pPr>
          </w:p>
        </w:tc>
      </w:tr>
    </w:tbl>
    <w:p w14:paraId="3F259149" w14:textId="16843575" w:rsidR="00985529" w:rsidRDefault="00985529" w:rsidP="0049234F">
      <w:pPr>
        <w:pStyle w:val="spacer"/>
      </w:pPr>
    </w:p>
    <w:p w14:paraId="69037E67" w14:textId="46151866" w:rsidR="00985529" w:rsidRDefault="00985529" w:rsidP="0049234F">
      <w:pPr>
        <w:pStyle w:val="spacer"/>
      </w:pPr>
    </w:p>
    <w:tbl>
      <w:tblPr>
        <w:tblpPr w:leftFromText="180" w:rightFromText="180" w:vertAnchor="text" w:tblpX="114" w:tblpY="1"/>
        <w:tblOverlap w:val="never"/>
        <w:tblW w:w="908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874"/>
        <w:gridCol w:w="3685"/>
        <w:gridCol w:w="2127"/>
        <w:gridCol w:w="1395"/>
      </w:tblGrid>
      <w:tr w:rsidR="00985529" w:rsidRPr="0049467D" w14:paraId="6314C82D" w14:textId="77777777" w:rsidTr="00E5220C">
        <w:trPr>
          <w:trHeight w:val="253"/>
        </w:trPr>
        <w:tc>
          <w:tcPr>
            <w:tcW w:w="9081" w:type="dxa"/>
            <w:gridSpan w:val="4"/>
            <w:shd w:val="clear" w:color="auto" w:fill="99CDDD"/>
          </w:tcPr>
          <w:p w14:paraId="0A4062A3" w14:textId="77777777" w:rsidR="00985529" w:rsidRPr="0049467D" w:rsidRDefault="00985529" w:rsidP="00E5220C">
            <w:pPr>
              <w:spacing w:before="40" w:after="20" w:line="276" w:lineRule="auto"/>
              <w:rPr>
                <w:rFonts w:eastAsia="Calibri" w:cs="Arial"/>
                <w:b/>
                <w:szCs w:val="22"/>
              </w:rPr>
            </w:pPr>
            <w:r>
              <w:rPr>
                <w:rFonts w:eastAsia="Calibri" w:cs="Arial"/>
                <w:b/>
                <w:szCs w:val="22"/>
              </w:rPr>
              <w:t>Adjustment to the Minimum Family Tax Credit – prospective (partial alignment)</w:t>
            </w:r>
          </w:p>
        </w:tc>
      </w:tr>
      <w:tr w:rsidR="00985529" w:rsidRPr="0049467D" w14:paraId="3781432B" w14:textId="77777777" w:rsidTr="00E5220C">
        <w:trPr>
          <w:trHeight w:val="253"/>
        </w:trPr>
        <w:tc>
          <w:tcPr>
            <w:tcW w:w="9081" w:type="dxa"/>
            <w:gridSpan w:val="4"/>
            <w:shd w:val="clear" w:color="auto" w:fill="99CDDD"/>
          </w:tcPr>
          <w:p w14:paraId="2F5052B2" w14:textId="37D7366F" w:rsidR="00985529" w:rsidRPr="0049467D" w:rsidRDefault="00985529" w:rsidP="00E5220C">
            <w:pPr>
              <w:spacing w:before="40" w:after="20" w:line="276" w:lineRule="auto"/>
              <w:rPr>
                <w:rFonts w:eastAsia="Calibri" w:cs="Arial"/>
                <w:b/>
                <w:szCs w:val="22"/>
              </w:rPr>
            </w:pPr>
            <w:r w:rsidRPr="0049467D">
              <w:rPr>
                <w:rFonts w:eastAsia="Calibri" w:cs="Arial"/>
                <w:b/>
                <w:szCs w:val="22"/>
              </w:rPr>
              <w:t xml:space="preserve">Expected benefits of proposed approach </w:t>
            </w:r>
          </w:p>
        </w:tc>
      </w:tr>
      <w:tr w:rsidR="00985529" w:rsidRPr="0049467D" w14:paraId="6F1CD451" w14:textId="77777777" w:rsidTr="00E5220C">
        <w:trPr>
          <w:trHeight w:val="6469"/>
        </w:trPr>
        <w:tc>
          <w:tcPr>
            <w:tcW w:w="1874" w:type="dxa"/>
            <w:shd w:val="clear" w:color="auto" w:fill="auto"/>
          </w:tcPr>
          <w:p w14:paraId="74FA8D8D" w14:textId="311B6CB9" w:rsidR="00985529" w:rsidRPr="0049467D" w:rsidRDefault="00985529" w:rsidP="00E5220C">
            <w:pPr>
              <w:pStyle w:val="TableText"/>
              <w:spacing w:line="276" w:lineRule="auto"/>
              <w:rPr>
                <w:rFonts w:eastAsia="Calibri" w:cs="Arial"/>
                <w:sz w:val="22"/>
              </w:rPr>
            </w:pPr>
            <w:r>
              <w:rPr>
                <w:rFonts w:eastAsia="Calibri" w:cs="Arial"/>
                <w:sz w:val="22"/>
              </w:rPr>
              <w:t>Low-income families on</w:t>
            </w:r>
            <w:r w:rsidR="00AF3711">
              <w:rPr>
                <w:rFonts w:eastAsia="Calibri" w:cs="Arial"/>
                <w:sz w:val="22"/>
              </w:rPr>
              <w:t xml:space="preserve"> the</w:t>
            </w:r>
            <w:r>
              <w:rPr>
                <w:rFonts w:eastAsia="Calibri" w:cs="Arial"/>
                <w:sz w:val="22"/>
              </w:rPr>
              <w:t xml:space="preserve"> MFTC</w:t>
            </w:r>
          </w:p>
        </w:tc>
        <w:tc>
          <w:tcPr>
            <w:tcW w:w="3685" w:type="dxa"/>
            <w:shd w:val="clear" w:color="auto" w:fill="auto"/>
          </w:tcPr>
          <w:p w14:paraId="4B155E9F" w14:textId="5F595CD3" w:rsidR="00985529" w:rsidRDefault="00985529" w:rsidP="00E5220C">
            <w:pPr>
              <w:pStyle w:val="TableText"/>
              <w:spacing w:line="276" w:lineRule="auto"/>
              <w:rPr>
                <w:rFonts w:eastAsia="Calibri" w:cs="Arial"/>
                <w:sz w:val="22"/>
              </w:rPr>
            </w:pPr>
            <w:r>
              <w:rPr>
                <w:rFonts w:eastAsia="Calibri" w:cs="Arial"/>
                <w:sz w:val="22"/>
              </w:rPr>
              <w:t>Incomes will increase as a result of partial increase</w:t>
            </w:r>
            <w:r w:rsidR="007D433D">
              <w:rPr>
                <w:rFonts w:eastAsia="Calibri" w:cs="Arial"/>
                <w:sz w:val="22"/>
              </w:rPr>
              <w:t>.</w:t>
            </w:r>
          </w:p>
          <w:p w14:paraId="0DDBD21B" w14:textId="77777777" w:rsidR="00985529" w:rsidRDefault="00985529" w:rsidP="00E5220C">
            <w:pPr>
              <w:pStyle w:val="TableText"/>
              <w:spacing w:line="276" w:lineRule="auto"/>
              <w:rPr>
                <w:rFonts w:eastAsia="Calibri" w:cs="Arial"/>
                <w:sz w:val="22"/>
              </w:rPr>
            </w:pPr>
          </w:p>
          <w:p w14:paraId="45180F34" w14:textId="1D4C06CB" w:rsidR="00985529" w:rsidRDefault="00985529" w:rsidP="00E5220C">
            <w:pPr>
              <w:pStyle w:val="TableText"/>
              <w:spacing w:line="276" w:lineRule="auto"/>
              <w:rPr>
                <w:rFonts w:eastAsia="Calibri" w:cs="Arial"/>
                <w:sz w:val="22"/>
              </w:rPr>
            </w:pPr>
            <w:r>
              <w:rPr>
                <w:rFonts w:eastAsia="Calibri" w:cs="Arial"/>
                <w:sz w:val="22"/>
              </w:rPr>
              <w:t>Improved financial incentives to work and receive</w:t>
            </w:r>
            <w:r w:rsidR="00AF3711">
              <w:rPr>
                <w:rFonts w:eastAsia="Calibri" w:cs="Arial"/>
                <w:sz w:val="22"/>
              </w:rPr>
              <w:t xml:space="preserve"> the</w:t>
            </w:r>
            <w:r>
              <w:rPr>
                <w:rFonts w:eastAsia="Calibri" w:cs="Arial"/>
                <w:sz w:val="22"/>
              </w:rPr>
              <w:t xml:space="preserve"> MFTC</w:t>
            </w:r>
            <w:r w:rsidR="00CB7924">
              <w:rPr>
                <w:rFonts w:eastAsia="Calibri" w:cs="Arial"/>
                <w:sz w:val="22"/>
              </w:rPr>
              <w:t xml:space="preserve"> compared to working and receiving a benefit</w:t>
            </w:r>
            <w:r w:rsidR="007D433D">
              <w:rPr>
                <w:rFonts w:eastAsia="Calibri" w:cs="Arial"/>
                <w:sz w:val="22"/>
              </w:rPr>
              <w:t>.</w:t>
            </w:r>
          </w:p>
          <w:p w14:paraId="470C1CF9" w14:textId="77777777" w:rsidR="00985529" w:rsidRDefault="00985529" w:rsidP="00E5220C">
            <w:pPr>
              <w:pStyle w:val="TableText"/>
              <w:spacing w:line="276" w:lineRule="auto"/>
              <w:rPr>
                <w:rFonts w:eastAsia="Calibri" w:cs="Arial"/>
                <w:sz w:val="22"/>
              </w:rPr>
            </w:pPr>
          </w:p>
          <w:p w14:paraId="36C0698E" w14:textId="77777777" w:rsidR="00985529" w:rsidRPr="0049467D" w:rsidRDefault="00985529" w:rsidP="00E5220C">
            <w:pPr>
              <w:pStyle w:val="TableText"/>
              <w:spacing w:line="276" w:lineRule="auto"/>
              <w:rPr>
                <w:rFonts w:eastAsia="Calibri" w:cs="Arial"/>
                <w:sz w:val="22"/>
              </w:rPr>
            </w:pPr>
          </w:p>
        </w:tc>
        <w:tc>
          <w:tcPr>
            <w:tcW w:w="2127" w:type="dxa"/>
            <w:shd w:val="clear" w:color="auto" w:fill="auto"/>
          </w:tcPr>
          <w:p w14:paraId="0E9E320C" w14:textId="77777777" w:rsidR="00985529" w:rsidRDefault="00985529" w:rsidP="00E5220C">
            <w:pPr>
              <w:pStyle w:val="TableText"/>
              <w:spacing w:line="276" w:lineRule="auto"/>
              <w:rPr>
                <w:rFonts w:eastAsia="Calibri" w:cs="Arial"/>
                <w:sz w:val="22"/>
              </w:rPr>
            </w:pPr>
            <w:r>
              <w:rPr>
                <w:rFonts w:eastAsia="Calibri" w:cs="Arial"/>
                <w:sz w:val="22"/>
              </w:rPr>
              <w:t>Moderate impact:</w:t>
            </w:r>
          </w:p>
          <w:p w14:paraId="79FCC15A" w14:textId="1ADEA2B0" w:rsidR="00A52401" w:rsidRDefault="00985529" w:rsidP="00E5220C">
            <w:pPr>
              <w:pStyle w:val="TableText"/>
              <w:spacing w:line="276" w:lineRule="auto"/>
              <w:rPr>
                <w:rFonts w:eastAsia="Calibri" w:cs="Arial"/>
                <w:sz w:val="22"/>
              </w:rPr>
            </w:pPr>
            <w:r>
              <w:rPr>
                <w:rFonts w:eastAsia="Calibri" w:cs="Arial"/>
                <w:sz w:val="22"/>
              </w:rPr>
              <w:t xml:space="preserve">Around </w:t>
            </w:r>
            <w:r w:rsidR="00A52401">
              <w:rPr>
                <w:rFonts w:eastAsia="Calibri" w:cs="Arial"/>
                <w:sz w:val="22"/>
              </w:rPr>
              <w:t>4,000</w:t>
            </w:r>
            <w:r>
              <w:rPr>
                <w:rFonts w:eastAsia="Calibri" w:cs="Arial"/>
                <w:sz w:val="22"/>
              </w:rPr>
              <w:t xml:space="preserve"> families are expected to receive</w:t>
            </w:r>
            <w:r w:rsidR="00AF3711">
              <w:rPr>
                <w:rFonts w:eastAsia="Calibri" w:cs="Arial"/>
                <w:sz w:val="22"/>
              </w:rPr>
              <w:t xml:space="preserve"> the</w:t>
            </w:r>
            <w:r>
              <w:rPr>
                <w:rFonts w:eastAsia="Calibri" w:cs="Arial"/>
                <w:sz w:val="22"/>
              </w:rPr>
              <w:t xml:space="preserve"> MFTC in the 2021/22 tax year. </w:t>
            </w:r>
          </w:p>
          <w:p w14:paraId="4D08BF28" w14:textId="13F3AEDE" w:rsidR="00A52401" w:rsidRDefault="00A52401" w:rsidP="00E5220C">
            <w:pPr>
              <w:pStyle w:val="TableText"/>
              <w:spacing w:line="276" w:lineRule="auto"/>
              <w:rPr>
                <w:rFonts w:eastAsia="Calibri" w:cs="Arial"/>
                <w:sz w:val="22"/>
              </w:rPr>
            </w:pPr>
            <w:r>
              <w:rPr>
                <w:rFonts w:eastAsia="Calibri" w:cs="Arial"/>
                <w:sz w:val="22"/>
              </w:rPr>
              <w:t>Of these, around 400 families would be newly eligible to the MFTC.</w:t>
            </w:r>
          </w:p>
          <w:p w14:paraId="65F2B872" w14:textId="7ED4974C" w:rsidR="00985529" w:rsidRDefault="00985529" w:rsidP="00E5220C">
            <w:pPr>
              <w:pStyle w:val="TableText"/>
              <w:spacing w:line="276" w:lineRule="auto"/>
              <w:rPr>
                <w:rFonts w:eastAsia="Calibri" w:cs="Arial"/>
                <w:sz w:val="22"/>
              </w:rPr>
            </w:pPr>
            <w:r>
              <w:rPr>
                <w:rFonts w:eastAsia="Calibri" w:cs="Arial"/>
                <w:sz w:val="22"/>
              </w:rPr>
              <w:t>These families would gain an additional $</w:t>
            </w:r>
            <w:r w:rsidR="005159CA">
              <w:rPr>
                <w:rFonts w:eastAsia="Calibri" w:cs="Arial"/>
                <w:sz w:val="22"/>
              </w:rPr>
              <w:t xml:space="preserve">22 </w:t>
            </w:r>
            <w:r>
              <w:rPr>
                <w:rFonts w:eastAsia="Calibri" w:cs="Arial"/>
                <w:sz w:val="22"/>
              </w:rPr>
              <w:t xml:space="preserve">for each week they receive the MFTC. </w:t>
            </w:r>
          </w:p>
          <w:p w14:paraId="2B9ACF32" w14:textId="2EE1E0F0" w:rsidR="00985529" w:rsidRPr="0049467D" w:rsidRDefault="00985529" w:rsidP="00E5220C">
            <w:pPr>
              <w:pStyle w:val="TableText"/>
              <w:spacing w:line="276" w:lineRule="auto"/>
              <w:rPr>
                <w:rFonts w:eastAsia="Calibri" w:cs="Arial"/>
                <w:sz w:val="22"/>
              </w:rPr>
            </w:pPr>
            <w:r>
              <w:rPr>
                <w:rFonts w:eastAsia="Calibri" w:cs="Arial"/>
                <w:sz w:val="22"/>
              </w:rPr>
              <w:t>This would be a</w:t>
            </w:r>
            <w:r w:rsidR="00E05C3E">
              <w:rPr>
                <w:rFonts w:eastAsia="Calibri" w:cs="Arial"/>
                <w:sz w:val="22"/>
              </w:rPr>
              <w:t xml:space="preserve"> maximum</w:t>
            </w:r>
            <w:r>
              <w:rPr>
                <w:rFonts w:eastAsia="Calibri" w:cs="Arial"/>
                <w:sz w:val="22"/>
              </w:rPr>
              <w:t xml:space="preserve"> </w:t>
            </w:r>
            <w:r w:rsidR="005159CA">
              <w:rPr>
                <w:rFonts w:eastAsia="Calibri" w:cs="Arial"/>
                <w:sz w:val="22"/>
              </w:rPr>
              <w:t xml:space="preserve">annual </w:t>
            </w:r>
            <w:r>
              <w:rPr>
                <w:rFonts w:eastAsia="Calibri" w:cs="Arial"/>
                <w:sz w:val="22"/>
              </w:rPr>
              <w:t>MFTC increase of $</w:t>
            </w:r>
            <w:r w:rsidR="005159CA">
              <w:rPr>
                <w:rFonts w:eastAsia="Calibri" w:cs="Arial"/>
                <w:sz w:val="22"/>
              </w:rPr>
              <w:t>1,144</w:t>
            </w:r>
            <w:r>
              <w:rPr>
                <w:rFonts w:eastAsia="Calibri" w:cs="Arial"/>
                <w:sz w:val="22"/>
              </w:rPr>
              <w:t xml:space="preserve"> per family.</w:t>
            </w:r>
            <w:r w:rsidR="005159CA">
              <w:rPr>
                <w:rStyle w:val="FootnoteReference"/>
                <w:rFonts w:eastAsia="Calibri" w:cs="Arial"/>
              </w:rPr>
              <w:footnoteReference w:id="18"/>
            </w:r>
          </w:p>
        </w:tc>
        <w:tc>
          <w:tcPr>
            <w:tcW w:w="1395" w:type="dxa"/>
            <w:shd w:val="clear" w:color="auto" w:fill="auto"/>
          </w:tcPr>
          <w:p w14:paraId="6D0B8C93" w14:textId="77777777" w:rsidR="00985529" w:rsidRPr="0049467D" w:rsidRDefault="00985529" w:rsidP="00E5220C">
            <w:pPr>
              <w:pStyle w:val="TableText"/>
              <w:spacing w:line="276" w:lineRule="auto"/>
              <w:rPr>
                <w:rFonts w:eastAsia="Calibri" w:cs="Arial"/>
                <w:sz w:val="22"/>
              </w:rPr>
            </w:pPr>
            <w:r>
              <w:rPr>
                <w:rFonts w:eastAsia="Calibri" w:cs="Arial"/>
                <w:sz w:val="22"/>
              </w:rPr>
              <w:t>Medium</w:t>
            </w:r>
          </w:p>
        </w:tc>
      </w:tr>
      <w:tr w:rsidR="00985529" w:rsidRPr="0049467D" w14:paraId="590A5628" w14:textId="77777777" w:rsidTr="00E5220C">
        <w:trPr>
          <w:trHeight w:val="253"/>
        </w:trPr>
        <w:tc>
          <w:tcPr>
            <w:tcW w:w="1874" w:type="dxa"/>
            <w:shd w:val="clear" w:color="auto" w:fill="auto"/>
          </w:tcPr>
          <w:p w14:paraId="400A1D70" w14:textId="77777777" w:rsidR="00985529" w:rsidRPr="0049467D" w:rsidRDefault="00985529" w:rsidP="00E5220C">
            <w:pPr>
              <w:pStyle w:val="TableText"/>
              <w:spacing w:line="276" w:lineRule="auto"/>
              <w:rPr>
                <w:rFonts w:eastAsia="Calibri" w:cs="Arial"/>
                <w:b/>
                <w:sz w:val="22"/>
              </w:rPr>
            </w:pPr>
            <w:r w:rsidRPr="0049467D">
              <w:rPr>
                <w:rFonts w:eastAsia="Calibri" w:cs="Arial"/>
                <w:b/>
                <w:sz w:val="22"/>
              </w:rPr>
              <w:lastRenderedPageBreak/>
              <w:t>Total Monetised  Benefit</w:t>
            </w:r>
          </w:p>
        </w:tc>
        <w:tc>
          <w:tcPr>
            <w:tcW w:w="3685" w:type="dxa"/>
            <w:shd w:val="clear" w:color="auto" w:fill="auto"/>
          </w:tcPr>
          <w:p w14:paraId="5F182ED2" w14:textId="62A536E7" w:rsidR="00985529" w:rsidRPr="0049467D" w:rsidRDefault="00985529" w:rsidP="00E5220C">
            <w:pPr>
              <w:pStyle w:val="TableText"/>
              <w:spacing w:line="276" w:lineRule="auto"/>
              <w:rPr>
                <w:rFonts w:eastAsia="Calibri" w:cs="Arial"/>
                <w:sz w:val="22"/>
              </w:rPr>
            </w:pPr>
            <w:r>
              <w:rPr>
                <w:rFonts w:eastAsia="Calibri" w:cs="Arial"/>
                <w:sz w:val="22"/>
              </w:rPr>
              <w:t>No</w:t>
            </w:r>
            <w:r w:rsidR="007D433D">
              <w:rPr>
                <w:rFonts w:eastAsia="Calibri" w:cs="Arial"/>
                <w:sz w:val="22"/>
              </w:rPr>
              <w:t xml:space="preserve"> </w:t>
            </w:r>
            <w:r>
              <w:rPr>
                <w:rFonts w:eastAsia="Calibri" w:cs="Arial"/>
                <w:sz w:val="22"/>
              </w:rPr>
              <w:t xml:space="preserve">costings of </w:t>
            </w:r>
            <w:r w:rsidR="007D433D">
              <w:rPr>
                <w:rFonts w:eastAsia="Calibri" w:cs="Arial"/>
                <w:sz w:val="22"/>
              </w:rPr>
              <w:t xml:space="preserve">the total </w:t>
            </w:r>
            <w:r>
              <w:rPr>
                <w:rFonts w:eastAsia="Calibri" w:cs="Arial"/>
                <w:sz w:val="22"/>
              </w:rPr>
              <w:t>monetised benefits</w:t>
            </w:r>
            <w:r w:rsidR="007D433D">
              <w:rPr>
                <w:rFonts w:eastAsia="Calibri" w:cs="Arial"/>
                <w:sz w:val="22"/>
              </w:rPr>
              <w:t>.</w:t>
            </w:r>
          </w:p>
        </w:tc>
        <w:tc>
          <w:tcPr>
            <w:tcW w:w="2127" w:type="dxa"/>
            <w:shd w:val="clear" w:color="auto" w:fill="auto"/>
          </w:tcPr>
          <w:p w14:paraId="3DC92606" w14:textId="77777777" w:rsidR="00985529" w:rsidRPr="0049467D" w:rsidRDefault="00985529" w:rsidP="00E5220C">
            <w:pPr>
              <w:pStyle w:val="TableText"/>
              <w:spacing w:line="276" w:lineRule="auto"/>
              <w:rPr>
                <w:rFonts w:eastAsia="Calibri" w:cs="Arial"/>
                <w:sz w:val="22"/>
              </w:rPr>
            </w:pPr>
            <w:r>
              <w:rPr>
                <w:rFonts w:eastAsia="Calibri" w:cs="Arial"/>
                <w:sz w:val="22"/>
              </w:rPr>
              <w:t>N/A</w:t>
            </w:r>
          </w:p>
        </w:tc>
        <w:tc>
          <w:tcPr>
            <w:tcW w:w="1395" w:type="dxa"/>
            <w:shd w:val="clear" w:color="auto" w:fill="auto"/>
          </w:tcPr>
          <w:p w14:paraId="68C4980F" w14:textId="77777777" w:rsidR="00985529" w:rsidRPr="0049467D" w:rsidRDefault="00985529" w:rsidP="00E5220C">
            <w:pPr>
              <w:pStyle w:val="TableText"/>
              <w:spacing w:line="276" w:lineRule="auto"/>
              <w:rPr>
                <w:rFonts w:eastAsia="Calibri" w:cs="Arial"/>
                <w:sz w:val="22"/>
              </w:rPr>
            </w:pPr>
          </w:p>
        </w:tc>
      </w:tr>
      <w:tr w:rsidR="00985529" w:rsidRPr="0049467D" w14:paraId="286E3F29" w14:textId="77777777" w:rsidTr="00E5220C">
        <w:trPr>
          <w:trHeight w:val="253"/>
        </w:trPr>
        <w:tc>
          <w:tcPr>
            <w:tcW w:w="1874" w:type="dxa"/>
            <w:shd w:val="clear" w:color="auto" w:fill="auto"/>
          </w:tcPr>
          <w:p w14:paraId="7C982D25" w14:textId="77777777" w:rsidR="00985529" w:rsidRPr="0049467D" w:rsidRDefault="00985529" w:rsidP="00E5220C">
            <w:pPr>
              <w:pStyle w:val="TableText"/>
              <w:spacing w:line="276" w:lineRule="auto"/>
              <w:rPr>
                <w:rFonts w:eastAsia="Calibri" w:cs="Arial"/>
                <w:b/>
                <w:sz w:val="22"/>
              </w:rPr>
            </w:pPr>
            <w:r w:rsidRPr="0049467D">
              <w:rPr>
                <w:rFonts w:eastAsia="Calibri" w:cs="Arial"/>
                <w:b/>
                <w:sz w:val="22"/>
              </w:rPr>
              <w:t>Non-monetised benefits</w:t>
            </w:r>
          </w:p>
        </w:tc>
        <w:tc>
          <w:tcPr>
            <w:tcW w:w="3685" w:type="dxa"/>
            <w:shd w:val="clear" w:color="auto" w:fill="auto"/>
          </w:tcPr>
          <w:p w14:paraId="7508E4DE" w14:textId="00F1A206" w:rsidR="00985529" w:rsidRPr="0049467D" w:rsidRDefault="00985529" w:rsidP="00E5220C">
            <w:pPr>
              <w:pStyle w:val="TableText"/>
              <w:spacing w:line="276" w:lineRule="auto"/>
              <w:rPr>
                <w:rFonts w:eastAsia="Calibri" w:cs="Arial"/>
                <w:sz w:val="22"/>
              </w:rPr>
            </w:pPr>
            <w:r>
              <w:rPr>
                <w:rFonts w:eastAsia="Calibri" w:cs="Arial"/>
                <w:sz w:val="22"/>
              </w:rPr>
              <w:t xml:space="preserve">Improves financial incentive to work and receive the MFTC and </w:t>
            </w:r>
            <w:r w:rsidR="007D433D">
              <w:rPr>
                <w:rFonts w:eastAsia="Calibri" w:cs="Arial"/>
                <w:sz w:val="22"/>
              </w:rPr>
              <w:t xml:space="preserve">improves </w:t>
            </w:r>
            <w:r>
              <w:rPr>
                <w:rFonts w:eastAsia="Calibri" w:cs="Arial"/>
                <w:sz w:val="22"/>
              </w:rPr>
              <w:t>income adequacy for low-income individuals and families</w:t>
            </w:r>
            <w:r w:rsidR="007D433D">
              <w:rPr>
                <w:rFonts w:eastAsia="Calibri" w:cs="Arial"/>
                <w:sz w:val="22"/>
              </w:rPr>
              <w:t>.</w:t>
            </w:r>
            <w:r>
              <w:rPr>
                <w:rFonts w:eastAsia="Calibri" w:cs="Arial"/>
                <w:sz w:val="22"/>
              </w:rPr>
              <w:t xml:space="preserve"> </w:t>
            </w:r>
          </w:p>
        </w:tc>
        <w:tc>
          <w:tcPr>
            <w:tcW w:w="2127" w:type="dxa"/>
            <w:shd w:val="clear" w:color="auto" w:fill="auto"/>
          </w:tcPr>
          <w:p w14:paraId="7140FF5F" w14:textId="50E162DF" w:rsidR="00985529" w:rsidRPr="009778D6" w:rsidRDefault="00985529" w:rsidP="00E5220C">
            <w:pPr>
              <w:pStyle w:val="TableText"/>
              <w:spacing w:line="276" w:lineRule="auto"/>
              <w:rPr>
                <w:rFonts w:eastAsia="Calibri" w:cs="Arial"/>
                <w:iCs/>
                <w:sz w:val="22"/>
              </w:rPr>
            </w:pPr>
            <w:r w:rsidRPr="009778D6">
              <w:rPr>
                <w:rFonts w:eastAsia="Calibri" w:cs="Arial"/>
                <w:iCs/>
                <w:sz w:val="22"/>
              </w:rPr>
              <w:t>Moderate impact</w:t>
            </w:r>
            <w:r w:rsidR="007D433D">
              <w:rPr>
                <w:rFonts w:eastAsia="Calibri" w:cs="Arial"/>
                <w:iCs/>
                <w:sz w:val="22"/>
              </w:rPr>
              <w:t>.</w:t>
            </w:r>
          </w:p>
        </w:tc>
        <w:tc>
          <w:tcPr>
            <w:tcW w:w="1395" w:type="dxa"/>
            <w:shd w:val="clear" w:color="auto" w:fill="auto"/>
          </w:tcPr>
          <w:p w14:paraId="6591E0E9" w14:textId="77777777" w:rsidR="00985529" w:rsidRPr="0049467D" w:rsidRDefault="00985529" w:rsidP="00E5220C">
            <w:pPr>
              <w:pStyle w:val="TableText"/>
              <w:spacing w:line="276" w:lineRule="auto"/>
              <w:rPr>
                <w:rFonts w:eastAsia="Calibri" w:cs="Arial"/>
                <w:sz w:val="22"/>
              </w:rPr>
            </w:pPr>
          </w:p>
        </w:tc>
      </w:tr>
    </w:tbl>
    <w:p w14:paraId="3255D8DF" w14:textId="77777777" w:rsidR="00985529" w:rsidRDefault="00985529" w:rsidP="0049234F">
      <w:pPr>
        <w:pStyle w:val="spacer"/>
      </w:pPr>
    </w:p>
    <w:p w14:paraId="10096525" w14:textId="537A05B8" w:rsidR="00985529" w:rsidRDefault="00985529" w:rsidP="0049234F">
      <w:pPr>
        <w:pStyle w:val="spacer"/>
      </w:pPr>
    </w:p>
    <w:p w14:paraId="0B3A566A" w14:textId="77777777" w:rsidR="00985529" w:rsidRPr="0049467D" w:rsidRDefault="00985529" w:rsidP="0049234F">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49467D" w:rsidRPr="0049467D" w14:paraId="25A53985" w14:textId="77777777" w:rsidTr="00346B30">
        <w:trPr>
          <w:trHeight w:val="193"/>
        </w:trPr>
        <w:tc>
          <w:tcPr>
            <w:tcW w:w="5000" w:type="pct"/>
            <w:shd w:val="clear" w:color="auto" w:fill="99CDDD"/>
            <w:hideMark/>
          </w:tcPr>
          <w:p w14:paraId="0669D88C" w14:textId="7C3BF832" w:rsidR="0062657E" w:rsidRPr="0049467D" w:rsidRDefault="00F05AD9" w:rsidP="00DF2E7B">
            <w:pPr>
              <w:pStyle w:val="spacer"/>
              <w:keepNext/>
              <w:spacing w:before="60" w:after="60"/>
              <w:rPr>
                <w:rFonts w:cs="Arial"/>
                <w:b/>
                <w:sz w:val="22"/>
                <w:lang w:val="en-NZ"/>
              </w:rPr>
            </w:pPr>
            <w:r>
              <w:rPr>
                <w:rFonts w:cs="Arial"/>
                <w:b/>
                <w:sz w:val="22"/>
                <w:lang w:val="en-NZ"/>
              </w:rPr>
              <w:t xml:space="preserve">5.3   </w:t>
            </w:r>
            <w:r w:rsidR="0062657E" w:rsidRPr="0049467D">
              <w:rPr>
                <w:rFonts w:cs="Arial"/>
                <w:b/>
                <w:sz w:val="22"/>
                <w:lang w:val="en-NZ"/>
              </w:rPr>
              <w:t>What other impacts is this approach likely to have?</w:t>
            </w:r>
          </w:p>
        </w:tc>
      </w:tr>
      <w:tr w:rsidR="0049467D" w:rsidRPr="0049467D" w14:paraId="0F87CE57" w14:textId="77777777" w:rsidTr="00856980">
        <w:trPr>
          <w:trHeight w:val="2823"/>
        </w:trPr>
        <w:tc>
          <w:tcPr>
            <w:tcW w:w="5000" w:type="pct"/>
            <w:shd w:val="clear" w:color="auto" w:fill="FFFFFF"/>
          </w:tcPr>
          <w:p w14:paraId="7720B7B4" w14:textId="48FA084C" w:rsidR="004E0DCA" w:rsidRDefault="00C96D85" w:rsidP="00D85308">
            <w:r>
              <w:t>Better incentivising beneficiaries to engage in work through a</w:t>
            </w:r>
            <w:r w:rsidR="004E0DCA">
              <w:t xml:space="preserve">batement threshold increases could also lead to positive impact on </w:t>
            </w:r>
            <w:r w:rsidR="00152A9E">
              <w:t>broader</w:t>
            </w:r>
            <w:r w:rsidR="004E0DCA">
              <w:t xml:space="preserve"> wellbeing, as being in suitable work is good for people’s health and wellbeing (provided the work is safe, stable</w:t>
            </w:r>
            <w:r>
              <w:t>, suits people’s circumstances</w:t>
            </w:r>
            <w:r w:rsidR="004E0DCA">
              <w:t xml:space="preserve"> and financially beneficial). </w:t>
            </w:r>
          </w:p>
          <w:p w14:paraId="6F0549CA" w14:textId="699CAE27" w:rsidR="00F94ED2" w:rsidRDefault="003F3F74" w:rsidP="006D6D53">
            <w:r>
              <w:t>The expected benefits</w:t>
            </w:r>
            <w:r w:rsidR="00F94ED2">
              <w:t xml:space="preserve"> described </w:t>
            </w:r>
            <w:r w:rsidR="00C96D85">
              <w:t xml:space="preserve">in section 5.2 </w:t>
            </w:r>
            <w:r w:rsidR="00F94ED2">
              <w:t>will depend on the interaction between different assistance types</w:t>
            </w:r>
            <w:r w:rsidR="0073452B">
              <w:t xml:space="preserve">, </w:t>
            </w:r>
            <w:r w:rsidR="004E0DCA">
              <w:t>the extent to which people undertake further work</w:t>
            </w:r>
            <w:r w:rsidR="0073452B">
              <w:t xml:space="preserve"> and </w:t>
            </w:r>
            <w:r w:rsidR="004E0DCA">
              <w:t xml:space="preserve">the subsequent impact on their earned incomes. </w:t>
            </w:r>
            <w:r w:rsidR="00014822">
              <w:t xml:space="preserve">Also, there is a risk that the gains will be lost over time if abatement thresholds do not increase in future years. </w:t>
            </w:r>
          </w:p>
          <w:p w14:paraId="4A1E82AC" w14:textId="77777777" w:rsidR="0049467D" w:rsidRPr="0049467D" w:rsidRDefault="0049467D" w:rsidP="002C2AEE">
            <w:pPr>
              <w:rPr>
                <w:rFonts w:cs="Arial"/>
                <w:szCs w:val="22"/>
              </w:rPr>
            </w:pPr>
          </w:p>
        </w:tc>
      </w:tr>
    </w:tbl>
    <w:p w14:paraId="25C8FEE6" w14:textId="4E523E0D" w:rsidR="0062657E" w:rsidRPr="0005691A" w:rsidRDefault="0062657E" w:rsidP="002428A4">
      <w:pPr>
        <w:pStyle w:val="spacer"/>
        <w:spacing w:after="120"/>
        <w:rPr>
          <w:rFonts w:cs="Arial"/>
          <w:b/>
          <w:color w:val="0082AB"/>
          <w:spacing w:val="20"/>
          <w:w w:val="90"/>
          <w:sz w:val="32"/>
          <w:szCs w:val="24"/>
        </w:rPr>
      </w:pPr>
      <w:r w:rsidRPr="0049467D">
        <w:br w:type="page"/>
      </w:r>
      <w:r w:rsidRPr="0005691A">
        <w:rPr>
          <w:rFonts w:cs="Arial"/>
          <w:b/>
          <w:color w:val="0082AB"/>
          <w:spacing w:val="20"/>
          <w:w w:val="90"/>
          <w:sz w:val="32"/>
          <w:szCs w:val="24"/>
        </w:rPr>
        <w:lastRenderedPageBreak/>
        <w:t>Section 6:  Implementation and operation</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62657E" w:rsidRPr="000A2B04" w14:paraId="0F494AA8" w14:textId="77777777" w:rsidTr="00346B30">
        <w:trPr>
          <w:trHeight w:val="77"/>
        </w:trPr>
        <w:tc>
          <w:tcPr>
            <w:tcW w:w="9072" w:type="dxa"/>
            <w:shd w:val="clear" w:color="auto" w:fill="99CDDD"/>
          </w:tcPr>
          <w:p w14:paraId="2AE78796" w14:textId="1888F39E" w:rsidR="0062657E" w:rsidRPr="000A2B04" w:rsidRDefault="0062657E" w:rsidP="00F05AD9">
            <w:pPr>
              <w:spacing w:before="60" w:after="60" w:line="240" w:lineRule="auto"/>
              <w:jc w:val="both"/>
              <w:rPr>
                <w:rFonts w:cs="Arial"/>
                <w:b/>
                <w:color w:val="002060"/>
                <w:lang w:eastAsia="en-AU"/>
              </w:rPr>
            </w:pPr>
            <w:r w:rsidRPr="000A2B04">
              <w:rPr>
                <w:rFonts w:cs="Arial"/>
                <w:b/>
                <w:color w:val="002060"/>
                <w:lang w:eastAsia="en-AU"/>
              </w:rPr>
              <w:br w:type="page"/>
            </w:r>
            <w:r w:rsidR="00F05AD9">
              <w:rPr>
                <w:rFonts w:cs="Arial"/>
                <w:b/>
                <w:lang w:eastAsia="en-AU"/>
              </w:rPr>
              <w:t xml:space="preserve">6.1   </w:t>
            </w:r>
            <w:r w:rsidRPr="006172F1">
              <w:rPr>
                <w:rFonts w:cs="Arial"/>
                <w:b/>
                <w:lang w:eastAsia="en-AU"/>
              </w:rPr>
              <w:t>How will the new arrangements work in practice?</w:t>
            </w:r>
          </w:p>
        </w:tc>
      </w:tr>
      <w:tr w:rsidR="006D6D53" w:rsidRPr="0049467D" w14:paraId="4E05A9E8" w14:textId="77777777" w:rsidTr="00346B30">
        <w:trPr>
          <w:trHeight w:val="2457"/>
        </w:trPr>
        <w:tc>
          <w:tcPr>
            <w:tcW w:w="9072" w:type="dxa"/>
            <w:shd w:val="clear" w:color="auto" w:fill="auto"/>
          </w:tcPr>
          <w:p w14:paraId="52D58D23" w14:textId="6F004440" w:rsidR="006D6D53" w:rsidRDefault="006D6D53" w:rsidP="006D6D53">
            <w:r>
              <w:t>The Manifesto commitment specified an implementation date of 1 April 2021</w:t>
            </w:r>
            <w:r w:rsidR="003672A5">
              <w:t xml:space="preserve"> for abatement threshold increases. </w:t>
            </w:r>
          </w:p>
          <w:p w14:paraId="038288CD" w14:textId="4AC7F697" w:rsidR="006A7872" w:rsidRPr="00C83610" w:rsidRDefault="006A7872" w:rsidP="006D6D53">
            <w:pPr>
              <w:rPr>
                <w:b/>
                <w:bCs/>
              </w:rPr>
            </w:pPr>
            <w:r w:rsidRPr="00C83610">
              <w:rPr>
                <w:b/>
                <w:bCs/>
              </w:rPr>
              <w:t>Legislative vehicle</w:t>
            </w:r>
          </w:p>
          <w:p w14:paraId="65946C87" w14:textId="77777777" w:rsidR="006D6D53" w:rsidRDefault="006D6D53" w:rsidP="006D6D53">
            <w:r>
              <w:t>Changes to abatement thresholds require an Order in Council and regulation amendment. Abatement thresholds for main benefits and New Zealand Superannuation Non-Qualifying Partner are set out in Schedule 2 of the Social Security Act 2018.  An Order in Council under section 452(2)(c) of the Social Security Act 2018 is required to make the abatement threshold increases for main benefits and NZS for April 2021.</w:t>
            </w:r>
          </w:p>
          <w:p w14:paraId="0A1457B4" w14:textId="19AB34D9" w:rsidR="006D6D53" w:rsidRDefault="006D6D53" w:rsidP="006D6D53">
            <w:r>
              <w:t>Abatement thresholds for Veteran’s Pension Non-Qualifying Partner and Veteran’s Pension (under 65) are set out separately in regulation 42A of the Veterans’ Support Regulations 2014, which will also require amendment.</w:t>
            </w:r>
          </w:p>
          <w:p w14:paraId="581728F8" w14:textId="02F6F1F4" w:rsidR="00856980" w:rsidRDefault="001D0536" w:rsidP="006D6D53">
            <w:r>
              <w:t xml:space="preserve">Changes to the MFTC threshold can be made by an Order in Council as set out in sections ME 1(4) and MF 7(1)(d) of the Income Tax Act 2007. However, an Order in Council is required by 1 December for changes to apply from 1 April the following year. </w:t>
            </w:r>
          </w:p>
          <w:p w14:paraId="27D02DB2" w14:textId="7D76067C" w:rsidR="001D0536" w:rsidRDefault="001D0536" w:rsidP="006D6D53">
            <w:r>
              <w:t xml:space="preserve">Therefore, adjustments to the 2020/21 and 2021/22 MFTC thresholds would need to be made via amendments to the Income Tax 2007. </w:t>
            </w:r>
          </w:p>
          <w:p w14:paraId="309062EE" w14:textId="77777777" w:rsidR="006449C8" w:rsidRPr="00C83610" w:rsidRDefault="006A7872" w:rsidP="006449C8">
            <w:pPr>
              <w:rPr>
                <w:b/>
                <w:bCs/>
              </w:rPr>
            </w:pPr>
            <w:r w:rsidRPr="00C83610">
              <w:rPr>
                <w:b/>
                <w:bCs/>
              </w:rPr>
              <w:t>Communication</w:t>
            </w:r>
          </w:p>
          <w:p w14:paraId="6DF431AC" w14:textId="3AD1F964" w:rsidR="006A7872" w:rsidRDefault="0073452B" w:rsidP="00C83610">
            <w:pPr>
              <w:rPr>
                <w:rFonts w:cs="Arial"/>
                <w:szCs w:val="22"/>
              </w:rPr>
            </w:pPr>
            <w:r>
              <w:rPr>
                <w:rFonts w:cs="Arial"/>
                <w:szCs w:val="22"/>
              </w:rPr>
              <w:t xml:space="preserve">A communications plan will be developed to ensure the changes are communicated to staff and the public in advance of implementation. </w:t>
            </w:r>
          </w:p>
          <w:p w14:paraId="7A4698DD" w14:textId="2E3013F6" w:rsidR="006A7872" w:rsidRPr="00C83610" w:rsidRDefault="006A7872" w:rsidP="006D6D53">
            <w:pPr>
              <w:spacing w:after="0" w:line="276" w:lineRule="auto"/>
              <w:rPr>
                <w:rFonts w:cs="Arial"/>
                <w:b/>
                <w:bCs/>
                <w:szCs w:val="22"/>
              </w:rPr>
            </w:pPr>
            <w:r w:rsidRPr="00C83610">
              <w:rPr>
                <w:rFonts w:cs="Arial"/>
                <w:b/>
                <w:bCs/>
                <w:szCs w:val="22"/>
              </w:rPr>
              <w:t>Transitional arrangements</w:t>
            </w:r>
          </w:p>
          <w:p w14:paraId="057A937F" w14:textId="77777777" w:rsidR="006449C8" w:rsidRPr="006449C8" w:rsidRDefault="006449C8" w:rsidP="006D6D53">
            <w:pPr>
              <w:spacing w:after="0" w:line="276" w:lineRule="auto"/>
              <w:rPr>
                <w:rFonts w:cs="Arial"/>
                <w:szCs w:val="22"/>
                <w:u w:val="single"/>
              </w:rPr>
            </w:pPr>
          </w:p>
          <w:p w14:paraId="058F8F8C" w14:textId="5B93EBED" w:rsidR="000F66D4" w:rsidRPr="000F66D4" w:rsidRDefault="000F66D4" w:rsidP="000F66D4">
            <w:pPr>
              <w:spacing w:after="0" w:line="276" w:lineRule="auto"/>
              <w:rPr>
                <w:rFonts w:cs="Arial"/>
                <w:szCs w:val="22"/>
              </w:rPr>
            </w:pPr>
            <w:r w:rsidRPr="000F66D4">
              <w:rPr>
                <w:rFonts w:cs="Arial"/>
                <w:szCs w:val="22"/>
              </w:rPr>
              <w:t xml:space="preserve">A Transitional Assistance Payment (TAP), which is a temporary non-taxable payment, could be considered for the small number of people </w:t>
            </w:r>
            <w:r w:rsidR="0072505B">
              <w:rPr>
                <w:rFonts w:cs="Arial"/>
                <w:szCs w:val="22"/>
              </w:rPr>
              <w:t xml:space="preserve">(around 79 people) </w:t>
            </w:r>
            <w:r w:rsidRPr="000F66D4">
              <w:rPr>
                <w:rFonts w:cs="Arial"/>
                <w:szCs w:val="22"/>
              </w:rPr>
              <w:t>who may be financially disadvantaged by the proposed abatement threshold increases</w:t>
            </w:r>
            <w:r w:rsidR="0073452B">
              <w:rPr>
                <w:rFonts w:cs="Arial"/>
                <w:szCs w:val="22"/>
              </w:rPr>
              <w:t xml:space="preserve"> on 1 April 2021</w:t>
            </w:r>
            <w:r w:rsidRPr="000F66D4">
              <w:rPr>
                <w:rFonts w:cs="Arial"/>
                <w:szCs w:val="22"/>
              </w:rPr>
              <w:t xml:space="preserve">. </w:t>
            </w:r>
          </w:p>
          <w:p w14:paraId="1481AE3A" w14:textId="60899879" w:rsidR="006A7872" w:rsidRPr="0049467D" w:rsidRDefault="006A7872" w:rsidP="006D6D53">
            <w:pPr>
              <w:spacing w:after="0" w:line="276" w:lineRule="auto"/>
              <w:rPr>
                <w:rFonts w:cs="Arial"/>
                <w:szCs w:val="22"/>
              </w:rPr>
            </w:pPr>
          </w:p>
        </w:tc>
      </w:tr>
    </w:tbl>
    <w:p w14:paraId="4A540405" w14:textId="77777777" w:rsidR="0062657E" w:rsidRPr="0049467D" w:rsidRDefault="0062657E" w:rsidP="0049234F">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62657E" w:rsidRPr="000A2B04" w14:paraId="5286D9E7" w14:textId="77777777" w:rsidTr="00346B30">
        <w:trPr>
          <w:trHeight w:val="132"/>
        </w:trPr>
        <w:tc>
          <w:tcPr>
            <w:tcW w:w="9072" w:type="dxa"/>
            <w:shd w:val="clear" w:color="auto" w:fill="99CDDD"/>
          </w:tcPr>
          <w:p w14:paraId="142B0C62" w14:textId="3469C876" w:rsidR="0062657E" w:rsidRPr="000A2B04" w:rsidRDefault="0062657E" w:rsidP="002428A4">
            <w:pPr>
              <w:keepNext/>
              <w:keepLines/>
              <w:spacing w:before="60" w:after="60" w:line="240" w:lineRule="auto"/>
              <w:jc w:val="both"/>
              <w:rPr>
                <w:rFonts w:cs="Arial"/>
                <w:b/>
                <w:color w:val="002060"/>
                <w:lang w:eastAsia="en-AU"/>
              </w:rPr>
            </w:pPr>
            <w:r w:rsidRPr="000A2B04">
              <w:rPr>
                <w:rFonts w:cs="Arial"/>
                <w:b/>
                <w:color w:val="002060"/>
                <w:lang w:eastAsia="en-AU"/>
              </w:rPr>
              <w:br w:type="page"/>
            </w:r>
            <w:r w:rsidR="00F05AD9">
              <w:rPr>
                <w:rFonts w:cs="Arial"/>
                <w:b/>
                <w:lang w:eastAsia="en-AU"/>
              </w:rPr>
              <w:t xml:space="preserve">6.2   </w:t>
            </w:r>
            <w:r w:rsidRPr="006172F1">
              <w:rPr>
                <w:rFonts w:cs="Arial"/>
                <w:b/>
                <w:lang w:eastAsia="en-AU"/>
              </w:rPr>
              <w:t>What are the implementation risks?</w:t>
            </w:r>
          </w:p>
        </w:tc>
      </w:tr>
      <w:tr w:rsidR="0062657E" w:rsidRPr="0049467D" w14:paraId="69E0D897" w14:textId="77777777" w:rsidTr="00346B30">
        <w:trPr>
          <w:trHeight w:val="3174"/>
        </w:trPr>
        <w:tc>
          <w:tcPr>
            <w:tcW w:w="9072" w:type="dxa"/>
            <w:shd w:val="clear" w:color="auto" w:fill="FFFFFF"/>
          </w:tcPr>
          <w:p w14:paraId="3C967707" w14:textId="24594866" w:rsidR="00BC4B79" w:rsidRPr="00D4361D" w:rsidRDefault="00B07594" w:rsidP="00431CA7">
            <w:pPr>
              <w:rPr>
                <w:i/>
                <w:iCs/>
              </w:rPr>
            </w:pPr>
            <w:r>
              <w:rPr>
                <w:b/>
                <w:bCs/>
                <w:i/>
                <w:iCs/>
              </w:rPr>
              <w:t>Minimal implementation risks with the a</w:t>
            </w:r>
            <w:r w:rsidR="00BC4B79" w:rsidRPr="00D4361D">
              <w:rPr>
                <w:b/>
                <w:bCs/>
                <w:i/>
                <w:iCs/>
              </w:rPr>
              <w:t>batement threshold increases</w:t>
            </w:r>
          </w:p>
          <w:p w14:paraId="56A8BA89" w14:textId="1F34831B" w:rsidR="00DF0ACA" w:rsidRDefault="00DF0ACA" w:rsidP="00431CA7">
            <w:r>
              <w:t xml:space="preserve">Implementation risks for abatement thresholds are minimal. The changes will use existing administrative structures and will not require any new service design. </w:t>
            </w:r>
          </w:p>
          <w:p w14:paraId="52D841BE" w14:textId="27708A3D" w:rsidR="0073452B" w:rsidRDefault="0073452B" w:rsidP="00431CA7">
            <w:r>
              <w:t>There is a potential for public confusion around the proposed increases, as</w:t>
            </w:r>
            <w:r w:rsidR="00BC4B79">
              <w:t xml:space="preserve"> this proposal overrides the</w:t>
            </w:r>
            <w:r>
              <w:t xml:space="preserve"> </w:t>
            </w:r>
            <w:r w:rsidR="00BC4B79">
              <w:t>four-year adjustments to the abatement thresholds secured through Budget 2019. A communications plan will be developed to ensure sufficient information is provided to both staff and the public through various platforms, including MSD’s website.</w:t>
            </w:r>
          </w:p>
          <w:p w14:paraId="5ABA7F83" w14:textId="103B2715" w:rsidR="0062657E" w:rsidRPr="00D4361D" w:rsidRDefault="00B07594" w:rsidP="0049467D">
            <w:pPr>
              <w:spacing w:after="0" w:line="276" w:lineRule="auto"/>
              <w:rPr>
                <w:rFonts w:cs="Arial"/>
                <w:b/>
                <w:bCs/>
                <w:i/>
                <w:iCs/>
                <w:szCs w:val="22"/>
              </w:rPr>
            </w:pPr>
            <w:r>
              <w:rPr>
                <w:rFonts w:cs="Arial"/>
                <w:b/>
                <w:bCs/>
                <w:i/>
                <w:iCs/>
                <w:szCs w:val="22"/>
              </w:rPr>
              <w:t>Some implementation risks with the a</w:t>
            </w:r>
            <w:r w:rsidR="00D4361D" w:rsidRPr="00D4361D">
              <w:rPr>
                <w:rFonts w:cs="Arial"/>
                <w:b/>
                <w:bCs/>
                <w:i/>
                <w:iCs/>
                <w:szCs w:val="22"/>
              </w:rPr>
              <w:t>djustments to Minimum Family Tax Credit</w:t>
            </w:r>
          </w:p>
          <w:p w14:paraId="15D0854F" w14:textId="57CA9C44" w:rsidR="00595ECE" w:rsidRDefault="00595ECE" w:rsidP="0049467D">
            <w:pPr>
              <w:spacing w:after="0" w:line="276" w:lineRule="auto"/>
              <w:rPr>
                <w:rFonts w:cs="Arial"/>
                <w:szCs w:val="22"/>
              </w:rPr>
            </w:pPr>
          </w:p>
          <w:p w14:paraId="660137E8" w14:textId="6E9A8A4D" w:rsidR="00D4361D" w:rsidRDefault="00D4361D" w:rsidP="0049467D">
            <w:pPr>
              <w:spacing w:after="0" w:line="276" w:lineRule="auto"/>
              <w:rPr>
                <w:rFonts w:cs="Arial"/>
                <w:szCs w:val="22"/>
              </w:rPr>
            </w:pPr>
            <w:r>
              <w:rPr>
                <w:rFonts w:cs="Arial"/>
                <w:szCs w:val="22"/>
              </w:rPr>
              <w:t xml:space="preserve">A partial increase to the 2021/22 MFTC threshold may cause confusion with </w:t>
            </w:r>
            <w:r w:rsidR="00B711ED">
              <w:rPr>
                <w:rFonts w:cs="Arial"/>
                <w:szCs w:val="22"/>
              </w:rPr>
              <w:t>some people</w:t>
            </w:r>
            <w:r>
              <w:rPr>
                <w:rFonts w:cs="Arial"/>
                <w:szCs w:val="22"/>
              </w:rPr>
              <w:t xml:space="preserve"> as to which option </w:t>
            </w:r>
            <w:r w:rsidR="00825BFB">
              <w:rPr>
                <w:rFonts w:cs="Arial"/>
                <w:szCs w:val="22"/>
              </w:rPr>
              <w:t xml:space="preserve">they would be better off under. Some </w:t>
            </w:r>
            <w:r w:rsidR="00CB7924">
              <w:rPr>
                <w:rFonts w:cs="Arial"/>
                <w:szCs w:val="22"/>
              </w:rPr>
              <w:t xml:space="preserve">two-parent </w:t>
            </w:r>
            <w:r w:rsidR="00825BFB">
              <w:rPr>
                <w:rFonts w:cs="Arial"/>
                <w:szCs w:val="22"/>
              </w:rPr>
              <w:t xml:space="preserve">families may be better off </w:t>
            </w:r>
            <w:r w:rsidR="00CB7924">
              <w:rPr>
                <w:rFonts w:cs="Arial"/>
                <w:szCs w:val="22"/>
              </w:rPr>
              <w:t xml:space="preserve">working and receiving </w:t>
            </w:r>
            <w:r w:rsidR="00825BFB">
              <w:rPr>
                <w:rFonts w:cs="Arial"/>
                <w:szCs w:val="22"/>
              </w:rPr>
              <w:t>benefit than working and receiving the MFTC</w:t>
            </w:r>
            <w:r w:rsidR="00666BA9">
              <w:rPr>
                <w:rFonts w:cs="Arial"/>
                <w:szCs w:val="22"/>
              </w:rPr>
              <w:t>,</w:t>
            </w:r>
            <w:r w:rsidR="00825BFB">
              <w:rPr>
                <w:rFonts w:cs="Arial"/>
                <w:szCs w:val="22"/>
              </w:rPr>
              <w:t xml:space="preserve"> but for one reason </w:t>
            </w:r>
            <w:r w:rsidR="00825BFB">
              <w:rPr>
                <w:rFonts w:cs="Arial"/>
                <w:szCs w:val="22"/>
              </w:rPr>
              <w:lastRenderedPageBreak/>
              <w:t>or another remain on</w:t>
            </w:r>
            <w:r w:rsidR="00AF3711">
              <w:rPr>
                <w:rFonts w:cs="Arial"/>
                <w:szCs w:val="22"/>
              </w:rPr>
              <w:t xml:space="preserve"> the</w:t>
            </w:r>
            <w:r w:rsidR="00825BFB">
              <w:rPr>
                <w:rFonts w:cs="Arial"/>
                <w:szCs w:val="22"/>
              </w:rPr>
              <w:t xml:space="preserve"> MFTC</w:t>
            </w:r>
            <w:r w:rsidR="00B711ED">
              <w:rPr>
                <w:rFonts w:cs="Arial"/>
                <w:szCs w:val="22"/>
              </w:rPr>
              <w:t xml:space="preserve"> </w:t>
            </w:r>
            <w:r w:rsidR="00825BFB">
              <w:rPr>
                <w:rFonts w:cs="Arial"/>
                <w:szCs w:val="22"/>
              </w:rPr>
              <w:t>and receiv</w:t>
            </w:r>
            <w:r w:rsidR="007D433D">
              <w:rPr>
                <w:rFonts w:cs="Arial"/>
                <w:szCs w:val="22"/>
              </w:rPr>
              <w:t>e</w:t>
            </w:r>
            <w:r w:rsidR="00825BFB">
              <w:rPr>
                <w:rFonts w:cs="Arial"/>
                <w:szCs w:val="22"/>
              </w:rPr>
              <w:t xml:space="preserve"> less than what they may be entitled to. </w:t>
            </w:r>
            <w:r w:rsidR="00AC163D">
              <w:t>Material will be developed to ensure sufficient information about the MFTC adjustments are available to both staff and the public through various platforms, including IR’s website.</w:t>
            </w:r>
          </w:p>
          <w:p w14:paraId="0AA4A87F" w14:textId="7B96DF4B" w:rsidR="00D4361D" w:rsidRPr="0049467D" w:rsidRDefault="00D4361D" w:rsidP="0049467D">
            <w:pPr>
              <w:spacing w:after="0" w:line="276" w:lineRule="auto"/>
              <w:rPr>
                <w:rFonts w:cs="Arial"/>
                <w:szCs w:val="22"/>
              </w:rPr>
            </w:pPr>
          </w:p>
        </w:tc>
      </w:tr>
    </w:tbl>
    <w:p w14:paraId="71E20B7E" w14:textId="70ACB900" w:rsidR="0062657E" w:rsidRPr="0005691A" w:rsidRDefault="0062657E" w:rsidP="002428A4">
      <w:pPr>
        <w:spacing w:after="120" w:line="276" w:lineRule="auto"/>
        <w:rPr>
          <w:rFonts w:cs="Arial"/>
          <w:b/>
          <w:color w:val="0082AB"/>
          <w:spacing w:val="20"/>
          <w:w w:val="90"/>
          <w:sz w:val="32"/>
          <w:szCs w:val="24"/>
        </w:rPr>
      </w:pPr>
      <w:r>
        <w:rPr>
          <w:rFonts w:cs="Arial"/>
          <w:sz w:val="20"/>
          <w:lang w:eastAsia="en-AU"/>
        </w:rPr>
        <w:lastRenderedPageBreak/>
        <w:br w:type="page"/>
      </w:r>
      <w:r w:rsidRPr="0005691A">
        <w:rPr>
          <w:rFonts w:cs="Arial"/>
          <w:b/>
          <w:color w:val="0082AB"/>
          <w:spacing w:val="20"/>
          <w:w w:val="90"/>
          <w:sz w:val="32"/>
          <w:szCs w:val="24"/>
        </w:rPr>
        <w:lastRenderedPageBreak/>
        <w:t>Section 7:</w:t>
      </w:r>
      <w:r w:rsidR="002E487F">
        <w:rPr>
          <w:rFonts w:cs="Arial"/>
          <w:b/>
          <w:color w:val="0082AB"/>
          <w:spacing w:val="20"/>
          <w:w w:val="90"/>
          <w:sz w:val="32"/>
          <w:szCs w:val="24"/>
        </w:rPr>
        <w:t xml:space="preserve"> </w:t>
      </w:r>
      <w:r w:rsidRPr="0005691A">
        <w:rPr>
          <w:rFonts w:cs="Arial"/>
          <w:b/>
          <w:color w:val="0082AB"/>
          <w:spacing w:val="20"/>
          <w:w w:val="90"/>
          <w:sz w:val="32"/>
          <w:szCs w:val="24"/>
        </w:rPr>
        <w:t>Monitoring, evaluation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32426E84" w14:textId="77777777" w:rsidTr="00346B30">
        <w:trPr>
          <w:trHeight w:val="206"/>
        </w:trPr>
        <w:tc>
          <w:tcPr>
            <w:tcW w:w="9072" w:type="dxa"/>
            <w:shd w:val="clear" w:color="auto" w:fill="99CDDD"/>
          </w:tcPr>
          <w:p w14:paraId="07DFDD88" w14:textId="7F5570B6" w:rsidR="0062657E" w:rsidRPr="0049467D" w:rsidRDefault="00F05AD9" w:rsidP="006356D0">
            <w:pPr>
              <w:keepNext/>
              <w:spacing w:before="60" w:after="60" w:line="240" w:lineRule="auto"/>
              <w:jc w:val="both"/>
              <w:rPr>
                <w:rFonts w:cs="Arial"/>
                <w:b/>
                <w:szCs w:val="22"/>
                <w:lang w:eastAsia="en-AU"/>
              </w:rPr>
            </w:pPr>
            <w:r>
              <w:rPr>
                <w:rFonts w:cs="Arial"/>
                <w:b/>
                <w:szCs w:val="22"/>
                <w:lang w:eastAsia="en-AU"/>
              </w:rPr>
              <w:br w:type="page"/>
              <w:t xml:space="preserve">7.1   </w:t>
            </w:r>
            <w:r w:rsidR="0062657E" w:rsidRPr="0049467D">
              <w:rPr>
                <w:rFonts w:cs="Arial"/>
                <w:b/>
                <w:szCs w:val="22"/>
                <w:lang w:eastAsia="en-AU"/>
              </w:rPr>
              <w:t>How will the impact of the new arrangements be monitored?</w:t>
            </w:r>
          </w:p>
        </w:tc>
      </w:tr>
      <w:tr w:rsidR="0049467D" w:rsidRPr="0049467D" w14:paraId="32263D90" w14:textId="77777777" w:rsidTr="00346B30">
        <w:trPr>
          <w:trHeight w:val="3573"/>
        </w:trPr>
        <w:tc>
          <w:tcPr>
            <w:tcW w:w="9072" w:type="dxa"/>
            <w:shd w:val="clear" w:color="auto" w:fill="FFFFFF"/>
          </w:tcPr>
          <w:p w14:paraId="339D18FE" w14:textId="485702AE" w:rsidR="009070C5" w:rsidRPr="009070C5" w:rsidRDefault="00B07594" w:rsidP="009070C5">
            <w:pPr>
              <w:spacing w:after="120" w:line="276" w:lineRule="auto"/>
              <w:rPr>
                <w:b/>
                <w:bCs/>
                <w:i/>
                <w:iCs/>
              </w:rPr>
            </w:pPr>
            <w:r>
              <w:rPr>
                <w:b/>
                <w:bCs/>
                <w:i/>
                <w:iCs/>
              </w:rPr>
              <w:t>Behavioural changes arising from a</w:t>
            </w:r>
            <w:r w:rsidR="009070C5">
              <w:rPr>
                <w:b/>
                <w:bCs/>
                <w:i/>
                <w:iCs/>
              </w:rPr>
              <w:t>batement threshold increases</w:t>
            </w:r>
            <w:r>
              <w:rPr>
                <w:b/>
                <w:bCs/>
                <w:i/>
                <w:iCs/>
              </w:rPr>
              <w:t xml:space="preserve"> can be monitored using administrative data</w:t>
            </w:r>
          </w:p>
          <w:p w14:paraId="3AA30FC0" w14:textId="021F086B" w:rsidR="009070C5" w:rsidRDefault="00BC1BBF" w:rsidP="002C2AEE">
            <w:pPr>
              <w:spacing w:after="0" w:line="276" w:lineRule="auto"/>
            </w:pPr>
            <w:r>
              <w:t>MSD will be able to use administrative data to monitor the trend</w:t>
            </w:r>
            <w:r w:rsidR="007D433D">
              <w:t>s</w:t>
            </w:r>
            <w:r>
              <w:t xml:space="preserve"> in declared income before and after changes to abatement thresholds</w:t>
            </w:r>
            <w:r w:rsidR="009070C5">
              <w:t>, including the trends for different subgroups (</w:t>
            </w:r>
            <w:proofErr w:type="spellStart"/>
            <w:r w:rsidR="009070C5">
              <w:t>eg</w:t>
            </w:r>
            <w:proofErr w:type="spellEnd"/>
            <w:r w:rsidR="009070C5">
              <w:t>, Māori, Pacific people, sole parents, people with a health condition or disability)</w:t>
            </w:r>
            <w:r>
              <w:t xml:space="preserve">. </w:t>
            </w:r>
          </w:p>
          <w:p w14:paraId="406F6523" w14:textId="77777777" w:rsidR="009070C5" w:rsidRDefault="009070C5" w:rsidP="002C2AEE">
            <w:pPr>
              <w:spacing w:after="0" w:line="276" w:lineRule="auto"/>
            </w:pPr>
          </w:p>
          <w:p w14:paraId="3B771DEA" w14:textId="22AC7447" w:rsidR="00BC1BBF" w:rsidRDefault="00BC1BBF" w:rsidP="002C2AEE">
            <w:pPr>
              <w:spacing w:after="0" w:line="276" w:lineRule="auto"/>
            </w:pPr>
            <w:r>
              <w:t xml:space="preserve">An expected trend following the abatement threshold changes would be an increase in the level of income that clients declare to MSD, as a result of clients taking up extra work in response to the changes. </w:t>
            </w:r>
            <w:r w:rsidR="005F5995">
              <w:t>There may</w:t>
            </w:r>
            <w:r>
              <w:t xml:space="preserve"> also </w:t>
            </w:r>
            <w:r w:rsidR="005F5995">
              <w:t xml:space="preserve">be </w:t>
            </w:r>
            <w:r>
              <w:t>a signalling effect (</w:t>
            </w:r>
            <w:proofErr w:type="spellStart"/>
            <w:r>
              <w:t>ie</w:t>
            </w:r>
            <w:proofErr w:type="spellEnd"/>
            <w:r>
              <w:t>, changed behaviour) ahead of the changes.</w:t>
            </w:r>
          </w:p>
          <w:p w14:paraId="5035D439" w14:textId="3C1B6374" w:rsidR="00D4361D" w:rsidRDefault="00D4361D" w:rsidP="002C2AEE">
            <w:pPr>
              <w:spacing w:after="0" w:line="276" w:lineRule="auto"/>
            </w:pPr>
          </w:p>
          <w:p w14:paraId="01C31D54" w14:textId="4CF589BB" w:rsidR="00D4361D" w:rsidRDefault="00B07594" w:rsidP="002C2AEE">
            <w:pPr>
              <w:spacing w:after="0" w:line="276" w:lineRule="auto"/>
              <w:rPr>
                <w:b/>
                <w:bCs/>
                <w:i/>
                <w:iCs/>
              </w:rPr>
            </w:pPr>
            <w:r>
              <w:rPr>
                <w:b/>
                <w:bCs/>
                <w:i/>
                <w:iCs/>
              </w:rPr>
              <w:t>Behavioural changes arising from a</w:t>
            </w:r>
            <w:r w:rsidR="00D4361D">
              <w:rPr>
                <w:b/>
                <w:bCs/>
                <w:i/>
                <w:iCs/>
              </w:rPr>
              <w:t>djustments to the Minimum Family Tax Credit</w:t>
            </w:r>
            <w:r>
              <w:rPr>
                <w:b/>
                <w:bCs/>
                <w:i/>
                <w:iCs/>
              </w:rPr>
              <w:t xml:space="preserve"> can be monitored using administrative data</w:t>
            </w:r>
          </w:p>
          <w:p w14:paraId="1B1E093C" w14:textId="6A5510F2" w:rsidR="00D4361D" w:rsidRDefault="00D4361D" w:rsidP="002C2AEE">
            <w:pPr>
              <w:spacing w:after="0" w:line="276" w:lineRule="auto"/>
              <w:rPr>
                <w:b/>
                <w:bCs/>
                <w:i/>
                <w:iCs/>
              </w:rPr>
            </w:pPr>
          </w:p>
          <w:p w14:paraId="3C5208BE" w14:textId="79D6F44B" w:rsidR="00BC1BBF" w:rsidRPr="0070201A" w:rsidRDefault="00D4361D" w:rsidP="004631C7">
            <w:r w:rsidRPr="00D4361D">
              <w:t>The effects of</w:t>
            </w:r>
            <w:r w:rsidR="00AF3711">
              <w:t xml:space="preserve"> the</w:t>
            </w:r>
            <w:r w:rsidRPr="00D4361D">
              <w:t xml:space="preserve"> MFTC threshold alignment</w:t>
            </w:r>
            <w:r w:rsidR="00AF3711">
              <w:t>s</w:t>
            </w:r>
            <w:r w:rsidRPr="00D4361D">
              <w:t xml:space="preserve"> can be monitored using data </w:t>
            </w:r>
            <w:r>
              <w:t>IR</w:t>
            </w:r>
            <w:r w:rsidRPr="00D4361D">
              <w:t xml:space="preserve"> currently collects as part of administering the MFTC. This includes the number of MFTC recipients, the nature of those families, the amount of MFTC payments made, and</w:t>
            </w:r>
            <w:r w:rsidR="007D433D">
              <w:t xml:space="preserve"> MFTC recipient </w:t>
            </w:r>
            <w:r w:rsidRPr="00D4361D">
              <w:t>movement between the MFTC and the benefit. This administrative data will show what effect</w:t>
            </w:r>
            <w:r w:rsidR="00AF3711">
              <w:t xml:space="preserve"> the</w:t>
            </w:r>
            <w:r w:rsidRPr="00D4361D">
              <w:t xml:space="preserve"> MFTC alignment changes have on the up take of the credit, and the actual fiscal cost to the Government of the chosen settings.</w:t>
            </w:r>
          </w:p>
        </w:tc>
      </w:tr>
    </w:tbl>
    <w:p w14:paraId="00147D4E" w14:textId="77777777" w:rsidR="0062657E" w:rsidRPr="0049467D" w:rsidRDefault="0062657E" w:rsidP="0049234F">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05CB5139" w14:textId="77777777" w:rsidTr="00346B30">
        <w:trPr>
          <w:trHeight w:val="296"/>
        </w:trPr>
        <w:tc>
          <w:tcPr>
            <w:tcW w:w="9072" w:type="dxa"/>
            <w:shd w:val="clear" w:color="auto" w:fill="99CDDD"/>
          </w:tcPr>
          <w:p w14:paraId="2D17D175" w14:textId="7212FFDE" w:rsidR="0062657E" w:rsidRPr="0049467D" w:rsidRDefault="00F05AD9" w:rsidP="006356D0">
            <w:pPr>
              <w:keepNext/>
              <w:spacing w:before="60" w:after="60" w:line="240" w:lineRule="auto"/>
              <w:jc w:val="both"/>
              <w:rPr>
                <w:rFonts w:cs="Arial"/>
                <w:b/>
                <w:szCs w:val="22"/>
                <w:lang w:eastAsia="en-AU"/>
              </w:rPr>
            </w:pPr>
            <w:r>
              <w:rPr>
                <w:rFonts w:cs="Arial"/>
                <w:b/>
                <w:szCs w:val="22"/>
                <w:lang w:eastAsia="en-AU"/>
              </w:rPr>
              <w:br w:type="page"/>
              <w:t xml:space="preserve">7.2   </w:t>
            </w:r>
            <w:r w:rsidR="0062657E" w:rsidRPr="0049467D">
              <w:rPr>
                <w:rFonts w:cs="Arial"/>
                <w:b/>
                <w:szCs w:val="22"/>
                <w:lang w:eastAsia="en-AU"/>
              </w:rPr>
              <w:t xml:space="preserve">When and how will the new arrangements be reviewed? </w:t>
            </w:r>
          </w:p>
        </w:tc>
      </w:tr>
      <w:tr w:rsidR="0049467D" w:rsidRPr="0049467D" w14:paraId="2A6536B0" w14:textId="77777777" w:rsidTr="00346B30">
        <w:trPr>
          <w:trHeight w:val="3314"/>
        </w:trPr>
        <w:tc>
          <w:tcPr>
            <w:tcW w:w="9072" w:type="dxa"/>
            <w:shd w:val="clear" w:color="auto" w:fill="FFFFFF"/>
          </w:tcPr>
          <w:p w14:paraId="2DB39E14" w14:textId="3BB92A40" w:rsidR="0062657E" w:rsidRDefault="00BC4B79" w:rsidP="0049467D">
            <w:pPr>
              <w:spacing w:after="0" w:line="276" w:lineRule="auto"/>
            </w:pPr>
            <w:r>
              <w:t>As part of the Welfare Overhaul work programme, MSD is working on</w:t>
            </w:r>
            <w:r w:rsidR="00B07594">
              <w:t xml:space="preserve"> developing</w:t>
            </w:r>
            <w:r>
              <w:t xml:space="preserve"> a measure </w:t>
            </w:r>
            <w:r w:rsidR="00B07594">
              <w:t>of</w:t>
            </w:r>
            <w:r>
              <w:t xml:space="preserve"> a client’s total income, and regular</w:t>
            </w:r>
            <w:r w:rsidR="00B07594">
              <w:t>ly</w:t>
            </w:r>
            <w:r>
              <w:t xml:space="preserve"> report</w:t>
            </w:r>
            <w:r w:rsidR="00B07594">
              <w:t>ing</w:t>
            </w:r>
            <w:r>
              <w:t xml:space="preserve"> </w:t>
            </w:r>
            <w:r w:rsidR="00B07594">
              <w:t xml:space="preserve">on </w:t>
            </w:r>
            <w:r>
              <w:t>this measure. Progression of this work will allow for reporting on this measure past 2021</w:t>
            </w:r>
            <w:r w:rsidR="00B07594">
              <w:t xml:space="preserve">. The measure will allow MSD to analyse </w:t>
            </w:r>
            <w:r w:rsidR="009070C5">
              <w:t xml:space="preserve">the </w:t>
            </w:r>
            <w:proofErr w:type="gramStart"/>
            <w:r w:rsidR="009070C5">
              <w:t>longer term</w:t>
            </w:r>
            <w:proofErr w:type="gramEnd"/>
            <w:r>
              <w:t xml:space="preserve"> impact of this policy</w:t>
            </w:r>
            <w:r w:rsidR="009070C5">
              <w:t xml:space="preserve"> on client outcomes</w:t>
            </w:r>
            <w:r>
              <w:t>.</w:t>
            </w:r>
          </w:p>
          <w:p w14:paraId="286B2F5B" w14:textId="77777777" w:rsidR="00D4361D" w:rsidRDefault="00D4361D" w:rsidP="0049467D">
            <w:pPr>
              <w:spacing w:after="0" w:line="276" w:lineRule="auto"/>
              <w:rPr>
                <w:rFonts w:cs="Arial"/>
                <w:szCs w:val="22"/>
              </w:rPr>
            </w:pPr>
          </w:p>
          <w:p w14:paraId="330476A6" w14:textId="7009A876" w:rsidR="00D4361D" w:rsidRPr="00D4361D" w:rsidRDefault="00D4361D" w:rsidP="00D4361D">
            <w:r w:rsidRPr="00D4361D">
              <w:t xml:space="preserve">In December 2020, officials intend to provide advice to joint Ministers on a potential scope for a work programme to review </w:t>
            </w:r>
            <w:r>
              <w:t>WFF</w:t>
            </w:r>
            <w:r w:rsidRPr="00D4361D">
              <w:t xml:space="preserve">, which includes the MFTC. </w:t>
            </w:r>
            <w:r w:rsidR="007E3458" w:rsidRPr="00571F03">
              <w:rPr>
                <w:color w:val="BFBFBF" w:themeColor="background1" w:themeShade="BF"/>
                <w:shd w:val="clear" w:color="auto" w:fill="BFBFBF" w:themeFill="background1" w:themeFillShade="BF"/>
              </w:rPr>
              <w:t>.</w:t>
            </w:r>
            <w:r w:rsidR="007E3458" w:rsidRPr="00571F03">
              <w:rPr>
                <w:shd w:val="clear" w:color="auto" w:fill="BFBFBF" w:themeFill="background1" w:themeFillShade="BF"/>
              </w:rPr>
              <w:t>s 9(2)(f)(iv)</w:t>
            </w:r>
            <w:r w:rsidR="007E3458" w:rsidRPr="00571F03">
              <w:rPr>
                <w:color w:val="BFBFBF" w:themeColor="background1" w:themeShade="BF"/>
                <w:shd w:val="clear" w:color="auto" w:fill="BFBFBF" w:themeFill="background1" w:themeFillShade="BF"/>
              </w:rPr>
              <w:t>…………</w:t>
            </w:r>
            <w:proofErr w:type="gramStart"/>
            <w:r w:rsidR="007E3458" w:rsidRPr="00571F03">
              <w:rPr>
                <w:color w:val="BFBFBF" w:themeColor="background1" w:themeShade="BF"/>
                <w:shd w:val="clear" w:color="auto" w:fill="BFBFBF" w:themeFill="background1" w:themeFillShade="BF"/>
              </w:rPr>
              <w:t>…..</w:t>
            </w:r>
            <w:proofErr w:type="gramEnd"/>
            <w:r w:rsidR="007E3458" w:rsidRPr="00571F03">
              <w:rPr>
                <w:color w:val="BFBFBF" w:themeColor="background1" w:themeShade="BF"/>
                <w:shd w:val="clear" w:color="auto" w:fill="BFBFBF" w:themeFill="background1" w:themeFillShade="BF"/>
              </w:rPr>
              <w:br/>
              <w:t>………………………………………………………………………………………………………..</w:t>
            </w:r>
            <w:r w:rsidR="007E3458" w:rsidRPr="00571F03">
              <w:rPr>
                <w:color w:val="BFBFBF" w:themeColor="background1" w:themeShade="BF"/>
                <w:shd w:val="clear" w:color="auto" w:fill="BFBFBF" w:themeFill="background1" w:themeFillShade="BF"/>
              </w:rPr>
              <w:br/>
              <w:t>…</w:t>
            </w:r>
            <w:r w:rsidR="00571F03" w:rsidRPr="00571F03">
              <w:rPr>
                <w:color w:val="BFBFBF" w:themeColor="background1" w:themeShade="BF"/>
                <w:shd w:val="clear" w:color="auto" w:fill="BFBFBF" w:themeFill="background1" w:themeFillShade="BF"/>
              </w:rPr>
              <w:t>………..</w:t>
            </w:r>
            <w:r w:rsidRPr="00D4361D">
              <w:t xml:space="preserve"> The WFF review </w:t>
            </w:r>
            <w:r w:rsidR="00B07594">
              <w:t>is</w:t>
            </w:r>
            <w:r w:rsidRPr="00D4361D">
              <w:t xml:space="preserve"> part of the broader welfare overhaul work programme and </w:t>
            </w:r>
            <w:r w:rsidR="00B07594">
              <w:t>is expected to take</w:t>
            </w:r>
            <w:r w:rsidRPr="00D4361D">
              <w:t xml:space="preserve"> at least 12 months</w:t>
            </w:r>
            <w:r w:rsidR="00B07594">
              <w:t>. Any</w:t>
            </w:r>
            <w:r w:rsidRPr="00D4361D">
              <w:t xml:space="preserve"> changes </w:t>
            </w:r>
            <w:r w:rsidR="00B07594">
              <w:t xml:space="preserve">to WFF </w:t>
            </w:r>
            <w:r w:rsidRPr="00D4361D">
              <w:t xml:space="preserve">through legislative amendment would take even longer to implement.  </w:t>
            </w:r>
          </w:p>
          <w:p w14:paraId="43979CBF" w14:textId="030A1CA0" w:rsidR="00D4361D" w:rsidRPr="0049467D" w:rsidRDefault="00D4361D" w:rsidP="00D4361D">
            <w:pPr>
              <w:rPr>
                <w:rFonts w:cs="Arial"/>
                <w:szCs w:val="22"/>
              </w:rPr>
            </w:pPr>
            <w:r w:rsidRPr="00D4361D">
              <w:t>It is noted that, subject to any change in Government policy on the alignment of the MFTC threshold to future changes to benefit rates or abatement</w:t>
            </w:r>
            <w:r w:rsidR="007D433D">
              <w:t xml:space="preserve"> settings</w:t>
            </w:r>
            <w:r w:rsidRPr="00D4361D">
              <w:t>, further reviews of the MFTC threshold will be required annually.</w:t>
            </w:r>
            <w:r>
              <w:t xml:space="preserve"> </w:t>
            </w:r>
          </w:p>
        </w:tc>
      </w:tr>
    </w:tbl>
    <w:p w14:paraId="07EFB59D" w14:textId="77777777" w:rsidR="00397C8D" w:rsidRPr="0049467D" w:rsidRDefault="00397C8D" w:rsidP="0049234F">
      <w:pPr>
        <w:pStyle w:val="spacer"/>
      </w:pPr>
    </w:p>
    <w:sectPr w:rsidR="00397C8D" w:rsidRPr="0049467D" w:rsidSect="0005691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694F" w14:textId="77777777" w:rsidR="007E3458" w:rsidRDefault="007E3458">
      <w:pPr>
        <w:spacing w:after="0" w:line="240" w:lineRule="auto"/>
      </w:pPr>
      <w:r>
        <w:separator/>
      </w:r>
    </w:p>
  </w:endnote>
  <w:endnote w:type="continuationSeparator" w:id="0">
    <w:p w14:paraId="710B2B98" w14:textId="77777777" w:rsidR="007E3458" w:rsidRDefault="007E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D3C9" w14:textId="47579498" w:rsidR="007E3458" w:rsidRPr="009435C4" w:rsidRDefault="007E3458" w:rsidP="00743278">
    <w:pPr>
      <w:pStyle w:val="Footer"/>
    </w:pPr>
    <w:r>
      <w:rPr>
        <w:sz w:val="14"/>
      </w:rPr>
      <w:tab/>
    </w:r>
    <w:r>
      <w:t xml:space="preserve">Full Impact Statement Template   </w:t>
    </w:r>
    <w:r w:rsidRPr="009435C4">
      <w:t xml:space="preserve">|   </w:t>
    </w:r>
    <w:r w:rsidRPr="009435C4">
      <w:fldChar w:fldCharType="begin"/>
    </w:r>
    <w:r w:rsidRPr="009435C4">
      <w:instrText xml:space="preserve"> PAGE </w:instrText>
    </w:r>
    <w:r w:rsidRPr="009435C4">
      <w:fldChar w:fldCharType="separate"/>
    </w:r>
    <w:r>
      <w:t>8</w:t>
    </w:r>
    <w:r w:rsidRPr="009435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82A0" w14:textId="26DC00FA" w:rsidR="007E3458" w:rsidRPr="009435C4" w:rsidRDefault="007E3458" w:rsidP="00743278">
    <w:pPr>
      <w:pStyle w:val="Footer"/>
    </w:pPr>
    <w:r>
      <w:rPr>
        <w:sz w:val="14"/>
      </w:rPr>
      <w:tab/>
    </w:r>
    <w:r>
      <w:rPr>
        <w:sz w:val="14"/>
      </w:rPr>
      <w:tab/>
    </w:r>
    <w:r>
      <w:t xml:space="preserve">Full Impact Statement Template   </w:t>
    </w:r>
    <w:r w:rsidRPr="009435C4">
      <w:t xml:space="preserve">|   </w:t>
    </w:r>
    <w:r w:rsidRPr="009435C4">
      <w:fldChar w:fldCharType="begin"/>
    </w:r>
    <w:r w:rsidRPr="009435C4">
      <w:instrText xml:space="preserve"> PAGE </w:instrText>
    </w:r>
    <w:r w:rsidRPr="009435C4">
      <w:fldChar w:fldCharType="separate"/>
    </w:r>
    <w:r>
      <w:t>9</w:t>
    </w:r>
    <w:r w:rsidRPr="009435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69A0" w14:textId="77777777" w:rsidR="007E3458" w:rsidRDefault="007E3458" w:rsidP="007432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86C0" w14:textId="0B721718" w:rsidR="007E3458" w:rsidRPr="00743278" w:rsidRDefault="007E3458" w:rsidP="00743278">
    <w:pPr>
      <w:pStyle w:val="Footer"/>
    </w:pPr>
    <w:r>
      <w:rPr>
        <w:sz w:val="14"/>
      </w:rPr>
      <w:tab/>
    </w:r>
    <w:r>
      <w:t xml:space="preserve">Full Impact Statement Template   </w:t>
    </w:r>
    <w:r w:rsidRPr="009435C4">
      <w:t xml:space="preserve">|   </w:t>
    </w:r>
    <w:r w:rsidRPr="009435C4">
      <w:fldChar w:fldCharType="begin"/>
    </w:r>
    <w:r w:rsidRPr="009435C4">
      <w:instrText xml:space="preserve"> PAGE </w:instrText>
    </w:r>
    <w:r w:rsidRPr="009435C4">
      <w:fldChar w:fldCharType="separate"/>
    </w:r>
    <w:r>
      <w:t>15</w:t>
    </w:r>
    <w:r w:rsidRPr="009435C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9C02" w14:textId="77777777" w:rsidR="007E3458" w:rsidRDefault="007E3458" w:rsidP="0074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8D208" w14:textId="77777777" w:rsidR="007E3458" w:rsidRDefault="007E3458">
      <w:pPr>
        <w:spacing w:after="0" w:line="240" w:lineRule="auto"/>
      </w:pPr>
      <w:r>
        <w:separator/>
      </w:r>
    </w:p>
  </w:footnote>
  <w:footnote w:type="continuationSeparator" w:id="0">
    <w:p w14:paraId="23EFD557" w14:textId="77777777" w:rsidR="007E3458" w:rsidRDefault="007E3458">
      <w:pPr>
        <w:spacing w:after="0" w:line="240" w:lineRule="auto"/>
      </w:pPr>
      <w:r>
        <w:continuationSeparator/>
      </w:r>
    </w:p>
  </w:footnote>
  <w:footnote w:id="1">
    <w:p w14:paraId="3500DFCA" w14:textId="4DEC480A" w:rsidR="007E3458" w:rsidRPr="00875D49" w:rsidRDefault="007E3458">
      <w:pPr>
        <w:pStyle w:val="FootnoteText"/>
        <w:rPr>
          <w:lang w:val="en-NZ"/>
        </w:rPr>
      </w:pPr>
      <w:r>
        <w:rPr>
          <w:rStyle w:val="FootnoteReference"/>
        </w:rPr>
        <w:footnoteRef/>
      </w:r>
      <w:r>
        <w:t xml:space="preserve"> </w:t>
      </w:r>
      <w:r>
        <w:rPr>
          <w:lang w:val="en-NZ"/>
        </w:rPr>
        <w:t xml:space="preserve">Effective Marginal Tax Rate shows how a dollar increase in gross income translates to an increase in income in hand (after taxation and the reduction of income-tested assistance). </w:t>
      </w:r>
    </w:p>
  </w:footnote>
  <w:footnote w:id="2">
    <w:p w14:paraId="41C232BA" w14:textId="76EF30BB" w:rsidR="007E3458" w:rsidRPr="00F014F9" w:rsidRDefault="007E3458" w:rsidP="00F014F9">
      <w:pPr>
        <w:pStyle w:val="FootnoteText"/>
        <w:rPr>
          <w:lang w:val="en-NZ"/>
        </w:rPr>
      </w:pPr>
      <w:r>
        <w:rPr>
          <w:rStyle w:val="FootnoteReference"/>
        </w:rPr>
        <w:footnoteRef/>
      </w:r>
      <w:r>
        <w:t xml:space="preserve"> AHC50 measures the number of children in households with incomes much lower than a typical 2018 household, after they pay for housing costs, and is measured by the threshold line set at 50 per cent of the median income in 2017/18, after housing costs are removed.</w:t>
      </w:r>
    </w:p>
  </w:footnote>
  <w:footnote w:id="3">
    <w:p w14:paraId="2F838574" w14:textId="3352AEAF" w:rsidR="007E3458" w:rsidRPr="00F014F9" w:rsidRDefault="007E3458">
      <w:pPr>
        <w:pStyle w:val="FootnoteText"/>
        <w:rPr>
          <w:lang w:val="en-NZ"/>
        </w:rPr>
      </w:pPr>
      <w:r>
        <w:rPr>
          <w:rStyle w:val="FootnoteReference"/>
        </w:rPr>
        <w:footnoteRef/>
      </w:r>
      <w:r>
        <w:t xml:space="preserve"> BHC50 is a moving-line income measure, with the poverty threshold taken the year the data is gathered (low income, before housing costs – moving-line measure). BHC50 measures the number of children in households with much lower incomes than a typical </w:t>
      </w:r>
      <w:proofErr w:type="gramStart"/>
      <w:r>
        <w:t>household, and</w:t>
      </w:r>
      <w:proofErr w:type="gramEnd"/>
      <w:r>
        <w:t xml:space="preserve"> is measured by the threshold line set at 50 per cent of the median household income in the year measured.</w:t>
      </w:r>
    </w:p>
  </w:footnote>
  <w:footnote w:id="4">
    <w:p w14:paraId="72C8D723" w14:textId="70B7FBAD" w:rsidR="007E3458" w:rsidRPr="00681E72" w:rsidRDefault="007E3458" w:rsidP="00EC6811">
      <w:pPr>
        <w:pStyle w:val="FootnoteText"/>
        <w:tabs>
          <w:tab w:val="clear" w:pos="425"/>
          <w:tab w:val="left" w:pos="142"/>
        </w:tabs>
        <w:rPr>
          <w:lang w:val="en-NZ"/>
        </w:rPr>
      </w:pPr>
      <w:r>
        <w:rPr>
          <w:rStyle w:val="FootnoteReference"/>
        </w:rPr>
        <w:footnoteRef/>
      </w:r>
      <w:r>
        <w:t xml:space="preserve"> </w:t>
      </w:r>
      <w:r>
        <w:rPr>
          <w:lang w:val="en-NZ"/>
        </w:rPr>
        <w:t xml:space="preserve">This is due to the ’30-hour rule’, where a person (or couple) are not eligible for Jobseeker Support if they are working full-time (defined as 30 hours a week). </w:t>
      </w:r>
    </w:p>
  </w:footnote>
  <w:footnote w:id="5">
    <w:p w14:paraId="1717C34B" w14:textId="5DC61303" w:rsidR="007E3458" w:rsidRDefault="007E3458" w:rsidP="00EC6811">
      <w:pPr>
        <w:pStyle w:val="FootnoteText"/>
        <w:tabs>
          <w:tab w:val="clear" w:pos="425"/>
          <w:tab w:val="left" w:pos="142"/>
        </w:tabs>
        <w:rPr>
          <w:szCs w:val="16"/>
          <w:lang w:eastAsia="x-none"/>
        </w:rPr>
      </w:pPr>
      <w:r>
        <w:rPr>
          <w:rStyle w:val="FootnoteReference"/>
        </w:rPr>
        <w:footnoteRef/>
      </w:r>
      <w:r>
        <w:t xml:space="preserve"> </w:t>
      </w:r>
      <w:r>
        <w:tab/>
      </w:r>
      <w:proofErr w:type="spellStart"/>
      <w:r w:rsidRPr="004A1E38">
        <w:rPr>
          <w:szCs w:val="16"/>
          <w:lang w:eastAsia="x-none"/>
        </w:rPr>
        <w:t>Kostøl</w:t>
      </w:r>
      <w:proofErr w:type="spellEnd"/>
      <w:r w:rsidRPr="004A1E38">
        <w:rPr>
          <w:szCs w:val="16"/>
          <w:lang w:eastAsia="x-none"/>
        </w:rPr>
        <w:t>, A, &amp; Mogstad, M. (2012) How Financial Incentives Induce Disability Insurance Recipients to Return to Work. IZA Discussion Paper No. 6702</w:t>
      </w:r>
      <w:r>
        <w:rPr>
          <w:szCs w:val="16"/>
          <w:lang w:eastAsia="x-none"/>
        </w:rPr>
        <w:t xml:space="preserve"> (</w:t>
      </w:r>
      <w:hyperlink r:id="rId1" w:history="1">
        <w:r w:rsidRPr="009D0C38">
          <w:rPr>
            <w:rStyle w:val="Hyperlink"/>
            <w:szCs w:val="16"/>
            <w:lang w:eastAsia="x-none"/>
          </w:rPr>
          <w:t>http://ftp.iza.org/dp6702.pdf</w:t>
        </w:r>
      </w:hyperlink>
      <w:r>
        <w:rPr>
          <w:szCs w:val="16"/>
          <w:lang w:eastAsia="x-none"/>
        </w:rPr>
        <w:t xml:space="preserve">); </w:t>
      </w:r>
    </w:p>
    <w:p w14:paraId="43D5F678" w14:textId="05ABD344" w:rsidR="007E3458" w:rsidRPr="004A1E38" w:rsidRDefault="007E3458" w:rsidP="00EC6811">
      <w:pPr>
        <w:pStyle w:val="FootnoteText"/>
        <w:tabs>
          <w:tab w:val="clear" w:pos="425"/>
          <w:tab w:val="left" w:pos="142"/>
        </w:tabs>
        <w:ind w:firstLine="0"/>
        <w:rPr>
          <w:szCs w:val="16"/>
          <w:lang w:eastAsia="x-none"/>
        </w:rPr>
      </w:pPr>
      <w:r w:rsidRPr="004A1E38">
        <w:rPr>
          <w:szCs w:val="16"/>
          <w:lang w:eastAsia="x-none"/>
        </w:rPr>
        <w:t>Card, David E., (2000) Reforming the Financial Incentives of the Welfare System. IZA Discussion Paper No. 172.</w:t>
      </w:r>
    </w:p>
  </w:footnote>
  <w:footnote w:id="6">
    <w:p w14:paraId="41A8E6F9" w14:textId="7BCC0AC5" w:rsidR="007E3458" w:rsidRDefault="007E3458" w:rsidP="00EC6811">
      <w:pPr>
        <w:pStyle w:val="FootnoteText"/>
        <w:tabs>
          <w:tab w:val="clear" w:pos="425"/>
          <w:tab w:val="left" w:pos="142"/>
        </w:tabs>
        <w:spacing w:after="120"/>
      </w:pPr>
      <w:r>
        <w:rPr>
          <w:rStyle w:val="FootnoteReference"/>
        </w:rPr>
        <w:footnoteRef/>
      </w:r>
      <w:r>
        <w:t xml:space="preserve"> </w:t>
      </w:r>
      <w:r>
        <w:tab/>
        <w:t>The Royal Australasian College of Physicians and the Australasian Faculty of Occupational and Environmental Medicine (2015) Realising the health benefits of work – An evidence update. (</w:t>
      </w:r>
      <w:hyperlink r:id="rId2" w:history="1">
        <w:r w:rsidRPr="009D0C38">
          <w:rPr>
            <w:rStyle w:val="Hyperlink"/>
          </w:rPr>
          <w:t>https://www.racp.edu.au/docs/default-source/advocacy-library/pa-health-benefits-of-work-evidence-update.pdf?sfvrsn=4</w:t>
        </w:r>
      </w:hyperlink>
      <w:r>
        <w:t xml:space="preserve"> )</w:t>
      </w:r>
    </w:p>
    <w:p w14:paraId="07B1BFCB" w14:textId="77777777" w:rsidR="007E3458" w:rsidRDefault="007E3458" w:rsidP="00EC6811">
      <w:pPr>
        <w:tabs>
          <w:tab w:val="left" w:pos="142"/>
        </w:tabs>
        <w:spacing w:after="120" w:line="240" w:lineRule="auto"/>
        <w:ind w:left="425"/>
        <w:rPr>
          <w:sz w:val="18"/>
          <w:szCs w:val="18"/>
        </w:rPr>
      </w:pPr>
      <w:r w:rsidRPr="004B69CE">
        <w:rPr>
          <w:sz w:val="18"/>
          <w:szCs w:val="18"/>
        </w:rPr>
        <w:t>Waddell, G., Burton, A.K</w:t>
      </w:r>
      <w:r>
        <w:rPr>
          <w:sz w:val="18"/>
          <w:szCs w:val="18"/>
        </w:rPr>
        <w:t>.</w:t>
      </w:r>
      <w:r w:rsidRPr="004B69CE">
        <w:rPr>
          <w:sz w:val="18"/>
          <w:szCs w:val="18"/>
        </w:rPr>
        <w:t xml:space="preserve"> (2006) </w:t>
      </w:r>
      <w:r w:rsidRPr="004B69CE">
        <w:rPr>
          <w:i/>
          <w:iCs/>
          <w:sz w:val="18"/>
          <w:szCs w:val="18"/>
        </w:rPr>
        <w:t xml:space="preserve">Is Work Good </w:t>
      </w:r>
      <w:proofErr w:type="gramStart"/>
      <w:r w:rsidRPr="004B69CE">
        <w:rPr>
          <w:i/>
          <w:iCs/>
          <w:sz w:val="18"/>
          <w:szCs w:val="18"/>
        </w:rPr>
        <w:t>For</w:t>
      </w:r>
      <w:proofErr w:type="gramEnd"/>
      <w:r w:rsidRPr="004B69CE">
        <w:rPr>
          <w:i/>
          <w:iCs/>
          <w:sz w:val="18"/>
          <w:szCs w:val="18"/>
        </w:rPr>
        <w:t xml:space="preserve"> Your Health And Well-Being? </w:t>
      </w:r>
      <w:r w:rsidRPr="004B69CE">
        <w:rPr>
          <w:sz w:val="18"/>
          <w:szCs w:val="18"/>
        </w:rPr>
        <w:t>TSO, London</w:t>
      </w:r>
    </w:p>
    <w:p w14:paraId="49178059" w14:textId="77777777" w:rsidR="007E3458" w:rsidRPr="008818A1" w:rsidRDefault="007E3458" w:rsidP="00EC6811">
      <w:pPr>
        <w:tabs>
          <w:tab w:val="left" w:pos="142"/>
        </w:tabs>
        <w:spacing w:after="120" w:line="240" w:lineRule="auto"/>
        <w:ind w:left="425"/>
        <w:rPr>
          <w:rFonts w:cs="Arial"/>
          <w:color w:val="212121"/>
          <w:sz w:val="14"/>
          <w:szCs w:val="14"/>
          <w:shd w:val="clear" w:color="auto" w:fill="FFFFFF"/>
        </w:rPr>
      </w:pPr>
      <w:r w:rsidRPr="004B69CE">
        <w:rPr>
          <w:rFonts w:cs="Arial"/>
          <w:color w:val="212121"/>
          <w:sz w:val="18"/>
          <w:szCs w:val="18"/>
          <w:shd w:val="clear" w:color="auto" w:fill="FFFFFF"/>
        </w:rPr>
        <w:t>Curnock E, Leyland AH, Popham F.</w:t>
      </w:r>
      <w:r>
        <w:rPr>
          <w:rFonts w:cs="Arial"/>
          <w:color w:val="212121"/>
          <w:sz w:val="18"/>
          <w:szCs w:val="18"/>
          <w:shd w:val="clear" w:color="auto" w:fill="FFFFFF"/>
        </w:rPr>
        <w:t xml:space="preserve"> (2016)</w:t>
      </w:r>
      <w:r w:rsidRPr="004B69CE">
        <w:rPr>
          <w:rFonts w:cs="Arial"/>
          <w:color w:val="212121"/>
          <w:sz w:val="18"/>
          <w:szCs w:val="18"/>
          <w:shd w:val="clear" w:color="auto" w:fill="FFFFFF"/>
        </w:rPr>
        <w:t xml:space="preserve"> The impact on health of employment and welfare transitions for those receiving out-of-work disability benefits in the UK. </w:t>
      </w:r>
      <w:r w:rsidRPr="005F4DD7">
        <w:rPr>
          <w:rFonts w:cs="Arial"/>
          <w:i/>
          <w:iCs/>
          <w:color w:val="212121"/>
          <w:sz w:val="18"/>
          <w:szCs w:val="18"/>
          <w:shd w:val="clear" w:color="auto" w:fill="FFFFFF"/>
        </w:rPr>
        <w:t>Soc Sci Med</w:t>
      </w:r>
      <w:r w:rsidRPr="004B69CE">
        <w:rPr>
          <w:rFonts w:cs="Arial"/>
          <w:color w:val="212121"/>
          <w:sz w:val="18"/>
          <w:szCs w:val="18"/>
          <w:shd w:val="clear" w:color="auto" w:fill="FFFFFF"/>
        </w:rPr>
        <w:t xml:space="preserve">. Aug;162:1-10. </w:t>
      </w:r>
      <w:proofErr w:type="spellStart"/>
      <w:r w:rsidRPr="004B69CE">
        <w:rPr>
          <w:rFonts w:cs="Arial"/>
          <w:color w:val="212121"/>
          <w:sz w:val="18"/>
          <w:szCs w:val="18"/>
          <w:shd w:val="clear" w:color="auto" w:fill="FFFFFF"/>
        </w:rPr>
        <w:t>doi</w:t>
      </w:r>
      <w:proofErr w:type="spellEnd"/>
      <w:r w:rsidRPr="004B69CE">
        <w:rPr>
          <w:rFonts w:cs="Arial"/>
          <w:color w:val="212121"/>
          <w:sz w:val="18"/>
          <w:szCs w:val="18"/>
          <w:shd w:val="clear" w:color="auto" w:fill="FFFFFF"/>
        </w:rPr>
        <w:t>: 10.1016/j.socscimed.2016.05.042.</w:t>
      </w:r>
    </w:p>
    <w:p w14:paraId="711704D6" w14:textId="25A3B99D" w:rsidR="007E3458" w:rsidRPr="004A1E38" w:rsidRDefault="007E3458" w:rsidP="00EC6811">
      <w:pPr>
        <w:pStyle w:val="FootnoteText"/>
        <w:tabs>
          <w:tab w:val="clear" w:pos="425"/>
          <w:tab w:val="left" w:pos="142"/>
        </w:tabs>
        <w:ind w:firstLine="0"/>
        <w:rPr>
          <w:lang w:val="en-NZ"/>
        </w:rPr>
      </w:pPr>
      <w:r w:rsidRPr="008818A1">
        <w:t xml:space="preserve">OECD (2015) </w:t>
      </w:r>
      <w:r w:rsidRPr="008818A1">
        <w:rPr>
          <w:i/>
        </w:rPr>
        <w:t>Fit Mind, Fit Job: From Evidence to Practice in Mental Health and Work</w:t>
      </w:r>
      <w:r w:rsidRPr="008818A1">
        <w:t xml:space="preserve">. </w:t>
      </w:r>
      <w:r w:rsidRPr="008818A1">
        <w:rPr>
          <w:iCs/>
        </w:rPr>
        <w:t>OECD Publishing</w:t>
      </w:r>
      <w:r w:rsidRPr="008818A1">
        <w:t>, 1–178. http://doi.org/10.1787/9789264228283-en</w:t>
      </w:r>
    </w:p>
  </w:footnote>
  <w:footnote w:id="7">
    <w:p w14:paraId="2E307302" w14:textId="22A7C5F2" w:rsidR="007E3458" w:rsidRPr="00C83610" w:rsidRDefault="007E3458">
      <w:pPr>
        <w:pStyle w:val="FootnoteText"/>
        <w:rPr>
          <w:lang w:val="en-NZ"/>
        </w:rPr>
      </w:pPr>
      <w:r>
        <w:rPr>
          <w:rStyle w:val="FootnoteReference"/>
        </w:rPr>
        <w:footnoteRef/>
      </w:r>
      <w:r>
        <w:t xml:space="preserve"> </w:t>
      </w:r>
      <w:r w:rsidRPr="00DB2F27">
        <w:t>Social assistance payments are typically means-tested, and eligibility is based on family rather than individual income</w:t>
      </w:r>
      <w:r>
        <w:t>.</w:t>
      </w:r>
    </w:p>
  </w:footnote>
  <w:footnote w:id="8">
    <w:p w14:paraId="2370D2F8" w14:textId="5795D474" w:rsidR="007E3458" w:rsidRPr="004B1A93" w:rsidRDefault="007E3458">
      <w:pPr>
        <w:pStyle w:val="FootnoteText"/>
        <w:rPr>
          <w:lang w:val="en-NZ"/>
        </w:rPr>
      </w:pPr>
      <w:r>
        <w:rPr>
          <w:rStyle w:val="FootnoteReference"/>
        </w:rPr>
        <w:footnoteRef/>
      </w:r>
      <w:r>
        <w:t xml:space="preserve"> </w:t>
      </w:r>
      <w:r>
        <w:rPr>
          <w:lang w:val="en-NZ"/>
        </w:rPr>
        <w:t>Families with children qualify for the MFTC when they work 20 hours of more per week for sole parents, and 30 hours or more for couples.</w:t>
      </w:r>
    </w:p>
  </w:footnote>
  <w:footnote w:id="9">
    <w:p w14:paraId="08342EE7" w14:textId="1B7D1F5E" w:rsidR="007E3458" w:rsidRPr="001A0C5C" w:rsidRDefault="007E3458">
      <w:pPr>
        <w:pStyle w:val="FootnoteText"/>
        <w:rPr>
          <w:lang w:val="en-NZ"/>
        </w:rPr>
      </w:pPr>
      <w:r>
        <w:rPr>
          <w:rStyle w:val="FootnoteReference"/>
        </w:rPr>
        <w:footnoteRef/>
      </w:r>
      <w:r>
        <w:t xml:space="preserve"> </w:t>
      </w:r>
      <w:r w:rsidRPr="00481BA4">
        <w:t>Some reasons for the decrease in tax year 2021 could be due to the impacts of Covid-19 on employment, or the increase in main benefit payments and temporary doubling of the Winter Energy Payment from 1 April 2020.  The latter changes have made the financial incentives to stay on benefit higher.</w:t>
      </w:r>
    </w:p>
  </w:footnote>
  <w:footnote w:id="10">
    <w:p w14:paraId="0019C279" w14:textId="5FB71D21" w:rsidR="007E3458" w:rsidRPr="009A73BF" w:rsidRDefault="007E3458">
      <w:pPr>
        <w:pStyle w:val="FootnoteText"/>
        <w:rPr>
          <w:lang w:val="en-NZ"/>
        </w:rPr>
      </w:pPr>
      <w:r>
        <w:rPr>
          <w:rStyle w:val="FootnoteReference"/>
        </w:rPr>
        <w:footnoteRef/>
      </w:r>
      <w:r>
        <w:t xml:space="preserve"> This calculation is for a sole-parent family with two children (aged 3 and 5) earning the minimum wage ($20 per hour) when working, living in Auckland, paying lower quartile rent and receiving the Accommodation Supplement, Temporary Additional </w:t>
      </w:r>
      <w:proofErr w:type="gramStart"/>
      <w:r>
        <w:t>Support</w:t>
      </w:r>
      <w:proofErr w:type="gramEnd"/>
      <w:r>
        <w:t xml:space="preserve"> and relevant tax credits. It does not </w:t>
      </w:r>
      <w:proofErr w:type="gramStart"/>
      <w:r>
        <w:t>take into account</w:t>
      </w:r>
      <w:proofErr w:type="gramEnd"/>
      <w:r>
        <w:t xml:space="preserve"> childcare costs. </w:t>
      </w:r>
    </w:p>
  </w:footnote>
  <w:footnote w:id="11">
    <w:p w14:paraId="15FBBF09" w14:textId="68F93585" w:rsidR="007E3458" w:rsidRPr="0049131B" w:rsidRDefault="007E3458" w:rsidP="0049131B">
      <w:pPr>
        <w:pStyle w:val="FootnoteText"/>
      </w:pPr>
      <w:r>
        <w:rPr>
          <w:rStyle w:val="FootnoteReference"/>
        </w:rPr>
        <w:footnoteRef/>
      </w:r>
      <w:r>
        <w:t xml:space="preserve"> As above.</w:t>
      </w:r>
    </w:p>
  </w:footnote>
  <w:footnote w:id="12">
    <w:p w14:paraId="364BA08C" w14:textId="0DC8CA7C" w:rsidR="007E3458" w:rsidRPr="004B1A93" w:rsidRDefault="007E3458">
      <w:pPr>
        <w:pStyle w:val="FootnoteText"/>
        <w:rPr>
          <w:lang w:val="en-NZ"/>
        </w:rPr>
      </w:pPr>
      <w:r>
        <w:rPr>
          <w:rStyle w:val="FootnoteReference"/>
        </w:rPr>
        <w:footnoteRef/>
      </w:r>
      <w:r>
        <w:t xml:space="preserve"> </w:t>
      </w:r>
      <w:r>
        <w:rPr>
          <w:lang w:val="en-NZ"/>
        </w:rPr>
        <w:t>Earning minimum wage and therefore, eligible for the maximum amount of the MFTC.</w:t>
      </w:r>
    </w:p>
  </w:footnote>
  <w:footnote w:id="13">
    <w:p w14:paraId="2DA103C9" w14:textId="559B905E" w:rsidR="007E3458" w:rsidRPr="00C83610" w:rsidRDefault="007E3458">
      <w:pPr>
        <w:pStyle w:val="FootnoteText"/>
        <w:rPr>
          <w:lang w:val="en-NZ"/>
        </w:rPr>
      </w:pPr>
      <w:r>
        <w:rPr>
          <w:rStyle w:val="FootnoteReference"/>
        </w:rPr>
        <w:footnoteRef/>
      </w:r>
      <w:r>
        <w:t xml:space="preserve"> The maximum MFTC increase a family could receive would be $1,664 ($32 x 52 weeks). Because newly eligible families will have incomes above the current threshold, the average increase for these families will be less than $32 dollars a week</w:t>
      </w:r>
    </w:p>
  </w:footnote>
  <w:footnote w:id="14">
    <w:p w14:paraId="3A2E467C" w14:textId="3B7C0057" w:rsidR="007E3458" w:rsidRPr="00C83610" w:rsidRDefault="007E3458" w:rsidP="002604BF">
      <w:pPr>
        <w:pStyle w:val="FootnoteText"/>
        <w:rPr>
          <w:lang w:val="en-NZ"/>
        </w:rPr>
      </w:pPr>
      <w:r>
        <w:rPr>
          <w:rStyle w:val="FootnoteReference"/>
        </w:rPr>
        <w:footnoteRef/>
      </w:r>
      <w:r>
        <w:t xml:space="preserve"> It is difficult to estimate the number of weeks a family would receive the MFTC on average for a future tax year. The gain would be less for families who do not receive the MFTC for the full year. </w:t>
      </w:r>
    </w:p>
  </w:footnote>
  <w:footnote w:id="15">
    <w:p w14:paraId="36674A1E" w14:textId="6F206ACE" w:rsidR="007E3458" w:rsidRPr="00C83610" w:rsidRDefault="007E3458">
      <w:pPr>
        <w:pStyle w:val="FootnoteText"/>
        <w:rPr>
          <w:lang w:val="en-NZ"/>
        </w:rPr>
      </w:pPr>
      <w:r>
        <w:rPr>
          <w:rStyle w:val="FootnoteReference"/>
        </w:rPr>
        <w:footnoteRef/>
      </w:r>
      <w:r>
        <w:t xml:space="preserve"> As above</w:t>
      </w:r>
    </w:p>
  </w:footnote>
  <w:footnote w:id="16">
    <w:p w14:paraId="5258055A" w14:textId="77777777" w:rsidR="007E3458" w:rsidRPr="00FE7DBF" w:rsidRDefault="007E3458" w:rsidP="00985529">
      <w:pPr>
        <w:pStyle w:val="FootnoteText"/>
        <w:rPr>
          <w:lang w:val="en-NZ"/>
        </w:rPr>
      </w:pPr>
      <w:r>
        <w:rPr>
          <w:rStyle w:val="FootnoteReference"/>
        </w:rPr>
        <w:footnoteRef/>
      </w:r>
      <w:r>
        <w:t xml:space="preserve"> </w:t>
      </w:r>
      <w:r>
        <w:rPr>
          <w:lang w:val="en-NZ"/>
        </w:rPr>
        <w:t>The fiscal cost is ongoing as the MFTC rate will also account for the April 2020 main benefit rate increase in prospective changes.</w:t>
      </w:r>
    </w:p>
  </w:footnote>
  <w:footnote w:id="17">
    <w:p w14:paraId="1769F9DA" w14:textId="39E75152" w:rsidR="007E3458" w:rsidRPr="00C83610" w:rsidRDefault="007E3458" w:rsidP="003E1D5A">
      <w:pPr>
        <w:pStyle w:val="FootnoteText"/>
        <w:rPr>
          <w:lang w:val="en-NZ"/>
        </w:rPr>
      </w:pPr>
      <w:r>
        <w:rPr>
          <w:rStyle w:val="FootnoteReference"/>
        </w:rPr>
        <w:footnoteRef/>
      </w:r>
      <w:r>
        <w:t xml:space="preserve"> The newly eligible customers have incomes above the current threshold so the average gain for these customers will be less than $32 dollars a week.</w:t>
      </w:r>
    </w:p>
  </w:footnote>
  <w:footnote w:id="18">
    <w:p w14:paraId="407D9D57" w14:textId="2A7F1AB3" w:rsidR="007E3458" w:rsidRPr="00C83610" w:rsidRDefault="007E3458">
      <w:pPr>
        <w:pStyle w:val="FootnoteText"/>
        <w:rPr>
          <w:lang w:val="en-NZ"/>
        </w:rPr>
      </w:pPr>
      <w:r>
        <w:rPr>
          <w:rStyle w:val="FootnoteReference"/>
        </w:rPr>
        <w:footnoteRef/>
      </w:r>
      <w:r>
        <w:t xml:space="preserve"> </w:t>
      </w:r>
      <w:r>
        <w:rPr>
          <w:lang w:val="en-NZ"/>
        </w:rPr>
        <w:t xml:space="preserve">The gain would be less for families that do not receive the MFTC for the full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AF31" w14:textId="30E923A6" w:rsidR="007E3458" w:rsidRPr="00EB1B21" w:rsidRDefault="007E3458" w:rsidP="004B6F7D">
    <w:pPr>
      <w:tabs>
        <w:tab w:val="center" w:pos="4253"/>
      </w:tabs>
      <w:rPr>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1076" w14:textId="31B427BB" w:rsidR="007E3458" w:rsidRDefault="007E3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215B" w14:textId="6764FB09" w:rsidR="007E3458" w:rsidRPr="00EB1B21" w:rsidRDefault="007E3458" w:rsidP="004B6F7D">
    <w:pPr>
      <w:tabs>
        <w:tab w:val="center" w:pos="4253"/>
      </w:tabs>
      <w:rPr>
        <w:b/>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A8AE" w14:textId="7B095FFB" w:rsidR="007E3458" w:rsidRDefault="007E3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06B"/>
    <w:multiLevelType w:val="hybridMultilevel"/>
    <w:tmpl w:val="940C3884"/>
    <w:lvl w:ilvl="0" w:tplc="B65EBCF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C80522"/>
    <w:multiLevelType w:val="multilevel"/>
    <w:tmpl w:val="3B98C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8249CB"/>
    <w:multiLevelType w:val="hybridMultilevel"/>
    <w:tmpl w:val="8BA0F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043EC4"/>
    <w:multiLevelType w:val="hybridMultilevel"/>
    <w:tmpl w:val="5A783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07B1"/>
    <w:multiLevelType w:val="hybridMultilevel"/>
    <w:tmpl w:val="63507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C23969"/>
    <w:multiLevelType w:val="hybridMultilevel"/>
    <w:tmpl w:val="C608C01E"/>
    <w:lvl w:ilvl="0" w:tplc="FBD83968">
      <w:start w:val="36"/>
      <w:numFmt w:val="bullet"/>
      <w:lvlText w:val="-"/>
      <w:lvlJc w:val="left"/>
      <w:pPr>
        <w:ind w:left="720" w:hanging="360"/>
      </w:pPr>
      <w:rPr>
        <w:rFonts w:ascii="Arial" w:eastAsia="Times New Roman" w:hAnsi="Arial" w:cs="Aria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F44E08"/>
    <w:multiLevelType w:val="hybridMultilevel"/>
    <w:tmpl w:val="7DC8D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887F57"/>
    <w:multiLevelType w:val="hybridMultilevel"/>
    <w:tmpl w:val="DBDAD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15:restartNumberingAfterBreak="0">
    <w:nsid w:val="31862AB4"/>
    <w:multiLevelType w:val="hybridMultilevel"/>
    <w:tmpl w:val="89262038"/>
    <w:lvl w:ilvl="0" w:tplc="B65EBCF6">
      <w:numFmt w:val="bullet"/>
      <w:lvlText w:val="-"/>
      <w:lvlJc w:val="left"/>
      <w:pPr>
        <w:ind w:left="783" w:hanging="360"/>
      </w:pPr>
      <w:rPr>
        <w:rFonts w:ascii="Arial" w:eastAsia="Times New Roman" w:hAnsi="Arial" w:cs="Aria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10"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15:restartNumberingAfterBreak="0">
    <w:nsid w:val="352D407C"/>
    <w:multiLevelType w:val="hybridMultilevel"/>
    <w:tmpl w:val="4E8A7DC4"/>
    <w:lvl w:ilvl="0" w:tplc="B65EBCF6">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4D78D4"/>
    <w:multiLevelType w:val="hybridMultilevel"/>
    <w:tmpl w:val="80B886CE"/>
    <w:lvl w:ilvl="0" w:tplc="BC6CEDA8">
      <w:start w:val="5"/>
      <w:numFmt w:val="bullet"/>
      <w:lvlText w:val="-"/>
      <w:lvlJc w:val="left"/>
      <w:pPr>
        <w:ind w:left="720" w:hanging="360"/>
      </w:pPr>
      <w:rPr>
        <w:rFonts w:ascii="Arial" w:eastAsia="Calibri" w:hAnsi="Arial" w:cs="Arial"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44A119BA"/>
    <w:multiLevelType w:val="hybridMultilevel"/>
    <w:tmpl w:val="7892D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6C7EC0"/>
    <w:multiLevelType w:val="hybridMultilevel"/>
    <w:tmpl w:val="B03A2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D70A8F"/>
    <w:multiLevelType w:val="hybridMultilevel"/>
    <w:tmpl w:val="81B80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A83056"/>
    <w:multiLevelType w:val="hybridMultilevel"/>
    <w:tmpl w:val="07581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1C7EAD"/>
    <w:multiLevelType w:val="hybridMultilevel"/>
    <w:tmpl w:val="FB7C60CE"/>
    <w:lvl w:ilvl="0" w:tplc="BC6CEDA8">
      <w:start w:val="5"/>
      <w:numFmt w:val="bullet"/>
      <w:lvlText w:val="-"/>
      <w:lvlJc w:val="left"/>
      <w:pPr>
        <w:ind w:left="720" w:hanging="360"/>
      </w:pPr>
      <w:rPr>
        <w:rFonts w:ascii="Arial" w:eastAsia="Calibri" w:hAnsi="Arial" w:cs="Aria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1"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EF01AC"/>
    <w:multiLevelType w:val="hybridMultilevel"/>
    <w:tmpl w:val="C56C3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B20843"/>
    <w:multiLevelType w:val="hybridMultilevel"/>
    <w:tmpl w:val="3A2AE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D27A0A"/>
    <w:multiLevelType w:val="hybridMultilevel"/>
    <w:tmpl w:val="27846B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658B4986"/>
    <w:multiLevelType w:val="hybridMultilevel"/>
    <w:tmpl w:val="B74A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A0A6008"/>
    <w:multiLevelType w:val="hybridMultilevel"/>
    <w:tmpl w:val="A4024C80"/>
    <w:lvl w:ilvl="0" w:tplc="B65EBCF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3200DC"/>
    <w:multiLevelType w:val="hybridMultilevel"/>
    <w:tmpl w:val="38741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C121CE3"/>
    <w:multiLevelType w:val="hybridMultilevel"/>
    <w:tmpl w:val="E138A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3"/>
  </w:num>
  <w:num w:numId="4">
    <w:abstractNumId w:val="12"/>
  </w:num>
  <w:num w:numId="5">
    <w:abstractNumId w:val="1"/>
  </w:num>
  <w:num w:numId="6">
    <w:abstractNumId w:val="10"/>
  </w:num>
  <w:num w:numId="7">
    <w:abstractNumId w:val="8"/>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1134" w:hanging="641"/>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8">
    <w:abstractNumId w:val="15"/>
  </w:num>
  <w:num w:numId="9">
    <w:abstractNumId w:val="28"/>
  </w:num>
  <w:num w:numId="10">
    <w:abstractNumId w:val="0"/>
  </w:num>
  <w:num w:numId="11">
    <w:abstractNumId w:val="16"/>
  </w:num>
  <w:num w:numId="12">
    <w:abstractNumId w:val="25"/>
  </w:num>
  <w:num w:numId="13">
    <w:abstractNumId w:val="3"/>
  </w:num>
  <w:num w:numId="14">
    <w:abstractNumId w:val="24"/>
  </w:num>
  <w:num w:numId="15">
    <w:abstractNumId w:val="27"/>
  </w:num>
  <w:num w:numId="16">
    <w:abstractNumId w:val="5"/>
  </w:num>
  <w:num w:numId="17">
    <w:abstractNumId w:val="19"/>
  </w:num>
  <w:num w:numId="18">
    <w:abstractNumId w:val="18"/>
  </w:num>
  <w:num w:numId="19">
    <w:abstractNumId w:val="2"/>
  </w:num>
  <w:num w:numId="20">
    <w:abstractNumId w:val="7"/>
  </w:num>
  <w:num w:numId="21">
    <w:abstractNumId w:val="22"/>
  </w:num>
  <w:num w:numId="22">
    <w:abstractNumId w:val="23"/>
  </w:num>
  <w:num w:numId="23">
    <w:abstractNumId w:val="17"/>
  </w:num>
  <w:num w:numId="24">
    <w:abstractNumId w:val="6"/>
  </w:num>
  <w:num w:numId="25">
    <w:abstractNumId w:val="4"/>
  </w:num>
  <w:num w:numId="26">
    <w:abstractNumId w:val="26"/>
  </w:num>
  <w:num w:numId="27">
    <w:abstractNumId w:val="9"/>
  </w:num>
  <w:num w:numId="28">
    <w:abstractNumId w:val="11"/>
  </w:num>
  <w:num w:numId="29">
    <w:abstractNumId w:val="14"/>
  </w:num>
  <w:num w:numId="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4EE1"/>
    <w:rsid w:val="000058B9"/>
    <w:rsid w:val="000069D5"/>
    <w:rsid w:val="00007335"/>
    <w:rsid w:val="00010E6F"/>
    <w:rsid w:val="00012998"/>
    <w:rsid w:val="00014822"/>
    <w:rsid w:val="00020F75"/>
    <w:rsid w:val="000218AD"/>
    <w:rsid w:val="00022745"/>
    <w:rsid w:val="00030190"/>
    <w:rsid w:val="000316C5"/>
    <w:rsid w:val="00032B82"/>
    <w:rsid w:val="00032E3A"/>
    <w:rsid w:val="000347D1"/>
    <w:rsid w:val="000352F3"/>
    <w:rsid w:val="000443D5"/>
    <w:rsid w:val="00046A04"/>
    <w:rsid w:val="00047D6B"/>
    <w:rsid w:val="00051193"/>
    <w:rsid w:val="000548CE"/>
    <w:rsid w:val="000561C9"/>
    <w:rsid w:val="0005691A"/>
    <w:rsid w:val="000621D0"/>
    <w:rsid w:val="000626D7"/>
    <w:rsid w:val="00072C3E"/>
    <w:rsid w:val="00073D97"/>
    <w:rsid w:val="00073E9C"/>
    <w:rsid w:val="00080FED"/>
    <w:rsid w:val="00081DCF"/>
    <w:rsid w:val="000825CE"/>
    <w:rsid w:val="00083C3A"/>
    <w:rsid w:val="00085849"/>
    <w:rsid w:val="00090AC7"/>
    <w:rsid w:val="00094AE0"/>
    <w:rsid w:val="000A159A"/>
    <w:rsid w:val="000A2B04"/>
    <w:rsid w:val="000A4708"/>
    <w:rsid w:val="000A4BEB"/>
    <w:rsid w:val="000B2320"/>
    <w:rsid w:val="000B7AB6"/>
    <w:rsid w:val="000C060E"/>
    <w:rsid w:val="000C2475"/>
    <w:rsid w:val="000C2636"/>
    <w:rsid w:val="000C299F"/>
    <w:rsid w:val="000C4659"/>
    <w:rsid w:val="000C4E0F"/>
    <w:rsid w:val="000C6787"/>
    <w:rsid w:val="000D1E5D"/>
    <w:rsid w:val="000D5576"/>
    <w:rsid w:val="000D6789"/>
    <w:rsid w:val="000E00AF"/>
    <w:rsid w:val="000E32F3"/>
    <w:rsid w:val="000E4430"/>
    <w:rsid w:val="000E6237"/>
    <w:rsid w:val="000F2C11"/>
    <w:rsid w:val="000F5E12"/>
    <w:rsid w:val="000F62E0"/>
    <w:rsid w:val="000F66D4"/>
    <w:rsid w:val="000F720E"/>
    <w:rsid w:val="001049D4"/>
    <w:rsid w:val="00105D66"/>
    <w:rsid w:val="0011674A"/>
    <w:rsid w:val="00117542"/>
    <w:rsid w:val="001220BD"/>
    <w:rsid w:val="00124FA4"/>
    <w:rsid w:val="001275B9"/>
    <w:rsid w:val="00130C32"/>
    <w:rsid w:val="00132393"/>
    <w:rsid w:val="0013264B"/>
    <w:rsid w:val="00135B24"/>
    <w:rsid w:val="00135FF1"/>
    <w:rsid w:val="00136946"/>
    <w:rsid w:val="00137C81"/>
    <w:rsid w:val="001410CA"/>
    <w:rsid w:val="00141428"/>
    <w:rsid w:val="0014197A"/>
    <w:rsid w:val="00144BF6"/>
    <w:rsid w:val="001525DD"/>
    <w:rsid w:val="00152A9E"/>
    <w:rsid w:val="001566F9"/>
    <w:rsid w:val="00164445"/>
    <w:rsid w:val="00166888"/>
    <w:rsid w:val="00167308"/>
    <w:rsid w:val="00167871"/>
    <w:rsid w:val="00172B29"/>
    <w:rsid w:val="0017473F"/>
    <w:rsid w:val="001772E9"/>
    <w:rsid w:val="001802E8"/>
    <w:rsid w:val="00181463"/>
    <w:rsid w:val="00182FAD"/>
    <w:rsid w:val="001837C1"/>
    <w:rsid w:val="00193917"/>
    <w:rsid w:val="001951BA"/>
    <w:rsid w:val="001957C6"/>
    <w:rsid w:val="001967D5"/>
    <w:rsid w:val="001A0C5C"/>
    <w:rsid w:val="001A11EA"/>
    <w:rsid w:val="001A4F06"/>
    <w:rsid w:val="001A600A"/>
    <w:rsid w:val="001A6552"/>
    <w:rsid w:val="001B09C3"/>
    <w:rsid w:val="001B34F8"/>
    <w:rsid w:val="001B4D18"/>
    <w:rsid w:val="001B699B"/>
    <w:rsid w:val="001C37B2"/>
    <w:rsid w:val="001C7D23"/>
    <w:rsid w:val="001D0536"/>
    <w:rsid w:val="001D236D"/>
    <w:rsid w:val="001D4DEC"/>
    <w:rsid w:val="001D639D"/>
    <w:rsid w:val="001D71BE"/>
    <w:rsid w:val="001E166B"/>
    <w:rsid w:val="001F1B03"/>
    <w:rsid w:val="001F616F"/>
    <w:rsid w:val="00200DA1"/>
    <w:rsid w:val="00200F91"/>
    <w:rsid w:val="002037A6"/>
    <w:rsid w:val="002060EC"/>
    <w:rsid w:val="00210C3D"/>
    <w:rsid w:val="00212395"/>
    <w:rsid w:val="00213211"/>
    <w:rsid w:val="00216981"/>
    <w:rsid w:val="00220B25"/>
    <w:rsid w:val="00222459"/>
    <w:rsid w:val="0022557C"/>
    <w:rsid w:val="0023241A"/>
    <w:rsid w:val="002326F8"/>
    <w:rsid w:val="00233839"/>
    <w:rsid w:val="00236851"/>
    <w:rsid w:val="00240E3D"/>
    <w:rsid w:val="00241A86"/>
    <w:rsid w:val="002428A4"/>
    <w:rsid w:val="0024626C"/>
    <w:rsid w:val="00254D9B"/>
    <w:rsid w:val="002556B9"/>
    <w:rsid w:val="00256B82"/>
    <w:rsid w:val="002604BF"/>
    <w:rsid w:val="00261410"/>
    <w:rsid w:val="00283730"/>
    <w:rsid w:val="002876B7"/>
    <w:rsid w:val="002911BE"/>
    <w:rsid w:val="00291FEF"/>
    <w:rsid w:val="002921B1"/>
    <w:rsid w:val="00292727"/>
    <w:rsid w:val="002A15B2"/>
    <w:rsid w:val="002A724F"/>
    <w:rsid w:val="002B27D8"/>
    <w:rsid w:val="002B443F"/>
    <w:rsid w:val="002C2AEE"/>
    <w:rsid w:val="002C3926"/>
    <w:rsid w:val="002C4D99"/>
    <w:rsid w:val="002C5AE0"/>
    <w:rsid w:val="002D2932"/>
    <w:rsid w:val="002D5018"/>
    <w:rsid w:val="002D51F6"/>
    <w:rsid w:val="002D52C3"/>
    <w:rsid w:val="002E12C8"/>
    <w:rsid w:val="002E140F"/>
    <w:rsid w:val="002E3773"/>
    <w:rsid w:val="002E487F"/>
    <w:rsid w:val="002E5E5F"/>
    <w:rsid w:val="002F2AC5"/>
    <w:rsid w:val="002F7B32"/>
    <w:rsid w:val="00310839"/>
    <w:rsid w:val="00316F8E"/>
    <w:rsid w:val="00321B51"/>
    <w:rsid w:val="00322D63"/>
    <w:rsid w:val="003231F5"/>
    <w:rsid w:val="00324E1E"/>
    <w:rsid w:val="003312A4"/>
    <w:rsid w:val="0033231A"/>
    <w:rsid w:val="00332F2D"/>
    <w:rsid w:val="00334D92"/>
    <w:rsid w:val="00340510"/>
    <w:rsid w:val="00341849"/>
    <w:rsid w:val="003434B5"/>
    <w:rsid w:val="00346116"/>
    <w:rsid w:val="00346B30"/>
    <w:rsid w:val="00347BA1"/>
    <w:rsid w:val="00352AA6"/>
    <w:rsid w:val="00354F55"/>
    <w:rsid w:val="00361EDA"/>
    <w:rsid w:val="00362AF6"/>
    <w:rsid w:val="00364189"/>
    <w:rsid w:val="00364C4C"/>
    <w:rsid w:val="0036646F"/>
    <w:rsid w:val="003672A5"/>
    <w:rsid w:val="0036785D"/>
    <w:rsid w:val="00373CD5"/>
    <w:rsid w:val="003754DC"/>
    <w:rsid w:val="00376CA2"/>
    <w:rsid w:val="00377101"/>
    <w:rsid w:val="00384E9B"/>
    <w:rsid w:val="00390DC2"/>
    <w:rsid w:val="00397C8D"/>
    <w:rsid w:val="003B11E8"/>
    <w:rsid w:val="003C1488"/>
    <w:rsid w:val="003C2735"/>
    <w:rsid w:val="003C3294"/>
    <w:rsid w:val="003C3650"/>
    <w:rsid w:val="003C457E"/>
    <w:rsid w:val="003C61B5"/>
    <w:rsid w:val="003D632C"/>
    <w:rsid w:val="003E1D5A"/>
    <w:rsid w:val="003E2FBA"/>
    <w:rsid w:val="003E5239"/>
    <w:rsid w:val="003F1498"/>
    <w:rsid w:val="003F2D3B"/>
    <w:rsid w:val="003F2F6F"/>
    <w:rsid w:val="003F3F74"/>
    <w:rsid w:val="003F4510"/>
    <w:rsid w:val="003F4EE0"/>
    <w:rsid w:val="00400956"/>
    <w:rsid w:val="00401E3C"/>
    <w:rsid w:val="004046C9"/>
    <w:rsid w:val="004046D4"/>
    <w:rsid w:val="00405E5B"/>
    <w:rsid w:val="00407131"/>
    <w:rsid w:val="0041056D"/>
    <w:rsid w:val="0041278D"/>
    <w:rsid w:val="004158C4"/>
    <w:rsid w:val="00417554"/>
    <w:rsid w:val="0041785C"/>
    <w:rsid w:val="004205A0"/>
    <w:rsid w:val="00422FFF"/>
    <w:rsid w:val="004275F2"/>
    <w:rsid w:val="00430835"/>
    <w:rsid w:val="004315B9"/>
    <w:rsid w:val="00431CA7"/>
    <w:rsid w:val="00434211"/>
    <w:rsid w:val="00435D50"/>
    <w:rsid w:val="0044107D"/>
    <w:rsid w:val="00444633"/>
    <w:rsid w:val="00444A04"/>
    <w:rsid w:val="00444ED7"/>
    <w:rsid w:val="004557E0"/>
    <w:rsid w:val="004628FF"/>
    <w:rsid w:val="004631C7"/>
    <w:rsid w:val="004678D8"/>
    <w:rsid w:val="004755AA"/>
    <w:rsid w:val="0047751A"/>
    <w:rsid w:val="00487A2E"/>
    <w:rsid w:val="00487FAD"/>
    <w:rsid w:val="0049131B"/>
    <w:rsid w:val="0049234F"/>
    <w:rsid w:val="0049467D"/>
    <w:rsid w:val="004A11FC"/>
    <w:rsid w:val="004A1AE3"/>
    <w:rsid w:val="004A1E38"/>
    <w:rsid w:val="004A4084"/>
    <w:rsid w:val="004A6E48"/>
    <w:rsid w:val="004B0D46"/>
    <w:rsid w:val="004B1A93"/>
    <w:rsid w:val="004B1A9E"/>
    <w:rsid w:val="004B1C0E"/>
    <w:rsid w:val="004B6F7D"/>
    <w:rsid w:val="004B7BD3"/>
    <w:rsid w:val="004C496C"/>
    <w:rsid w:val="004C5341"/>
    <w:rsid w:val="004C6060"/>
    <w:rsid w:val="004C731C"/>
    <w:rsid w:val="004D4989"/>
    <w:rsid w:val="004D5AF6"/>
    <w:rsid w:val="004E0DCA"/>
    <w:rsid w:val="004E5F60"/>
    <w:rsid w:val="004E6F82"/>
    <w:rsid w:val="004F0ED4"/>
    <w:rsid w:val="004F5B65"/>
    <w:rsid w:val="00501053"/>
    <w:rsid w:val="00505B2B"/>
    <w:rsid w:val="00506A78"/>
    <w:rsid w:val="00506D8D"/>
    <w:rsid w:val="00510FB9"/>
    <w:rsid w:val="00512A28"/>
    <w:rsid w:val="00514770"/>
    <w:rsid w:val="00514A0C"/>
    <w:rsid w:val="005159CA"/>
    <w:rsid w:val="005232A1"/>
    <w:rsid w:val="00523D6A"/>
    <w:rsid w:val="005246DA"/>
    <w:rsid w:val="005258E4"/>
    <w:rsid w:val="005345D6"/>
    <w:rsid w:val="00537EFE"/>
    <w:rsid w:val="005401A7"/>
    <w:rsid w:val="00543006"/>
    <w:rsid w:val="00543648"/>
    <w:rsid w:val="00546849"/>
    <w:rsid w:val="005529D9"/>
    <w:rsid w:val="00554046"/>
    <w:rsid w:val="005550A5"/>
    <w:rsid w:val="005550E4"/>
    <w:rsid w:val="00560B8C"/>
    <w:rsid w:val="00567780"/>
    <w:rsid w:val="00571F03"/>
    <w:rsid w:val="00572028"/>
    <w:rsid w:val="0057475C"/>
    <w:rsid w:val="00577A5D"/>
    <w:rsid w:val="005831EF"/>
    <w:rsid w:val="005843AC"/>
    <w:rsid w:val="005847F5"/>
    <w:rsid w:val="0058607F"/>
    <w:rsid w:val="005863A6"/>
    <w:rsid w:val="005868BE"/>
    <w:rsid w:val="00591A0C"/>
    <w:rsid w:val="00594B9E"/>
    <w:rsid w:val="005955E0"/>
    <w:rsid w:val="00595ECE"/>
    <w:rsid w:val="005961D5"/>
    <w:rsid w:val="005A0B65"/>
    <w:rsid w:val="005A3F36"/>
    <w:rsid w:val="005A5D88"/>
    <w:rsid w:val="005A74C1"/>
    <w:rsid w:val="005B27FB"/>
    <w:rsid w:val="005B5124"/>
    <w:rsid w:val="005C4D6C"/>
    <w:rsid w:val="005C5B0B"/>
    <w:rsid w:val="005D137B"/>
    <w:rsid w:val="005E0734"/>
    <w:rsid w:val="005F5995"/>
    <w:rsid w:val="005F631F"/>
    <w:rsid w:val="005F6F41"/>
    <w:rsid w:val="006004EC"/>
    <w:rsid w:val="00600730"/>
    <w:rsid w:val="006028B1"/>
    <w:rsid w:val="00604955"/>
    <w:rsid w:val="00605EE7"/>
    <w:rsid w:val="00611F80"/>
    <w:rsid w:val="006172F1"/>
    <w:rsid w:val="00621D7F"/>
    <w:rsid w:val="0062657E"/>
    <w:rsid w:val="00630F27"/>
    <w:rsid w:val="006356D0"/>
    <w:rsid w:val="00642209"/>
    <w:rsid w:val="0064321A"/>
    <w:rsid w:val="006449C8"/>
    <w:rsid w:val="00644A75"/>
    <w:rsid w:val="00650DBE"/>
    <w:rsid w:val="00663BAA"/>
    <w:rsid w:val="00664265"/>
    <w:rsid w:val="00666BA9"/>
    <w:rsid w:val="0067371F"/>
    <w:rsid w:val="006767B7"/>
    <w:rsid w:val="00681E72"/>
    <w:rsid w:val="00687118"/>
    <w:rsid w:val="00694ADB"/>
    <w:rsid w:val="006A219D"/>
    <w:rsid w:val="006A55EB"/>
    <w:rsid w:val="006A7872"/>
    <w:rsid w:val="006B3CC4"/>
    <w:rsid w:val="006C1313"/>
    <w:rsid w:val="006C684F"/>
    <w:rsid w:val="006C6BD5"/>
    <w:rsid w:val="006D5609"/>
    <w:rsid w:val="006D6D53"/>
    <w:rsid w:val="006D7D88"/>
    <w:rsid w:val="006D7DCA"/>
    <w:rsid w:val="006F1FF7"/>
    <w:rsid w:val="006F3A79"/>
    <w:rsid w:val="006F3E62"/>
    <w:rsid w:val="006F4F28"/>
    <w:rsid w:val="007004F8"/>
    <w:rsid w:val="00700A90"/>
    <w:rsid w:val="0070201A"/>
    <w:rsid w:val="007042EA"/>
    <w:rsid w:val="00705CCB"/>
    <w:rsid w:val="00714887"/>
    <w:rsid w:val="00721CE1"/>
    <w:rsid w:val="007245C5"/>
    <w:rsid w:val="0072505B"/>
    <w:rsid w:val="007271F7"/>
    <w:rsid w:val="00731FAE"/>
    <w:rsid w:val="0073452B"/>
    <w:rsid w:val="00737865"/>
    <w:rsid w:val="00743278"/>
    <w:rsid w:val="00744387"/>
    <w:rsid w:val="00751808"/>
    <w:rsid w:val="00752A81"/>
    <w:rsid w:val="00755000"/>
    <w:rsid w:val="00763D91"/>
    <w:rsid w:val="00765A0D"/>
    <w:rsid w:val="00771E7F"/>
    <w:rsid w:val="007807F5"/>
    <w:rsid w:val="0078143F"/>
    <w:rsid w:val="00790A85"/>
    <w:rsid w:val="00794FF8"/>
    <w:rsid w:val="007A1584"/>
    <w:rsid w:val="007A1720"/>
    <w:rsid w:val="007B024A"/>
    <w:rsid w:val="007B032B"/>
    <w:rsid w:val="007B0612"/>
    <w:rsid w:val="007B090A"/>
    <w:rsid w:val="007B1E67"/>
    <w:rsid w:val="007B4CEA"/>
    <w:rsid w:val="007C26D4"/>
    <w:rsid w:val="007C6348"/>
    <w:rsid w:val="007D433D"/>
    <w:rsid w:val="007D7EFA"/>
    <w:rsid w:val="007E0A4D"/>
    <w:rsid w:val="007E17F1"/>
    <w:rsid w:val="007E3458"/>
    <w:rsid w:val="007E4E50"/>
    <w:rsid w:val="007F2450"/>
    <w:rsid w:val="007F6004"/>
    <w:rsid w:val="007F6275"/>
    <w:rsid w:val="007F63A6"/>
    <w:rsid w:val="007F6633"/>
    <w:rsid w:val="00813D4E"/>
    <w:rsid w:val="00817D48"/>
    <w:rsid w:val="00821749"/>
    <w:rsid w:val="0082413D"/>
    <w:rsid w:val="008246BA"/>
    <w:rsid w:val="00825BFB"/>
    <w:rsid w:val="00832767"/>
    <w:rsid w:val="00837303"/>
    <w:rsid w:val="00842648"/>
    <w:rsid w:val="00844BF3"/>
    <w:rsid w:val="0085212E"/>
    <w:rsid w:val="00856980"/>
    <w:rsid w:val="00857F61"/>
    <w:rsid w:val="008603C7"/>
    <w:rsid w:val="008610A9"/>
    <w:rsid w:val="008613CD"/>
    <w:rsid w:val="00863870"/>
    <w:rsid w:val="0086400C"/>
    <w:rsid w:val="00870C52"/>
    <w:rsid w:val="00871BBE"/>
    <w:rsid w:val="00875D49"/>
    <w:rsid w:val="00876E62"/>
    <w:rsid w:val="008810DD"/>
    <w:rsid w:val="00882849"/>
    <w:rsid w:val="00883A80"/>
    <w:rsid w:val="00886AE2"/>
    <w:rsid w:val="00890436"/>
    <w:rsid w:val="00895FDD"/>
    <w:rsid w:val="0089735D"/>
    <w:rsid w:val="008A146C"/>
    <w:rsid w:val="008A4F65"/>
    <w:rsid w:val="008B0895"/>
    <w:rsid w:val="008B3448"/>
    <w:rsid w:val="008B568C"/>
    <w:rsid w:val="008C2CE9"/>
    <w:rsid w:val="008C4344"/>
    <w:rsid w:val="008C69EC"/>
    <w:rsid w:val="008C7392"/>
    <w:rsid w:val="008D265C"/>
    <w:rsid w:val="008D6515"/>
    <w:rsid w:val="008E2595"/>
    <w:rsid w:val="008F02B0"/>
    <w:rsid w:val="008F45FD"/>
    <w:rsid w:val="008F67A0"/>
    <w:rsid w:val="009070C5"/>
    <w:rsid w:val="00907F8F"/>
    <w:rsid w:val="009125FB"/>
    <w:rsid w:val="009140EC"/>
    <w:rsid w:val="00914E7A"/>
    <w:rsid w:val="00917F90"/>
    <w:rsid w:val="0092176D"/>
    <w:rsid w:val="00923321"/>
    <w:rsid w:val="00932544"/>
    <w:rsid w:val="009360B7"/>
    <w:rsid w:val="009435C4"/>
    <w:rsid w:val="0094584C"/>
    <w:rsid w:val="009476AF"/>
    <w:rsid w:val="00955789"/>
    <w:rsid w:val="00955CB7"/>
    <w:rsid w:val="009653D5"/>
    <w:rsid w:val="009671F6"/>
    <w:rsid w:val="00970321"/>
    <w:rsid w:val="00970B59"/>
    <w:rsid w:val="00971A61"/>
    <w:rsid w:val="0097236D"/>
    <w:rsid w:val="009778D6"/>
    <w:rsid w:val="00980E74"/>
    <w:rsid w:val="0098212D"/>
    <w:rsid w:val="009822A8"/>
    <w:rsid w:val="00984711"/>
    <w:rsid w:val="00984A4A"/>
    <w:rsid w:val="00985529"/>
    <w:rsid w:val="00987486"/>
    <w:rsid w:val="00991E5D"/>
    <w:rsid w:val="009927C0"/>
    <w:rsid w:val="00993603"/>
    <w:rsid w:val="00993DD9"/>
    <w:rsid w:val="009A1323"/>
    <w:rsid w:val="009A331F"/>
    <w:rsid w:val="009A73BF"/>
    <w:rsid w:val="009B0796"/>
    <w:rsid w:val="009B08DF"/>
    <w:rsid w:val="009B5876"/>
    <w:rsid w:val="009B6C71"/>
    <w:rsid w:val="009B7D9B"/>
    <w:rsid w:val="009C2397"/>
    <w:rsid w:val="009C4129"/>
    <w:rsid w:val="009C467C"/>
    <w:rsid w:val="009C5013"/>
    <w:rsid w:val="009C5FBF"/>
    <w:rsid w:val="009C6559"/>
    <w:rsid w:val="009D1E99"/>
    <w:rsid w:val="009D685F"/>
    <w:rsid w:val="009D698B"/>
    <w:rsid w:val="009E0634"/>
    <w:rsid w:val="009F1F97"/>
    <w:rsid w:val="009F3DFA"/>
    <w:rsid w:val="00A03E72"/>
    <w:rsid w:val="00A07357"/>
    <w:rsid w:val="00A12387"/>
    <w:rsid w:val="00A13353"/>
    <w:rsid w:val="00A15359"/>
    <w:rsid w:val="00A15AB2"/>
    <w:rsid w:val="00A20BA4"/>
    <w:rsid w:val="00A2259E"/>
    <w:rsid w:val="00A242CF"/>
    <w:rsid w:val="00A26D7D"/>
    <w:rsid w:val="00A27611"/>
    <w:rsid w:val="00A330D0"/>
    <w:rsid w:val="00A355C6"/>
    <w:rsid w:val="00A428E6"/>
    <w:rsid w:val="00A52401"/>
    <w:rsid w:val="00A61F33"/>
    <w:rsid w:val="00A70374"/>
    <w:rsid w:val="00A7197C"/>
    <w:rsid w:val="00A73C3E"/>
    <w:rsid w:val="00A76FE7"/>
    <w:rsid w:val="00A77B0A"/>
    <w:rsid w:val="00A90802"/>
    <w:rsid w:val="00A91104"/>
    <w:rsid w:val="00AA0F7D"/>
    <w:rsid w:val="00AA36E7"/>
    <w:rsid w:val="00AA6A54"/>
    <w:rsid w:val="00AA79CA"/>
    <w:rsid w:val="00AB1861"/>
    <w:rsid w:val="00AB680D"/>
    <w:rsid w:val="00AB7846"/>
    <w:rsid w:val="00AC163D"/>
    <w:rsid w:val="00AC19E1"/>
    <w:rsid w:val="00AC5805"/>
    <w:rsid w:val="00AC6B14"/>
    <w:rsid w:val="00AC6E2D"/>
    <w:rsid w:val="00AD4D19"/>
    <w:rsid w:val="00AE53CC"/>
    <w:rsid w:val="00AF2098"/>
    <w:rsid w:val="00AF3711"/>
    <w:rsid w:val="00AF4F53"/>
    <w:rsid w:val="00AF7B1E"/>
    <w:rsid w:val="00B01C63"/>
    <w:rsid w:val="00B05DDC"/>
    <w:rsid w:val="00B05FDA"/>
    <w:rsid w:val="00B07594"/>
    <w:rsid w:val="00B22001"/>
    <w:rsid w:val="00B2239E"/>
    <w:rsid w:val="00B33227"/>
    <w:rsid w:val="00B4241E"/>
    <w:rsid w:val="00B52920"/>
    <w:rsid w:val="00B53D0C"/>
    <w:rsid w:val="00B54532"/>
    <w:rsid w:val="00B56273"/>
    <w:rsid w:val="00B6072A"/>
    <w:rsid w:val="00B6603E"/>
    <w:rsid w:val="00B6693F"/>
    <w:rsid w:val="00B711ED"/>
    <w:rsid w:val="00B73053"/>
    <w:rsid w:val="00B74207"/>
    <w:rsid w:val="00B7790D"/>
    <w:rsid w:val="00B82D36"/>
    <w:rsid w:val="00B8492F"/>
    <w:rsid w:val="00B8589B"/>
    <w:rsid w:val="00B87AED"/>
    <w:rsid w:val="00B96523"/>
    <w:rsid w:val="00B9780C"/>
    <w:rsid w:val="00BA1CDC"/>
    <w:rsid w:val="00BA1F09"/>
    <w:rsid w:val="00BA2144"/>
    <w:rsid w:val="00BA43F6"/>
    <w:rsid w:val="00BA4D16"/>
    <w:rsid w:val="00BA517F"/>
    <w:rsid w:val="00BA7788"/>
    <w:rsid w:val="00BB03D8"/>
    <w:rsid w:val="00BB04B4"/>
    <w:rsid w:val="00BB2569"/>
    <w:rsid w:val="00BB5CF9"/>
    <w:rsid w:val="00BC1BBF"/>
    <w:rsid w:val="00BC1D76"/>
    <w:rsid w:val="00BC34F5"/>
    <w:rsid w:val="00BC3EA0"/>
    <w:rsid w:val="00BC4B79"/>
    <w:rsid w:val="00BC7A8C"/>
    <w:rsid w:val="00BC7B3A"/>
    <w:rsid w:val="00BD27AE"/>
    <w:rsid w:val="00BE112C"/>
    <w:rsid w:val="00BE36E3"/>
    <w:rsid w:val="00BF4BF9"/>
    <w:rsid w:val="00BF7560"/>
    <w:rsid w:val="00BF7672"/>
    <w:rsid w:val="00C03E40"/>
    <w:rsid w:val="00C15602"/>
    <w:rsid w:val="00C172ED"/>
    <w:rsid w:val="00C17661"/>
    <w:rsid w:val="00C20733"/>
    <w:rsid w:val="00C21023"/>
    <w:rsid w:val="00C244F8"/>
    <w:rsid w:val="00C26714"/>
    <w:rsid w:val="00C267C2"/>
    <w:rsid w:val="00C279F5"/>
    <w:rsid w:val="00C3263C"/>
    <w:rsid w:val="00C3380B"/>
    <w:rsid w:val="00C364EB"/>
    <w:rsid w:val="00C45EDF"/>
    <w:rsid w:val="00C50FB8"/>
    <w:rsid w:val="00C52225"/>
    <w:rsid w:val="00C52DE6"/>
    <w:rsid w:val="00C53CCA"/>
    <w:rsid w:val="00C60760"/>
    <w:rsid w:val="00C623DE"/>
    <w:rsid w:val="00C63ABF"/>
    <w:rsid w:val="00C65149"/>
    <w:rsid w:val="00C6766E"/>
    <w:rsid w:val="00C74254"/>
    <w:rsid w:val="00C763BC"/>
    <w:rsid w:val="00C81209"/>
    <w:rsid w:val="00C83610"/>
    <w:rsid w:val="00C83A68"/>
    <w:rsid w:val="00C83C38"/>
    <w:rsid w:val="00C84C0A"/>
    <w:rsid w:val="00C915AB"/>
    <w:rsid w:val="00C96179"/>
    <w:rsid w:val="00C96D85"/>
    <w:rsid w:val="00C97F23"/>
    <w:rsid w:val="00CA27AB"/>
    <w:rsid w:val="00CA4558"/>
    <w:rsid w:val="00CA4E90"/>
    <w:rsid w:val="00CB1612"/>
    <w:rsid w:val="00CB7924"/>
    <w:rsid w:val="00CC0BD0"/>
    <w:rsid w:val="00CC3F4F"/>
    <w:rsid w:val="00CE5474"/>
    <w:rsid w:val="00CE6D05"/>
    <w:rsid w:val="00CE73ED"/>
    <w:rsid w:val="00CF0D48"/>
    <w:rsid w:val="00CF1BBC"/>
    <w:rsid w:val="00CF66E4"/>
    <w:rsid w:val="00D0478D"/>
    <w:rsid w:val="00D060B0"/>
    <w:rsid w:val="00D06CFD"/>
    <w:rsid w:val="00D0750C"/>
    <w:rsid w:val="00D10EA4"/>
    <w:rsid w:val="00D12FF8"/>
    <w:rsid w:val="00D278AA"/>
    <w:rsid w:val="00D305E8"/>
    <w:rsid w:val="00D36450"/>
    <w:rsid w:val="00D4361D"/>
    <w:rsid w:val="00D479EF"/>
    <w:rsid w:val="00D47CF9"/>
    <w:rsid w:val="00D47E19"/>
    <w:rsid w:val="00D50F21"/>
    <w:rsid w:val="00D52D43"/>
    <w:rsid w:val="00D558CA"/>
    <w:rsid w:val="00D613A2"/>
    <w:rsid w:val="00D6211E"/>
    <w:rsid w:val="00D67570"/>
    <w:rsid w:val="00D72A78"/>
    <w:rsid w:val="00D734B2"/>
    <w:rsid w:val="00D81E93"/>
    <w:rsid w:val="00D821E3"/>
    <w:rsid w:val="00D8528B"/>
    <w:rsid w:val="00D85308"/>
    <w:rsid w:val="00D873E5"/>
    <w:rsid w:val="00D87816"/>
    <w:rsid w:val="00D923B2"/>
    <w:rsid w:val="00D93927"/>
    <w:rsid w:val="00D94A8C"/>
    <w:rsid w:val="00D9604D"/>
    <w:rsid w:val="00D96EB2"/>
    <w:rsid w:val="00DA2762"/>
    <w:rsid w:val="00DA664E"/>
    <w:rsid w:val="00DB28F7"/>
    <w:rsid w:val="00DC018D"/>
    <w:rsid w:val="00DC0EAD"/>
    <w:rsid w:val="00DC1C70"/>
    <w:rsid w:val="00DC341E"/>
    <w:rsid w:val="00DD4869"/>
    <w:rsid w:val="00DD7964"/>
    <w:rsid w:val="00DE0A47"/>
    <w:rsid w:val="00DE1CD1"/>
    <w:rsid w:val="00DE4E25"/>
    <w:rsid w:val="00DE6E95"/>
    <w:rsid w:val="00DF0840"/>
    <w:rsid w:val="00DF0ACA"/>
    <w:rsid w:val="00DF0C1D"/>
    <w:rsid w:val="00DF2E7B"/>
    <w:rsid w:val="00E00C30"/>
    <w:rsid w:val="00E05C3E"/>
    <w:rsid w:val="00E11BED"/>
    <w:rsid w:val="00E15A71"/>
    <w:rsid w:val="00E20195"/>
    <w:rsid w:val="00E228C1"/>
    <w:rsid w:val="00E2363F"/>
    <w:rsid w:val="00E24F56"/>
    <w:rsid w:val="00E272AB"/>
    <w:rsid w:val="00E30A68"/>
    <w:rsid w:val="00E33E87"/>
    <w:rsid w:val="00E4185B"/>
    <w:rsid w:val="00E427A8"/>
    <w:rsid w:val="00E47E05"/>
    <w:rsid w:val="00E50DD0"/>
    <w:rsid w:val="00E5220C"/>
    <w:rsid w:val="00E6206E"/>
    <w:rsid w:val="00E63567"/>
    <w:rsid w:val="00E652BF"/>
    <w:rsid w:val="00E82B93"/>
    <w:rsid w:val="00E8789B"/>
    <w:rsid w:val="00E92A3F"/>
    <w:rsid w:val="00EA08E0"/>
    <w:rsid w:val="00EA2E0C"/>
    <w:rsid w:val="00EA31D1"/>
    <w:rsid w:val="00EA7ED8"/>
    <w:rsid w:val="00EC214F"/>
    <w:rsid w:val="00EC6811"/>
    <w:rsid w:val="00ED2E63"/>
    <w:rsid w:val="00EE3214"/>
    <w:rsid w:val="00EE4FCD"/>
    <w:rsid w:val="00EF1586"/>
    <w:rsid w:val="00EF458C"/>
    <w:rsid w:val="00EF46C9"/>
    <w:rsid w:val="00F00A9D"/>
    <w:rsid w:val="00F014F9"/>
    <w:rsid w:val="00F05A65"/>
    <w:rsid w:val="00F05AD9"/>
    <w:rsid w:val="00F1006A"/>
    <w:rsid w:val="00F23703"/>
    <w:rsid w:val="00F2438E"/>
    <w:rsid w:val="00F24B69"/>
    <w:rsid w:val="00F32C79"/>
    <w:rsid w:val="00F40461"/>
    <w:rsid w:val="00F40EED"/>
    <w:rsid w:val="00F42D05"/>
    <w:rsid w:val="00F46B23"/>
    <w:rsid w:val="00F52D93"/>
    <w:rsid w:val="00F610C7"/>
    <w:rsid w:val="00F637B2"/>
    <w:rsid w:val="00F67B58"/>
    <w:rsid w:val="00F80CE7"/>
    <w:rsid w:val="00F811EF"/>
    <w:rsid w:val="00F840B5"/>
    <w:rsid w:val="00F84788"/>
    <w:rsid w:val="00F85735"/>
    <w:rsid w:val="00F87F49"/>
    <w:rsid w:val="00F9188A"/>
    <w:rsid w:val="00F91B9E"/>
    <w:rsid w:val="00F934F5"/>
    <w:rsid w:val="00F9376B"/>
    <w:rsid w:val="00F94ED2"/>
    <w:rsid w:val="00F96D2B"/>
    <w:rsid w:val="00FA178A"/>
    <w:rsid w:val="00FA1A5E"/>
    <w:rsid w:val="00FA60B6"/>
    <w:rsid w:val="00FA7EFC"/>
    <w:rsid w:val="00FB0B61"/>
    <w:rsid w:val="00FB1871"/>
    <w:rsid w:val="00FB63CB"/>
    <w:rsid w:val="00FC53DD"/>
    <w:rsid w:val="00FD020E"/>
    <w:rsid w:val="00FD1402"/>
    <w:rsid w:val="00FE1832"/>
    <w:rsid w:val="00FE292F"/>
    <w:rsid w:val="00FE4FDF"/>
    <w:rsid w:val="00FE58C7"/>
    <w:rsid w:val="00FE7670"/>
    <w:rsid w:val="00FE7CEA"/>
    <w:rsid w:val="00FE7DBF"/>
    <w:rsid w:val="00FF0D68"/>
    <w:rsid w:val="00FF1C4D"/>
    <w:rsid w:val="00FF3C1F"/>
    <w:rsid w:val="00FF63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6E221"/>
  <w15:chartTrackingRefBased/>
  <w15:docId w15:val="{823CBAF7-CFBD-4EFB-8A9A-6AE2B307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A0"/>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43278"/>
    <w:pPr>
      <w:tabs>
        <w:tab w:val="decimal" w:pos="9070"/>
        <w:tab w:val="right" w:pos="14002"/>
      </w:tabs>
      <w:spacing w:after="0" w:line="240" w:lineRule="auto"/>
    </w:pPr>
    <w:rPr>
      <w:noProof/>
      <w:color w:val="0082AB"/>
      <w:spacing w:val="6"/>
      <w:sz w:val="16"/>
      <w:szCs w:val="16"/>
    </w:rPr>
  </w:style>
  <w:style w:type="character" w:customStyle="1" w:styleId="FooterChar">
    <w:name w:val="Footer Char"/>
    <w:link w:val="Footer"/>
    <w:rsid w:val="00743278"/>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uiPriority w:val="1"/>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1"/>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paragraph" w:customStyle="1" w:styleId="CabStandard">
    <w:name w:val="CabStandard"/>
    <w:basedOn w:val="Normal"/>
    <w:rsid w:val="00514A0C"/>
    <w:pPr>
      <w:numPr>
        <w:numId w:val="6"/>
      </w:numPr>
      <w:spacing w:line="240" w:lineRule="auto"/>
    </w:pPr>
    <w:rPr>
      <w:rFonts w:ascii="Times New Roman" w:hAnsi="Times New Roman"/>
      <w:sz w:val="24"/>
      <w:lang w:eastAsia="ja-JP"/>
    </w:rPr>
  </w:style>
  <w:style w:type="paragraph" w:customStyle="1" w:styleId="ReportBody">
    <w:name w:val="Report Body"/>
    <w:basedOn w:val="Normal"/>
    <w:link w:val="ReportBodyChar"/>
    <w:qFormat/>
    <w:rsid w:val="00A73C3E"/>
    <w:pPr>
      <w:numPr>
        <w:numId w:val="7"/>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A73C3E"/>
    <w:pPr>
      <w:numPr>
        <w:ilvl w:val="1"/>
      </w:numPr>
      <w:tabs>
        <w:tab w:val="clear" w:pos="493"/>
      </w:tabs>
      <w:ind w:left="2220" w:hanging="360"/>
    </w:pPr>
  </w:style>
  <w:style w:type="character" w:customStyle="1" w:styleId="ReportBodyChar">
    <w:name w:val="Report Body Char"/>
    <w:basedOn w:val="DefaultParagraphFont"/>
    <w:link w:val="ReportBody"/>
    <w:rsid w:val="00A73C3E"/>
    <w:rPr>
      <w:rFonts w:ascii="Verdana" w:eastAsia="Times New Roman" w:hAnsi="Verdana" w:cs="Arial"/>
      <w:color w:val="000000"/>
      <w:kern w:val="22"/>
    </w:rPr>
  </w:style>
  <w:style w:type="character" w:styleId="UnresolvedMention">
    <w:name w:val="Unresolved Mention"/>
    <w:basedOn w:val="DefaultParagraphFont"/>
    <w:uiPriority w:val="99"/>
    <w:semiHidden/>
    <w:unhideWhenUsed/>
    <w:rsid w:val="004A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198186">
      <w:bodyDiv w:val="1"/>
      <w:marLeft w:val="0"/>
      <w:marRight w:val="0"/>
      <w:marTop w:val="0"/>
      <w:marBottom w:val="0"/>
      <w:divBdr>
        <w:top w:val="none" w:sz="0" w:space="0" w:color="auto"/>
        <w:left w:val="none" w:sz="0" w:space="0" w:color="auto"/>
        <w:bottom w:val="none" w:sz="0" w:space="0" w:color="auto"/>
        <w:right w:val="none" w:sz="0" w:space="0" w:color="auto"/>
      </w:divBdr>
    </w:div>
    <w:div w:id="811749586">
      <w:bodyDiv w:val="1"/>
      <w:marLeft w:val="0"/>
      <w:marRight w:val="0"/>
      <w:marTop w:val="0"/>
      <w:marBottom w:val="0"/>
      <w:divBdr>
        <w:top w:val="none" w:sz="0" w:space="0" w:color="auto"/>
        <w:left w:val="none" w:sz="0" w:space="0" w:color="auto"/>
        <w:bottom w:val="none" w:sz="0" w:space="0" w:color="auto"/>
        <w:right w:val="none" w:sz="0" w:space="0" w:color="auto"/>
      </w:divBdr>
    </w:div>
    <w:div w:id="817461066">
      <w:bodyDiv w:val="1"/>
      <w:marLeft w:val="0"/>
      <w:marRight w:val="0"/>
      <w:marTop w:val="0"/>
      <w:marBottom w:val="0"/>
      <w:divBdr>
        <w:top w:val="none" w:sz="0" w:space="0" w:color="auto"/>
        <w:left w:val="none" w:sz="0" w:space="0" w:color="auto"/>
        <w:bottom w:val="none" w:sz="0" w:space="0" w:color="auto"/>
        <w:right w:val="none" w:sz="0" w:space="0" w:color="auto"/>
      </w:divBdr>
    </w:div>
    <w:div w:id="893859226">
      <w:bodyDiv w:val="1"/>
      <w:marLeft w:val="0"/>
      <w:marRight w:val="0"/>
      <w:marTop w:val="0"/>
      <w:marBottom w:val="0"/>
      <w:divBdr>
        <w:top w:val="none" w:sz="0" w:space="0" w:color="auto"/>
        <w:left w:val="none" w:sz="0" w:space="0" w:color="auto"/>
        <w:bottom w:val="none" w:sz="0" w:space="0" w:color="auto"/>
        <w:right w:val="none" w:sz="0" w:space="0" w:color="auto"/>
      </w:divBdr>
    </w:div>
    <w:div w:id="952245119">
      <w:bodyDiv w:val="1"/>
      <w:marLeft w:val="0"/>
      <w:marRight w:val="0"/>
      <w:marTop w:val="0"/>
      <w:marBottom w:val="0"/>
      <w:divBdr>
        <w:top w:val="none" w:sz="0" w:space="0" w:color="auto"/>
        <w:left w:val="none" w:sz="0" w:space="0" w:color="auto"/>
        <w:bottom w:val="none" w:sz="0" w:space="0" w:color="auto"/>
        <w:right w:val="none" w:sz="0" w:space="0" w:color="auto"/>
      </w:divBdr>
    </w:div>
    <w:div w:id="1202862459">
      <w:bodyDiv w:val="1"/>
      <w:marLeft w:val="0"/>
      <w:marRight w:val="0"/>
      <w:marTop w:val="0"/>
      <w:marBottom w:val="0"/>
      <w:divBdr>
        <w:top w:val="none" w:sz="0" w:space="0" w:color="auto"/>
        <w:left w:val="none" w:sz="0" w:space="0" w:color="auto"/>
        <w:bottom w:val="none" w:sz="0" w:space="0" w:color="auto"/>
        <w:right w:val="none" w:sz="0" w:space="0" w:color="auto"/>
      </w:divBdr>
    </w:div>
    <w:div w:id="1332444708">
      <w:bodyDiv w:val="1"/>
      <w:marLeft w:val="0"/>
      <w:marRight w:val="0"/>
      <w:marTop w:val="0"/>
      <w:marBottom w:val="0"/>
      <w:divBdr>
        <w:top w:val="none" w:sz="0" w:space="0" w:color="auto"/>
        <w:left w:val="none" w:sz="0" w:space="0" w:color="auto"/>
        <w:bottom w:val="none" w:sz="0" w:space="0" w:color="auto"/>
        <w:right w:val="none" w:sz="0" w:space="0" w:color="auto"/>
      </w:divBdr>
    </w:div>
    <w:div w:id="1369909669">
      <w:bodyDiv w:val="1"/>
      <w:marLeft w:val="0"/>
      <w:marRight w:val="0"/>
      <w:marTop w:val="0"/>
      <w:marBottom w:val="0"/>
      <w:divBdr>
        <w:top w:val="none" w:sz="0" w:space="0" w:color="auto"/>
        <w:left w:val="none" w:sz="0" w:space="0" w:color="auto"/>
        <w:bottom w:val="none" w:sz="0" w:space="0" w:color="auto"/>
        <w:right w:val="none" w:sz="0" w:space="0" w:color="auto"/>
      </w:divBdr>
    </w:div>
    <w:div w:id="1406535009">
      <w:bodyDiv w:val="1"/>
      <w:marLeft w:val="0"/>
      <w:marRight w:val="0"/>
      <w:marTop w:val="0"/>
      <w:marBottom w:val="0"/>
      <w:divBdr>
        <w:top w:val="none" w:sz="0" w:space="0" w:color="auto"/>
        <w:left w:val="none" w:sz="0" w:space="0" w:color="auto"/>
        <w:bottom w:val="none" w:sz="0" w:space="0" w:color="auto"/>
        <w:right w:val="none" w:sz="0" w:space="0" w:color="auto"/>
      </w:divBdr>
    </w:div>
    <w:div w:id="1521167869">
      <w:bodyDiv w:val="1"/>
      <w:marLeft w:val="0"/>
      <w:marRight w:val="0"/>
      <w:marTop w:val="0"/>
      <w:marBottom w:val="0"/>
      <w:divBdr>
        <w:top w:val="none" w:sz="0" w:space="0" w:color="auto"/>
        <w:left w:val="none" w:sz="0" w:space="0" w:color="auto"/>
        <w:bottom w:val="none" w:sz="0" w:space="0" w:color="auto"/>
        <w:right w:val="none" w:sz="0" w:space="0" w:color="auto"/>
      </w:divBdr>
    </w:div>
    <w:div w:id="1592160509">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19277980">
      <w:bodyDiv w:val="1"/>
      <w:marLeft w:val="0"/>
      <w:marRight w:val="0"/>
      <w:marTop w:val="0"/>
      <w:marBottom w:val="0"/>
      <w:divBdr>
        <w:top w:val="none" w:sz="0" w:space="0" w:color="auto"/>
        <w:left w:val="none" w:sz="0" w:space="0" w:color="auto"/>
        <w:bottom w:val="none" w:sz="0" w:space="0" w:color="auto"/>
        <w:right w:val="none" w:sz="0" w:space="0" w:color="auto"/>
      </w:divBdr>
    </w:div>
    <w:div w:id="1875803259">
      <w:bodyDiv w:val="1"/>
      <w:marLeft w:val="0"/>
      <w:marRight w:val="0"/>
      <w:marTop w:val="0"/>
      <w:marBottom w:val="0"/>
      <w:divBdr>
        <w:top w:val="none" w:sz="0" w:space="0" w:color="auto"/>
        <w:left w:val="none" w:sz="0" w:space="0" w:color="auto"/>
        <w:bottom w:val="none" w:sz="0" w:space="0" w:color="auto"/>
        <w:right w:val="none" w:sz="0" w:space="0" w:color="auto"/>
      </w:divBdr>
    </w:div>
    <w:div w:id="2033149348">
      <w:bodyDiv w:val="1"/>
      <w:marLeft w:val="0"/>
      <w:marRight w:val="0"/>
      <w:marTop w:val="0"/>
      <w:marBottom w:val="0"/>
      <w:divBdr>
        <w:top w:val="none" w:sz="0" w:space="0" w:color="auto"/>
        <w:left w:val="none" w:sz="0" w:space="0" w:color="auto"/>
        <w:bottom w:val="none" w:sz="0" w:space="0" w:color="auto"/>
        <w:right w:val="none" w:sz="0" w:space="0" w:color="auto"/>
      </w:divBdr>
    </w:div>
    <w:div w:id="20788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racp.edu.au/docs/default-source/advocacy-library/pa-health-benefits-of-work-evidence-update.pdf?sfvrsn=4" TargetMode="External"/><Relationship Id="rId1" Type="http://schemas.openxmlformats.org/officeDocument/2006/relationships/hyperlink" Target="http://ftp.iza.org/dp67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898D-B2E8-40D0-A147-0F330DE2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12212</Words>
  <Characters>66309</Characters>
  <Application>Microsoft Office Word</Application>
  <DocSecurity>0</DocSecurity>
  <Lines>1899</Lines>
  <Paragraphs>611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Regulatory impact assessment – Increasing main benefit abatement thresholds on 1 April 2021 and consequential adjustments to the Minimum Family Tax Credit (3 December 2020)</vt:lpstr>
      <vt:lpstr>Coversheet: Increasing main benefit abatement thresholds on 1 April 2021 and con</vt:lpstr>
      <vt:lpstr>    Summary:  Problem and Proposed Approach </vt:lpstr>
      <vt:lpstr>    Section B: Summary Impacts: Benefits and costs </vt:lpstr>
      <vt:lpstr>    Section C: Evidence certainty and quality assurance </vt:lpstr>
      <vt:lpstr>Impact Statement: Increasing main benefit abatement thresholds on 1 April 2021 a</vt:lpstr>
      <vt:lpstr>Section 1: General information</vt:lpstr>
      <vt:lpstr>    Section 3: Option identification</vt:lpstr>
    </vt:vector>
  </TitlesOfParts>
  <Company/>
  <LinksUpToDate>false</LinksUpToDate>
  <CharactersWithSpaces>78210</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Increasing main benefit abatement thresholds on 1 April 2021 and consequential adjustments to the Minimum Family Tax Credit (3 December 2020)</dc:title>
  <dc:subject/>
  <dc:creator>Ministry of Social Development + Inland Revenue</dc:creator>
  <cp:keywords/>
  <dc:description/>
  <dcterms:created xsi:type="dcterms:W3CDTF">2021-02-15T06:08:00Z</dcterms:created>
  <dcterms:modified xsi:type="dcterms:W3CDTF">2021-02-15T06:10:00Z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