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8C3B" w14:textId="6E14B45C" w:rsidR="00E92509" w:rsidRPr="0067537D" w:rsidRDefault="00BA08C7" w:rsidP="00293FDC">
      <w:pPr>
        <w:pStyle w:val="Heading1"/>
        <w:spacing w:before="0"/>
      </w:pPr>
      <w:r w:rsidRPr="00B952B7">
        <w:t>Impact Sum</w:t>
      </w:r>
      <w:r w:rsidRPr="006D3130">
        <w:t>m</w:t>
      </w:r>
      <w:r w:rsidRPr="00B952B7">
        <w:t>ary</w:t>
      </w:r>
      <w:r w:rsidR="00783846" w:rsidRPr="00957BC2">
        <w:t>:</w:t>
      </w:r>
      <w:r w:rsidR="007C77B1" w:rsidRPr="00957BC2">
        <w:t xml:space="preserve"> </w:t>
      </w:r>
      <w:r w:rsidR="008B23D6">
        <w:t>Tax pooling to purchase backdated tax</w:t>
      </w:r>
    </w:p>
    <w:p w14:paraId="181D721E" w14:textId="77777777" w:rsidR="00E57521" w:rsidRPr="00E57521" w:rsidRDefault="00E57521" w:rsidP="00EC6FAD">
      <w:pPr>
        <w:pStyle w:val="spacer"/>
        <w:rPr>
          <w:w w:val="90"/>
          <w:sz w:val="22"/>
        </w:rPr>
      </w:pPr>
    </w:p>
    <w:p w14:paraId="3CAFAA9C" w14:textId="77777777" w:rsidR="00E92509" w:rsidRPr="00B952B7" w:rsidRDefault="00E92509" w:rsidP="00414D0D">
      <w:pPr>
        <w:pStyle w:val="Heading2"/>
      </w:pPr>
      <w:r w:rsidRPr="00B952B7">
        <w:t>Section 1: Ge</w:t>
      </w:r>
      <w:r w:rsidRPr="00414D0D">
        <w:t>nera</w:t>
      </w:r>
      <w:r w:rsidRPr="00B952B7">
        <w:t>l infor</w:t>
      </w:r>
      <w:r w:rsidRPr="00414D0D">
        <w:t>ma</w:t>
      </w:r>
      <w:r w:rsidRPr="00B952B7">
        <w:t>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060BCB7B" w14:textId="77777777" w:rsidTr="00BB4EA2">
        <w:tc>
          <w:tcPr>
            <w:tcW w:w="5000" w:type="pct"/>
            <w:shd w:val="clear" w:color="auto" w:fill="99CDDD"/>
            <w:hideMark/>
          </w:tcPr>
          <w:p w14:paraId="3A3107FA" w14:textId="77777777" w:rsidR="00DA39FD" w:rsidRPr="00AE4D46" w:rsidRDefault="00217894" w:rsidP="00EC6FAD">
            <w:pPr>
              <w:pStyle w:val="TableHeadings"/>
              <w:rPr>
                <w:color w:val="002060"/>
                <w:szCs w:val="22"/>
              </w:rPr>
            </w:pPr>
            <w:r w:rsidRPr="00886DFF">
              <w:rPr>
                <w:szCs w:val="22"/>
              </w:rPr>
              <w:t>Purpose</w:t>
            </w:r>
          </w:p>
        </w:tc>
      </w:tr>
      <w:tr w:rsidR="00DA39FD" w:rsidRPr="0069218C" w14:paraId="56BFAA63" w14:textId="77777777" w:rsidTr="00BB4EA2">
        <w:trPr>
          <w:trHeight w:val="680"/>
        </w:trPr>
        <w:tc>
          <w:tcPr>
            <w:tcW w:w="5000" w:type="pct"/>
            <w:shd w:val="clear" w:color="auto" w:fill="EBF5F8"/>
          </w:tcPr>
          <w:p w14:paraId="4B3BF8AC" w14:textId="69D4664B" w:rsidR="00DA39FD" w:rsidRPr="003E5F31" w:rsidRDefault="008B23D6" w:rsidP="00E36B16">
            <w:pPr>
              <w:spacing w:after="180"/>
              <w:jc w:val="both"/>
              <w:rPr>
                <w:rFonts w:cs="Arial"/>
                <w:iCs/>
                <w:szCs w:val="22"/>
              </w:rPr>
            </w:pPr>
            <w:r w:rsidRPr="003E5F31">
              <w:rPr>
                <w:rFonts w:cs="Arial"/>
                <w:iCs/>
                <w:color w:val="000000"/>
                <w:szCs w:val="22"/>
              </w:rPr>
              <w:t>Inland Revenue is</w:t>
            </w:r>
            <w:r w:rsidR="00DA39FD" w:rsidRPr="003E5F31">
              <w:rPr>
                <w:rFonts w:cs="Arial"/>
                <w:iCs/>
                <w:color w:val="000000"/>
                <w:szCs w:val="22"/>
              </w:rPr>
              <w:t xml:space="preserve"> solely responsible for the analysis and advice set out in this Impact </w:t>
            </w:r>
            <w:r w:rsidR="008A56EB" w:rsidRPr="003E5F31">
              <w:rPr>
                <w:rFonts w:cs="Arial"/>
                <w:iCs/>
                <w:color w:val="000000"/>
                <w:szCs w:val="22"/>
              </w:rPr>
              <w:t>Summary</w:t>
            </w:r>
            <w:r w:rsidR="00DA39FD" w:rsidRPr="003E5F31">
              <w:rPr>
                <w:rFonts w:cs="Arial"/>
                <w:iCs/>
                <w:color w:val="000000"/>
                <w:szCs w:val="22"/>
              </w:rPr>
              <w:t xml:space="preserve">, except as </w:t>
            </w:r>
            <w:r w:rsidR="00CD24DC" w:rsidRPr="003E5F31">
              <w:rPr>
                <w:rFonts w:cs="Arial"/>
                <w:iCs/>
                <w:color w:val="000000"/>
                <w:szCs w:val="22"/>
              </w:rPr>
              <w:t xml:space="preserve">otherwise explicitly indicated. </w:t>
            </w:r>
            <w:r w:rsidR="00DA39FD" w:rsidRPr="003E5F31">
              <w:rPr>
                <w:rFonts w:cs="Arial"/>
                <w:iCs/>
                <w:color w:val="000000"/>
                <w:szCs w:val="22"/>
              </w:rPr>
              <w:t>This analysis and advice has been produced for the purpose of informing</w:t>
            </w:r>
            <w:r w:rsidR="003E5F31">
              <w:rPr>
                <w:rFonts w:cs="Arial"/>
                <w:iCs/>
                <w:color w:val="000000"/>
                <w:szCs w:val="22"/>
              </w:rPr>
              <w:t xml:space="preserve"> f</w:t>
            </w:r>
            <w:r w:rsidR="00DA39FD" w:rsidRPr="00783846">
              <w:t>inal decisions to proceed with a policy change to be taken by Cabinet</w:t>
            </w:r>
            <w:r w:rsidR="003E5F31">
              <w:t>.</w:t>
            </w:r>
          </w:p>
        </w:tc>
      </w:tr>
    </w:tbl>
    <w:p w14:paraId="11F871E2" w14:textId="77777777" w:rsidR="00F81C1E" w:rsidRDefault="00F81C1E"/>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3AE36782" w14:textId="77777777" w:rsidTr="00BB4EA2">
        <w:tc>
          <w:tcPr>
            <w:tcW w:w="5000" w:type="pct"/>
            <w:shd w:val="clear" w:color="auto" w:fill="99CDDD"/>
            <w:hideMark/>
          </w:tcPr>
          <w:p w14:paraId="03359D62" w14:textId="77777777" w:rsidR="00DA39FD" w:rsidRPr="00886DFF" w:rsidRDefault="00DA39FD" w:rsidP="00957BC2">
            <w:pPr>
              <w:pStyle w:val="TableHeadings"/>
              <w:keepNext/>
              <w:rPr>
                <w:szCs w:val="22"/>
              </w:rPr>
            </w:pPr>
            <w:r w:rsidRPr="00886DFF">
              <w:rPr>
                <w:szCs w:val="22"/>
              </w:rPr>
              <w:t>Key Limitations or Constraints on Analysis</w:t>
            </w:r>
          </w:p>
        </w:tc>
      </w:tr>
      <w:tr w:rsidR="0069218C" w:rsidRPr="0069218C" w14:paraId="4593227A" w14:textId="77777777" w:rsidTr="00BB4EA2">
        <w:trPr>
          <w:trHeight w:val="1780"/>
        </w:trPr>
        <w:tc>
          <w:tcPr>
            <w:tcW w:w="5000" w:type="pct"/>
            <w:shd w:val="clear" w:color="auto" w:fill="auto"/>
          </w:tcPr>
          <w:p w14:paraId="2C57F558" w14:textId="78817BB0" w:rsidR="008C1CB2" w:rsidRDefault="008C1CB2" w:rsidP="00C7655A">
            <w:pPr>
              <w:spacing w:after="0" w:line="276" w:lineRule="auto"/>
              <w:jc w:val="both"/>
              <w:rPr>
                <w:rFonts w:cs="Arial"/>
                <w:szCs w:val="22"/>
              </w:rPr>
            </w:pPr>
            <w:r>
              <w:rPr>
                <w:rFonts w:cs="Arial"/>
                <w:szCs w:val="22"/>
              </w:rPr>
              <w:t xml:space="preserve">The key </w:t>
            </w:r>
            <w:proofErr w:type="gramStart"/>
            <w:r>
              <w:rPr>
                <w:rFonts w:cs="Arial"/>
                <w:szCs w:val="22"/>
              </w:rPr>
              <w:t>constraints</w:t>
            </w:r>
            <w:proofErr w:type="gramEnd"/>
            <w:r>
              <w:rPr>
                <w:rFonts w:cs="Arial"/>
                <w:szCs w:val="22"/>
              </w:rPr>
              <w:t xml:space="preserve"> on the below analysis is data. As the proposed change would benefit a demographic who currently cannot </w:t>
            </w:r>
            <w:r w:rsidR="003E1C62">
              <w:rPr>
                <w:rFonts w:cs="Arial"/>
                <w:szCs w:val="22"/>
              </w:rPr>
              <w:t>use</w:t>
            </w:r>
            <w:r>
              <w:rPr>
                <w:rFonts w:cs="Arial"/>
                <w:szCs w:val="22"/>
              </w:rPr>
              <w:t xml:space="preserve"> backdated tax, it is difficult to fully scope who would </w:t>
            </w:r>
            <w:r w:rsidR="003E1C62">
              <w:rPr>
                <w:rFonts w:cs="Arial"/>
                <w:szCs w:val="22"/>
              </w:rPr>
              <w:t>use</w:t>
            </w:r>
            <w:r>
              <w:rPr>
                <w:rFonts w:cs="Arial"/>
                <w:szCs w:val="22"/>
              </w:rPr>
              <w:t xml:space="preserve"> it in these circumstances if they could. There is also a behavioural element to the change that is also difficult to </w:t>
            </w:r>
            <w:r w:rsidR="001B45F0">
              <w:rPr>
                <w:rFonts w:cs="Arial"/>
                <w:szCs w:val="22"/>
              </w:rPr>
              <w:t>objectively measure</w:t>
            </w:r>
            <w:r>
              <w:rPr>
                <w:rFonts w:cs="Arial"/>
                <w:szCs w:val="22"/>
              </w:rPr>
              <w:t>.</w:t>
            </w:r>
            <w:r w:rsidR="000B2FB8">
              <w:rPr>
                <w:rFonts w:cs="Arial"/>
                <w:szCs w:val="22"/>
              </w:rPr>
              <w:t xml:space="preserve"> Relatedly, this has limited the scope of consultation</w:t>
            </w:r>
            <w:r w:rsidR="00605550">
              <w:rPr>
                <w:rFonts w:cs="Arial"/>
                <w:szCs w:val="22"/>
              </w:rPr>
              <w:t xml:space="preserve"> and understanding of the scale of impacts</w:t>
            </w:r>
            <w:r w:rsidR="000B2FB8">
              <w:rPr>
                <w:rFonts w:cs="Arial"/>
                <w:szCs w:val="22"/>
              </w:rPr>
              <w:t xml:space="preserve"> as it is difficult to perfectly identify individuals who would specifically benefit from this change.</w:t>
            </w:r>
          </w:p>
          <w:p w14:paraId="014B930C" w14:textId="4B54DC6B" w:rsidR="008C1CB2" w:rsidRDefault="008C1CB2" w:rsidP="00C7655A">
            <w:pPr>
              <w:spacing w:after="0" w:line="276" w:lineRule="auto"/>
              <w:jc w:val="both"/>
              <w:rPr>
                <w:rFonts w:cs="Arial"/>
                <w:szCs w:val="22"/>
              </w:rPr>
            </w:pPr>
          </w:p>
          <w:p w14:paraId="1198E365" w14:textId="74F018CF" w:rsidR="008C1CB2" w:rsidRDefault="008C1CB2" w:rsidP="00C7655A">
            <w:pPr>
              <w:spacing w:after="0" w:line="276" w:lineRule="auto"/>
              <w:jc w:val="both"/>
              <w:rPr>
                <w:rFonts w:cs="Arial"/>
                <w:szCs w:val="22"/>
              </w:rPr>
            </w:pPr>
            <w:r>
              <w:rPr>
                <w:rFonts w:cs="Arial"/>
                <w:szCs w:val="22"/>
              </w:rPr>
              <w:t xml:space="preserve">Evidence of the scale of the issue is </w:t>
            </w:r>
            <w:r w:rsidR="001B45F0">
              <w:rPr>
                <w:rFonts w:cs="Arial"/>
                <w:szCs w:val="22"/>
              </w:rPr>
              <w:t xml:space="preserve">largely </w:t>
            </w:r>
            <w:r>
              <w:rPr>
                <w:rFonts w:cs="Arial"/>
                <w:szCs w:val="22"/>
              </w:rPr>
              <w:t>case-specific and/or anecdotal</w:t>
            </w:r>
            <w:r w:rsidR="001B45F0">
              <w:rPr>
                <w:rFonts w:cs="Arial"/>
                <w:szCs w:val="22"/>
              </w:rPr>
              <w:t xml:space="preserve"> and we recognise that a number of the parties who have raised it, such as tax poolers, have a vested interest in the change.</w:t>
            </w:r>
          </w:p>
          <w:p w14:paraId="631C5102" w14:textId="1EC499B6" w:rsidR="001B45F0" w:rsidRDefault="001B45F0" w:rsidP="00C7655A">
            <w:pPr>
              <w:spacing w:after="0" w:line="276" w:lineRule="auto"/>
              <w:jc w:val="both"/>
              <w:rPr>
                <w:rFonts w:cs="Arial"/>
                <w:szCs w:val="22"/>
              </w:rPr>
            </w:pPr>
          </w:p>
          <w:p w14:paraId="7749AAD6" w14:textId="6752FF54" w:rsidR="001B45F0" w:rsidRDefault="001B45F0" w:rsidP="00C7655A">
            <w:pPr>
              <w:spacing w:after="0" w:line="276" w:lineRule="auto"/>
              <w:jc w:val="both"/>
              <w:rPr>
                <w:rFonts w:cs="Arial"/>
                <w:szCs w:val="22"/>
              </w:rPr>
            </w:pPr>
            <w:r>
              <w:rPr>
                <w:rFonts w:cs="Arial"/>
                <w:szCs w:val="22"/>
              </w:rPr>
              <w:t xml:space="preserve">In considering the issue, officials </w:t>
            </w:r>
            <w:r w:rsidR="00BD620C">
              <w:rPr>
                <w:rFonts w:cs="Arial"/>
                <w:szCs w:val="22"/>
              </w:rPr>
              <w:t xml:space="preserve">primarily </w:t>
            </w:r>
            <w:r>
              <w:rPr>
                <w:rFonts w:cs="Arial"/>
                <w:szCs w:val="22"/>
              </w:rPr>
              <w:t>considered the status quo as an alternative. Comparing the options, it became apparent that, irrespective of scale, allowing the use of tax pooling to satisfy liabilities that arise from voluntary disclosures for more than income tax and Resident Withholding Tax (RWT) is the right policy outcome.</w:t>
            </w:r>
            <w:r w:rsidR="004C38CB">
              <w:rPr>
                <w:rFonts w:cs="Arial"/>
                <w:szCs w:val="22"/>
              </w:rPr>
              <w:t xml:space="preserve"> This is because it increases simplicity, </w:t>
            </w:r>
            <w:proofErr w:type="gramStart"/>
            <w:r w:rsidR="004C38CB">
              <w:rPr>
                <w:rFonts w:cs="Arial"/>
                <w:szCs w:val="22"/>
              </w:rPr>
              <w:t>coherence</w:t>
            </w:r>
            <w:proofErr w:type="gramEnd"/>
            <w:r w:rsidR="004C38CB">
              <w:rPr>
                <w:rFonts w:cs="Arial"/>
                <w:szCs w:val="22"/>
              </w:rPr>
              <w:t xml:space="preserve"> and integrity within the tax system</w:t>
            </w:r>
          </w:p>
          <w:p w14:paraId="5A2458AF" w14:textId="77777777" w:rsidR="008C1CB2" w:rsidRDefault="008C1CB2" w:rsidP="00C7655A">
            <w:pPr>
              <w:spacing w:after="0" w:line="276" w:lineRule="auto"/>
              <w:jc w:val="both"/>
              <w:rPr>
                <w:rFonts w:cs="Arial"/>
                <w:szCs w:val="22"/>
              </w:rPr>
            </w:pPr>
          </w:p>
          <w:p w14:paraId="548CD83E" w14:textId="7B754EDE" w:rsidR="00C13884" w:rsidRDefault="0091278E" w:rsidP="00655435">
            <w:pPr>
              <w:spacing w:after="0" w:line="276" w:lineRule="auto"/>
              <w:jc w:val="both"/>
              <w:rPr>
                <w:rFonts w:cs="Arial"/>
                <w:szCs w:val="22"/>
              </w:rPr>
            </w:pPr>
            <w:r>
              <w:rPr>
                <w:rFonts w:cs="Arial"/>
                <w:szCs w:val="22"/>
              </w:rPr>
              <w:t>In light of the above constraints, t</w:t>
            </w:r>
            <w:r w:rsidR="008C1CB2">
              <w:rPr>
                <w:rFonts w:cs="Arial"/>
                <w:szCs w:val="22"/>
              </w:rPr>
              <w:t xml:space="preserve">he below analysis has assumed that a voluntary disclosure </w:t>
            </w:r>
            <w:r w:rsidR="00C506F3">
              <w:rPr>
                <w:rFonts w:cs="Arial"/>
                <w:szCs w:val="22"/>
              </w:rPr>
              <w:t>would be</w:t>
            </w:r>
            <w:r w:rsidR="00F56F6E">
              <w:rPr>
                <w:rFonts w:cs="Arial"/>
                <w:szCs w:val="22"/>
              </w:rPr>
              <w:t xml:space="preserve"> more</w:t>
            </w:r>
            <w:r w:rsidR="00C506F3">
              <w:rPr>
                <w:rFonts w:cs="Arial"/>
                <w:szCs w:val="22"/>
              </w:rPr>
              <w:t xml:space="preserve"> likely to be made if </w:t>
            </w:r>
            <w:r w:rsidR="008C1CB2">
              <w:rPr>
                <w:rFonts w:cs="Arial"/>
                <w:szCs w:val="22"/>
              </w:rPr>
              <w:t xml:space="preserve">tax pooling </w:t>
            </w:r>
            <w:r w:rsidR="00C506F3">
              <w:rPr>
                <w:rFonts w:cs="Arial"/>
                <w:szCs w:val="22"/>
              </w:rPr>
              <w:t>were</w:t>
            </w:r>
            <w:r w:rsidR="008C1CB2">
              <w:rPr>
                <w:rFonts w:cs="Arial"/>
                <w:szCs w:val="22"/>
              </w:rPr>
              <w:t xml:space="preserve"> available </w:t>
            </w:r>
            <w:r w:rsidR="00C506F3">
              <w:rPr>
                <w:rFonts w:cs="Arial"/>
                <w:szCs w:val="22"/>
              </w:rPr>
              <w:t xml:space="preserve">more widely </w:t>
            </w:r>
            <w:r w:rsidR="008C1CB2">
              <w:rPr>
                <w:rFonts w:cs="Arial"/>
                <w:szCs w:val="22"/>
              </w:rPr>
              <w:t xml:space="preserve">to satisfy any </w:t>
            </w:r>
            <w:r w:rsidR="00C506F3">
              <w:rPr>
                <w:rFonts w:cs="Arial"/>
                <w:szCs w:val="22"/>
              </w:rPr>
              <w:t xml:space="preserve">tax </w:t>
            </w:r>
            <w:r w:rsidR="008C1CB2">
              <w:rPr>
                <w:rFonts w:cs="Arial"/>
                <w:szCs w:val="22"/>
              </w:rPr>
              <w:t>debt</w:t>
            </w:r>
            <w:r w:rsidR="002F123F">
              <w:rPr>
                <w:rFonts w:cs="Arial"/>
                <w:szCs w:val="22"/>
              </w:rPr>
              <w:t xml:space="preserve"> and mitigate Use of Money Interest (UOMI)</w:t>
            </w:r>
            <w:r w:rsidR="008C1CB2">
              <w:rPr>
                <w:rFonts w:cs="Arial"/>
                <w:szCs w:val="22"/>
              </w:rPr>
              <w:t xml:space="preserve">. </w:t>
            </w:r>
            <w:r w:rsidR="00827285">
              <w:rPr>
                <w:rFonts w:cs="Arial"/>
                <w:szCs w:val="22"/>
              </w:rPr>
              <w:t xml:space="preserve">In addition to the existing tax types covered </w:t>
            </w:r>
            <w:r w:rsidR="008378B5">
              <w:rPr>
                <w:rFonts w:cs="Arial"/>
                <w:szCs w:val="22"/>
              </w:rPr>
              <w:t>(income tax and RWT), t</w:t>
            </w:r>
            <w:r w:rsidR="00875205">
              <w:rPr>
                <w:rFonts w:cs="Arial"/>
                <w:szCs w:val="22"/>
              </w:rPr>
              <w:t xml:space="preserve">his means that the tax types </w:t>
            </w:r>
            <w:r w:rsidR="00C13884">
              <w:rPr>
                <w:rFonts w:cs="Arial"/>
                <w:szCs w:val="22"/>
              </w:rPr>
              <w:t>covered by this extensi</w:t>
            </w:r>
            <w:r w:rsidR="00C13884" w:rsidRPr="00CA6C73">
              <w:rPr>
                <w:rFonts w:cs="Arial"/>
                <w:szCs w:val="22"/>
              </w:rPr>
              <w:t>on are</w:t>
            </w:r>
            <w:r w:rsidR="008378B5" w:rsidRPr="00CA6C73">
              <w:rPr>
                <w:rFonts w:cs="Arial"/>
                <w:szCs w:val="22"/>
              </w:rPr>
              <w:t xml:space="preserve"> </w:t>
            </w:r>
            <w:r w:rsidR="007A75A7" w:rsidRPr="00CA6C73">
              <w:rPr>
                <w:rFonts w:cs="Arial"/>
                <w:szCs w:val="22"/>
              </w:rPr>
              <w:t xml:space="preserve">tax paid or payable under the </w:t>
            </w:r>
            <w:r w:rsidR="002A0AA9">
              <w:rPr>
                <w:rFonts w:cs="Arial"/>
                <w:szCs w:val="22"/>
              </w:rPr>
              <w:t>pay as you earn (</w:t>
            </w:r>
            <w:r w:rsidR="007A75A7" w:rsidRPr="00CA6C73">
              <w:rPr>
                <w:rFonts w:cs="Arial"/>
                <w:szCs w:val="22"/>
              </w:rPr>
              <w:t>PAYE</w:t>
            </w:r>
            <w:r w:rsidR="002A0AA9">
              <w:rPr>
                <w:rFonts w:cs="Arial"/>
                <w:szCs w:val="22"/>
              </w:rPr>
              <w:t>)</w:t>
            </w:r>
            <w:r w:rsidR="007A75A7" w:rsidRPr="00CA6C73">
              <w:rPr>
                <w:rFonts w:cs="Arial"/>
                <w:szCs w:val="22"/>
              </w:rPr>
              <w:t xml:space="preserve"> rules, </w:t>
            </w:r>
            <w:r w:rsidR="002A0AA9">
              <w:rPr>
                <w:rFonts w:cs="Arial"/>
                <w:szCs w:val="22"/>
              </w:rPr>
              <w:t>employer superannuation contribution tax (</w:t>
            </w:r>
            <w:r w:rsidR="007A75A7" w:rsidRPr="00CA6C73">
              <w:rPr>
                <w:rFonts w:cs="Arial"/>
                <w:szCs w:val="22"/>
              </w:rPr>
              <w:t>ESCT</w:t>
            </w:r>
            <w:r w:rsidR="002A0AA9">
              <w:rPr>
                <w:rFonts w:cs="Arial"/>
                <w:szCs w:val="22"/>
              </w:rPr>
              <w:t>)</w:t>
            </w:r>
            <w:r w:rsidR="007A75A7" w:rsidRPr="00CA6C73">
              <w:rPr>
                <w:rFonts w:cs="Arial"/>
                <w:szCs w:val="22"/>
              </w:rPr>
              <w:t xml:space="preserve"> rules, </w:t>
            </w:r>
            <w:r w:rsidR="00E237F9">
              <w:rPr>
                <w:rFonts w:cs="Arial"/>
                <w:szCs w:val="22"/>
              </w:rPr>
              <w:t>retirement savings schemes contributions tax (</w:t>
            </w:r>
            <w:r w:rsidR="007A75A7" w:rsidRPr="00CA6C73">
              <w:rPr>
                <w:rFonts w:cs="Arial"/>
                <w:szCs w:val="22"/>
              </w:rPr>
              <w:t>RSCT</w:t>
            </w:r>
            <w:r w:rsidR="00E237F9">
              <w:rPr>
                <w:rFonts w:cs="Arial"/>
                <w:szCs w:val="22"/>
              </w:rPr>
              <w:t>)</w:t>
            </w:r>
            <w:r w:rsidR="007A75A7" w:rsidRPr="00CA6C73">
              <w:rPr>
                <w:rFonts w:cs="Arial"/>
                <w:szCs w:val="22"/>
              </w:rPr>
              <w:t xml:space="preserve"> rules</w:t>
            </w:r>
            <w:r w:rsidR="00655435" w:rsidRPr="00CA6C73">
              <w:rPr>
                <w:rFonts w:cs="Arial"/>
                <w:szCs w:val="22"/>
              </w:rPr>
              <w:t>,</w:t>
            </w:r>
            <w:r w:rsidR="007A75A7" w:rsidRPr="00CA6C73">
              <w:rPr>
                <w:rFonts w:cs="Arial"/>
                <w:szCs w:val="22"/>
              </w:rPr>
              <w:t xml:space="preserve"> </w:t>
            </w:r>
            <w:r w:rsidR="0016004C">
              <w:rPr>
                <w:rFonts w:cs="Arial"/>
                <w:szCs w:val="22"/>
              </w:rPr>
              <w:t>non-resident withholding tax (</w:t>
            </w:r>
            <w:r w:rsidR="007A75A7" w:rsidRPr="00CA6C73">
              <w:rPr>
                <w:rFonts w:cs="Arial"/>
                <w:szCs w:val="22"/>
              </w:rPr>
              <w:t>NRWT</w:t>
            </w:r>
            <w:r w:rsidR="0016004C">
              <w:rPr>
                <w:rFonts w:cs="Arial"/>
                <w:szCs w:val="22"/>
              </w:rPr>
              <w:t>)</w:t>
            </w:r>
            <w:r w:rsidR="007A75A7" w:rsidRPr="00CA6C73">
              <w:rPr>
                <w:rFonts w:cs="Arial"/>
                <w:szCs w:val="22"/>
              </w:rPr>
              <w:t xml:space="preserve"> rules, </w:t>
            </w:r>
            <w:proofErr w:type="gramStart"/>
            <w:r w:rsidR="002A0AA9">
              <w:rPr>
                <w:rFonts w:cs="Arial"/>
                <w:szCs w:val="22"/>
              </w:rPr>
              <w:t>goods</w:t>
            </w:r>
            <w:proofErr w:type="gramEnd"/>
            <w:r w:rsidR="002A0AA9">
              <w:rPr>
                <w:rFonts w:cs="Arial"/>
                <w:szCs w:val="22"/>
              </w:rPr>
              <w:t xml:space="preserve"> and services </w:t>
            </w:r>
            <w:r w:rsidR="00E237F9">
              <w:rPr>
                <w:rFonts w:cs="Arial"/>
                <w:szCs w:val="22"/>
              </w:rPr>
              <w:t>tax (</w:t>
            </w:r>
            <w:r w:rsidR="007A75A7" w:rsidRPr="00CA6C73">
              <w:rPr>
                <w:rFonts w:cs="Arial"/>
                <w:szCs w:val="22"/>
              </w:rPr>
              <w:t>GST</w:t>
            </w:r>
            <w:r w:rsidR="00E237F9">
              <w:rPr>
                <w:rFonts w:cs="Arial"/>
                <w:szCs w:val="22"/>
              </w:rPr>
              <w:t>)</w:t>
            </w:r>
            <w:r w:rsidR="004221B8" w:rsidRPr="00CA6C73">
              <w:rPr>
                <w:rFonts w:cs="Arial"/>
                <w:szCs w:val="22"/>
              </w:rPr>
              <w:t xml:space="preserve"> or </w:t>
            </w:r>
            <w:r w:rsidR="00E237F9">
              <w:rPr>
                <w:rFonts w:cs="Arial"/>
                <w:szCs w:val="22"/>
              </w:rPr>
              <w:t>fringe benefits tax (</w:t>
            </w:r>
            <w:r w:rsidR="007A75A7" w:rsidRPr="00CA6C73">
              <w:rPr>
                <w:rFonts w:cs="Arial"/>
                <w:szCs w:val="22"/>
              </w:rPr>
              <w:t>FBT</w:t>
            </w:r>
            <w:r w:rsidR="00E237F9">
              <w:rPr>
                <w:rFonts w:cs="Arial"/>
                <w:szCs w:val="22"/>
              </w:rPr>
              <w:t>)</w:t>
            </w:r>
            <w:r w:rsidR="004221B8" w:rsidRPr="00CA6C73">
              <w:rPr>
                <w:rFonts w:cs="Arial"/>
                <w:szCs w:val="22"/>
              </w:rPr>
              <w:t>.</w:t>
            </w:r>
          </w:p>
          <w:p w14:paraId="7AC72995" w14:textId="4F358DC7" w:rsidR="00655435" w:rsidRPr="0069218C" w:rsidRDefault="00655435" w:rsidP="00655435">
            <w:pPr>
              <w:spacing w:after="0" w:line="276" w:lineRule="auto"/>
              <w:jc w:val="both"/>
              <w:rPr>
                <w:rFonts w:cs="Arial"/>
                <w:szCs w:val="22"/>
              </w:rPr>
            </w:pPr>
          </w:p>
        </w:tc>
      </w:tr>
      <w:tr w:rsidR="00DA39FD" w:rsidRPr="0069218C" w14:paraId="354CE8B4" w14:textId="77777777" w:rsidTr="00BB4EA2">
        <w:tc>
          <w:tcPr>
            <w:tcW w:w="5000" w:type="pct"/>
            <w:shd w:val="clear" w:color="auto" w:fill="99CDDD"/>
            <w:hideMark/>
          </w:tcPr>
          <w:p w14:paraId="389E8B25" w14:textId="77777777" w:rsidR="00DA39FD" w:rsidRPr="00886DFF" w:rsidRDefault="00DA39FD" w:rsidP="00EC6FAD">
            <w:pPr>
              <w:pStyle w:val="TableHeadings"/>
              <w:rPr>
                <w:szCs w:val="22"/>
              </w:rPr>
            </w:pPr>
            <w:r w:rsidRPr="00886DFF">
              <w:rPr>
                <w:szCs w:val="22"/>
              </w:rPr>
              <w:t>Responsible Manager (signature and date):</w:t>
            </w:r>
          </w:p>
        </w:tc>
      </w:tr>
      <w:tr w:rsidR="00E92509" w:rsidRPr="0069218C" w14:paraId="4DB19724" w14:textId="77777777" w:rsidTr="00BB4EA2">
        <w:trPr>
          <w:trHeight w:val="3108"/>
        </w:trPr>
        <w:tc>
          <w:tcPr>
            <w:tcW w:w="5000" w:type="pct"/>
            <w:shd w:val="clear" w:color="auto" w:fill="FFFFFF"/>
          </w:tcPr>
          <w:p w14:paraId="62880832" w14:textId="3A66E97F" w:rsidR="00380585" w:rsidRPr="0069218C" w:rsidRDefault="00C67FFA" w:rsidP="0069218C">
            <w:pPr>
              <w:spacing w:after="180"/>
              <w:rPr>
                <w:szCs w:val="22"/>
              </w:rPr>
            </w:pPr>
            <w:r>
              <w:rPr>
                <w:szCs w:val="22"/>
              </w:rPr>
              <w:lastRenderedPageBreak/>
              <w:t>Bary Hollow</w:t>
            </w:r>
          </w:p>
          <w:p w14:paraId="17AF58F5" w14:textId="2EED3A52" w:rsidR="00380585" w:rsidRPr="0069218C" w:rsidRDefault="00C67FFA" w:rsidP="0069218C">
            <w:pPr>
              <w:spacing w:after="180"/>
              <w:rPr>
                <w:szCs w:val="22"/>
              </w:rPr>
            </w:pPr>
            <w:r>
              <w:rPr>
                <w:szCs w:val="22"/>
              </w:rPr>
              <w:t>Tax Administration</w:t>
            </w:r>
          </w:p>
          <w:p w14:paraId="3CF46CF8" w14:textId="615F6066" w:rsidR="00380585" w:rsidRPr="0069218C" w:rsidRDefault="00C67FFA" w:rsidP="0069218C">
            <w:pPr>
              <w:spacing w:after="180"/>
              <w:rPr>
                <w:szCs w:val="22"/>
              </w:rPr>
            </w:pPr>
            <w:r>
              <w:rPr>
                <w:szCs w:val="22"/>
              </w:rPr>
              <w:t>Policy and Regularity Stewardship</w:t>
            </w:r>
          </w:p>
          <w:p w14:paraId="08054841" w14:textId="6A2A976C" w:rsidR="00E92509" w:rsidRPr="0069218C" w:rsidRDefault="00C67FFA" w:rsidP="0069218C">
            <w:pPr>
              <w:spacing w:after="180"/>
              <w:rPr>
                <w:rFonts w:cs="Arial"/>
                <w:szCs w:val="22"/>
              </w:rPr>
            </w:pPr>
            <w:r>
              <w:rPr>
                <w:szCs w:val="22"/>
              </w:rPr>
              <w:t>Inland Revenue</w:t>
            </w:r>
          </w:p>
        </w:tc>
      </w:tr>
    </w:tbl>
    <w:p w14:paraId="4D1670C2" w14:textId="64724C7B" w:rsidR="00EE447B" w:rsidRDefault="00EE447B" w:rsidP="007A484F">
      <w:pPr>
        <w:spacing w:before="240" w:after="0" w:line="276" w:lineRule="auto"/>
        <w:rPr>
          <w:rFonts w:ascii="Arial Narrow" w:hAnsi="Arial Narrow"/>
          <w:i/>
          <w:szCs w:val="22"/>
        </w:rPr>
      </w:pPr>
      <w:bookmarkStart w:id="0" w:name="_Toc363047038"/>
      <w:bookmarkStart w:id="1" w:name="_Toc362940530"/>
      <w:bookmarkStart w:id="2" w:name="_Toc362618966"/>
      <w:bookmarkStart w:id="3" w:name="_Toc362434720"/>
      <w:bookmarkStart w:id="4" w:name="_Toc362368098"/>
      <w:r>
        <w:rPr>
          <w:i/>
          <w:szCs w:val="22"/>
        </w:rPr>
        <w:t>To be completed by quality assurers: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EE447B" w14:paraId="59A9A119" w14:textId="77777777" w:rsidTr="00BB4EA2">
        <w:trPr>
          <w:trHeight w:val="77"/>
        </w:trPr>
        <w:tc>
          <w:tcPr>
            <w:tcW w:w="9072" w:type="dxa"/>
            <w:shd w:val="clear" w:color="auto" w:fill="99CDDD"/>
            <w:hideMark/>
          </w:tcPr>
          <w:p w14:paraId="70F09C50" w14:textId="77777777" w:rsidR="00EE447B" w:rsidRDefault="00EE447B">
            <w:pPr>
              <w:spacing w:before="60" w:after="60" w:line="240" w:lineRule="auto"/>
              <w:rPr>
                <w:szCs w:val="22"/>
              </w:rPr>
            </w:pPr>
            <w:r>
              <w:rPr>
                <w:szCs w:val="22"/>
              </w:rPr>
              <w:t>Quality Assurance Reviewing Agency:</w:t>
            </w:r>
          </w:p>
        </w:tc>
      </w:tr>
      <w:tr w:rsidR="00EE447B" w14:paraId="4AD5579C" w14:textId="77777777" w:rsidTr="00BB4EA2">
        <w:trPr>
          <w:trHeight w:val="850"/>
        </w:trPr>
        <w:tc>
          <w:tcPr>
            <w:tcW w:w="9072" w:type="dxa"/>
            <w:shd w:val="clear" w:color="auto" w:fill="FFFFFF"/>
          </w:tcPr>
          <w:p w14:paraId="27C850ED" w14:textId="19FBA9E5" w:rsidR="00EE447B" w:rsidRDefault="008B23D6">
            <w:pPr>
              <w:pStyle w:val="spacer"/>
              <w:spacing w:line="276" w:lineRule="auto"/>
              <w:rPr>
                <w:sz w:val="22"/>
              </w:rPr>
            </w:pPr>
            <w:r>
              <w:rPr>
                <w:sz w:val="22"/>
              </w:rPr>
              <w:t>Inland Revenue</w:t>
            </w:r>
          </w:p>
        </w:tc>
      </w:tr>
      <w:tr w:rsidR="00EE447B" w14:paraId="01AACAE6" w14:textId="77777777" w:rsidTr="00BB4EA2">
        <w:trPr>
          <w:trHeight w:val="109"/>
        </w:trPr>
        <w:tc>
          <w:tcPr>
            <w:tcW w:w="9072" w:type="dxa"/>
            <w:shd w:val="clear" w:color="auto" w:fill="99CDDD"/>
            <w:hideMark/>
          </w:tcPr>
          <w:p w14:paraId="758EC865" w14:textId="77777777" w:rsidR="00EE447B" w:rsidRDefault="00EE447B">
            <w:pPr>
              <w:spacing w:before="60" w:after="60" w:line="240" w:lineRule="auto"/>
              <w:rPr>
                <w:szCs w:val="22"/>
              </w:rPr>
            </w:pPr>
            <w:r>
              <w:rPr>
                <w:szCs w:val="22"/>
              </w:rPr>
              <w:t>Quality Assurance Assessment:</w:t>
            </w:r>
          </w:p>
        </w:tc>
      </w:tr>
      <w:tr w:rsidR="00EE447B" w14:paraId="320B9AF8" w14:textId="77777777" w:rsidTr="00BB4EA2">
        <w:trPr>
          <w:trHeight w:val="850"/>
        </w:trPr>
        <w:tc>
          <w:tcPr>
            <w:tcW w:w="9072" w:type="dxa"/>
            <w:shd w:val="clear" w:color="auto" w:fill="FFFFFF"/>
          </w:tcPr>
          <w:p w14:paraId="103684F1" w14:textId="761612C0" w:rsidR="00EE447B" w:rsidRDefault="00AA3E48" w:rsidP="00E6054D">
            <w:r w:rsidRPr="00AA3E48">
              <w:t>Partially meets</w:t>
            </w:r>
          </w:p>
          <w:p w14:paraId="1696CB8D" w14:textId="77777777" w:rsidR="00EE447B" w:rsidRDefault="00EE447B">
            <w:pPr>
              <w:pStyle w:val="spacer"/>
              <w:spacing w:line="276" w:lineRule="auto"/>
              <w:rPr>
                <w:sz w:val="22"/>
              </w:rPr>
            </w:pPr>
          </w:p>
        </w:tc>
      </w:tr>
      <w:tr w:rsidR="00EE447B" w14:paraId="2731CAD0" w14:textId="77777777" w:rsidTr="00BB4EA2">
        <w:trPr>
          <w:trHeight w:val="56"/>
        </w:trPr>
        <w:tc>
          <w:tcPr>
            <w:tcW w:w="9072" w:type="dxa"/>
            <w:shd w:val="clear" w:color="auto" w:fill="99CDDD"/>
            <w:hideMark/>
          </w:tcPr>
          <w:p w14:paraId="0244DF29" w14:textId="77777777" w:rsidR="00EE447B" w:rsidRDefault="00EE447B">
            <w:pPr>
              <w:spacing w:before="60" w:after="60" w:line="240" w:lineRule="auto"/>
              <w:rPr>
                <w:szCs w:val="22"/>
              </w:rPr>
            </w:pPr>
            <w:r>
              <w:rPr>
                <w:szCs w:val="22"/>
              </w:rPr>
              <w:t>Reviewer Comments and Recommendations:</w:t>
            </w:r>
          </w:p>
        </w:tc>
      </w:tr>
      <w:tr w:rsidR="00EE447B" w14:paraId="7B66F7F0" w14:textId="77777777" w:rsidTr="00BB4EA2">
        <w:trPr>
          <w:trHeight w:val="850"/>
        </w:trPr>
        <w:tc>
          <w:tcPr>
            <w:tcW w:w="9072" w:type="dxa"/>
            <w:shd w:val="clear" w:color="auto" w:fill="FFFFFF"/>
          </w:tcPr>
          <w:p w14:paraId="3F069AA1" w14:textId="1C9A4462" w:rsidR="00E6054D" w:rsidRDefault="00AA3E48" w:rsidP="00AA3E48">
            <w:r w:rsidRPr="00AA3E48">
              <w:t xml:space="preserve">The Quality Assurance reviewer at Inland Revenue has reviewed the Tax Pooling to purchase backdated tax Impact Summary and considers that the information and analysis summarised in it partially meets the quality criteria of the Regulatory Impact Analysis framework.  This is because, as identified in the Key Limitations or Constraints on Analysis section, there is no data to support the current scale of the problem or the impact of the proposed changes if they were enacted.  However, the Impact Summary sets out the rationale for why the status quo is an issue and why a regulatory change is </w:t>
            </w:r>
            <w:proofErr w:type="gramStart"/>
            <w:r w:rsidRPr="00AA3E48">
              <w:t>preferred, and</w:t>
            </w:r>
            <w:proofErr w:type="gramEnd"/>
            <w:r w:rsidRPr="00AA3E48">
              <w:t xml:space="preserve"> identifies the main risks and uncertainties.</w:t>
            </w:r>
          </w:p>
        </w:tc>
      </w:tr>
    </w:tbl>
    <w:p w14:paraId="31001C64" w14:textId="4B01982B" w:rsidR="00E92509" w:rsidRDefault="00F132B2" w:rsidP="00414D0D">
      <w:pPr>
        <w:pStyle w:val="Heading2"/>
      </w:pPr>
      <w:r w:rsidRPr="0069218C">
        <w:rPr>
          <w:rFonts w:cs="Arial"/>
          <w:lang w:val="en-NZ"/>
        </w:rPr>
        <w:br w:type="page"/>
      </w:r>
      <w:r w:rsidR="00E92509" w:rsidRPr="002D5734">
        <w:t xml:space="preserve">Section 2: </w:t>
      </w:r>
      <w:bookmarkEnd w:id="0"/>
      <w:bookmarkEnd w:id="1"/>
      <w:bookmarkEnd w:id="2"/>
      <w:bookmarkEnd w:id="3"/>
      <w:bookmarkEnd w:id="4"/>
      <w:r w:rsidR="00304CE4" w:rsidRPr="002D5734">
        <w:t xml:space="preserve">Problem </w:t>
      </w:r>
      <w:r w:rsidR="0032262A" w:rsidRPr="002D5734">
        <w:t>d</w:t>
      </w:r>
      <w:r w:rsidR="00304CE4" w:rsidRPr="002D5734">
        <w:t>efinition</w:t>
      </w:r>
      <w:r w:rsidR="0032262A" w:rsidRPr="002D5734">
        <w:t xml:space="preserve"> and objectives</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06740BC8" w14:textId="77777777" w:rsidTr="00BB4EA2">
        <w:trPr>
          <w:trHeight w:val="77"/>
        </w:trPr>
        <w:tc>
          <w:tcPr>
            <w:tcW w:w="5000" w:type="pct"/>
            <w:shd w:val="clear" w:color="auto" w:fill="99CDDD"/>
            <w:hideMark/>
          </w:tcPr>
          <w:p w14:paraId="6C4DF9C6" w14:textId="77777777"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A552DC" w:rsidRPr="0069218C" w14:paraId="657BE5E1" w14:textId="77777777" w:rsidTr="00BB4EA2">
        <w:trPr>
          <w:trHeight w:val="1913"/>
        </w:trPr>
        <w:tc>
          <w:tcPr>
            <w:tcW w:w="5000" w:type="pct"/>
            <w:shd w:val="clear" w:color="auto" w:fill="auto"/>
          </w:tcPr>
          <w:p w14:paraId="47695B46" w14:textId="54D9768D" w:rsidR="00D804B8" w:rsidRDefault="00D804B8" w:rsidP="00C7655A">
            <w:pPr>
              <w:spacing w:after="0" w:line="276" w:lineRule="auto"/>
              <w:jc w:val="both"/>
              <w:rPr>
                <w:rFonts w:cs="Arial"/>
                <w:szCs w:val="22"/>
              </w:rPr>
            </w:pPr>
            <w:r w:rsidRPr="00D804B8">
              <w:rPr>
                <w:rFonts w:cs="Arial"/>
                <w:szCs w:val="22"/>
              </w:rPr>
              <w:t>Tax pooling was introduced to assist with uncertainties relating to provisional tax (income tax). It allows provisional tax payments from numerous taxpayers to be grouped into the account of a registered intermediary. By pooling these payments, a taxpayer can offset an underpayment against amounts within the same pool allowing them to reduce their exposure to use of money interest (UOMI).</w:t>
            </w:r>
          </w:p>
          <w:p w14:paraId="35A5DB3C" w14:textId="36D868BC" w:rsidR="00125799" w:rsidRDefault="00125799" w:rsidP="00C7655A">
            <w:pPr>
              <w:spacing w:after="0" w:line="276" w:lineRule="auto"/>
              <w:jc w:val="both"/>
              <w:rPr>
                <w:rFonts w:cs="Arial"/>
                <w:szCs w:val="22"/>
              </w:rPr>
            </w:pPr>
          </w:p>
          <w:p w14:paraId="33813D0D" w14:textId="70190D03" w:rsidR="00125799" w:rsidRPr="00125799" w:rsidRDefault="00125799" w:rsidP="00125799">
            <w:pPr>
              <w:spacing w:after="0" w:line="276" w:lineRule="auto"/>
              <w:jc w:val="both"/>
              <w:rPr>
                <w:rFonts w:cs="Arial"/>
                <w:szCs w:val="22"/>
              </w:rPr>
            </w:pPr>
            <w:r w:rsidRPr="00125799">
              <w:rPr>
                <w:rFonts w:cs="Arial"/>
                <w:szCs w:val="22"/>
              </w:rPr>
              <w:t xml:space="preserve">The coverage of tax pooling was later extended to include historical periods and other tax types, but only in a situation of reassessment of a prior assessment or an increase of a prior obligation. This necessitates that an original assessment has been issued for that tax period or an obligation to pay tax has been quantified because a relevant tax return has already been filed. Taxpayers who have filed and who subsequently wish to make a voluntary disclosure are able to use tax pooling to satisfy the increased tax debt. </w:t>
            </w:r>
          </w:p>
          <w:p w14:paraId="3AD8C786" w14:textId="77777777" w:rsidR="00125799" w:rsidRDefault="00125799" w:rsidP="00125799">
            <w:pPr>
              <w:spacing w:after="0" w:line="276" w:lineRule="auto"/>
              <w:jc w:val="both"/>
              <w:rPr>
                <w:rFonts w:cs="Arial"/>
                <w:szCs w:val="22"/>
              </w:rPr>
            </w:pPr>
          </w:p>
          <w:p w14:paraId="6A4A12CA" w14:textId="5F807DAF" w:rsidR="00F132B2" w:rsidRDefault="00125799" w:rsidP="00C7655A">
            <w:pPr>
              <w:spacing w:after="0" w:line="276" w:lineRule="auto"/>
              <w:jc w:val="both"/>
              <w:rPr>
                <w:rFonts w:cs="Arial"/>
                <w:szCs w:val="22"/>
              </w:rPr>
            </w:pPr>
            <w:r w:rsidRPr="00125799">
              <w:rPr>
                <w:rFonts w:cs="Arial"/>
                <w:szCs w:val="22"/>
              </w:rPr>
              <w:t xml:space="preserve">However, where there is no existing assessment or quantified obligation the taxpayer would be unable to use tax pooling to satisfy </w:t>
            </w:r>
            <w:r w:rsidR="00E938F6">
              <w:rPr>
                <w:rFonts w:cs="Arial"/>
                <w:szCs w:val="22"/>
              </w:rPr>
              <w:t>a liability arising from</w:t>
            </w:r>
            <w:r w:rsidRPr="00125799">
              <w:rPr>
                <w:rFonts w:cs="Arial"/>
                <w:szCs w:val="22"/>
              </w:rPr>
              <w:t xml:space="preserve"> the same voluntary disclosure</w:t>
            </w:r>
            <w:r w:rsidR="00E938F6">
              <w:rPr>
                <w:rFonts w:cs="Arial"/>
                <w:szCs w:val="22"/>
              </w:rPr>
              <w:t xml:space="preserve">. </w:t>
            </w:r>
            <w:r w:rsidR="00D62505" w:rsidRPr="00D62505">
              <w:rPr>
                <w:rFonts w:cs="Arial"/>
                <w:szCs w:val="22"/>
              </w:rPr>
              <w:t>The</w:t>
            </w:r>
            <w:r w:rsidR="00D62505">
              <w:rPr>
                <w:rFonts w:cs="Arial"/>
                <w:szCs w:val="22"/>
              </w:rPr>
              <w:t>re is a limited</w:t>
            </w:r>
            <w:r w:rsidR="00D62505" w:rsidRPr="00D62505">
              <w:rPr>
                <w:rFonts w:cs="Arial"/>
                <w:szCs w:val="22"/>
              </w:rPr>
              <w:t xml:space="preserve"> exception to this</w:t>
            </w:r>
            <w:r w:rsidR="00D62505">
              <w:rPr>
                <w:rFonts w:cs="Arial"/>
                <w:szCs w:val="22"/>
              </w:rPr>
              <w:t xml:space="preserve"> rule</w:t>
            </w:r>
            <w:r w:rsidR="00D62505" w:rsidRPr="00D62505">
              <w:rPr>
                <w:rFonts w:cs="Arial"/>
                <w:szCs w:val="22"/>
              </w:rPr>
              <w:t xml:space="preserve"> </w:t>
            </w:r>
            <w:r w:rsidR="00D62505">
              <w:rPr>
                <w:rFonts w:cs="Arial"/>
                <w:szCs w:val="22"/>
              </w:rPr>
              <w:t>a</w:t>
            </w:r>
            <w:r w:rsidR="00D62505" w:rsidRPr="00D62505">
              <w:rPr>
                <w:rFonts w:cs="Arial"/>
                <w:szCs w:val="22"/>
              </w:rPr>
              <w:t xml:space="preserve">s certain voluntary disclosures for income tax and resident withholding tax (RWT) </w:t>
            </w:r>
            <w:r w:rsidR="00D62505">
              <w:rPr>
                <w:rFonts w:cs="Arial"/>
                <w:szCs w:val="22"/>
              </w:rPr>
              <w:t>may</w:t>
            </w:r>
            <w:r w:rsidR="00D62505" w:rsidRPr="00D62505">
              <w:rPr>
                <w:rFonts w:cs="Arial"/>
                <w:szCs w:val="22"/>
              </w:rPr>
              <w:t xml:space="preserve"> use tax pooling</w:t>
            </w:r>
            <w:r w:rsidR="00D62505">
              <w:rPr>
                <w:rFonts w:cs="Arial"/>
                <w:szCs w:val="22"/>
              </w:rPr>
              <w:t>,</w:t>
            </w:r>
            <w:r w:rsidR="00D62505" w:rsidRPr="00D62505">
              <w:rPr>
                <w:rFonts w:cs="Arial"/>
                <w:szCs w:val="22"/>
              </w:rPr>
              <w:t xml:space="preserve"> subject to a </w:t>
            </w:r>
            <w:proofErr w:type="gramStart"/>
            <w:r w:rsidR="00D62505" w:rsidRPr="00D62505">
              <w:rPr>
                <w:rFonts w:cs="Arial"/>
                <w:szCs w:val="22"/>
              </w:rPr>
              <w:t>Commissioner’s</w:t>
            </w:r>
            <w:proofErr w:type="gramEnd"/>
            <w:r w:rsidR="00D62505" w:rsidRPr="00D62505">
              <w:rPr>
                <w:rFonts w:cs="Arial"/>
                <w:szCs w:val="22"/>
              </w:rPr>
              <w:t xml:space="preserve"> discretion measured against specific legislative criteria.</w:t>
            </w:r>
          </w:p>
          <w:p w14:paraId="72C01662" w14:textId="77777777" w:rsidR="00D62505" w:rsidRDefault="00D62505" w:rsidP="00C7655A">
            <w:pPr>
              <w:spacing w:after="0" w:line="276" w:lineRule="auto"/>
              <w:jc w:val="both"/>
              <w:rPr>
                <w:rFonts w:cs="Arial"/>
                <w:szCs w:val="22"/>
              </w:rPr>
            </w:pPr>
          </w:p>
          <w:p w14:paraId="07E3B44E" w14:textId="5F6292BE" w:rsidR="00EF2ACA" w:rsidRDefault="00D62505" w:rsidP="00C7655A">
            <w:pPr>
              <w:spacing w:after="0" w:line="276" w:lineRule="auto"/>
              <w:jc w:val="both"/>
              <w:rPr>
                <w:rFonts w:cs="Arial"/>
                <w:szCs w:val="22"/>
              </w:rPr>
            </w:pPr>
            <w:r w:rsidRPr="00D62505">
              <w:rPr>
                <w:rFonts w:cs="Arial"/>
                <w:szCs w:val="22"/>
              </w:rPr>
              <w:t xml:space="preserve">There are several circumstances where a taxpayer may have unintentionally not filed a tax return for a particular tax type and tax period. For example, a small business may be unaware that an employee benefit they provide is subject to fringe benefit tax and so do not provide a return. Where these omissions have been made in good faith, it is disproportionally punitive to not allow taxpayers to </w:t>
            </w:r>
            <w:r w:rsidR="003E1C62">
              <w:rPr>
                <w:rFonts w:cs="Arial"/>
                <w:szCs w:val="22"/>
              </w:rPr>
              <w:t>use</w:t>
            </w:r>
            <w:r w:rsidRPr="00D62505">
              <w:rPr>
                <w:rFonts w:cs="Arial"/>
                <w:szCs w:val="22"/>
              </w:rPr>
              <w:t xml:space="preserve"> the benefits of tax pooling in these situations</w:t>
            </w:r>
            <w:r w:rsidR="00DF7DF7">
              <w:rPr>
                <w:rFonts w:cs="Arial"/>
                <w:szCs w:val="22"/>
              </w:rPr>
              <w:t xml:space="preserve"> should they </w:t>
            </w:r>
            <w:r w:rsidR="00294095">
              <w:rPr>
                <w:rFonts w:cs="Arial"/>
                <w:szCs w:val="22"/>
              </w:rPr>
              <w:t>want to do so</w:t>
            </w:r>
            <w:r w:rsidRPr="00D62505">
              <w:rPr>
                <w:rFonts w:cs="Arial"/>
                <w:szCs w:val="22"/>
              </w:rPr>
              <w:t>.</w:t>
            </w:r>
          </w:p>
          <w:p w14:paraId="291902BF" w14:textId="77777777" w:rsidR="00EF2ACA" w:rsidRDefault="00EF2ACA" w:rsidP="00C7655A">
            <w:pPr>
              <w:spacing w:after="0" w:line="276" w:lineRule="auto"/>
              <w:jc w:val="both"/>
              <w:rPr>
                <w:rFonts w:cs="Arial"/>
                <w:szCs w:val="22"/>
              </w:rPr>
            </w:pPr>
          </w:p>
          <w:p w14:paraId="22039858" w14:textId="77777777" w:rsidR="00972619" w:rsidRDefault="00972619" w:rsidP="00C7655A">
            <w:pPr>
              <w:spacing w:after="0" w:line="276" w:lineRule="auto"/>
              <w:jc w:val="both"/>
              <w:rPr>
                <w:rFonts w:cs="Arial"/>
                <w:szCs w:val="22"/>
              </w:rPr>
            </w:pPr>
            <w:r>
              <w:rPr>
                <w:rFonts w:cs="Arial"/>
                <w:szCs w:val="22"/>
              </w:rPr>
              <w:t>Allowing the use of tax pooling to satisfy liabilities arising from a voluntary disclosure would therefore encourage voluntary disclosure in these instances. It would result in more consistent outcomes across tax types. Such a change is in line with tax principles and offers the best policy outcome.</w:t>
            </w:r>
          </w:p>
          <w:p w14:paraId="104A2A31" w14:textId="77777777" w:rsidR="00972619" w:rsidRDefault="00972619" w:rsidP="00C7655A">
            <w:pPr>
              <w:spacing w:after="0" w:line="276" w:lineRule="auto"/>
              <w:jc w:val="both"/>
              <w:rPr>
                <w:rFonts w:cs="Arial"/>
                <w:szCs w:val="22"/>
              </w:rPr>
            </w:pPr>
          </w:p>
          <w:p w14:paraId="0097A8DF" w14:textId="7EF82256" w:rsidR="00EF2ACA" w:rsidRDefault="00EF2ACA" w:rsidP="00C7655A">
            <w:pPr>
              <w:spacing w:after="0" w:line="276" w:lineRule="auto"/>
              <w:jc w:val="both"/>
              <w:rPr>
                <w:rFonts w:cs="Arial"/>
                <w:szCs w:val="22"/>
              </w:rPr>
            </w:pPr>
            <w:r>
              <w:rPr>
                <w:rFonts w:cs="Arial"/>
                <w:szCs w:val="22"/>
              </w:rPr>
              <w:t>Extending the exception to other tax types would take a legislative change to expand existing provisions</w:t>
            </w:r>
            <w:r w:rsidRPr="004221B8">
              <w:rPr>
                <w:rFonts w:cs="Arial"/>
                <w:szCs w:val="22"/>
              </w:rPr>
              <w:t>.</w:t>
            </w:r>
            <w:r w:rsidR="00BF6EBD" w:rsidRPr="004221B8">
              <w:rPr>
                <w:rFonts w:cs="Arial"/>
                <w:szCs w:val="22"/>
              </w:rPr>
              <w:t xml:space="preserve"> These other tax types are </w:t>
            </w:r>
            <w:r w:rsidR="004221B8" w:rsidRPr="004221B8">
              <w:rPr>
                <w:rFonts w:cs="Arial"/>
                <w:szCs w:val="22"/>
              </w:rPr>
              <w:t>tax paid or payable under the PAYE rules, ESCT rules, RSCT rules, NRWT rules, GST or FBT.</w:t>
            </w:r>
            <w:r w:rsidR="0060485D">
              <w:rPr>
                <w:rFonts w:cs="Arial"/>
                <w:szCs w:val="22"/>
              </w:rPr>
              <w:t xml:space="preserve"> This change will not impact existing settings for income tax and RWT,</w:t>
            </w:r>
          </w:p>
          <w:p w14:paraId="52927EB5" w14:textId="77777777" w:rsidR="00EF2ACA" w:rsidRDefault="00EF2ACA" w:rsidP="00C7655A">
            <w:pPr>
              <w:spacing w:after="0" w:line="276" w:lineRule="auto"/>
              <w:jc w:val="both"/>
              <w:rPr>
                <w:rFonts w:cs="Arial"/>
                <w:szCs w:val="22"/>
              </w:rPr>
            </w:pPr>
          </w:p>
          <w:p w14:paraId="128DD047" w14:textId="6AD10869" w:rsidR="002E70AD" w:rsidRPr="00802821" w:rsidRDefault="002E70AD" w:rsidP="00802821">
            <w:pPr>
              <w:spacing w:after="0" w:line="276" w:lineRule="auto"/>
              <w:jc w:val="both"/>
              <w:rPr>
                <w:rFonts w:cs="Arial"/>
                <w:szCs w:val="22"/>
              </w:rPr>
            </w:pPr>
          </w:p>
        </w:tc>
      </w:tr>
    </w:tbl>
    <w:p w14:paraId="5D2EE621" w14:textId="77777777" w:rsidR="00F132B2" w:rsidRPr="00567434" w:rsidRDefault="00F132B2"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546F69" w:rsidRPr="0069218C" w14:paraId="7B206C42" w14:textId="77777777" w:rsidTr="00BB4EA2">
        <w:trPr>
          <w:trHeight w:val="77"/>
        </w:trPr>
        <w:tc>
          <w:tcPr>
            <w:tcW w:w="5000" w:type="pct"/>
            <w:shd w:val="clear" w:color="auto" w:fill="99CDDD"/>
          </w:tcPr>
          <w:p w14:paraId="6B3F6C08" w14:textId="77777777" w:rsidR="00546F69" w:rsidRPr="00886DFF" w:rsidRDefault="00546F69" w:rsidP="00EC6FAD">
            <w:pPr>
              <w:pStyle w:val="TableHeadings"/>
              <w:rPr>
                <w:b w:val="0"/>
                <w:color w:val="1F4E79"/>
                <w:szCs w:val="22"/>
                <w:lang w:val="en-NZ"/>
              </w:rPr>
            </w:pPr>
            <w:r w:rsidRPr="00886DFF">
              <w:rPr>
                <w:szCs w:val="22"/>
                <w:lang w:val="en-NZ"/>
              </w:rPr>
              <w:t xml:space="preserve">2.2    </w:t>
            </w:r>
            <w:r w:rsidR="00C45246" w:rsidRPr="00886DFF">
              <w:rPr>
                <w:rFonts w:eastAsia="Calibri"/>
                <w:szCs w:val="22"/>
                <w:lang w:val="en-NZ" w:eastAsia="en-US"/>
              </w:rPr>
              <w:t xml:space="preserve">Who is affected and how? </w:t>
            </w:r>
          </w:p>
        </w:tc>
      </w:tr>
      <w:tr w:rsidR="00F132B2" w:rsidRPr="0069218C" w14:paraId="1FC33663" w14:textId="77777777" w:rsidTr="007113B3">
        <w:trPr>
          <w:trHeight w:val="742"/>
        </w:trPr>
        <w:tc>
          <w:tcPr>
            <w:tcW w:w="5000" w:type="pct"/>
            <w:shd w:val="clear" w:color="auto" w:fill="auto"/>
          </w:tcPr>
          <w:p w14:paraId="1D28CD7F" w14:textId="77777777" w:rsidR="00AE7A6B" w:rsidRDefault="00EF2ACA" w:rsidP="00E36B16">
            <w:pPr>
              <w:jc w:val="both"/>
            </w:pPr>
            <w:r>
              <w:t xml:space="preserve">The demographic whose behaviour would be most impacted by this change </w:t>
            </w:r>
            <w:r w:rsidR="00F35237">
              <w:t>are</w:t>
            </w:r>
            <w:r w:rsidR="00827CF6">
              <w:t xml:space="preserve"> </w:t>
            </w:r>
            <w:r w:rsidR="00F35237">
              <w:t>taxpayers</w:t>
            </w:r>
            <w:r>
              <w:t xml:space="preserve"> who have not filed a return due to an error or oversight (other than for income tax or RWT) and who </w:t>
            </w:r>
            <w:r w:rsidR="006A0566">
              <w:t xml:space="preserve">could </w:t>
            </w:r>
            <w:r w:rsidR="00AE7A6B">
              <w:t xml:space="preserve">or would like to </w:t>
            </w:r>
            <w:r w:rsidR="006A0566">
              <w:t>use</w:t>
            </w:r>
            <w:r>
              <w:t xml:space="preserve"> tax pooling in order to meet the liability. They would be more likely to make a voluntary disclosure under this change than take a risk on the error not being found through audit. This would improve the accuracy of returns and the rate of tax collected.</w:t>
            </w:r>
            <w:r w:rsidR="00A036B8">
              <w:t xml:space="preserve"> As errors cannot be predicted</w:t>
            </w:r>
            <w:r w:rsidR="00975814">
              <w:t>, equally those who benefit from this change will likely vary considerabl</w:t>
            </w:r>
            <w:r w:rsidR="00F31D81">
              <w:t>y</w:t>
            </w:r>
            <w:r w:rsidR="00975814">
              <w:t xml:space="preserve"> between tax years.</w:t>
            </w:r>
          </w:p>
          <w:p w14:paraId="17C29B0E" w14:textId="2FD4D64E" w:rsidR="00682BC1" w:rsidRPr="00766EE9" w:rsidRDefault="00682BC1" w:rsidP="00E36B16">
            <w:pPr>
              <w:jc w:val="both"/>
            </w:pPr>
            <w:r>
              <w:t>The types of business most likely to ben</w:t>
            </w:r>
            <w:r w:rsidR="0087439D">
              <w:t xml:space="preserve">efit will be smaller businesses. That is to say, those with employees </w:t>
            </w:r>
            <w:r w:rsidR="00843C04">
              <w:t xml:space="preserve">but not large enough to employ or permanently engage </w:t>
            </w:r>
            <w:r w:rsidR="00CC3F20">
              <w:t>tax advisors.</w:t>
            </w:r>
            <w:r w:rsidR="00B04190">
              <w:t xml:space="preserve"> Although not prohibited, larger businesses should be mo</w:t>
            </w:r>
            <w:r w:rsidR="005A2CF0">
              <w:t>r</w:t>
            </w:r>
            <w:r w:rsidR="00B04190">
              <w:t>e</w:t>
            </w:r>
            <w:r w:rsidR="005A2CF0">
              <w:t xml:space="preserve"> informed and sophisticated </w:t>
            </w:r>
            <w:r w:rsidR="00E57846">
              <w:t>taxpayers</w:t>
            </w:r>
            <w:r w:rsidR="005A2CF0">
              <w:t xml:space="preserve"> and are therefore </w:t>
            </w:r>
            <w:r w:rsidR="00055FE8">
              <w:t>considerably less likely to meet the requirements of this change.</w:t>
            </w:r>
          </w:p>
        </w:tc>
      </w:tr>
    </w:tbl>
    <w:p w14:paraId="1F0A46B0" w14:textId="77777777" w:rsidR="000C3197" w:rsidRPr="00567434" w:rsidRDefault="000C3197"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304CE4" w:rsidRPr="0069218C" w14:paraId="76ED6E00" w14:textId="77777777" w:rsidTr="00BB4EA2">
        <w:trPr>
          <w:trHeight w:val="77"/>
        </w:trPr>
        <w:tc>
          <w:tcPr>
            <w:tcW w:w="5000" w:type="pct"/>
            <w:shd w:val="clear" w:color="auto" w:fill="99CDDD"/>
          </w:tcPr>
          <w:p w14:paraId="684695CB" w14:textId="1CFD94F7" w:rsidR="00304CE4" w:rsidRPr="00886DFF" w:rsidRDefault="00651B5A" w:rsidP="00EC6FAD">
            <w:pPr>
              <w:pStyle w:val="TableHeadings"/>
              <w:rPr>
                <w:szCs w:val="22"/>
              </w:rPr>
            </w:pPr>
            <w:r>
              <w:rPr>
                <w:szCs w:val="22"/>
              </w:rPr>
              <w:t xml:space="preserve">2.3 </w:t>
            </w:r>
            <w:r w:rsidR="000917DB">
              <w:rPr>
                <w:szCs w:val="22"/>
              </w:rPr>
              <w:t xml:space="preserve">   </w:t>
            </w:r>
            <w:r>
              <w:rPr>
                <w:szCs w:val="22"/>
              </w:rPr>
              <w:t>What are the objectives sought in relation to the identified problem?</w:t>
            </w:r>
          </w:p>
        </w:tc>
      </w:tr>
      <w:tr w:rsidR="00F132B2" w:rsidRPr="0069218C" w14:paraId="465AC71A" w14:textId="77777777" w:rsidTr="00827CF6">
        <w:trPr>
          <w:trHeight w:val="884"/>
        </w:trPr>
        <w:tc>
          <w:tcPr>
            <w:tcW w:w="5000" w:type="pct"/>
            <w:shd w:val="clear" w:color="auto" w:fill="auto"/>
          </w:tcPr>
          <w:p w14:paraId="1FF3F36D" w14:textId="5FE46E63" w:rsidR="00F132B2" w:rsidRDefault="001E6E18" w:rsidP="00E36B16">
            <w:pPr>
              <w:jc w:val="both"/>
            </w:pPr>
            <w:r>
              <w:t>The primary objective of this change is to improve the rate of voluntary disclosures</w:t>
            </w:r>
            <w:r w:rsidR="00055FE8">
              <w:t xml:space="preserve"> and thereby increase the </w:t>
            </w:r>
            <w:r w:rsidR="00572C67">
              <w:t>accuracy of tax returns and tax collected</w:t>
            </w:r>
            <w:r>
              <w:t>. This is linked to a secondary consideration of improving fairness within the tax system by not being overly punitive on errors related to different tax types.</w:t>
            </w:r>
          </w:p>
          <w:p w14:paraId="304CA2E4" w14:textId="0AE1D032" w:rsidR="001E6E18" w:rsidRDefault="001E6E18" w:rsidP="00E36B16">
            <w:pPr>
              <w:jc w:val="both"/>
            </w:pPr>
            <w:r>
              <w:t xml:space="preserve">The other key objective of this work is to protect and enhance the integrity of the tax system. </w:t>
            </w:r>
          </w:p>
          <w:p w14:paraId="6CCE6DE4" w14:textId="01611AF3" w:rsidR="00F132B2" w:rsidRPr="00766EE9" w:rsidRDefault="009016DA" w:rsidP="00E36B16">
            <w:pPr>
              <w:jc w:val="both"/>
            </w:pPr>
            <w:r>
              <w:t xml:space="preserve">These objectives are similar in their </w:t>
            </w:r>
            <w:proofErr w:type="gramStart"/>
            <w:r>
              <w:t>focus</w:t>
            </w:r>
            <w:proofErr w:type="gramEnd"/>
            <w:r>
              <w:t xml:space="preserve"> and they have been given equal weighting with regard to considering this proposal.</w:t>
            </w:r>
          </w:p>
        </w:tc>
      </w:tr>
    </w:tbl>
    <w:p w14:paraId="23951347" w14:textId="014101A8" w:rsidR="00E92509" w:rsidRDefault="00A552DC" w:rsidP="001B4792">
      <w:pPr>
        <w:pStyle w:val="Heading2"/>
      </w:pPr>
      <w:r w:rsidRPr="0069218C">
        <w:rPr>
          <w:lang w:val="en-NZ"/>
        </w:rPr>
        <w:br w:type="page"/>
      </w:r>
      <w:r w:rsidR="00BE62EB" w:rsidRPr="002D5734">
        <w:t xml:space="preserve">Section </w:t>
      </w:r>
      <w:r w:rsidR="00051A88">
        <w:t>3</w:t>
      </w:r>
      <w:r w:rsidR="00BE62EB" w:rsidRPr="002D5734">
        <w:t xml:space="preserve">: </w:t>
      </w:r>
      <w:r w:rsidR="00304CE4" w:rsidRPr="002D5734">
        <w:t xml:space="preserve">Options </w:t>
      </w:r>
      <w:r w:rsidR="00BE4A62" w:rsidRPr="002D5734">
        <w:t>identific</w:t>
      </w:r>
      <w:r w:rsidR="00304CE4" w:rsidRPr="002D5734">
        <w:t>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18EA2813" w14:textId="77777777" w:rsidTr="00BB4EA2">
        <w:trPr>
          <w:trHeight w:val="77"/>
        </w:trPr>
        <w:tc>
          <w:tcPr>
            <w:tcW w:w="5000" w:type="pct"/>
            <w:shd w:val="clear" w:color="auto" w:fill="99CDDD"/>
          </w:tcPr>
          <w:p w14:paraId="291154AD" w14:textId="77777777" w:rsidR="00051A88" w:rsidRPr="00886DFF" w:rsidRDefault="00B23E8A" w:rsidP="00380585">
            <w:pPr>
              <w:pStyle w:val="TableHeadings"/>
              <w:keepNext/>
              <w:rPr>
                <w:szCs w:val="22"/>
                <w:lang w:val="en-NZ"/>
              </w:rPr>
            </w:pPr>
            <w:r w:rsidRPr="00886DFF">
              <w:rPr>
                <w:szCs w:val="22"/>
                <w:lang w:val="en-NZ"/>
              </w:rPr>
              <w:t>3</w:t>
            </w:r>
            <w:r w:rsidR="00051A88" w:rsidRPr="00886DFF">
              <w:rPr>
                <w:szCs w:val="22"/>
                <w:lang w:val="en-NZ"/>
              </w:rPr>
              <w:t xml:space="preserve">.1   What options have been considered? </w:t>
            </w:r>
          </w:p>
        </w:tc>
      </w:tr>
      <w:tr w:rsidR="00F132B2" w:rsidRPr="0069218C" w14:paraId="482F9B2B" w14:textId="77777777" w:rsidTr="00BB4EA2">
        <w:trPr>
          <w:trHeight w:val="3161"/>
        </w:trPr>
        <w:tc>
          <w:tcPr>
            <w:tcW w:w="5000" w:type="pct"/>
            <w:shd w:val="clear" w:color="auto" w:fill="auto"/>
          </w:tcPr>
          <w:p w14:paraId="0D0BEA45" w14:textId="44C26EC4" w:rsidR="00A94FEC" w:rsidRDefault="00A94FEC" w:rsidP="00A94FEC">
            <w:pPr>
              <w:spacing w:after="0" w:line="276" w:lineRule="auto"/>
              <w:jc w:val="both"/>
              <w:rPr>
                <w:rFonts w:cs="Arial"/>
                <w:szCs w:val="22"/>
              </w:rPr>
            </w:pPr>
            <w:r>
              <w:rPr>
                <w:rFonts w:cs="Arial"/>
                <w:szCs w:val="22"/>
              </w:rPr>
              <w:t>There are concerns that the current rules could be disincentivising voluntary disclosures where the disclosure does not relate to a tax type that can currently use tax pooling to satisfy the liability. Instead, taxpayers may be choosing to risk the error not being caught in an audit rather than disclose it and face the additional cost of UOMI.</w:t>
            </w:r>
          </w:p>
          <w:p w14:paraId="7220279F" w14:textId="77777777" w:rsidR="00972619" w:rsidRDefault="00972619" w:rsidP="00A94FEC">
            <w:pPr>
              <w:spacing w:after="0" w:line="276" w:lineRule="auto"/>
              <w:jc w:val="both"/>
              <w:rPr>
                <w:rFonts w:cs="Arial"/>
                <w:szCs w:val="22"/>
              </w:rPr>
            </w:pPr>
          </w:p>
          <w:p w14:paraId="3871735C" w14:textId="076FEE59" w:rsidR="00F132B2" w:rsidRDefault="009016DA" w:rsidP="00E36B16">
            <w:pPr>
              <w:jc w:val="both"/>
            </w:pPr>
            <w:r>
              <w:t xml:space="preserve">Two </w:t>
            </w:r>
            <w:r w:rsidR="00943F4B">
              <w:t xml:space="preserve">key </w:t>
            </w:r>
            <w:r>
              <w:t>options were considered in addressing this issue:</w:t>
            </w:r>
          </w:p>
          <w:p w14:paraId="028CA466" w14:textId="701E18E8" w:rsidR="00C7655A" w:rsidRDefault="008B23D6" w:rsidP="00E36B16">
            <w:pPr>
              <w:pStyle w:val="ListParagraph"/>
              <w:numPr>
                <w:ilvl w:val="0"/>
                <w:numId w:val="38"/>
              </w:numPr>
              <w:jc w:val="both"/>
            </w:pPr>
            <w:r>
              <w:t xml:space="preserve">Status </w:t>
            </w:r>
            <w:r w:rsidR="009016DA">
              <w:t>q</w:t>
            </w:r>
            <w:r>
              <w:t>uo</w:t>
            </w:r>
          </w:p>
          <w:p w14:paraId="3E5C4189" w14:textId="16D0CD4C" w:rsidR="008B23D6" w:rsidRDefault="008B23D6" w:rsidP="00E36B16">
            <w:pPr>
              <w:pStyle w:val="ListParagraph"/>
              <w:numPr>
                <w:ilvl w:val="0"/>
                <w:numId w:val="38"/>
              </w:numPr>
              <w:jc w:val="both"/>
            </w:pPr>
            <w:r>
              <w:t>Enabling the use of tax pooling to purchase backdated tax</w:t>
            </w:r>
            <w:r w:rsidR="005D1D7C">
              <w:t xml:space="preserve"> to satisfy a liability arising from a voluntary disclosure for tax types other than income tax and RWT</w:t>
            </w:r>
            <w:r w:rsidR="00A844CE">
              <w:t xml:space="preserve"> where </w:t>
            </w:r>
            <w:r w:rsidR="00563C65">
              <w:t>a return has not previously been returned</w:t>
            </w:r>
            <w:r w:rsidR="005D1D7C">
              <w:t>.</w:t>
            </w:r>
          </w:p>
          <w:p w14:paraId="6360ABA8" w14:textId="77777777" w:rsidR="00B37AA0" w:rsidRDefault="00B37AA0" w:rsidP="00E36B16">
            <w:pPr>
              <w:pStyle w:val="ListParagraph"/>
              <w:jc w:val="both"/>
            </w:pPr>
          </w:p>
          <w:p w14:paraId="44C42B8A" w14:textId="2EDBF542" w:rsidR="00943F4B" w:rsidRDefault="00943F4B" w:rsidP="00E36B16">
            <w:pPr>
              <w:jc w:val="both"/>
            </w:pPr>
            <w:r>
              <w:t>Other options were considered</w:t>
            </w:r>
            <w:r w:rsidR="007329FD">
              <w:t xml:space="preserve"> but were not progressed due to </w:t>
            </w:r>
            <w:r w:rsidR="003C2192">
              <w:t xml:space="preserve">limitations such as </w:t>
            </w:r>
            <w:r w:rsidR="007329FD">
              <w:t xml:space="preserve">not being able to fully address the identified issue of </w:t>
            </w:r>
            <w:r w:rsidR="003C2192">
              <w:t>inconsistent treatment between tax types</w:t>
            </w:r>
            <w:r w:rsidR="006779B8">
              <w:t xml:space="preserve"> or of reducing system integrity. These options were to reduce penalties </w:t>
            </w:r>
            <w:r w:rsidR="00B27B85">
              <w:t xml:space="preserve">associated with liabilities arising from voluntary disclosures or </w:t>
            </w:r>
            <w:r w:rsidR="00F532A6">
              <w:t xml:space="preserve">increasing education and compliance activities to reduce </w:t>
            </w:r>
            <w:r w:rsidR="00E36B16">
              <w:t>errors.</w:t>
            </w:r>
            <w:r w:rsidR="00312ED4">
              <w:t xml:space="preserve"> Similarly, </w:t>
            </w:r>
            <w:r w:rsidR="000B0CA7">
              <w:t xml:space="preserve">initial </w:t>
            </w:r>
            <w:r w:rsidR="00312ED4">
              <w:t>thought was given to the removal of tax pooling</w:t>
            </w:r>
            <w:r w:rsidR="00F67853">
              <w:t xml:space="preserve"> as an option however this was not progressed. Tax pooling</w:t>
            </w:r>
            <w:r w:rsidR="00DF1D89">
              <w:t xml:space="preserve"> emerged in response to the inherent inaccuracy that is a feature of the provisional tax regime</w:t>
            </w:r>
            <w:r w:rsidR="00780D6F">
              <w:t xml:space="preserve"> </w:t>
            </w:r>
            <w:r w:rsidR="00F67853">
              <w:t>so its cessation</w:t>
            </w:r>
            <w:r w:rsidR="00780D6F">
              <w:t xml:space="preserve"> would remove flexibility and </w:t>
            </w:r>
            <w:r w:rsidR="009130A6">
              <w:t xml:space="preserve">increase the punitive </w:t>
            </w:r>
            <w:r w:rsidR="009707BA">
              <w:t>aspect of the regime. This is inconsistent with intended policy outcomes.</w:t>
            </w:r>
          </w:p>
          <w:p w14:paraId="38BCA073" w14:textId="66F72E17" w:rsidR="009016DA" w:rsidRDefault="009016DA" w:rsidP="00E36B16">
            <w:pPr>
              <w:jc w:val="both"/>
            </w:pPr>
            <w:r>
              <w:t>These options were considered in light of the degree to which they address the issues of incentivising voluntary disclosure, fairness</w:t>
            </w:r>
            <w:r w:rsidR="00D37BA6">
              <w:t xml:space="preserve">, </w:t>
            </w:r>
            <w:r>
              <w:t>enhanc</w:t>
            </w:r>
            <w:r w:rsidR="00D4404D">
              <w:t>ing</w:t>
            </w:r>
            <w:r>
              <w:t xml:space="preserve"> the integrity of the tax system</w:t>
            </w:r>
            <w:r w:rsidR="00D37BA6">
              <w:t xml:space="preserve"> and </w:t>
            </w:r>
            <w:r w:rsidR="00D4404D">
              <w:t>as</w:t>
            </w:r>
            <w:r w:rsidR="00D37BA6">
              <w:t>sociated administrative and compliance costs.</w:t>
            </w:r>
          </w:p>
          <w:p w14:paraId="261726FA" w14:textId="596BB8FC" w:rsidR="00DD10CD" w:rsidRDefault="002E51AB" w:rsidP="00E36B16">
            <w:pPr>
              <w:jc w:val="both"/>
            </w:pPr>
            <w:r>
              <w:t xml:space="preserve">Under the status quo, </w:t>
            </w:r>
            <w:r w:rsidR="007855BA">
              <w:t>where a taxpayer find</w:t>
            </w:r>
            <w:r w:rsidR="00DD10CD">
              <w:t>s</w:t>
            </w:r>
            <w:r w:rsidR="007855BA">
              <w:t xml:space="preserve"> they have made an error – for example, not realising an employee benefit is subject to Fringe Benefit Tax </w:t>
            </w:r>
            <w:r w:rsidR="00A60FE7">
              <w:t xml:space="preserve">(FBT) and therefore not </w:t>
            </w:r>
            <w:r w:rsidR="00DD10CD">
              <w:t>providing a</w:t>
            </w:r>
            <w:r w:rsidR="00A60FE7">
              <w:t xml:space="preserve"> return </w:t>
            </w:r>
            <w:r w:rsidR="007855BA">
              <w:t>–</w:t>
            </w:r>
            <w:r w:rsidR="005E5F5C">
              <w:t xml:space="preserve"> they are obliged to make a voluntary disclosure to the Commissioner of Inland Revenue so their tax liability can be adjusted to </w:t>
            </w:r>
            <w:r w:rsidR="00A60FE7">
              <w:t>account for the FBT liability.</w:t>
            </w:r>
            <w:r w:rsidR="00211B1F">
              <w:t xml:space="preserve"> As this represents an underpayment, the FBT would attract UOMI </w:t>
            </w:r>
            <w:r w:rsidR="00A64B31">
              <w:t>and thereby increase the amount the taxpayer is obliged to pay to Inland Revenue</w:t>
            </w:r>
            <w:r w:rsidR="00BB2486">
              <w:t>. T</w:t>
            </w:r>
            <w:r w:rsidR="00151BDD">
              <w:t xml:space="preserve">he taxpayer is not able to </w:t>
            </w:r>
            <w:r w:rsidR="004A5DE8">
              <w:t xml:space="preserve">use </w:t>
            </w:r>
            <w:r w:rsidR="00151BDD">
              <w:t>tax pooling to reduce their exposure to UOMI</w:t>
            </w:r>
            <w:r w:rsidR="00BB2486">
              <w:t xml:space="preserve"> in this instance</w:t>
            </w:r>
            <w:r w:rsidR="00F2251D">
              <w:t>.</w:t>
            </w:r>
          </w:p>
          <w:p w14:paraId="17353BBC" w14:textId="4BEA9C88" w:rsidR="002E51AB" w:rsidRDefault="00F2251D" w:rsidP="00E36B16">
            <w:pPr>
              <w:jc w:val="both"/>
            </w:pPr>
            <w:r>
              <w:t>Where the error relate</w:t>
            </w:r>
            <w:r w:rsidR="00C506F3">
              <w:t>s</w:t>
            </w:r>
            <w:r>
              <w:t xml:space="preserve"> to RWT or income tax and a voluntary disclosure is made, the taxpayer </w:t>
            </w:r>
            <w:r w:rsidR="004A5DE8">
              <w:t>is</w:t>
            </w:r>
            <w:r>
              <w:t xml:space="preserve"> able to purchase backdated tax from a tax pool. Purchasing backdated tax </w:t>
            </w:r>
            <w:r w:rsidR="00582534">
              <w:t>reduce</w:t>
            </w:r>
            <w:r w:rsidR="004A5DE8">
              <w:t>s</w:t>
            </w:r>
            <w:r w:rsidR="00582534">
              <w:t xml:space="preserve"> the amount of UOMI they </w:t>
            </w:r>
            <w:r w:rsidR="004A5DE8">
              <w:t>are</w:t>
            </w:r>
            <w:r w:rsidR="00582534">
              <w:t xml:space="preserve"> subject to as </w:t>
            </w:r>
            <w:r w:rsidR="00F73668">
              <w:t xml:space="preserve">purchased funds are credited from the </w:t>
            </w:r>
            <w:proofErr w:type="gramStart"/>
            <w:r w:rsidR="00F73668">
              <w:t>day</w:t>
            </w:r>
            <w:proofErr w:type="gramEnd"/>
            <w:r w:rsidR="00F73668">
              <w:t xml:space="preserve"> they are added to the pool rather than the day they are purchased.</w:t>
            </w:r>
          </w:p>
          <w:p w14:paraId="43FE5295" w14:textId="11F33CE7" w:rsidR="00EB38F8" w:rsidRDefault="00EB38F8" w:rsidP="00E36B16">
            <w:pPr>
              <w:jc w:val="both"/>
            </w:pPr>
            <w:r>
              <w:t xml:space="preserve">Alternatively, </w:t>
            </w:r>
            <w:r w:rsidR="00C24659">
              <w:t>a taxpayer may cho</w:t>
            </w:r>
            <w:r w:rsidR="00C13D7F">
              <w:t>o</w:t>
            </w:r>
            <w:r w:rsidR="00C24659">
              <w:t>se to not make a voluntary declaration in the hope that the error is not discovered through audit and their tax liability therefore does not increase.</w:t>
            </w:r>
          </w:p>
          <w:p w14:paraId="42C85017" w14:textId="18145F94" w:rsidR="00C24659" w:rsidRDefault="00C24659" w:rsidP="00E36B16">
            <w:pPr>
              <w:jc w:val="both"/>
            </w:pPr>
            <w:r>
              <w:t xml:space="preserve">Under the proposal to enable the use of tax pooling to satisfy </w:t>
            </w:r>
            <w:r w:rsidR="000A6A03">
              <w:t xml:space="preserve">tax liabilities arising from voluntary disclosures </w:t>
            </w:r>
            <w:r w:rsidR="00FC402D">
              <w:t>where the</w:t>
            </w:r>
            <w:r w:rsidR="00C506F3">
              <w:t xml:space="preserve"> taxpayer</w:t>
            </w:r>
            <w:r w:rsidR="00A844CE">
              <w:t xml:space="preserve"> ha</w:t>
            </w:r>
            <w:r w:rsidR="00C506F3">
              <w:t>s</w:t>
            </w:r>
            <w:r w:rsidR="00A844CE">
              <w:t xml:space="preserve"> not previously filed a return</w:t>
            </w:r>
            <w:r w:rsidR="000E5B98">
              <w:t>, the taxpayer would be able to use tax pooling</w:t>
            </w:r>
            <w:r w:rsidR="00FE6B0F">
              <w:t>, and thereby mitigate their exposure to UOMI, for voluntary declarations related to tax type</w:t>
            </w:r>
            <w:r w:rsidR="00AF3AF7">
              <w:t>s</w:t>
            </w:r>
            <w:r w:rsidR="00FE6B0F">
              <w:t xml:space="preserve"> other than RWT and income tax.</w:t>
            </w:r>
            <w:r w:rsidR="004A5DE8">
              <w:t xml:space="preserve"> This is expected to increase the number and amounts of voluntary disclosures.</w:t>
            </w:r>
          </w:p>
          <w:p w14:paraId="491C77A5" w14:textId="0484FFFF" w:rsidR="00AE5C0B" w:rsidRDefault="00AE5C0B" w:rsidP="00E36B16">
            <w:pPr>
              <w:jc w:val="both"/>
            </w:pPr>
            <w:r>
              <w:t xml:space="preserve">We recognise that there is a risk that this proposal could be seen </w:t>
            </w:r>
            <w:r w:rsidR="00AF3AF7">
              <w:t>as encouraging</w:t>
            </w:r>
            <w:r>
              <w:t xml:space="preserve"> non-filing of returns. The option to alter the status quo therefore includes measures to ensure the integrity of the tax system is not undermined through the wilful non-filing of returns. These measures are the requirement for the taxpayer to make the disclosure before Inland Revenue has engaged with them (or their agent) regarding that tax type</w:t>
            </w:r>
            <w:r w:rsidR="00AF3AF7">
              <w:t>,</w:t>
            </w:r>
            <w:r>
              <w:t xml:space="preserve"> and for the disclosure to have been made in a reasonable timeframe of the error being discovered. A penalty is also proposed where </w:t>
            </w:r>
            <w:r w:rsidRPr="00645092">
              <w:t>the Commissioner is satisfied that the debt has arisen through the taxpayer choosing not to comply with their tax obligations</w:t>
            </w:r>
          </w:p>
          <w:p w14:paraId="56C6E2B3" w14:textId="1A0EA4C4" w:rsidR="007A651E" w:rsidRDefault="007A651E" w:rsidP="00E36B16">
            <w:pPr>
              <w:jc w:val="both"/>
            </w:pPr>
            <w:r>
              <w:t xml:space="preserve">This </w:t>
            </w:r>
            <w:r w:rsidR="002E601E">
              <w:t>option would</w:t>
            </w:r>
            <w:r>
              <w:t xml:space="preserve"> require legislative change to </w:t>
            </w:r>
            <w:r w:rsidR="00784919">
              <w:t xml:space="preserve">both the </w:t>
            </w:r>
            <w:r w:rsidR="00FC402D" w:rsidRPr="00FC402D">
              <w:t>Income Tax Act 2007 and Tax Administration Act 1994 to enable taxpayers to use tax pooling for a voluntary disclosure where the taxpayer has not previously filed an original return</w:t>
            </w:r>
            <w:r w:rsidR="003552CF">
              <w:t>.</w:t>
            </w:r>
            <w:r w:rsidR="00FD058D">
              <w:t xml:space="preserve"> </w:t>
            </w:r>
            <w:r w:rsidR="00FD058D" w:rsidRPr="00FD058D">
              <w:t>(</w:t>
            </w:r>
            <w:r w:rsidR="002E601E" w:rsidRPr="00FD058D">
              <w:t>i.e.</w:t>
            </w:r>
            <w:r w:rsidR="00FD058D" w:rsidRPr="00FD058D">
              <w:t xml:space="preserve">, the voluntary disclosure is not for a reassessment or amending a prior obligation). The </w:t>
            </w:r>
            <w:r w:rsidR="00AF3AF7">
              <w:t>Income Tax Act change is</w:t>
            </w:r>
            <w:r w:rsidR="00FD058D" w:rsidRPr="00FD058D">
              <w:t xml:space="preserve"> to allow for the use of tax pooling to satisfy a tax liability that has arisen from a voluntary disclosure where there is no original return. The </w:t>
            </w:r>
            <w:r w:rsidR="00AF3AF7">
              <w:t>Tax Administration Act change is</w:t>
            </w:r>
            <w:r w:rsidR="00FD058D" w:rsidRPr="00FD058D">
              <w:t xml:space="preserve"> to enable the use of shortfall penalties where the Commissioner is satisfied that the debt has arisen through the taxpayer choosing not to comply with their tax obligations.</w:t>
            </w:r>
            <w:r w:rsidR="004940D6">
              <w:t xml:space="preserve"> Such changes would represent the expansion of existing provisions rather than the creation of new ones.</w:t>
            </w:r>
          </w:p>
          <w:p w14:paraId="1F23209A" w14:textId="3ED3C0E8" w:rsidR="00AA2825" w:rsidRDefault="004B6EFC" w:rsidP="00E36B16">
            <w:pPr>
              <w:jc w:val="both"/>
            </w:pPr>
            <w:r>
              <w:t xml:space="preserve">Further options </w:t>
            </w:r>
            <w:r w:rsidR="00AC0762">
              <w:t xml:space="preserve">to achieve the intended outcome of increasing voluntary disclosures were </w:t>
            </w:r>
            <w:r>
              <w:t>considered and ruled out</w:t>
            </w:r>
            <w:r w:rsidR="00412547">
              <w:t>.</w:t>
            </w:r>
            <w:r w:rsidR="003E2137">
              <w:t xml:space="preserve"> Primary amongst these was consideration of </w:t>
            </w:r>
            <w:r w:rsidR="00F06240">
              <w:t>reducing the penalties and interest that could be applied for liabilities arising from voluntary disclosure.</w:t>
            </w:r>
            <w:r w:rsidR="008A6BCE">
              <w:t xml:space="preserve"> This was ultimately rejected as there are integrity concerns to providing </w:t>
            </w:r>
            <w:r w:rsidR="00B45BDF">
              <w:t xml:space="preserve">additional </w:t>
            </w:r>
            <w:r w:rsidR="008A6BCE">
              <w:t>‘</w:t>
            </w:r>
            <w:proofErr w:type="gramStart"/>
            <w:r w:rsidR="008A6BCE">
              <w:t>discounts’</w:t>
            </w:r>
            <w:proofErr w:type="gramEnd"/>
            <w:r w:rsidR="008A6BCE">
              <w:t xml:space="preserve"> or exceptions to existing </w:t>
            </w:r>
            <w:r w:rsidR="00AE3E8F">
              <w:t>interest and penalty rules related to voluntary disclosures</w:t>
            </w:r>
            <w:r w:rsidR="007428F8">
              <w:t xml:space="preserve">. These concerns include the </w:t>
            </w:r>
            <w:r w:rsidR="00AE3E8F">
              <w:t xml:space="preserve">risk of incentivising </w:t>
            </w:r>
            <w:r w:rsidR="00993E03">
              <w:t>intentional omissions followed by disclosures</w:t>
            </w:r>
            <w:r w:rsidR="00AE3E8F">
              <w:t xml:space="preserve"> </w:t>
            </w:r>
            <w:r w:rsidR="00993E03">
              <w:t xml:space="preserve">in order to achieve a reduced tax liability. As the underpinning penalty framework is considered sound, </w:t>
            </w:r>
            <w:r w:rsidR="00635A7C">
              <w:t>focus has been placed on reducing inconsistent outcomes between tax types which are the subject of voluntary disclosures.</w:t>
            </w:r>
          </w:p>
          <w:p w14:paraId="73636BE8" w14:textId="7A1F6052" w:rsidR="00600D70" w:rsidRPr="0069218C" w:rsidRDefault="00600D70" w:rsidP="00E36B16">
            <w:pPr>
              <w:jc w:val="both"/>
            </w:pPr>
            <w:r>
              <w:t xml:space="preserve">Similarly, </w:t>
            </w:r>
            <w:r w:rsidR="00BF6C42">
              <w:t xml:space="preserve">an approach focussed on education and </w:t>
            </w:r>
            <w:r w:rsidR="00211144">
              <w:t xml:space="preserve">enforcement was considered. Although important, such an approach would only go so far in reducing instances of voluntary </w:t>
            </w:r>
            <w:r w:rsidR="00E72DD5">
              <w:t>disclosures</w:t>
            </w:r>
            <w:r w:rsidR="00211144">
              <w:t xml:space="preserve"> </w:t>
            </w:r>
            <w:r w:rsidR="00AE18BD">
              <w:t xml:space="preserve">as </w:t>
            </w:r>
            <w:r w:rsidR="00AB092F">
              <w:t>it is not possible to mitigate all</w:t>
            </w:r>
            <w:r w:rsidR="006F7CBD">
              <w:t xml:space="preserve"> potential for</w:t>
            </w:r>
            <w:r w:rsidR="00132A41">
              <w:t xml:space="preserve"> error or misunderstanding</w:t>
            </w:r>
            <w:r w:rsidR="00AB092F">
              <w:t xml:space="preserve">. </w:t>
            </w:r>
            <w:r w:rsidR="000357E0">
              <w:t>Ensuring that</w:t>
            </w:r>
            <w:r w:rsidR="001F0D1C">
              <w:t xml:space="preserve"> taxpayers are supported to do the right thing when such an error is discovered is </w:t>
            </w:r>
            <w:r w:rsidR="00D07D7A">
              <w:t xml:space="preserve">one of the reasons that </w:t>
            </w:r>
            <w:r w:rsidR="006F5FB6">
              <w:t>voluntary disclosures are a feature of the tax system</w:t>
            </w:r>
            <w:r w:rsidR="001F0D1C">
              <w:t xml:space="preserve">. </w:t>
            </w:r>
            <w:r w:rsidR="00500EAF">
              <w:t xml:space="preserve">Accepting this, an approach </w:t>
            </w:r>
            <w:r w:rsidR="00943F4B">
              <w:t xml:space="preserve">solely focused on education and enforcement </w:t>
            </w:r>
            <w:r w:rsidR="00FB5690">
              <w:t xml:space="preserve">would not address the identified issue of </w:t>
            </w:r>
            <w:r w:rsidR="00FB5690" w:rsidRPr="00FB5690">
              <w:t>inconsistent outcomes between tax types which are the subject of voluntary disclosures.</w:t>
            </w:r>
          </w:p>
        </w:tc>
      </w:tr>
    </w:tbl>
    <w:p w14:paraId="65608C12" w14:textId="77777777" w:rsidR="00F132B2" w:rsidRPr="00567434" w:rsidRDefault="00F132B2" w:rsidP="00567434">
      <w:pPr>
        <w:pStyle w:val="spacer"/>
      </w:pPr>
    </w:p>
    <w:tbl>
      <w:tblPr>
        <w:tblW w:w="484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779"/>
      </w:tblGrid>
      <w:tr w:rsidR="002D5734" w:rsidRPr="0069218C" w14:paraId="17F18685" w14:textId="77777777" w:rsidTr="00645092">
        <w:trPr>
          <w:trHeight w:val="45"/>
        </w:trPr>
        <w:tc>
          <w:tcPr>
            <w:tcW w:w="5000" w:type="pct"/>
            <w:shd w:val="clear" w:color="auto" w:fill="99CDDD"/>
          </w:tcPr>
          <w:p w14:paraId="43EA8B5F" w14:textId="77777777" w:rsidR="00E92509" w:rsidRPr="00886DFF" w:rsidRDefault="00B23E8A" w:rsidP="00EC6FAD">
            <w:pPr>
              <w:pStyle w:val="TableHeadings"/>
              <w:rPr>
                <w:szCs w:val="22"/>
                <w:lang w:val="en-NZ"/>
              </w:rPr>
            </w:pPr>
            <w:r w:rsidRPr="00886DFF">
              <w:rPr>
                <w:szCs w:val="22"/>
                <w:lang w:val="en-NZ"/>
              </w:rPr>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14:paraId="66B87503" w14:textId="77777777" w:rsidTr="00827CF6">
        <w:trPr>
          <w:trHeight w:val="1040"/>
        </w:trPr>
        <w:tc>
          <w:tcPr>
            <w:tcW w:w="5000" w:type="pct"/>
            <w:shd w:val="clear" w:color="auto" w:fill="auto"/>
          </w:tcPr>
          <w:p w14:paraId="5A8D28CB" w14:textId="5C9C5C9F" w:rsidR="00734522" w:rsidRDefault="008B23D6" w:rsidP="00C7655A">
            <w:pPr>
              <w:spacing w:after="0" w:line="276" w:lineRule="auto"/>
              <w:jc w:val="both"/>
              <w:rPr>
                <w:rFonts w:cs="Arial"/>
                <w:szCs w:val="22"/>
              </w:rPr>
            </w:pPr>
            <w:r>
              <w:rPr>
                <w:rFonts w:cs="Arial"/>
                <w:szCs w:val="22"/>
              </w:rPr>
              <w:t xml:space="preserve">The proposed approach </w:t>
            </w:r>
            <w:r w:rsidR="0080045A">
              <w:rPr>
                <w:rFonts w:cs="Arial"/>
                <w:szCs w:val="22"/>
              </w:rPr>
              <w:t xml:space="preserve">is </w:t>
            </w:r>
            <w:r w:rsidR="0080045A" w:rsidRPr="00FC402D">
              <w:t>to enable taxpayers to use tax pooling for a voluntary disclosure where the taxpayer has not previously filed an original return</w:t>
            </w:r>
            <w:r w:rsidR="00AF3AF7">
              <w:t>,</w:t>
            </w:r>
            <w:r w:rsidR="00E25D1D">
              <w:t xml:space="preserve"> as it</w:t>
            </w:r>
            <w:r w:rsidR="00E25D1D">
              <w:rPr>
                <w:rFonts w:cs="Arial"/>
                <w:szCs w:val="22"/>
              </w:rPr>
              <w:t xml:space="preserve"> </w:t>
            </w:r>
            <w:r w:rsidR="00AF0621">
              <w:rPr>
                <w:rFonts w:cs="Arial"/>
                <w:szCs w:val="22"/>
              </w:rPr>
              <w:t xml:space="preserve">will </w:t>
            </w:r>
            <w:r w:rsidR="00416235">
              <w:rPr>
                <w:rFonts w:cs="Arial"/>
                <w:szCs w:val="22"/>
              </w:rPr>
              <w:t>support an increase in</w:t>
            </w:r>
            <w:r w:rsidR="00AF0621">
              <w:rPr>
                <w:rFonts w:cs="Arial"/>
                <w:szCs w:val="22"/>
              </w:rPr>
              <w:t xml:space="preserve"> voluntary disclosures</w:t>
            </w:r>
            <w:r w:rsidR="00416235">
              <w:rPr>
                <w:rFonts w:cs="Arial"/>
                <w:szCs w:val="22"/>
              </w:rPr>
              <w:t>.</w:t>
            </w:r>
            <w:r w:rsidR="00310AA1">
              <w:rPr>
                <w:rFonts w:cs="Arial"/>
                <w:szCs w:val="22"/>
              </w:rPr>
              <w:t xml:space="preserve"> It will do so by ensuring that voluntary disclosures are treated equally with regard to their ability to utilise tax pooling to mitigate UOMI</w:t>
            </w:r>
            <w:r w:rsidR="00AC4678">
              <w:rPr>
                <w:rFonts w:cs="Arial"/>
                <w:szCs w:val="22"/>
              </w:rPr>
              <w:t xml:space="preserve"> and thereby</w:t>
            </w:r>
            <w:r w:rsidR="007113B3">
              <w:rPr>
                <w:rFonts w:cs="Arial"/>
                <w:szCs w:val="22"/>
              </w:rPr>
              <w:t xml:space="preserve"> </w:t>
            </w:r>
            <w:r w:rsidR="00BE6CD2">
              <w:rPr>
                <w:rFonts w:cs="Arial"/>
                <w:szCs w:val="22"/>
              </w:rPr>
              <w:t>achieve greater</w:t>
            </w:r>
            <w:r w:rsidR="007113B3">
              <w:rPr>
                <w:rFonts w:cs="Arial"/>
                <w:szCs w:val="22"/>
              </w:rPr>
              <w:t xml:space="preserve"> consistency of outcomes across tax types.</w:t>
            </w:r>
          </w:p>
          <w:p w14:paraId="0E787987" w14:textId="77777777" w:rsidR="00734522" w:rsidRDefault="00734522" w:rsidP="00C7655A">
            <w:pPr>
              <w:spacing w:after="0" w:line="276" w:lineRule="auto"/>
              <w:jc w:val="both"/>
              <w:rPr>
                <w:rFonts w:cs="Arial"/>
                <w:szCs w:val="22"/>
              </w:rPr>
            </w:pPr>
          </w:p>
          <w:p w14:paraId="69791F73" w14:textId="3BAE5423" w:rsidR="0088266A" w:rsidRPr="0069218C" w:rsidRDefault="00734522" w:rsidP="00F01796">
            <w:pPr>
              <w:spacing w:after="0" w:line="276" w:lineRule="auto"/>
              <w:jc w:val="both"/>
              <w:rPr>
                <w:rFonts w:cs="Arial"/>
                <w:szCs w:val="22"/>
              </w:rPr>
            </w:pPr>
            <w:r>
              <w:rPr>
                <w:rFonts w:cs="Arial"/>
                <w:szCs w:val="22"/>
              </w:rPr>
              <w:t xml:space="preserve">Overall, </w:t>
            </w:r>
            <w:r w:rsidR="00F67ADB">
              <w:rPr>
                <w:rFonts w:cs="Arial"/>
                <w:szCs w:val="22"/>
              </w:rPr>
              <w:t>it will improve simplicity and consistency within the tax system compared to the status quo whilst upholding system integrity.</w:t>
            </w:r>
            <w:r w:rsidR="00CF3FF1">
              <w:rPr>
                <w:rFonts w:cs="Arial"/>
                <w:szCs w:val="22"/>
              </w:rPr>
              <w:t xml:space="preserve"> </w:t>
            </w:r>
          </w:p>
        </w:tc>
      </w:tr>
    </w:tbl>
    <w:p w14:paraId="4D6DE60E" w14:textId="40ECB482" w:rsidR="00BE4A62" w:rsidRPr="00030EC1" w:rsidRDefault="00D9793F" w:rsidP="00414D0D">
      <w:pPr>
        <w:pStyle w:val="Heading2"/>
      </w:pPr>
      <w:r w:rsidRPr="0069218C">
        <w:rPr>
          <w:rFonts w:cs="Arial"/>
          <w:sz w:val="22"/>
          <w:lang w:val="en-NZ"/>
        </w:rPr>
        <w:br w:type="page"/>
      </w:r>
      <w:r w:rsidR="00E92509" w:rsidRPr="002D5734">
        <w:t xml:space="preserve">Section </w:t>
      </w:r>
      <w:r w:rsidR="00C77099">
        <w:t>4</w:t>
      </w:r>
      <w:r w:rsidR="00E92509" w:rsidRPr="002D5734">
        <w:t xml:space="preserve">: </w:t>
      </w:r>
      <w:r w:rsidR="00A33BA0" w:rsidRPr="002D5734">
        <w:t>Impact Analysis</w:t>
      </w:r>
      <w:r w:rsidR="005D5BF0" w:rsidRPr="002D5734">
        <w:t xml:space="preserve"> (</w:t>
      </w:r>
      <w:r w:rsidR="00C77099">
        <w:t>Proposed approach</w:t>
      </w:r>
      <w:r w:rsidR="005D5BF0" w:rsidRPr="002D5734">
        <w:t>)</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5D5BF0" w:rsidRPr="0069218C" w14:paraId="31372389" w14:textId="77777777" w:rsidTr="00BB4EA2">
        <w:trPr>
          <w:trHeight w:val="77"/>
        </w:trPr>
        <w:tc>
          <w:tcPr>
            <w:tcW w:w="5000" w:type="pct"/>
            <w:shd w:val="clear" w:color="auto" w:fill="99CDDD"/>
            <w:hideMark/>
          </w:tcPr>
          <w:p w14:paraId="0C1F8B7E" w14:textId="77777777" w:rsidR="005D5BF0" w:rsidRPr="0069218C" w:rsidRDefault="00D9793F" w:rsidP="00800DEC">
            <w:pPr>
              <w:pStyle w:val="TableHeadings"/>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bl>
    <w:p w14:paraId="1536052C" w14:textId="77777777" w:rsidR="00D9793F" w:rsidRPr="0069218C" w:rsidRDefault="00D9793F" w:rsidP="00567434">
      <w:pPr>
        <w:pStyle w:val="spacer"/>
      </w:pPr>
    </w:p>
    <w:tbl>
      <w:tblPr>
        <w:tblpPr w:leftFromText="180" w:rightFromText="180" w:vertAnchor="text" w:tblpX="114" w:tblpY="1"/>
        <w:tblOverlap w:val="neve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093"/>
        <w:gridCol w:w="4394"/>
        <w:gridCol w:w="2585"/>
      </w:tblGrid>
      <w:tr w:rsidR="00380585" w:rsidRPr="0069218C" w14:paraId="3311A7AD" w14:textId="77777777" w:rsidTr="00E6054D">
        <w:trPr>
          <w:trHeight w:val="253"/>
        </w:trPr>
        <w:tc>
          <w:tcPr>
            <w:tcW w:w="9072" w:type="dxa"/>
            <w:gridSpan w:val="3"/>
            <w:shd w:val="clear" w:color="auto" w:fill="99CDDD"/>
          </w:tcPr>
          <w:p w14:paraId="0287E966" w14:textId="77777777" w:rsidR="00380585" w:rsidRPr="0069218C" w:rsidRDefault="00380585" w:rsidP="002127DC">
            <w:pPr>
              <w:keepNext/>
              <w:spacing w:before="40" w:after="20" w:line="240" w:lineRule="auto"/>
              <w:rPr>
                <w:rFonts w:ascii="Arial Narrow" w:eastAsia="Calibri" w:hAnsi="Arial Narrow"/>
                <w:szCs w:val="22"/>
              </w:rPr>
            </w:pPr>
            <w:r w:rsidRPr="00886DFF">
              <w:rPr>
                <w:rFonts w:eastAsia="Calibri"/>
                <w:color w:val="000000"/>
                <w:szCs w:val="22"/>
              </w:rPr>
              <w:t>Additional costs of proposed approach, compared to taking no action</w:t>
            </w:r>
          </w:p>
        </w:tc>
      </w:tr>
      <w:tr w:rsidR="00380585" w:rsidRPr="0069218C" w14:paraId="67B640BC" w14:textId="77777777" w:rsidTr="00BB4EA2">
        <w:trPr>
          <w:trHeight w:val="253"/>
        </w:trPr>
        <w:tc>
          <w:tcPr>
            <w:tcW w:w="2093" w:type="dxa"/>
            <w:shd w:val="clear" w:color="auto" w:fill="auto"/>
          </w:tcPr>
          <w:p w14:paraId="21C83AA5" w14:textId="2FF0D30D" w:rsidR="00380585" w:rsidRPr="0069218C" w:rsidRDefault="005D623B" w:rsidP="002127DC">
            <w:pPr>
              <w:pStyle w:val="TableText"/>
              <w:keepNext/>
              <w:rPr>
                <w:rFonts w:eastAsia="Calibri" w:cs="Arial"/>
                <w:color w:val="000000"/>
                <w:sz w:val="22"/>
              </w:rPr>
            </w:pPr>
            <w:r>
              <w:rPr>
                <w:rFonts w:eastAsia="Calibri"/>
                <w:color w:val="000000"/>
                <w:sz w:val="22"/>
              </w:rPr>
              <w:t>The Crown</w:t>
            </w:r>
            <w:r w:rsidR="00380585" w:rsidRPr="0069218C">
              <w:rPr>
                <w:rFonts w:eastAsia="Calibri"/>
                <w:color w:val="000000"/>
                <w:sz w:val="22"/>
              </w:rPr>
              <w:t xml:space="preserve"> </w:t>
            </w:r>
          </w:p>
        </w:tc>
        <w:tc>
          <w:tcPr>
            <w:tcW w:w="4394" w:type="dxa"/>
            <w:shd w:val="clear" w:color="auto" w:fill="auto"/>
          </w:tcPr>
          <w:p w14:paraId="197E8BDC" w14:textId="24D80059" w:rsidR="00380585" w:rsidRPr="0069218C" w:rsidRDefault="00173F8C" w:rsidP="002127DC">
            <w:pPr>
              <w:pStyle w:val="TableText"/>
              <w:keepNext/>
              <w:rPr>
                <w:rFonts w:eastAsia="Calibri"/>
                <w:sz w:val="22"/>
              </w:rPr>
            </w:pPr>
            <w:r>
              <w:rPr>
                <w:rFonts w:eastAsia="Calibri"/>
                <w:sz w:val="22"/>
              </w:rPr>
              <w:t xml:space="preserve">Improved compliance </w:t>
            </w:r>
            <w:r w:rsidR="00694DC2">
              <w:rPr>
                <w:rFonts w:eastAsia="Calibri"/>
                <w:sz w:val="22"/>
              </w:rPr>
              <w:t>would</w:t>
            </w:r>
            <w:r>
              <w:rPr>
                <w:rFonts w:eastAsia="Calibri"/>
                <w:sz w:val="22"/>
              </w:rPr>
              <w:t xml:space="preserve"> reduc</w:t>
            </w:r>
            <w:r w:rsidR="00694DC2">
              <w:rPr>
                <w:rFonts w:eastAsia="Calibri"/>
                <w:sz w:val="22"/>
              </w:rPr>
              <w:t>e the</w:t>
            </w:r>
            <w:r>
              <w:rPr>
                <w:rFonts w:eastAsia="Calibri"/>
                <w:sz w:val="22"/>
              </w:rPr>
              <w:t xml:space="preserve"> UOMI the department </w:t>
            </w:r>
            <w:r w:rsidR="00694DC2">
              <w:rPr>
                <w:rFonts w:eastAsia="Calibri"/>
                <w:sz w:val="22"/>
              </w:rPr>
              <w:t>collects</w:t>
            </w:r>
            <w:r>
              <w:rPr>
                <w:rFonts w:eastAsia="Calibri"/>
                <w:sz w:val="22"/>
              </w:rPr>
              <w:t>.</w:t>
            </w:r>
          </w:p>
        </w:tc>
        <w:tc>
          <w:tcPr>
            <w:tcW w:w="2585" w:type="dxa"/>
            <w:shd w:val="clear" w:color="auto" w:fill="auto"/>
          </w:tcPr>
          <w:p w14:paraId="26C82814" w14:textId="72D3E384" w:rsidR="00380585" w:rsidRPr="0069218C" w:rsidRDefault="00173F8C" w:rsidP="002127DC">
            <w:pPr>
              <w:pStyle w:val="TableText"/>
              <w:keepNext/>
              <w:rPr>
                <w:rFonts w:eastAsia="Calibri"/>
                <w:sz w:val="22"/>
              </w:rPr>
            </w:pPr>
            <w:r>
              <w:rPr>
                <w:rFonts w:eastAsia="Calibri"/>
                <w:sz w:val="22"/>
              </w:rPr>
              <w:t>Low – as the outcome is linked to behavioural changes it is hard to measure but, as the demographic is small, these changes are also anticipated to be small.</w:t>
            </w:r>
          </w:p>
        </w:tc>
      </w:tr>
      <w:tr w:rsidR="00636AF5" w:rsidRPr="0069218C" w14:paraId="3AA7B9F7" w14:textId="77777777" w:rsidTr="00BB4EA2">
        <w:trPr>
          <w:trHeight w:val="253"/>
        </w:trPr>
        <w:tc>
          <w:tcPr>
            <w:tcW w:w="2093" w:type="dxa"/>
            <w:shd w:val="clear" w:color="auto" w:fill="auto"/>
          </w:tcPr>
          <w:p w14:paraId="47511428" w14:textId="55342134" w:rsidR="00636AF5" w:rsidRDefault="00636AF5" w:rsidP="002127DC">
            <w:pPr>
              <w:pStyle w:val="TableText"/>
              <w:keepNext/>
              <w:rPr>
                <w:rFonts w:eastAsia="Calibri"/>
                <w:color w:val="000000"/>
                <w:sz w:val="22"/>
              </w:rPr>
            </w:pPr>
            <w:r>
              <w:rPr>
                <w:rFonts w:eastAsia="Calibri"/>
                <w:color w:val="000000"/>
                <w:sz w:val="22"/>
              </w:rPr>
              <w:t>Inland Revenue</w:t>
            </w:r>
          </w:p>
        </w:tc>
        <w:tc>
          <w:tcPr>
            <w:tcW w:w="4394" w:type="dxa"/>
            <w:shd w:val="clear" w:color="auto" w:fill="auto"/>
          </w:tcPr>
          <w:p w14:paraId="0C7F19FA" w14:textId="77BF862B" w:rsidR="00636AF5" w:rsidRDefault="00636AF5" w:rsidP="002127DC">
            <w:pPr>
              <w:pStyle w:val="TableText"/>
              <w:keepNext/>
              <w:rPr>
                <w:rFonts w:eastAsia="Calibri"/>
                <w:sz w:val="22"/>
              </w:rPr>
            </w:pPr>
            <w:r>
              <w:rPr>
                <w:rFonts w:eastAsia="Calibri"/>
                <w:sz w:val="22"/>
              </w:rPr>
              <w:t xml:space="preserve">More voluntary disclosures, potentially an increase in the need to verify these disclosures meet </w:t>
            </w:r>
            <w:r w:rsidR="00AF3AF7">
              <w:rPr>
                <w:rFonts w:eastAsia="Calibri"/>
                <w:sz w:val="22"/>
              </w:rPr>
              <w:t xml:space="preserve">the </w:t>
            </w:r>
            <w:r>
              <w:rPr>
                <w:rFonts w:eastAsia="Calibri"/>
                <w:sz w:val="22"/>
              </w:rPr>
              <w:t>criteria</w:t>
            </w:r>
            <w:r w:rsidR="00AF3AF7">
              <w:rPr>
                <w:rFonts w:eastAsia="Calibri"/>
                <w:sz w:val="22"/>
              </w:rPr>
              <w:t>,</w:t>
            </w:r>
            <w:r>
              <w:rPr>
                <w:rFonts w:eastAsia="Calibri"/>
                <w:sz w:val="22"/>
              </w:rPr>
              <w:t xml:space="preserve"> and processing </w:t>
            </w:r>
            <w:r w:rsidR="00AF3AF7">
              <w:rPr>
                <w:rFonts w:eastAsia="Calibri"/>
                <w:sz w:val="22"/>
              </w:rPr>
              <w:t xml:space="preserve">of </w:t>
            </w:r>
            <w:r w:rsidR="003E5DDC">
              <w:rPr>
                <w:rFonts w:eastAsia="Calibri"/>
                <w:sz w:val="22"/>
              </w:rPr>
              <w:t xml:space="preserve">penalties </w:t>
            </w:r>
            <w:r>
              <w:rPr>
                <w:rFonts w:eastAsia="Calibri"/>
                <w:sz w:val="22"/>
              </w:rPr>
              <w:t>where they are found to not meet criteria</w:t>
            </w:r>
            <w:r w:rsidR="00AF3AF7">
              <w:rPr>
                <w:rFonts w:eastAsia="Calibri"/>
                <w:sz w:val="22"/>
              </w:rPr>
              <w:t>. These</w:t>
            </w:r>
            <w:r>
              <w:rPr>
                <w:rFonts w:eastAsia="Calibri"/>
                <w:sz w:val="22"/>
              </w:rPr>
              <w:t xml:space="preserve"> represent an increase in administrative costs.</w:t>
            </w:r>
          </w:p>
        </w:tc>
        <w:tc>
          <w:tcPr>
            <w:tcW w:w="2585" w:type="dxa"/>
            <w:shd w:val="clear" w:color="auto" w:fill="auto"/>
          </w:tcPr>
          <w:p w14:paraId="03143E53" w14:textId="098B2A18" w:rsidR="00636AF5" w:rsidRDefault="00636AF5" w:rsidP="002127DC">
            <w:pPr>
              <w:pStyle w:val="TableText"/>
              <w:keepNext/>
              <w:rPr>
                <w:rFonts w:eastAsia="Calibri"/>
                <w:sz w:val="22"/>
              </w:rPr>
            </w:pPr>
            <w:r>
              <w:rPr>
                <w:rFonts w:eastAsia="Calibri"/>
                <w:sz w:val="22"/>
              </w:rPr>
              <w:t xml:space="preserve">Low – </w:t>
            </w:r>
            <w:r w:rsidR="00BE3B3B">
              <w:rPr>
                <w:rFonts w:eastAsia="Calibri"/>
                <w:sz w:val="22"/>
              </w:rPr>
              <w:t>this proposal represents an extension of existing settings and so changes should be straight-forward and small</w:t>
            </w:r>
            <w:r>
              <w:rPr>
                <w:rFonts w:eastAsia="Calibri"/>
                <w:sz w:val="22"/>
              </w:rPr>
              <w:t>.</w:t>
            </w:r>
            <w:r w:rsidR="00BE3B3B">
              <w:rPr>
                <w:rFonts w:eastAsia="Calibri"/>
                <w:sz w:val="22"/>
              </w:rPr>
              <w:t xml:space="preserve"> Similarly, the demographic incentivised to make voluntary disclosures under this change is small, meaning the increase in contacts with Inland Revenue should be equally small.</w:t>
            </w:r>
          </w:p>
        </w:tc>
      </w:tr>
      <w:tr w:rsidR="00694DC2" w:rsidRPr="0069218C" w14:paraId="36C00356" w14:textId="77777777" w:rsidTr="00BB4EA2">
        <w:trPr>
          <w:trHeight w:val="253"/>
        </w:trPr>
        <w:tc>
          <w:tcPr>
            <w:tcW w:w="2093" w:type="dxa"/>
            <w:shd w:val="clear" w:color="auto" w:fill="auto"/>
          </w:tcPr>
          <w:p w14:paraId="55DE5259" w14:textId="77777777" w:rsidR="00694DC2" w:rsidRPr="0069218C" w:rsidRDefault="00694DC2" w:rsidP="00694DC2">
            <w:pPr>
              <w:pStyle w:val="TableText"/>
              <w:keepNext/>
              <w:rPr>
                <w:rFonts w:eastAsia="Calibri"/>
                <w:b/>
                <w:sz w:val="22"/>
              </w:rPr>
            </w:pPr>
            <w:r w:rsidRPr="0069218C">
              <w:rPr>
                <w:rFonts w:eastAsia="Calibri"/>
                <w:b/>
                <w:sz w:val="22"/>
              </w:rPr>
              <w:t>Total Monetised Cost</w:t>
            </w:r>
          </w:p>
        </w:tc>
        <w:tc>
          <w:tcPr>
            <w:tcW w:w="4394" w:type="dxa"/>
            <w:shd w:val="clear" w:color="auto" w:fill="auto"/>
          </w:tcPr>
          <w:p w14:paraId="4D0A094E" w14:textId="0CD98396" w:rsidR="00694DC2" w:rsidRPr="0069218C" w:rsidRDefault="00BE3B3B" w:rsidP="00694DC2">
            <w:pPr>
              <w:pStyle w:val="TableText"/>
              <w:keepNext/>
              <w:rPr>
                <w:rFonts w:eastAsia="Calibri"/>
                <w:i/>
                <w:sz w:val="22"/>
              </w:rPr>
            </w:pPr>
            <w:r w:rsidRPr="00BE3B3B">
              <w:rPr>
                <w:rFonts w:eastAsia="Calibri"/>
                <w:iCs/>
                <w:sz w:val="22"/>
              </w:rPr>
              <w:t>As noted, as costs and benefits are intrinsically linked to behavioural change it is difficult to put a value on them.</w:t>
            </w:r>
            <w:r>
              <w:rPr>
                <w:rFonts w:eastAsia="Calibri"/>
                <w:iCs/>
                <w:sz w:val="22"/>
              </w:rPr>
              <w:t xml:space="preserve"> </w:t>
            </w:r>
            <w:r w:rsidRPr="00BE3B3B">
              <w:rPr>
                <w:rFonts w:eastAsia="Calibri"/>
                <w:iCs/>
                <w:sz w:val="22"/>
              </w:rPr>
              <w:t>Overall, the costs are likely to be low.</w:t>
            </w:r>
          </w:p>
        </w:tc>
        <w:tc>
          <w:tcPr>
            <w:tcW w:w="2585" w:type="dxa"/>
            <w:shd w:val="clear" w:color="auto" w:fill="auto"/>
          </w:tcPr>
          <w:p w14:paraId="1513E189" w14:textId="1A306237" w:rsidR="00694DC2" w:rsidRPr="00BE3B3B" w:rsidRDefault="00BE3B3B" w:rsidP="00694DC2">
            <w:pPr>
              <w:pStyle w:val="TableText"/>
              <w:keepNext/>
              <w:rPr>
                <w:rFonts w:eastAsia="Calibri"/>
                <w:iCs/>
                <w:sz w:val="22"/>
              </w:rPr>
            </w:pPr>
            <w:r>
              <w:rPr>
                <w:rFonts w:eastAsia="Calibri"/>
                <w:iCs/>
                <w:sz w:val="22"/>
              </w:rPr>
              <w:t>Low</w:t>
            </w:r>
          </w:p>
        </w:tc>
      </w:tr>
      <w:tr w:rsidR="00694DC2" w:rsidRPr="0069218C" w14:paraId="744EB59C" w14:textId="77777777" w:rsidTr="00BB4EA2">
        <w:trPr>
          <w:trHeight w:val="253"/>
        </w:trPr>
        <w:tc>
          <w:tcPr>
            <w:tcW w:w="2093" w:type="dxa"/>
            <w:shd w:val="clear" w:color="auto" w:fill="auto"/>
          </w:tcPr>
          <w:p w14:paraId="7F4CC76A" w14:textId="77777777" w:rsidR="00694DC2" w:rsidRPr="0069218C" w:rsidRDefault="00694DC2" w:rsidP="00694DC2">
            <w:pPr>
              <w:pStyle w:val="TableText"/>
              <w:keepNext/>
              <w:rPr>
                <w:rFonts w:eastAsia="Calibri"/>
                <w:b/>
                <w:sz w:val="22"/>
              </w:rPr>
            </w:pPr>
            <w:r w:rsidRPr="0069218C">
              <w:rPr>
                <w:rFonts w:eastAsia="Calibri"/>
                <w:b/>
                <w:sz w:val="22"/>
              </w:rPr>
              <w:t xml:space="preserve">Non-monetised costs </w:t>
            </w:r>
          </w:p>
        </w:tc>
        <w:tc>
          <w:tcPr>
            <w:tcW w:w="4394" w:type="dxa"/>
            <w:shd w:val="clear" w:color="auto" w:fill="auto"/>
          </w:tcPr>
          <w:p w14:paraId="3F8B3128" w14:textId="215B278C" w:rsidR="00694DC2" w:rsidRPr="00BE3B3B" w:rsidRDefault="00694DC2" w:rsidP="00694DC2">
            <w:pPr>
              <w:pStyle w:val="TableText"/>
              <w:keepNext/>
              <w:rPr>
                <w:rFonts w:eastAsia="Calibri"/>
                <w:iCs/>
                <w:sz w:val="22"/>
              </w:rPr>
            </w:pPr>
          </w:p>
        </w:tc>
        <w:tc>
          <w:tcPr>
            <w:tcW w:w="2585" w:type="dxa"/>
            <w:shd w:val="clear" w:color="auto" w:fill="auto"/>
          </w:tcPr>
          <w:p w14:paraId="59E9AAEA" w14:textId="622D4C23" w:rsidR="00694DC2" w:rsidRPr="00BE3B3B" w:rsidRDefault="00636AF5" w:rsidP="00694DC2">
            <w:pPr>
              <w:pStyle w:val="TableText"/>
              <w:keepNext/>
              <w:rPr>
                <w:rFonts w:eastAsia="Calibri"/>
                <w:iCs/>
                <w:sz w:val="22"/>
              </w:rPr>
            </w:pPr>
            <w:r w:rsidRPr="00BE3B3B">
              <w:rPr>
                <w:rFonts w:eastAsia="Calibri"/>
                <w:iCs/>
                <w:sz w:val="22"/>
              </w:rPr>
              <w:t>Low</w:t>
            </w:r>
          </w:p>
        </w:tc>
      </w:tr>
    </w:tbl>
    <w:p w14:paraId="0A9A2360" w14:textId="77777777" w:rsidR="00380585" w:rsidRPr="0069218C" w:rsidRDefault="00380585" w:rsidP="00567434">
      <w:pPr>
        <w:pStyle w:val="spacer"/>
      </w:pPr>
    </w:p>
    <w:tbl>
      <w:tblPr>
        <w:tblpPr w:leftFromText="180" w:rightFromText="180" w:vertAnchor="text" w:tblpX="114" w:tblpY="1"/>
        <w:tblOverlap w:val="neve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093"/>
        <w:gridCol w:w="4394"/>
        <w:gridCol w:w="2585"/>
      </w:tblGrid>
      <w:tr w:rsidR="00380585" w:rsidRPr="0069218C" w14:paraId="377EAB6F" w14:textId="77777777" w:rsidTr="00E6054D">
        <w:trPr>
          <w:trHeight w:val="253"/>
        </w:trPr>
        <w:tc>
          <w:tcPr>
            <w:tcW w:w="9072" w:type="dxa"/>
            <w:gridSpan w:val="3"/>
            <w:shd w:val="clear" w:color="auto" w:fill="99CDDD"/>
          </w:tcPr>
          <w:p w14:paraId="564BDD89" w14:textId="77777777" w:rsidR="00380585" w:rsidRPr="000535CE" w:rsidRDefault="00380585" w:rsidP="002127DC">
            <w:pPr>
              <w:spacing w:before="40" w:after="2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694DC2" w:rsidRPr="0069218C" w14:paraId="6FCB9D30" w14:textId="77777777" w:rsidTr="00BB4EA2">
        <w:trPr>
          <w:trHeight w:val="253"/>
        </w:trPr>
        <w:tc>
          <w:tcPr>
            <w:tcW w:w="2093" w:type="dxa"/>
            <w:shd w:val="clear" w:color="auto" w:fill="auto"/>
          </w:tcPr>
          <w:p w14:paraId="118392ED" w14:textId="22332418" w:rsidR="00694DC2" w:rsidRPr="0069218C" w:rsidRDefault="00694DC2" w:rsidP="00694DC2">
            <w:pPr>
              <w:pStyle w:val="TableText"/>
              <w:rPr>
                <w:rFonts w:eastAsia="Calibri"/>
                <w:sz w:val="22"/>
              </w:rPr>
            </w:pPr>
            <w:r>
              <w:rPr>
                <w:rFonts w:eastAsia="Calibri"/>
                <w:sz w:val="22"/>
              </w:rPr>
              <w:t>Taxpayers</w:t>
            </w:r>
          </w:p>
        </w:tc>
        <w:tc>
          <w:tcPr>
            <w:tcW w:w="4394" w:type="dxa"/>
            <w:shd w:val="clear" w:color="auto" w:fill="auto"/>
          </w:tcPr>
          <w:p w14:paraId="7FA83A27" w14:textId="23279652" w:rsidR="00694DC2" w:rsidRPr="0069218C" w:rsidRDefault="00694DC2" w:rsidP="00694DC2">
            <w:pPr>
              <w:pStyle w:val="TableText"/>
              <w:rPr>
                <w:rFonts w:eastAsia="Calibri"/>
                <w:sz w:val="22"/>
              </w:rPr>
            </w:pPr>
            <w:r>
              <w:rPr>
                <w:rFonts w:eastAsia="Calibri"/>
                <w:sz w:val="22"/>
              </w:rPr>
              <w:t>Assuming full compliance irrespective of the change, this proposal would reduce costs to the taxpayers by mitigating UOMI.</w:t>
            </w:r>
          </w:p>
        </w:tc>
        <w:tc>
          <w:tcPr>
            <w:tcW w:w="2585" w:type="dxa"/>
            <w:shd w:val="clear" w:color="auto" w:fill="auto"/>
          </w:tcPr>
          <w:p w14:paraId="73CBE2E0" w14:textId="4A2B6DD5" w:rsidR="00694DC2" w:rsidRPr="0069218C" w:rsidRDefault="00694DC2" w:rsidP="00694DC2">
            <w:pPr>
              <w:pStyle w:val="TableText"/>
              <w:rPr>
                <w:rFonts w:eastAsia="Calibri"/>
                <w:sz w:val="22"/>
              </w:rPr>
            </w:pPr>
            <w:r>
              <w:rPr>
                <w:rFonts w:eastAsia="Calibri"/>
                <w:sz w:val="22"/>
              </w:rPr>
              <w:t>Low – tax</w:t>
            </w:r>
            <w:r w:rsidR="000A3AA6">
              <w:rPr>
                <w:rFonts w:eastAsia="Calibri"/>
                <w:sz w:val="22"/>
              </w:rPr>
              <w:t xml:space="preserve"> </w:t>
            </w:r>
            <w:r>
              <w:rPr>
                <w:rFonts w:eastAsia="Calibri"/>
                <w:sz w:val="22"/>
              </w:rPr>
              <w:t xml:space="preserve">pooling enables the mitigation of </w:t>
            </w:r>
            <w:r w:rsidR="002E601E">
              <w:rPr>
                <w:rFonts w:eastAsia="Calibri"/>
                <w:sz w:val="22"/>
              </w:rPr>
              <w:t>UOMI,</w:t>
            </w:r>
            <w:r>
              <w:rPr>
                <w:rFonts w:eastAsia="Calibri"/>
                <w:sz w:val="22"/>
              </w:rPr>
              <w:t xml:space="preserve"> but the tax liability would not be impacted by this change. Due to links with behavioural changes, this is hard to measure.</w:t>
            </w:r>
          </w:p>
        </w:tc>
      </w:tr>
      <w:tr w:rsidR="00694DC2" w:rsidRPr="0069218C" w14:paraId="6D1801A4" w14:textId="77777777" w:rsidTr="00BB4EA2">
        <w:trPr>
          <w:trHeight w:val="253"/>
        </w:trPr>
        <w:tc>
          <w:tcPr>
            <w:tcW w:w="2093" w:type="dxa"/>
            <w:shd w:val="clear" w:color="auto" w:fill="auto"/>
          </w:tcPr>
          <w:p w14:paraId="715A3757" w14:textId="186549C7" w:rsidR="00694DC2" w:rsidRPr="0069218C" w:rsidRDefault="00694DC2" w:rsidP="00694DC2">
            <w:pPr>
              <w:pStyle w:val="TableText"/>
              <w:rPr>
                <w:rFonts w:eastAsia="Calibri"/>
                <w:sz w:val="22"/>
              </w:rPr>
            </w:pPr>
            <w:r>
              <w:rPr>
                <w:rFonts w:eastAsia="Calibri"/>
                <w:color w:val="000000"/>
                <w:sz w:val="22"/>
              </w:rPr>
              <w:t>Taxpayers</w:t>
            </w:r>
          </w:p>
        </w:tc>
        <w:tc>
          <w:tcPr>
            <w:tcW w:w="4394" w:type="dxa"/>
            <w:shd w:val="clear" w:color="auto" w:fill="auto"/>
          </w:tcPr>
          <w:p w14:paraId="2D09FD04" w14:textId="030FE229" w:rsidR="00694DC2" w:rsidRPr="0069218C" w:rsidRDefault="00694DC2" w:rsidP="00694DC2">
            <w:pPr>
              <w:pStyle w:val="TableText"/>
              <w:rPr>
                <w:rFonts w:eastAsia="Calibri"/>
                <w:sz w:val="22"/>
              </w:rPr>
            </w:pPr>
            <w:r>
              <w:rPr>
                <w:rFonts w:eastAsia="Calibri"/>
                <w:sz w:val="22"/>
              </w:rPr>
              <w:t xml:space="preserve">Voluntary disclosures are incentivised therefore it is easier </w:t>
            </w:r>
            <w:r w:rsidR="00BE3B3B">
              <w:rPr>
                <w:rFonts w:eastAsia="Calibri"/>
                <w:sz w:val="22"/>
              </w:rPr>
              <w:t xml:space="preserve">and less punitive </w:t>
            </w:r>
            <w:r>
              <w:rPr>
                <w:rFonts w:eastAsia="Calibri"/>
                <w:sz w:val="22"/>
              </w:rPr>
              <w:t>to do the right thing.</w:t>
            </w:r>
          </w:p>
        </w:tc>
        <w:tc>
          <w:tcPr>
            <w:tcW w:w="2585" w:type="dxa"/>
            <w:shd w:val="clear" w:color="auto" w:fill="auto"/>
          </w:tcPr>
          <w:p w14:paraId="733C5865" w14:textId="127F1C02" w:rsidR="00694DC2" w:rsidRPr="0069218C" w:rsidRDefault="00BE3B3B" w:rsidP="00694DC2">
            <w:pPr>
              <w:pStyle w:val="TableText"/>
              <w:rPr>
                <w:rFonts w:eastAsia="Calibri"/>
                <w:sz w:val="22"/>
              </w:rPr>
            </w:pPr>
            <w:r>
              <w:rPr>
                <w:rFonts w:eastAsia="Calibri"/>
                <w:sz w:val="22"/>
              </w:rPr>
              <w:t>Medium</w:t>
            </w:r>
            <w:r w:rsidR="005563BE">
              <w:rPr>
                <w:rFonts w:eastAsia="Calibri"/>
                <w:sz w:val="22"/>
              </w:rPr>
              <w:t xml:space="preserve"> – although as a behavioural factor this is difficult to fully gauge.</w:t>
            </w:r>
          </w:p>
        </w:tc>
      </w:tr>
      <w:tr w:rsidR="00694DC2" w:rsidRPr="0069218C" w14:paraId="6617ED99" w14:textId="77777777" w:rsidTr="00BB4EA2">
        <w:trPr>
          <w:trHeight w:val="253"/>
        </w:trPr>
        <w:tc>
          <w:tcPr>
            <w:tcW w:w="2093" w:type="dxa"/>
            <w:shd w:val="clear" w:color="auto" w:fill="auto"/>
          </w:tcPr>
          <w:p w14:paraId="4D03E098" w14:textId="1A24CFF0" w:rsidR="00694DC2" w:rsidRPr="0069218C" w:rsidRDefault="00694DC2" w:rsidP="00694DC2">
            <w:pPr>
              <w:pStyle w:val="TableText"/>
              <w:rPr>
                <w:rFonts w:eastAsia="Calibri"/>
                <w:sz w:val="22"/>
              </w:rPr>
            </w:pPr>
            <w:r>
              <w:rPr>
                <w:rFonts w:eastAsia="Calibri"/>
                <w:color w:val="000000"/>
                <w:sz w:val="22"/>
              </w:rPr>
              <w:t>Tax poolers</w:t>
            </w:r>
          </w:p>
        </w:tc>
        <w:tc>
          <w:tcPr>
            <w:tcW w:w="4394" w:type="dxa"/>
            <w:shd w:val="clear" w:color="auto" w:fill="auto"/>
          </w:tcPr>
          <w:p w14:paraId="28CC1657" w14:textId="1149F2DF" w:rsidR="00694DC2" w:rsidRPr="0069218C" w:rsidRDefault="00694DC2" w:rsidP="00694DC2">
            <w:pPr>
              <w:pStyle w:val="TableText"/>
              <w:rPr>
                <w:rFonts w:eastAsia="Calibri"/>
                <w:sz w:val="22"/>
              </w:rPr>
            </w:pPr>
            <w:r>
              <w:rPr>
                <w:rFonts w:eastAsia="Calibri"/>
                <w:sz w:val="22"/>
              </w:rPr>
              <w:t>By increasing the potential number of taxpayers able to use tax pooling, this would increase the income of tax poolers.</w:t>
            </w:r>
          </w:p>
        </w:tc>
        <w:tc>
          <w:tcPr>
            <w:tcW w:w="2585" w:type="dxa"/>
            <w:shd w:val="clear" w:color="auto" w:fill="auto"/>
          </w:tcPr>
          <w:p w14:paraId="3881C965" w14:textId="5CF70FD4" w:rsidR="00694DC2" w:rsidRPr="0069218C" w:rsidRDefault="00694DC2" w:rsidP="00694DC2">
            <w:pPr>
              <w:pStyle w:val="TableText"/>
              <w:rPr>
                <w:rFonts w:eastAsia="Calibri"/>
                <w:sz w:val="22"/>
              </w:rPr>
            </w:pPr>
            <w:r>
              <w:rPr>
                <w:rFonts w:eastAsia="Calibri"/>
                <w:sz w:val="22"/>
              </w:rPr>
              <w:t>Low - as a small demographic increase, the income increase would also be small.</w:t>
            </w:r>
          </w:p>
        </w:tc>
      </w:tr>
      <w:tr w:rsidR="00694DC2" w:rsidRPr="0069218C" w14:paraId="08A5403E" w14:textId="77777777" w:rsidTr="00BB4EA2">
        <w:trPr>
          <w:trHeight w:val="253"/>
        </w:trPr>
        <w:tc>
          <w:tcPr>
            <w:tcW w:w="2093" w:type="dxa"/>
            <w:shd w:val="clear" w:color="auto" w:fill="auto"/>
          </w:tcPr>
          <w:p w14:paraId="76FCA79C" w14:textId="44DD66E6" w:rsidR="00694DC2" w:rsidRDefault="00BD6738" w:rsidP="00694DC2">
            <w:pPr>
              <w:pStyle w:val="TableText"/>
              <w:rPr>
                <w:rFonts w:eastAsia="Calibri"/>
                <w:color w:val="000000"/>
                <w:sz w:val="22"/>
              </w:rPr>
            </w:pPr>
            <w:r>
              <w:rPr>
                <w:rFonts w:eastAsia="Calibri"/>
                <w:color w:val="000000"/>
                <w:sz w:val="22"/>
              </w:rPr>
              <w:t>The Crown</w:t>
            </w:r>
            <w:r w:rsidR="00694DC2" w:rsidRPr="0069218C">
              <w:rPr>
                <w:rFonts w:eastAsia="Calibri"/>
                <w:color w:val="000000"/>
                <w:sz w:val="22"/>
              </w:rPr>
              <w:t xml:space="preserve"> </w:t>
            </w:r>
          </w:p>
        </w:tc>
        <w:tc>
          <w:tcPr>
            <w:tcW w:w="4394" w:type="dxa"/>
            <w:shd w:val="clear" w:color="auto" w:fill="auto"/>
          </w:tcPr>
          <w:p w14:paraId="55B7007C" w14:textId="4690ACEC" w:rsidR="00694DC2" w:rsidRDefault="00694DC2" w:rsidP="00694DC2">
            <w:pPr>
              <w:pStyle w:val="TableText"/>
              <w:rPr>
                <w:rFonts w:eastAsia="Calibri"/>
                <w:sz w:val="22"/>
              </w:rPr>
            </w:pPr>
            <w:r>
              <w:rPr>
                <w:rFonts w:eastAsia="Calibri"/>
                <w:sz w:val="22"/>
              </w:rPr>
              <w:t>Improved compliance rates will increase the amount of tax collected.</w:t>
            </w:r>
          </w:p>
        </w:tc>
        <w:tc>
          <w:tcPr>
            <w:tcW w:w="2585" w:type="dxa"/>
            <w:shd w:val="clear" w:color="auto" w:fill="auto"/>
          </w:tcPr>
          <w:p w14:paraId="689A75C7" w14:textId="50079E96" w:rsidR="00694DC2" w:rsidRDefault="00694DC2" w:rsidP="00694DC2">
            <w:pPr>
              <w:pStyle w:val="TableText"/>
              <w:rPr>
                <w:rFonts w:eastAsia="Calibri"/>
                <w:sz w:val="22"/>
              </w:rPr>
            </w:pPr>
            <w:r>
              <w:rPr>
                <w:rFonts w:eastAsia="Calibri"/>
                <w:sz w:val="22"/>
              </w:rPr>
              <w:t>Low – as the outcome is linked to behavioural changes it is hard to measure but, as the demographic is small, these changes are also anticipated to be small.</w:t>
            </w:r>
          </w:p>
        </w:tc>
      </w:tr>
      <w:tr w:rsidR="00636AF5" w:rsidRPr="0069218C" w14:paraId="3D0F1F79" w14:textId="77777777" w:rsidTr="00BB4EA2">
        <w:trPr>
          <w:trHeight w:val="253"/>
        </w:trPr>
        <w:tc>
          <w:tcPr>
            <w:tcW w:w="2093" w:type="dxa"/>
            <w:shd w:val="clear" w:color="auto" w:fill="auto"/>
          </w:tcPr>
          <w:p w14:paraId="1B727F9C" w14:textId="7CC162D6" w:rsidR="00636AF5" w:rsidRDefault="00BD6738" w:rsidP="00694DC2">
            <w:pPr>
              <w:pStyle w:val="TableText"/>
              <w:rPr>
                <w:rFonts w:eastAsia="Calibri"/>
                <w:color w:val="000000"/>
                <w:sz w:val="22"/>
              </w:rPr>
            </w:pPr>
            <w:r>
              <w:rPr>
                <w:rFonts w:eastAsia="Calibri"/>
                <w:color w:val="000000"/>
                <w:sz w:val="22"/>
              </w:rPr>
              <w:t>The Crown</w:t>
            </w:r>
          </w:p>
        </w:tc>
        <w:tc>
          <w:tcPr>
            <w:tcW w:w="4394" w:type="dxa"/>
            <w:shd w:val="clear" w:color="auto" w:fill="auto"/>
          </w:tcPr>
          <w:p w14:paraId="129652B9" w14:textId="006E8D3E" w:rsidR="00636AF5" w:rsidRDefault="000A3AA6" w:rsidP="00694DC2">
            <w:pPr>
              <w:pStyle w:val="TableText"/>
              <w:rPr>
                <w:rFonts w:eastAsia="Calibri"/>
                <w:sz w:val="22"/>
              </w:rPr>
            </w:pPr>
            <w:r>
              <w:rPr>
                <w:rFonts w:eastAsia="Calibri"/>
                <w:sz w:val="22"/>
              </w:rPr>
              <w:t xml:space="preserve">Penalties </w:t>
            </w:r>
            <w:r w:rsidR="00636AF5">
              <w:rPr>
                <w:rFonts w:eastAsia="Calibri"/>
                <w:sz w:val="22"/>
              </w:rPr>
              <w:t xml:space="preserve">from voluntary disclosures </w:t>
            </w:r>
            <w:r w:rsidR="00AF3AF7">
              <w:rPr>
                <w:rFonts w:eastAsia="Calibri"/>
                <w:sz w:val="22"/>
              </w:rPr>
              <w:t>that</w:t>
            </w:r>
            <w:r w:rsidR="00636AF5">
              <w:rPr>
                <w:rFonts w:eastAsia="Calibri"/>
                <w:sz w:val="22"/>
              </w:rPr>
              <w:t xml:space="preserve"> have not met the necessary criteria to </w:t>
            </w:r>
            <w:r w:rsidR="003E1C62">
              <w:rPr>
                <w:rFonts w:eastAsia="Calibri"/>
                <w:sz w:val="22"/>
              </w:rPr>
              <w:t>use</w:t>
            </w:r>
            <w:r w:rsidR="00636AF5">
              <w:rPr>
                <w:rFonts w:eastAsia="Calibri"/>
                <w:sz w:val="22"/>
              </w:rPr>
              <w:t xml:space="preserve"> tax pooling in these instances would increase the amounts collected by the </w:t>
            </w:r>
            <w:r w:rsidR="00BD6738">
              <w:rPr>
                <w:rFonts w:eastAsia="Calibri"/>
                <w:sz w:val="22"/>
              </w:rPr>
              <w:t>Inland Revenue and therefore the Crown</w:t>
            </w:r>
            <w:r w:rsidR="00636AF5">
              <w:rPr>
                <w:rFonts w:eastAsia="Calibri"/>
                <w:sz w:val="22"/>
              </w:rPr>
              <w:t>.</w:t>
            </w:r>
          </w:p>
        </w:tc>
        <w:tc>
          <w:tcPr>
            <w:tcW w:w="2585" w:type="dxa"/>
            <w:shd w:val="clear" w:color="auto" w:fill="auto"/>
          </w:tcPr>
          <w:p w14:paraId="2BF04EE3" w14:textId="132E4721" w:rsidR="00636AF5" w:rsidRDefault="00636AF5" w:rsidP="00694DC2">
            <w:pPr>
              <w:pStyle w:val="TableText"/>
              <w:rPr>
                <w:rFonts w:eastAsia="Calibri"/>
                <w:sz w:val="22"/>
              </w:rPr>
            </w:pPr>
            <w:r>
              <w:rPr>
                <w:rFonts w:eastAsia="Calibri"/>
                <w:sz w:val="22"/>
              </w:rPr>
              <w:t xml:space="preserve">Low - as a small demographic of an already small demographic increase, the income increase would be </w:t>
            </w:r>
            <w:r w:rsidR="00BE3B3B">
              <w:rPr>
                <w:rFonts w:eastAsia="Calibri"/>
                <w:sz w:val="22"/>
              </w:rPr>
              <w:t xml:space="preserve">equally </w:t>
            </w:r>
            <w:r>
              <w:rPr>
                <w:rFonts w:eastAsia="Calibri"/>
                <w:sz w:val="22"/>
              </w:rPr>
              <w:t>small.</w:t>
            </w:r>
          </w:p>
        </w:tc>
      </w:tr>
      <w:tr w:rsidR="00380585" w:rsidRPr="0069218C" w14:paraId="7DFE3740" w14:textId="77777777" w:rsidTr="00BB4EA2">
        <w:trPr>
          <w:trHeight w:val="253"/>
        </w:trPr>
        <w:tc>
          <w:tcPr>
            <w:tcW w:w="2093" w:type="dxa"/>
            <w:shd w:val="clear" w:color="auto" w:fill="auto"/>
          </w:tcPr>
          <w:p w14:paraId="5AE97A8A" w14:textId="77777777" w:rsidR="00380585" w:rsidRPr="0069218C" w:rsidRDefault="00380585" w:rsidP="002127DC">
            <w:pPr>
              <w:pStyle w:val="TableText"/>
              <w:rPr>
                <w:rFonts w:eastAsia="Calibri"/>
                <w:b/>
                <w:sz w:val="22"/>
              </w:rPr>
            </w:pPr>
            <w:r w:rsidRPr="0069218C">
              <w:rPr>
                <w:rFonts w:eastAsia="Calibri"/>
                <w:b/>
                <w:sz w:val="22"/>
              </w:rPr>
              <w:t>Total Monetised  Benefit</w:t>
            </w:r>
          </w:p>
        </w:tc>
        <w:tc>
          <w:tcPr>
            <w:tcW w:w="4394" w:type="dxa"/>
            <w:shd w:val="clear" w:color="auto" w:fill="auto"/>
          </w:tcPr>
          <w:p w14:paraId="4A0ED95F" w14:textId="77777777" w:rsidR="00380585" w:rsidRPr="00BE3B3B" w:rsidRDefault="00380585" w:rsidP="002127DC">
            <w:pPr>
              <w:pStyle w:val="TableText"/>
              <w:rPr>
                <w:rFonts w:eastAsia="Calibri"/>
                <w:iCs/>
                <w:sz w:val="22"/>
              </w:rPr>
            </w:pPr>
          </w:p>
        </w:tc>
        <w:tc>
          <w:tcPr>
            <w:tcW w:w="2585" w:type="dxa"/>
            <w:shd w:val="clear" w:color="auto" w:fill="auto"/>
          </w:tcPr>
          <w:p w14:paraId="36B5F82A" w14:textId="67092F7C" w:rsidR="00380585" w:rsidRPr="00BE3B3B" w:rsidRDefault="00BE3B3B" w:rsidP="002127DC">
            <w:pPr>
              <w:pStyle w:val="TableText"/>
              <w:rPr>
                <w:rFonts w:eastAsia="Calibri"/>
                <w:iCs/>
                <w:sz w:val="22"/>
              </w:rPr>
            </w:pPr>
            <w:r w:rsidRPr="00BE3B3B">
              <w:rPr>
                <w:rFonts w:eastAsia="Calibri"/>
                <w:iCs/>
                <w:sz w:val="22"/>
              </w:rPr>
              <w:t>As noted, as costs and benefits are intrinsically linked to behavioural change it is difficult to put a value on them. Overall, the costs are likely to be low.</w:t>
            </w:r>
          </w:p>
        </w:tc>
      </w:tr>
      <w:tr w:rsidR="00380585" w:rsidRPr="0069218C" w14:paraId="4A17A07A" w14:textId="77777777" w:rsidTr="00BB4EA2">
        <w:trPr>
          <w:trHeight w:val="253"/>
        </w:trPr>
        <w:tc>
          <w:tcPr>
            <w:tcW w:w="2093" w:type="dxa"/>
            <w:shd w:val="clear" w:color="auto" w:fill="auto"/>
          </w:tcPr>
          <w:p w14:paraId="1C9A83D8" w14:textId="77777777" w:rsidR="00380585" w:rsidRPr="0069218C" w:rsidRDefault="00380585" w:rsidP="002127DC">
            <w:pPr>
              <w:pStyle w:val="TableText"/>
              <w:rPr>
                <w:rFonts w:eastAsia="Calibri"/>
                <w:b/>
                <w:sz w:val="22"/>
              </w:rPr>
            </w:pPr>
            <w:r w:rsidRPr="0069218C">
              <w:rPr>
                <w:rFonts w:eastAsia="Calibri"/>
                <w:b/>
                <w:sz w:val="22"/>
              </w:rPr>
              <w:t>Non-monetised benefits</w:t>
            </w:r>
          </w:p>
        </w:tc>
        <w:tc>
          <w:tcPr>
            <w:tcW w:w="4394" w:type="dxa"/>
            <w:shd w:val="clear" w:color="auto" w:fill="auto"/>
          </w:tcPr>
          <w:p w14:paraId="6EC0B707" w14:textId="77777777" w:rsidR="00380585" w:rsidRPr="00BE3B3B" w:rsidRDefault="00380585" w:rsidP="002127DC">
            <w:pPr>
              <w:pStyle w:val="TableText"/>
              <w:rPr>
                <w:rFonts w:eastAsia="Calibri"/>
                <w:iCs/>
                <w:sz w:val="22"/>
              </w:rPr>
            </w:pPr>
          </w:p>
        </w:tc>
        <w:tc>
          <w:tcPr>
            <w:tcW w:w="2585" w:type="dxa"/>
            <w:shd w:val="clear" w:color="auto" w:fill="auto"/>
          </w:tcPr>
          <w:p w14:paraId="723A8545" w14:textId="67EC708E" w:rsidR="00380585" w:rsidRPr="00BE3B3B" w:rsidRDefault="00BE3B3B" w:rsidP="002127DC">
            <w:pPr>
              <w:pStyle w:val="TableText"/>
              <w:rPr>
                <w:rFonts w:eastAsia="Calibri"/>
                <w:iCs/>
                <w:sz w:val="22"/>
              </w:rPr>
            </w:pPr>
            <w:r w:rsidRPr="00BE3B3B">
              <w:rPr>
                <w:rFonts w:eastAsia="Calibri"/>
                <w:iCs/>
                <w:sz w:val="22"/>
              </w:rPr>
              <w:t>Medium</w:t>
            </w:r>
          </w:p>
        </w:tc>
      </w:tr>
    </w:tbl>
    <w:p w14:paraId="1185774B" w14:textId="3C55850E" w:rsidR="00C77099" w:rsidRPr="00886DFF" w:rsidRDefault="005744B1" w:rsidP="005744B1">
      <w:pPr>
        <w:rPr>
          <w:rFonts w:cs="Arial"/>
          <w:i/>
          <w:color w:val="000000"/>
          <w:szCs w:val="22"/>
          <w:lang w:eastAsia="en-AU"/>
        </w:rPr>
      </w:pPr>
      <w:r>
        <w:br w:type="page"/>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C77099" w:rsidRPr="0069218C" w14:paraId="176D43DC" w14:textId="77777777" w:rsidTr="00BB4EA2">
        <w:trPr>
          <w:trHeight w:val="77"/>
        </w:trPr>
        <w:tc>
          <w:tcPr>
            <w:tcW w:w="5000" w:type="pct"/>
            <w:shd w:val="clear" w:color="auto" w:fill="99CDDD"/>
            <w:hideMark/>
          </w:tcPr>
          <w:p w14:paraId="483E41C0" w14:textId="77777777" w:rsidR="00C77099" w:rsidRPr="00886DFF" w:rsidRDefault="00D9793F" w:rsidP="00EC6FAD">
            <w:pPr>
              <w:pStyle w:val="TableHeadings"/>
              <w:rPr>
                <w:szCs w:val="22"/>
                <w:lang w:val="en-NZ"/>
              </w:rPr>
            </w:pPr>
            <w:r w:rsidRPr="00886DFF">
              <w:rPr>
                <w:szCs w:val="22"/>
                <w:lang w:val="en-NZ"/>
              </w:rPr>
              <w:t>4</w:t>
            </w:r>
            <w:r w:rsidR="00C77099" w:rsidRPr="00886DFF">
              <w:rPr>
                <w:szCs w:val="22"/>
                <w:lang w:val="en-NZ"/>
              </w:rPr>
              <w:t xml:space="preserve">.2   What other impacts is this </w:t>
            </w:r>
            <w:r w:rsidR="002D63C9" w:rsidRPr="00886DFF">
              <w:rPr>
                <w:szCs w:val="22"/>
                <w:lang w:val="en-NZ"/>
              </w:rPr>
              <w:t>approach</w:t>
            </w:r>
            <w:r w:rsidR="00C77099" w:rsidRPr="00886DFF">
              <w:rPr>
                <w:szCs w:val="22"/>
                <w:lang w:val="en-NZ"/>
              </w:rPr>
              <w:t xml:space="preserve"> likely to have?</w:t>
            </w:r>
          </w:p>
        </w:tc>
      </w:tr>
      <w:tr w:rsidR="00A552DC" w:rsidRPr="0069218C" w14:paraId="280871FA" w14:textId="77777777" w:rsidTr="0055236B">
        <w:trPr>
          <w:trHeight w:val="1777"/>
        </w:trPr>
        <w:tc>
          <w:tcPr>
            <w:tcW w:w="5000" w:type="pct"/>
            <w:shd w:val="clear" w:color="auto" w:fill="auto"/>
          </w:tcPr>
          <w:p w14:paraId="3A5D4AB9" w14:textId="5110456D" w:rsidR="000535CE" w:rsidRPr="0069218C" w:rsidRDefault="00076648" w:rsidP="00E36B16">
            <w:pPr>
              <w:jc w:val="both"/>
              <w:rPr>
                <w:rFonts w:cs="Arial"/>
                <w:szCs w:val="22"/>
              </w:rPr>
            </w:pPr>
            <w:r>
              <w:t xml:space="preserve">Inherent </w:t>
            </w:r>
            <w:r w:rsidR="001A534F">
              <w:t>in</w:t>
            </w:r>
            <w:r>
              <w:t xml:space="preserve"> this change is that, by increasing voluntary disclosures that are </w:t>
            </w:r>
            <w:r w:rsidR="007940FF">
              <w:t>influenced by the ability to use tax pooling, the use of tax pooling is also likely to increase.</w:t>
            </w:r>
            <w:r w:rsidR="00CF5218">
              <w:t xml:space="preserve"> This is not inherently either negative or positive, </w:t>
            </w:r>
            <w:r w:rsidR="000204BD">
              <w:t xml:space="preserve">however it may be worth noting that </w:t>
            </w:r>
            <w:r w:rsidR="00A76B6A">
              <w:t>the funds available via tax pooling are finite (</w:t>
            </w:r>
            <w:r w:rsidR="002E601E">
              <w:t>i.e.</w:t>
            </w:r>
            <w:r w:rsidR="00A76B6A">
              <w:t xml:space="preserve">, funds that can be purchased are only available up to the </w:t>
            </w:r>
            <w:r w:rsidR="00184F69">
              <w:t xml:space="preserve">total </w:t>
            </w:r>
            <w:r w:rsidR="00A76B6A">
              <w:t>amount th</w:t>
            </w:r>
            <w:r w:rsidR="00184F69">
              <w:t xml:space="preserve">at has been deposited with the pool). </w:t>
            </w:r>
            <w:r w:rsidR="007053FE">
              <w:t>Increasing the ability to use tax pooling could mean that tax pool funds are not always able to meet demand.</w:t>
            </w:r>
          </w:p>
        </w:tc>
      </w:tr>
    </w:tbl>
    <w:p w14:paraId="67094455" w14:textId="77777777" w:rsidR="00B15F56" w:rsidRPr="00886DFF" w:rsidRDefault="00B15F56" w:rsidP="00B15F56">
      <w:pPr>
        <w:spacing w:after="0"/>
        <w:rPr>
          <w:rFonts w:cs="Arial"/>
          <w:i/>
          <w:color w:val="000000"/>
          <w:szCs w:val="22"/>
          <w:lang w:eastAsia="en-AU"/>
        </w:rPr>
      </w:pPr>
    </w:p>
    <w:p w14:paraId="698F59C7" w14:textId="31375EB7" w:rsidR="00051A88" w:rsidRDefault="00051A88" w:rsidP="001B4792">
      <w:pPr>
        <w:pStyle w:val="Heading2"/>
      </w:pPr>
      <w:r w:rsidRPr="002D5734">
        <w:t xml:space="preserve">Section </w:t>
      </w:r>
      <w:r w:rsidR="00C77099">
        <w:t>5</w:t>
      </w:r>
      <w:r w:rsidRPr="002D5734">
        <w:t xml:space="preserve">: Stakeholder views </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6E11335D" w14:textId="77777777" w:rsidTr="00BB4EA2">
        <w:trPr>
          <w:trHeight w:val="77"/>
        </w:trPr>
        <w:tc>
          <w:tcPr>
            <w:tcW w:w="5000" w:type="pct"/>
            <w:shd w:val="clear" w:color="auto" w:fill="99CDDD"/>
          </w:tcPr>
          <w:p w14:paraId="3B740C86" w14:textId="77777777" w:rsidR="00051A88" w:rsidRPr="00886DFF" w:rsidRDefault="00D9793F" w:rsidP="00EC6FAD">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14:paraId="69C0C9E6" w14:textId="77777777" w:rsidTr="00B7377D">
        <w:trPr>
          <w:trHeight w:val="4183"/>
        </w:trPr>
        <w:tc>
          <w:tcPr>
            <w:tcW w:w="5000" w:type="pct"/>
            <w:shd w:val="clear" w:color="auto" w:fill="auto"/>
          </w:tcPr>
          <w:p w14:paraId="79854225" w14:textId="27A2D3A3" w:rsidR="007E0019" w:rsidRDefault="007E0019" w:rsidP="0069218C">
            <w:pPr>
              <w:spacing w:after="0" w:line="276" w:lineRule="auto"/>
              <w:jc w:val="both"/>
              <w:rPr>
                <w:rFonts w:cs="Arial"/>
                <w:szCs w:val="22"/>
              </w:rPr>
            </w:pPr>
            <w:r>
              <w:rPr>
                <w:rFonts w:cs="Arial"/>
                <w:szCs w:val="22"/>
              </w:rPr>
              <w:t>This is a discrete issue and, as noted above, due to the nature of those likely to benefit</w:t>
            </w:r>
            <w:r w:rsidR="001A534F">
              <w:rPr>
                <w:rFonts w:cs="Arial"/>
                <w:szCs w:val="22"/>
              </w:rPr>
              <w:t xml:space="preserve"> from it,</w:t>
            </w:r>
            <w:r>
              <w:rPr>
                <w:rFonts w:cs="Arial"/>
                <w:szCs w:val="22"/>
              </w:rPr>
              <w:t xml:space="preserve"> it is difficult to effectively target consultation.</w:t>
            </w:r>
          </w:p>
          <w:p w14:paraId="3BC4D258" w14:textId="77777777" w:rsidR="007E0019" w:rsidRDefault="007E0019" w:rsidP="0069218C">
            <w:pPr>
              <w:spacing w:after="0" w:line="276" w:lineRule="auto"/>
              <w:jc w:val="both"/>
              <w:rPr>
                <w:rFonts w:cs="Arial"/>
                <w:szCs w:val="22"/>
              </w:rPr>
            </w:pPr>
          </w:p>
          <w:p w14:paraId="126D8D38" w14:textId="5D113344" w:rsidR="00F132B2" w:rsidRDefault="00D638FB" w:rsidP="0069218C">
            <w:pPr>
              <w:spacing w:after="0" w:line="276" w:lineRule="auto"/>
              <w:jc w:val="both"/>
              <w:rPr>
                <w:rFonts w:cs="Arial"/>
                <w:szCs w:val="22"/>
              </w:rPr>
            </w:pPr>
            <w:r>
              <w:rPr>
                <w:rFonts w:cs="Arial"/>
                <w:szCs w:val="22"/>
              </w:rPr>
              <w:t xml:space="preserve">In addition to internal stakeholders within Inland Revenue, entities consulted </w:t>
            </w:r>
            <w:r w:rsidR="001A534F">
              <w:rPr>
                <w:rFonts w:cs="Arial"/>
                <w:szCs w:val="22"/>
              </w:rPr>
              <w:t>we</w:t>
            </w:r>
            <w:r>
              <w:rPr>
                <w:rFonts w:cs="Arial"/>
                <w:szCs w:val="22"/>
              </w:rPr>
              <w:t>re:</w:t>
            </w:r>
          </w:p>
          <w:p w14:paraId="2244D878" w14:textId="77777777" w:rsidR="00D638FB" w:rsidRDefault="00D638FB" w:rsidP="0069218C">
            <w:pPr>
              <w:spacing w:after="0" w:line="276" w:lineRule="auto"/>
              <w:jc w:val="both"/>
              <w:rPr>
                <w:rFonts w:cs="Arial"/>
                <w:szCs w:val="22"/>
              </w:rPr>
            </w:pPr>
          </w:p>
          <w:p w14:paraId="73ADC2B2" w14:textId="6519A71F" w:rsidR="00D638FB" w:rsidRPr="00D638FB" w:rsidRDefault="00D638FB" w:rsidP="00D638FB">
            <w:pPr>
              <w:pStyle w:val="ListParagraph"/>
              <w:numPr>
                <w:ilvl w:val="0"/>
                <w:numId w:val="39"/>
              </w:numPr>
              <w:spacing w:line="276" w:lineRule="auto"/>
              <w:jc w:val="both"/>
              <w:rPr>
                <w:szCs w:val="22"/>
              </w:rPr>
            </w:pPr>
            <w:r w:rsidRPr="00D638FB">
              <w:rPr>
                <w:szCs w:val="22"/>
              </w:rPr>
              <w:t xml:space="preserve">Tax pooling </w:t>
            </w:r>
            <w:proofErr w:type="gramStart"/>
            <w:r w:rsidRPr="00D638FB">
              <w:rPr>
                <w:szCs w:val="22"/>
              </w:rPr>
              <w:t>intermediaries</w:t>
            </w:r>
            <w:r w:rsidR="000A3AA6">
              <w:rPr>
                <w:szCs w:val="22"/>
              </w:rPr>
              <w:t>;</w:t>
            </w:r>
            <w:proofErr w:type="gramEnd"/>
          </w:p>
          <w:p w14:paraId="4942F5A1" w14:textId="145A063A" w:rsidR="00D638FB" w:rsidRPr="00D638FB" w:rsidRDefault="001A534F" w:rsidP="00D638FB">
            <w:pPr>
              <w:pStyle w:val="ListParagraph"/>
              <w:numPr>
                <w:ilvl w:val="0"/>
                <w:numId w:val="39"/>
              </w:numPr>
              <w:spacing w:line="276" w:lineRule="auto"/>
              <w:jc w:val="both"/>
              <w:rPr>
                <w:szCs w:val="22"/>
              </w:rPr>
            </w:pPr>
            <w:proofErr w:type="gramStart"/>
            <w:r>
              <w:rPr>
                <w:szCs w:val="22"/>
              </w:rPr>
              <w:t>PricewaterhouseCoopers</w:t>
            </w:r>
            <w:r w:rsidR="008372F2">
              <w:rPr>
                <w:szCs w:val="22"/>
              </w:rPr>
              <w:t>;</w:t>
            </w:r>
            <w:proofErr w:type="gramEnd"/>
          </w:p>
          <w:p w14:paraId="0E0EBE6F" w14:textId="787B8C51" w:rsidR="00D638FB" w:rsidRPr="00D638FB" w:rsidRDefault="00D638FB" w:rsidP="00D638FB">
            <w:pPr>
              <w:pStyle w:val="ListParagraph"/>
              <w:numPr>
                <w:ilvl w:val="0"/>
                <w:numId w:val="39"/>
              </w:numPr>
              <w:spacing w:line="276" w:lineRule="auto"/>
              <w:jc w:val="both"/>
              <w:rPr>
                <w:szCs w:val="22"/>
              </w:rPr>
            </w:pPr>
            <w:r w:rsidRPr="00D638FB">
              <w:rPr>
                <w:szCs w:val="22"/>
              </w:rPr>
              <w:t>Chartered Accountants Australia and New Zealand</w:t>
            </w:r>
            <w:r w:rsidR="000A3AA6">
              <w:rPr>
                <w:szCs w:val="22"/>
              </w:rPr>
              <w:t>; and</w:t>
            </w:r>
          </w:p>
          <w:p w14:paraId="22FC9D48" w14:textId="6502E98B" w:rsidR="00D638FB" w:rsidRDefault="00D638FB" w:rsidP="00D638FB">
            <w:pPr>
              <w:pStyle w:val="ListParagraph"/>
              <w:numPr>
                <w:ilvl w:val="0"/>
                <w:numId w:val="39"/>
              </w:numPr>
              <w:spacing w:line="276" w:lineRule="auto"/>
              <w:jc w:val="both"/>
              <w:rPr>
                <w:szCs w:val="22"/>
              </w:rPr>
            </w:pPr>
            <w:r w:rsidRPr="00D638FB">
              <w:rPr>
                <w:szCs w:val="22"/>
              </w:rPr>
              <w:t>Corporate Taxpayer</w:t>
            </w:r>
            <w:r w:rsidR="001A534F">
              <w:rPr>
                <w:szCs w:val="22"/>
              </w:rPr>
              <w:t>s</w:t>
            </w:r>
            <w:r w:rsidR="00552FA5">
              <w:rPr>
                <w:szCs w:val="22"/>
              </w:rPr>
              <w:t xml:space="preserve"> </w:t>
            </w:r>
            <w:r w:rsidRPr="00D638FB">
              <w:rPr>
                <w:szCs w:val="22"/>
              </w:rPr>
              <w:t>Group</w:t>
            </w:r>
            <w:r w:rsidR="00B41707">
              <w:rPr>
                <w:szCs w:val="22"/>
              </w:rPr>
              <w:t>.</w:t>
            </w:r>
          </w:p>
          <w:p w14:paraId="1C282D27" w14:textId="77777777" w:rsidR="007E0019" w:rsidRDefault="007E0019" w:rsidP="00D638FB">
            <w:pPr>
              <w:spacing w:line="276" w:lineRule="auto"/>
              <w:jc w:val="both"/>
              <w:rPr>
                <w:szCs w:val="22"/>
              </w:rPr>
            </w:pPr>
          </w:p>
          <w:p w14:paraId="53FB4632" w14:textId="5CADAB7F" w:rsidR="00293D0A" w:rsidRPr="00D638FB" w:rsidRDefault="00D638FB" w:rsidP="00162E54">
            <w:pPr>
              <w:spacing w:line="276" w:lineRule="auto"/>
              <w:jc w:val="both"/>
              <w:rPr>
                <w:szCs w:val="22"/>
              </w:rPr>
            </w:pPr>
            <w:r>
              <w:rPr>
                <w:szCs w:val="22"/>
              </w:rPr>
              <w:t>Stakeholders were supportive of the problem analysis and the proposed approach.</w:t>
            </w:r>
            <w:r w:rsidR="0072176D">
              <w:rPr>
                <w:szCs w:val="22"/>
              </w:rPr>
              <w:t xml:space="preserve"> Although several of the entities listed above are tax poolers, that support for the change was </w:t>
            </w:r>
            <w:r w:rsidR="00162E54">
              <w:rPr>
                <w:szCs w:val="22"/>
              </w:rPr>
              <w:t>universal amongst those consulted</w:t>
            </w:r>
            <w:r w:rsidR="001A534F">
              <w:rPr>
                <w:szCs w:val="22"/>
              </w:rPr>
              <w:t>. This</w:t>
            </w:r>
            <w:r w:rsidR="00162E54">
              <w:rPr>
                <w:szCs w:val="22"/>
              </w:rPr>
              <w:t xml:space="preserve"> supports the view that th</w:t>
            </w:r>
            <w:r w:rsidR="001A534F">
              <w:rPr>
                <w:szCs w:val="22"/>
              </w:rPr>
              <w:t>e proposed option</w:t>
            </w:r>
            <w:r w:rsidR="00162E54">
              <w:rPr>
                <w:szCs w:val="22"/>
              </w:rPr>
              <w:t xml:space="preserve"> is a positive change that will benefit taxpayers and the wider tax system.</w:t>
            </w:r>
            <w:r>
              <w:rPr>
                <w:szCs w:val="22"/>
              </w:rPr>
              <w:t xml:space="preserve"> </w:t>
            </w:r>
            <w:r w:rsidR="007E0019">
              <w:rPr>
                <w:szCs w:val="22"/>
              </w:rPr>
              <w:t xml:space="preserve">Overall, all are satisfied </w:t>
            </w:r>
            <w:r w:rsidR="007E0019" w:rsidRPr="007E0019">
              <w:rPr>
                <w:szCs w:val="22"/>
              </w:rPr>
              <w:t xml:space="preserve">that the proposed change will realise the intended benefits and is </w:t>
            </w:r>
            <w:r w:rsidR="001A534F">
              <w:rPr>
                <w:szCs w:val="22"/>
              </w:rPr>
              <w:t xml:space="preserve">adequately </w:t>
            </w:r>
            <w:r w:rsidR="007E0019" w:rsidRPr="007E0019">
              <w:rPr>
                <w:szCs w:val="22"/>
              </w:rPr>
              <w:t>balanced against the risk of exploitation and potential fiscal impacts</w:t>
            </w:r>
            <w:r w:rsidR="007E0019">
              <w:rPr>
                <w:szCs w:val="22"/>
              </w:rPr>
              <w:t>.</w:t>
            </w:r>
          </w:p>
        </w:tc>
      </w:tr>
    </w:tbl>
    <w:p w14:paraId="240E5F50" w14:textId="508C638A" w:rsidR="00EE4E3B" w:rsidRPr="008A6442" w:rsidRDefault="00D9793F" w:rsidP="001B4792">
      <w:pPr>
        <w:pStyle w:val="Heading2"/>
      </w:pPr>
      <w:r w:rsidRPr="0069218C">
        <w:rPr>
          <w:lang w:val="en-NZ"/>
        </w:rPr>
        <w:br w:type="page"/>
      </w:r>
      <w:r w:rsidR="00EE4E3B" w:rsidRPr="002D5734">
        <w:t xml:space="preserve">Section </w:t>
      </w:r>
      <w:r w:rsidR="0033708B" w:rsidRPr="002D5734">
        <w:t>6</w:t>
      </w:r>
      <w:r w:rsidR="00EE4E3B" w:rsidRPr="002D5734">
        <w:t xml:space="preserve">: </w:t>
      </w:r>
      <w:r w:rsidR="0033708B" w:rsidRPr="002D5734">
        <w:t>Implementation and o</w:t>
      </w:r>
      <w:r w:rsidR="005D5BF0" w:rsidRPr="002D5734">
        <w:t xml:space="preserve">peration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2D5734" w:rsidRPr="0069218C" w14:paraId="6BF52C29" w14:textId="77777777" w:rsidTr="00BB4EA2">
        <w:trPr>
          <w:trHeight w:val="197"/>
        </w:trPr>
        <w:tc>
          <w:tcPr>
            <w:tcW w:w="9072" w:type="dxa"/>
            <w:shd w:val="clear" w:color="auto" w:fill="99CDDD"/>
            <w:hideMark/>
          </w:tcPr>
          <w:p w14:paraId="566B42F9" w14:textId="77777777" w:rsidR="00EE4E3B" w:rsidRPr="00886DFF" w:rsidRDefault="00EE4E3B" w:rsidP="00B952B7">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14:paraId="2D716B3F" w14:textId="77777777" w:rsidTr="0055236B">
        <w:trPr>
          <w:trHeight w:val="2857"/>
        </w:trPr>
        <w:tc>
          <w:tcPr>
            <w:tcW w:w="9072" w:type="dxa"/>
            <w:shd w:val="clear" w:color="auto" w:fill="auto"/>
          </w:tcPr>
          <w:p w14:paraId="2A4B30ED" w14:textId="0C9DB632" w:rsidR="00F132B2" w:rsidRPr="0069218C" w:rsidRDefault="003E5F31" w:rsidP="00E6054D">
            <w:r>
              <w:t>A legislative change is required to give effect to this change.</w:t>
            </w:r>
          </w:p>
          <w:p w14:paraId="234462AD" w14:textId="0D990B78" w:rsidR="00F132B2" w:rsidRDefault="0055236B" w:rsidP="0069218C">
            <w:pPr>
              <w:spacing w:after="0" w:line="276" w:lineRule="auto"/>
              <w:jc w:val="both"/>
              <w:rPr>
                <w:rFonts w:cs="Arial"/>
                <w:szCs w:val="22"/>
              </w:rPr>
            </w:pPr>
            <w:r>
              <w:rPr>
                <w:rFonts w:cs="Arial"/>
                <w:szCs w:val="22"/>
              </w:rPr>
              <w:t xml:space="preserve">Once legislated, a number of focussed system changes would be required. These </w:t>
            </w:r>
            <w:r w:rsidR="001A534F">
              <w:rPr>
                <w:rFonts w:cs="Arial"/>
                <w:szCs w:val="22"/>
              </w:rPr>
              <w:t>involve</w:t>
            </w:r>
            <w:r>
              <w:rPr>
                <w:rFonts w:cs="Arial"/>
                <w:szCs w:val="22"/>
              </w:rPr>
              <w:t xml:space="preserve"> the extension of existing settings</w:t>
            </w:r>
            <w:r w:rsidR="001A534F">
              <w:rPr>
                <w:rFonts w:cs="Arial"/>
                <w:szCs w:val="22"/>
              </w:rPr>
              <w:t>,</w:t>
            </w:r>
            <w:r>
              <w:rPr>
                <w:rFonts w:cs="Arial"/>
                <w:szCs w:val="22"/>
              </w:rPr>
              <w:t xml:space="preserve"> and implementation risks are therefore minimal.</w:t>
            </w:r>
          </w:p>
          <w:p w14:paraId="01E051D1" w14:textId="77777777" w:rsidR="0055236B" w:rsidRDefault="0055236B" w:rsidP="0069218C">
            <w:pPr>
              <w:spacing w:after="0" w:line="276" w:lineRule="auto"/>
              <w:jc w:val="both"/>
              <w:rPr>
                <w:rFonts w:cs="Arial"/>
                <w:szCs w:val="22"/>
              </w:rPr>
            </w:pPr>
          </w:p>
          <w:p w14:paraId="2147D7C6" w14:textId="77777777" w:rsidR="0055236B" w:rsidRDefault="0055236B" w:rsidP="0069218C">
            <w:pPr>
              <w:spacing w:after="0" w:line="276" w:lineRule="auto"/>
              <w:jc w:val="both"/>
              <w:rPr>
                <w:rFonts w:cs="Arial"/>
                <w:szCs w:val="22"/>
              </w:rPr>
            </w:pPr>
            <w:r>
              <w:rPr>
                <w:rFonts w:cs="Arial"/>
                <w:szCs w:val="22"/>
              </w:rPr>
              <w:t>Inland Revenue would be responsible for the ongoing operation and enforcement of changes.</w:t>
            </w:r>
          </w:p>
          <w:p w14:paraId="597E2547" w14:textId="77777777" w:rsidR="0055236B" w:rsidRDefault="0055236B" w:rsidP="0069218C">
            <w:pPr>
              <w:spacing w:after="0" w:line="276" w:lineRule="auto"/>
              <w:jc w:val="both"/>
              <w:rPr>
                <w:rFonts w:cs="Arial"/>
                <w:szCs w:val="22"/>
              </w:rPr>
            </w:pPr>
          </w:p>
          <w:p w14:paraId="21A0B5F6" w14:textId="3660FB96" w:rsidR="0055236B" w:rsidRPr="0069218C" w:rsidRDefault="0055236B" w:rsidP="00766EE9">
            <w:pPr>
              <w:spacing w:after="0" w:line="276" w:lineRule="auto"/>
              <w:jc w:val="both"/>
              <w:rPr>
                <w:rFonts w:cs="Arial"/>
                <w:szCs w:val="22"/>
              </w:rPr>
            </w:pPr>
            <w:r>
              <w:rPr>
                <w:rFonts w:cs="Arial"/>
                <w:szCs w:val="22"/>
              </w:rPr>
              <w:t xml:space="preserve">The option is proposed to come into effect from </w:t>
            </w:r>
            <w:r w:rsidR="000A3AA6">
              <w:rPr>
                <w:rFonts w:cs="Arial"/>
                <w:szCs w:val="22"/>
              </w:rPr>
              <w:t>1 April</w:t>
            </w:r>
            <w:r>
              <w:rPr>
                <w:rFonts w:cs="Arial"/>
                <w:szCs w:val="22"/>
              </w:rPr>
              <w:t xml:space="preserve"> 2022.</w:t>
            </w:r>
          </w:p>
        </w:tc>
      </w:tr>
    </w:tbl>
    <w:p w14:paraId="732C114C" w14:textId="3D4BB04C" w:rsidR="00F132B2" w:rsidRPr="008A6442" w:rsidRDefault="000535CE" w:rsidP="001B4792">
      <w:pPr>
        <w:pStyle w:val="Heading2"/>
      </w:pPr>
      <w:r w:rsidRPr="0069218C">
        <w:br w:type="page"/>
      </w:r>
      <w:r w:rsidR="00F132B2" w:rsidRPr="00B952B7">
        <w:t xml:space="preserve">Section 7: Monitoring, </w:t>
      </w:r>
      <w:proofErr w:type="gramStart"/>
      <w:r w:rsidR="00F132B2" w:rsidRPr="00030EC1">
        <w:t>evalu</w:t>
      </w:r>
      <w:r w:rsidR="00F132B2" w:rsidRPr="00B952B7">
        <w:t>ation</w:t>
      </w:r>
      <w:proofErr w:type="gramEnd"/>
      <w:r w:rsidR="00F132B2" w:rsidRPr="00B952B7">
        <w:t xml:space="preserve">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346AC98F" w14:textId="77777777" w:rsidTr="00BB4EA2">
        <w:trPr>
          <w:trHeight w:val="77"/>
        </w:trPr>
        <w:tc>
          <w:tcPr>
            <w:tcW w:w="9072" w:type="dxa"/>
            <w:shd w:val="clear" w:color="auto" w:fill="99CDDD"/>
          </w:tcPr>
          <w:p w14:paraId="7CA08066" w14:textId="77777777" w:rsidR="00F132B2" w:rsidRPr="00886DFF" w:rsidRDefault="00F132B2" w:rsidP="00B952B7">
            <w:pPr>
              <w:pStyle w:val="TableHeadings"/>
              <w:rPr>
                <w:szCs w:val="22"/>
                <w:lang w:eastAsia="en-AU"/>
              </w:rPr>
            </w:pPr>
            <w:r w:rsidRPr="00886DFF">
              <w:rPr>
                <w:szCs w:val="22"/>
                <w:lang w:eastAsia="en-AU"/>
              </w:rPr>
              <w:br w:type="page"/>
              <w:t>7.1   How will the impact of the new arrangements be monitored?</w:t>
            </w:r>
          </w:p>
        </w:tc>
      </w:tr>
      <w:tr w:rsidR="00F132B2" w:rsidRPr="0069218C" w14:paraId="36694C7F" w14:textId="77777777" w:rsidTr="00766EE9">
        <w:trPr>
          <w:trHeight w:val="2696"/>
        </w:trPr>
        <w:tc>
          <w:tcPr>
            <w:tcW w:w="9072" w:type="dxa"/>
            <w:shd w:val="clear" w:color="auto" w:fill="auto"/>
          </w:tcPr>
          <w:p w14:paraId="640C4539" w14:textId="13AC7309" w:rsidR="00F132B2" w:rsidRDefault="00D638FB" w:rsidP="00E36B16">
            <w:pPr>
              <w:jc w:val="both"/>
            </w:pPr>
            <w:r>
              <w:t>The primary indicat</w:t>
            </w:r>
            <w:r w:rsidR="000A3AA6">
              <w:t>ion</w:t>
            </w:r>
            <w:r>
              <w:t xml:space="preserve"> of whether the intended outcome is achieved is if we see an increase in voluntary disclosures related to these tax types.</w:t>
            </w:r>
          </w:p>
          <w:p w14:paraId="13E9B74B" w14:textId="252CD8DF" w:rsidR="00D638FB" w:rsidRDefault="00D638FB" w:rsidP="00E36B16">
            <w:pPr>
              <w:jc w:val="both"/>
            </w:pPr>
            <w:r>
              <w:t xml:space="preserve">Data is available around those who </w:t>
            </w:r>
            <w:r w:rsidR="003E1C62">
              <w:t>use</w:t>
            </w:r>
            <w:r>
              <w:t xml:space="preserve"> tax pooling to satisfy tax liabilities arising from voluntary disclosures currently and so uptake can be monitored.</w:t>
            </w:r>
          </w:p>
          <w:p w14:paraId="45C87625" w14:textId="4359B663" w:rsidR="00F132B2" w:rsidRPr="008D7E4D" w:rsidRDefault="001A534F" w:rsidP="00E36B16">
            <w:pPr>
              <w:jc w:val="both"/>
            </w:pPr>
            <w:r>
              <w:t xml:space="preserve">Given </w:t>
            </w:r>
            <w:r w:rsidR="00D638FB">
              <w:t xml:space="preserve">who </w:t>
            </w:r>
            <w:r>
              <w:t>is</w:t>
            </w:r>
            <w:r w:rsidR="00D638FB">
              <w:t xml:space="preserve"> intended to benefit from this change (</w:t>
            </w:r>
            <w:proofErr w:type="gramStart"/>
            <w:r w:rsidR="00D638FB">
              <w:t>i</w:t>
            </w:r>
            <w:r w:rsidR="000A3AA6">
              <w:t>.</w:t>
            </w:r>
            <w:r w:rsidR="00D638FB">
              <w:t>e</w:t>
            </w:r>
            <w:r w:rsidR="000A3AA6">
              <w:t>.</w:t>
            </w:r>
            <w:proofErr w:type="gramEnd"/>
            <w:r w:rsidR="00D638FB">
              <w:t xml:space="preserve"> individuals who make an error in good faith), there should not </w:t>
            </w:r>
            <w:r>
              <w:t xml:space="preserve">be </w:t>
            </w:r>
            <w:r w:rsidR="00D638FB">
              <w:t xml:space="preserve">‘regulars’ who </w:t>
            </w:r>
            <w:r w:rsidR="003E1C62">
              <w:t>use</w:t>
            </w:r>
            <w:r w:rsidR="00D638FB">
              <w:t xml:space="preserve"> this legislation.</w:t>
            </w:r>
            <w:r w:rsidR="00E864BC">
              <w:t xml:space="preserve"> Inland Revenue collects data on who is </w:t>
            </w:r>
            <w:r w:rsidR="006D3932">
              <w:t xml:space="preserve">making voluntary disclosures and what they entail and so </w:t>
            </w:r>
            <w:r w:rsidR="00D638FB">
              <w:t>would be able to review</w:t>
            </w:r>
            <w:r w:rsidR="006D3932">
              <w:t xml:space="preserve"> </w:t>
            </w:r>
            <w:r w:rsidR="008D7E4D">
              <w:t>i</w:t>
            </w:r>
            <w:r w:rsidR="001F7571">
              <w:t xml:space="preserve">f patterns of repeat non-filing </w:t>
            </w:r>
            <w:r w:rsidR="008D7E4D">
              <w:t>followed by disclosure emerge.</w:t>
            </w:r>
          </w:p>
        </w:tc>
      </w:tr>
    </w:tbl>
    <w:p w14:paraId="00A882ED" w14:textId="77777777" w:rsidR="00F132B2" w:rsidRPr="00567434" w:rsidRDefault="00F132B2" w:rsidP="00567434">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0CCE54F4" w14:textId="77777777" w:rsidTr="00BB4EA2">
        <w:trPr>
          <w:trHeight w:val="77"/>
        </w:trPr>
        <w:tc>
          <w:tcPr>
            <w:tcW w:w="9072" w:type="dxa"/>
            <w:shd w:val="clear" w:color="auto" w:fill="99CDDD"/>
          </w:tcPr>
          <w:p w14:paraId="5BB368F5" w14:textId="77777777" w:rsidR="00F132B2" w:rsidRPr="00886DFF" w:rsidRDefault="00F132B2" w:rsidP="00EC3D8D">
            <w:pPr>
              <w:pStyle w:val="TableHeadings"/>
              <w:keepNext/>
              <w:rPr>
                <w:szCs w:val="22"/>
                <w:lang w:eastAsia="en-AU"/>
              </w:rPr>
            </w:pPr>
            <w:r w:rsidRPr="00886DFF">
              <w:rPr>
                <w:szCs w:val="22"/>
                <w:lang w:eastAsia="en-AU"/>
              </w:rPr>
              <w:br w:type="page"/>
              <w:t xml:space="preserve">7.2   When and how will the new arrangements be reviewed? </w:t>
            </w:r>
          </w:p>
        </w:tc>
      </w:tr>
      <w:tr w:rsidR="00F132B2" w:rsidRPr="0069218C" w14:paraId="687FE238" w14:textId="77777777" w:rsidTr="0055236B">
        <w:trPr>
          <w:trHeight w:val="831"/>
        </w:trPr>
        <w:tc>
          <w:tcPr>
            <w:tcW w:w="9072" w:type="dxa"/>
            <w:shd w:val="clear" w:color="auto" w:fill="auto"/>
          </w:tcPr>
          <w:p w14:paraId="376752AB" w14:textId="007D1B75" w:rsidR="00AA2A8D" w:rsidRDefault="0055236B" w:rsidP="0069218C">
            <w:pPr>
              <w:spacing w:after="0" w:line="276" w:lineRule="auto"/>
              <w:jc w:val="both"/>
              <w:rPr>
                <w:rFonts w:cs="Arial"/>
                <w:szCs w:val="22"/>
              </w:rPr>
            </w:pPr>
            <w:r>
              <w:rPr>
                <w:rFonts w:cs="Arial"/>
                <w:szCs w:val="22"/>
              </w:rPr>
              <w:t xml:space="preserve">There is no </w:t>
            </w:r>
            <w:r w:rsidR="00AA2A8D">
              <w:rPr>
                <w:rFonts w:cs="Arial"/>
                <w:szCs w:val="22"/>
              </w:rPr>
              <w:t xml:space="preserve">specific </w:t>
            </w:r>
            <w:r>
              <w:rPr>
                <w:rFonts w:cs="Arial"/>
                <w:szCs w:val="22"/>
              </w:rPr>
              <w:t xml:space="preserve">plan to review this legislation. However, </w:t>
            </w:r>
            <w:r w:rsidR="00AA2A8D">
              <w:rPr>
                <w:rFonts w:cs="Arial"/>
                <w:szCs w:val="22"/>
              </w:rPr>
              <w:t xml:space="preserve">Inland Revenue is in regular and ongoing engagement with </w:t>
            </w:r>
            <w:r w:rsidR="004B2C48">
              <w:rPr>
                <w:rFonts w:cs="Arial"/>
                <w:szCs w:val="22"/>
              </w:rPr>
              <w:t xml:space="preserve">the wider tax advisory </w:t>
            </w:r>
            <w:proofErr w:type="gramStart"/>
            <w:r w:rsidR="004B2C48">
              <w:rPr>
                <w:rFonts w:cs="Arial"/>
                <w:szCs w:val="22"/>
              </w:rPr>
              <w:t>community</w:t>
            </w:r>
            <w:proofErr w:type="gramEnd"/>
            <w:r w:rsidR="004B2C48">
              <w:rPr>
                <w:rFonts w:cs="Arial"/>
                <w:szCs w:val="22"/>
              </w:rPr>
              <w:t xml:space="preserve"> and it is likely that members will be a proactive and effective source of feedback on the operation of the change.</w:t>
            </w:r>
          </w:p>
          <w:p w14:paraId="23832946" w14:textId="77777777" w:rsidR="00AA2A8D" w:rsidRDefault="00AA2A8D" w:rsidP="0069218C">
            <w:pPr>
              <w:spacing w:after="0" w:line="276" w:lineRule="auto"/>
              <w:jc w:val="both"/>
              <w:rPr>
                <w:rFonts w:cs="Arial"/>
                <w:szCs w:val="22"/>
              </w:rPr>
            </w:pPr>
          </w:p>
          <w:p w14:paraId="214829FF" w14:textId="05182099" w:rsidR="00B94B78" w:rsidRPr="00766EE9" w:rsidRDefault="00AA2A8D" w:rsidP="00766EE9">
            <w:pPr>
              <w:spacing w:after="0" w:line="276" w:lineRule="auto"/>
              <w:jc w:val="both"/>
              <w:rPr>
                <w:rFonts w:cs="Arial"/>
                <w:szCs w:val="22"/>
              </w:rPr>
            </w:pPr>
            <w:r>
              <w:rPr>
                <w:rFonts w:cs="Arial"/>
                <w:szCs w:val="22"/>
              </w:rPr>
              <w:t xml:space="preserve">Additionally, </w:t>
            </w:r>
            <w:r w:rsidR="0055236B">
              <w:rPr>
                <w:rFonts w:cs="Arial"/>
                <w:szCs w:val="22"/>
              </w:rPr>
              <w:t xml:space="preserve">in light of the monitoring outlined above, the changes will be reviewed where </w:t>
            </w:r>
            <w:r w:rsidR="00D638FB">
              <w:rPr>
                <w:rFonts w:cs="Arial"/>
                <w:szCs w:val="22"/>
              </w:rPr>
              <w:t xml:space="preserve">voluntary disclosures under the new legislation increase significantly, a number of taxpayers are found to </w:t>
            </w:r>
            <w:r w:rsidR="003E1C62">
              <w:rPr>
                <w:rFonts w:cs="Arial"/>
                <w:szCs w:val="22"/>
              </w:rPr>
              <w:t>use</w:t>
            </w:r>
            <w:r w:rsidR="00D638FB">
              <w:rPr>
                <w:rFonts w:cs="Arial"/>
                <w:szCs w:val="22"/>
              </w:rPr>
              <w:t xml:space="preserve"> the legislation repeatedly or, conversely, where the legislation does not appear to be </w:t>
            </w:r>
            <w:r w:rsidR="003E1C62">
              <w:rPr>
                <w:rFonts w:cs="Arial"/>
                <w:szCs w:val="22"/>
              </w:rPr>
              <w:t>use</w:t>
            </w:r>
            <w:r w:rsidR="00D638FB">
              <w:rPr>
                <w:rFonts w:cs="Arial"/>
                <w:szCs w:val="22"/>
              </w:rPr>
              <w:t>d at all.</w:t>
            </w:r>
          </w:p>
        </w:tc>
      </w:tr>
    </w:tbl>
    <w:p w14:paraId="0D165C3B" w14:textId="77777777" w:rsidR="00C2708A" w:rsidRPr="00B47208" w:rsidRDefault="00C2708A" w:rsidP="00B47208">
      <w:pPr>
        <w:pStyle w:val="spacer"/>
      </w:pPr>
    </w:p>
    <w:sectPr w:rsidR="00C2708A" w:rsidRPr="00B47208" w:rsidSect="00B952B7">
      <w:headerReference w:type="default" r:id="rId7"/>
      <w:footerReference w:type="default" r:id="rId8"/>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EA29" w14:textId="77777777" w:rsidR="00BA2CD0" w:rsidRDefault="00BA2CD0">
      <w:pPr>
        <w:spacing w:after="0" w:line="240" w:lineRule="auto"/>
      </w:pPr>
      <w:r>
        <w:separator/>
      </w:r>
    </w:p>
  </w:endnote>
  <w:endnote w:type="continuationSeparator" w:id="0">
    <w:p w14:paraId="1C894DC0" w14:textId="77777777" w:rsidR="00BA2CD0" w:rsidRDefault="00BA2CD0">
      <w:pPr>
        <w:spacing w:after="0" w:line="240" w:lineRule="auto"/>
      </w:pPr>
      <w:r>
        <w:continuationSeparator/>
      </w:r>
    </w:p>
  </w:endnote>
  <w:endnote w:type="continuationNotice" w:id="1">
    <w:p w14:paraId="5A4CE689" w14:textId="77777777" w:rsidR="00BA2CD0" w:rsidRDefault="00BA2C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9442" w14:textId="18CB1A4A" w:rsidR="0055236B" w:rsidRPr="00957BC2" w:rsidRDefault="0055236B" w:rsidP="002127DC">
    <w:pPr>
      <w:pStyle w:val="Footer"/>
    </w:pPr>
    <w:r>
      <w:rPr>
        <w:sz w:val="14"/>
      </w:rPr>
      <w:tab/>
    </w:r>
    <w:r w:rsidRPr="00957BC2">
      <w:t xml:space="preserve">  Impact Summary</w:t>
    </w:r>
    <w:r>
      <w:t xml:space="preserve"> Template</w:t>
    </w:r>
    <w:r w:rsidRPr="00957BC2">
      <w:t xml:space="preserve">   |   </w:t>
    </w:r>
    <w:r w:rsidRPr="00957BC2">
      <w:fldChar w:fldCharType="begin"/>
    </w:r>
    <w:r w:rsidRPr="00957BC2">
      <w:instrText xml:space="preserve"> PAGE </w:instrText>
    </w:r>
    <w:r w:rsidRPr="00957BC2">
      <w:fldChar w:fldCharType="separate"/>
    </w:r>
    <w:r>
      <w:t>1</w:t>
    </w:r>
    <w:r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A283" w14:textId="77777777" w:rsidR="00BA2CD0" w:rsidRDefault="00BA2CD0">
      <w:pPr>
        <w:spacing w:after="0" w:line="240" w:lineRule="auto"/>
      </w:pPr>
      <w:r>
        <w:separator/>
      </w:r>
    </w:p>
  </w:footnote>
  <w:footnote w:type="continuationSeparator" w:id="0">
    <w:p w14:paraId="379F0014" w14:textId="77777777" w:rsidR="00BA2CD0" w:rsidRDefault="00BA2CD0">
      <w:pPr>
        <w:spacing w:after="0" w:line="240" w:lineRule="auto"/>
      </w:pPr>
      <w:r>
        <w:continuationSeparator/>
      </w:r>
    </w:p>
  </w:footnote>
  <w:footnote w:type="continuationNotice" w:id="1">
    <w:p w14:paraId="54F19FBE" w14:textId="77777777" w:rsidR="00BA2CD0" w:rsidRDefault="00BA2C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9DBC" w14:textId="13FAC60E" w:rsidR="0055236B" w:rsidRPr="00EB1B21" w:rsidRDefault="0055236B" w:rsidP="00784C66">
    <w:pPr>
      <w:tabs>
        <w:tab w:val="center" w:pos="4253"/>
      </w:tabs>
      <w:rPr>
        <w:b/>
      </w:rPr>
    </w:pPr>
    <w:r>
      <w:rPr>
        <w:noProof/>
      </w:rPr>
      <mc:AlternateContent>
        <mc:Choice Requires="wps">
          <w:drawing>
            <wp:anchor distT="0" distB="0" distL="114300" distR="114300" simplePos="0" relativeHeight="251659264" behindDoc="0" locked="0" layoutInCell="0" allowOverlap="1" wp14:anchorId="168CB685" wp14:editId="102AF5C8">
              <wp:simplePos x="0" y="0"/>
              <wp:positionH relativeFrom="page">
                <wp:posOffset>0</wp:posOffset>
              </wp:positionH>
              <wp:positionV relativeFrom="page">
                <wp:posOffset>190500</wp:posOffset>
              </wp:positionV>
              <wp:extent cx="7560310" cy="271780"/>
              <wp:effectExtent l="0" t="0" r="0" b="13970"/>
              <wp:wrapNone/>
              <wp:docPr id="1" name="MSIPCM7fb246d58bf6dfa72d4ef59b" descr="{&quot;HashCode&quot;:13051067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5B2055" w14:textId="7EAF58EB" w:rsidR="0055236B" w:rsidRPr="00A91FED" w:rsidRDefault="00A91FED" w:rsidP="00A91FED">
                          <w:pPr>
                            <w:spacing w:after="0"/>
                            <w:jc w:val="center"/>
                            <w:rPr>
                              <w:rFonts w:ascii="Verdana" w:hAnsi="Verdana"/>
                              <w:color w:val="000000"/>
                              <w:sz w:val="20"/>
                            </w:rPr>
                          </w:pPr>
                          <w:r w:rsidRPr="00A91FED">
                            <w:rPr>
                              <w:rFonts w:ascii="Verdana" w:hAnsi="Verdana"/>
                              <w:color w:val="000000"/>
                              <w:sz w:val="2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8CB685" id="_x0000_t202" coordsize="21600,21600" o:spt="202" path="m,l,21600r21600,l21600,xe">
              <v:stroke joinstyle="miter"/>
              <v:path gradientshapeok="t" o:connecttype="rect"/>
            </v:shapetype>
            <v:shape id="MSIPCM7fb246d58bf6dfa72d4ef59b" o:spid="_x0000_s1026" type="#_x0000_t202" alt="{&quot;HashCode&quot;:1305106702,&quot;Height&quot;:841.0,&quot;Width&quot;:595.0,&quot;Placement&quot;:&quot;Header&quot;,&quot;Index&quot;:&quot;Primary&quot;,&quot;Section&quot;:1,&quot;Top&quot;:0.0,&quot;Left&quot;:0.0}" style="position:absolute;margin-left:0;margin-top:15pt;width:595.3pt;height:21.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" o:allowincell="f" filled="f" stroked="f" strokeweight=".5pt">
              <v:textbox inset=",0,,0">
                <w:txbxContent>
                  <w:p w14:paraId="5C5B2055" w14:textId="7EAF58EB" w:rsidR="0055236B" w:rsidRPr="00A91FED" w:rsidRDefault="00A91FED" w:rsidP="00A91FED">
                    <w:pPr>
                      <w:spacing w:after="0"/>
                      <w:jc w:val="center"/>
                      <w:rPr>
                        <w:rFonts w:ascii="Verdana" w:hAnsi="Verdana"/>
                        <w:color w:val="000000"/>
                        <w:sz w:val="20"/>
                      </w:rPr>
                    </w:pPr>
                    <w:r w:rsidRPr="00A91FED">
                      <w:rPr>
                        <w:rFonts w:ascii="Verdana" w:hAnsi="Verdana"/>
                        <w:color w:val="000000"/>
                        <w:sz w:val="20"/>
                      </w:rPr>
                      <w:t xml:space="preserve">[IN CONFIDENCE] </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12602368"/>
    <w:multiLevelType w:val="multilevel"/>
    <w:tmpl w:val="FD844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C65AC"/>
    <w:multiLevelType w:val="multilevel"/>
    <w:tmpl w:val="70C2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2AB3A99"/>
    <w:multiLevelType w:val="multilevel"/>
    <w:tmpl w:val="6C8A7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8"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8C20B0"/>
    <w:multiLevelType w:val="hybridMultilevel"/>
    <w:tmpl w:val="68B8F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8CA53B5"/>
    <w:multiLevelType w:val="hybridMultilevel"/>
    <w:tmpl w:val="0590C0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8DE5A8D"/>
    <w:multiLevelType w:val="hybridMultilevel"/>
    <w:tmpl w:val="474CBF86"/>
    <w:lvl w:ilvl="0" w:tplc="0EBA6BEA">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5C73399"/>
    <w:multiLevelType w:val="hybridMultilevel"/>
    <w:tmpl w:val="67B60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CA63506"/>
    <w:multiLevelType w:val="multilevel"/>
    <w:tmpl w:val="BEE28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4"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5"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2"/>
  </w:num>
  <w:num w:numId="4">
    <w:abstractNumId w:val="11"/>
  </w:num>
  <w:num w:numId="5">
    <w:abstractNumId w:val="33"/>
  </w:num>
  <w:num w:numId="6">
    <w:abstractNumId w:val="28"/>
  </w:num>
  <w:num w:numId="7">
    <w:abstractNumId w:val="10"/>
  </w:num>
  <w:num w:numId="8">
    <w:abstractNumId w:val="15"/>
  </w:num>
  <w:num w:numId="9">
    <w:abstractNumId w:val="6"/>
  </w:num>
  <w:num w:numId="10">
    <w:abstractNumId w:val="21"/>
  </w:num>
  <w:num w:numId="11">
    <w:abstractNumId w:val="26"/>
  </w:num>
  <w:num w:numId="12">
    <w:abstractNumId w:val="4"/>
  </w:num>
  <w:num w:numId="13">
    <w:abstractNumId w:val="8"/>
  </w:num>
  <w:num w:numId="14">
    <w:abstractNumId w:val="16"/>
  </w:num>
  <w:num w:numId="15">
    <w:abstractNumId w:val="12"/>
  </w:num>
  <w:num w:numId="16">
    <w:abstractNumId w:val="5"/>
  </w:num>
  <w:num w:numId="17">
    <w:abstractNumId w:val="31"/>
  </w:num>
  <w:num w:numId="18">
    <w:abstractNumId w:val="2"/>
  </w:num>
  <w:num w:numId="19">
    <w:abstractNumId w:val="18"/>
  </w:num>
  <w:num w:numId="20">
    <w:abstractNumId w:val="30"/>
  </w:num>
  <w:num w:numId="21">
    <w:abstractNumId w:val="24"/>
  </w:num>
  <w:num w:numId="22">
    <w:abstractNumId w:val="7"/>
  </w:num>
  <w:num w:numId="23">
    <w:abstractNumId w:val="29"/>
  </w:num>
  <w:num w:numId="24">
    <w:abstractNumId w:val="27"/>
  </w:num>
  <w:num w:numId="25">
    <w:abstractNumId w:val="0"/>
  </w:num>
  <w:num w:numId="26">
    <w:abstractNumId w:val="19"/>
  </w:num>
  <w:num w:numId="27">
    <w:abstractNumId w:val="22"/>
  </w:num>
  <w:num w:numId="28">
    <w:abstractNumId w:val="2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3"/>
  </w:num>
  <w:num w:numId="36">
    <w:abstractNumId w:val="13"/>
  </w:num>
  <w:num w:numId="37">
    <w:abstractNumId w:val="3"/>
  </w:num>
  <w:num w:numId="38">
    <w:abstractNumId w:val="9"/>
  </w:num>
  <w:num w:numId="39">
    <w:abstractNumId w:val="1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A5"/>
    <w:rsid w:val="00012718"/>
    <w:rsid w:val="000151E4"/>
    <w:rsid w:val="000166DB"/>
    <w:rsid w:val="000204BD"/>
    <w:rsid w:val="00023838"/>
    <w:rsid w:val="0002528E"/>
    <w:rsid w:val="00030EC1"/>
    <w:rsid w:val="0003500F"/>
    <w:rsid w:val="000357E0"/>
    <w:rsid w:val="00035A36"/>
    <w:rsid w:val="00041444"/>
    <w:rsid w:val="000463AD"/>
    <w:rsid w:val="00047E7F"/>
    <w:rsid w:val="00051A88"/>
    <w:rsid w:val="000535CE"/>
    <w:rsid w:val="00055FE8"/>
    <w:rsid w:val="00056353"/>
    <w:rsid w:val="000568C1"/>
    <w:rsid w:val="00076648"/>
    <w:rsid w:val="00082B07"/>
    <w:rsid w:val="00083E4A"/>
    <w:rsid w:val="00084A55"/>
    <w:rsid w:val="0009009A"/>
    <w:rsid w:val="000917DB"/>
    <w:rsid w:val="00091A27"/>
    <w:rsid w:val="0009467F"/>
    <w:rsid w:val="000A3146"/>
    <w:rsid w:val="000A3AA6"/>
    <w:rsid w:val="000A4841"/>
    <w:rsid w:val="000A6A03"/>
    <w:rsid w:val="000B0CA7"/>
    <w:rsid w:val="000B2FB8"/>
    <w:rsid w:val="000C3197"/>
    <w:rsid w:val="000C529D"/>
    <w:rsid w:val="000E180F"/>
    <w:rsid w:val="000E5B98"/>
    <w:rsid w:val="000E7237"/>
    <w:rsid w:val="000F2317"/>
    <w:rsid w:val="000F3D8F"/>
    <w:rsid w:val="00100007"/>
    <w:rsid w:val="00107C9D"/>
    <w:rsid w:val="00125799"/>
    <w:rsid w:val="00125A8C"/>
    <w:rsid w:val="00132A41"/>
    <w:rsid w:val="001342B2"/>
    <w:rsid w:val="00144191"/>
    <w:rsid w:val="00146C44"/>
    <w:rsid w:val="00151BDD"/>
    <w:rsid w:val="0016004C"/>
    <w:rsid w:val="00161092"/>
    <w:rsid w:val="001614B5"/>
    <w:rsid w:val="001624D2"/>
    <w:rsid w:val="00162E54"/>
    <w:rsid w:val="00165674"/>
    <w:rsid w:val="00173F8C"/>
    <w:rsid w:val="00184F69"/>
    <w:rsid w:val="0018605E"/>
    <w:rsid w:val="00190453"/>
    <w:rsid w:val="00196CA7"/>
    <w:rsid w:val="001A4F9F"/>
    <w:rsid w:val="001A534F"/>
    <w:rsid w:val="001B3E1F"/>
    <w:rsid w:val="001B427C"/>
    <w:rsid w:val="001B45F0"/>
    <w:rsid w:val="001B4792"/>
    <w:rsid w:val="001C1CBD"/>
    <w:rsid w:val="001C6595"/>
    <w:rsid w:val="001C76A7"/>
    <w:rsid w:val="001D0672"/>
    <w:rsid w:val="001D200F"/>
    <w:rsid w:val="001D67C5"/>
    <w:rsid w:val="001E0D43"/>
    <w:rsid w:val="001E1188"/>
    <w:rsid w:val="001E6E18"/>
    <w:rsid w:val="001F0D1C"/>
    <w:rsid w:val="001F5385"/>
    <w:rsid w:val="001F7571"/>
    <w:rsid w:val="00203836"/>
    <w:rsid w:val="00207CEA"/>
    <w:rsid w:val="002106CB"/>
    <w:rsid w:val="00211144"/>
    <w:rsid w:val="00211B1F"/>
    <w:rsid w:val="002124E0"/>
    <w:rsid w:val="002127DC"/>
    <w:rsid w:val="00217894"/>
    <w:rsid w:val="00217A63"/>
    <w:rsid w:val="00221CEF"/>
    <w:rsid w:val="00223E66"/>
    <w:rsid w:val="00231AA0"/>
    <w:rsid w:val="0024289C"/>
    <w:rsid w:val="00253E33"/>
    <w:rsid w:val="002645C6"/>
    <w:rsid w:val="002652C2"/>
    <w:rsid w:val="002716D2"/>
    <w:rsid w:val="002717B4"/>
    <w:rsid w:val="00271A97"/>
    <w:rsid w:val="00273A42"/>
    <w:rsid w:val="00275D0D"/>
    <w:rsid w:val="002761DC"/>
    <w:rsid w:val="00276F2C"/>
    <w:rsid w:val="00280D49"/>
    <w:rsid w:val="00293D0A"/>
    <w:rsid w:val="00293FDC"/>
    <w:rsid w:val="00294095"/>
    <w:rsid w:val="00295DC8"/>
    <w:rsid w:val="00297506"/>
    <w:rsid w:val="002A0AA9"/>
    <w:rsid w:val="002A1F5C"/>
    <w:rsid w:val="002A56F0"/>
    <w:rsid w:val="002A6A33"/>
    <w:rsid w:val="002B52E9"/>
    <w:rsid w:val="002C62F6"/>
    <w:rsid w:val="002C688B"/>
    <w:rsid w:val="002D0B41"/>
    <w:rsid w:val="002D54C0"/>
    <w:rsid w:val="002D5734"/>
    <w:rsid w:val="002D63C9"/>
    <w:rsid w:val="002E51AB"/>
    <w:rsid w:val="002E5659"/>
    <w:rsid w:val="002E601E"/>
    <w:rsid w:val="002E70AD"/>
    <w:rsid w:val="002F123F"/>
    <w:rsid w:val="002F3928"/>
    <w:rsid w:val="002F57C1"/>
    <w:rsid w:val="0030117A"/>
    <w:rsid w:val="00303B82"/>
    <w:rsid w:val="00304CE4"/>
    <w:rsid w:val="00310AA1"/>
    <w:rsid w:val="00312ED4"/>
    <w:rsid w:val="00316701"/>
    <w:rsid w:val="0032262A"/>
    <w:rsid w:val="00324230"/>
    <w:rsid w:val="0032503F"/>
    <w:rsid w:val="00330909"/>
    <w:rsid w:val="00336018"/>
    <w:rsid w:val="0033708B"/>
    <w:rsid w:val="0033731A"/>
    <w:rsid w:val="00340905"/>
    <w:rsid w:val="0035469B"/>
    <w:rsid w:val="003552CF"/>
    <w:rsid w:val="00360856"/>
    <w:rsid w:val="00363400"/>
    <w:rsid w:val="003644F8"/>
    <w:rsid w:val="003730F0"/>
    <w:rsid w:val="00380585"/>
    <w:rsid w:val="003878AE"/>
    <w:rsid w:val="003A0AB0"/>
    <w:rsid w:val="003A261E"/>
    <w:rsid w:val="003A420F"/>
    <w:rsid w:val="003A5E73"/>
    <w:rsid w:val="003B04C9"/>
    <w:rsid w:val="003B29A3"/>
    <w:rsid w:val="003C12FA"/>
    <w:rsid w:val="003C2192"/>
    <w:rsid w:val="003D2B86"/>
    <w:rsid w:val="003D3E54"/>
    <w:rsid w:val="003E1C62"/>
    <w:rsid w:val="003E2137"/>
    <w:rsid w:val="003E547C"/>
    <w:rsid w:val="003E5DDC"/>
    <w:rsid w:val="003E5F31"/>
    <w:rsid w:val="003F0DF3"/>
    <w:rsid w:val="003F429B"/>
    <w:rsid w:val="00403FCA"/>
    <w:rsid w:val="00412547"/>
    <w:rsid w:val="004129A6"/>
    <w:rsid w:val="004142E2"/>
    <w:rsid w:val="00414D0D"/>
    <w:rsid w:val="00416235"/>
    <w:rsid w:val="00420B4D"/>
    <w:rsid w:val="004221B8"/>
    <w:rsid w:val="004347CA"/>
    <w:rsid w:val="00441C7C"/>
    <w:rsid w:val="004542B4"/>
    <w:rsid w:val="00456ED6"/>
    <w:rsid w:val="004644E0"/>
    <w:rsid w:val="00470D09"/>
    <w:rsid w:val="00472D95"/>
    <w:rsid w:val="004741DE"/>
    <w:rsid w:val="004767C4"/>
    <w:rsid w:val="004933E0"/>
    <w:rsid w:val="00493CA2"/>
    <w:rsid w:val="004940D6"/>
    <w:rsid w:val="004949B0"/>
    <w:rsid w:val="004976C6"/>
    <w:rsid w:val="004A192D"/>
    <w:rsid w:val="004A5DE8"/>
    <w:rsid w:val="004B26AC"/>
    <w:rsid w:val="004B2C48"/>
    <w:rsid w:val="004B6B8E"/>
    <w:rsid w:val="004B6EFC"/>
    <w:rsid w:val="004B731F"/>
    <w:rsid w:val="004B7D66"/>
    <w:rsid w:val="004C38CB"/>
    <w:rsid w:val="004D200D"/>
    <w:rsid w:val="004D4642"/>
    <w:rsid w:val="004E50FB"/>
    <w:rsid w:val="00500EAF"/>
    <w:rsid w:val="0051258C"/>
    <w:rsid w:val="00520DE2"/>
    <w:rsid w:val="00521BDE"/>
    <w:rsid w:val="00521C3A"/>
    <w:rsid w:val="005222CB"/>
    <w:rsid w:val="00530C21"/>
    <w:rsid w:val="0053213E"/>
    <w:rsid w:val="00532F01"/>
    <w:rsid w:val="00541096"/>
    <w:rsid w:val="005411AD"/>
    <w:rsid w:val="005429F8"/>
    <w:rsid w:val="00542CB4"/>
    <w:rsid w:val="00546F69"/>
    <w:rsid w:val="0055236B"/>
    <w:rsid w:val="00552FA5"/>
    <w:rsid w:val="00554659"/>
    <w:rsid w:val="005563BE"/>
    <w:rsid w:val="00561509"/>
    <w:rsid w:val="00562BE6"/>
    <w:rsid w:val="005631AE"/>
    <w:rsid w:val="00563C65"/>
    <w:rsid w:val="00564647"/>
    <w:rsid w:val="00564C54"/>
    <w:rsid w:val="00567434"/>
    <w:rsid w:val="0057197F"/>
    <w:rsid w:val="00572C67"/>
    <w:rsid w:val="00573BB4"/>
    <w:rsid w:val="005744B1"/>
    <w:rsid w:val="00576C6B"/>
    <w:rsid w:val="00580BDE"/>
    <w:rsid w:val="00582534"/>
    <w:rsid w:val="00585F37"/>
    <w:rsid w:val="005876C7"/>
    <w:rsid w:val="005876FF"/>
    <w:rsid w:val="005A2CF0"/>
    <w:rsid w:val="005A3981"/>
    <w:rsid w:val="005B0875"/>
    <w:rsid w:val="005B5159"/>
    <w:rsid w:val="005B65F7"/>
    <w:rsid w:val="005C08E3"/>
    <w:rsid w:val="005C35F6"/>
    <w:rsid w:val="005C4252"/>
    <w:rsid w:val="005C454B"/>
    <w:rsid w:val="005D0F5F"/>
    <w:rsid w:val="005D1D7C"/>
    <w:rsid w:val="005D3E28"/>
    <w:rsid w:val="005D5BF0"/>
    <w:rsid w:val="005D623B"/>
    <w:rsid w:val="005D6980"/>
    <w:rsid w:val="005E5F5C"/>
    <w:rsid w:val="005E67BD"/>
    <w:rsid w:val="005F47B7"/>
    <w:rsid w:val="00600D70"/>
    <w:rsid w:val="00601E26"/>
    <w:rsid w:val="0060485D"/>
    <w:rsid w:val="00605550"/>
    <w:rsid w:val="00615AC6"/>
    <w:rsid w:val="00617FB2"/>
    <w:rsid w:val="00621E36"/>
    <w:rsid w:val="006262C0"/>
    <w:rsid w:val="00635A7C"/>
    <w:rsid w:val="00636AF5"/>
    <w:rsid w:val="00645092"/>
    <w:rsid w:val="00646CEA"/>
    <w:rsid w:val="00651B5A"/>
    <w:rsid w:val="00655435"/>
    <w:rsid w:val="00655924"/>
    <w:rsid w:val="00665107"/>
    <w:rsid w:val="0067537D"/>
    <w:rsid w:val="00676708"/>
    <w:rsid w:val="006779B8"/>
    <w:rsid w:val="006816C4"/>
    <w:rsid w:val="00681B2A"/>
    <w:rsid w:val="00682BC1"/>
    <w:rsid w:val="0068359B"/>
    <w:rsid w:val="00684BED"/>
    <w:rsid w:val="00686B28"/>
    <w:rsid w:val="0069192B"/>
    <w:rsid w:val="0069218C"/>
    <w:rsid w:val="00694DC2"/>
    <w:rsid w:val="00695D68"/>
    <w:rsid w:val="00695DAC"/>
    <w:rsid w:val="006A0566"/>
    <w:rsid w:val="006A06CD"/>
    <w:rsid w:val="006A2932"/>
    <w:rsid w:val="006A70C4"/>
    <w:rsid w:val="006B1547"/>
    <w:rsid w:val="006B4D2D"/>
    <w:rsid w:val="006B54E9"/>
    <w:rsid w:val="006C40C2"/>
    <w:rsid w:val="006C55E7"/>
    <w:rsid w:val="006D3130"/>
    <w:rsid w:val="006D3932"/>
    <w:rsid w:val="006D5192"/>
    <w:rsid w:val="006D72B1"/>
    <w:rsid w:val="006F1B00"/>
    <w:rsid w:val="006F4195"/>
    <w:rsid w:val="006F5CEE"/>
    <w:rsid w:val="006F5FB6"/>
    <w:rsid w:val="006F7CBD"/>
    <w:rsid w:val="00703BCF"/>
    <w:rsid w:val="00704377"/>
    <w:rsid w:val="007053FE"/>
    <w:rsid w:val="00705DEE"/>
    <w:rsid w:val="007113B3"/>
    <w:rsid w:val="007164F6"/>
    <w:rsid w:val="0072176D"/>
    <w:rsid w:val="00722580"/>
    <w:rsid w:val="00722D3A"/>
    <w:rsid w:val="00727B7C"/>
    <w:rsid w:val="007329FD"/>
    <w:rsid w:val="00734522"/>
    <w:rsid w:val="00736E02"/>
    <w:rsid w:val="007428F8"/>
    <w:rsid w:val="0075740D"/>
    <w:rsid w:val="00766EE9"/>
    <w:rsid w:val="00771958"/>
    <w:rsid w:val="0078063B"/>
    <w:rsid w:val="00780D6F"/>
    <w:rsid w:val="0078132B"/>
    <w:rsid w:val="00783846"/>
    <w:rsid w:val="00784919"/>
    <w:rsid w:val="00784C66"/>
    <w:rsid w:val="007855BA"/>
    <w:rsid w:val="007940FF"/>
    <w:rsid w:val="00795A6F"/>
    <w:rsid w:val="007965A9"/>
    <w:rsid w:val="007A4597"/>
    <w:rsid w:val="007A484F"/>
    <w:rsid w:val="007A5C95"/>
    <w:rsid w:val="007A651E"/>
    <w:rsid w:val="007A75A7"/>
    <w:rsid w:val="007C314F"/>
    <w:rsid w:val="007C50FD"/>
    <w:rsid w:val="007C77B1"/>
    <w:rsid w:val="007D00CB"/>
    <w:rsid w:val="007D022C"/>
    <w:rsid w:val="007E0019"/>
    <w:rsid w:val="007F2F27"/>
    <w:rsid w:val="0080045A"/>
    <w:rsid w:val="00800A3B"/>
    <w:rsid w:val="00800DEC"/>
    <w:rsid w:val="00802821"/>
    <w:rsid w:val="008050BD"/>
    <w:rsid w:val="00814189"/>
    <w:rsid w:val="00826BE8"/>
    <w:rsid w:val="00827285"/>
    <w:rsid w:val="00827CF6"/>
    <w:rsid w:val="008372F2"/>
    <w:rsid w:val="008378B5"/>
    <w:rsid w:val="00841AEB"/>
    <w:rsid w:val="008427D8"/>
    <w:rsid w:val="00843C04"/>
    <w:rsid w:val="00845E76"/>
    <w:rsid w:val="00856B5B"/>
    <w:rsid w:val="00864E55"/>
    <w:rsid w:val="00864EBC"/>
    <w:rsid w:val="00865B0F"/>
    <w:rsid w:val="00870D10"/>
    <w:rsid w:val="00872D60"/>
    <w:rsid w:val="0087439D"/>
    <w:rsid w:val="00875205"/>
    <w:rsid w:val="0088266A"/>
    <w:rsid w:val="00882DDA"/>
    <w:rsid w:val="00884714"/>
    <w:rsid w:val="00886DFF"/>
    <w:rsid w:val="00897992"/>
    <w:rsid w:val="008A124E"/>
    <w:rsid w:val="008A171A"/>
    <w:rsid w:val="008A30CE"/>
    <w:rsid w:val="008A41F5"/>
    <w:rsid w:val="008A44AF"/>
    <w:rsid w:val="008A56EB"/>
    <w:rsid w:val="008A6442"/>
    <w:rsid w:val="008A6BCE"/>
    <w:rsid w:val="008B23D6"/>
    <w:rsid w:val="008B5A0B"/>
    <w:rsid w:val="008C16A4"/>
    <w:rsid w:val="008C1CB2"/>
    <w:rsid w:val="008C7A11"/>
    <w:rsid w:val="008D523E"/>
    <w:rsid w:val="008D7D2F"/>
    <w:rsid w:val="008D7E4D"/>
    <w:rsid w:val="008E0F12"/>
    <w:rsid w:val="008E4543"/>
    <w:rsid w:val="008E5801"/>
    <w:rsid w:val="008F34C6"/>
    <w:rsid w:val="009016DA"/>
    <w:rsid w:val="009032D2"/>
    <w:rsid w:val="00903434"/>
    <w:rsid w:val="0091278E"/>
    <w:rsid w:val="009130A6"/>
    <w:rsid w:val="00913F6D"/>
    <w:rsid w:val="00914765"/>
    <w:rsid w:val="00917A22"/>
    <w:rsid w:val="00943159"/>
    <w:rsid w:val="00943F4B"/>
    <w:rsid w:val="0094418F"/>
    <w:rsid w:val="0094544C"/>
    <w:rsid w:val="00951ABE"/>
    <w:rsid w:val="00956443"/>
    <w:rsid w:val="00956FB1"/>
    <w:rsid w:val="00957BC2"/>
    <w:rsid w:val="0096111D"/>
    <w:rsid w:val="00962209"/>
    <w:rsid w:val="00964CA3"/>
    <w:rsid w:val="009707BA"/>
    <w:rsid w:val="00972619"/>
    <w:rsid w:val="00975814"/>
    <w:rsid w:val="00985AD6"/>
    <w:rsid w:val="00986DCD"/>
    <w:rsid w:val="009932EE"/>
    <w:rsid w:val="00993E03"/>
    <w:rsid w:val="00997182"/>
    <w:rsid w:val="009A23E6"/>
    <w:rsid w:val="009A7A20"/>
    <w:rsid w:val="009B4532"/>
    <w:rsid w:val="009B5AA5"/>
    <w:rsid w:val="009B5F84"/>
    <w:rsid w:val="009C3DF5"/>
    <w:rsid w:val="009D085E"/>
    <w:rsid w:val="009D5DCD"/>
    <w:rsid w:val="009E6A77"/>
    <w:rsid w:val="00A036B8"/>
    <w:rsid w:val="00A0469B"/>
    <w:rsid w:val="00A063B5"/>
    <w:rsid w:val="00A146CA"/>
    <w:rsid w:val="00A14D0E"/>
    <w:rsid w:val="00A24E3A"/>
    <w:rsid w:val="00A33BA0"/>
    <w:rsid w:val="00A358C8"/>
    <w:rsid w:val="00A36706"/>
    <w:rsid w:val="00A441F1"/>
    <w:rsid w:val="00A54387"/>
    <w:rsid w:val="00A552DC"/>
    <w:rsid w:val="00A561B1"/>
    <w:rsid w:val="00A60FE7"/>
    <w:rsid w:val="00A64B31"/>
    <w:rsid w:val="00A66590"/>
    <w:rsid w:val="00A76B6A"/>
    <w:rsid w:val="00A813A9"/>
    <w:rsid w:val="00A82B22"/>
    <w:rsid w:val="00A83172"/>
    <w:rsid w:val="00A844CE"/>
    <w:rsid w:val="00A919C3"/>
    <w:rsid w:val="00A91FED"/>
    <w:rsid w:val="00A92D41"/>
    <w:rsid w:val="00A94FEC"/>
    <w:rsid w:val="00A96F16"/>
    <w:rsid w:val="00AA2825"/>
    <w:rsid w:val="00AA2A8D"/>
    <w:rsid w:val="00AA3E48"/>
    <w:rsid w:val="00AB092F"/>
    <w:rsid w:val="00AB73B3"/>
    <w:rsid w:val="00AC0762"/>
    <w:rsid w:val="00AC1805"/>
    <w:rsid w:val="00AC4678"/>
    <w:rsid w:val="00AD2BC1"/>
    <w:rsid w:val="00AD3549"/>
    <w:rsid w:val="00AE18BD"/>
    <w:rsid w:val="00AE31A9"/>
    <w:rsid w:val="00AE3E8F"/>
    <w:rsid w:val="00AE4238"/>
    <w:rsid w:val="00AE4D46"/>
    <w:rsid w:val="00AE5C0B"/>
    <w:rsid w:val="00AE74DD"/>
    <w:rsid w:val="00AE7A6B"/>
    <w:rsid w:val="00AF0621"/>
    <w:rsid w:val="00AF3223"/>
    <w:rsid w:val="00AF3A37"/>
    <w:rsid w:val="00AF3AF7"/>
    <w:rsid w:val="00B037EF"/>
    <w:rsid w:val="00B04190"/>
    <w:rsid w:val="00B06659"/>
    <w:rsid w:val="00B07B8E"/>
    <w:rsid w:val="00B15F56"/>
    <w:rsid w:val="00B17B3C"/>
    <w:rsid w:val="00B20765"/>
    <w:rsid w:val="00B20B4D"/>
    <w:rsid w:val="00B23E8A"/>
    <w:rsid w:val="00B274E5"/>
    <w:rsid w:val="00B27B85"/>
    <w:rsid w:val="00B37AA0"/>
    <w:rsid w:val="00B4041D"/>
    <w:rsid w:val="00B41707"/>
    <w:rsid w:val="00B45BDF"/>
    <w:rsid w:val="00B47208"/>
    <w:rsid w:val="00B478FE"/>
    <w:rsid w:val="00B51411"/>
    <w:rsid w:val="00B51B48"/>
    <w:rsid w:val="00B7377D"/>
    <w:rsid w:val="00B84503"/>
    <w:rsid w:val="00B853F2"/>
    <w:rsid w:val="00B869F6"/>
    <w:rsid w:val="00B94B78"/>
    <w:rsid w:val="00B952B7"/>
    <w:rsid w:val="00BA08C7"/>
    <w:rsid w:val="00BA18C4"/>
    <w:rsid w:val="00BA2CD0"/>
    <w:rsid w:val="00BB002E"/>
    <w:rsid w:val="00BB2486"/>
    <w:rsid w:val="00BB3026"/>
    <w:rsid w:val="00BB4EA2"/>
    <w:rsid w:val="00BC2351"/>
    <w:rsid w:val="00BC23F1"/>
    <w:rsid w:val="00BC51B1"/>
    <w:rsid w:val="00BC7B6B"/>
    <w:rsid w:val="00BD3405"/>
    <w:rsid w:val="00BD620C"/>
    <w:rsid w:val="00BD6738"/>
    <w:rsid w:val="00BD6D5D"/>
    <w:rsid w:val="00BE0A55"/>
    <w:rsid w:val="00BE2BDF"/>
    <w:rsid w:val="00BE3B3B"/>
    <w:rsid w:val="00BE4A62"/>
    <w:rsid w:val="00BE62EB"/>
    <w:rsid w:val="00BE6CD2"/>
    <w:rsid w:val="00BF25EA"/>
    <w:rsid w:val="00BF6C42"/>
    <w:rsid w:val="00BF6EBD"/>
    <w:rsid w:val="00BF7965"/>
    <w:rsid w:val="00BF7EB0"/>
    <w:rsid w:val="00C05A4B"/>
    <w:rsid w:val="00C07A13"/>
    <w:rsid w:val="00C12041"/>
    <w:rsid w:val="00C12CB4"/>
    <w:rsid w:val="00C13884"/>
    <w:rsid w:val="00C13D7F"/>
    <w:rsid w:val="00C16186"/>
    <w:rsid w:val="00C22C05"/>
    <w:rsid w:val="00C24659"/>
    <w:rsid w:val="00C2708A"/>
    <w:rsid w:val="00C311DF"/>
    <w:rsid w:val="00C33D79"/>
    <w:rsid w:val="00C37FB0"/>
    <w:rsid w:val="00C45246"/>
    <w:rsid w:val="00C503ED"/>
    <w:rsid w:val="00C506F3"/>
    <w:rsid w:val="00C57E98"/>
    <w:rsid w:val="00C66F8A"/>
    <w:rsid w:val="00C675D2"/>
    <w:rsid w:val="00C67FFA"/>
    <w:rsid w:val="00C75739"/>
    <w:rsid w:val="00C7655A"/>
    <w:rsid w:val="00C77099"/>
    <w:rsid w:val="00C810D9"/>
    <w:rsid w:val="00C93AA5"/>
    <w:rsid w:val="00CA5A53"/>
    <w:rsid w:val="00CA6C73"/>
    <w:rsid w:val="00CB1E07"/>
    <w:rsid w:val="00CB6700"/>
    <w:rsid w:val="00CB7FF9"/>
    <w:rsid w:val="00CC3F20"/>
    <w:rsid w:val="00CD24DC"/>
    <w:rsid w:val="00CE0F5F"/>
    <w:rsid w:val="00CE3E72"/>
    <w:rsid w:val="00CE64D7"/>
    <w:rsid w:val="00CF0C99"/>
    <w:rsid w:val="00CF3FF1"/>
    <w:rsid w:val="00CF5218"/>
    <w:rsid w:val="00D019CB"/>
    <w:rsid w:val="00D07D7A"/>
    <w:rsid w:val="00D236C4"/>
    <w:rsid w:val="00D24298"/>
    <w:rsid w:val="00D26A33"/>
    <w:rsid w:val="00D37BA6"/>
    <w:rsid w:val="00D4404D"/>
    <w:rsid w:val="00D45133"/>
    <w:rsid w:val="00D52650"/>
    <w:rsid w:val="00D62505"/>
    <w:rsid w:val="00D638FB"/>
    <w:rsid w:val="00D77465"/>
    <w:rsid w:val="00D804B8"/>
    <w:rsid w:val="00D86B1C"/>
    <w:rsid w:val="00D90032"/>
    <w:rsid w:val="00D90F8D"/>
    <w:rsid w:val="00D93885"/>
    <w:rsid w:val="00D96D9E"/>
    <w:rsid w:val="00D9793F"/>
    <w:rsid w:val="00DA0624"/>
    <w:rsid w:val="00DA06D7"/>
    <w:rsid w:val="00DA39FD"/>
    <w:rsid w:val="00DC3F3A"/>
    <w:rsid w:val="00DC78A0"/>
    <w:rsid w:val="00DD1069"/>
    <w:rsid w:val="00DD10CD"/>
    <w:rsid w:val="00DD28F3"/>
    <w:rsid w:val="00DD7564"/>
    <w:rsid w:val="00DE6B41"/>
    <w:rsid w:val="00DF1D89"/>
    <w:rsid w:val="00DF7DF7"/>
    <w:rsid w:val="00E01A35"/>
    <w:rsid w:val="00E2319C"/>
    <w:rsid w:val="00E237F9"/>
    <w:rsid w:val="00E25D1D"/>
    <w:rsid w:val="00E26E69"/>
    <w:rsid w:val="00E308AF"/>
    <w:rsid w:val="00E36B16"/>
    <w:rsid w:val="00E42E9F"/>
    <w:rsid w:val="00E464B9"/>
    <w:rsid w:val="00E57521"/>
    <w:rsid w:val="00E57846"/>
    <w:rsid w:val="00E6054D"/>
    <w:rsid w:val="00E62373"/>
    <w:rsid w:val="00E666F3"/>
    <w:rsid w:val="00E66CC0"/>
    <w:rsid w:val="00E72DD5"/>
    <w:rsid w:val="00E77001"/>
    <w:rsid w:val="00E864BC"/>
    <w:rsid w:val="00E866BE"/>
    <w:rsid w:val="00E90207"/>
    <w:rsid w:val="00E90410"/>
    <w:rsid w:val="00E92509"/>
    <w:rsid w:val="00E938F6"/>
    <w:rsid w:val="00E94687"/>
    <w:rsid w:val="00E95647"/>
    <w:rsid w:val="00E96043"/>
    <w:rsid w:val="00E9759E"/>
    <w:rsid w:val="00EA11F6"/>
    <w:rsid w:val="00EA2449"/>
    <w:rsid w:val="00EB0E8C"/>
    <w:rsid w:val="00EB38F8"/>
    <w:rsid w:val="00EB7B64"/>
    <w:rsid w:val="00EC3D8D"/>
    <w:rsid w:val="00EC6FAD"/>
    <w:rsid w:val="00EC71E6"/>
    <w:rsid w:val="00ED0FE9"/>
    <w:rsid w:val="00ED1D6B"/>
    <w:rsid w:val="00ED7749"/>
    <w:rsid w:val="00EE09B9"/>
    <w:rsid w:val="00EE447B"/>
    <w:rsid w:val="00EE4E3B"/>
    <w:rsid w:val="00EE7F33"/>
    <w:rsid w:val="00EF2ACA"/>
    <w:rsid w:val="00F01796"/>
    <w:rsid w:val="00F06240"/>
    <w:rsid w:val="00F132B2"/>
    <w:rsid w:val="00F14105"/>
    <w:rsid w:val="00F1572A"/>
    <w:rsid w:val="00F2251D"/>
    <w:rsid w:val="00F22605"/>
    <w:rsid w:val="00F23A9F"/>
    <w:rsid w:val="00F31D81"/>
    <w:rsid w:val="00F35237"/>
    <w:rsid w:val="00F42732"/>
    <w:rsid w:val="00F44166"/>
    <w:rsid w:val="00F44E38"/>
    <w:rsid w:val="00F457AD"/>
    <w:rsid w:val="00F457C4"/>
    <w:rsid w:val="00F532A6"/>
    <w:rsid w:val="00F53E09"/>
    <w:rsid w:val="00F56F6E"/>
    <w:rsid w:val="00F609F5"/>
    <w:rsid w:val="00F63B99"/>
    <w:rsid w:val="00F673A6"/>
    <w:rsid w:val="00F67853"/>
    <w:rsid w:val="00F67ADB"/>
    <w:rsid w:val="00F71A15"/>
    <w:rsid w:val="00F72C9B"/>
    <w:rsid w:val="00F7345E"/>
    <w:rsid w:val="00F73668"/>
    <w:rsid w:val="00F8093E"/>
    <w:rsid w:val="00F818BF"/>
    <w:rsid w:val="00F81C1E"/>
    <w:rsid w:val="00FA092F"/>
    <w:rsid w:val="00FA24AC"/>
    <w:rsid w:val="00FB5690"/>
    <w:rsid w:val="00FC1FED"/>
    <w:rsid w:val="00FC402D"/>
    <w:rsid w:val="00FC54ED"/>
    <w:rsid w:val="00FD058D"/>
    <w:rsid w:val="00FD0D35"/>
    <w:rsid w:val="00FD5F1F"/>
    <w:rsid w:val="00FD6203"/>
    <w:rsid w:val="00FE691D"/>
    <w:rsid w:val="00FE6B0F"/>
    <w:rsid w:val="00FF5D8C"/>
    <w:rsid w:val="00FF61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2720"/>
  <w15:chartTrackingRefBased/>
  <w15:docId w15:val="{B1F0A770-ADE2-40B8-BEF3-044F0E8D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414D0D"/>
    <w:pPr>
      <w:keepNext/>
      <w:spacing w:after="12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2127DC"/>
    <w:pPr>
      <w:tabs>
        <w:tab w:val="right" w:pos="9070"/>
      </w:tabs>
      <w:spacing w:after="0" w:line="240" w:lineRule="auto"/>
      <w:jc w:val="right"/>
    </w:pPr>
    <w:rPr>
      <w:noProof/>
      <w:color w:val="0082AB"/>
      <w:spacing w:val="6"/>
      <w:sz w:val="16"/>
      <w:szCs w:val="16"/>
    </w:rPr>
  </w:style>
  <w:style w:type="character" w:customStyle="1" w:styleId="FooterChar">
    <w:name w:val="Footer Char"/>
    <w:link w:val="Footer"/>
    <w:rsid w:val="002127DC"/>
    <w:rPr>
      <w:rFonts w:ascii="Arial" w:eastAsia="Times New Roman" w:hAnsi="Arial"/>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7A484F"/>
    <w:pPr>
      <w:numPr>
        <w:numId w:val="29"/>
      </w:numPr>
      <w:spacing w:after="120" w:line="280" w:lineRule="exact"/>
      <w:ind w:left="284" w:hanging="284"/>
    </w:pPr>
    <w:rPr>
      <w:rFonts w:ascii="Arial" w:eastAsia="Times New Roman" w:hAnsi="Arial"/>
      <w:i/>
      <w:sz w:val="22"/>
      <w:szCs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semiHidden/>
    <w:rsid w:val="00EC6FAD"/>
    <w:rPr>
      <w:rFonts w:ascii="Arial" w:hAnsi="Arial"/>
      <w:color w:val="auto"/>
      <w:position w:val="8"/>
      <w:sz w:val="16"/>
    </w:rPr>
  </w:style>
  <w:style w:type="paragraph" w:styleId="FootnoteText">
    <w:name w:val="footnote text"/>
    <w:basedOn w:val="Normal"/>
    <w:link w:val="FootnoteTextChar"/>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414D0D"/>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ind w:left="568" w:hanging="284"/>
    </w:pPr>
    <w:rPr>
      <w:rFonts w:cs="Arial"/>
      <w:lang w:eastAsia="en-AU"/>
    </w:rPr>
  </w:style>
  <w:style w:type="paragraph" w:customStyle="1" w:styleId="BodyText-Numbered">
    <w:name w:val="Body Text - Numbered"/>
    <w:basedOn w:val="BodyText"/>
    <w:link w:val="BodyText-NumberedChar"/>
    <w:qFormat/>
    <w:rsid w:val="008A56EB"/>
    <w:pPr>
      <w:keepNext/>
      <w:numPr>
        <w:numId w:val="35"/>
      </w:numPr>
      <w:spacing w:before="60" w:line="240" w:lineRule="auto"/>
    </w:pPr>
    <w:rPr>
      <w:rFonts w:cs="Arial"/>
    </w:rPr>
  </w:style>
  <w:style w:type="character" w:customStyle="1" w:styleId="BodyText-NumberedChar">
    <w:name w:val="Body Text - Numbered Char"/>
    <w:link w:val="BodyText-Numbered"/>
    <w:rsid w:val="008A56EB"/>
    <w:rPr>
      <w:rFonts w:ascii="Arial" w:eastAsia="Times New Roman" w:hAnsi="Arial" w:cs="Arial"/>
      <w:sz w:val="22"/>
      <w:lang w:val="en-GB" w:eastAsia="en-GB"/>
    </w:rPr>
  </w:style>
  <w:style w:type="paragraph" w:customStyle="1" w:styleId="Tablebullet">
    <w:name w:val="Table bullet"/>
    <w:basedOn w:val="Normal"/>
    <w:qFormat/>
    <w:rsid w:val="008A56EB"/>
    <w:pPr>
      <w:numPr>
        <w:numId w:val="36"/>
      </w:numPr>
      <w:autoSpaceDE w:val="0"/>
      <w:autoSpaceDN w:val="0"/>
      <w:adjustRightInd w:val="0"/>
      <w:spacing w:before="60" w:after="60"/>
    </w:pPr>
    <w:rPr>
      <w:rFonts w:cs="GillSans"/>
      <w:szCs w:val="22"/>
      <w:lang w:eastAsia="en-AU"/>
    </w:rPr>
  </w:style>
  <w:style w:type="paragraph" w:styleId="BodyText">
    <w:name w:val="Body Text"/>
    <w:basedOn w:val="Normal"/>
    <w:link w:val="BodyTextChar"/>
    <w:uiPriority w:val="99"/>
    <w:semiHidden/>
    <w:unhideWhenUsed/>
    <w:rsid w:val="008A56EB"/>
    <w:pPr>
      <w:spacing w:after="120"/>
    </w:pPr>
  </w:style>
  <w:style w:type="character" w:customStyle="1" w:styleId="BodyTextChar">
    <w:name w:val="Body Text Char"/>
    <w:link w:val="BodyText"/>
    <w:uiPriority w:val="99"/>
    <w:semiHidden/>
    <w:rsid w:val="008A56EB"/>
    <w:rPr>
      <w:rFonts w:ascii="Arial" w:eastAsia="Times New Roman"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7991">
      <w:bodyDiv w:val="1"/>
      <w:marLeft w:val="0"/>
      <w:marRight w:val="0"/>
      <w:marTop w:val="0"/>
      <w:marBottom w:val="0"/>
      <w:divBdr>
        <w:top w:val="none" w:sz="0" w:space="0" w:color="auto"/>
        <w:left w:val="none" w:sz="0" w:space="0" w:color="auto"/>
        <w:bottom w:val="none" w:sz="0" w:space="0" w:color="auto"/>
        <w:right w:val="none" w:sz="0" w:space="0" w:color="auto"/>
      </w:divBdr>
    </w:div>
    <w:div w:id="912741077">
      <w:bodyDiv w:val="1"/>
      <w:marLeft w:val="0"/>
      <w:marRight w:val="0"/>
      <w:marTop w:val="0"/>
      <w:marBottom w:val="0"/>
      <w:divBdr>
        <w:top w:val="none" w:sz="0" w:space="0" w:color="auto"/>
        <w:left w:val="none" w:sz="0" w:space="0" w:color="auto"/>
        <w:bottom w:val="none" w:sz="0" w:space="0" w:color="auto"/>
        <w:right w:val="none" w:sz="0" w:space="0" w:color="auto"/>
      </w:divBdr>
    </w:div>
    <w:div w:id="1382097251">
      <w:bodyDiv w:val="1"/>
      <w:marLeft w:val="0"/>
      <w:marRight w:val="0"/>
      <w:marTop w:val="0"/>
      <w:marBottom w:val="0"/>
      <w:divBdr>
        <w:top w:val="none" w:sz="0" w:space="0" w:color="auto"/>
        <w:left w:val="none" w:sz="0" w:space="0" w:color="auto"/>
        <w:bottom w:val="none" w:sz="0" w:space="0" w:color="auto"/>
        <w:right w:val="none" w:sz="0" w:space="0" w:color="auto"/>
      </w:divBdr>
    </w:div>
    <w:div w:id="1413430114">
      <w:bodyDiv w:val="1"/>
      <w:marLeft w:val="0"/>
      <w:marRight w:val="0"/>
      <w:marTop w:val="0"/>
      <w:marBottom w:val="0"/>
      <w:divBdr>
        <w:top w:val="none" w:sz="0" w:space="0" w:color="auto"/>
        <w:left w:val="none" w:sz="0" w:space="0" w:color="auto"/>
        <w:bottom w:val="none" w:sz="0" w:space="0" w:color="auto"/>
        <w:right w:val="none" w:sz="0" w:space="0" w:color="auto"/>
      </w:divBdr>
    </w:div>
    <w:div w:id="1429814421">
      <w:bodyDiv w:val="1"/>
      <w:marLeft w:val="0"/>
      <w:marRight w:val="0"/>
      <w:marTop w:val="0"/>
      <w:marBottom w:val="0"/>
      <w:divBdr>
        <w:top w:val="none" w:sz="0" w:space="0" w:color="auto"/>
        <w:left w:val="none" w:sz="0" w:space="0" w:color="auto"/>
        <w:bottom w:val="none" w:sz="0" w:space="0" w:color="auto"/>
        <w:right w:val="none" w:sz="0" w:space="0" w:color="auto"/>
      </w:divBdr>
    </w:div>
    <w:div w:id="1692755753">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 w:id="20553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FA9E323F-D0AA-4B75-BAEB-30040D40C797}"/>
</file>

<file path=customXml/itemProps2.xml><?xml version="1.0" encoding="utf-8"?>
<ds:datastoreItem xmlns:ds="http://schemas.openxmlformats.org/officeDocument/2006/customXml" ds:itemID="{F4D3DE6A-1833-4EB8-833D-7A388B96D66A}"/>
</file>

<file path=customXml/itemProps3.xml><?xml version="1.0" encoding="utf-8"?>
<ds:datastoreItem xmlns:ds="http://schemas.openxmlformats.org/officeDocument/2006/customXml" ds:itemID="{6F9563E9-D971-49FF-9ABA-6F96453CA93D}"/>
</file>

<file path=docProps/app.xml><?xml version="1.0" encoding="utf-8"?>
<Properties xmlns="http://schemas.openxmlformats.org/officeDocument/2006/extended-properties" xmlns:vt="http://schemas.openxmlformats.org/officeDocument/2006/docPropsVTypes">
  <Template>Normal.dotm</Template>
  <TotalTime>2</TotalTime>
  <Pages>11</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Regulatory impact assessment/statement: Tax pooling to purchase backdated tax (31 May 2021)</vt:lpstr>
    </vt:vector>
  </TitlesOfParts>
  <Company>Inland Revenue</Company>
  <LinksUpToDate>false</LinksUpToDate>
  <CharactersWithSpaces>20187</CharactersWithSpaces>
  <SharedDoc>false</SharedDoc>
  <HLinks>
    <vt:vector size="36" baseType="variant">
      <vt:variant>
        <vt:i4>8257662</vt:i4>
      </vt:variant>
      <vt:variant>
        <vt:i4>15</vt:i4>
      </vt:variant>
      <vt:variant>
        <vt:i4>0</vt:i4>
      </vt:variant>
      <vt:variant>
        <vt:i4>5</vt:i4>
      </vt:variant>
      <vt:variant>
        <vt:lpwstr>http://www.treasury.govt.nz/publications/guidance/planning/costbenefitanalysis</vt:lpwstr>
      </vt:variant>
      <vt:variant>
        <vt:lpwstr/>
      </vt:variant>
      <vt:variant>
        <vt:i4>2949239</vt:i4>
      </vt:variant>
      <vt:variant>
        <vt:i4>12</vt:i4>
      </vt:variant>
      <vt:variant>
        <vt:i4>0</vt:i4>
      </vt:variant>
      <vt:variant>
        <vt:i4>5</vt:i4>
      </vt:variant>
      <vt:variant>
        <vt:lpwstr>http://www.treasury.govt.nz/publications/guidance/planning/costbenefitanalysis/x/x-guide-oct15.pdf</vt:lpwstr>
      </vt:variant>
      <vt:variant>
        <vt:lpwstr/>
      </vt:variant>
      <vt:variant>
        <vt:i4>2687029</vt:i4>
      </vt:variant>
      <vt:variant>
        <vt:i4>9</vt:i4>
      </vt:variant>
      <vt:variant>
        <vt:i4>0</vt:i4>
      </vt:variant>
      <vt:variant>
        <vt:i4>5</vt:i4>
      </vt:variant>
      <vt:variant>
        <vt:lpwstr>http://www.treasury.govt.nz/regulation/expectations</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assessment/statement: Tax pooling to purchase backdated tax (31 May 2021)</dc:title>
  <dc:subject/>
  <dc:creator>Policy and Regulatory Stewardship</dc:creator>
  <cp:keywords/>
  <dc:description/>
  <dcterms:created xsi:type="dcterms:W3CDTF">2021-08-20T03:04:00Z</dcterms:created>
  <dcterms:modified xsi:type="dcterms:W3CDTF">2021-08-20T03:06:00Z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2;#Policy ＆ Regulatory Stewardship|5c6da56c-2219-46c1-9c7b-c15fc3fd45a5</vt:lpwstr>
  </property>
  <property fmtid="{D5CDD505-2E9C-101B-9397-08002B2CF9AE}" pid="3" name="ContentTypeId">
    <vt:lpwstr>0x0101000B461733DE48CC4985E239AAFC9C41590100670D0BD9AB7101418FC69E4F42B3A5BC</vt:lpwstr>
  </property>
  <property fmtid="{D5CDD505-2E9C-101B-9397-08002B2CF9AE}" pid="4" name="SecurityClassification">
    <vt:lpwstr>3;#In Confidence|5fccf67f-7cb1-4561-8450-fe0d2ea19178</vt:lpwstr>
  </property>
  <property fmtid="{D5CDD505-2E9C-101B-9397-08002B2CF9AE}" pid="5" name="BusinessActivity">
    <vt:lpwstr>1;#Tax policy work|c05dfd7c-a5ba-47bf-969f-3422104229d3</vt:lpwstr>
  </property>
  <property fmtid="{D5CDD505-2E9C-101B-9397-08002B2CF9AE}" pid="6" name="InformationType">
    <vt:lpwstr/>
  </property>
  <property fmtid="{D5CDD505-2E9C-101B-9397-08002B2CF9AE}" pid="7" name="DocumentStatus">
    <vt:lpwstr/>
  </property>
  <property fmtid="{D5CDD505-2E9C-101B-9397-08002B2CF9AE}" pid="8" name="MediaServiceImageTags">
    <vt:lpwstr/>
  </property>
</Properties>
</file>