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8C3B" w14:textId="7D1E7323" w:rsidR="00E92509" w:rsidRPr="0067537D" w:rsidRDefault="00BA08C7" w:rsidP="00293FDC">
      <w:pPr>
        <w:pStyle w:val="Heading1"/>
        <w:spacing w:before="0"/>
      </w:pPr>
      <w:r w:rsidRPr="00B952B7">
        <w:t>Impact Sum</w:t>
      </w:r>
      <w:r w:rsidRPr="006D3130">
        <w:t>m</w:t>
      </w:r>
      <w:r w:rsidRPr="00B952B7">
        <w:t>ary</w:t>
      </w:r>
      <w:r w:rsidR="00783846" w:rsidRPr="00957BC2">
        <w:t>:</w:t>
      </w:r>
      <w:r w:rsidR="007C77B1" w:rsidRPr="00957BC2">
        <w:t xml:space="preserve"> </w:t>
      </w:r>
      <w:r w:rsidR="00025133">
        <w:t xml:space="preserve">GST </w:t>
      </w:r>
      <w:r w:rsidR="008B0393">
        <w:t>apportionment</w:t>
      </w:r>
    </w:p>
    <w:p w14:paraId="3CAFAA9C" w14:textId="77777777" w:rsidR="00E92509" w:rsidRPr="00B952B7" w:rsidRDefault="00E92509" w:rsidP="00414D0D">
      <w:pPr>
        <w:pStyle w:val="Heading2"/>
      </w:pPr>
      <w:r w:rsidRPr="00B952B7">
        <w:t>Section 1: Ge</w:t>
      </w:r>
      <w:r w:rsidRPr="00414D0D">
        <w:t>nera</w:t>
      </w:r>
      <w:r w:rsidRPr="00B952B7">
        <w:t>l infor</w:t>
      </w:r>
      <w:r w:rsidRPr="00414D0D">
        <w:t>ma</w:t>
      </w:r>
      <w:r w:rsidRPr="00B952B7">
        <w:t>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060BCB7B" w14:textId="77777777" w:rsidTr="00BB4EA2">
        <w:tc>
          <w:tcPr>
            <w:tcW w:w="5000" w:type="pct"/>
            <w:shd w:val="clear" w:color="auto" w:fill="99CDDD"/>
            <w:hideMark/>
          </w:tcPr>
          <w:p w14:paraId="3A3107FA" w14:textId="77777777" w:rsidR="00DA39FD" w:rsidRPr="00AE4D46" w:rsidRDefault="00217894" w:rsidP="00EC6FAD">
            <w:pPr>
              <w:pStyle w:val="TableHeadings"/>
              <w:rPr>
                <w:color w:val="002060"/>
                <w:szCs w:val="22"/>
              </w:rPr>
            </w:pPr>
            <w:r w:rsidRPr="00886DFF">
              <w:rPr>
                <w:szCs w:val="22"/>
              </w:rPr>
              <w:t>Purpose</w:t>
            </w:r>
          </w:p>
        </w:tc>
      </w:tr>
      <w:tr w:rsidR="00DA39FD" w:rsidRPr="0069218C" w14:paraId="56BFAA63" w14:textId="77777777" w:rsidTr="00BB4EA2">
        <w:trPr>
          <w:trHeight w:val="680"/>
        </w:trPr>
        <w:tc>
          <w:tcPr>
            <w:tcW w:w="5000" w:type="pct"/>
            <w:shd w:val="clear" w:color="auto" w:fill="EBF5F8"/>
          </w:tcPr>
          <w:p w14:paraId="4B3BF8AC" w14:textId="2BC8CC8E" w:rsidR="00DA39FD" w:rsidRPr="00E866E1" w:rsidRDefault="00E866E1" w:rsidP="00E866E1">
            <w:pPr>
              <w:spacing w:after="180"/>
              <w:rPr>
                <w:rFonts w:cs="Arial"/>
                <w:iCs/>
                <w:color w:val="000000"/>
                <w:szCs w:val="22"/>
              </w:rPr>
            </w:pPr>
            <w:r>
              <w:rPr>
                <w:rFonts w:cs="Arial"/>
                <w:i/>
                <w:color w:val="000000"/>
                <w:szCs w:val="22"/>
              </w:rPr>
              <w:t>Inland Revenue</w:t>
            </w:r>
            <w:r>
              <w:rPr>
                <w:rFonts w:cs="Arial"/>
                <w:iCs/>
                <w:color w:val="000000"/>
                <w:szCs w:val="22"/>
              </w:rPr>
              <w:t xml:space="preserve"> is solely responsible for the analysis and advice set out in this Impact Summary, except as otherwise explicitly indicated. This analysis and advice has been produced for the purpose of informing</w:t>
            </w:r>
            <w:r w:rsidRPr="00E866E1">
              <w:rPr>
                <w:rFonts w:cs="Arial"/>
                <w:iCs/>
                <w:color w:val="000000"/>
                <w:szCs w:val="22"/>
              </w:rPr>
              <w:t xml:space="preserve"> policy decisions to be made by Cabinet.</w:t>
            </w:r>
            <w:r w:rsidR="00F7345E">
              <w:t xml:space="preserve"> </w:t>
            </w:r>
          </w:p>
        </w:tc>
      </w:tr>
    </w:tbl>
    <w:p w14:paraId="11F871E2" w14:textId="77777777" w:rsidR="00F81C1E" w:rsidRDefault="00F81C1E"/>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3AE36782" w14:textId="77777777" w:rsidTr="00BB4EA2">
        <w:tc>
          <w:tcPr>
            <w:tcW w:w="5000" w:type="pct"/>
            <w:shd w:val="clear" w:color="auto" w:fill="99CDDD"/>
            <w:hideMark/>
          </w:tcPr>
          <w:p w14:paraId="03359D62" w14:textId="77777777" w:rsidR="00DA39FD" w:rsidRPr="00886DFF" w:rsidRDefault="00DA39FD" w:rsidP="00957BC2">
            <w:pPr>
              <w:pStyle w:val="TableHeadings"/>
              <w:keepNext/>
              <w:rPr>
                <w:szCs w:val="22"/>
              </w:rPr>
            </w:pPr>
            <w:r w:rsidRPr="00886DFF">
              <w:rPr>
                <w:szCs w:val="22"/>
              </w:rPr>
              <w:t>Key Limitations or Constraints on Analysis</w:t>
            </w:r>
          </w:p>
        </w:tc>
      </w:tr>
      <w:tr w:rsidR="0069218C" w:rsidRPr="0069218C" w14:paraId="4593227A" w14:textId="77777777" w:rsidTr="00BB4EA2">
        <w:trPr>
          <w:trHeight w:val="1780"/>
        </w:trPr>
        <w:tc>
          <w:tcPr>
            <w:tcW w:w="5000" w:type="pct"/>
            <w:shd w:val="clear" w:color="auto" w:fill="auto"/>
          </w:tcPr>
          <w:p w14:paraId="4C328973" w14:textId="62C10A67" w:rsidR="00A31BB7" w:rsidRPr="0069218C" w:rsidRDefault="00C365AE" w:rsidP="00A31BB7">
            <w:pPr>
              <w:spacing w:after="0" w:line="276" w:lineRule="auto"/>
              <w:jc w:val="both"/>
              <w:rPr>
                <w:rFonts w:cs="Arial"/>
                <w:szCs w:val="22"/>
              </w:rPr>
            </w:pPr>
            <w:r>
              <w:rPr>
                <w:rFonts w:cs="Arial"/>
                <w:szCs w:val="22"/>
              </w:rPr>
              <w:t>The options considered in this Impact Summary are</w:t>
            </w:r>
            <w:r w:rsidR="00646E5A">
              <w:rPr>
                <w:rFonts w:cs="Arial"/>
                <w:szCs w:val="22"/>
              </w:rPr>
              <w:t xml:space="preserve"> limited</w:t>
            </w:r>
            <w:r>
              <w:rPr>
                <w:rFonts w:cs="Arial"/>
                <w:szCs w:val="22"/>
              </w:rPr>
              <w:t xml:space="preserve"> </w:t>
            </w:r>
            <w:r w:rsidR="00646E5A">
              <w:rPr>
                <w:rFonts w:cs="Arial"/>
                <w:szCs w:val="22"/>
              </w:rPr>
              <w:t>to</w:t>
            </w:r>
            <w:r>
              <w:rPr>
                <w:rFonts w:cs="Arial"/>
                <w:szCs w:val="22"/>
              </w:rPr>
              <w:t xml:space="preserve"> </w:t>
            </w:r>
            <w:r w:rsidR="00646E5A">
              <w:rPr>
                <w:rFonts w:cs="Arial"/>
                <w:szCs w:val="22"/>
              </w:rPr>
              <w:t>those</w:t>
            </w:r>
            <w:r>
              <w:rPr>
                <w:rFonts w:cs="Arial"/>
                <w:szCs w:val="22"/>
              </w:rPr>
              <w:t xml:space="preserve"> which would be suitable for inclusion in the next omnibus tax bill. Accordingly, the analysis </w:t>
            </w:r>
            <w:r w:rsidR="009C4D55">
              <w:rPr>
                <w:rFonts w:cs="Arial"/>
                <w:szCs w:val="22"/>
              </w:rPr>
              <w:t>is</w:t>
            </w:r>
            <w:r>
              <w:rPr>
                <w:rFonts w:cs="Arial"/>
                <w:szCs w:val="22"/>
              </w:rPr>
              <w:t xml:space="preserve"> limited to options which have </w:t>
            </w:r>
            <w:r w:rsidR="00E2125E">
              <w:rPr>
                <w:rFonts w:cs="Arial"/>
                <w:szCs w:val="22"/>
              </w:rPr>
              <w:t>already</w:t>
            </w:r>
            <w:r w:rsidR="00646E5A">
              <w:rPr>
                <w:rFonts w:cs="Arial"/>
                <w:szCs w:val="22"/>
              </w:rPr>
              <w:t xml:space="preserve"> been</w:t>
            </w:r>
            <w:r w:rsidR="00E2125E">
              <w:rPr>
                <w:rFonts w:cs="Arial"/>
                <w:szCs w:val="22"/>
              </w:rPr>
              <w:t xml:space="preserve"> </w:t>
            </w:r>
            <w:r w:rsidR="009C4D55">
              <w:rPr>
                <w:rFonts w:cs="Arial"/>
                <w:szCs w:val="22"/>
              </w:rPr>
              <w:t>identified</w:t>
            </w:r>
            <w:r w:rsidR="00E2125E">
              <w:rPr>
                <w:rFonts w:cs="Arial"/>
                <w:szCs w:val="22"/>
              </w:rPr>
              <w:t xml:space="preserve"> </w:t>
            </w:r>
            <w:r w:rsidR="009C4D55">
              <w:rPr>
                <w:rFonts w:cs="Arial"/>
                <w:szCs w:val="22"/>
              </w:rPr>
              <w:t xml:space="preserve">and discussed </w:t>
            </w:r>
            <w:r w:rsidR="00E2125E">
              <w:rPr>
                <w:rFonts w:cs="Arial"/>
                <w:szCs w:val="22"/>
              </w:rPr>
              <w:t>during consultation</w:t>
            </w:r>
            <w:r w:rsidR="009C4D55">
              <w:rPr>
                <w:rFonts w:cs="Arial"/>
                <w:szCs w:val="22"/>
              </w:rPr>
              <w:t xml:space="preserve"> with stakeholders</w:t>
            </w:r>
            <w:r>
              <w:rPr>
                <w:rFonts w:cs="Arial"/>
                <w:szCs w:val="22"/>
              </w:rPr>
              <w:t>, would represent minor improvements to the existing rules</w:t>
            </w:r>
            <w:r w:rsidR="00646E5A">
              <w:rPr>
                <w:rFonts w:cs="Arial"/>
                <w:szCs w:val="22"/>
              </w:rPr>
              <w:t>,</w:t>
            </w:r>
            <w:r>
              <w:rPr>
                <w:rFonts w:cs="Arial"/>
                <w:szCs w:val="22"/>
              </w:rPr>
              <w:t xml:space="preserve"> and would not require substantial changes to current taxpayer practices.</w:t>
            </w:r>
          </w:p>
          <w:p w14:paraId="46CE51C2" w14:textId="77777777" w:rsidR="00E6054D" w:rsidRDefault="00E6054D" w:rsidP="00C7655A">
            <w:pPr>
              <w:spacing w:after="0" w:line="276" w:lineRule="auto"/>
              <w:jc w:val="both"/>
              <w:rPr>
                <w:rFonts w:cs="Arial"/>
                <w:szCs w:val="22"/>
              </w:rPr>
            </w:pPr>
          </w:p>
          <w:p w14:paraId="0BBBC360" w14:textId="19C1127C" w:rsidR="00C365AE" w:rsidRDefault="003D29DA" w:rsidP="00C7655A">
            <w:pPr>
              <w:spacing w:after="0" w:line="276" w:lineRule="auto"/>
              <w:jc w:val="both"/>
              <w:rPr>
                <w:rFonts w:cs="Arial"/>
                <w:szCs w:val="22"/>
              </w:rPr>
            </w:pPr>
            <w:r>
              <w:rPr>
                <w:rFonts w:cs="Arial"/>
                <w:szCs w:val="22"/>
              </w:rPr>
              <w:t>A further round of consultation will be used to develop</w:t>
            </w:r>
            <w:r w:rsidR="00E2125E">
              <w:rPr>
                <w:rFonts w:cs="Arial"/>
                <w:szCs w:val="22"/>
              </w:rPr>
              <w:t xml:space="preserve"> some major</w:t>
            </w:r>
            <w:r w:rsidR="00C365AE">
              <w:rPr>
                <w:rFonts w:cs="Arial"/>
                <w:szCs w:val="22"/>
              </w:rPr>
              <w:t xml:space="preserve"> reform options</w:t>
            </w:r>
            <w:r>
              <w:rPr>
                <w:rFonts w:cs="Arial"/>
                <w:szCs w:val="22"/>
              </w:rPr>
              <w:t xml:space="preserve"> to replace the current apportionment rules with much simpler rules. As this consultation is being used to develop the problem definition and identify major reform options, we are not seeking Cabinet decisions on these options currently, and a </w:t>
            </w:r>
            <w:r w:rsidR="00C365AE">
              <w:rPr>
                <w:rFonts w:cs="Arial"/>
                <w:szCs w:val="22"/>
              </w:rPr>
              <w:t>s</w:t>
            </w:r>
            <w:r>
              <w:rPr>
                <w:rFonts w:cs="Arial"/>
                <w:szCs w:val="22"/>
              </w:rPr>
              <w:t>ubsequent</w:t>
            </w:r>
            <w:r w:rsidR="00C365AE">
              <w:rPr>
                <w:rFonts w:cs="Arial"/>
                <w:szCs w:val="22"/>
              </w:rPr>
              <w:t xml:space="preserve"> RIA w</w:t>
            </w:r>
            <w:r>
              <w:rPr>
                <w:rFonts w:cs="Arial"/>
                <w:szCs w:val="22"/>
              </w:rPr>
              <w:t>ill</w:t>
            </w:r>
            <w:r w:rsidR="00C365AE">
              <w:rPr>
                <w:rFonts w:cs="Arial"/>
                <w:szCs w:val="22"/>
              </w:rPr>
              <w:t xml:space="preserve"> be prepared </w:t>
            </w:r>
            <w:r>
              <w:rPr>
                <w:rFonts w:cs="Arial"/>
                <w:szCs w:val="22"/>
              </w:rPr>
              <w:t>to analyse the</w:t>
            </w:r>
            <w:r w:rsidR="00C365AE">
              <w:rPr>
                <w:rFonts w:cs="Arial"/>
                <w:szCs w:val="22"/>
              </w:rPr>
              <w:t xml:space="preserve"> </w:t>
            </w:r>
            <w:r w:rsidR="00646E5A">
              <w:rPr>
                <w:rFonts w:cs="Arial"/>
                <w:szCs w:val="22"/>
              </w:rPr>
              <w:t xml:space="preserve">major reform </w:t>
            </w:r>
            <w:r w:rsidR="00C365AE">
              <w:rPr>
                <w:rFonts w:cs="Arial"/>
                <w:szCs w:val="22"/>
              </w:rPr>
              <w:t xml:space="preserve">options </w:t>
            </w:r>
            <w:r>
              <w:rPr>
                <w:rFonts w:cs="Arial"/>
                <w:szCs w:val="22"/>
              </w:rPr>
              <w:t>at a later date.</w:t>
            </w:r>
          </w:p>
          <w:p w14:paraId="7AC72995" w14:textId="74235D36" w:rsidR="00C365AE" w:rsidRPr="0069218C" w:rsidRDefault="00C365AE" w:rsidP="00C7655A">
            <w:pPr>
              <w:spacing w:after="0" w:line="276" w:lineRule="auto"/>
              <w:jc w:val="both"/>
              <w:rPr>
                <w:rFonts w:cs="Arial"/>
                <w:szCs w:val="22"/>
              </w:rPr>
            </w:pPr>
          </w:p>
        </w:tc>
      </w:tr>
      <w:tr w:rsidR="00DA39FD" w:rsidRPr="0069218C" w14:paraId="354CE8B4" w14:textId="77777777" w:rsidTr="00BB4EA2">
        <w:tc>
          <w:tcPr>
            <w:tcW w:w="5000" w:type="pct"/>
            <w:shd w:val="clear" w:color="auto" w:fill="99CDDD"/>
            <w:hideMark/>
          </w:tcPr>
          <w:p w14:paraId="389E8B25" w14:textId="77777777" w:rsidR="00DA39FD" w:rsidRPr="00886DFF" w:rsidRDefault="00DA39FD" w:rsidP="00EC6FAD">
            <w:pPr>
              <w:pStyle w:val="TableHeadings"/>
              <w:rPr>
                <w:szCs w:val="22"/>
              </w:rPr>
            </w:pPr>
            <w:r w:rsidRPr="00886DFF">
              <w:rPr>
                <w:szCs w:val="22"/>
              </w:rPr>
              <w:t>Responsible Manager (signature and date):</w:t>
            </w:r>
          </w:p>
        </w:tc>
      </w:tr>
      <w:tr w:rsidR="00E92509" w:rsidRPr="0069218C" w14:paraId="4DB19724" w14:textId="77777777" w:rsidTr="00BB4EA2">
        <w:trPr>
          <w:trHeight w:val="3108"/>
        </w:trPr>
        <w:tc>
          <w:tcPr>
            <w:tcW w:w="5000" w:type="pct"/>
            <w:shd w:val="clear" w:color="auto" w:fill="FFFFFF"/>
          </w:tcPr>
          <w:p w14:paraId="6DAB9601" w14:textId="77777777" w:rsidR="00F93065" w:rsidRDefault="00F93065" w:rsidP="00F93065">
            <w:pPr>
              <w:spacing w:after="0"/>
              <w:rPr>
                <w:rFonts w:cs="Arial"/>
                <w:szCs w:val="22"/>
              </w:rPr>
            </w:pPr>
          </w:p>
          <w:p w14:paraId="14C7EEA7" w14:textId="77777777" w:rsidR="00F93065" w:rsidRDefault="00F93065" w:rsidP="00F93065">
            <w:pPr>
              <w:spacing w:after="0"/>
              <w:rPr>
                <w:rFonts w:cs="Arial"/>
                <w:szCs w:val="22"/>
              </w:rPr>
            </w:pPr>
          </w:p>
          <w:p w14:paraId="12FFEEEF" w14:textId="6AA69C52" w:rsidR="00F93065" w:rsidRPr="007138D4" w:rsidRDefault="00F93065" w:rsidP="00F93065">
            <w:pPr>
              <w:spacing w:after="0"/>
              <w:rPr>
                <w:rFonts w:cs="Arial"/>
                <w:szCs w:val="22"/>
              </w:rPr>
            </w:pPr>
            <w:r>
              <w:rPr>
                <w:rFonts w:cs="Arial"/>
                <w:szCs w:val="22"/>
              </w:rPr>
              <w:t>Graeme Morrison</w:t>
            </w:r>
          </w:p>
          <w:p w14:paraId="7F7E0071" w14:textId="6F5608B2" w:rsidR="00F93065" w:rsidRPr="007138D4" w:rsidRDefault="00F93065" w:rsidP="00F93065">
            <w:pPr>
              <w:spacing w:after="0"/>
              <w:rPr>
                <w:rFonts w:cs="Arial"/>
                <w:szCs w:val="22"/>
              </w:rPr>
            </w:pPr>
            <w:r>
              <w:rPr>
                <w:rFonts w:cs="Arial"/>
                <w:szCs w:val="22"/>
              </w:rPr>
              <w:t xml:space="preserve">Policy </w:t>
            </w:r>
            <w:r w:rsidR="005E1CEE">
              <w:rPr>
                <w:rFonts w:cs="Arial"/>
                <w:szCs w:val="22"/>
              </w:rPr>
              <w:t>Lead</w:t>
            </w:r>
          </w:p>
          <w:p w14:paraId="1FE3E30B" w14:textId="4D1A7C6B" w:rsidR="00F93065" w:rsidRPr="007138D4" w:rsidRDefault="00F93065" w:rsidP="00F93065">
            <w:pPr>
              <w:spacing w:after="0"/>
              <w:rPr>
                <w:rFonts w:cs="Arial"/>
                <w:szCs w:val="22"/>
              </w:rPr>
            </w:pPr>
            <w:r>
              <w:rPr>
                <w:rFonts w:cs="Arial"/>
                <w:szCs w:val="22"/>
              </w:rPr>
              <w:t xml:space="preserve">Policy &amp; </w:t>
            </w:r>
            <w:r w:rsidR="005E1CEE">
              <w:rPr>
                <w:rFonts w:cs="Arial"/>
                <w:szCs w:val="22"/>
              </w:rPr>
              <w:t>Regulatory Stewardship</w:t>
            </w:r>
          </w:p>
          <w:p w14:paraId="0489D75F" w14:textId="77777777" w:rsidR="00F93065" w:rsidRDefault="00F93065" w:rsidP="00F93065">
            <w:pPr>
              <w:spacing w:after="0"/>
              <w:rPr>
                <w:rFonts w:cs="Arial"/>
                <w:szCs w:val="22"/>
              </w:rPr>
            </w:pPr>
            <w:r>
              <w:rPr>
                <w:rFonts w:cs="Arial"/>
                <w:szCs w:val="22"/>
              </w:rPr>
              <w:t>Inland Revenue</w:t>
            </w:r>
          </w:p>
          <w:p w14:paraId="3717F7BB" w14:textId="77777777" w:rsidR="00F93065" w:rsidRDefault="00F93065" w:rsidP="00F93065">
            <w:pPr>
              <w:spacing w:after="0"/>
              <w:rPr>
                <w:rFonts w:cs="Arial"/>
                <w:szCs w:val="22"/>
              </w:rPr>
            </w:pPr>
          </w:p>
          <w:p w14:paraId="08054841" w14:textId="683F5882" w:rsidR="00E92509" w:rsidRPr="0069218C" w:rsidRDefault="000F3D14" w:rsidP="00F93065">
            <w:pPr>
              <w:spacing w:after="180"/>
              <w:rPr>
                <w:rFonts w:cs="Arial"/>
                <w:szCs w:val="22"/>
              </w:rPr>
            </w:pPr>
            <w:r>
              <w:rPr>
                <w:rFonts w:cs="Arial"/>
                <w:szCs w:val="22"/>
              </w:rPr>
              <w:t>31</w:t>
            </w:r>
            <w:r w:rsidR="00F93065">
              <w:rPr>
                <w:rFonts w:cs="Arial"/>
                <w:szCs w:val="22"/>
              </w:rPr>
              <w:t xml:space="preserve"> </w:t>
            </w:r>
            <w:r w:rsidR="00CA6351">
              <w:rPr>
                <w:rFonts w:cs="Arial"/>
                <w:szCs w:val="22"/>
              </w:rPr>
              <w:t xml:space="preserve">May </w:t>
            </w:r>
            <w:r w:rsidR="00F93065">
              <w:rPr>
                <w:rFonts w:cs="Arial"/>
                <w:szCs w:val="22"/>
              </w:rPr>
              <w:t>202</w:t>
            </w:r>
            <w:r w:rsidR="00646E5A">
              <w:rPr>
                <w:rFonts w:cs="Arial"/>
                <w:szCs w:val="22"/>
              </w:rPr>
              <w:t>1</w:t>
            </w:r>
          </w:p>
        </w:tc>
      </w:tr>
    </w:tbl>
    <w:p w14:paraId="4D1670C2" w14:textId="64724C7B" w:rsidR="00EE447B" w:rsidRDefault="00EE447B" w:rsidP="007A484F">
      <w:pPr>
        <w:spacing w:before="240" w:after="0" w:line="276" w:lineRule="auto"/>
        <w:rPr>
          <w:rFonts w:ascii="Arial Narrow" w:hAnsi="Arial Narrow"/>
          <w:i/>
          <w:szCs w:val="22"/>
        </w:rPr>
      </w:pPr>
      <w:bookmarkStart w:id="0" w:name="_Toc363047038"/>
      <w:bookmarkStart w:id="1" w:name="_Toc362940530"/>
      <w:bookmarkStart w:id="2" w:name="_Toc362618966"/>
      <w:bookmarkStart w:id="3" w:name="_Toc362434720"/>
      <w:bookmarkStart w:id="4" w:name="_Toc362368098"/>
      <w:r>
        <w:rPr>
          <w:i/>
          <w:szCs w:val="22"/>
        </w:rPr>
        <w:t>To be completed by quality assurers:</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EE447B" w14:paraId="59A9A119" w14:textId="77777777" w:rsidTr="00BB4EA2">
        <w:trPr>
          <w:trHeight w:val="77"/>
        </w:trPr>
        <w:tc>
          <w:tcPr>
            <w:tcW w:w="9072" w:type="dxa"/>
            <w:shd w:val="clear" w:color="auto" w:fill="99CDDD"/>
            <w:hideMark/>
          </w:tcPr>
          <w:p w14:paraId="70F09C50" w14:textId="77777777" w:rsidR="00EE447B" w:rsidRDefault="00EE447B">
            <w:pPr>
              <w:spacing w:before="60" w:after="60" w:line="240" w:lineRule="auto"/>
              <w:rPr>
                <w:szCs w:val="22"/>
              </w:rPr>
            </w:pPr>
            <w:r>
              <w:rPr>
                <w:szCs w:val="22"/>
              </w:rPr>
              <w:t>Quality Assurance Reviewing Agency:</w:t>
            </w:r>
          </w:p>
        </w:tc>
      </w:tr>
      <w:tr w:rsidR="00EE447B" w14:paraId="4AD5579C" w14:textId="77777777" w:rsidTr="00BB4EA2">
        <w:trPr>
          <w:trHeight w:val="850"/>
        </w:trPr>
        <w:tc>
          <w:tcPr>
            <w:tcW w:w="9072" w:type="dxa"/>
            <w:shd w:val="clear" w:color="auto" w:fill="FFFFFF"/>
          </w:tcPr>
          <w:p w14:paraId="5B96159F" w14:textId="3F409EAF" w:rsidR="00EE447B" w:rsidRDefault="00B95E91" w:rsidP="00E6054D">
            <w:r>
              <w:t>Inland Revenue</w:t>
            </w:r>
          </w:p>
          <w:p w14:paraId="27C850ED" w14:textId="77777777" w:rsidR="00EE447B" w:rsidRDefault="00EE447B">
            <w:pPr>
              <w:pStyle w:val="spacer"/>
              <w:spacing w:line="276" w:lineRule="auto"/>
              <w:rPr>
                <w:sz w:val="22"/>
              </w:rPr>
            </w:pPr>
          </w:p>
        </w:tc>
      </w:tr>
      <w:tr w:rsidR="00EE447B" w14:paraId="01AACAE6" w14:textId="77777777" w:rsidTr="00BB4EA2">
        <w:trPr>
          <w:trHeight w:val="109"/>
        </w:trPr>
        <w:tc>
          <w:tcPr>
            <w:tcW w:w="9072" w:type="dxa"/>
            <w:shd w:val="clear" w:color="auto" w:fill="99CDDD"/>
            <w:hideMark/>
          </w:tcPr>
          <w:p w14:paraId="758EC865" w14:textId="77777777" w:rsidR="00EE447B" w:rsidRDefault="00EE447B">
            <w:pPr>
              <w:spacing w:before="60" w:after="60" w:line="240" w:lineRule="auto"/>
              <w:rPr>
                <w:szCs w:val="22"/>
              </w:rPr>
            </w:pPr>
            <w:r>
              <w:rPr>
                <w:szCs w:val="22"/>
              </w:rPr>
              <w:t>Quality Assurance Assessment:</w:t>
            </w:r>
          </w:p>
        </w:tc>
      </w:tr>
      <w:tr w:rsidR="00EE447B" w14:paraId="320B9AF8" w14:textId="77777777" w:rsidTr="00BB4EA2">
        <w:trPr>
          <w:trHeight w:val="850"/>
        </w:trPr>
        <w:tc>
          <w:tcPr>
            <w:tcW w:w="9072" w:type="dxa"/>
            <w:shd w:val="clear" w:color="auto" w:fill="FFFFFF"/>
          </w:tcPr>
          <w:p w14:paraId="017E5121" w14:textId="09B34067" w:rsidR="0058079B" w:rsidRDefault="0058079B" w:rsidP="0058079B">
            <w:r w:rsidRPr="00CB41E1">
              <w:t xml:space="preserve">The Quality Assurance reviewer at Inland Revenue has reviewed the </w:t>
            </w:r>
            <w:r w:rsidR="00B95E91">
              <w:rPr>
                <w:i/>
                <w:iCs/>
              </w:rPr>
              <w:t>GST apportionment</w:t>
            </w:r>
            <w:r w:rsidRPr="00CB41E1">
              <w:t xml:space="preserve"> Regulatory Impact Assessment prepared by Inland </w:t>
            </w:r>
            <w:proofErr w:type="gramStart"/>
            <w:r w:rsidRPr="00CB41E1">
              <w:t>Revenue, and</w:t>
            </w:r>
            <w:proofErr w:type="gramEnd"/>
            <w:r w:rsidRPr="00CB41E1">
              <w:t xml:space="preserve"> considers that the information and analysis summarised in the Regulatory Impact Assessment </w:t>
            </w:r>
            <w:r w:rsidRPr="00CB41E1">
              <w:rPr>
                <w:b/>
                <w:bCs/>
              </w:rPr>
              <w:t>meets</w:t>
            </w:r>
            <w:r w:rsidRPr="00CB41E1">
              <w:t xml:space="preserve"> the quality assurance criteria</w:t>
            </w:r>
            <w:r>
              <w:t>.</w:t>
            </w:r>
          </w:p>
          <w:p w14:paraId="1696CB8D" w14:textId="77777777" w:rsidR="00EE447B" w:rsidRDefault="00EE447B">
            <w:pPr>
              <w:pStyle w:val="spacer"/>
              <w:spacing w:line="276" w:lineRule="auto"/>
              <w:rPr>
                <w:sz w:val="22"/>
              </w:rPr>
            </w:pPr>
          </w:p>
        </w:tc>
      </w:tr>
      <w:tr w:rsidR="00EE447B" w14:paraId="2731CAD0" w14:textId="77777777" w:rsidTr="00BB4EA2">
        <w:trPr>
          <w:trHeight w:val="56"/>
        </w:trPr>
        <w:tc>
          <w:tcPr>
            <w:tcW w:w="9072" w:type="dxa"/>
            <w:shd w:val="clear" w:color="auto" w:fill="99CDDD"/>
            <w:hideMark/>
          </w:tcPr>
          <w:p w14:paraId="0244DF29" w14:textId="77777777" w:rsidR="00EE447B" w:rsidRDefault="00EE447B">
            <w:pPr>
              <w:spacing w:before="60" w:after="60" w:line="240" w:lineRule="auto"/>
              <w:rPr>
                <w:szCs w:val="22"/>
              </w:rPr>
            </w:pPr>
            <w:r>
              <w:rPr>
                <w:szCs w:val="22"/>
              </w:rPr>
              <w:lastRenderedPageBreak/>
              <w:t>Reviewer Comments and Recommendations:</w:t>
            </w:r>
          </w:p>
        </w:tc>
      </w:tr>
      <w:tr w:rsidR="00EE447B" w14:paraId="7B66F7F0" w14:textId="77777777" w:rsidTr="00BB4EA2">
        <w:trPr>
          <w:trHeight w:val="850"/>
        </w:trPr>
        <w:tc>
          <w:tcPr>
            <w:tcW w:w="9072" w:type="dxa"/>
            <w:shd w:val="clear" w:color="auto" w:fill="FFFFFF"/>
          </w:tcPr>
          <w:p w14:paraId="53750431" w14:textId="77777777" w:rsidR="00D8694D" w:rsidRDefault="00D8694D" w:rsidP="00D8694D">
            <w:r>
              <w:t>The reviewer’s comments on earlier versions of this Regulatory Impact Assessment have been incorporated into this version.</w:t>
            </w:r>
          </w:p>
          <w:p w14:paraId="2B6BCF00" w14:textId="77777777" w:rsidR="00EE447B" w:rsidRDefault="00EE447B" w:rsidP="00E6054D"/>
          <w:p w14:paraId="3F069AA1" w14:textId="6E4014D3" w:rsidR="00E6054D" w:rsidRDefault="00E6054D">
            <w:pPr>
              <w:pStyle w:val="spacer"/>
              <w:spacing w:line="276" w:lineRule="auto"/>
              <w:rPr>
                <w:sz w:val="22"/>
              </w:rPr>
            </w:pPr>
          </w:p>
        </w:tc>
      </w:tr>
    </w:tbl>
    <w:p w14:paraId="31001C64" w14:textId="4B01982B" w:rsidR="00E92509" w:rsidRDefault="00F132B2" w:rsidP="00414D0D">
      <w:pPr>
        <w:pStyle w:val="Heading2"/>
      </w:pPr>
      <w:r w:rsidRPr="0069218C">
        <w:rPr>
          <w:rFonts w:cs="Arial"/>
          <w:lang w:val="en-NZ"/>
        </w:rPr>
        <w:br w:type="page"/>
      </w:r>
      <w:r w:rsidR="00E92509" w:rsidRPr="002D5734">
        <w:t xml:space="preserve">Section 2: </w:t>
      </w:r>
      <w:bookmarkEnd w:id="0"/>
      <w:bookmarkEnd w:id="1"/>
      <w:bookmarkEnd w:id="2"/>
      <w:bookmarkEnd w:id="3"/>
      <w:bookmarkEnd w:id="4"/>
      <w:r w:rsidR="00304CE4" w:rsidRPr="002D5734">
        <w:t xml:space="preserve">Problem </w:t>
      </w:r>
      <w:r w:rsidR="0032262A" w:rsidRPr="002D5734">
        <w:t>d</w:t>
      </w:r>
      <w:r w:rsidR="00304CE4" w:rsidRPr="002D5734">
        <w:t>efinition</w:t>
      </w:r>
      <w:r w:rsidR="0032262A" w:rsidRPr="002D5734">
        <w:t xml:space="preserve"> and objectives</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06740BC8" w14:textId="77777777" w:rsidTr="00BB4EA2">
        <w:trPr>
          <w:trHeight w:val="77"/>
        </w:trPr>
        <w:tc>
          <w:tcPr>
            <w:tcW w:w="5000" w:type="pct"/>
            <w:shd w:val="clear" w:color="auto" w:fill="99CDDD"/>
            <w:hideMark/>
          </w:tcPr>
          <w:p w14:paraId="6C4DF9C6" w14:textId="77777777" w:rsidR="00E92509" w:rsidRPr="00886DFF" w:rsidRDefault="002A56F0" w:rsidP="00EC6FAD">
            <w:pPr>
              <w:pStyle w:val="TableHeadings"/>
              <w:rPr>
                <w:szCs w:val="22"/>
              </w:rPr>
            </w:pPr>
            <w:r w:rsidRPr="00886DFF">
              <w:rPr>
                <w:szCs w:val="22"/>
              </w:rPr>
              <w:t xml:space="preserve">2.1   </w:t>
            </w:r>
            <w:r w:rsidR="00051A88" w:rsidRPr="00886DFF">
              <w:rPr>
                <w:szCs w:val="22"/>
              </w:rPr>
              <w:t>What is the policy problem or opportunity</w:t>
            </w:r>
            <w:r w:rsidR="002106CB" w:rsidRPr="00886DFF">
              <w:rPr>
                <w:szCs w:val="22"/>
              </w:rPr>
              <w:t xml:space="preserve">? </w:t>
            </w:r>
          </w:p>
        </w:tc>
      </w:tr>
      <w:tr w:rsidR="00A552DC" w:rsidRPr="0069218C" w14:paraId="657BE5E1" w14:textId="77777777" w:rsidTr="004064A6">
        <w:trPr>
          <w:trHeight w:val="2018"/>
        </w:trPr>
        <w:tc>
          <w:tcPr>
            <w:tcW w:w="5000" w:type="pct"/>
            <w:shd w:val="clear" w:color="auto" w:fill="auto"/>
          </w:tcPr>
          <w:p w14:paraId="2066606C" w14:textId="56B27715" w:rsidR="00F132B2" w:rsidRDefault="00F93065" w:rsidP="00E6054D">
            <w:r>
              <w:rPr>
                <w:b/>
                <w:bCs/>
              </w:rPr>
              <w:t>Background</w:t>
            </w:r>
          </w:p>
          <w:p w14:paraId="2D96F941" w14:textId="77777777" w:rsidR="005944CA" w:rsidRDefault="000B1A0F" w:rsidP="000B1A0F">
            <w:pPr>
              <w:spacing w:line="240" w:lineRule="auto"/>
              <w:jc w:val="both"/>
              <w:rPr>
                <w:i/>
                <w:iCs/>
              </w:rPr>
            </w:pPr>
            <w:r w:rsidRPr="00F909C4">
              <w:t>The GST Act includes a set of apportionment and adjustment rules for determining GST input tax deductions when an asset such as a vehicle, farmhouse or home office is used partly to conduct a GST registered business and partly for a private or exempt use</w:t>
            </w:r>
            <w:r w:rsidRPr="000B1A0F">
              <w:rPr>
                <w:i/>
                <w:iCs/>
              </w:rPr>
              <w:t xml:space="preserve">. </w:t>
            </w:r>
          </w:p>
          <w:p w14:paraId="2B617F18" w14:textId="7D7814BD" w:rsidR="00594FD2" w:rsidRDefault="0097283A" w:rsidP="000B1A0F">
            <w:pPr>
              <w:spacing w:line="240" w:lineRule="auto"/>
              <w:jc w:val="both"/>
            </w:pPr>
            <w:r>
              <w:t>Officials</w:t>
            </w:r>
            <w:r w:rsidR="004915C5">
              <w:t xml:space="preserve"> do not hold data on how many of </w:t>
            </w:r>
            <w:r w:rsidR="00323607">
              <w:t>GST registered</w:t>
            </w:r>
            <w:r w:rsidR="004915C5">
              <w:t xml:space="preserve"> persons </w:t>
            </w:r>
            <w:r w:rsidR="00310C66">
              <w:t>would be required to</w:t>
            </w:r>
            <w:r w:rsidR="004915C5">
              <w:t xml:space="preserve"> apply the GST apportionment</w:t>
            </w:r>
            <w:r w:rsidR="00B6187D">
              <w:t xml:space="preserve"> rules, although it would be a small </w:t>
            </w:r>
            <w:r w:rsidR="00310C66">
              <w:t>percentage</w:t>
            </w:r>
            <w:r w:rsidR="00EA075B">
              <w:t xml:space="preserve"> of all registered persons</w:t>
            </w:r>
            <w:r w:rsidR="00FA75E0">
              <w:t xml:space="preserve"> (as most assets are solely used for business purposes)</w:t>
            </w:r>
            <w:r w:rsidR="00310C66">
              <w:t>.</w:t>
            </w:r>
            <w:r w:rsidR="00601587">
              <w:t xml:space="preserve"> </w:t>
            </w:r>
          </w:p>
          <w:p w14:paraId="339CFB6F" w14:textId="3A260259" w:rsidR="006230A3" w:rsidRDefault="006230A3" w:rsidP="006230A3">
            <w:pPr>
              <w:spacing w:line="240" w:lineRule="auto"/>
              <w:jc w:val="both"/>
            </w:pPr>
            <w:r w:rsidRPr="00FF7416">
              <w:t>In 2020</w:t>
            </w:r>
            <w:r>
              <w:t>, there were 660,000 GST registered persons (mostly businesses). Most G</w:t>
            </w:r>
            <w:r w:rsidRPr="007B0583">
              <w:t xml:space="preserve">ST registered persons </w:t>
            </w:r>
            <w:r>
              <w:t>ar</w:t>
            </w:r>
            <w:r w:rsidRPr="007B0583">
              <w:t>e</w:t>
            </w:r>
            <w:r>
              <w:t xml:space="preserve"> small businesses</w:t>
            </w:r>
            <w:r w:rsidR="00234395">
              <w:t xml:space="preserve"> -</w:t>
            </w:r>
            <w:r>
              <w:t xml:space="preserve"> 70% have</w:t>
            </w:r>
            <w:r w:rsidRPr="007B0583">
              <w:t xml:space="preserve"> less than $250,000 of annual sales.</w:t>
            </w:r>
            <w:r>
              <w:t xml:space="preserve"> </w:t>
            </w:r>
          </w:p>
          <w:p w14:paraId="70134158" w14:textId="20619582" w:rsidR="00F93065" w:rsidRPr="004E6A51" w:rsidRDefault="00F93065" w:rsidP="00F93065">
            <w:pPr>
              <w:pStyle w:val="NumberedParagraph"/>
              <w:tabs>
                <w:tab w:val="clear" w:pos="851"/>
              </w:tabs>
              <w:ind w:left="0" w:firstLine="0"/>
              <w:rPr>
                <w:rFonts w:ascii="Arial" w:hAnsi="Arial" w:cs="Arial"/>
                <w:sz w:val="22"/>
                <w:szCs w:val="22"/>
              </w:rPr>
            </w:pPr>
            <w:r w:rsidRPr="004E6A51">
              <w:rPr>
                <w:rFonts w:ascii="Arial" w:hAnsi="Arial" w:cs="Arial"/>
                <w:b/>
                <w:bCs/>
                <w:sz w:val="22"/>
                <w:szCs w:val="22"/>
              </w:rPr>
              <w:t>Current law</w:t>
            </w:r>
          </w:p>
          <w:p w14:paraId="4A6EEC1C" w14:textId="42118164" w:rsidR="00480A02" w:rsidRDefault="003637B8" w:rsidP="00480A02">
            <w:pPr>
              <w:pStyle w:val="NumberedParagraph"/>
              <w:tabs>
                <w:tab w:val="clear" w:pos="851"/>
              </w:tabs>
              <w:ind w:left="0" w:firstLine="0"/>
              <w:rPr>
                <w:rFonts w:ascii="Arial" w:hAnsi="Arial" w:cs="Arial"/>
                <w:sz w:val="22"/>
                <w:szCs w:val="22"/>
              </w:rPr>
            </w:pPr>
            <w:r>
              <w:rPr>
                <w:rFonts w:ascii="Arial" w:hAnsi="Arial" w:cs="Arial"/>
                <w:sz w:val="22"/>
                <w:szCs w:val="22"/>
              </w:rPr>
              <w:t>The current</w:t>
            </w:r>
            <w:r w:rsidR="0097283A">
              <w:rPr>
                <w:rFonts w:ascii="Arial" w:hAnsi="Arial" w:cs="Arial"/>
                <w:sz w:val="22"/>
                <w:szCs w:val="22"/>
              </w:rPr>
              <w:t xml:space="preserve"> GST apportionment</w:t>
            </w:r>
            <w:r>
              <w:rPr>
                <w:rFonts w:ascii="Arial" w:hAnsi="Arial" w:cs="Arial"/>
                <w:sz w:val="22"/>
                <w:szCs w:val="22"/>
              </w:rPr>
              <w:t xml:space="preserve"> rules</w:t>
            </w:r>
            <w:r w:rsidR="00C365AE">
              <w:rPr>
                <w:rFonts w:ascii="Arial" w:hAnsi="Arial" w:cs="Arial"/>
                <w:sz w:val="22"/>
                <w:szCs w:val="22"/>
              </w:rPr>
              <w:t xml:space="preserve"> are complex and prescriptive. </w:t>
            </w:r>
            <w:r w:rsidR="003D29DA">
              <w:rPr>
                <w:rFonts w:ascii="Arial" w:hAnsi="Arial" w:cs="Arial"/>
                <w:sz w:val="22"/>
                <w:szCs w:val="22"/>
              </w:rPr>
              <w:t>This can</w:t>
            </w:r>
            <w:r w:rsidR="00C365AE">
              <w:rPr>
                <w:rFonts w:ascii="Arial" w:hAnsi="Arial" w:cs="Arial"/>
                <w:sz w:val="22"/>
                <w:szCs w:val="22"/>
              </w:rPr>
              <w:t xml:space="preserve"> </w:t>
            </w:r>
            <w:r w:rsidR="003D29DA">
              <w:rPr>
                <w:rFonts w:ascii="Arial" w:hAnsi="Arial" w:cs="Arial"/>
                <w:sz w:val="22"/>
                <w:szCs w:val="22"/>
              </w:rPr>
              <w:t>impose two</w:t>
            </w:r>
            <w:r w:rsidR="00C365AE">
              <w:rPr>
                <w:rFonts w:ascii="Arial" w:hAnsi="Arial" w:cs="Arial"/>
                <w:sz w:val="22"/>
                <w:szCs w:val="22"/>
              </w:rPr>
              <w:t xml:space="preserve"> </w:t>
            </w:r>
            <w:r w:rsidR="003D29DA">
              <w:rPr>
                <w:rFonts w:ascii="Arial" w:hAnsi="Arial" w:cs="Arial"/>
                <w:sz w:val="22"/>
                <w:szCs w:val="22"/>
              </w:rPr>
              <w:t xml:space="preserve">types of </w:t>
            </w:r>
            <w:r w:rsidR="00C365AE">
              <w:rPr>
                <w:rFonts w:ascii="Arial" w:hAnsi="Arial" w:cs="Arial"/>
                <w:sz w:val="22"/>
                <w:szCs w:val="22"/>
              </w:rPr>
              <w:t>problem</w:t>
            </w:r>
            <w:r w:rsidR="00A62A3A">
              <w:rPr>
                <w:rFonts w:ascii="Arial" w:hAnsi="Arial" w:cs="Arial"/>
                <w:sz w:val="22"/>
                <w:szCs w:val="22"/>
              </w:rPr>
              <w:t>s</w:t>
            </w:r>
            <w:r w:rsidR="003D29DA">
              <w:rPr>
                <w:rFonts w:ascii="Arial" w:hAnsi="Arial" w:cs="Arial"/>
                <w:sz w:val="22"/>
                <w:szCs w:val="22"/>
              </w:rPr>
              <w:t xml:space="preserve"> on the affected GST registered suppliers</w:t>
            </w:r>
            <w:r w:rsidR="00C365AE">
              <w:rPr>
                <w:rFonts w:ascii="Arial" w:hAnsi="Arial" w:cs="Arial"/>
                <w:sz w:val="22"/>
                <w:szCs w:val="22"/>
              </w:rPr>
              <w:t>, high compliance costs and unfair outcomes</w:t>
            </w:r>
            <w:r w:rsidR="00162E99">
              <w:rPr>
                <w:rFonts w:ascii="Arial" w:hAnsi="Arial" w:cs="Arial"/>
                <w:sz w:val="22"/>
                <w:szCs w:val="22"/>
              </w:rPr>
              <w:t xml:space="preserve"> for some taxpayers</w:t>
            </w:r>
            <w:r w:rsidR="00C365AE">
              <w:rPr>
                <w:rFonts w:ascii="Arial" w:hAnsi="Arial" w:cs="Arial"/>
                <w:sz w:val="22"/>
                <w:szCs w:val="22"/>
              </w:rPr>
              <w:t>.</w:t>
            </w:r>
          </w:p>
          <w:p w14:paraId="349DC35A" w14:textId="77777777" w:rsidR="00747CD0" w:rsidRPr="00480A02" w:rsidRDefault="00747CD0" w:rsidP="00480A02">
            <w:pPr>
              <w:pStyle w:val="NumberedParagraph"/>
              <w:tabs>
                <w:tab w:val="clear" w:pos="851"/>
              </w:tabs>
              <w:ind w:left="0" w:firstLine="0"/>
              <w:rPr>
                <w:rFonts w:ascii="Arial" w:hAnsi="Arial" w:cs="Arial"/>
                <w:sz w:val="22"/>
                <w:szCs w:val="22"/>
              </w:rPr>
            </w:pPr>
          </w:p>
          <w:p w14:paraId="3781D363" w14:textId="59E4A6FE" w:rsidR="003D29DA" w:rsidRPr="00480A02" w:rsidRDefault="009C1185" w:rsidP="00480A02">
            <w:pPr>
              <w:spacing w:line="240" w:lineRule="auto"/>
              <w:jc w:val="both"/>
            </w:pPr>
            <w:r>
              <w:t>Anecdotal information from</w:t>
            </w:r>
            <w:r w:rsidR="007C399A">
              <w:t xml:space="preserve"> tax</w:t>
            </w:r>
            <w:r>
              <w:t xml:space="preserve"> advisors suggests that </w:t>
            </w:r>
            <w:r w:rsidR="00F31F82">
              <w:t>understanding of</w:t>
            </w:r>
            <w:r>
              <w:t xml:space="preserve"> the GST apportionment rules</w:t>
            </w:r>
            <w:r w:rsidR="007C399A">
              <w:t>,</w:t>
            </w:r>
            <w:r>
              <w:t xml:space="preserve"> and therefore compliance with these rules, is very low among smaller businesses and the self-employed. </w:t>
            </w:r>
          </w:p>
          <w:p w14:paraId="1BA0A2DB" w14:textId="71D47D72" w:rsidR="009773B3" w:rsidRDefault="00367DB4" w:rsidP="00C365AE">
            <w:pPr>
              <w:pStyle w:val="NumberedParagraph"/>
              <w:tabs>
                <w:tab w:val="clear" w:pos="851"/>
              </w:tabs>
              <w:ind w:left="0" w:firstLine="0"/>
              <w:rPr>
                <w:rFonts w:ascii="Arial" w:hAnsi="Arial" w:cs="Arial"/>
                <w:sz w:val="22"/>
                <w:szCs w:val="22"/>
              </w:rPr>
            </w:pPr>
            <w:r>
              <w:rPr>
                <w:rFonts w:ascii="Arial" w:hAnsi="Arial" w:cs="Arial"/>
                <w:sz w:val="22"/>
                <w:szCs w:val="22"/>
              </w:rPr>
              <w:t xml:space="preserve">Inland Revenue consulted on some discrete, technical issues with the GST current apportionment rules in 2020. </w:t>
            </w:r>
            <w:r w:rsidR="003D29DA">
              <w:rPr>
                <w:rFonts w:ascii="Arial" w:hAnsi="Arial" w:cs="Arial"/>
                <w:sz w:val="22"/>
                <w:szCs w:val="22"/>
              </w:rPr>
              <w:t>The</w:t>
            </w:r>
            <w:r w:rsidR="00163214">
              <w:rPr>
                <w:rFonts w:ascii="Arial" w:hAnsi="Arial" w:cs="Arial"/>
                <w:sz w:val="22"/>
                <w:szCs w:val="22"/>
              </w:rPr>
              <w:t xml:space="preserve">se issues </w:t>
            </w:r>
            <w:r w:rsidR="00BB141F">
              <w:rPr>
                <w:rFonts w:ascii="Arial" w:hAnsi="Arial" w:cs="Arial"/>
                <w:sz w:val="22"/>
                <w:szCs w:val="22"/>
              </w:rPr>
              <w:t>we</w:t>
            </w:r>
            <w:r w:rsidR="00163214">
              <w:rPr>
                <w:rFonts w:ascii="Arial" w:hAnsi="Arial" w:cs="Arial"/>
                <w:sz w:val="22"/>
                <w:szCs w:val="22"/>
              </w:rPr>
              <w:t>re</w:t>
            </w:r>
            <w:r w:rsidR="003D29DA">
              <w:rPr>
                <w:rFonts w:ascii="Arial" w:hAnsi="Arial" w:cs="Arial"/>
                <w:sz w:val="22"/>
                <w:szCs w:val="22"/>
              </w:rPr>
              <w:t>:</w:t>
            </w:r>
          </w:p>
          <w:p w14:paraId="32EDCFE8" w14:textId="1D5811E9" w:rsidR="000E656C" w:rsidRDefault="00473F40" w:rsidP="00C365AE">
            <w:pPr>
              <w:pStyle w:val="NumberedParagraph"/>
              <w:tabs>
                <w:tab w:val="clear" w:pos="851"/>
              </w:tabs>
              <w:ind w:left="0" w:firstLine="0"/>
              <w:rPr>
                <w:rFonts w:ascii="Arial" w:hAnsi="Arial" w:cs="Arial"/>
                <w:sz w:val="22"/>
                <w:szCs w:val="22"/>
              </w:rPr>
            </w:pPr>
            <w:r>
              <w:rPr>
                <w:rFonts w:ascii="Arial" w:hAnsi="Arial" w:cs="Arial"/>
                <w:sz w:val="22"/>
                <w:szCs w:val="22"/>
              </w:rPr>
              <w:t xml:space="preserve">The </w:t>
            </w:r>
            <w:r w:rsidRPr="00473F40">
              <w:rPr>
                <w:rFonts w:ascii="Arial" w:hAnsi="Arial" w:cs="Arial"/>
                <w:sz w:val="22"/>
                <w:szCs w:val="22"/>
              </w:rPr>
              <w:t>GST apportionment rules overtax sales of appreciating assets which are partly used for business and partly used privately, such as farmhouses and home offices</w:t>
            </w:r>
            <w:r>
              <w:rPr>
                <w:rFonts w:ascii="Arial" w:hAnsi="Arial" w:cs="Arial"/>
                <w:sz w:val="22"/>
                <w:szCs w:val="22"/>
              </w:rPr>
              <w:t>. For example</w:t>
            </w:r>
            <w:r w:rsidR="00B93EB4">
              <w:rPr>
                <w:rFonts w:ascii="Arial" w:hAnsi="Arial" w:cs="Arial"/>
                <w:sz w:val="22"/>
                <w:szCs w:val="22"/>
              </w:rPr>
              <w:t>,</w:t>
            </w:r>
            <w:r>
              <w:rPr>
                <w:rFonts w:ascii="Arial" w:hAnsi="Arial" w:cs="Arial"/>
                <w:sz w:val="22"/>
                <w:szCs w:val="22"/>
              </w:rPr>
              <w:t xml:space="preserve"> if a GST registered person purchased a house, used 20% of the property to run their consulting business and some years later sold the house at a higher price</w:t>
            </w:r>
            <w:r w:rsidR="00684CCF">
              <w:rPr>
                <w:rFonts w:ascii="Arial" w:hAnsi="Arial" w:cs="Arial"/>
                <w:sz w:val="22"/>
                <w:szCs w:val="22"/>
              </w:rPr>
              <w:t>, they</w:t>
            </w:r>
            <w:r>
              <w:rPr>
                <w:rFonts w:ascii="Arial" w:hAnsi="Arial" w:cs="Arial"/>
                <w:sz w:val="22"/>
                <w:szCs w:val="22"/>
              </w:rPr>
              <w:t xml:space="preserve"> would be required to pay GST output tax based on the full gain in value of the house, rather than just 20% of the gain which relates to the 20% of the property used in their business.</w:t>
            </w:r>
          </w:p>
          <w:p w14:paraId="6EFE30E9" w14:textId="4A655AF6" w:rsidR="00473F40" w:rsidRDefault="003F0FE2" w:rsidP="00C365AE">
            <w:pPr>
              <w:pStyle w:val="NumberedParagraph"/>
              <w:tabs>
                <w:tab w:val="clear" w:pos="851"/>
              </w:tabs>
              <w:ind w:left="0" w:firstLine="0"/>
              <w:rPr>
                <w:rFonts w:ascii="Arial" w:hAnsi="Arial" w:cs="Arial"/>
                <w:sz w:val="22"/>
                <w:szCs w:val="22"/>
              </w:rPr>
            </w:pPr>
            <w:r>
              <w:rPr>
                <w:rFonts w:ascii="Arial" w:hAnsi="Arial" w:cs="Arial"/>
                <w:sz w:val="22"/>
                <w:szCs w:val="22"/>
              </w:rPr>
              <w:t xml:space="preserve">The </w:t>
            </w:r>
            <w:r w:rsidR="00FB0B95">
              <w:rPr>
                <w:rFonts w:ascii="Arial" w:hAnsi="Arial" w:cs="Arial"/>
                <w:sz w:val="22"/>
                <w:szCs w:val="22"/>
              </w:rPr>
              <w:t xml:space="preserve">current rules are prescriptive </w:t>
            </w:r>
            <w:r w:rsidR="000C53CB">
              <w:rPr>
                <w:rFonts w:ascii="Arial" w:hAnsi="Arial" w:cs="Arial"/>
                <w:sz w:val="22"/>
                <w:szCs w:val="22"/>
              </w:rPr>
              <w:t>and</w:t>
            </w:r>
            <w:r w:rsidR="006B4A0B">
              <w:rPr>
                <w:rFonts w:ascii="Arial" w:hAnsi="Arial" w:cs="Arial"/>
                <w:sz w:val="22"/>
                <w:szCs w:val="22"/>
              </w:rPr>
              <w:t xml:space="preserve"> complex to apply</w:t>
            </w:r>
            <w:r w:rsidR="00285D10">
              <w:rPr>
                <w:rFonts w:ascii="Arial" w:hAnsi="Arial" w:cs="Arial"/>
                <w:sz w:val="22"/>
                <w:szCs w:val="22"/>
              </w:rPr>
              <w:t xml:space="preserve">. They </w:t>
            </w:r>
            <w:r w:rsidR="006B4A0B">
              <w:rPr>
                <w:rFonts w:ascii="Arial" w:hAnsi="Arial" w:cs="Arial"/>
                <w:sz w:val="22"/>
                <w:szCs w:val="22"/>
              </w:rPr>
              <w:t xml:space="preserve">do not </w:t>
            </w:r>
            <w:r>
              <w:rPr>
                <w:rFonts w:ascii="Arial" w:hAnsi="Arial" w:cs="Arial"/>
                <w:sz w:val="22"/>
                <w:szCs w:val="22"/>
              </w:rPr>
              <w:t xml:space="preserve">generally </w:t>
            </w:r>
            <w:r w:rsidR="006B4A0B">
              <w:rPr>
                <w:rFonts w:ascii="Arial" w:hAnsi="Arial" w:cs="Arial"/>
                <w:sz w:val="22"/>
                <w:szCs w:val="22"/>
              </w:rPr>
              <w:t xml:space="preserve">accommodate </w:t>
            </w:r>
            <w:r w:rsidR="00A83785">
              <w:rPr>
                <w:rFonts w:ascii="Arial" w:hAnsi="Arial" w:cs="Arial"/>
                <w:sz w:val="22"/>
                <w:szCs w:val="22"/>
              </w:rPr>
              <w:t xml:space="preserve">reasonable calculation </w:t>
            </w:r>
            <w:r w:rsidR="006B4A0B">
              <w:rPr>
                <w:rFonts w:ascii="Arial" w:hAnsi="Arial" w:cs="Arial"/>
                <w:sz w:val="22"/>
                <w:szCs w:val="22"/>
              </w:rPr>
              <w:t xml:space="preserve">methods which may have lower compliance costs. </w:t>
            </w:r>
            <w:r w:rsidR="005A725B">
              <w:rPr>
                <w:rFonts w:ascii="Arial" w:hAnsi="Arial" w:cs="Arial"/>
                <w:sz w:val="22"/>
                <w:szCs w:val="22"/>
              </w:rPr>
              <w:t>However,</w:t>
            </w:r>
            <w:r w:rsidR="00BB3FD9">
              <w:rPr>
                <w:rFonts w:ascii="Arial" w:hAnsi="Arial" w:cs="Arial"/>
                <w:sz w:val="22"/>
                <w:szCs w:val="22"/>
              </w:rPr>
              <w:t xml:space="preserve"> large </w:t>
            </w:r>
            <w:r w:rsidR="00473F40" w:rsidRPr="00473F40">
              <w:rPr>
                <w:rFonts w:ascii="Arial" w:hAnsi="Arial" w:cs="Arial"/>
                <w:sz w:val="22"/>
                <w:szCs w:val="22"/>
              </w:rPr>
              <w:t xml:space="preserve">GST registered suppliers </w:t>
            </w:r>
            <w:r w:rsidR="00982C1E" w:rsidRPr="00473F40">
              <w:rPr>
                <w:rFonts w:ascii="Arial" w:hAnsi="Arial" w:cs="Arial"/>
                <w:sz w:val="22"/>
                <w:szCs w:val="22"/>
              </w:rPr>
              <w:t>with more than $24m of annual turnover</w:t>
            </w:r>
            <w:r w:rsidR="00E82E4D">
              <w:rPr>
                <w:rFonts w:ascii="Arial" w:hAnsi="Arial" w:cs="Arial"/>
                <w:sz w:val="22"/>
                <w:szCs w:val="22"/>
              </w:rPr>
              <w:t xml:space="preserve"> (about </w:t>
            </w:r>
            <w:r w:rsidR="0044002A">
              <w:rPr>
                <w:rFonts w:ascii="Arial" w:hAnsi="Arial" w:cs="Arial"/>
                <w:sz w:val="22"/>
                <w:szCs w:val="22"/>
              </w:rPr>
              <w:t>3,</w:t>
            </w:r>
            <w:r w:rsidR="007A2CE2">
              <w:rPr>
                <w:rFonts w:ascii="Arial" w:hAnsi="Arial" w:cs="Arial"/>
                <w:sz w:val="22"/>
                <w:szCs w:val="22"/>
              </w:rPr>
              <w:t>7</w:t>
            </w:r>
            <w:r w:rsidR="0044002A">
              <w:rPr>
                <w:rFonts w:ascii="Arial" w:hAnsi="Arial" w:cs="Arial"/>
                <w:sz w:val="22"/>
                <w:szCs w:val="22"/>
              </w:rPr>
              <w:t xml:space="preserve">00 </w:t>
            </w:r>
            <w:r w:rsidR="000E306D">
              <w:rPr>
                <w:rFonts w:ascii="Arial" w:hAnsi="Arial" w:cs="Arial"/>
                <w:sz w:val="22"/>
                <w:szCs w:val="22"/>
              </w:rPr>
              <w:t>businesses</w:t>
            </w:r>
            <w:r w:rsidR="0044002A">
              <w:rPr>
                <w:rFonts w:ascii="Arial" w:hAnsi="Arial" w:cs="Arial"/>
                <w:sz w:val="22"/>
                <w:szCs w:val="22"/>
              </w:rPr>
              <w:t xml:space="preserve"> or</w:t>
            </w:r>
            <w:r w:rsidR="000E306D">
              <w:rPr>
                <w:rFonts w:ascii="Arial" w:hAnsi="Arial" w:cs="Arial"/>
                <w:sz w:val="22"/>
                <w:szCs w:val="22"/>
              </w:rPr>
              <w:t xml:space="preserve"> 0.5</w:t>
            </w:r>
            <w:r w:rsidR="007A2CE2">
              <w:rPr>
                <w:rFonts w:ascii="Arial" w:hAnsi="Arial" w:cs="Arial"/>
                <w:sz w:val="22"/>
                <w:szCs w:val="22"/>
              </w:rPr>
              <w:t>6</w:t>
            </w:r>
            <w:r w:rsidR="000E306D">
              <w:rPr>
                <w:rFonts w:ascii="Arial" w:hAnsi="Arial" w:cs="Arial"/>
                <w:sz w:val="22"/>
                <w:szCs w:val="22"/>
              </w:rPr>
              <w:t>% of all registered persons)</w:t>
            </w:r>
            <w:r w:rsidR="0044002A">
              <w:rPr>
                <w:rFonts w:ascii="Arial" w:hAnsi="Arial" w:cs="Arial"/>
                <w:sz w:val="22"/>
                <w:szCs w:val="22"/>
              </w:rPr>
              <w:t xml:space="preserve"> </w:t>
            </w:r>
            <w:r w:rsidR="00982C1E">
              <w:rPr>
                <w:rFonts w:ascii="Arial" w:hAnsi="Arial" w:cs="Arial"/>
                <w:sz w:val="22"/>
                <w:szCs w:val="22"/>
              </w:rPr>
              <w:t xml:space="preserve"> </w:t>
            </w:r>
            <w:r w:rsidR="00473F40">
              <w:rPr>
                <w:rFonts w:ascii="Arial" w:hAnsi="Arial" w:cs="Arial"/>
                <w:sz w:val="22"/>
                <w:szCs w:val="22"/>
              </w:rPr>
              <w:t>can</w:t>
            </w:r>
            <w:r w:rsidR="00473F40" w:rsidRPr="00473F40">
              <w:rPr>
                <w:rFonts w:ascii="Arial" w:hAnsi="Arial" w:cs="Arial"/>
                <w:sz w:val="22"/>
                <w:szCs w:val="22"/>
              </w:rPr>
              <w:t xml:space="preserve"> apply to Inland Revenue to approve an alternative apportionment metho</w:t>
            </w:r>
            <w:r w:rsidR="00BB3FD9">
              <w:rPr>
                <w:rFonts w:ascii="Arial" w:hAnsi="Arial" w:cs="Arial"/>
                <w:sz w:val="22"/>
                <w:szCs w:val="22"/>
              </w:rPr>
              <w:t>d</w:t>
            </w:r>
            <w:r w:rsidR="00D937A1">
              <w:rPr>
                <w:rFonts w:ascii="Arial" w:hAnsi="Arial" w:cs="Arial"/>
                <w:sz w:val="22"/>
                <w:szCs w:val="22"/>
              </w:rPr>
              <w:t xml:space="preserve"> (this is currently used by large financial institutions and retirement villages)</w:t>
            </w:r>
            <w:r w:rsidR="00BB3FD9">
              <w:rPr>
                <w:rFonts w:ascii="Arial" w:hAnsi="Arial" w:cs="Arial"/>
                <w:sz w:val="22"/>
                <w:szCs w:val="22"/>
              </w:rPr>
              <w:t xml:space="preserve">. </w:t>
            </w:r>
            <w:r>
              <w:rPr>
                <w:rFonts w:ascii="Arial" w:hAnsi="Arial" w:cs="Arial"/>
                <w:sz w:val="22"/>
                <w:szCs w:val="22"/>
              </w:rPr>
              <w:t>The rationale for th</w:t>
            </w:r>
            <w:r w:rsidR="00982C1E">
              <w:rPr>
                <w:rFonts w:ascii="Arial" w:hAnsi="Arial" w:cs="Arial"/>
                <w:sz w:val="22"/>
                <w:szCs w:val="22"/>
              </w:rPr>
              <w:t>is limitation</w:t>
            </w:r>
            <w:r>
              <w:rPr>
                <w:rFonts w:ascii="Arial" w:hAnsi="Arial" w:cs="Arial"/>
                <w:sz w:val="22"/>
                <w:szCs w:val="22"/>
              </w:rPr>
              <w:t xml:space="preserve"> </w:t>
            </w:r>
            <w:r w:rsidR="00982C1E">
              <w:rPr>
                <w:rFonts w:ascii="Arial" w:hAnsi="Arial" w:cs="Arial"/>
                <w:sz w:val="22"/>
                <w:szCs w:val="22"/>
              </w:rPr>
              <w:t>i</w:t>
            </w:r>
            <w:r>
              <w:rPr>
                <w:rFonts w:ascii="Arial" w:hAnsi="Arial" w:cs="Arial"/>
                <w:sz w:val="22"/>
                <w:szCs w:val="22"/>
              </w:rPr>
              <w:t xml:space="preserve">s that larger suppliers generally have more complex arrangements so were more likely to face </w:t>
            </w:r>
            <w:r w:rsidR="00FB0ED6">
              <w:rPr>
                <w:rFonts w:ascii="Arial" w:hAnsi="Arial" w:cs="Arial"/>
                <w:sz w:val="22"/>
                <w:szCs w:val="22"/>
              </w:rPr>
              <w:t>high</w:t>
            </w:r>
            <w:r>
              <w:rPr>
                <w:rFonts w:ascii="Arial" w:hAnsi="Arial" w:cs="Arial"/>
                <w:sz w:val="22"/>
                <w:szCs w:val="22"/>
              </w:rPr>
              <w:t xml:space="preserve"> compliance costs under the ordinary rules. Consequently, </w:t>
            </w:r>
            <w:r w:rsidRPr="00FF27C6">
              <w:rPr>
                <w:rFonts w:ascii="Arial" w:hAnsi="Arial" w:cs="Arial"/>
                <w:sz w:val="22"/>
                <w:szCs w:val="22"/>
              </w:rPr>
              <w:t xml:space="preserve">smaller suppliers </w:t>
            </w:r>
            <w:r>
              <w:rPr>
                <w:rFonts w:ascii="Arial" w:hAnsi="Arial" w:cs="Arial"/>
                <w:sz w:val="22"/>
                <w:szCs w:val="22"/>
              </w:rPr>
              <w:t xml:space="preserve">do not have an opportunity to </w:t>
            </w:r>
            <w:r w:rsidRPr="00FF27C6">
              <w:rPr>
                <w:rFonts w:ascii="Arial" w:hAnsi="Arial" w:cs="Arial"/>
                <w:sz w:val="22"/>
                <w:szCs w:val="22"/>
              </w:rPr>
              <w:t>reduce their compliance costs by applying to use a method which would have lower compliance costs than applying the main rules</w:t>
            </w:r>
            <w:r w:rsidR="00FB0ED6">
              <w:rPr>
                <w:rFonts w:ascii="Arial" w:hAnsi="Arial" w:cs="Arial"/>
                <w:sz w:val="22"/>
                <w:szCs w:val="22"/>
              </w:rPr>
              <w:t>.</w:t>
            </w:r>
            <w:r w:rsidR="00AC3005">
              <w:rPr>
                <w:rFonts w:ascii="Arial" w:hAnsi="Arial" w:cs="Arial"/>
                <w:sz w:val="22"/>
                <w:szCs w:val="22"/>
              </w:rPr>
              <w:t xml:space="preserve"> </w:t>
            </w:r>
          </w:p>
          <w:p w14:paraId="60158290" w14:textId="109ECDF8" w:rsidR="00163214" w:rsidRDefault="00163214" w:rsidP="00163214">
            <w:pPr>
              <w:pStyle w:val="NumberedParagraph"/>
              <w:tabs>
                <w:tab w:val="clear" w:pos="851"/>
              </w:tabs>
              <w:ind w:left="0" w:firstLine="0"/>
              <w:rPr>
                <w:rFonts w:ascii="Arial" w:hAnsi="Arial" w:cs="Arial"/>
                <w:sz w:val="22"/>
                <w:szCs w:val="22"/>
              </w:rPr>
            </w:pPr>
            <w:r>
              <w:rPr>
                <w:rFonts w:ascii="Arial" w:hAnsi="Arial" w:cs="Arial"/>
                <w:sz w:val="22"/>
                <w:szCs w:val="22"/>
              </w:rPr>
              <w:t xml:space="preserve">Officials recommend addressing these discrete issues as part of a </w:t>
            </w:r>
            <w:r w:rsidR="00747CD0">
              <w:rPr>
                <w:rFonts w:ascii="Arial" w:hAnsi="Arial" w:cs="Arial"/>
                <w:sz w:val="22"/>
                <w:szCs w:val="22"/>
              </w:rPr>
              <w:t>first phase of a wider apportionment project.</w:t>
            </w:r>
          </w:p>
          <w:p w14:paraId="759E2608" w14:textId="473A2B08" w:rsidR="002046CC" w:rsidRDefault="00367DB4" w:rsidP="00163214">
            <w:pPr>
              <w:pStyle w:val="NumberedParagraph"/>
              <w:tabs>
                <w:tab w:val="clear" w:pos="851"/>
              </w:tabs>
              <w:ind w:left="0" w:firstLine="0"/>
              <w:rPr>
                <w:rFonts w:ascii="Arial" w:hAnsi="Arial" w:cs="Arial"/>
                <w:sz w:val="22"/>
                <w:szCs w:val="22"/>
              </w:rPr>
            </w:pPr>
            <w:r>
              <w:rPr>
                <w:rFonts w:ascii="Arial" w:hAnsi="Arial" w:cs="Arial"/>
                <w:sz w:val="22"/>
                <w:szCs w:val="22"/>
              </w:rPr>
              <w:t>However,</w:t>
            </w:r>
            <w:r w:rsidR="00BE63FA">
              <w:rPr>
                <w:rFonts w:ascii="Arial" w:hAnsi="Arial" w:cs="Arial"/>
                <w:sz w:val="22"/>
                <w:szCs w:val="22"/>
              </w:rPr>
              <w:t xml:space="preserve"> the</w:t>
            </w:r>
            <w:r>
              <w:rPr>
                <w:rFonts w:ascii="Arial" w:hAnsi="Arial" w:cs="Arial"/>
                <w:sz w:val="22"/>
                <w:szCs w:val="22"/>
              </w:rPr>
              <w:t xml:space="preserve"> s</w:t>
            </w:r>
            <w:r w:rsidR="00567969">
              <w:rPr>
                <w:rFonts w:ascii="Arial" w:hAnsi="Arial" w:cs="Arial"/>
                <w:sz w:val="22"/>
                <w:szCs w:val="22"/>
              </w:rPr>
              <w:t xml:space="preserve">ubmissions </w:t>
            </w:r>
            <w:r>
              <w:rPr>
                <w:rFonts w:ascii="Arial" w:hAnsi="Arial" w:cs="Arial"/>
                <w:sz w:val="22"/>
                <w:szCs w:val="22"/>
              </w:rPr>
              <w:t>and subsequent discussions with tax advisors</w:t>
            </w:r>
            <w:r w:rsidR="00BE63FA">
              <w:rPr>
                <w:rFonts w:ascii="Arial" w:hAnsi="Arial" w:cs="Arial"/>
                <w:sz w:val="22"/>
                <w:szCs w:val="22"/>
              </w:rPr>
              <w:t xml:space="preserve"> have</w:t>
            </w:r>
            <w:r>
              <w:rPr>
                <w:rFonts w:ascii="Arial" w:hAnsi="Arial" w:cs="Arial"/>
                <w:sz w:val="22"/>
                <w:szCs w:val="22"/>
              </w:rPr>
              <w:t xml:space="preserve"> </w:t>
            </w:r>
            <w:r w:rsidR="00567969">
              <w:rPr>
                <w:rFonts w:ascii="Arial" w:hAnsi="Arial" w:cs="Arial"/>
                <w:sz w:val="22"/>
                <w:szCs w:val="22"/>
              </w:rPr>
              <w:t xml:space="preserve">raised </w:t>
            </w:r>
            <w:r w:rsidR="00874A9C">
              <w:rPr>
                <w:rFonts w:ascii="Arial" w:hAnsi="Arial" w:cs="Arial"/>
                <w:sz w:val="22"/>
                <w:szCs w:val="22"/>
              </w:rPr>
              <w:t xml:space="preserve">more fundamental </w:t>
            </w:r>
            <w:r w:rsidR="00567969">
              <w:rPr>
                <w:rFonts w:ascii="Arial" w:hAnsi="Arial" w:cs="Arial"/>
                <w:sz w:val="22"/>
                <w:szCs w:val="22"/>
              </w:rPr>
              <w:t xml:space="preserve">concerns with the complexity of the current apportionment rules and </w:t>
            </w:r>
            <w:r w:rsidR="00D72E60">
              <w:rPr>
                <w:rFonts w:ascii="Arial" w:hAnsi="Arial" w:cs="Arial"/>
                <w:sz w:val="22"/>
                <w:szCs w:val="22"/>
              </w:rPr>
              <w:t xml:space="preserve">the fact that </w:t>
            </w:r>
            <w:r w:rsidR="00CB2A8C" w:rsidRPr="00CB2A8C">
              <w:rPr>
                <w:rFonts w:ascii="Arial" w:hAnsi="Arial" w:cs="Arial"/>
                <w:sz w:val="22"/>
                <w:szCs w:val="22"/>
              </w:rPr>
              <w:t>understanding of the GST apportionment rules, and therefore compliance with these rules, is very low among smaller businesses and the self-employed</w:t>
            </w:r>
            <w:r w:rsidR="00DB6953">
              <w:rPr>
                <w:rFonts w:ascii="Arial" w:hAnsi="Arial" w:cs="Arial"/>
                <w:sz w:val="22"/>
                <w:szCs w:val="22"/>
              </w:rPr>
              <w:t xml:space="preserve"> – particularly in relation to houses which are partly used to conduct a registered person’s business</w:t>
            </w:r>
            <w:r w:rsidR="006F0CCA">
              <w:rPr>
                <w:rFonts w:ascii="Arial" w:hAnsi="Arial" w:cs="Arial"/>
                <w:sz w:val="22"/>
                <w:szCs w:val="22"/>
              </w:rPr>
              <w:t xml:space="preserve"> activity.</w:t>
            </w:r>
          </w:p>
          <w:p w14:paraId="17FF977D" w14:textId="77777777" w:rsidR="00163214" w:rsidRDefault="00163214" w:rsidP="00163214">
            <w:pPr>
              <w:spacing w:after="0" w:line="276" w:lineRule="auto"/>
              <w:jc w:val="both"/>
              <w:rPr>
                <w:rFonts w:cs="Arial"/>
                <w:szCs w:val="22"/>
              </w:rPr>
            </w:pPr>
          </w:p>
          <w:p w14:paraId="128DD047" w14:textId="15B2B144" w:rsidR="00163214" w:rsidRPr="00034587" w:rsidRDefault="006F0CCA" w:rsidP="00163214">
            <w:pPr>
              <w:spacing w:after="0" w:line="276" w:lineRule="auto"/>
              <w:jc w:val="both"/>
              <w:rPr>
                <w:rFonts w:cs="Arial"/>
                <w:szCs w:val="22"/>
              </w:rPr>
            </w:pPr>
            <w:r>
              <w:rPr>
                <w:rFonts w:cs="Arial"/>
                <w:szCs w:val="22"/>
              </w:rPr>
              <w:t>To address these concerns, a</w:t>
            </w:r>
            <w:r w:rsidR="00163214">
              <w:rPr>
                <w:rFonts w:cs="Arial"/>
                <w:szCs w:val="22"/>
              </w:rPr>
              <w:t xml:space="preserve"> further round of consultation will be used to develop some major reform options to replace the current apportionment rules with much simpler rules. As this consultation is being used to develop the problem definition and identify major reform options, we are not seeking Cabinet decisions on these options currently, and a subsequent </w:t>
            </w:r>
            <w:r>
              <w:rPr>
                <w:rFonts w:cs="Arial"/>
                <w:szCs w:val="22"/>
              </w:rPr>
              <w:t>Regulatory Impact Statement</w:t>
            </w:r>
            <w:r w:rsidR="00163214">
              <w:rPr>
                <w:rFonts w:cs="Arial"/>
                <w:szCs w:val="22"/>
              </w:rPr>
              <w:t xml:space="preserve"> will be prepared</w:t>
            </w:r>
            <w:r w:rsidR="0089107E">
              <w:rPr>
                <w:rFonts w:cs="Arial"/>
                <w:szCs w:val="22"/>
              </w:rPr>
              <w:t xml:space="preserve"> at a later date</w:t>
            </w:r>
            <w:r w:rsidR="00163214">
              <w:rPr>
                <w:rFonts w:cs="Arial"/>
                <w:szCs w:val="22"/>
              </w:rPr>
              <w:t xml:space="preserve"> on the major reform options </w:t>
            </w:r>
            <w:r w:rsidR="005A091F">
              <w:rPr>
                <w:rFonts w:cs="Arial"/>
                <w:szCs w:val="22"/>
              </w:rPr>
              <w:t>which will be progressed as a second phase of reforms.</w:t>
            </w:r>
          </w:p>
        </w:tc>
      </w:tr>
    </w:tbl>
    <w:p w14:paraId="5D2EE621" w14:textId="77777777" w:rsidR="00F132B2" w:rsidRPr="00567434" w:rsidRDefault="00F132B2"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546F69" w:rsidRPr="0069218C" w14:paraId="7B206C42" w14:textId="77777777" w:rsidTr="00BB4EA2">
        <w:trPr>
          <w:trHeight w:val="77"/>
        </w:trPr>
        <w:tc>
          <w:tcPr>
            <w:tcW w:w="5000" w:type="pct"/>
            <w:shd w:val="clear" w:color="auto" w:fill="99CDDD"/>
          </w:tcPr>
          <w:p w14:paraId="6B3F6C08" w14:textId="77777777" w:rsidR="00546F69" w:rsidRPr="00886DFF" w:rsidRDefault="00546F69" w:rsidP="00EC6FAD">
            <w:pPr>
              <w:pStyle w:val="TableHeadings"/>
              <w:rPr>
                <w:b w:val="0"/>
                <w:color w:val="1F4E79"/>
                <w:szCs w:val="22"/>
                <w:lang w:val="en-NZ"/>
              </w:rPr>
            </w:pPr>
            <w:r w:rsidRPr="00886DFF">
              <w:rPr>
                <w:szCs w:val="22"/>
                <w:lang w:val="en-NZ"/>
              </w:rPr>
              <w:t xml:space="preserve">2.2    </w:t>
            </w:r>
            <w:r w:rsidR="00C45246" w:rsidRPr="00886DFF">
              <w:rPr>
                <w:rFonts w:eastAsia="Calibri"/>
                <w:szCs w:val="22"/>
                <w:lang w:val="en-NZ" w:eastAsia="en-US"/>
              </w:rPr>
              <w:t xml:space="preserve">Who is affected and how? </w:t>
            </w:r>
          </w:p>
        </w:tc>
      </w:tr>
      <w:tr w:rsidR="00F132B2" w:rsidRPr="0069218C" w14:paraId="1FC33663" w14:textId="77777777" w:rsidTr="00BB4EA2">
        <w:trPr>
          <w:trHeight w:val="1779"/>
        </w:trPr>
        <w:tc>
          <w:tcPr>
            <w:tcW w:w="5000" w:type="pct"/>
            <w:shd w:val="clear" w:color="auto" w:fill="auto"/>
          </w:tcPr>
          <w:p w14:paraId="3F857891" w14:textId="77777777" w:rsidR="00F132B2" w:rsidRDefault="009773B3" w:rsidP="00683307">
            <w:r>
              <w:t>The apportionment and adjustment rules apply to GST registered persons who use an input (usually a capital asset) for a business purpose and also for a non-taxable (such as private use or a residential rental) purpose.</w:t>
            </w:r>
          </w:p>
          <w:p w14:paraId="5ADAEE3B" w14:textId="5C4DADDB" w:rsidR="009773B3" w:rsidRDefault="009773B3" w:rsidP="00683307">
            <w:r>
              <w:t>The issue of appreciating assets being overtaxed mainly affects residential or rural land and houses that are partly used for a business use. It</w:t>
            </w:r>
            <w:r w:rsidRPr="009773B3">
              <w:t xml:space="preserve"> </w:t>
            </w:r>
            <w:r>
              <w:t>generally af</w:t>
            </w:r>
            <w:r w:rsidRPr="009773B3">
              <w:t>fects</w:t>
            </w:r>
            <w:r w:rsidR="00AE18FA">
              <w:t xml:space="preserve"> GST-registered</w:t>
            </w:r>
            <w:r w:rsidRPr="009773B3">
              <w:t xml:space="preserve"> sole traders who use part of their own house to conduct their business</w:t>
            </w:r>
            <w:r w:rsidR="00AE18FA">
              <w:t>, or who intend to use</w:t>
            </w:r>
            <w:r w:rsidR="00AE18FA" w:rsidRPr="009773B3">
              <w:t xml:space="preserve"> part of their own house to conduct their business</w:t>
            </w:r>
            <w:r w:rsidRPr="009773B3">
              <w:t xml:space="preserve">. </w:t>
            </w:r>
            <w:r w:rsidR="00AE18FA">
              <w:t>It is less likely to affect other taxpayers, because u</w:t>
            </w:r>
            <w:r w:rsidRPr="009773B3">
              <w:t xml:space="preserve">nder other common ownership structures such as where the business is a company or partnership, or the house is owned by a company or trust, the house </w:t>
            </w:r>
            <w:r w:rsidR="009E07C3">
              <w:t>is</w:t>
            </w:r>
            <w:r w:rsidRPr="009773B3">
              <w:t xml:space="preserve"> not owned by the GST registered person, and the sale of the house is not subject to GST.</w:t>
            </w:r>
          </w:p>
          <w:p w14:paraId="17C29B0E" w14:textId="2AC1D814" w:rsidR="000E656C" w:rsidRPr="00735CAB" w:rsidRDefault="000E656C" w:rsidP="00683307">
            <w:r>
              <w:t>The ability to apply to Inland Revenue to approve a</w:t>
            </w:r>
            <w:r w:rsidR="00163214">
              <w:t>n</w:t>
            </w:r>
            <w:r>
              <w:t xml:space="preserve"> apportionment method is currently limited to GST registered persons who have more than $24m of annual turnover. </w:t>
            </w:r>
            <w:r w:rsidR="00AE18FA">
              <w:t xml:space="preserve">The proposal would </w:t>
            </w:r>
            <w:r w:rsidR="00F403DE">
              <w:t xml:space="preserve">benefit </w:t>
            </w:r>
            <w:r w:rsidR="00AE18FA">
              <w:t>GST registered persons</w:t>
            </w:r>
            <w:r w:rsidR="006E3B62">
              <w:t xml:space="preserve"> who have less than $24m of annual turnover</w:t>
            </w:r>
            <w:r w:rsidR="00F403DE">
              <w:t xml:space="preserve"> as it would allow them to </w:t>
            </w:r>
            <w:r w:rsidR="00D4750F">
              <w:t>apply to use a calculation method which has lower compliance costs than the default rules.</w:t>
            </w:r>
            <w:r w:rsidR="009E530A">
              <w:t xml:space="preserve"> </w:t>
            </w:r>
            <w:r w:rsidR="009E530A">
              <w:rPr>
                <w:rFonts w:cs="Arial"/>
                <w:szCs w:val="22"/>
              </w:rPr>
              <w:t>We do not know how many smaller suppliers would apply to use a</w:t>
            </w:r>
            <w:r w:rsidR="0093024A">
              <w:rPr>
                <w:rFonts w:cs="Arial"/>
                <w:szCs w:val="22"/>
              </w:rPr>
              <w:t xml:space="preserve">n alternative </w:t>
            </w:r>
            <w:r w:rsidR="009E530A">
              <w:rPr>
                <w:rFonts w:cs="Arial"/>
                <w:szCs w:val="22"/>
              </w:rPr>
              <w:t xml:space="preserve">calculation </w:t>
            </w:r>
            <w:proofErr w:type="gramStart"/>
            <w:r w:rsidR="009E530A">
              <w:rPr>
                <w:rFonts w:cs="Arial"/>
                <w:szCs w:val="22"/>
              </w:rPr>
              <w:t>method</w:t>
            </w:r>
            <w:proofErr w:type="gramEnd"/>
            <w:r w:rsidR="0093024A">
              <w:rPr>
                <w:rFonts w:cs="Arial"/>
                <w:szCs w:val="22"/>
              </w:rPr>
              <w:t xml:space="preserve"> but we expect the overall uptake will be low</w:t>
            </w:r>
            <w:r w:rsidR="0024323C">
              <w:rPr>
                <w:rFonts w:cs="Arial"/>
                <w:szCs w:val="22"/>
              </w:rPr>
              <w:t xml:space="preserve">, as </w:t>
            </w:r>
            <w:r w:rsidR="00DF3053">
              <w:rPr>
                <w:rFonts w:cs="Arial"/>
                <w:szCs w:val="22"/>
              </w:rPr>
              <w:t xml:space="preserve">most </w:t>
            </w:r>
            <w:r w:rsidR="0024323C">
              <w:rPr>
                <w:rFonts w:cs="Arial"/>
                <w:szCs w:val="22"/>
              </w:rPr>
              <w:t xml:space="preserve">suppliers do not need to apportion their inputs and there has been low uptake for alternative methods by larger suppliers. </w:t>
            </w:r>
          </w:p>
        </w:tc>
      </w:tr>
    </w:tbl>
    <w:p w14:paraId="1F0A46B0" w14:textId="77777777" w:rsidR="000C3197" w:rsidRPr="00567434" w:rsidRDefault="000C3197"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304CE4" w:rsidRPr="0069218C" w14:paraId="76ED6E00" w14:textId="77777777" w:rsidTr="00BB4EA2">
        <w:trPr>
          <w:trHeight w:val="77"/>
        </w:trPr>
        <w:tc>
          <w:tcPr>
            <w:tcW w:w="5000" w:type="pct"/>
            <w:shd w:val="clear" w:color="auto" w:fill="99CDDD"/>
          </w:tcPr>
          <w:p w14:paraId="684695CB" w14:textId="1CFD94F7" w:rsidR="00304CE4" w:rsidRPr="00886DFF" w:rsidRDefault="00651B5A" w:rsidP="00EC6FAD">
            <w:pPr>
              <w:pStyle w:val="TableHeadings"/>
              <w:rPr>
                <w:szCs w:val="22"/>
              </w:rPr>
            </w:pPr>
            <w:r>
              <w:rPr>
                <w:szCs w:val="22"/>
              </w:rPr>
              <w:t xml:space="preserve">2.3 </w:t>
            </w:r>
            <w:r w:rsidR="000917DB">
              <w:rPr>
                <w:szCs w:val="22"/>
              </w:rPr>
              <w:t xml:space="preserve">   </w:t>
            </w:r>
            <w:r>
              <w:rPr>
                <w:szCs w:val="22"/>
              </w:rPr>
              <w:t>What are the objectives sought in relation to the identified problem?</w:t>
            </w:r>
          </w:p>
        </w:tc>
      </w:tr>
      <w:tr w:rsidR="00F132B2" w:rsidRPr="0069218C" w14:paraId="465AC71A" w14:textId="77777777" w:rsidTr="00BB4EA2">
        <w:trPr>
          <w:trHeight w:val="1780"/>
        </w:trPr>
        <w:tc>
          <w:tcPr>
            <w:tcW w:w="5000" w:type="pct"/>
            <w:shd w:val="clear" w:color="auto" w:fill="auto"/>
          </w:tcPr>
          <w:p w14:paraId="0E7369D4" w14:textId="3900A785" w:rsidR="000D7CF2" w:rsidRDefault="00EA5F5A" w:rsidP="00EA5F5A">
            <w:r>
              <w:t xml:space="preserve">The objective </w:t>
            </w:r>
            <w:r w:rsidR="001667FA">
              <w:t xml:space="preserve">is to improve the fairness of GST outcomes and reduce the compliance costs imposed under GST </w:t>
            </w:r>
            <w:r w:rsidR="00367980">
              <w:t>apportionment and adjustment rules.</w:t>
            </w:r>
          </w:p>
          <w:p w14:paraId="6CCE6DE4" w14:textId="77777777" w:rsidR="00F132B2" w:rsidRPr="0069218C" w:rsidRDefault="00F132B2" w:rsidP="00C7655A">
            <w:pPr>
              <w:spacing w:after="0" w:line="276" w:lineRule="auto"/>
              <w:jc w:val="both"/>
              <w:rPr>
                <w:rFonts w:cs="Arial"/>
                <w:szCs w:val="22"/>
              </w:rPr>
            </w:pPr>
          </w:p>
        </w:tc>
      </w:tr>
    </w:tbl>
    <w:p w14:paraId="23951347" w14:textId="014101A8" w:rsidR="00E92509" w:rsidRDefault="00A552DC" w:rsidP="001B4792">
      <w:pPr>
        <w:pStyle w:val="Heading2"/>
      </w:pPr>
      <w:r w:rsidRPr="0069218C">
        <w:rPr>
          <w:lang w:val="en-NZ"/>
        </w:rPr>
        <w:br w:type="page"/>
      </w:r>
      <w:r w:rsidR="00BE62EB" w:rsidRPr="002D5734">
        <w:t xml:space="preserve">Section </w:t>
      </w:r>
      <w:r w:rsidR="00051A88">
        <w:t>3</w:t>
      </w:r>
      <w:r w:rsidR="00BE62EB" w:rsidRPr="002D5734">
        <w:t xml:space="preserve">: </w:t>
      </w:r>
      <w:r w:rsidR="00304CE4" w:rsidRPr="002D5734">
        <w:t xml:space="preserve">Options </w:t>
      </w:r>
      <w:r w:rsidR="00BE4A62" w:rsidRPr="002D5734">
        <w:t>identific</w:t>
      </w:r>
      <w:r w:rsidR="00304CE4" w:rsidRPr="002D5734">
        <w:t>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18EA2813" w14:textId="77777777" w:rsidTr="00BB4EA2">
        <w:trPr>
          <w:trHeight w:val="77"/>
        </w:trPr>
        <w:tc>
          <w:tcPr>
            <w:tcW w:w="5000" w:type="pct"/>
            <w:shd w:val="clear" w:color="auto" w:fill="99CDDD"/>
          </w:tcPr>
          <w:p w14:paraId="291154AD" w14:textId="77777777" w:rsidR="00051A88" w:rsidRPr="00886DFF" w:rsidRDefault="00B23E8A" w:rsidP="00380585">
            <w:pPr>
              <w:pStyle w:val="TableHeadings"/>
              <w:keepNext/>
              <w:rPr>
                <w:szCs w:val="22"/>
                <w:lang w:val="en-NZ"/>
              </w:rPr>
            </w:pPr>
            <w:r w:rsidRPr="00886DFF">
              <w:rPr>
                <w:szCs w:val="22"/>
                <w:lang w:val="en-NZ"/>
              </w:rPr>
              <w:t>3</w:t>
            </w:r>
            <w:r w:rsidR="00051A88" w:rsidRPr="00886DFF">
              <w:rPr>
                <w:szCs w:val="22"/>
                <w:lang w:val="en-NZ"/>
              </w:rPr>
              <w:t xml:space="preserve">.1   What options have been considered? </w:t>
            </w:r>
          </w:p>
        </w:tc>
      </w:tr>
      <w:tr w:rsidR="00F132B2" w:rsidRPr="0069218C" w14:paraId="482F9B2B" w14:textId="77777777" w:rsidTr="00BB4EA2">
        <w:trPr>
          <w:trHeight w:val="3161"/>
        </w:trPr>
        <w:tc>
          <w:tcPr>
            <w:tcW w:w="5000" w:type="pct"/>
            <w:shd w:val="clear" w:color="auto" w:fill="auto"/>
          </w:tcPr>
          <w:p w14:paraId="3871735C" w14:textId="01753387" w:rsidR="00F132B2" w:rsidRDefault="00C50565" w:rsidP="00C7655A">
            <w:r>
              <w:t>The following criteria was used to assess the options:</w:t>
            </w:r>
          </w:p>
          <w:p w14:paraId="7061A02C" w14:textId="6141A0C0" w:rsidR="00B1131A" w:rsidRDefault="009773B3" w:rsidP="00B1131A">
            <w:pPr>
              <w:pStyle w:val="ListParagraph"/>
              <w:numPr>
                <w:ilvl w:val="0"/>
                <w:numId w:val="43"/>
              </w:numPr>
            </w:pPr>
            <w:r>
              <w:t>Fairness</w:t>
            </w:r>
            <w:r w:rsidR="00163214">
              <w:t xml:space="preserve">. </w:t>
            </w:r>
            <w:r w:rsidR="00A90C10">
              <w:t xml:space="preserve">The option does not </w:t>
            </w:r>
            <w:r w:rsidR="00D851EB">
              <w:t>over</w:t>
            </w:r>
            <w:r w:rsidR="004A09A9">
              <w:t xml:space="preserve"> </w:t>
            </w:r>
            <w:r w:rsidR="00D851EB">
              <w:t xml:space="preserve">tax or </w:t>
            </w:r>
            <w:r w:rsidR="004A09A9">
              <w:t>under tax</w:t>
            </w:r>
            <w:r w:rsidR="00D851EB">
              <w:t xml:space="preserve"> the non-business use of the relevant asset. It also provides </w:t>
            </w:r>
            <w:r w:rsidR="008E0801">
              <w:t>reasonable</w:t>
            </w:r>
            <w:r w:rsidR="00D851EB">
              <w:t xml:space="preserve"> GST outcomes </w:t>
            </w:r>
            <w:r w:rsidR="00C2458D">
              <w:t>for the affected taxpayers compared to other taxpayers who have similar circumstances.</w:t>
            </w:r>
          </w:p>
          <w:p w14:paraId="05220DE2" w14:textId="77777777" w:rsidR="00B1131A" w:rsidRDefault="00B1131A" w:rsidP="00B1131A">
            <w:pPr>
              <w:pStyle w:val="ListParagraph"/>
            </w:pPr>
          </w:p>
          <w:p w14:paraId="3411827E" w14:textId="0D95977B" w:rsidR="00F57E8F" w:rsidRPr="00163214" w:rsidRDefault="00B1131A" w:rsidP="004C4415">
            <w:pPr>
              <w:pStyle w:val="ListParagraph"/>
              <w:numPr>
                <w:ilvl w:val="0"/>
                <w:numId w:val="43"/>
              </w:numPr>
            </w:pPr>
            <w:r>
              <w:t>Compliance costs</w:t>
            </w:r>
            <w:r w:rsidR="00163214">
              <w:t>.</w:t>
            </w:r>
            <w:r w:rsidRPr="00163214">
              <w:rPr>
                <w:szCs w:val="22"/>
              </w:rPr>
              <w:t xml:space="preserve"> </w:t>
            </w:r>
            <w:r w:rsidR="00B93EB4">
              <w:rPr>
                <w:szCs w:val="22"/>
              </w:rPr>
              <w:t>C</w:t>
            </w:r>
            <w:r w:rsidR="00A90C10">
              <w:rPr>
                <w:szCs w:val="22"/>
              </w:rPr>
              <w:t xml:space="preserve">ompliance costs </w:t>
            </w:r>
            <w:r w:rsidR="00B93EB4">
              <w:rPr>
                <w:szCs w:val="22"/>
              </w:rPr>
              <w:t>should be minimised as much as possible</w:t>
            </w:r>
            <w:r w:rsidR="00A90C10">
              <w:rPr>
                <w:szCs w:val="22"/>
              </w:rPr>
              <w:t>.</w:t>
            </w:r>
          </w:p>
          <w:p w14:paraId="008B21EE" w14:textId="77777777" w:rsidR="00B1131A" w:rsidRPr="00B1131A" w:rsidRDefault="00B1131A" w:rsidP="00B1131A">
            <w:pPr>
              <w:pStyle w:val="ListParagraph"/>
              <w:rPr>
                <w:szCs w:val="22"/>
              </w:rPr>
            </w:pPr>
          </w:p>
          <w:p w14:paraId="2037592E" w14:textId="57D8C606" w:rsidR="00163214" w:rsidRPr="00163214" w:rsidRDefault="00163214" w:rsidP="00163214">
            <w:pPr>
              <w:pStyle w:val="ListParagraph"/>
              <w:numPr>
                <w:ilvl w:val="0"/>
                <w:numId w:val="43"/>
              </w:numPr>
              <w:rPr>
                <w:szCs w:val="22"/>
              </w:rPr>
            </w:pPr>
            <w:r>
              <w:rPr>
                <w:szCs w:val="22"/>
              </w:rPr>
              <w:t xml:space="preserve">Ease of implementation. </w:t>
            </w:r>
            <w:r w:rsidR="009B7CD5">
              <w:rPr>
                <w:szCs w:val="22"/>
              </w:rPr>
              <w:t xml:space="preserve">The option </w:t>
            </w:r>
            <w:r w:rsidR="00105EA9">
              <w:rPr>
                <w:szCs w:val="22"/>
              </w:rPr>
              <w:t xml:space="preserve">is discrete, simple and </w:t>
            </w:r>
            <w:r w:rsidR="009B7CD5">
              <w:rPr>
                <w:szCs w:val="22"/>
              </w:rPr>
              <w:t>can be implemented quickly through the next available tax bill or a non-regulatory mechanism.</w:t>
            </w:r>
          </w:p>
          <w:p w14:paraId="5406F4CC" w14:textId="77777777" w:rsidR="00163214" w:rsidRDefault="00163214" w:rsidP="00163214">
            <w:pPr>
              <w:pStyle w:val="ListParagraph"/>
              <w:rPr>
                <w:szCs w:val="22"/>
              </w:rPr>
            </w:pPr>
          </w:p>
          <w:p w14:paraId="337CAEA1" w14:textId="038AB97F" w:rsidR="00C7655A" w:rsidRDefault="00B1131A" w:rsidP="00163214">
            <w:pPr>
              <w:pStyle w:val="ListParagraph"/>
              <w:numPr>
                <w:ilvl w:val="0"/>
                <w:numId w:val="43"/>
              </w:numPr>
              <w:rPr>
                <w:szCs w:val="22"/>
              </w:rPr>
            </w:pPr>
            <w:r w:rsidRPr="00B1131A">
              <w:rPr>
                <w:szCs w:val="22"/>
              </w:rPr>
              <w:t>Sustainability</w:t>
            </w:r>
            <w:r w:rsidR="00163214">
              <w:rPr>
                <w:szCs w:val="22"/>
              </w:rPr>
              <w:t>.</w:t>
            </w:r>
            <w:r w:rsidRPr="00B1131A">
              <w:rPr>
                <w:szCs w:val="22"/>
              </w:rPr>
              <w:t xml:space="preserve"> </w:t>
            </w:r>
            <w:r w:rsidR="00282F5E">
              <w:rPr>
                <w:szCs w:val="22"/>
              </w:rPr>
              <w:t>The option is</w:t>
            </w:r>
            <w:r w:rsidR="00967245">
              <w:rPr>
                <w:szCs w:val="22"/>
              </w:rPr>
              <w:t xml:space="preserve"> </w:t>
            </w:r>
            <w:r w:rsidR="00282F5E">
              <w:rPr>
                <w:szCs w:val="22"/>
              </w:rPr>
              <w:t xml:space="preserve">less likely to need to be amended or replaced in response to developments over time, particularly in relation to </w:t>
            </w:r>
            <w:r w:rsidR="00967245">
              <w:rPr>
                <w:szCs w:val="22"/>
              </w:rPr>
              <w:t>second phase which will consider major reforms to simplify the apportionment rules.</w:t>
            </w:r>
          </w:p>
          <w:p w14:paraId="555F256E" w14:textId="77777777" w:rsidR="00E62D94" w:rsidRDefault="00E62D94" w:rsidP="00E04C11">
            <w:pPr>
              <w:rPr>
                <w:b/>
                <w:bCs/>
                <w:i/>
                <w:iCs/>
                <w:szCs w:val="22"/>
              </w:rPr>
            </w:pPr>
          </w:p>
          <w:p w14:paraId="4E38DC39" w14:textId="2B3618B8" w:rsidR="00E04C11" w:rsidRPr="002109FE" w:rsidRDefault="00E04C11" w:rsidP="00E04C11">
            <w:pPr>
              <w:rPr>
                <w:b/>
                <w:bCs/>
                <w:i/>
                <w:iCs/>
                <w:szCs w:val="22"/>
              </w:rPr>
            </w:pPr>
            <w:r w:rsidRPr="002109FE">
              <w:rPr>
                <w:b/>
                <w:bCs/>
                <w:i/>
                <w:iCs/>
                <w:szCs w:val="22"/>
              </w:rPr>
              <w:t>Overtaxing</w:t>
            </w:r>
            <w:r w:rsidR="00FD067C" w:rsidRPr="002109FE">
              <w:rPr>
                <w:b/>
                <w:bCs/>
                <w:i/>
                <w:iCs/>
                <w:szCs w:val="22"/>
              </w:rPr>
              <w:t xml:space="preserve"> the</w:t>
            </w:r>
            <w:r w:rsidRPr="002109FE">
              <w:rPr>
                <w:b/>
                <w:bCs/>
                <w:i/>
                <w:iCs/>
                <w:szCs w:val="22"/>
              </w:rPr>
              <w:t xml:space="preserve"> sale of appreciating assets</w:t>
            </w:r>
          </w:p>
          <w:p w14:paraId="606FA62E" w14:textId="69553B09" w:rsidR="00D93F50" w:rsidRPr="002109FE" w:rsidRDefault="0018779D" w:rsidP="0018779D">
            <w:pPr>
              <w:rPr>
                <w:szCs w:val="22"/>
                <w:u w:val="single"/>
              </w:rPr>
            </w:pPr>
            <w:r w:rsidRPr="002109FE">
              <w:rPr>
                <w:szCs w:val="22"/>
                <w:u w:val="single"/>
              </w:rPr>
              <w:t xml:space="preserve">Option 1: </w:t>
            </w:r>
            <w:r w:rsidR="00B2025E">
              <w:rPr>
                <w:szCs w:val="22"/>
                <w:u w:val="single"/>
              </w:rPr>
              <w:t>S</w:t>
            </w:r>
            <w:r w:rsidR="00171998" w:rsidRPr="002109FE">
              <w:rPr>
                <w:szCs w:val="22"/>
                <w:u w:val="single"/>
              </w:rPr>
              <w:t>tatus quo</w:t>
            </w:r>
          </w:p>
          <w:p w14:paraId="739C268D" w14:textId="77777777" w:rsidR="00D93F50" w:rsidRDefault="00D93F50" w:rsidP="0018779D">
            <w:pPr>
              <w:rPr>
                <w:i/>
                <w:iCs/>
                <w:szCs w:val="22"/>
              </w:rPr>
            </w:pPr>
            <w:r>
              <w:rPr>
                <w:i/>
                <w:iCs/>
                <w:szCs w:val="22"/>
              </w:rPr>
              <w:t>Pros:</w:t>
            </w:r>
          </w:p>
          <w:p w14:paraId="05AAB83C" w14:textId="653D24E9" w:rsidR="00ED1AB6" w:rsidRPr="00ED1AB6" w:rsidRDefault="00BC08AB" w:rsidP="0018779D">
            <w:pPr>
              <w:rPr>
                <w:szCs w:val="22"/>
              </w:rPr>
            </w:pPr>
            <w:r>
              <w:rPr>
                <w:szCs w:val="22"/>
              </w:rPr>
              <w:t>Not rushing to solve th</w:t>
            </w:r>
            <w:r w:rsidR="00703522">
              <w:rPr>
                <w:szCs w:val="22"/>
              </w:rPr>
              <w:t>is</w:t>
            </w:r>
            <w:r>
              <w:rPr>
                <w:szCs w:val="22"/>
              </w:rPr>
              <w:t xml:space="preserve"> issue would allow a fuller range of options to be considered as part of the consultation process to develop major reforms to the apportionment rules. Some of these major reform options could be more effective.</w:t>
            </w:r>
          </w:p>
          <w:p w14:paraId="77AA0FC3" w14:textId="664F277C" w:rsidR="00FD067C" w:rsidRPr="00D93F50" w:rsidRDefault="00D93F50" w:rsidP="0018779D">
            <w:pPr>
              <w:rPr>
                <w:i/>
                <w:iCs/>
                <w:szCs w:val="22"/>
              </w:rPr>
            </w:pPr>
            <w:r w:rsidRPr="00D93F50">
              <w:rPr>
                <w:i/>
                <w:iCs/>
                <w:szCs w:val="22"/>
              </w:rPr>
              <w:t>Cons:</w:t>
            </w:r>
            <w:r w:rsidR="00171998" w:rsidRPr="00D93F50">
              <w:rPr>
                <w:i/>
                <w:iCs/>
                <w:szCs w:val="22"/>
              </w:rPr>
              <w:t xml:space="preserve"> </w:t>
            </w:r>
          </w:p>
          <w:p w14:paraId="251EB91F" w14:textId="36E505B7" w:rsidR="00085976" w:rsidRDefault="006D2A82" w:rsidP="0018779D">
            <w:pPr>
              <w:rPr>
                <w:szCs w:val="22"/>
              </w:rPr>
            </w:pPr>
            <w:r w:rsidRPr="006D2A82">
              <w:rPr>
                <w:szCs w:val="22"/>
              </w:rPr>
              <w:t xml:space="preserve">Affected taxpayers who comply with the GST rules are overtaxed relative to taxpayers who own their assets though an entity.  </w:t>
            </w:r>
            <w:r w:rsidR="00584C60">
              <w:rPr>
                <w:szCs w:val="22"/>
              </w:rPr>
              <w:t xml:space="preserve">This is unfair and could discourage compliance with GST and </w:t>
            </w:r>
            <w:r w:rsidR="00085976">
              <w:rPr>
                <w:szCs w:val="22"/>
              </w:rPr>
              <w:t xml:space="preserve">their </w:t>
            </w:r>
            <w:r w:rsidR="00584C60">
              <w:rPr>
                <w:szCs w:val="22"/>
              </w:rPr>
              <w:t>other tax obligations.</w:t>
            </w:r>
          </w:p>
          <w:p w14:paraId="799254D4" w14:textId="0B191D2B" w:rsidR="00744B02" w:rsidRDefault="00744B02" w:rsidP="0018779D">
            <w:pPr>
              <w:rPr>
                <w:szCs w:val="22"/>
              </w:rPr>
            </w:pPr>
            <w:r>
              <w:rPr>
                <w:szCs w:val="22"/>
              </w:rPr>
              <w:t xml:space="preserve">Unlikely to be sustainable as </w:t>
            </w:r>
            <w:r w:rsidR="001A4B95">
              <w:rPr>
                <w:szCs w:val="22"/>
              </w:rPr>
              <w:t xml:space="preserve">some tax advisors </w:t>
            </w:r>
            <w:r>
              <w:rPr>
                <w:szCs w:val="22"/>
              </w:rPr>
              <w:t>are raising concerns about the unfair outcomes that can arise under the current rules and how they conflict with current practices.</w:t>
            </w:r>
          </w:p>
          <w:p w14:paraId="49E95549" w14:textId="64B108C6" w:rsidR="00171998" w:rsidRDefault="00171998" w:rsidP="0018779D">
            <w:pPr>
              <w:rPr>
                <w:szCs w:val="22"/>
                <w:u w:val="single"/>
              </w:rPr>
            </w:pPr>
            <w:r w:rsidRPr="002109FE">
              <w:rPr>
                <w:szCs w:val="22"/>
                <w:u w:val="single"/>
              </w:rPr>
              <w:t>Option 2:</w:t>
            </w:r>
            <w:r w:rsidR="006E5AA9" w:rsidRPr="002109FE">
              <w:rPr>
                <w:szCs w:val="22"/>
                <w:u w:val="single"/>
              </w:rPr>
              <w:t xml:space="preserve"> </w:t>
            </w:r>
            <w:r w:rsidR="00155C46" w:rsidRPr="002109FE">
              <w:rPr>
                <w:szCs w:val="22"/>
                <w:u w:val="single"/>
              </w:rPr>
              <w:t xml:space="preserve">Allow a deduction </w:t>
            </w:r>
            <w:r w:rsidR="00D93F50" w:rsidRPr="002109FE">
              <w:rPr>
                <w:szCs w:val="22"/>
                <w:u w:val="single"/>
              </w:rPr>
              <w:t>which correctly reflects the non-taxable use of the asset</w:t>
            </w:r>
          </w:p>
          <w:p w14:paraId="492E7190" w14:textId="77777777" w:rsidR="004966C5" w:rsidRDefault="004966C5" w:rsidP="004966C5">
            <w:pPr>
              <w:rPr>
                <w:i/>
                <w:iCs/>
                <w:szCs w:val="22"/>
              </w:rPr>
            </w:pPr>
            <w:r>
              <w:rPr>
                <w:i/>
                <w:iCs/>
                <w:szCs w:val="22"/>
              </w:rPr>
              <w:t>Pros:</w:t>
            </w:r>
          </w:p>
          <w:p w14:paraId="20D0EEA6" w14:textId="77777777" w:rsidR="00141E10" w:rsidRDefault="00BA276B" w:rsidP="004966C5">
            <w:r>
              <w:rPr>
                <w:szCs w:val="22"/>
              </w:rPr>
              <w:t xml:space="preserve">Improves fairness by </w:t>
            </w:r>
            <w:r>
              <w:t>ensuring the GST rules</w:t>
            </w:r>
            <w:r w:rsidRPr="00F909C4">
              <w:t xml:space="preserve"> do not overtax sales of appreciating assets which are partly used for business and partly used privately, such as farmhouses and home offices, by allowing a deduction which correctly reflects the non-taxable us</w:t>
            </w:r>
            <w:r>
              <w:t>e</w:t>
            </w:r>
            <w:r w:rsidRPr="00C93B8A">
              <w:t>.</w:t>
            </w:r>
          </w:p>
          <w:p w14:paraId="7D0DE77A" w14:textId="1073F56E" w:rsidR="00BA276B" w:rsidRDefault="00AD5BDE" w:rsidP="004966C5">
            <w:pPr>
              <w:rPr>
                <w:szCs w:val="22"/>
              </w:rPr>
            </w:pPr>
            <w:r>
              <w:rPr>
                <w:szCs w:val="22"/>
              </w:rPr>
              <w:t>Option 2 involves a</w:t>
            </w:r>
            <w:r w:rsidR="00141E10">
              <w:rPr>
                <w:szCs w:val="22"/>
              </w:rPr>
              <w:t xml:space="preserve"> simple amendment which can easily be</w:t>
            </w:r>
            <w:r w:rsidR="00BA276B">
              <w:rPr>
                <w:szCs w:val="22"/>
              </w:rPr>
              <w:t xml:space="preserve"> implement</w:t>
            </w:r>
            <w:r w:rsidR="00141E10">
              <w:rPr>
                <w:szCs w:val="22"/>
              </w:rPr>
              <w:t>ed</w:t>
            </w:r>
            <w:r w:rsidR="00330AC1">
              <w:rPr>
                <w:szCs w:val="22"/>
              </w:rPr>
              <w:t xml:space="preserve"> in the next taxation bill. The proposal has been consulted on and </w:t>
            </w:r>
            <w:r w:rsidR="0082699E">
              <w:rPr>
                <w:szCs w:val="22"/>
              </w:rPr>
              <w:t>wa</w:t>
            </w:r>
            <w:r w:rsidR="00330AC1">
              <w:rPr>
                <w:szCs w:val="22"/>
              </w:rPr>
              <w:t xml:space="preserve">s supported by </w:t>
            </w:r>
            <w:r w:rsidR="0086728F">
              <w:rPr>
                <w:szCs w:val="22"/>
              </w:rPr>
              <w:t>tax advisors which submitted on the GST policy issues paper.</w:t>
            </w:r>
          </w:p>
          <w:p w14:paraId="4BA5AC3E" w14:textId="7FA645A9" w:rsidR="004F42BC" w:rsidRPr="00960C57" w:rsidRDefault="008C2F94" w:rsidP="004F42BC">
            <w:r>
              <w:rPr>
                <w:szCs w:val="22"/>
              </w:rPr>
              <w:t>O</w:t>
            </w:r>
            <w:r w:rsidR="004F42BC">
              <w:rPr>
                <w:szCs w:val="22"/>
              </w:rPr>
              <w:t xml:space="preserve">ption 2 ensures that compliant taxpayers would not be overtaxed in respect of their non-taxable use of the asset which may encourage better compliance. </w:t>
            </w:r>
            <w:r w:rsidR="004F42BC">
              <w:t>We have assumed that any of the affected taxpayers that do return GST on the sale of their house are only returning GST in respect of the percentage of the house used for business use. This assumption is supported by the fact that some tax advisors have told us they consider another existing rule in the GST Act may apply which provides for the same outcome as option 2, although the application of this rule is uncertain so a regulatory solution is preferred to provide certainty that a deduction can be taken to correctly reflect the non-taxable use.</w:t>
            </w:r>
          </w:p>
          <w:p w14:paraId="1E7C337C" w14:textId="025BCB07" w:rsidR="004966C5" w:rsidRDefault="004966C5" w:rsidP="004966C5">
            <w:pPr>
              <w:rPr>
                <w:i/>
                <w:iCs/>
                <w:szCs w:val="22"/>
              </w:rPr>
            </w:pPr>
            <w:r w:rsidRPr="00D93F50">
              <w:rPr>
                <w:i/>
                <w:iCs/>
                <w:szCs w:val="22"/>
              </w:rPr>
              <w:t xml:space="preserve">Cons: </w:t>
            </w:r>
          </w:p>
          <w:p w14:paraId="3F5B11F8" w14:textId="3CFDD916" w:rsidR="00B63A3B" w:rsidRDefault="00A976F3" w:rsidP="00B63A3B">
            <w:r>
              <w:rPr>
                <w:szCs w:val="22"/>
              </w:rPr>
              <w:t xml:space="preserve">This option does not align with current </w:t>
            </w:r>
            <w:r w:rsidRPr="00A976F3">
              <w:rPr>
                <w:szCs w:val="22"/>
              </w:rPr>
              <w:t>behaviour of the affected taxpayers, which is not to account for GST on their own home, even if it is used partly for business</w:t>
            </w:r>
            <w:r>
              <w:rPr>
                <w:szCs w:val="22"/>
              </w:rPr>
              <w:t xml:space="preserve">. </w:t>
            </w:r>
            <w:r w:rsidR="00B63A3B">
              <w:t xml:space="preserve"> Based on discussions with tax advisors, officials understand that very few of the affected taxpayers are currently returning GST on the disposal of their homes. </w:t>
            </w:r>
          </w:p>
          <w:p w14:paraId="16888B62" w14:textId="1B3FC803" w:rsidR="00DE0F84" w:rsidRPr="00DE0F84" w:rsidRDefault="00680946" w:rsidP="004966C5">
            <w:pPr>
              <w:rPr>
                <w:szCs w:val="22"/>
              </w:rPr>
            </w:pPr>
            <w:r>
              <w:rPr>
                <w:szCs w:val="22"/>
              </w:rPr>
              <w:t>T</w:t>
            </w:r>
            <w:r w:rsidR="00B422F5">
              <w:rPr>
                <w:szCs w:val="22"/>
              </w:rPr>
              <w:t>he affected sole traders are likely to consider that the GST outcomes under this option are</w:t>
            </w:r>
            <w:r>
              <w:rPr>
                <w:szCs w:val="22"/>
              </w:rPr>
              <w:t xml:space="preserve"> still</w:t>
            </w:r>
            <w:r w:rsidR="00B422F5">
              <w:rPr>
                <w:szCs w:val="22"/>
              </w:rPr>
              <w:t xml:space="preserve"> unfair as they would face GST liabilities on their homes which would not arise</w:t>
            </w:r>
            <w:r>
              <w:rPr>
                <w:szCs w:val="22"/>
              </w:rPr>
              <w:t xml:space="preserve"> for similar taxpayers which use other common ownership structures. </w:t>
            </w:r>
            <w:r w:rsidR="00997468">
              <w:rPr>
                <w:szCs w:val="22"/>
              </w:rPr>
              <w:t xml:space="preserve">For this reason, </w:t>
            </w:r>
            <w:r w:rsidR="00D777AB">
              <w:rPr>
                <w:szCs w:val="22"/>
              </w:rPr>
              <w:t xml:space="preserve">option 2 is unlikely </w:t>
            </w:r>
            <w:r w:rsidR="00D63765">
              <w:rPr>
                <w:szCs w:val="22"/>
              </w:rPr>
              <w:t xml:space="preserve">to sufficiently address stakeholder’s concerns and a second phase of consultation on wider reform options </w:t>
            </w:r>
            <w:r w:rsidR="00672171">
              <w:rPr>
                <w:szCs w:val="22"/>
              </w:rPr>
              <w:t>will be developed and consulted on.</w:t>
            </w:r>
            <w:r w:rsidR="00D63765">
              <w:rPr>
                <w:szCs w:val="22"/>
              </w:rPr>
              <w:t xml:space="preserve"> </w:t>
            </w:r>
          </w:p>
          <w:p w14:paraId="50FBCC89" w14:textId="2E7E1BA9" w:rsidR="00155C46" w:rsidRPr="004966C5" w:rsidRDefault="00155C46" w:rsidP="0018779D">
            <w:pPr>
              <w:rPr>
                <w:szCs w:val="22"/>
                <w:u w:val="single"/>
              </w:rPr>
            </w:pPr>
            <w:r w:rsidRPr="004966C5">
              <w:rPr>
                <w:szCs w:val="22"/>
                <w:u w:val="single"/>
              </w:rPr>
              <w:t xml:space="preserve">Option 3: </w:t>
            </w:r>
            <w:r w:rsidR="002D23AC">
              <w:rPr>
                <w:szCs w:val="22"/>
                <w:u w:val="single"/>
              </w:rPr>
              <w:t>Treat</w:t>
            </w:r>
            <w:r w:rsidR="00301D4E">
              <w:rPr>
                <w:szCs w:val="22"/>
                <w:u w:val="single"/>
              </w:rPr>
              <w:t xml:space="preserve"> houses (and potentially other assets) which have a small amount of taxable use </w:t>
            </w:r>
            <w:r w:rsidR="002D23AC">
              <w:rPr>
                <w:szCs w:val="22"/>
                <w:u w:val="single"/>
              </w:rPr>
              <w:t>as being fully non-taxable</w:t>
            </w:r>
            <w:r w:rsidR="00301D4E">
              <w:rPr>
                <w:szCs w:val="22"/>
                <w:u w:val="single"/>
              </w:rPr>
              <w:t xml:space="preserve">. </w:t>
            </w:r>
          </w:p>
          <w:p w14:paraId="2C37EA28" w14:textId="0CE21396" w:rsidR="00820562" w:rsidRDefault="00F6427C" w:rsidP="00E04C11">
            <w:pPr>
              <w:rPr>
                <w:i/>
                <w:iCs/>
                <w:szCs w:val="22"/>
              </w:rPr>
            </w:pPr>
            <w:r>
              <w:rPr>
                <w:i/>
                <w:iCs/>
                <w:szCs w:val="22"/>
              </w:rPr>
              <w:t xml:space="preserve">Pros: </w:t>
            </w:r>
          </w:p>
          <w:p w14:paraId="36BBB873" w14:textId="36F7E6A8" w:rsidR="00820562" w:rsidRPr="00820562" w:rsidRDefault="002D23AC" w:rsidP="00E04C11">
            <w:pPr>
              <w:rPr>
                <w:szCs w:val="22"/>
              </w:rPr>
            </w:pPr>
            <w:r>
              <w:rPr>
                <w:szCs w:val="22"/>
              </w:rPr>
              <w:t>This option would be c</w:t>
            </w:r>
            <w:r w:rsidR="00820562">
              <w:rPr>
                <w:szCs w:val="22"/>
              </w:rPr>
              <w:t>onsistent with</w:t>
            </w:r>
            <w:r w:rsidR="00A72C00">
              <w:rPr>
                <w:szCs w:val="22"/>
              </w:rPr>
              <w:t xml:space="preserve"> the behaviour of the affected taxpayers, which is not to account for GST on their own home, even if it is used partly for business.</w:t>
            </w:r>
            <w:r w:rsidR="007A7742">
              <w:rPr>
                <w:szCs w:val="22"/>
              </w:rPr>
              <w:t xml:space="preserve"> This reduces compliance costs as the GST rules would align with current practices.</w:t>
            </w:r>
          </w:p>
          <w:p w14:paraId="0C0CD341" w14:textId="45C0FED5" w:rsidR="007A7742" w:rsidRDefault="00F6427C" w:rsidP="00E04C11">
            <w:r w:rsidRPr="00F6427C">
              <w:rPr>
                <w:szCs w:val="22"/>
              </w:rPr>
              <w:t xml:space="preserve">Could </w:t>
            </w:r>
            <w:r w:rsidR="007A7742">
              <w:rPr>
                <w:szCs w:val="22"/>
              </w:rPr>
              <w:t>improve</w:t>
            </w:r>
            <w:r w:rsidRPr="00F6427C">
              <w:rPr>
                <w:szCs w:val="22"/>
              </w:rPr>
              <w:t xml:space="preserve"> fairness </w:t>
            </w:r>
            <w:r w:rsidR="00FB34A8">
              <w:rPr>
                <w:szCs w:val="22"/>
              </w:rPr>
              <w:t xml:space="preserve">by ensuring sole traders do not pay more GST than </w:t>
            </w:r>
            <w:r w:rsidRPr="009773B3">
              <w:t>other common ownership structures such as where the business is a company or partnership, or the house is owned by or a company or trus</w:t>
            </w:r>
            <w:r w:rsidR="00820562">
              <w:t>t</w:t>
            </w:r>
            <w:r w:rsidR="007A7742">
              <w:t>.</w:t>
            </w:r>
          </w:p>
          <w:p w14:paraId="6D8B6BDD" w14:textId="13CF8392" w:rsidR="00F6427C" w:rsidRDefault="00F6427C" w:rsidP="00E04C11">
            <w:pPr>
              <w:rPr>
                <w:i/>
                <w:iCs/>
                <w:szCs w:val="22"/>
              </w:rPr>
            </w:pPr>
            <w:r>
              <w:rPr>
                <w:i/>
                <w:iCs/>
                <w:szCs w:val="22"/>
              </w:rPr>
              <w:t>Cons:</w:t>
            </w:r>
          </w:p>
          <w:p w14:paraId="37BD1E57" w14:textId="64340BE9" w:rsidR="0018779D" w:rsidRDefault="00D62C57" w:rsidP="00E04C11">
            <w:pPr>
              <w:rPr>
                <w:szCs w:val="22"/>
              </w:rPr>
            </w:pPr>
            <w:r>
              <w:rPr>
                <w:szCs w:val="22"/>
              </w:rPr>
              <w:t>Difficult to implement quickly a</w:t>
            </w:r>
            <w:r w:rsidR="00E34431">
              <w:rPr>
                <w:szCs w:val="22"/>
              </w:rPr>
              <w:t xml:space="preserve">s this option has </w:t>
            </w:r>
            <w:r w:rsidR="00B93EB4">
              <w:rPr>
                <w:szCs w:val="22"/>
              </w:rPr>
              <w:t xml:space="preserve">not </w:t>
            </w:r>
            <w:r w:rsidR="00E34431">
              <w:rPr>
                <w:szCs w:val="22"/>
              </w:rPr>
              <w:t xml:space="preserve">been </w:t>
            </w:r>
            <w:r w:rsidR="004A56DA">
              <w:rPr>
                <w:szCs w:val="22"/>
              </w:rPr>
              <w:t xml:space="preserve">designed yet or </w:t>
            </w:r>
            <w:r w:rsidR="00880002">
              <w:rPr>
                <w:szCs w:val="22"/>
              </w:rPr>
              <w:t xml:space="preserve">developed through </w:t>
            </w:r>
            <w:r w:rsidR="00E34431">
              <w:rPr>
                <w:szCs w:val="22"/>
              </w:rPr>
              <w:t>consult</w:t>
            </w:r>
            <w:r w:rsidR="00880002">
              <w:rPr>
                <w:szCs w:val="22"/>
              </w:rPr>
              <w:t>ation</w:t>
            </w:r>
            <w:r>
              <w:rPr>
                <w:szCs w:val="22"/>
              </w:rPr>
              <w:t xml:space="preserve">, </w:t>
            </w:r>
            <w:r w:rsidR="00741A3D">
              <w:rPr>
                <w:szCs w:val="22"/>
              </w:rPr>
              <w:t>which increases the risk the option is ineffective (</w:t>
            </w:r>
            <w:proofErr w:type="gramStart"/>
            <w:r w:rsidR="007C4E00">
              <w:rPr>
                <w:szCs w:val="22"/>
              </w:rPr>
              <w:t>e.g.</w:t>
            </w:r>
            <w:proofErr w:type="gramEnd"/>
            <w:r w:rsidR="00741A3D">
              <w:rPr>
                <w:szCs w:val="22"/>
              </w:rPr>
              <w:t xml:space="preserve"> </w:t>
            </w:r>
            <w:r w:rsidR="007C4E00">
              <w:rPr>
                <w:szCs w:val="22"/>
              </w:rPr>
              <w:t>if it</w:t>
            </w:r>
            <w:r w:rsidR="00741A3D">
              <w:rPr>
                <w:szCs w:val="22"/>
              </w:rPr>
              <w:t xml:space="preserve"> is too difficult to use) or creates other unintended consequences (</w:t>
            </w:r>
            <w:r w:rsidR="007C4E00">
              <w:rPr>
                <w:szCs w:val="22"/>
              </w:rPr>
              <w:t>such as</w:t>
            </w:r>
            <w:r w:rsidR="00741A3D">
              <w:rPr>
                <w:szCs w:val="22"/>
              </w:rPr>
              <w:t xml:space="preserve"> </w:t>
            </w:r>
            <w:r w:rsidR="00A334EB">
              <w:rPr>
                <w:szCs w:val="22"/>
              </w:rPr>
              <w:t>under</w:t>
            </w:r>
            <w:r w:rsidR="004A09A9">
              <w:rPr>
                <w:szCs w:val="22"/>
              </w:rPr>
              <w:t xml:space="preserve"> </w:t>
            </w:r>
            <w:r w:rsidR="00A334EB">
              <w:rPr>
                <w:szCs w:val="22"/>
              </w:rPr>
              <w:t>taxing</w:t>
            </w:r>
            <w:r w:rsidR="007C4E00">
              <w:rPr>
                <w:szCs w:val="22"/>
              </w:rPr>
              <w:t xml:space="preserve"> private consumption</w:t>
            </w:r>
            <w:r w:rsidR="00741A3D">
              <w:rPr>
                <w:szCs w:val="22"/>
              </w:rPr>
              <w:t>).</w:t>
            </w:r>
            <w:r w:rsidR="00E34431">
              <w:rPr>
                <w:szCs w:val="22"/>
              </w:rPr>
              <w:t xml:space="preserve"> </w:t>
            </w:r>
            <w:r w:rsidR="00CC6A25">
              <w:rPr>
                <w:szCs w:val="22"/>
              </w:rPr>
              <w:t xml:space="preserve">Furthermore, </w:t>
            </w:r>
            <w:r w:rsidR="0064662C">
              <w:rPr>
                <w:szCs w:val="22"/>
              </w:rPr>
              <w:t>the planned</w:t>
            </w:r>
            <w:r w:rsidR="00CC6A25">
              <w:rPr>
                <w:szCs w:val="22"/>
              </w:rPr>
              <w:t xml:space="preserve"> consultation process </w:t>
            </w:r>
            <w:r w:rsidR="00E147F6">
              <w:rPr>
                <w:szCs w:val="22"/>
              </w:rPr>
              <w:t xml:space="preserve">is necessary </w:t>
            </w:r>
            <w:r w:rsidR="00C05EAC">
              <w:rPr>
                <w:szCs w:val="22"/>
              </w:rPr>
              <w:t>a</w:t>
            </w:r>
            <w:r w:rsidR="00E147F6">
              <w:rPr>
                <w:szCs w:val="22"/>
              </w:rPr>
              <w:t>s</w:t>
            </w:r>
            <w:r w:rsidR="00C05EAC">
              <w:rPr>
                <w:szCs w:val="22"/>
              </w:rPr>
              <w:t xml:space="preserve"> </w:t>
            </w:r>
            <w:r w:rsidR="00C07801">
              <w:rPr>
                <w:szCs w:val="22"/>
              </w:rPr>
              <w:t xml:space="preserve">there is </w:t>
            </w:r>
            <w:r w:rsidR="00237597">
              <w:rPr>
                <w:szCs w:val="22"/>
              </w:rPr>
              <w:t>a</w:t>
            </w:r>
            <w:r w:rsidR="00C07801">
              <w:rPr>
                <w:szCs w:val="22"/>
              </w:rPr>
              <w:t xml:space="preserve"> range of ways to</w:t>
            </w:r>
            <w:r w:rsidR="00252241">
              <w:rPr>
                <w:szCs w:val="22"/>
              </w:rPr>
              <w:t xml:space="preserve"> design this</w:t>
            </w:r>
            <w:r w:rsidR="00C07801">
              <w:rPr>
                <w:szCs w:val="22"/>
              </w:rPr>
              <w:t xml:space="preserve"> option</w:t>
            </w:r>
            <w:r w:rsidR="00A964B2">
              <w:rPr>
                <w:szCs w:val="22"/>
              </w:rPr>
              <w:t xml:space="preserve"> </w:t>
            </w:r>
            <w:r w:rsidR="00DB0908">
              <w:rPr>
                <w:szCs w:val="22"/>
              </w:rPr>
              <w:t>–</w:t>
            </w:r>
            <w:r w:rsidR="004550EC">
              <w:rPr>
                <w:szCs w:val="22"/>
              </w:rPr>
              <w:t xml:space="preserve"> </w:t>
            </w:r>
            <w:r w:rsidR="00DB0908">
              <w:rPr>
                <w:szCs w:val="22"/>
              </w:rPr>
              <w:t xml:space="preserve">for example Australia’s GST rules exempt all sales of existing residential properties and zero-rate all farm sales (including the farmhouse), whereas the UK and Singapore </w:t>
            </w:r>
            <w:r w:rsidR="00FD50D7">
              <w:rPr>
                <w:szCs w:val="22"/>
              </w:rPr>
              <w:t xml:space="preserve">allow GST registered suppliers to elect to not claim input tax deductions on purchasing assets </w:t>
            </w:r>
            <w:r w:rsidR="00D966F1">
              <w:rPr>
                <w:szCs w:val="22"/>
              </w:rPr>
              <w:t>in which case the sale of that asset is non-taxable. Until consultation occurs, it is not obvious which option, or combination of options would best achieve the policy goals.</w:t>
            </w:r>
            <w:r w:rsidR="00A108D9">
              <w:rPr>
                <w:szCs w:val="22"/>
              </w:rPr>
              <w:t xml:space="preserve"> Consultation is also needed to develop appropriate </w:t>
            </w:r>
            <w:r w:rsidR="00662369">
              <w:rPr>
                <w:szCs w:val="22"/>
              </w:rPr>
              <w:t xml:space="preserve">transitional </w:t>
            </w:r>
            <w:r w:rsidR="00A108D9">
              <w:rPr>
                <w:szCs w:val="22"/>
              </w:rPr>
              <w:t>rules for registered suppliers and assets which are applying the current apportionment rules</w:t>
            </w:r>
            <w:r w:rsidR="00515BB2">
              <w:rPr>
                <w:szCs w:val="22"/>
              </w:rPr>
              <w:t xml:space="preserve"> to retrospectively apply or transition to the new rules</w:t>
            </w:r>
            <w:r w:rsidR="00A108D9">
              <w:rPr>
                <w:szCs w:val="22"/>
              </w:rPr>
              <w:t>.</w:t>
            </w:r>
          </w:p>
          <w:p w14:paraId="73636BE8" w14:textId="29BB80A7" w:rsidR="00D240DE" w:rsidRPr="00E62D94" w:rsidRDefault="00D240DE" w:rsidP="00E62D94">
            <w:pPr>
              <w:rPr>
                <w:szCs w:val="22"/>
              </w:rPr>
            </w:pPr>
          </w:p>
        </w:tc>
      </w:tr>
      <w:tr w:rsidR="0018779D" w:rsidRPr="0069218C" w14:paraId="61B36F73" w14:textId="77777777" w:rsidTr="00B71B4E">
        <w:trPr>
          <w:trHeight w:val="884"/>
        </w:trPr>
        <w:tc>
          <w:tcPr>
            <w:tcW w:w="5000" w:type="pct"/>
            <w:shd w:val="clear" w:color="auto" w:fill="auto"/>
          </w:tcPr>
          <w:p w14:paraId="76B50882" w14:textId="3641573F" w:rsidR="00E62D94" w:rsidRPr="002109FE" w:rsidRDefault="00E62D94" w:rsidP="00E62D94">
            <w:pPr>
              <w:rPr>
                <w:b/>
                <w:bCs/>
                <w:i/>
                <w:iCs/>
                <w:szCs w:val="22"/>
              </w:rPr>
            </w:pPr>
            <w:r w:rsidRPr="002109FE">
              <w:rPr>
                <w:b/>
                <w:bCs/>
                <w:i/>
                <w:iCs/>
                <w:szCs w:val="22"/>
              </w:rPr>
              <w:t>Prescriptive rules do not accommodate simpler methods</w:t>
            </w:r>
          </w:p>
          <w:p w14:paraId="1A146A53" w14:textId="77777777" w:rsidR="00E62D94" w:rsidRDefault="00E62D94" w:rsidP="00E62D94">
            <w:pPr>
              <w:rPr>
                <w:szCs w:val="22"/>
                <w:u w:val="single"/>
              </w:rPr>
            </w:pPr>
            <w:r>
              <w:rPr>
                <w:szCs w:val="22"/>
                <w:u w:val="single"/>
              </w:rPr>
              <w:t>Option 4: Status quo</w:t>
            </w:r>
          </w:p>
          <w:p w14:paraId="1C3FB8D0" w14:textId="77777777" w:rsidR="00E62D94" w:rsidRDefault="00E62D94" w:rsidP="00E62D94">
            <w:pPr>
              <w:rPr>
                <w:i/>
                <w:iCs/>
                <w:szCs w:val="22"/>
              </w:rPr>
            </w:pPr>
            <w:r w:rsidRPr="002B29E5">
              <w:rPr>
                <w:i/>
                <w:iCs/>
                <w:szCs w:val="22"/>
              </w:rPr>
              <w:t>Pros:</w:t>
            </w:r>
            <w:r>
              <w:rPr>
                <w:i/>
                <w:iCs/>
                <w:szCs w:val="22"/>
              </w:rPr>
              <w:t xml:space="preserve"> </w:t>
            </w:r>
          </w:p>
          <w:p w14:paraId="53A1C20D" w14:textId="77777777" w:rsidR="00E62D94" w:rsidRPr="002B29E5" w:rsidRDefault="00E62D94" w:rsidP="00E62D94">
            <w:pPr>
              <w:rPr>
                <w:i/>
                <w:iCs/>
                <w:szCs w:val="22"/>
              </w:rPr>
            </w:pPr>
            <w:r w:rsidRPr="002B29E5">
              <w:rPr>
                <w:szCs w:val="22"/>
              </w:rPr>
              <w:t>Not rushing to solve this issue would allow a fuller range of options to be considered as part of the consultation process to develop major reforms to the apportionment rules. Some of these major reform options could be more effective</w:t>
            </w:r>
          </w:p>
          <w:p w14:paraId="7F9E594A" w14:textId="77777777" w:rsidR="00E62D94" w:rsidRPr="002B29E5" w:rsidRDefault="00E62D94" w:rsidP="00E62D94">
            <w:pPr>
              <w:rPr>
                <w:i/>
                <w:iCs/>
                <w:szCs w:val="22"/>
              </w:rPr>
            </w:pPr>
            <w:r w:rsidRPr="002B29E5">
              <w:rPr>
                <w:i/>
                <w:iCs/>
                <w:szCs w:val="22"/>
              </w:rPr>
              <w:t>Cons:</w:t>
            </w:r>
          </w:p>
          <w:p w14:paraId="78D473A6" w14:textId="77777777" w:rsidR="00E62D94" w:rsidRPr="006140F7" w:rsidRDefault="00E62D94" w:rsidP="00E62D94">
            <w:pPr>
              <w:rPr>
                <w:szCs w:val="22"/>
              </w:rPr>
            </w:pPr>
            <w:r>
              <w:rPr>
                <w:szCs w:val="22"/>
              </w:rPr>
              <w:t>High compliance costs would persist until the major reforms are developed and implemented.</w:t>
            </w:r>
          </w:p>
          <w:p w14:paraId="0965AC9B" w14:textId="77777777" w:rsidR="00E62D94" w:rsidRDefault="00E62D94" w:rsidP="00E62D94">
            <w:pPr>
              <w:rPr>
                <w:szCs w:val="22"/>
                <w:u w:val="single"/>
              </w:rPr>
            </w:pPr>
            <w:r>
              <w:rPr>
                <w:szCs w:val="22"/>
                <w:u w:val="single"/>
              </w:rPr>
              <w:t>Option 5: Allow smaller GST registered suppliers to apply to Inland Revenue to approve a different apportionment method.</w:t>
            </w:r>
          </w:p>
          <w:p w14:paraId="1C9B6F2F" w14:textId="77777777" w:rsidR="00E62D94" w:rsidRPr="002B29E5" w:rsidRDefault="00E62D94" w:rsidP="00E62D94">
            <w:pPr>
              <w:rPr>
                <w:i/>
                <w:iCs/>
                <w:szCs w:val="22"/>
              </w:rPr>
            </w:pPr>
            <w:r w:rsidRPr="002B29E5">
              <w:rPr>
                <w:i/>
                <w:iCs/>
                <w:szCs w:val="22"/>
              </w:rPr>
              <w:t>Pros:</w:t>
            </w:r>
          </w:p>
          <w:p w14:paraId="12050C62" w14:textId="77777777" w:rsidR="00E62D94" w:rsidRDefault="00E62D94" w:rsidP="00E62D94">
            <w:pPr>
              <w:rPr>
                <w:szCs w:val="22"/>
              </w:rPr>
            </w:pPr>
            <w:r>
              <w:rPr>
                <w:szCs w:val="22"/>
              </w:rPr>
              <w:t xml:space="preserve">Improves fairness as all suppliers would have </w:t>
            </w:r>
            <w:r w:rsidRPr="00320D50">
              <w:rPr>
                <w:szCs w:val="22"/>
              </w:rPr>
              <w:t>an opportunity to reduce their compliance costs by applying to use a method which would have lower compliance costs than applying the main rules.</w:t>
            </w:r>
          </w:p>
          <w:p w14:paraId="66B8C8D1" w14:textId="77777777" w:rsidR="00E62D94" w:rsidRPr="00111A9D" w:rsidRDefault="00E62D94" w:rsidP="00E62D94">
            <w:pPr>
              <w:rPr>
                <w:szCs w:val="22"/>
              </w:rPr>
            </w:pPr>
            <w:r>
              <w:rPr>
                <w:szCs w:val="22"/>
              </w:rPr>
              <w:t>Quick and simple to implement as involves removing a turnover threshold and the increased demand on Inland Revenue resources is not expected to be too high.</w:t>
            </w:r>
          </w:p>
          <w:p w14:paraId="59FCE320" w14:textId="77777777" w:rsidR="00E62D94" w:rsidRDefault="00E62D94" w:rsidP="00E62D94">
            <w:pPr>
              <w:rPr>
                <w:i/>
                <w:iCs/>
                <w:szCs w:val="22"/>
              </w:rPr>
            </w:pPr>
            <w:r w:rsidRPr="002B29E5">
              <w:rPr>
                <w:i/>
                <w:iCs/>
                <w:szCs w:val="22"/>
              </w:rPr>
              <w:t>Cons:</w:t>
            </w:r>
          </w:p>
          <w:p w14:paraId="55A21D5D" w14:textId="4450E125" w:rsidR="00E62D94" w:rsidRPr="00587FD5" w:rsidRDefault="00E62D94" w:rsidP="00E62D94">
            <w:pPr>
              <w:rPr>
                <w:szCs w:val="22"/>
              </w:rPr>
            </w:pPr>
            <w:r>
              <w:rPr>
                <w:szCs w:val="22"/>
              </w:rPr>
              <w:t xml:space="preserve">Would only </w:t>
            </w:r>
            <w:r w:rsidR="00E72454">
              <w:rPr>
                <w:szCs w:val="22"/>
              </w:rPr>
              <w:t xml:space="preserve">be </w:t>
            </w:r>
            <w:r>
              <w:rPr>
                <w:szCs w:val="22"/>
              </w:rPr>
              <w:t>effective at reducing compliance costs to the extent that suppliers apply to use a different method</w:t>
            </w:r>
            <w:r w:rsidR="00A23B53">
              <w:rPr>
                <w:szCs w:val="22"/>
              </w:rPr>
              <w:t xml:space="preserve">. </w:t>
            </w:r>
            <w:r w:rsidR="00127AAA">
              <w:rPr>
                <w:szCs w:val="22"/>
              </w:rPr>
              <w:t xml:space="preserve"> </w:t>
            </w:r>
            <w:r w:rsidR="00127AAA">
              <w:rPr>
                <w:rFonts w:cs="Arial"/>
                <w:szCs w:val="22"/>
              </w:rPr>
              <w:t xml:space="preserve">We do not know how many smaller suppliers would apply to use an alternative calculation </w:t>
            </w:r>
            <w:proofErr w:type="gramStart"/>
            <w:r w:rsidR="00127AAA">
              <w:rPr>
                <w:rFonts w:cs="Arial"/>
                <w:szCs w:val="22"/>
              </w:rPr>
              <w:t>method</w:t>
            </w:r>
            <w:proofErr w:type="gramEnd"/>
            <w:r w:rsidR="00127AAA">
              <w:rPr>
                <w:rFonts w:cs="Arial"/>
                <w:szCs w:val="22"/>
              </w:rPr>
              <w:t xml:space="preserve"> but we expect the overall uptake will be low, as most suppliers do not need to apportion their inputs and there has been low uptake for alternative methods by larger suppliers. </w:t>
            </w:r>
            <w:r w:rsidR="009930E7">
              <w:rPr>
                <w:rFonts w:cs="Arial"/>
                <w:szCs w:val="22"/>
              </w:rPr>
              <w:t xml:space="preserve">If uptake is a lot higher than expected there is a risk that </w:t>
            </w:r>
            <w:r w:rsidR="009773B0">
              <w:rPr>
                <w:rFonts w:cs="Arial"/>
                <w:szCs w:val="22"/>
              </w:rPr>
              <w:t xml:space="preserve">Inland Revenue may need to allocate additional resources to processing </w:t>
            </w:r>
            <w:proofErr w:type="gramStart"/>
            <w:r w:rsidR="009773B0">
              <w:rPr>
                <w:rFonts w:cs="Arial"/>
                <w:szCs w:val="22"/>
              </w:rPr>
              <w:t>applications.</w:t>
            </w:r>
            <w:r>
              <w:rPr>
                <w:szCs w:val="22"/>
              </w:rPr>
              <w:t>.</w:t>
            </w:r>
            <w:proofErr w:type="gramEnd"/>
          </w:p>
          <w:p w14:paraId="474D515A" w14:textId="77777777" w:rsidR="00E62D94" w:rsidRDefault="00E62D94" w:rsidP="00E62D94">
            <w:pPr>
              <w:rPr>
                <w:szCs w:val="22"/>
                <w:u w:val="single"/>
              </w:rPr>
            </w:pPr>
            <w:r>
              <w:rPr>
                <w:szCs w:val="22"/>
                <w:u w:val="single"/>
              </w:rPr>
              <w:t>Option 6: Replace the current prescriptive apportionment rules with a self-assessed rule that allows any fair and reasonable apportionment approach to be used.</w:t>
            </w:r>
          </w:p>
          <w:p w14:paraId="7C36B7FE" w14:textId="77777777" w:rsidR="00E62D94" w:rsidRPr="002B29E5" w:rsidRDefault="00E62D94" w:rsidP="00E62D94">
            <w:pPr>
              <w:rPr>
                <w:i/>
                <w:iCs/>
                <w:szCs w:val="22"/>
              </w:rPr>
            </w:pPr>
            <w:r w:rsidRPr="002B29E5">
              <w:rPr>
                <w:i/>
                <w:iCs/>
                <w:szCs w:val="22"/>
              </w:rPr>
              <w:t>Pros:</w:t>
            </w:r>
          </w:p>
          <w:p w14:paraId="5A3D845B" w14:textId="77777777" w:rsidR="00E62D94" w:rsidRPr="006B3A81" w:rsidRDefault="00E62D94" w:rsidP="00E62D94">
            <w:pPr>
              <w:rPr>
                <w:szCs w:val="22"/>
              </w:rPr>
            </w:pPr>
            <w:r>
              <w:rPr>
                <w:szCs w:val="22"/>
              </w:rPr>
              <w:t>Because the apportionment method is not prescribed in legislation, this option provides the most flexibility for methods with lower compliance costs to be developed over time and tailored to the specific circumstances and commercial information held by the supplier.</w:t>
            </w:r>
          </w:p>
          <w:p w14:paraId="050B8548" w14:textId="77777777" w:rsidR="00E62D94" w:rsidRPr="002B29E5" w:rsidRDefault="00E62D94" w:rsidP="00E62D94">
            <w:pPr>
              <w:rPr>
                <w:i/>
                <w:iCs/>
                <w:szCs w:val="22"/>
              </w:rPr>
            </w:pPr>
            <w:r w:rsidRPr="002B29E5">
              <w:rPr>
                <w:i/>
                <w:iCs/>
                <w:szCs w:val="22"/>
              </w:rPr>
              <w:t>Cons:</w:t>
            </w:r>
          </w:p>
          <w:p w14:paraId="06EA3301" w14:textId="4E8CEC74" w:rsidR="0018779D" w:rsidRPr="004064A6" w:rsidRDefault="00E62D94" w:rsidP="00C7655A">
            <w:pPr>
              <w:rPr>
                <w:szCs w:val="22"/>
              </w:rPr>
            </w:pPr>
            <w:r>
              <w:rPr>
                <w:szCs w:val="22"/>
              </w:rPr>
              <w:t xml:space="preserve">Creates uncertainty and inconsistent practices as there is no main rule as a guide for what GST outcomes the method should be aiming to achieve. Inconsistency will lead to unfairness such as one supplier using a much more generous method than comparable suppliers (who may be their competitors). It could also increase disputes with Inland Revenue. There would be pressure for Inland Revenue to produce guidance on what methods are acceptable to use, which may mean a prescriptive approach eventually returns in the guidance. For these reasons this option is not considered sustainable. </w:t>
            </w:r>
          </w:p>
        </w:tc>
      </w:tr>
    </w:tbl>
    <w:p w14:paraId="65608C12" w14:textId="77777777" w:rsidR="00F132B2" w:rsidRPr="00567434" w:rsidRDefault="00F132B2"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17F18685" w14:textId="77777777" w:rsidTr="00BB4EA2">
        <w:trPr>
          <w:trHeight w:val="84"/>
        </w:trPr>
        <w:tc>
          <w:tcPr>
            <w:tcW w:w="5000" w:type="pct"/>
            <w:shd w:val="clear" w:color="auto" w:fill="99CDDD"/>
          </w:tcPr>
          <w:p w14:paraId="43EA8B5F" w14:textId="77777777" w:rsidR="00E92509" w:rsidRPr="00886DFF" w:rsidRDefault="00B23E8A" w:rsidP="00EC6FAD">
            <w:pPr>
              <w:pStyle w:val="TableHeadings"/>
              <w:rPr>
                <w:szCs w:val="22"/>
                <w:lang w:val="en-NZ"/>
              </w:rPr>
            </w:pPr>
            <w:r w:rsidRPr="00886DFF">
              <w:rPr>
                <w:szCs w:val="22"/>
                <w:lang w:val="en-NZ"/>
              </w:rPr>
              <w:t>3</w:t>
            </w:r>
            <w:r w:rsidR="002A56F0" w:rsidRPr="00886DFF">
              <w:rPr>
                <w:szCs w:val="22"/>
                <w:lang w:val="en-NZ"/>
              </w:rPr>
              <w:t>.</w:t>
            </w:r>
            <w:r w:rsidR="00051A88" w:rsidRPr="00886DFF">
              <w:rPr>
                <w:szCs w:val="22"/>
                <w:lang w:val="en-NZ"/>
              </w:rPr>
              <w:t>2</w:t>
            </w:r>
            <w:r w:rsidR="002A56F0" w:rsidRPr="00886DFF">
              <w:rPr>
                <w:szCs w:val="22"/>
                <w:lang w:val="en-NZ"/>
              </w:rPr>
              <w:t xml:space="preserve">  </w:t>
            </w:r>
            <w:r w:rsidR="00962209" w:rsidRPr="00886DFF">
              <w:rPr>
                <w:szCs w:val="22"/>
                <w:lang w:val="en-NZ"/>
              </w:rPr>
              <w:t xml:space="preserve"> </w:t>
            </w:r>
            <w:r w:rsidR="00D019CB" w:rsidRPr="00886DFF">
              <w:rPr>
                <w:szCs w:val="22"/>
                <w:lang w:val="en-NZ"/>
              </w:rPr>
              <w:t>Which of these options is</w:t>
            </w:r>
            <w:r w:rsidR="00962209" w:rsidRPr="00886DFF">
              <w:rPr>
                <w:szCs w:val="22"/>
                <w:lang w:val="en-NZ"/>
              </w:rPr>
              <w:t xml:space="preserve"> the </w:t>
            </w:r>
            <w:r w:rsidR="00051A88" w:rsidRPr="00886DFF">
              <w:rPr>
                <w:szCs w:val="22"/>
                <w:lang w:val="en-NZ"/>
              </w:rPr>
              <w:t>proposed approach</w:t>
            </w:r>
            <w:r w:rsidR="00962209" w:rsidRPr="00886DFF">
              <w:rPr>
                <w:szCs w:val="22"/>
                <w:lang w:val="en-NZ"/>
              </w:rPr>
              <w:t xml:space="preserve">?  </w:t>
            </w:r>
          </w:p>
        </w:tc>
      </w:tr>
      <w:tr w:rsidR="00F132B2" w:rsidRPr="0069218C" w14:paraId="66B87503" w14:textId="77777777" w:rsidTr="00BB4EA2">
        <w:trPr>
          <w:trHeight w:val="6724"/>
        </w:trPr>
        <w:tc>
          <w:tcPr>
            <w:tcW w:w="5000" w:type="pct"/>
            <w:shd w:val="clear" w:color="auto" w:fill="auto"/>
          </w:tcPr>
          <w:p w14:paraId="021CD822" w14:textId="669B1C38" w:rsidR="00747363" w:rsidRDefault="003E665F" w:rsidP="003E665F">
            <w:pPr>
              <w:rPr>
                <w:szCs w:val="22"/>
              </w:rPr>
            </w:pPr>
            <w:r w:rsidRPr="003E665F">
              <w:rPr>
                <w:szCs w:val="22"/>
              </w:rPr>
              <w:t>Option</w:t>
            </w:r>
            <w:r w:rsidR="00115441">
              <w:rPr>
                <w:szCs w:val="22"/>
              </w:rPr>
              <w:t>s</w:t>
            </w:r>
            <w:r w:rsidRPr="003E665F">
              <w:rPr>
                <w:szCs w:val="22"/>
              </w:rPr>
              <w:t xml:space="preserve"> 2</w:t>
            </w:r>
            <w:r w:rsidR="00115441">
              <w:rPr>
                <w:szCs w:val="22"/>
              </w:rPr>
              <w:t xml:space="preserve"> and 5</w:t>
            </w:r>
            <w:r w:rsidR="00ED6C08">
              <w:rPr>
                <w:szCs w:val="22"/>
              </w:rPr>
              <w:t xml:space="preserve"> </w:t>
            </w:r>
            <w:r w:rsidR="00115441">
              <w:rPr>
                <w:szCs w:val="22"/>
              </w:rPr>
              <w:t xml:space="preserve">are </w:t>
            </w:r>
            <w:r w:rsidR="00B93EB4">
              <w:rPr>
                <w:szCs w:val="22"/>
              </w:rPr>
              <w:t>the preferred options</w:t>
            </w:r>
            <w:r w:rsidR="00ED6C08">
              <w:rPr>
                <w:szCs w:val="22"/>
              </w:rPr>
              <w:t xml:space="preserve"> </w:t>
            </w:r>
            <w:r w:rsidR="00326D5D">
              <w:rPr>
                <w:szCs w:val="22"/>
              </w:rPr>
              <w:t xml:space="preserve">as </w:t>
            </w:r>
            <w:r w:rsidR="00115441">
              <w:rPr>
                <w:szCs w:val="22"/>
              </w:rPr>
              <w:t>they</w:t>
            </w:r>
            <w:r w:rsidR="00326D5D">
              <w:rPr>
                <w:szCs w:val="22"/>
              </w:rPr>
              <w:t xml:space="preserve"> </w:t>
            </w:r>
            <w:r w:rsidR="00747363" w:rsidRPr="00006A12">
              <w:rPr>
                <w:szCs w:val="22"/>
              </w:rPr>
              <w:t>can easily be implemented in the next taxation bill</w:t>
            </w:r>
            <w:r w:rsidR="00747363">
              <w:rPr>
                <w:szCs w:val="22"/>
              </w:rPr>
              <w:t xml:space="preserve"> and</w:t>
            </w:r>
            <w:r w:rsidR="00747363" w:rsidRPr="00006A12">
              <w:rPr>
                <w:szCs w:val="22"/>
              </w:rPr>
              <w:t xml:space="preserve"> ha</w:t>
            </w:r>
            <w:r w:rsidR="00115441">
              <w:rPr>
                <w:szCs w:val="22"/>
              </w:rPr>
              <w:t>ve</w:t>
            </w:r>
            <w:r w:rsidR="00747363" w:rsidRPr="00006A12">
              <w:rPr>
                <w:szCs w:val="22"/>
              </w:rPr>
              <w:t xml:space="preserve"> been consulted on and supported by stakeholders / submitters</w:t>
            </w:r>
            <w:r w:rsidR="00747363">
              <w:rPr>
                <w:szCs w:val="22"/>
              </w:rPr>
              <w:t>.</w:t>
            </w:r>
          </w:p>
          <w:p w14:paraId="05C9802A" w14:textId="60EF1717" w:rsidR="003E665F" w:rsidRDefault="00FD79CD" w:rsidP="003E665F">
            <w:pPr>
              <w:rPr>
                <w:szCs w:val="22"/>
              </w:rPr>
            </w:pPr>
            <w:r>
              <w:rPr>
                <w:szCs w:val="22"/>
              </w:rPr>
              <w:t>O</w:t>
            </w:r>
            <w:r w:rsidR="006F6441">
              <w:rPr>
                <w:szCs w:val="22"/>
              </w:rPr>
              <w:t xml:space="preserve">ption </w:t>
            </w:r>
            <w:r>
              <w:rPr>
                <w:szCs w:val="22"/>
              </w:rPr>
              <w:t xml:space="preserve">2 </w:t>
            </w:r>
            <w:r w:rsidR="00ED6C08">
              <w:rPr>
                <w:szCs w:val="22"/>
              </w:rPr>
              <w:t>would i</w:t>
            </w:r>
            <w:r w:rsidR="00ED6C08" w:rsidRPr="00006A12">
              <w:rPr>
                <w:szCs w:val="22"/>
              </w:rPr>
              <w:t>mprove fairness by ensuring the GST rules do not overtax sales of appreciating assets which are partly used for business and partly used privately, such as farmhouses and home offices, by allowing a deduction which correctly reflects the non-taxable use</w:t>
            </w:r>
            <w:r w:rsidR="003B0C27">
              <w:rPr>
                <w:szCs w:val="22"/>
              </w:rPr>
              <w:t>.</w:t>
            </w:r>
          </w:p>
          <w:p w14:paraId="1E468375" w14:textId="6BF42A8C" w:rsidR="003E665F" w:rsidRPr="003E665F" w:rsidRDefault="003E665F" w:rsidP="003E665F">
            <w:pPr>
              <w:rPr>
                <w:szCs w:val="22"/>
              </w:rPr>
            </w:pPr>
            <w:r w:rsidRPr="003E665F">
              <w:rPr>
                <w:szCs w:val="22"/>
              </w:rPr>
              <w:t>Option 5</w:t>
            </w:r>
            <w:r w:rsidR="004C7A0E">
              <w:rPr>
                <w:szCs w:val="22"/>
              </w:rPr>
              <w:t xml:space="preserve"> </w:t>
            </w:r>
            <w:r w:rsidR="00FC1D2A">
              <w:rPr>
                <w:szCs w:val="22"/>
              </w:rPr>
              <w:t>option</w:t>
            </w:r>
            <w:r w:rsidR="004C7A0E">
              <w:rPr>
                <w:szCs w:val="22"/>
              </w:rPr>
              <w:t xml:space="preserve"> </w:t>
            </w:r>
            <w:r w:rsidR="002F382E">
              <w:rPr>
                <w:szCs w:val="22"/>
              </w:rPr>
              <w:t xml:space="preserve">would </w:t>
            </w:r>
            <w:r w:rsidR="004C7A0E">
              <w:rPr>
                <w:szCs w:val="22"/>
              </w:rPr>
              <w:t>a</w:t>
            </w:r>
            <w:r w:rsidRPr="003E665F">
              <w:rPr>
                <w:szCs w:val="22"/>
              </w:rPr>
              <w:t xml:space="preserve">llow smaller GST registered </w:t>
            </w:r>
            <w:r w:rsidR="00115441">
              <w:rPr>
                <w:szCs w:val="22"/>
              </w:rPr>
              <w:t>s</w:t>
            </w:r>
            <w:r w:rsidRPr="003E665F">
              <w:rPr>
                <w:szCs w:val="22"/>
              </w:rPr>
              <w:t>uppliers to apply to Inland Revenue to approve a different apportionment method</w:t>
            </w:r>
            <w:r w:rsidR="00115441">
              <w:rPr>
                <w:szCs w:val="22"/>
              </w:rPr>
              <w:t xml:space="preserve"> which has lower compliance costs than the main rules</w:t>
            </w:r>
            <w:r w:rsidRPr="003E665F">
              <w:rPr>
                <w:szCs w:val="22"/>
              </w:rPr>
              <w:t>.</w:t>
            </w:r>
          </w:p>
          <w:p w14:paraId="69791F73" w14:textId="55825123" w:rsidR="00007AC4" w:rsidRPr="00007AC4" w:rsidRDefault="009F1A8B" w:rsidP="00007AC4">
            <w:pPr>
              <w:rPr>
                <w:szCs w:val="22"/>
              </w:rPr>
            </w:pPr>
            <w:r>
              <w:rPr>
                <w:szCs w:val="22"/>
              </w:rPr>
              <w:t xml:space="preserve">While the proposed options are </w:t>
            </w:r>
            <w:r w:rsidR="00E72454">
              <w:rPr>
                <w:szCs w:val="22"/>
              </w:rPr>
              <w:t xml:space="preserve">a </w:t>
            </w:r>
            <w:r>
              <w:rPr>
                <w:szCs w:val="22"/>
              </w:rPr>
              <w:t>clear improvement from the status quo</w:t>
            </w:r>
            <w:r w:rsidR="00115441">
              <w:rPr>
                <w:szCs w:val="22"/>
              </w:rPr>
              <w:t>, they</w:t>
            </w:r>
            <w:r>
              <w:rPr>
                <w:szCs w:val="22"/>
              </w:rPr>
              <w:t xml:space="preserve"> </w:t>
            </w:r>
            <w:r w:rsidR="00E72454">
              <w:rPr>
                <w:szCs w:val="22"/>
              </w:rPr>
              <w:t xml:space="preserve">are </w:t>
            </w:r>
            <w:r>
              <w:rPr>
                <w:szCs w:val="22"/>
              </w:rPr>
              <w:t xml:space="preserve">unlikely to be considered by the affected parties as a complete solution to their concerns with the current apportionment rules. </w:t>
            </w:r>
            <w:r w:rsidR="003F1194" w:rsidRPr="003F1194">
              <w:rPr>
                <w:szCs w:val="22"/>
              </w:rPr>
              <w:t xml:space="preserve">To address this, officials will </w:t>
            </w:r>
            <w:r w:rsidR="008A2793">
              <w:rPr>
                <w:szCs w:val="22"/>
              </w:rPr>
              <w:t xml:space="preserve">further </w:t>
            </w:r>
            <w:r w:rsidR="003F1194" w:rsidRPr="003F1194">
              <w:rPr>
                <w:szCs w:val="22"/>
              </w:rPr>
              <w:t>develop and</w:t>
            </w:r>
            <w:r w:rsidR="003F1194">
              <w:rPr>
                <w:szCs w:val="22"/>
              </w:rPr>
              <w:t xml:space="preserve"> </w:t>
            </w:r>
            <w:r w:rsidR="003F1194" w:rsidRPr="003F1194">
              <w:rPr>
                <w:szCs w:val="22"/>
              </w:rPr>
              <w:t>consult on</w:t>
            </w:r>
            <w:r w:rsidR="003F1194">
              <w:rPr>
                <w:szCs w:val="22"/>
              </w:rPr>
              <w:t xml:space="preserve"> option 3 along with</w:t>
            </w:r>
            <w:r w:rsidR="003F1194" w:rsidRPr="003F1194">
              <w:rPr>
                <w:szCs w:val="22"/>
              </w:rPr>
              <w:t xml:space="preserve"> a range of </w:t>
            </w:r>
            <w:r w:rsidR="003F1194">
              <w:rPr>
                <w:szCs w:val="22"/>
              </w:rPr>
              <w:t xml:space="preserve">other </w:t>
            </w:r>
            <w:r w:rsidR="003F1194" w:rsidRPr="003F1194">
              <w:rPr>
                <w:szCs w:val="22"/>
              </w:rPr>
              <w:t>major reform options as part of a second phase of reforms</w:t>
            </w:r>
            <w:r w:rsidR="003F1194">
              <w:rPr>
                <w:szCs w:val="22"/>
              </w:rPr>
              <w:t xml:space="preserve"> aimed at simplifying the GST apportionment rules</w:t>
            </w:r>
            <w:r w:rsidR="003F1194" w:rsidRPr="003F1194">
              <w:rPr>
                <w:szCs w:val="22"/>
              </w:rPr>
              <w:t>.</w:t>
            </w:r>
          </w:p>
        </w:tc>
      </w:tr>
    </w:tbl>
    <w:p w14:paraId="4D6DE60E" w14:textId="40ECB482" w:rsidR="00BE4A62" w:rsidRPr="00030EC1" w:rsidRDefault="00D9793F" w:rsidP="00414D0D">
      <w:pPr>
        <w:pStyle w:val="Heading2"/>
      </w:pPr>
      <w:r w:rsidRPr="0069218C">
        <w:rPr>
          <w:rFonts w:cs="Arial"/>
          <w:sz w:val="22"/>
          <w:lang w:val="en-NZ"/>
        </w:rPr>
        <w:br w:type="page"/>
      </w:r>
      <w:r w:rsidR="00E92509" w:rsidRPr="002D5734">
        <w:t xml:space="preserve">Section </w:t>
      </w:r>
      <w:r w:rsidR="00C77099">
        <w:t>4</w:t>
      </w:r>
      <w:r w:rsidR="00E92509" w:rsidRPr="002D5734">
        <w:t xml:space="preserve">: </w:t>
      </w:r>
      <w:r w:rsidR="00A33BA0" w:rsidRPr="002D5734">
        <w:t>Impact Analysis</w:t>
      </w:r>
      <w:r w:rsidR="005D5BF0" w:rsidRPr="002D5734">
        <w:t xml:space="preserve"> (</w:t>
      </w:r>
      <w:r w:rsidR="00C77099">
        <w:t>Proposed approach</w:t>
      </w:r>
      <w:r w:rsidR="005D5BF0" w:rsidRPr="002D5734">
        <w:t>)</w:t>
      </w:r>
    </w:p>
    <w:tbl>
      <w:tblPr>
        <w:tblW w:w="5000"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5D5BF0" w:rsidRPr="0069218C" w14:paraId="31372389" w14:textId="77777777" w:rsidTr="00904CEF">
        <w:trPr>
          <w:trHeight w:val="77"/>
        </w:trPr>
        <w:tc>
          <w:tcPr>
            <w:tcW w:w="5000" w:type="pct"/>
            <w:shd w:val="clear" w:color="auto" w:fill="99CDDD"/>
            <w:hideMark/>
          </w:tcPr>
          <w:p w14:paraId="0C1F8B7E" w14:textId="77777777" w:rsidR="005D5BF0" w:rsidRPr="0069218C" w:rsidRDefault="00D9793F" w:rsidP="00800DEC">
            <w:pPr>
              <w:pStyle w:val="TableHeadings"/>
              <w:rPr>
                <w:color w:val="002469"/>
                <w:szCs w:val="22"/>
                <w:lang w:val="en-NZ"/>
              </w:rPr>
            </w:pPr>
            <w:r w:rsidRPr="00886DFF">
              <w:rPr>
                <w:szCs w:val="22"/>
                <w:lang w:val="en-NZ"/>
              </w:rPr>
              <w:t>4</w:t>
            </w:r>
            <w:r w:rsidR="005D5BF0" w:rsidRPr="00886DFF">
              <w:rPr>
                <w:szCs w:val="22"/>
                <w:lang w:val="en-NZ"/>
              </w:rPr>
              <w:t>.</w:t>
            </w:r>
            <w:r w:rsidR="00C77099" w:rsidRPr="00886DFF">
              <w:rPr>
                <w:szCs w:val="22"/>
                <w:lang w:val="en-NZ"/>
              </w:rPr>
              <w:t>1</w:t>
            </w:r>
            <w:r w:rsidR="005D5BF0" w:rsidRPr="00886DFF">
              <w:rPr>
                <w:szCs w:val="22"/>
                <w:lang w:val="en-NZ"/>
              </w:rPr>
              <w:t xml:space="preserve">   Summary </w:t>
            </w:r>
            <w:r w:rsidR="005D5BF0" w:rsidRPr="00886DFF">
              <w:rPr>
                <w:szCs w:val="22"/>
              </w:rPr>
              <w:t>table</w:t>
            </w:r>
            <w:r w:rsidR="005D5BF0" w:rsidRPr="00886DFF">
              <w:rPr>
                <w:szCs w:val="22"/>
                <w:lang w:val="en-NZ"/>
              </w:rPr>
              <w:t xml:space="preserve"> of costs and benefits</w:t>
            </w:r>
          </w:p>
        </w:tc>
      </w:tr>
    </w:tbl>
    <w:p w14:paraId="1536052C" w14:textId="77777777" w:rsidR="00D9793F" w:rsidRPr="0069218C" w:rsidRDefault="00D9793F" w:rsidP="00567434">
      <w:pPr>
        <w:pStyle w:val="spacer"/>
      </w:pPr>
    </w:p>
    <w:tbl>
      <w:tblPr>
        <w:tblpPr w:leftFromText="180" w:rightFromText="180" w:vertAnchor="text" w:tblpX="114" w:tblpY="1"/>
        <w:tblOverlap w:val="neve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093"/>
        <w:gridCol w:w="4394"/>
        <w:gridCol w:w="2585"/>
      </w:tblGrid>
      <w:tr w:rsidR="00380585" w:rsidRPr="0069218C" w14:paraId="575E4657" w14:textId="77777777" w:rsidTr="00E6054D">
        <w:trPr>
          <w:trHeight w:val="732"/>
        </w:trPr>
        <w:tc>
          <w:tcPr>
            <w:tcW w:w="2093" w:type="dxa"/>
            <w:shd w:val="clear" w:color="auto" w:fill="99CDDD"/>
          </w:tcPr>
          <w:p w14:paraId="54712201" w14:textId="2E59458B" w:rsidR="00380585" w:rsidRPr="00886DFF" w:rsidRDefault="00380585" w:rsidP="002127DC">
            <w:pPr>
              <w:pStyle w:val="TableText"/>
              <w:keepNext/>
              <w:rPr>
                <w:rFonts w:eastAsia="Calibri"/>
                <w:color w:val="000000"/>
                <w:sz w:val="22"/>
              </w:rPr>
            </w:pPr>
            <w:r w:rsidRPr="00886DFF">
              <w:rPr>
                <w:rFonts w:eastAsia="Calibri"/>
                <w:b/>
                <w:color w:val="000000"/>
                <w:sz w:val="22"/>
              </w:rPr>
              <w:t>Affected parties</w:t>
            </w:r>
            <w:r w:rsidRPr="00886DFF">
              <w:rPr>
                <w:rFonts w:eastAsia="Calibri"/>
                <w:color w:val="000000"/>
                <w:sz w:val="22"/>
              </w:rPr>
              <w:t xml:space="preserve"> </w:t>
            </w:r>
          </w:p>
        </w:tc>
        <w:tc>
          <w:tcPr>
            <w:tcW w:w="4394" w:type="dxa"/>
            <w:shd w:val="clear" w:color="auto" w:fill="99CDDD"/>
          </w:tcPr>
          <w:p w14:paraId="133262F9" w14:textId="31CDB3B9" w:rsidR="00380585" w:rsidRPr="00886DFF" w:rsidRDefault="00380585" w:rsidP="00E6054D">
            <w:pPr>
              <w:pStyle w:val="TableText"/>
              <w:keepNext/>
              <w:rPr>
                <w:rFonts w:eastAsia="Calibri"/>
                <w:color w:val="000000"/>
                <w:sz w:val="22"/>
              </w:rPr>
            </w:pPr>
            <w:r w:rsidRPr="00886DFF">
              <w:rPr>
                <w:rFonts w:eastAsia="Calibri"/>
                <w:b/>
                <w:color w:val="000000"/>
                <w:sz w:val="22"/>
              </w:rPr>
              <w:t>Comment</w:t>
            </w:r>
            <w:r w:rsidRPr="00886DFF">
              <w:rPr>
                <w:rFonts w:eastAsia="Calibri"/>
                <w:color w:val="000000"/>
                <w:sz w:val="22"/>
              </w:rPr>
              <w:t xml:space="preserve">: </w:t>
            </w:r>
          </w:p>
        </w:tc>
        <w:tc>
          <w:tcPr>
            <w:tcW w:w="2585" w:type="dxa"/>
            <w:shd w:val="clear" w:color="auto" w:fill="99CDDD"/>
          </w:tcPr>
          <w:p w14:paraId="0F0B9F6F" w14:textId="77777777" w:rsidR="00380585" w:rsidRPr="00886DFF" w:rsidRDefault="00380585" w:rsidP="002127DC">
            <w:pPr>
              <w:pStyle w:val="TableText"/>
              <w:keepNext/>
              <w:rPr>
                <w:rFonts w:eastAsia="Calibri"/>
                <w:b/>
                <w:color w:val="000000"/>
                <w:sz w:val="22"/>
              </w:rPr>
            </w:pPr>
            <w:r w:rsidRPr="00886DFF">
              <w:rPr>
                <w:rFonts w:eastAsia="Calibri"/>
                <w:b/>
                <w:color w:val="000000"/>
                <w:sz w:val="22"/>
              </w:rPr>
              <w:t>Impact</w:t>
            </w:r>
          </w:p>
          <w:p w14:paraId="4BF028E9" w14:textId="24C82C53" w:rsidR="00380585" w:rsidRPr="00886DFF" w:rsidRDefault="00380585" w:rsidP="002127DC">
            <w:pPr>
              <w:pStyle w:val="TableText"/>
              <w:keepNext/>
              <w:rPr>
                <w:rFonts w:eastAsia="Calibri"/>
                <w:i/>
                <w:color w:val="000000"/>
                <w:sz w:val="22"/>
              </w:rPr>
            </w:pPr>
          </w:p>
        </w:tc>
      </w:tr>
      <w:tr w:rsidR="00380585" w:rsidRPr="0069218C" w14:paraId="374C3B33" w14:textId="77777777" w:rsidTr="00E6054D">
        <w:trPr>
          <w:trHeight w:val="197"/>
        </w:trPr>
        <w:tc>
          <w:tcPr>
            <w:tcW w:w="9072" w:type="dxa"/>
            <w:gridSpan w:val="3"/>
            <w:tcBorders>
              <w:bottom w:val="single" w:sz="4" w:space="0" w:color="DDDDDD"/>
            </w:tcBorders>
          </w:tcPr>
          <w:p w14:paraId="56BD4D53" w14:textId="77777777" w:rsidR="00380585" w:rsidRPr="00567434" w:rsidRDefault="00380585" w:rsidP="002127DC">
            <w:pPr>
              <w:pStyle w:val="spacer"/>
              <w:rPr>
                <w:rFonts w:eastAsia="Calibri"/>
              </w:rPr>
            </w:pPr>
          </w:p>
        </w:tc>
      </w:tr>
      <w:tr w:rsidR="00380585" w:rsidRPr="0069218C" w14:paraId="3311A7AD" w14:textId="77777777" w:rsidTr="00E6054D">
        <w:trPr>
          <w:trHeight w:val="253"/>
        </w:trPr>
        <w:tc>
          <w:tcPr>
            <w:tcW w:w="9072" w:type="dxa"/>
            <w:gridSpan w:val="3"/>
            <w:shd w:val="clear" w:color="auto" w:fill="99CDDD"/>
          </w:tcPr>
          <w:p w14:paraId="0287E966" w14:textId="77777777" w:rsidR="00380585" w:rsidRPr="0069218C" w:rsidRDefault="00380585" w:rsidP="002127DC">
            <w:pPr>
              <w:keepNext/>
              <w:spacing w:before="40" w:after="20" w:line="240" w:lineRule="auto"/>
              <w:rPr>
                <w:rFonts w:ascii="Arial Narrow" w:eastAsia="Calibri" w:hAnsi="Arial Narrow"/>
                <w:szCs w:val="22"/>
              </w:rPr>
            </w:pPr>
            <w:r w:rsidRPr="00886DFF">
              <w:rPr>
                <w:rFonts w:eastAsia="Calibri"/>
                <w:color w:val="000000"/>
                <w:szCs w:val="22"/>
              </w:rPr>
              <w:t>Additional costs of proposed approach, compared to taking no action</w:t>
            </w:r>
          </w:p>
        </w:tc>
      </w:tr>
      <w:tr w:rsidR="00380585" w:rsidRPr="0069218C" w14:paraId="7CACDF7E" w14:textId="77777777" w:rsidTr="00BB4EA2">
        <w:trPr>
          <w:trHeight w:val="253"/>
        </w:trPr>
        <w:tc>
          <w:tcPr>
            <w:tcW w:w="2093" w:type="dxa"/>
            <w:shd w:val="clear" w:color="auto" w:fill="auto"/>
          </w:tcPr>
          <w:p w14:paraId="55813CCE" w14:textId="77777777" w:rsidR="00380585" w:rsidRDefault="00380585" w:rsidP="002127DC">
            <w:pPr>
              <w:pStyle w:val="TableText"/>
              <w:keepNext/>
              <w:rPr>
                <w:rFonts w:eastAsia="Calibri"/>
                <w:sz w:val="22"/>
              </w:rPr>
            </w:pPr>
            <w:r w:rsidRPr="0069218C">
              <w:rPr>
                <w:rFonts w:eastAsia="Calibri"/>
                <w:sz w:val="22"/>
              </w:rPr>
              <w:t>Regulated parties</w:t>
            </w:r>
          </w:p>
          <w:p w14:paraId="475A657A" w14:textId="58B48F93" w:rsidR="00185F10" w:rsidRPr="009405D9" w:rsidRDefault="00185F10" w:rsidP="002127DC">
            <w:pPr>
              <w:pStyle w:val="TableText"/>
              <w:keepNext/>
              <w:rPr>
                <w:rFonts w:eastAsia="Calibri"/>
                <w:i/>
                <w:iCs/>
                <w:sz w:val="22"/>
              </w:rPr>
            </w:pPr>
            <w:r w:rsidRPr="009405D9">
              <w:rPr>
                <w:rFonts w:eastAsia="Calibri"/>
                <w:i/>
                <w:iCs/>
                <w:sz w:val="22"/>
              </w:rPr>
              <w:t>(</w:t>
            </w:r>
            <w:r w:rsidR="009405D9" w:rsidRPr="009405D9">
              <w:rPr>
                <w:rFonts w:eastAsia="Calibri"/>
                <w:i/>
                <w:iCs/>
                <w:sz w:val="22"/>
              </w:rPr>
              <w:t>GST registered persons with business and non-taxable use of an asset)</w:t>
            </w:r>
          </w:p>
        </w:tc>
        <w:tc>
          <w:tcPr>
            <w:tcW w:w="4394" w:type="dxa"/>
            <w:shd w:val="clear" w:color="auto" w:fill="auto"/>
          </w:tcPr>
          <w:p w14:paraId="2CF6F974" w14:textId="680D4598" w:rsidR="003861BB" w:rsidRDefault="003861BB" w:rsidP="00A048B6">
            <w:pPr>
              <w:pStyle w:val="TableText"/>
              <w:keepNext/>
              <w:rPr>
                <w:rFonts w:eastAsia="Calibri"/>
                <w:sz w:val="22"/>
              </w:rPr>
            </w:pPr>
            <w:r>
              <w:rPr>
                <w:rFonts w:eastAsia="Calibri"/>
                <w:sz w:val="22"/>
              </w:rPr>
              <w:t>Unlikely to change the current practices for the vast majority of affected parties.</w:t>
            </w:r>
          </w:p>
          <w:p w14:paraId="5A69B8FA" w14:textId="77777777" w:rsidR="003861BB" w:rsidRDefault="003861BB" w:rsidP="00A048B6">
            <w:pPr>
              <w:pStyle w:val="TableText"/>
              <w:keepNext/>
              <w:rPr>
                <w:rFonts w:eastAsia="Calibri"/>
                <w:sz w:val="22"/>
              </w:rPr>
            </w:pPr>
          </w:p>
          <w:p w14:paraId="71F3CAB1" w14:textId="2C1B4370" w:rsidR="001A4728" w:rsidRPr="0069218C" w:rsidRDefault="002C5F7A" w:rsidP="00A048B6">
            <w:pPr>
              <w:pStyle w:val="TableText"/>
              <w:keepNext/>
              <w:rPr>
                <w:rFonts w:eastAsia="Calibri"/>
                <w:sz w:val="22"/>
              </w:rPr>
            </w:pPr>
            <w:r>
              <w:rPr>
                <w:rFonts w:eastAsia="Calibri"/>
                <w:sz w:val="22"/>
              </w:rPr>
              <w:t xml:space="preserve">A </w:t>
            </w:r>
            <w:r w:rsidR="00084AAD">
              <w:rPr>
                <w:rFonts w:eastAsia="Calibri"/>
                <w:sz w:val="22"/>
              </w:rPr>
              <w:t>few</w:t>
            </w:r>
            <w:r>
              <w:rPr>
                <w:rFonts w:eastAsia="Calibri"/>
                <w:sz w:val="22"/>
              </w:rPr>
              <w:t xml:space="preserve"> regulated parties may face higher costs from seeking tax advice</w:t>
            </w:r>
            <w:r w:rsidR="00A37514">
              <w:rPr>
                <w:rFonts w:eastAsia="Calibri"/>
                <w:sz w:val="22"/>
              </w:rPr>
              <w:t xml:space="preserve"> or assistance</w:t>
            </w:r>
            <w:r>
              <w:rPr>
                <w:rFonts w:eastAsia="Calibri"/>
                <w:sz w:val="22"/>
              </w:rPr>
              <w:t xml:space="preserve"> in respect of the proposals</w:t>
            </w:r>
            <w:r w:rsidR="00084AAD">
              <w:rPr>
                <w:rFonts w:eastAsia="Calibri"/>
                <w:sz w:val="22"/>
              </w:rPr>
              <w:t>.</w:t>
            </w:r>
          </w:p>
        </w:tc>
        <w:tc>
          <w:tcPr>
            <w:tcW w:w="2585" w:type="dxa"/>
            <w:shd w:val="clear" w:color="auto" w:fill="auto"/>
          </w:tcPr>
          <w:p w14:paraId="30B3CC2E" w14:textId="402B9391" w:rsidR="00380585" w:rsidRPr="000B4D0A" w:rsidRDefault="00BF1D8C" w:rsidP="002127DC">
            <w:pPr>
              <w:pStyle w:val="TableText"/>
              <w:keepNext/>
              <w:rPr>
                <w:rFonts w:eastAsia="Calibri"/>
                <w:sz w:val="22"/>
              </w:rPr>
            </w:pPr>
            <w:r w:rsidRPr="000B4D0A">
              <w:rPr>
                <w:rFonts w:eastAsia="Calibri"/>
                <w:sz w:val="22"/>
              </w:rPr>
              <w:t>Low</w:t>
            </w:r>
          </w:p>
        </w:tc>
      </w:tr>
      <w:tr w:rsidR="00380585" w:rsidRPr="0069218C" w14:paraId="7AF8FD29" w14:textId="77777777" w:rsidTr="00BB4EA2">
        <w:trPr>
          <w:trHeight w:val="253"/>
        </w:trPr>
        <w:tc>
          <w:tcPr>
            <w:tcW w:w="2093" w:type="dxa"/>
            <w:shd w:val="clear" w:color="auto" w:fill="auto"/>
          </w:tcPr>
          <w:p w14:paraId="2E2F6BEF" w14:textId="77777777" w:rsidR="00380585" w:rsidRDefault="00380585" w:rsidP="002127DC">
            <w:pPr>
              <w:pStyle w:val="TableText"/>
              <w:keepNext/>
              <w:rPr>
                <w:rFonts w:eastAsia="Calibri"/>
                <w:color w:val="000000"/>
                <w:sz w:val="22"/>
              </w:rPr>
            </w:pPr>
            <w:r w:rsidRPr="0069218C">
              <w:rPr>
                <w:rFonts w:eastAsia="Calibri"/>
                <w:color w:val="000000"/>
                <w:sz w:val="22"/>
              </w:rPr>
              <w:t>Regulators</w:t>
            </w:r>
          </w:p>
          <w:p w14:paraId="0F06DC5D" w14:textId="1618D073" w:rsidR="00BF1D8C" w:rsidRPr="009405D9" w:rsidRDefault="00BF1D8C" w:rsidP="002127DC">
            <w:pPr>
              <w:pStyle w:val="TableText"/>
              <w:keepNext/>
              <w:rPr>
                <w:rFonts w:eastAsia="Calibri" w:cs="Arial"/>
                <w:i/>
                <w:iCs/>
                <w:color w:val="000000"/>
                <w:sz w:val="22"/>
              </w:rPr>
            </w:pPr>
            <w:r w:rsidRPr="009405D9">
              <w:rPr>
                <w:rFonts w:eastAsia="Calibri"/>
                <w:i/>
                <w:iCs/>
                <w:color w:val="000000"/>
                <w:sz w:val="22"/>
              </w:rPr>
              <w:t>(Inland Revenue)</w:t>
            </w:r>
          </w:p>
        </w:tc>
        <w:tc>
          <w:tcPr>
            <w:tcW w:w="4394" w:type="dxa"/>
            <w:shd w:val="clear" w:color="auto" w:fill="auto"/>
          </w:tcPr>
          <w:p w14:paraId="78635951" w14:textId="08381253" w:rsidR="00380585" w:rsidRDefault="00A048B6" w:rsidP="002127DC">
            <w:pPr>
              <w:pStyle w:val="TableText"/>
              <w:keepNext/>
              <w:rPr>
                <w:rFonts w:eastAsia="Calibri"/>
                <w:sz w:val="22"/>
              </w:rPr>
            </w:pPr>
            <w:r>
              <w:rPr>
                <w:rFonts w:eastAsia="Calibri"/>
                <w:sz w:val="22"/>
              </w:rPr>
              <w:t>More contacts with regulated parties seeking an alternative apportionment method, but demand for this process is expected to be low so can be met with existing resources.</w:t>
            </w:r>
          </w:p>
          <w:p w14:paraId="15408B5E" w14:textId="418A797C" w:rsidR="006D0DA4" w:rsidRPr="0069218C" w:rsidRDefault="006D0DA4" w:rsidP="002127DC">
            <w:pPr>
              <w:pStyle w:val="TableText"/>
              <w:keepNext/>
              <w:rPr>
                <w:rFonts w:eastAsia="Calibri"/>
                <w:sz w:val="22"/>
              </w:rPr>
            </w:pPr>
          </w:p>
        </w:tc>
        <w:tc>
          <w:tcPr>
            <w:tcW w:w="2585" w:type="dxa"/>
            <w:shd w:val="clear" w:color="auto" w:fill="auto"/>
          </w:tcPr>
          <w:p w14:paraId="682F55BC" w14:textId="192CC82E" w:rsidR="00380585" w:rsidRPr="0069218C" w:rsidRDefault="00B349F6" w:rsidP="002127DC">
            <w:pPr>
              <w:pStyle w:val="TableText"/>
              <w:keepNext/>
              <w:rPr>
                <w:rFonts w:eastAsia="Calibri"/>
                <w:sz w:val="22"/>
              </w:rPr>
            </w:pPr>
            <w:r>
              <w:rPr>
                <w:rFonts w:eastAsia="Calibri"/>
                <w:sz w:val="22"/>
              </w:rPr>
              <w:t>Low</w:t>
            </w:r>
          </w:p>
        </w:tc>
      </w:tr>
      <w:tr w:rsidR="0071328A" w:rsidRPr="0069218C" w14:paraId="051F6DE9" w14:textId="77777777" w:rsidTr="00BB4EA2">
        <w:trPr>
          <w:trHeight w:val="253"/>
        </w:trPr>
        <w:tc>
          <w:tcPr>
            <w:tcW w:w="2093" w:type="dxa"/>
            <w:shd w:val="clear" w:color="auto" w:fill="auto"/>
          </w:tcPr>
          <w:p w14:paraId="3D15155E" w14:textId="77777777" w:rsidR="0071328A" w:rsidRPr="0069218C" w:rsidRDefault="0071328A" w:rsidP="0071328A">
            <w:pPr>
              <w:pStyle w:val="TableText"/>
              <w:keepNext/>
              <w:rPr>
                <w:rFonts w:eastAsia="Calibri"/>
                <w:color w:val="000000"/>
                <w:sz w:val="22"/>
              </w:rPr>
            </w:pPr>
            <w:r w:rsidRPr="0069218C">
              <w:rPr>
                <w:rFonts w:eastAsia="Calibri"/>
                <w:color w:val="000000"/>
                <w:sz w:val="22"/>
              </w:rPr>
              <w:t>Wider government</w:t>
            </w:r>
          </w:p>
        </w:tc>
        <w:tc>
          <w:tcPr>
            <w:tcW w:w="4394" w:type="dxa"/>
            <w:shd w:val="clear" w:color="auto" w:fill="auto"/>
          </w:tcPr>
          <w:p w14:paraId="6CE17A35" w14:textId="064EC0C9" w:rsidR="0071328A" w:rsidRPr="0069218C" w:rsidRDefault="0071328A" w:rsidP="0071328A">
            <w:pPr>
              <w:pStyle w:val="TableText"/>
              <w:keepNext/>
              <w:rPr>
                <w:rFonts w:eastAsia="Calibri"/>
                <w:sz w:val="22"/>
              </w:rPr>
            </w:pPr>
            <w:r>
              <w:rPr>
                <w:rFonts w:eastAsia="Calibri"/>
                <w:sz w:val="22"/>
              </w:rPr>
              <w:t>No expected costs as the proposed approach is unlikely to change current practices and therefore the GST positions taken by the affected parties.</w:t>
            </w:r>
          </w:p>
        </w:tc>
        <w:tc>
          <w:tcPr>
            <w:tcW w:w="2585" w:type="dxa"/>
            <w:shd w:val="clear" w:color="auto" w:fill="auto"/>
          </w:tcPr>
          <w:p w14:paraId="211A32E6" w14:textId="19DBF8AD" w:rsidR="0071328A" w:rsidRPr="0069218C" w:rsidRDefault="0071328A" w:rsidP="0071328A">
            <w:pPr>
              <w:pStyle w:val="TableText"/>
              <w:keepNext/>
              <w:rPr>
                <w:rFonts w:eastAsia="Calibri"/>
                <w:sz w:val="22"/>
              </w:rPr>
            </w:pPr>
            <w:r>
              <w:rPr>
                <w:rFonts w:eastAsia="Calibri"/>
                <w:sz w:val="22"/>
              </w:rPr>
              <w:t>Unable to estimate</w:t>
            </w:r>
          </w:p>
        </w:tc>
      </w:tr>
      <w:tr w:rsidR="0071328A" w:rsidRPr="0069218C" w14:paraId="67B640BC" w14:textId="77777777" w:rsidTr="00BB4EA2">
        <w:trPr>
          <w:trHeight w:val="253"/>
        </w:trPr>
        <w:tc>
          <w:tcPr>
            <w:tcW w:w="2093" w:type="dxa"/>
            <w:shd w:val="clear" w:color="auto" w:fill="auto"/>
          </w:tcPr>
          <w:p w14:paraId="21C83AA5" w14:textId="77777777" w:rsidR="0071328A" w:rsidRPr="0069218C" w:rsidRDefault="0071328A" w:rsidP="0071328A">
            <w:pPr>
              <w:pStyle w:val="TableText"/>
              <w:keepNext/>
              <w:rPr>
                <w:rFonts w:eastAsia="Calibri" w:cs="Arial"/>
                <w:color w:val="000000"/>
                <w:sz w:val="22"/>
              </w:rPr>
            </w:pPr>
            <w:r w:rsidRPr="0069218C">
              <w:rPr>
                <w:rFonts w:eastAsia="Calibri"/>
                <w:color w:val="000000"/>
                <w:sz w:val="22"/>
              </w:rPr>
              <w:t xml:space="preserve">Other parties </w:t>
            </w:r>
          </w:p>
        </w:tc>
        <w:tc>
          <w:tcPr>
            <w:tcW w:w="4394" w:type="dxa"/>
            <w:shd w:val="clear" w:color="auto" w:fill="auto"/>
          </w:tcPr>
          <w:p w14:paraId="197E8BDC" w14:textId="4315B14A" w:rsidR="0071328A" w:rsidRPr="0069218C" w:rsidRDefault="0071328A" w:rsidP="0071328A">
            <w:pPr>
              <w:pStyle w:val="TableText"/>
              <w:keepNext/>
              <w:rPr>
                <w:rFonts w:eastAsia="Calibri"/>
                <w:sz w:val="22"/>
              </w:rPr>
            </w:pPr>
            <w:r>
              <w:rPr>
                <w:rFonts w:eastAsia="Calibri"/>
                <w:sz w:val="22"/>
              </w:rPr>
              <w:t>No expected costs</w:t>
            </w:r>
          </w:p>
        </w:tc>
        <w:tc>
          <w:tcPr>
            <w:tcW w:w="2585" w:type="dxa"/>
            <w:shd w:val="clear" w:color="auto" w:fill="auto"/>
          </w:tcPr>
          <w:p w14:paraId="26C82814" w14:textId="495A98DA" w:rsidR="0071328A" w:rsidRPr="0069218C" w:rsidRDefault="00C35F56" w:rsidP="0071328A">
            <w:pPr>
              <w:pStyle w:val="TableText"/>
              <w:keepNext/>
              <w:rPr>
                <w:rFonts w:eastAsia="Calibri"/>
                <w:sz w:val="22"/>
              </w:rPr>
            </w:pPr>
            <w:r>
              <w:rPr>
                <w:rFonts w:eastAsia="Calibri"/>
                <w:sz w:val="22"/>
              </w:rPr>
              <w:t>N/A</w:t>
            </w:r>
          </w:p>
        </w:tc>
      </w:tr>
      <w:tr w:rsidR="0071328A" w:rsidRPr="0069218C" w14:paraId="36C00356" w14:textId="77777777" w:rsidTr="00BB4EA2">
        <w:trPr>
          <w:trHeight w:val="253"/>
        </w:trPr>
        <w:tc>
          <w:tcPr>
            <w:tcW w:w="2093" w:type="dxa"/>
            <w:shd w:val="clear" w:color="auto" w:fill="auto"/>
          </w:tcPr>
          <w:p w14:paraId="55DE5259" w14:textId="77777777" w:rsidR="0071328A" w:rsidRPr="0069218C" w:rsidRDefault="0071328A" w:rsidP="0071328A">
            <w:pPr>
              <w:pStyle w:val="TableText"/>
              <w:keepNext/>
              <w:rPr>
                <w:rFonts w:eastAsia="Calibri"/>
                <w:b/>
                <w:sz w:val="22"/>
              </w:rPr>
            </w:pPr>
            <w:r w:rsidRPr="0069218C">
              <w:rPr>
                <w:rFonts w:eastAsia="Calibri"/>
                <w:b/>
                <w:sz w:val="22"/>
              </w:rPr>
              <w:t>Total Monetised Cost</w:t>
            </w:r>
          </w:p>
        </w:tc>
        <w:tc>
          <w:tcPr>
            <w:tcW w:w="4394" w:type="dxa"/>
            <w:shd w:val="clear" w:color="auto" w:fill="auto"/>
          </w:tcPr>
          <w:p w14:paraId="4D0A094E" w14:textId="77777777" w:rsidR="0071328A" w:rsidRPr="0069218C" w:rsidRDefault="0071328A" w:rsidP="0071328A">
            <w:pPr>
              <w:pStyle w:val="TableText"/>
              <w:keepNext/>
              <w:rPr>
                <w:rFonts w:eastAsia="Calibri"/>
                <w:i/>
                <w:sz w:val="22"/>
              </w:rPr>
            </w:pPr>
          </w:p>
        </w:tc>
        <w:tc>
          <w:tcPr>
            <w:tcW w:w="2585" w:type="dxa"/>
            <w:shd w:val="clear" w:color="auto" w:fill="auto"/>
          </w:tcPr>
          <w:p w14:paraId="1513E189" w14:textId="3B873FAE" w:rsidR="0071328A" w:rsidRPr="0069218C" w:rsidRDefault="0071328A" w:rsidP="0071328A">
            <w:pPr>
              <w:pStyle w:val="TableText"/>
              <w:keepNext/>
              <w:rPr>
                <w:rFonts w:eastAsia="Calibri"/>
                <w:sz w:val="22"/>
              </w:rPr>
            </w:pPr>
            <w:r>
              <w:rPr>
                <w:rFonts w:eastAsia="Calibri"/>
                <w:sz w:val="22"/>
              </w:rPr>
              <w:t>Unable to estimate</w:t>
            </w:r>
          </w:p>
        </w:tc>
      </w:tr>
      <w:tr w:rsidR="0071328A" w:rsidRPr="0069218C" w14:paraId="744EB59C" w14:textId="77777777" w:rsidTr="00BB4EA2">
        <w:trPr>
          <w:trHeight w:val="253"/>
        </w:trPr>
        <w:tc>
          <w:tcPr>
            <w:tcW w:w="2093" w:type="dxa"/>
            <w:shd w:val="clear" w:color="auto" w:fill="auto"/>
          </w:tcPr>
          <w:p w14:paraId="7F4CC76A" w14:textId="77777777" w:rsidR="0071328A" w:rsidRPr="0069218C" w:rsidRDefault="0071328A" w:rsidP="0071328A">
            <w:pPr>
              <w:pStyle w:val="TableText"/>
              <w:keepNext/>
              <w:rPr>
                <w:rFonts w:eastAsia="Calibri"/>
                <w:b/>
                <w:sz w:val="22"/>
              </w:rPr>
            </w:pPr>
            <w:r w:rsidRPr="0069218C">
              <w:rPr>
                <w:rFonts w:eastAsia="Calibri"/>
                <w:b/>
                <w:sz w:val="22"/>
              </w:rPr>
              <w:t xml:space="preserve">Non-monetised costs </w:t>
            </w:r>
          </w:p>
        </w:tc>
        <w:tc>
          <w:tcPr>
            <w:tcW w:w="4394" w:type="dxa"/>
            <w:shd w:val="clear" w:color="auto" w:fill="auto"/>
          </w:tcPr>
          <w:p w14:paraId="3F8B3128" w14:textId="1A180540" w:rsidR="0071328A" w:rsidRPr="00001D41" w:rsidRDefault="0071328A" w:rsidP="0071328A">
            <w:pPr>
              <w:pStyle w:val="TableText"/>
              <w:keepNext/>
              <w:rPr>
                <w:rFonts w:eastAsia="Calibri"/>
                <w:iCs/>
                <w:sz w:val="22"/>
              </w:rPr>
            </w:pPr>
          </w:p>
        </w:tc>
        <w:tc>
          <w:tcPr>
            <w:tcW w:w="2585" w:type="dxa"/>
            <w:shd w:val="clear" w:color="auto" w:fill="auto"/>
          </w:tcPr>
          <w:p w14:paraId="59E9AAEA" w14:textId="31F4E6EF" w:rsidR="0071328A" w:rsidRPr="00B349F6" w:rsidRDefault="0071328A" w:rsidP="0071328A">
            <w:pPr>
              <w:pStyle w:val="TableText"/>
              <w:keepNext/>
              <w:rPr>
                <w:rFonts w:eastAsia="Calibri"/>
                <w:iCs/>
                <w:sz w:val="22"/>
              </w:rPr>
            </w:pPr>
            <w:r>
              <w:rPr>
                <w:rFonts w:eastAsia="Calibri"/>
                <w:iCs/>
                <w:sz w:val="22"/>
              </w:rPr>
              <w:t>Low</w:t>
            </w:r>
          </w:p>
        </w:tc>
      </w:tr>
    </w:tbl>
    <w:p w14:paraId="0A9A2360" w14:textId="77777777" w:rsidR="00380585" w:rsidRPr="0069218C" w:rsidRDefault="00380585" w:rsidP="00567434">
      <w:pPr>
        <w:pStyle w:val="spacer"/>
      </w:pPr>
    </w:p>
    <w:tbl>
      <w:tblPr>
        <w:tblpPr w:leftFromText="180" w:rightFromText="180" w:vertAnchor="text" w:tblpX="114" w:tblpY="1"/>
        <w:tblOverlap w:val="neve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093"/>
        <w:gridCol w:w="4394"/>
        <w:gridCol w:w="2585"/>
      </w:tblGrid>
      <w:tr w:rsidR="00380585" w:rsidRPr="0069218C" w14:paraId="377EAB6F" w14:textId="77777777" w:rsidTr="00E6054D">
        <w:trPr>
          <w:trHeight w:val="253"/>
        </w:trPr>
        <w:tc>
          <w:tcPr>
            <w:tcW w:w="9072" w:type="dxa"/>
            <w:gridSpan w:val="3"/>
            <w:shd w:val="clear" w:color="auto" w:fill="99CDDD"/>
          </w:tcPr>
          <w:p w14:paraId="564BDD89" w14:textId="77777777" w:rsidR="00380585" w:rsidRPr="000535CE" w:rsidRDefault="00380585" w:rsidP="002127DC">
            <w:pPr>
              <w:spacing w:before="40" w:after="20" w:line="240" w:lineRule="auto"/>
              <w:rPr>
                <w:rFonts w:ascii="Arial Narrow" w:eastAsia="Calibri" w:hAnsi="Arial Narrow"/>
                <w:szCs w:val="22"/>
              </w:rPr>
            </w:pPr>
            <w:r w:rsidRPr="00886DFF">
              <w:rPr>
                <w:rFonts w:eastAsia="Calibri"/>
                <w:color w:val="000000"/>
                <w:szCs w:val="22"/>
              </w:rPr>
              <w:t>Expected benefits of proposed approach, compared to taking no action</w:t>
            </w:r>
          </w:p>
        </w:tc>
      </w:tr>
      <w:tr w:rsidR="00380585" w:rsidRPr="0069218C" w14:paraId="6FCB9D30" w14:textId="77777777" w:rsidTr="00BB4EA2">
        <w:trPr>
          <w:trHeight w:val="253"/>
        </w:trPr>
        <w:tc>
          <w:tcPr>
            <w:tcW w:w="2093" w:type="dxa"/>
            <w:shd w:val="clear" w:color="auto" w:fill="auto"/>
          </w:tcPr>
          <w:p w14:paraId="3F078A75" w14:textId="77777777" w:rsidR="00380585" w:rsidRDefault="00380585" w:rsidP="002127DC">
            <w:pPr>
              <w:pStyle w:val="TableText"/>
              <w:rPr>
                <w:rFonts w:eastAsia="Calibri"/>
                <w:sz w:val="22"/>
              </w:rPr>
            </w:pPr>
            <w:r w:rsidRPr="0069218C">
              <w:rPr>
                <w:rFonts w:eastAsia="Calibri"/>
                <w:sz w:val="22"/>
              </w:rPr>
              <w:t>Regulated parties</w:t>
            </w:r>
          </w:p>
          <w:p w14:paraId="118392ED" w14:textId="26B198CF" w:rsidR="008A0B22" w:rsidRPr="0069218C" w:rsidRDefault="00A048B6" w:rsidP="002127DC">
            <w:pPr>
              <w:pStyle w:val="TableText"/>
              <w:rPr>
                <w:rFonts w:eastAsia="Calibri"/>
                <w:sz w:val="22"/>
              </w:rPr>
            </w:pPr>
            <w:r w:rsidRPr="009405D9">
              <w:rPr>
                <w:rFonts w:eastAsia="Calibri"/>
                <w:i/>
                <w:iCs/>
                <w:sz w:val="22"/>
              </w:rPr>
              <w:t>(GST registered persons with business and non-taxable use of an asset)</w:t>
            </w:r>
          </w:p>
        </w:tc>
        <w:tc>
          <w:tcPr>
            <w:tcW w:w="4394" w:type="dxa"/>
            <w:shd w:val="clear" w:color="auto" w:fill="auto"/>
          </w:tcPr>
          <w:p w14:paraId="7FA83A27" w14:textId="331BB8E2" w:rsidR="00D363C8" w:rsidRPr="00497D74" w:rsidRDefault="006B715B" w:rsidP="002127DC">
            <w:pPr>
              <w:pStyle w:val="TableText"/>
              <w:rPr>
                <w:rFonts w:eastAsia="Calibri"/>
                <w:sz w:val="22"/>
              </w:rPr>
            </w:pPr>
            <w:r w:rsidRPr="00497D74">
              <w:rPr>
                <w:rFonts w:eastAsia="Calibri"/>
                <w:sz w:val="22"/>
              </w:rPr>
              <w:t xml:space="preserve">Reduced compliance costs for </w:t>
            </w:r>
            <w:r w:rsidR="009C5702" w:rsidRPr="00497D74">
              <w:rPr>
                <w:rFonts w:eastAsia="Calibri"/>
                <w:sz w:val="22"/>
              </w:rPr>
              <w:t>smaller businesses which</w:t>
            </w:r>
            <w:r w:rsidR="0030142C" w:rsidRPr="00497D74">
              <w:rPr>
                <w:rFonts w:eastAsia="Calibri"/>
                <w:sz w:val="22"/>
              </w:rPr>
              <w:t xml:space="preserve"> choose to use a simplified apportionment method.</w:t>
            </w:r>
          </w:p>
        </w:tc>
        <w:tc>
          <w:tcPr>
            <w:tcW w:w="2585" w:type="dxa"/>
            <w:shd w:val="clear" w:color="auto" w:fill="auto"/>
          </w:tcPr>
          <w:p w14:paraId="73CBE2E0" w14:textId="1D1A7982" w:rsidR="00380585" w:rsidRPr="0069218C" w:rsidRDefault="005E28CD" w:rsidP="002127DC">
            <w:pPr>
              <w:pStyle w:val="TableText"/>
              <w:rPr>
                <w:rFonts w:eastAsia="Calibri"/>
                <w:sz w:val="22"/>
              </w:rPr>
            </w:pPr>
            <w:r>
              <w:rPr>
                <w:rFonts w:eastAsia="Calibri"/>
                <w:sz w:val="22"/>
              </w:rPr>
              <w:t>Low</w:t>
            </w:r>
          </w:p>
        </w:tc>
      </w:tr>
      <w:tr w:rsidR="00380585" w:rsidRPr="0069218C" w14:paraId="6D1801A4" w14:textId="77777777" w:rsidTr="00BB4EA2">
        <w:trPr>
          <w:trHeight w:val="253"/>
        </w:trPr>
        <w:tc>
          <w:tcPr>
            <w:tcW w:w="2093" w:type="dxa"/>
            <w:shd w:val="clear" w:color="auto" w:fill="auto"/>
          </w:tcPr>
          <w:p w14:paraId="77588531" w14:textId="77777777" w:rsidR="00380585" w:rsidRDefault="00380585" w:rsidP="002127DC">
            <w:pPr>
              <w:pStyle w:val="TableText"/>
              <w:rPr>
                <w:rFonts w:eastAsia="Calibri"/>
                <w:sz w:val="22"/>
              </w:rPr>
            </w:pPr>
            <w:r w:rsidRPr="0069218C">
              <w:rPr>
                <w:rFonts w:eastAsia="Calibri"/>
                <w:sz w:val="22"/>
              </w:rPr>
              <w:t>Regulators</w:t>
            </w:r>
          </w:p>
          <w:p w14:paraId="715A3757" w14:textId="19FA9D18" w:rsidR="00A048B6" w:rsidRPr="0069218C" w:rsidRDefault="00A048B6" w:rsidP="002127DC">
            <w:pPr>
              <w:pStyle w:val="TableText"/>
              <w:rPr>
                <w:rFonts w:eastAsia="Calibri"/>
                <w:sz w:val="22"/>
              </w:rPr>
            </w:pPr>
            <w:r w:rsidRPr="009405D9">
              <w:rPr>
                <w:rFonts w:eastAsia="Calibri"/>
                <w:i/>
                <w:iCs/>
                <w:color w:val="000000"/>
                <w:sz w:val="22"/>
              </w:rPr>
              <w:t>(Inland Revenue)</w:t>
            </w:r>
          </w:p>
        </w:tc>
        <w:tc>
          <w:tcPr>
            <w:tcW w:w="4394" w:type="dxa"/>
            <w:shd w:val="clear" w:color="auto" w:fill="auto"/>
          </w:tcPr>
          <w:p w14:paraId="2D09FD04" w14:textId="1D2CCEEA" w:rsidR="00380585" w:rsidRPr="006B715B" w:rsidRDefault="00D32994" w:rsidP="002127DC">
            <w:pPr>
              <w:pStyle w:val="TableText"/>
              <w:rPr>
                <w:rFonts w:eastAsia="Calibri"/>
                <w:sz w:val="22"/>
              </w:rPr>
            </w:pPr>
            <w:r>
              <w:rPr>
                <w:sz w:val="22"/>
              </w:rPr>
              <w:t xml:space="preserve">Because </w:t>
            </w:r>
            <w:r w:rsidR="005D1D75" w:rsidRPr="006B715B">
              <w:rPr>
                <w:sz w:val="22"/>
              </w:rPr>
              <w:t xml:space="preserve">compliant taxpayers </w:t>
            </w:r>
            <w:r w:rsidR="006B715B">
              <w:rPr>
                <w:sz w:val="22"/>
              </w:rPr>
              <w:t>will no longer be</w:t>
            </w:r>
            <w:r w:rsidR="005D1D75" w:rsidRPr="006B715B">
              <w:rPr>
                <w:sz w:val="22"/>
              </w:rPr>
              <w:t xml:space="preserve"> overtaxed in respect of their non-taxable use of the asset </w:t>
            </w:r>
            <w:r w:rsidR="006B715B">
              <w:rPr>
                <w:sz w:val="22"/>
              </w:rPr>
              <w:t>this</w:t>
            </w:r>
            <w:r w:rsidR="005D1D75" w:rsidRPr="006B715B">
              <w:rPr>
                <w:sz w:val="22"/>
              </w:rPr>
              <w:t xml:space="preserve"> may encourage a small increase in compliance.</w:t>
            </w:r>
          </w:p>
        </w:tc>
        <w:tc>
          <w:tcPr>
            <w:tcW w:w="2585" w:type="dxa"/>
            <w:shd w:val="clear" w:color="auto" w:fill="auto"/>
          </w:tcPr>
          <w:p w14:paraId="733C5865" w14:textId="63D75B31" w:rsidR="00380585" w:rsidRPr="006B715B" w:rsidRDefault="00001D41" w:rsidP="002127DC">
            <w:pPr>
              <w:pStyle w:val="TableText"/>
              <w:rPr>
                <w:rFonts w:eastAsia="Calibri"/>
                <w:sz w:val="22"/>
              </w:rPr>
            </w:pPr>
            <w:r w:rsidRPr="006B715B">
              <w:rPr>
                <w:rFonts w:eastAsia="Calibri"/>
                <w:sz w:val="22"/>
              </w:rPr>
              <w:t>Low</w:t>
            </w:r>
          </w:p>
        </w:tc>
      </w:tr>
      <w:tr w:rsidR="00380585" w:rsidRPr="0069218C" w14:paraId="6617ED99" w14:textId="77777777" w:rsidTr="00BB4EA2">
        <w:trPr>
          <w:trHeight w:val="253"/>
        </w:trPr>
        <w:tc>
          <w:tcPr>
            <w:tcW w:w="2093" w:type="dxa"/>
            <w:shd w:val="clear" w:color="auto" w:fill="auto"/>
          </w:tcPr>
          <w:p w14:paraId="4D03E098" w14:textId="77777777" w:rsidR="00380585" w:rsidRPr="0069218C" w:rsidRDefault="00380585" w:rsidP="002127DC">
            <w:pPr>
              <w:pStyle w:val="TableText"/>
              <w:rPr>
                <w:rFonts w:eastAsia="Calibri"/>
                <w:sz w:val="22"/>
              </w:rPr>
            </w:pPr>
            <w:r w:rsidRPr="0069218C">
              <w:rPr>
                <w:rFonts w:eastAsia="Calibri"/>
                <w:sz w:val="22"/>
              </w:rPr>
              <w:t>Wider government</w:t>
            </w:r>
          </w:p>
        </w:tc>
        <w:tc>
          <w:tcPr>
            <w:tcW w:w="4394" w:type="dxa"/>
            <w:shd w:val="clear" w:color="auto" w:fill="auto"/>
          </w:tcPr>
          <w:p w14:paraId="28CC1657" w14:textId="4C261194" w:rsidR="00380585" w:rsidRPr="0069218C" w:rsidRDefault="00CA5203" w:rsidP="002127DC">
            <w:pPr>
              <w:pStyle w:val="TableText"/>
              <w:rPr>
                <w:rFonts w:eastAsia="Calibri"/>
                <w:sz w:val="22"/>
              </w:rPr>
            </w:pPr>
            <w:r>
              <w:rPr>
                <w:rFonts w:eastAsia="Calibri"/>
                <w:sz w:val="22"/>
              </w:rPr>
              <w:t>No expected benefits</w:t>
            </w:r>
          </w:p>
        </w:tc>
        <w:tc>
          <w:tcPr>
            <w:tcW w:w="2585" w:type="dxa"/>
            <w:shd w:val="clear" w:color="auto" w:fill="auto"/>
          </w:tcPr>
          <w:p w14:paraId="3881C965" w14:textId="20360BEB" w:rsidR="00380585" w:rsidRPr="0069218C" w:rsidRDefault="00C35F56" w:rsidP="002127DC">
            <w:pPr>
              <w:pStyle w:val="TableText"/>
              <w:rPr>
                <w:rFonts w:eastAsia="Calibri"/>
                <w:sz w:val="22"/>
              </w:rPr>
            </w:pPr>
            <w:r>
              <w:rPr>
                <w:rFonts w:eastAsia="Calibri"/>
                <w:sz w:val="22"/>
              </w:rPr>
              <w:t>N/A</w:t>
            </w:r>
          </w:p>
        </w:tc>
      </w:tr>
      <w:tr w:rsidR="00380585" w:rsidRPr="0069218C" w14:paraId="746B7EB9" w14:textId="77777777" w:rsidTr="00BB4EA2">
        <w:trPr>
          <w:trHeight w:val="253"/>
        </w:trPr>
        <w:tc>
          <w:tcPr>
            <w:tcW w:w="2093" w:type="dxa"/>
            <w:shd w:val="clear" w:color="auto" w:fill="auto"/>
          </w:tcPr>
          <w:p w14:paraId="3F02F27B" w14:textId="77777777" w:rsidR="00380585" w:rsidRPr="0069218C" w:rsidRDefault="00380585" w:rsidP="002127DC">
            <w:pPr>
              <w:pStyle w:val="TableText"/>
              <w:rPr>
                <w:rFonts w:eastAsia="Calibri"/>
                <w:sz w:val="22"/>
              </w:rPr>
            </w:pPr>
            <w:r w:rsidRPr="0069218C">
              <w:rPr>
                <w:rFonts w:eastAsia="Calibri"/>
                <w:sz w:val="22"/>
              </w:rPr>
              <w:t xml:space="preserve">Other parties </w:t>
            </w:r>
          </w:p>
        </w:tc>
        <w:tc>
          <w:tcPr>
            <w:tcW w:w="4394" w:type="dxa"/>
            <w:shd w:val="clear" w:color="auto" w:fill="auto"/>
          </w:tcPr>
          <w:p w14:paraId="6F1D21BC" w14:textId="63FE23CE" w:rsidR="00380585" w:rsidRPr="0069218C" w:rsidRDefault="00CA5203" w:rsidP="002127DC">
            <w:pPr>
              <w:pStyle w:val="TableText"/>
              <w:rPr>
                <w:rFonts w:eastAsia="Calibri"/>
                <w:sz w:val="22"/>
              </w:rPr>
            </w:pPr>
            <w:r>
              <w:rPr>
                <w:rFonts w:eastAsia="Calibri"/>
                <w:sz w:val="22"/>
              </w:rPr>
              <w:t>No expected benefits</w:t>
            </w:r>
          </w:p>
        </w:tc>
        <w:tc>
          <w:tcPr>
            <w:tcW w:w="2585" w:type="dxa"/>
            <w:shd w:val="clear" w:color="auto" w:fill="auto"/>
          </w:tcPr>
          <w:p w14:paraId="4BA42D52" w14:textId="486DBB6F" w:rsidR="00380585" w:rsidRPr="0069218C" w:rsidRDefault="00C35F56" w:rsidP="002127DC">
            <w:pPr>
              <w:pStyle w:val="TableText"/>
              <w:rPr>
                <w:rFonts w:eastAsia="Calibri"/>
                <w:sz w:val="22"/>
              </w:rPr>
            </w:pPr>
            <w:r>
              <w:rPr>
                <w:rFonts w:eastAsia="Calibri"/>
                <w:sz w:val="22"/>
              </w:rPr>
              <w:t>N/A</w:t>
            </w:r>
          </w:p>
        </w:tc>
      </w:tr>
      <w:tr w:rsidR="00380585" w:rsidRPr="0069218C" w14:paraId="7DFE3740" w14:textId="77777777" w:rsidTr="00BB4EA2">
        <w:trPr>
          <w:trHeight w:val="253"/>
        </w:trPr>
        <w:tc>
          <w:tcPr>
            <w:tcW w:w="2093" w:type="dxa"/>
            <w:shd w:val="clear" w:color="auto" w:fill="auto"/>
          </w:tcPr>
          <w:p w14:paraId="5AE97A8A" w14:textId="77777777" w:rsidR="00380585" w:rsidRPr="0069218C" w:rsidRDefault="00380585" w:rsidP="002127DC">
            <w:pPr>
              <w:pStyle w:val="TableText"/>
              <w:rPr>
                <w:rFonts w:eastAsia="Calibri"/>
                <w:b/>
                <w:sz w:val="22"/>
              </w:rPr>
            </w:pPr>
            <w:r w:rsidRPr="0069218C">
              <w:rPr>
                <w:rFonts w:eastAsia="Calibri"/>
                <w:b/>
                <w:sz w:val="22"/>
              </w:rPr>
              <w:t>Total Monetised  Benefit</w:t>
            </w:r>
          </w:p>
        </w:tc>
        <w:tc>
          <w:tcPr>
            <w:tcW w:w="4394" w:type="dxa"/>
            <w:shd w:val="clear" w:color="auto" w:fill="auto"/>
          </w:tcPr>
          <w:p w14:paraId="4A0ED95F" w14:textId="43C46039" w:rsidR="00380585" w:rsidRPr="0069218C" w:rsidRDefault="00380585" w:rsidP="002127DC">
            <w:pPr>
              <w:pStyle w:val="TableText"/>
              <w:rPr>
                <w:rFonts w:eastAsia="Calibri"/>
                <w:sz w:val="22"/>
              </w:rPr>
            </w:pPr>
          </w:p>
        </w:tc>
        <w:tc>
          <w:tcPr>
            <w:tcW w:w="2585" w:type="dxa"/>
            <w:shd w:val="clear" w:color="auto" w:fill="auto"/>
          </w:tcPr>
          <w:p w14:paraId="36B5F82A" w14:textId="3397B526" w:rsidR="00380585" w:rsidRPr="000B4D0A" w:rsidRDefault="008F3512" w:rsidP="002127DC">
            <w:pPr>
              <w:pStyle w:val="TableText"/>
              <w:rPr>
                <w:rFonts w:eastAsia="Calibri"/>
                <w:sz w:val="22"/>
              </w:rPr>
            </w:pPr>
            <w:r w:rsidRPr="008F3512">
              <w:rPr>
                <w:rFonts w:eastAsia="Calibri"/>
                <w:sz w:val="22"/>
              </w:rPr>
              <w:t>Unable to estimate</w:t>
            </w:r>
          </w:p>
        </w:tc>
      </w:tr>
      <w:tr w:rsidR="00380585" w:rsidRPr="0069218C" w14:paraId="4A17A07A" w14:textId="77777777" w:rsidTr="00BB4EA2">
        <w:trPr>
          <w:trHeight w:val="253"/>
        </w:trPr>
        <w:tc>
          <w:tcPr>
            <w:tcW w:w="2093" w:type="dxa"/>
            <w:shd w:val="clear" w:color="auto" w:fill="auto"/>
          </w:tcPr>
          <w:p w14:paraId="1C9A83D8" w14:textId="77777777" w:rsidR="00380585" w:rsidRPr="0069218C" w:rsidRDefault="00380585" w:rsidP="002127DC">
            <w:pPr>
              <w:pStyle w:val="TableText"/>
              <w:rPr>
                <w:rFonts w:eastAsia="Calibri"/>
                <w:b/>
                <w:sz w:val="22"/>
              </w:rPr>
            </w:pPr>
            <w:r w:rsidRPr="0069218C">
              <w:rPr>
                <w:rFonts w:eastAsia="Calibri"/>
                <w:b/>
                <w:sz w:val="22"/>
              </w:rPr>
              <w:t>Non-monetised benefits</w:t>
            </w:r>
          </w:p>
        </w:tc>
        <w:tc>
          <w:tcPr>
            <w:tcW w:w="4394" w:type="dxa"/>
            <w:shd w:val="clear" w:color="auto" w:fill="auto"/>
          </w:tcPr>
          <w:p w14:paraId="6EC0B707" w14:textId="57809648" w:rsidR="00380585" w:rsidRPr="0069218C" w:rsidRDefault="00071A92" w:rsidP="00071A92">
            <w:pPr>
              <w:pStyle w:val="TableText"/>
              <w:keepNext/>
              <w:rPr>
                <w:rFonts w:eastAsia="Calibri"/>
                <w:sz w:val="22"/>
              </w:rPr>
            </w:pPr>
            <w:r w:rsidRPr="00497D74">
              <w:rPr>
                <w:rFonts w:eastAsia="Calibri"/>
                <w:sz w:val="22"/>
              </w:rPr>
              <w:t>Benefits depend on the uptake</w:t>
            </w:r>
            <w:r>
              <w:rPr>
                <w:rFonts w:eastAsia="Calibri"/>
                <w:sz w:val="22"/>
              </w:rPr>
              <w:t xml:space="preserve"> / compliance with</w:t>
            </w:r>
            <w:r w:rsidRPr="00497D74">
              <w:rPr>
                <w:rFonts w:eastAsia="Calibri"/>
                <w:sz w:val="22"/>
              </w:rPr>
              <w:t xml:space="preserve"> the proposals which is expected to be low based on</w:t>
            </w:r>
            <w:r w:rsidR="003861BB">
              <w:rPr>
                <w:rFonts w:eastAsia="Calibri"/>
                <w:sz w:val="22"/>
              </w:rPr>
              <w:t xml:space="preserve"> the</w:t>
            </w:r>
            <w:r w:rsidRPr="00497D74">
              <w:rPr>
                <w:rFonts w:eastAsia="Calibri"/>
                <w:sz w:val="22"/>
              </w:rPr>
              <w:t xml:space="preserve"> current practices of the affected parties.</w:t>
            </w:r>
          </w:p>
        </w:tc>
        <w:tc>
          <w:tcPr>
            <w:tcW w:w="2585" w:type="dxa"/>
            <w:shd w:val="clear" w:color="auto" w:fill="auto"/>
          </w:tcPr>
          <w:p w14:paraId="723A8545" w14:textId="4F455F42" w:rsidR="00380585" w:rsidRPr="000B4D0A" w:rsidRDefault="00071A92" w:rsidP="002127DC">
            <w:pPr>
              <w:pStyle w:val="TableText"/>
              <w:rPr>
                <w:rFonts w:eastAsia="Calibri"/>
                <w:sz w:val="22"/>
              </w:rPr>
            </w:pPr>
            <w:r>
              <w:rPr>
                <w:rFonts w:eastAsia="Calibri"/>
                <w:sz w:val="22"/>
              </w:rPr>
              <w:t>Low</w:t>
            </w:r>
          </w:p>
        </w:tc>
      </w:tr>
    </w:tbl>
    <w:p w14:paraId="1185774B" w14:textId="569D89D8" w:rsidR="00C77099" w:rsidRPr="00886DFF" w:rsidRDefault="00C77099" w:rsidP="005744B1">
      <w:pPr>
        <w:rPr>
          <w:rFonts w:cs="Arial"/>
          <w:i/>
          <w:color w:val="000000"/>
          <w:szCs w:val="22"/>
          <w:lang w:eastAsia="en-AU"/>
        </w:rP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C77099" w:rsidRPr="0069218C" w14:paraId="176D43DC" w14:textId="77777777" w:rsidTr="00BB4EA2">
        <w:trPr>
          <w:trHeight w:val="77"/>
        </w:trPr>
        <w:tc>
          <w:tcPr>
            <w:tcW w:w="5000" w:type="pct"/>
            <w:shd w:val="clear" w:color="auto" w:fill="99CDDD"/>
            <w:hideMark/>
          </w:tcPr>
          <w:p w14:paraId="483E41C0" w14:textId="77777777" w:rsidR="00C77099" w:rsidRPr="00886DFF" w:rsidRDefault="00D9793F" w:rsidP="00EC6FAD">
            <w:pPr>
              <w:pStyle w:val="TableHeadings"/>
              <w:rPr>
                <w:szCs w:val="22"/>
                <w:lang w:val="en-NZ"/>
              </w:rPr>
            </w:pPr>
            <w:r w:rsidRPr="00886DFF">
              <w:rPr>
                <w:szCs w:val="22"/>
                <w:lang w:val="en-NZ"/>
              </w:rPr>
              <w:t>4</w:t>
            </w:r>
            <w:r w:rsidR="00C77099" w:rsidRPr="00886DFF">
              <w:rPr>
                <w:szCs w:val="22"/>
                <w:lang w:val="en-NZ"/>
              </w:rPr>
              <w:t xml:space="preserve">.2   What other impacts is this </w:t>
            </w:r>
            <w:r w:rsidR="002D63C9" w:rsidRPr="00886DFF">
              <w:rPr>
                <w:szCs w:val="22"/>
                <w:lang w:val="en-NZ"/>
              </w:rPr>
              <w:t>approach</w:t>
            </w:r>
            <w:r w:rsidR="00C77099" w:rsidRPr="00886DFF">
              <w:rPr>
                <w:szCs w:val="22"/>
                <w:lang w:val="en-NZ"/>
              </w:rPr>
              <w:t xml:space="preserve"> likely to have?</w:t>
            </w:r>
          </w:p>
        </w:tc>
      </w:tr>
      <w:tr w:rsidR="00A552DC" w:rsidRPr="0069218C" w14:paraId="280871FA" w14:textId="77777777" w:rsidTr="00BB4EA2">
        <w:trPr>
          <w:trHeight w:val="2811"/>
        </w:trPr>
        <w:tc>
          <w:tcPr>
            <w:tcW w:w="5000" w:type="pct"/>
            <w:shd w:val="clear" w:color="auto" w:fill="auto"/>
          </w:tcPr>
          <w:p w14:paraId="3A5D4AB9" w14:textId="4627481D" w:rsidR="000535CE" w:rsidRPr="0069218C" w:rsidRDefault="001C5DC9" w:rsidP="00B1131A">
            <w:pPr>
              <w:rPr>
                <w:rFonts w:cs="Arial"/>
                <w:szCs w:val="22"/>
              </w:rPr>
            </w:pPr>
            <w:r>
              <w:rPr>
                <w:rFonts w:cs="Arial"/>
                <w:szCs w:val="22"/>
              </w:rPr>
              <w:t>No other impacts are identified.</w:t>
            </w:r>
          </w:p>
        </w:tc>
      </w:tr>
    </w:tbl>
    <w:p w14:paraId="67094455" w14:textId="77777777" w:rsidR="00B15F56" w:rsidRPr="00886DFF" w:rsidRDefault="00B15F56" w:rsidP="00B15F56">
      <w:pPr>
        <w:spacing w:after="0"/>
        <w:rPr>
          <w:rFonts w:cs="Arial"/>
          <w:i/>
          <w:color w:val="000000"/>
          <w:szCs w:val="22"/>
          <w:lang w:eastAsia="en-AU"/>
        </w:rPr>
      </w:pPr>
    </w:p>
    <w:p w14:paraId="698F59C7" w14:textId="31375EB7" w:rsidR="00051A88" w:rsidRDefault="00051A88" w:rsidP="001B4792">
      <w:pPr>
        <w:pStyle w:val="Heading2"/>
      </w:pPr>
      <w:r w:rsidRPr="002D5734">
        <w:t xml:space="preserve">Section </w:t>
      </w:r>
      <w:r w:rsidR="00C77099">
        <w:t>5</w:t>
      </w:r>
      <w:r w:rsidRPr="002D5734">
        <w:t xml:space="preserve">: Stakeholder views </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6E11335D" w14:textId="77777777" w:rsidTr="00BB4EA2">
        <w:trPr>
          <w:trHeight w:val="77"/>
        </w:trPr>
        <w:tc>
          <w:tcPr>
            <w:tcW w:w="5000" w:type="pct"/>
            <w:shd w:val="clear" w:color="auto" w:fill="99CDDD"/>
          </w:tcPr>
          <w:p w14:paraId="3B740C86" w14:textId="77777777" w:rsidR="00051A88" w:rsidRPr="00886DFF" w:rsidRDefault="00D9793F" w:rsidP="00EC6FAD">
            <w:pPr>
              <w:pStyle w:val="TableHeadings"/>
              <w:rPr>
                <w:szCs w:val="22"/>
              </w:rPr>
            </w:pPr>
            <w:r w:rsidRPr="00886DFF">
              <w:rPr>
                <w:szCs w:val="22"/>
              </w:rPr>
              <w:t>5</w:t>
            </w:r>
            <w:r w:rsidR="00051A88" w:rsidRPr="00886DFF">
              <w:rPr>
                <w:szCs w:val="22"/>
              </w:rPr>
              <w:t xml:space="preserve">.1   What do stakeholders think about the problem and the proposed solution? </w:t>
            </w:r>
          </w:p>
        </w:tc>
      </w:tr>
      <w:tr w:rsidR="00F132B2" w:rsidRPr="0069218C" w14:paraId="69C0C9E6" w14:textId="77777777" w:rsidTr="00BB4EA2">
        <w:trPr>
          <w:trHeight w:val="5298"/>
        </w:trPr>
        <w:tc>
          <w:tcPr>
            <w:tcW w:w="5000" w:type="pct"/>
            <w:shd w:val="clear" w:color="auto" w:fill="auto"/>
          </w:tcPr>
          <w:p w14:paraId="252E88A3" w14:textId="6788F416" w:rsidR="00646E5A" w:rsidRDefault="009F6E07" w:rsidP="00E6054D">
            <w:pPr>
              <w:rPr>
                <w:rFonts w:cs="Arial"/>
                <w:szCs w:val="22"/>
              </w:rPr>
            </w:pPr>
            <w:r>
              <w:t xml:space="preserve">This issue was consulted on </w:t>
            </w:r>
            <w:r w:rsidR="00567E35">
              <w:t xml:space="preserve">in 2020 </w:t>
            </w:r>
            <w:r w:rsidR="000E5E73">
              <w:t xml:space="preserve">as part of </w:t>
            </w:r>
            <w:r>
              <w:t xml:space="preserve"> </w:t>
            </w:r>
            <w:r w:rsidR="00EE3D0B">
              <w:rPr>
                <w:i/>
                <w:iCs/>
              </w:rPr>
              <w:t>GST policy issues – an officials’ issues paper</w:t>
            </w:r>
            <w:r>
              <w:t>.</w:t>
            </w:r>
            <w:r w:rsidR="003F48C3">
              <w:t xml:space="preserve"> Inland Revenue received</w:t>
            </w:r>
            <w:r w:rsidR="008B254A">
              <w:t xml:space="preserve"> 12</w:t>
            </w:r>
            <w:r w:rsidR="003F48C3">
              <w:t xml:space="preserve"> submissions from </w:t>
            </w:r>
            <w:r w:rsidR="003449C8">
              <w:t xml:space="preserve">GST </w:t>
            </w:r>
            <w:r w:rsidR="000B1A0F">
              <w:t>advisors</w:t>
            </w:r>
            <w:r w:rsidR="003449C8">
              <w:t xml:space="preserve"> and accountancy firms</w:t>
            </w:r>
            <w:r w:rsidR="008B254A">
              <w:t xml:space="preserve"> on the </w:t>
            </w:r>
            <w:r w:rsidR="00D602EF">
              <w:t xml:space="preserve">GST </w:t>
            </w:r>
            <w:r w:rsidR="008B254A">
              <w:t xml:space="preserve">apportionment </w:t>
            </w:r>
            <w:r w:rsidR="00D602EF">
              <w:t>issues</w:t>
            </w:r>
            <w:r w:rsidR="003449C8">
              <w:t>.</w:t>
            </w:r>
          </w:p>
          <w:p w14:paraId="121D8993" w14:textId="67BC6D58" w:rsidR="006B0E84" w:rsidRPr="00A969F8" w:rsidRDefault="00646E5A" w:rsidP="00A969F8">
            <w:r w:rsidRPr="00646E5A">
              <w:rPr>
                <w:rFonts w:cs="Arial"/>
                <w:szCs w:val="22"/>
              </w:rPr>
              <w:t>The apportionment and adjustment chapter of the issues paper proposed a number of specific changes to the apportionment and adjustment rules. These changes were primarily aimed at addressing instances of the apportionment rules causing over and under taxation. The chapter also acknowledged the complexity of the rules and sought feedback on the ways in which the apportionment rules could be simplified and improved</w:t>
            </w:r>
          </w:p>
          <w:p w14:paraId="3A646F3E" w14:textId="71350DF4" w:rsidR="006B0E84" w:rsidRDefault="00646E5A" w:rsidP="00646E5A">
            <w:pPr>
              <w:spacing w:after="0" w:line="276" w:lineRule="auto"/>
              <w:jc w:val="both"/>
              <w:rPr>
                <w:rFonts w:cs="Arial"/>
                <w:szCs w:val="22"/>
              </w:rPr>
            </w:pPr>
            <w:r w:rsidRPr="00646E5A">
              <w:rPr>
                <w:rFonts w:cs="Arial"/>
                <w:szCs w:val="22"/>
              </w:rPr>
              <w:t>Submissions mainly focussed on the complexity of the apportionment rules, with a number of submitters recommending a comprehensive review of the rules with a view to reducing complexity.</w:t>
            </w:r>
            <w:r>
              <w:rPr>
                <w:rFonts w:cs="Arial"/>
                <w:szCs w:val="22"/>
              </w:rPr>
              <w:t xml:space="preserve"> Officials intend to further consult submitters and other interested parties on major reforms to simplify the apportionment rules as part of a second phase of changes.</w:t>
            </w:r>
          </w:p>
          <w:p w14:paraId="0ABC42ED" w14:textId="709D2165" w:rsidR="00212AD9" w:rsidRDefault="00212AD9" w:rsidP="0069218C">
            <w:pPr>
              <w:spacing w:after="0" w:line="276" w:lineRule="auto"/>
              <w:jc w:val="both"/>
              <w:rPr>
                <w:rFonts w:cs="Arial"/>
                <w:szCs w:val="22"/>
              </w:rPr>
            </w:pPr>
          </w:p>
          <w:p w14:paraId="31123FE4" w14:textId="61BB35D2" w:rsidR="007B78B3" w:rsidRDefault="00646E5A" w:rsidP="007B78B3">
            <w:pPr>
              <w:rPr>
                <w:szCs w:val="22"/>
                <w:u w:val="single"/>
              </w:rPr>
            </w:pPr>
            <w:r>
              <w:rPr>
                <w:rFonts w:cs="Arial"/>
                <w:szCs w:val="22"/>
              </w:rPr>
              <w:t>Submissions supported</w:t>
            </w:r>
            <w:r w:rsidR="00B1131A">
              <w:rPr>
                <w:rFonts w:cs="Arial"/>
                <w:szCs w:val="22"/>
              </w:rPr>
              <w:t xml:space="preserve"> the proposal to </w:t>
            </w:r>
            <w:r w:rsidR="007B78B3" w:rsidRPr="002109FE">
              <w:rPr>
                <w:szCs w:val="22"/>
                <w:u w:val="single"/>
              </w:rPr>
              <w:t>a</w:t>
            </w:r>
            <w:r w:rsidR="007B78B3">
              <w:rPr>
                <w:szCs w:val="22"/>
                <w:u w:val="single"/>
              </w:rPr>
              <w:t>llow a</w:t>
            </w:r>
            <w:r w:rsidR="007B78B3" w:rsidRPr="002109FE">
              <w:rPr>
                <w:szCs w:val="22"/>
                <w:u w:val="single"/>
              </w:rPr>
              <w:t xml:space="preserve"> deduction which correctly reflects the non-taxable use of the asset</w:t>
            </w:r>
            <w:r w:rsidR="007B78B3">
              <w:rPr>
                <w:szCs w:val="22"/>
                <w:u w:val="single"/>
              </w:rPr>
              <w:t xml:space="preserve"> (option 2 above).</w:t>
            </w:r>
          </w:p>
          <w:p w14:paraId="5717243D" w14:textId="1E1C8996" w:rsidR="00646E5A" w:rsidRDefault="00B1131A" w:rsidP="0069218C">
            <w:pPr>
              <w:spacing w:after="0" w:line="276" w:lineRule="auto"/>
              <w:jc w:val="both"/>
              <w:rPr>
                <w:rFonts w:cs="Arial"/>
                <w:szCs w:val="22"/>
              </w:rPr>
            </w:pPr>
            <w:r>
              <w:rPr>
                <w:rFonts w:cs="Arial"/>
                <w:szCs w:val="22"/>
              </w:rPr>
              <w:t>They suggested that it should not be limited to land</w:t>
            </w:r>
            <w:r w:rsidR="00BE0B67">
              <w:rPr>
                <w:rFonts w:cs="Arial"/>
                <w:szCs w:val="22"/>
              </w:rPr>
              <w:t xml:space="preserve"> and the proposal has be</w:t>
            </w:r>
            <w:r w:rsidR="00511F87">
              <w:rPr>
                <w:rFonts w:cs="Arial"/>
                <w:szCs w:val="22"/>
              </w:rPr>
              <w:t>en</w:t>
            </w:r>
            <w:r w:rsidR="00BE0B67">
              <w:rPr>
                <w:rFonts w:cs="Arial"/>
                <w:szCs w:val="22"/>
              </w:rPr>
              <w:t xml:space="preserve"> modified </w:t>
            </w:r>
            <w:r w:rsidR="00511F87">
              <w:rPr>
                <w:rFonts w:cs="Arial"/>
                <w:szCs w:val="22"/>
              </w:rPr>
              <w:t xml:space="preserve">accordingly. </w:t>
            </w:r>
          </w:p>
          <w:p w14:paraId="0B24012E" w14:textId="7F4E07EA" w:rsidR="00646E5A" w:rsidRDefault="00646E5A" w:rsidP="0069218C">
            <w:pPr>
              <w:spacing w:after="0" w:line="276" w:lineRule="auto"/>
              <w:jc w:val="both"/>
              <w:rPr>
                <w:rFonts w:cs="Arial"/>
                <w:szCs w:val="22"/>
              </w:rPr>
            </w:pPr>
          </w:p>
          <w:p w14:paraId="78E65AEA" w14:textId="1ED76760" w:rsidR="005D31E9" w:rsidRDefault="00646E5A" w:rsidP="0069218C">
            <w:pPr>
              <w:spacing w:after="0" w:line="276" w:lineRule="auto"/>
              <w:jc w:val="both"/>
              <w:rPr>
                <w:rFonts w:cs="Arial"/>
                <w:szCs w:val="22"/>
              </w:rPr>
            </w:pPr>
            <w:r>
              <w:rPr>
                <w:rFonts w:cs="Arial"/>
                <w:szCs w:val="22"/>
              </w:rPr>
              <w:t>The option of allowing all taxpayers (not just those with more than $24m of annual turnover) to apply to Inland Revenue to agree a different apportionment was</w:t>
            </w:r>
            <w:r w:rsidR="00037EF1">
              <w:rPr>
                <w:rFonts w:cs="Arial"/>
                <w:szCs w:val="22"/>
              </w:rPr>
              <w:t xml:space="preserve"> proposed</w:t>
            </w:r>
            <w:r>
              <w:rPr>
                <w:rFonts w:cs="Arial"/>
                <w:szCs w:val="22"/>
              </w:rPr>
              <w:t xml:space="preserve"> </w:t>
            </w:r>
            <w:r w:rsidR="004A489B">
              <w:rPr>
                <w:rFonts w:cs="Arial"/>
                <w:szCs w:val="22"/>
              </w:rPr>
              <w:t>by</w:t>
            </w:r>
            <w:r w:rsidR="002B5616">
              <w:rPr>
                <w:rFonts w:cs="Arial"/>
                <w:szCs w:val="22"/>
              </w:rPr>
              <w:t xml:space="preserve"> one </w:t>
            </w:r>
            <w:proofErr w:type="gramStart"/>
            <w:r w:rsidR="002B5616">
              <w:rPr>
                <w:rFonts w:cs="Arial"/>
                <w:szCs w:val="22"/>
              </w:rPr>
              <w:t>submitter</w:t>
            </w:r>
            <w:r w:rsidR="004A489B">
              <w:rPr>
                <w:rFonts w:cs="Arial"/>
                <w:szCs w:val="22"/>
              </w:rPr>
              <w:t>, and</w:t>
            </w:r>
            <w:proofErr w:type="gramEnd"/>
            <w:r w:rsidR="004A489B">
              <w:rPr>
                <w:rFonts w:cs="Arial"/>
                <w:szCs w:val="22"/>
              </w:rPr>
              <w:t xml:space="preserve"> supported by</w:t>
            </w:r>
            <w:r w:rsidR="008371B3">
              <w:rPr>
                <w:rFonts w:cs="Arial"/>
                <w:szCs w:val="22"/>
              </w:rPr>
              <w:t xml:space="preserve"> </w:t>
            </w:r>
            <w:r w:rsidR="002B5616">
              <w:rPr>
                <w:rFonts w:cs="Arial"/>
                <w:szCs w:val="22"/>
              </w:rPr>
              <w:t xml:space="preserve">all five of the other </w:t>
            </w:r>
            <w:r w:rsidR="004A489B">
              <w:rPr>
                <w:rFonts w:cs="Arial"/>
                <w:szCs w:val="22"/>
              </w:rPr>
              <w:t>submitters</w:t>
            </w:r>
            <w:r w:rsidR="002B5616">
              <w:rPr>
                <w:rFonts w:cs="Arial"/>
                <w:szCs w:val="22"/>
              </w:rPr>
              <w:t xml:space="preserve"> that officials discussed th</w:t>
            </w:r>
            <w:r w:rsidR="00753C8D">
              <w:rPr>
                <w:rFonts w:cs="Arial"/>
                <w:szCs w:val="22"/>
              </w:rPr>
              <w:t>is</w:t>
            </w:r>
            <w:r w:rsidR="002B5616">
              <w:rPr>
                <w:rFonts w:cs="Arial"/>
                <w:szCs w:val="22"/>
              </w:rPr>
              <w:t xml:space="preserve"> proposal with</w:t>
            </w:r>
            <w:r w:rsidR="004A489B">
              <w:rPr>
                <w:rFonts w:cs="Arial"/>
                <w:szCs w:val="22"/>
              </w:rPr>
              <w:t>.</w:t>
            </w:r>
          </w:p>
          <w:p w14:paraId="4137822D" w14:textId="77777777" w:rsidR="00A969F8" w:rsidRDefault="00A969F8" w:rsidP="0069218C">
            <w:pPr>
              <w:spacing w:after="0" w:line="276" w:lineRule="auto"/>
              <w:jc w:val="both"/>
              <w:rPr>
                <w:rFonts w:cs="Arial"/>
                <w:szCs w:val="22"/>
              </w:rPr>
            </w:pPr>
          </w:p>
          <w:p w14:paraId="6CBACCA4" w14:textId="58ACE216" w:rsidR="00A969F8" w:rsidRDefault="00A969F8" w:rsidP="0069218C">
            <w:pPr>
              <w:spacing w:after="0" w:line="276" w:lineRule="auto"/>
              <w:jc w:val="both"/>
              <w:rPr>
                <w:szCs w:val="22"/>
              </w:rPr>
            </w:pPr>
            <w:r>
              <w:rPr>
                <w:szCs w:val="22"/>
              </w:rPr>
              <w:t xml:space="preserve">While the proposed options are clear improvement from the status quo, they unlikely to be considered by the affected parties as a complete solution to their concerns with the current apportionment rules. </w:t>
            </w:r>
            <w:r w:rsidR="001C3DFC">
              <w:rPr>
                <w:szCs w:val="22"/>
              </w:rPr>
              <w:t xml:space="preserve"> To address this</w:t>
            </w:r>
            <w:r w:rsidR="003F1194">
              <w:rPr>
                <w:szCs w:val="22"/>
              </w:rPr>
              <w:t>,</w:t>
            </w:r>
            <w:r w:rsidR="001C3DFC">
              <w:rPr>
                <w:szCs w:val="22"/>
              </w:rPr>
              <w:t xml:space="preserve"> officials will develop and </w:t>
            </w:r>
            <w:r w:rsidR="00772408">
              <w:rPr>
                <w:szCs w:val="22"/>
              </w:rPr>
              <w:t>consult</w:t>
            </w:r>
            <w:r w:rsidR="001C3DFC">
              <w:rPr>
                <w:szCs w:val="22"/>
              </w:rPr>
              <w:t xml:space="preserve"> </w:t>
            </w:r>
            <w:r w:rsidR="00772408">
              <w:rPr>
                <w:szCs w:val="22"/>
              </w:rPr>
              <w:t>on</w:t>
            </w:r>
            <w:r w:rsidR="001C3DFC">
              <w:rPr>
                <w:szCs w:val="22"/>
              </w:rPr>
              <w:t xml:space="preserve"> a range of major reform options</w:t>
            </w:r>
            <w:r w:rsidR="00772408">
              <w:rPr>
                <w:szCs w:val="22"/>
              </w:rPr>
              <w:t xml:space="preserve"> as</w:t>
            </w:r>
            <w:r>
              <w:rPr>
                <w:szCs w:val="22"/>
              </w:rPr>
              <w:t xml:space="preserve"> part of a second phase of reforms.</w:t>
            </w:r>
          </w:p>
          <w:p w14:paraId="7B6A4E84" w14:textId="385306B4" w:rsidR="00016C48" w:rsidRDefault="00016C48" w:rsidP="0069218C">
            <w:pPr>
              <w:spacing w:after="0" w:line="276" w:lineRule="auto"/>
              <w:jc w:val="both"/>
              <w:rPr>
                <w:szCs w:val="22"/>
              </w:rPr>
            </w:pPr>
          </w:p>
          <w:p w14:paraId="53FB4632" w14:textId="12D85DA3" w:rsidR="000D38CA" w:rsidRPr="00C725F8" w:rsidRDefault="00016C48" w:rsidP="00C725F8">
            <w:pPr>
              <w:spacing w:after="0" w:line="276" w:lineRule="auto"/>
              <w:jc w:val="both"/>
              <w:rPr>
                <w:szCs w:val="22"/>
              </w:rPr>
            </w:pPr>
            <w:r>
              <w:rPr>
                <w:szCs w:val="22"/>
              </w:rPr>
              <w:t xml:space="preserve">In terms of additional context, </w:t>
            </w:r>
            <w:r w:rsidR="00885FF7">
              <w:rPr>
                <w:szCs w:val="22"/>
              </w:rPr>
              <w:t>a regulatory stewardship review of GST raised the GST apportionment rules as a key issue for consideration.</w:t>
            </w:r>
          </w:p>
        </w:tc>
      </w:tr>
    </w:tbl>
    <w:p w14:paraId="240E5F50" w14:textId="508C638A" w:rsidR="00EE4E3B" w:rsidRPr="008A6442" w:rsidRDefault="00D9793F" w:rsidP="001B4792">
      <w:pPr>
        <w:pStyle w:val="Heading2"/>
      </w:pPr>
      <w:r w:rsidRPr="0069218C">
        <w:rPr>
          <w:lang w:val="en-NZ"/>
        </w:rPr>
        <w:br w:type="page"/>
      </w:r>
      <w:r w:rsidR="00EE4E3B" w:rsidRPr="002D5734">
        <w:t xml:space="preserve">Section </w:t>
      </w:r>
      <w:r w:rsidR="0033708B" w:rsidRPr="002D5734">
        <w:t>6</w:t>
      </w:r>
      <w:r w:rsidR="00EE4E3B" w:rsidRPr="002D5734">
        <w:t xml:space="preserve">: </w:t>
      </w:r>
      <w:r w:rsidR="0033708B" w:rsidRPr="002D5734">
        <w:t>Implementation and o</w:t>
      </w:r>
      <w:r w:rsidR="005D5BF0" w:rsidRPr="002D5734">
        <w:t xml:space="preserve">peration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2D5734" w:rsidRPr="0069218C" w14:paraId="6BF52C29" w14:textId="77777777" w:rsidTr="00BB4EA2">
        <w:trPr>
          <w:trHeight w:val="197"/>
        </w:trPr>
        <w:tc>
          <w:tcPr>
            <w:tcW w:w="9072" w:type="dxa"/>
            <w:shd w:val="clear" w:color="auto" w:fill="99CDDD"/>
            <w:hideMark/>
          </w:tcPr>
          <w:p w14:paraId="566B42F9" w14:textId="77777777" w:rsidR="00EE4E3B" w:rsidRPr="00886DFF" w:rsidRDefault="00EE4E3B" w:rsidP="00B952B7">
            <w:pPr>
              <w:pStyle w:val="TableHeadings"/>
              <w:rPr>
                <w:szCs w:val="22"/>
                <w:lang w:eastAsia="en-AU"/>
              </w:rPr>
            </w:pPr>
            <w:r w:rsidRPr="00886DFF">
              <w:rPr>
                <w:szCs w:val="22"/>
                <w:lang w:eastAsia="en-AU"/>
              </w:rPr>
              <w:br w:type="page"/>
            </w:r>
            <w:r w:rsidR="0033708B" w:rsidRPr="00886DFF">
              <w:rPr>
                <w:szCs w:val="22"/>
                <w:lang w:eastAsia="en-AU"/>
              </w:rPr>
              <w:t>6</w:t>
            </w:r>
            <w:r w:rsidR="002A56F0" w:rsidRPr="00886DFF">
              <w:rPr>
                <w:szCs w:val="22"/>
                <w:lang w:eastAsia="en-AU"/>
              </w:rPr>
              <w:t xml:space="preserve">.1   </w:t>
            </w:r>
            <w:r w:rsidRPr="00886DFF">
              <w:rPr>
                <w:szCs w:val="22"/>
                <w:lang w:eastAsia="en-AU"/>
              </w:rPr>
              <w:t xml:space="preserve">How will the new arrangements </w:t>
            </w:r>
            <w:r w:rsidR="00217894" w:rsidRPr="00886DFF">
              <w:rPr>
                <w:szCs w:val="22"/>
                <w:lang w:eastAsia="en-AU"/>
              </w:rPr>
              <w:t>be given effect</w:t>
            </w:r>
            <w:r w:rsidRPr="00886DFF">
              <w:rPr>
                <w:szCs w:val="22"/>
                <w:lang w:eastAsia="en-AU"/>
              </w:rPr>
              <w:t>?</w:t>
            </w:r>
          </w:p>
        </w:tc>
      </w:tr>
      <w:tr w:rsidR="00F132B2" w:rsidRPr="0069218C" w14:paraId="2D716B3F" w14:textId="77777777" w:rsidTr="00BB4EA2">
        <w:trPr>
          <w:trHeight w:val="9337"/>
        </w:trPr>
        <w:tc>
          <w:tcPr>
            <w:tcW w:w="9072" w:type="dxa"/>
            <w:shd w:val="clear" w:color="auto" w:fill="auto"/>
          </w:tcPr>
          <w:p w14:paraId="2A4B30ED" w14:textId="330F3BB2" w:rsidR="00F132B2" w:rsidRDefault="00B74056" w:rsidP="00B74056">
            <w:r>
              <w:t xml:space="preserve">The proposals will require amendments to the Goods and Services </w:t>
            </w:r>
            <w:r w:rsidR="003C228A">
              <w:t xml:space="preserve">Tax </w:t>
            </w:r>
            <w:r>
              <w:t>A</w:t>
            </w:r>
            <w:r w:rsidR="003C228A">
              <w:t xml:space="preserve">ct 1985 and could be included in the next available omnibus tax bill expected to be introduced in </w:t>
            </w:r>
            <w:r w:rsidR="00B93EB4">
              <w:t xml:space="preserve">August </w:t>
            </w:r>
            <w:r w:rsidR="003C228A">
              <w:t>2021</w:t>
            </w:r>
            <w:r w:rsidR="005B6F1D">
              <w:t xml:space="preserve"> and enacted </w:t>
            </w:r>
            <w:r w:rsidR="00587727">
              <w:t>during March</w:t>
            </w:r>
            <w:r w:rsidR="005B6F1D">
              <w:t xml:space="preserve"> 2022.</w:t>
            </w:r>
          </w:p>
          <w:p w14:paraId="555BF395" w14:textId="2D47AD20" w:rsidR="005B6F1D" w:rsidRDefault="003C696B" w:rsidP="00B74056">
            <w:r>
              <w:t>Option 2</w:t>
            </w:r>
            <w:r w:rsidR="009D0671">
              <w:t xml:space="preserve"> prevents over-taxation of appreciating assets which are partly used for a business and a private or exempt use</w:t>
            </w:r>
            <w:r w:rsidR="005B6F1D">
              <w:t xml:space="preserve">, </w:t>
            </w:r>
            <w:r w:rsidR="00570891">
              <w:t>will apply</w:t>
            </w:r>
            <w:r w:rsidR="005B6F1D">
              <w:t xml:space="preserve"> from 24 February 2020, which is the date the issue and the proposed amendment was consulted on in the GST policy issues paper.</w:t>
            </w:r>
            <w:r w:rsidR="009D0671">
              <w:t xml:space="preserve"> This will ensure compliant taxpayers are not disadvantaged if they sell an affected property before the proposed amendment is enacted.</w:t>
            </w:r>
          </w:p>
          <w:p w14:paraId="35AD6D5E" w14:textId="6C51FAFB" w:rsidR="003C696B" w:rsidRDefault="003C696B" w:rsidP="00B74056">
            <w:r>
              <w:t xml:space="preserve">Option 5 would apply from the date of enactment </w:t>
            </w:r>
            <w:r w:rsidR="002575F6">
              <w:t xml:space="preserve">in </w:t>
            </w:r>
            <w:r w:rsidR="00587727">
              <w:t xml:space="preserve">March 2022. </w:t>
            </w:r>
            <w:r>
              <w:t xml:space="preserve"> </w:t>
            </w:r>
          </w:p>
          <w:p w14:paraId="7C739178" w14:textId="5AAE4BAB" w:rsidR="003C228A" w:rsidRDefault="00024F47" w:rsidP="00B74056">
            <w:r>
              <w:t>Guidance materials to explain how the amendments would operate will be published when the bill is introduced, in response to submissions raised with Select Committee and after the bill is enacted by way of Tax Information Bulletin.</w:t>
            </w:r>
          </w:p>
          <w:p w14:paraId="6B99D85A" w14:textId="55B71E14" w:rsidR="00024F47" w:rsidRDefault="00C177F0" w:rsidP="00B74056">
            <w:r>
              <w:t>T</w:t>
            </w:r>
            <w:r w:rsidR="001A3014">
              <w:t>he proposals have been subject to consultation via a GST issues paper and would later be subject to the standard legislative process</w:t>
            </w:r>
            <w:r w:rsidR="00BE1CDE">
              <w:t xml:space="preserve"> including </w:t>
            </w:r>
            <w:r w:rsidR="00AD29FD">
              <w:t>submissions to a select committee</w:t>
            </w:r>
            <w:r w:rsidR="001A3014">
              <w:t xml:space="preserve">. </w:t>
            </w:r>
            <w:r w:rsidR="003F0656">
              <w:t xml:space="preserve">This means there will be </w:t>
            </w:r>
            <w:r w:rsidR="00B446B8">
              <w:t>sufficient time for</w:t>
            </w:r>
            <w:r w:rsidR="003F0656">
              <w:t xml:space="preserve"> the</w:t>
            </w:r>
            <w:r w:rsidR="00B446B8">
              <w:t xml:space="preserve"> </w:t>
            </w:r>
            <w:r w:rsidR="00AD29FD">
              <w:t>affected suppliers to</w:t>
            </w:r>
            <w:r w:rsidR="00B446B8">
              <w:t xml:space="preserve"> react to and understand the changes.</w:t>
            </w:r>
          </w:p>
          <w:p w14:paraId="0E7BAC6B" w14:textId="77777777" w:rsidR="0078484C" w:rsidRDefault="00C709E7" w:rsidP="00BE1CDE">
            <w:pPr>
              <w:pStyle w:val="TableText"/>
              <w:keepNext/>
              <w:rPr>
                <w:rFonts w:cs="Times New Roman"/>
                <w:sz w:val="22"/>
                <w:lang w:eastAsia="en-GB"/>
              </w:rPr>
            </w:pPr>
            <w:r>
              <w:rPr>
                <w:rFonts w:cs="Times New Roman"/>
                <w:sz w:val="22"/>
                <w:lang w:eastAsia="en-GB"/>
              </w:rPr>
              <w:t xml:space="preserve">In respect of option 5, </w:t>
            </w:r>
            <w:r w:rsidR="00BE1CDE">
              <w:rPr>
                <w:rFonts w:cs="Times New Roman"/>
                <w:sz w:val="22"/>
                <w:lang w:eastAsia="en-GB"/>
              </w:rPr>
              <w:t>Inland Revenue may experience</w:t>
            </w:r>
            <w:r w:rsidR="00BE1CDE" w:rsidRPr="000D38CA">
              <w:rPr>
                <w:rFonts w:cs="Times New Roman"/>
                <w:sz w:val="22"/>
                <w:lang w:eastAsia="en-GB"/>
              </w:rPr>
              <w:t xml:space="preserve"> </w:t>
            </w:r>
            <w:r w:rsidR="00BE1CDE">
              <w:rPr>
                <w:rFonts w:cs="Times New Roman"/>
                <w:sz w:val="22"/>
                <w:lang w:eastAsia="en-GB"/>
              </w:rPr>
              <w:t>m</w:t>
            </w:r>
            <w:r w:rsidR="00BE1CDE" w:rsidRPr="000D38CA">
              <w:rPr>
                <w:rFonts w:cs="Times New Roman"/>
                <w:sz w:val="22"/>
                <w:lang w:eastAsia="en-GB"/>
              </w:rPr>
              <w:t xml:space="preserve">ore contacts </w:t>
            </w:r>
            <w:r w:rsidR="00BE1CDE">
              <w:rPr>
                <w:rFonts w:cs="Times New Roman"/>
                <w:sz w:val="22"/>
                <w:lang w:eastAsia="en-GB"/>
              </w:rPr>
              <w:t>from</w:t>
            </w:r>
            <w:r w:rsidR="00BE1CDE" w:rsidRPr="000D38CA">
              <w:rPr>
                <w:rFonts w:cs="Times New Roman"/>
                <w:sz w:val="22"/>
                <w:lang w:eastAsia="en-GB"/>
              </w:rPr>
              <w:t xml:space="preserve"> regulated parties seeking an alternative apportionment method</w:t>
            </w:r>
            <w:r w:rsidR="00BE1CDE">
              <w:rPr>
                <w:rFonts w:cs="Times New Roman"/>
                <w:sz w:val="22"/>
                <w:lang w:eastAsia="en-GB"/>
              </w:rPr>
              <w:t>.</w:t>
            </w:r>
            <w:r w:rsidR="00BE1CDE" w:rsidRPr="000D38CA">
              <w:rPr>
                <w:rFonts w:cs="Times New Roman"/>
                <w:sz w:val="22"/>
                <w:lang w:eastAsia="en-GB"/>
              </w:rPr>
              <w:t xml:space="preserve"> </w:t>
            </w:r>
            <w:r w:rsidR="00BE1CDE">
              <w:rPr>
                <w:rFonts w:cs="Times New Roman"/>
                <w:sz w:val="22"/>
                <w:lang w:eastAsia="en-GB"/>
              </w:rPr>
              <w:t>However, based on the existing experience of this process for large suppliers,</w:t>
            </w:r>
            <w:r w:rsidR="00BE1CDE" w:rsidRPr="000D38CA">
              <w:rPr>
                <w:rFonts w:cs="Times New Roman"/>
                <w:sz w:val="22"/>
                <w:lang w:eastAsia="en-GB"/>
              </w:rPr>
              <w:t xml:space="preserve"> demand for this process is expected to be low</w:t>
            </w:r>
            <w:r w:rsidR="00BE1CDE">
              <w:rPr>
                <w:rFonts w:cs="Times New Roman"/>
                <w:sz w:val="22"/>
                <w:lang w:eastAsia="en-GB"/>
              </w:rPr>
              <w:t xml:space="preserve"> </w:t>
            </w:r>
            <w:r w:rsidR="00BE1CDE" w:rsidRPr="000D38CA">
              <w:rPr>
                <w:rFonts w:cs="Times New Roman"/>
                <w:sz w:val="22"/>
                <w:lang w:eastAsia="en-GB"/>
              </w:rPr>
              <w:t>so can be met with existing resources.</w:t>
            </w:r>
            <w:r w:rsidR="007B4001">
              <w:rPr>
                <w:rFonts w:cs="Times New Roman"/>
                <w:sz w:val="22"/>
                <w:lang w:eastAsia="en-GB"/>
              </w:rPr>
              <w:t xml:space="preserve"> </w:t>
            </w:r>
          </w:p>
          <w:p w14:paraId="3B34CCBC" w14:textId="77777777" w:rsidR="0078484C" w:rsidRDefault="0078484C" w:rsidP="00BE1CDE">
            <w:pPr>
              <w:pStyle w:val="TableText"/>
              <w:keepNext/>
              <w:rPr>
                <w:rFonts w:cs="Times New Roman"/>
                <w:sz w:val="22"/>
                <w:lang w:eastAsia="en-GB"/>
              </w:rPr>
            </w:pPr>
          </w:p>
          <w:p w14:paraId="21A0B5F6" w14:textId="609D7869" w:rsidR="00F132B2" w:rsidRPr="0078484C" w:rsidRDefault="007B4001" w:rsidP="0078484C">
            <w:pPr>
              <w:pStyle w:val="TableText"/>
              <w:keepNext/>
              <w:rPr>
                <w:rFonts w:cs="Times New Roman"/>
                <w:sz w:val="22"/>
                <w:lang w:eastAsia="en-GB"/>
              </w:rPr>
            </w:pPr>
            <w:r>
              <w:rPr>
                <w:rFonts w:cs="Times New Roman"/>
                <w:sz w:val="22"/>
                <w:lang w:eastAsia="en-GB"/>
              </w:rPr>
              <w:t>The monitoring processes discussed on section 7.1 will be used to identify and mitigate any other implementation risks.</w:t>
            </w:r>
          </w:p>
        </w:tc>
      </w:tr>
    </w:tbl>
    <w:p w14:paraId="732C114C" w14:textId="3D4BB04C" w:rsidR="00F132B2" w:rsidRPr="008A6442" w:rsidRDefault="000535CE" w:rsidP="001B4792">
      <w:pPr>
        <w:pStyle w:val="Heading2"/>
      </w:pPr>
      <w:r w:rsidRPr="0069218C">
        <w:br w:type="page"/>
      </w:r>
      <w:r w:rsidR="00F132B2" w:rsidRPr="00B952B7">
        <w:t xml:space="preserve">Section 7: Monitoring, </w:t>
      </w:r>
      <w:proofErr w:type="gramStart"/>
      <w:r w:rsidR="00F132B2" w:rsidRPr="00030EC1">
        <w:t>evalu</w:t>
      </w:r>
      <w:r w:rsidR="00F132B2" w:rsidRPr="00B952B7">
        <w:t>ation</w:t>
      </w:r>
      <w:proofErr w:type="gramEnd"/>
      <w:r w:rsidR="00F132B2" w:rsidRPr="00B952B7">
        <w:t xml:space="preserve"> and review</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69218C" w14:paraId="346AC98F" w14:textId="77777777" w:rsidTr="00BB4EA2">
        <w:trPr>
          <w:trHeight w:val="77"/>
        </w:trPr>
        <w:tc>
          <w:tcPr>
            <w:tcW w:w="9072" w:type="dxa"/>
            <w:shd w:val="clear" w:color="auto" w:fill="99CDDD"/>
          </w:tcPr>
          <w:p w14:paraId="7CA08066" w14:textId="77777777" w:rsidR="00F132B2" w:rsidRPr="00886DFF" w:rsidRDefault="00F132B2" w:rsidP="00B952B7">
            <w:pPr>
              <w:pStyle w:val="TableHeadings"/>
              <w:rPr>
                <w:szCs w:val="22"/>
                <w:lang w:eastAsia="en-AU"/>
              </w:rPr>
            </w:pPr>
            <w:r w:rsidRPr="00886DFF">
              <w:rPr>
                <w:szCs w:val="22"/>
                <w:lang w:eastAsia="en-AU"/>
              </w:rPr>
              <w:br w:type="page"/>
              <w:t>7.1   How will the impact of the new arrangements be monitored?</w:t>
            </w:r>
          </w:p>
        </w:tc>
      </w:tr>
      <w:tr w:rsidR="00F132B2" w:rsidRPr="0069218C" w14:paraId="36694C7F" w14:textId="77777777" w:rsidTr="00BB4EA2">
        <w:trPr>
          <w:trHeight w:val="2936"/>
        </w:trPr>
        <w:tc>
          <w:tcPr>
            <w:tcW w:w="9072" w:type="dxa"/>
            <w:shd w:val="clear" w:color="auto" w:fill="auto"/>
          </w:tcPr>
          <w:p w14:paraId="1CF7E015" w14:textId="4597F69B" w:rsidR="00F132B2" w:rsidRDefault="000C504F" w:rsidP="007106C1">
            <w:pPr>
              <w:rPr>
                <w:rFonts w:cs="Arial"/>
                <w:szCs w:val="22"/>
              </w:rPr>
            </w:pPr>
            <w:r>
              <w:rPr>
                <w:rFonts w:cs="Arial"/>
                <w:szCs w:val="22"/>
              </w:rPr>
              <w:t xml:space="preserve">The </w:t>
            </w:r>
            <w:r w:rsidR="00BF783A">
              <w:rPr>
                <w:rFonts w:cs="Arial"/>
                <w:szCs w:val="22"/>
              </w:rPr>
              <w:t xml:space="preserve">impact of the proposed options will be monitored </w:t>
            </w:r>
            <w:r w:rsidR="00B1039C">
              <w:rPr>
                <w:rFonts w:cs="Arial"/>
                <w:szCs w:val="22"/>
              </w:rPr>
              <w:t xml:space="preserve">by meeting with the Inland Revenue staff who </w:t>
            </w:r>
            <w:r w:rsidR="00CE0ECF">
              <w:rPr>
                <w:rFonts w:cs="Arial"/>
                <w:szCs w:val="22"/>
              </w:rPr>
              <w:t xml:space="preserve">deal with customer issues and enquiries on the GST rules and by meeting with </w:t>
            </w:r>
            <w:r w:rsidR="00431C1D">
              <w:rPr>
                <w:rFonts w:cs="Arial"/>
                <w:szCs w:val="22"/>
              </w:rPr>
              <w:t>tax advisors and industry groups who represent the affected parties</w:t>
            </w:r>
            <w:r w:rsidR="008F444E">
              <w:rPr>
                <w:rFonts w:cs="Arial"/>
                <w:szCs w:val="22"/>
              </w:rPr>
              <w:t xml:space="preserve"> to ask them about their experiences with the rules</w:t>
            </w:r>
            <w:r w:rsidR="00807129">
              <w:rPr>
                <w:rFonts w:cs="Arial"/>
                <w:szCs w:val="22"/>
              </w:rPr>
              <w:t>.</w:t>
            </w:r>
            <w:r w:rsidR="00F422FC">
              <w:rPr>
                <w:rFonts w:cs="Arial"/>
                <w:szCs w:val="22"/>
              </w:rPr>
              <w:t xml:space="preserve"> </w:t>
            </w:r>
            <w:r w:rsidR="00807129">
              <w:rPr>
                <w:rFonts w:cs="Arial"/>
                <w:szCs w:val="22"/>
              </w:rPr>
              <w:t>A</w:t>
            </w:r>
            <w:r w:rsidR="00F422FC">
              <w:rPr>
                <w:rFonts w:cs="Arial"/>
                <w:szCs w:val="22"/>
              </w:rPr>
              <w:t xml:space="preserve">ny issues could be addressed through remedial amendments, improved </w:t>
            </w:r>
            <w:proofErr w:type="gramStart"/>
            <w:r w:rsidR="00F422FC">
              <w:rPr>
                <w:rFonts w:cs="Arial"/>
                <w:szCs w:val="22"/>
              </w:rPr>
              <w:t>guidance</w:t>
            </w:r>
            <w:proofErr w:type="gramEnd"/>
            <w:r w:rsidR="00F422FC">
              <w:rPr>
                <w:rFonts w:cs="Arial"/>
                <w:szCs w:val="22"/>
              </w:rPr>
              <w:t xml:space="preserve"> or </w:t>
            </w:r>
            <w:r w:rsidR="007F1A71">
              <w:rPr>
                <w:rFonts w:cs="Arial"/>
                <w:szCs w:val="22"/>
              </w:rPr>
              <w:t xml:space="preserve">future reform options. </w:t>
            </w:r>
          </w:p>
          <w:p w14:paraId="45C87625" w14:textId="5742B9BC" w:rsidR="007F1A71" w:rsidRPr="0069218C" w:rsidRDefault="007F1A71" w:rsidP="007106C1">
            <w:pPr>
              <w:rPr>
                <w:rFonts w:cs="Arial"/>
                <w:szCs w:val="22"/>
              </w:rPr>
            </w:pPr>
          </w:p>
        </w:tc>
      </w:tr>
    </w:tbl>
    <w:p w14:paraId="00A882ED" w14:textId="77777777" w:rsidR="00F132B2" w:rsidRPr="00567434" w:rsidRDefault="00F132B2" w:rsidP="00567434">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69218C" w14:paraId="0CCE54F4" w14:textId="77777777" w:rsidTr="00BB4EA2">
        <w:trPr>
          <w:trHeight w:val="77"/>
        </w:trPr>
        <w:tc>
          <w:tcPr>
            <w:tcW w:w="9072" w:type="dxa"/>
            <w:shd w:val="clear" w:color="auto" w:fill="99CDDD"/>
          </w:tcPr>
          <w:p w14:paraId="5BB368F5" w14:textId="77777777" w:rsidR="00F132B2" w:rsidRPr="00886DFF" w:rsidRDefault="00F132B2" w:rsidP="00EC3D8D">
            <w:pPr>
              <w:pStyle w:val="TableHeadings"/>
              <w:keepNext/>
              <w:rPr>
                <w:szCs w:val="22"/>
                <w:lang w:eastAsia="en-AU"/>
              </w:rPr>
            </w:pPr>
            <w:r w:rsidRPr="00886DFF">
              <w:rPr>
                <w:szCs w:val="22"/>
                <w:lang w:eastAsia="en-AU"/>
              </w:rPr>
              <w:br w:type="page"/>
              <w:t xml:space="preserve">7.2   When and how will the new arrangements be reviewed? </w:t>
            </w:r>
          </w:p>
        </w:tc>
      </w:tr>
      <w:tr w:rsidR="00F132B2" w:rsidRPr="0069218C" w14:paraId="687FE238" w14:textId="77777777" w:rsidTr="00BB4EA2">
        <w:trPr>
          <w:trHeight w:val="3677"/>
        </w:trPr>
        <w:tc>
          <w:tcPr>
            <w:tcW w:w="9072" w:type="dxa"/>
            <w:shd w:val="clear" w:color="auto" w:fill="auto"/>
          </w:tcPr>
          <w:p w14:paraId="5D6538EB" w14:textId="07E34B4B" w:rsidR="000E16A8" w:rsidRDefault="00192634" w:rsidP="0069218C">
            <w:pPr>
              <w:spacing w:after="0" w:line="276" w:lineRule="auto"/>
              <w:jc w:val="both"/>
              <w:rPr>
                <w:rFonts w:cs="Arial"/>
                <w:szCs w:val="22"/>
              </w:rPr>
            </w:pPr>
            <w:r>
              <w:rPr>
                <w:rFonts w:cs="Arial"/>
                <w:szCs w:val="22"/>
              </w:rPr>
              <w:t xml:space="preserve">As the </w:t>
            </w:r>
            <w:r w:rsidR="000E16A8">
              <w:rPr>
                <w:rFonts w:cs="Arial"/>
                <w:szCs w:val="22"/>
              </w:rPr>
              <w:t>proposed options are minor</w:t>
            </w:r>
            <w:r w:rsidR="001C5DC9">
              <w:rPr>
                <w:rFonts w:cs="Arial"/>
                <w:szCs w:val="22"/>
              </w:rPr>
              <w:t xml:space="preserve"> technical</w:t>
            </w:r>
            <w:r w:rsidR="000E16A8">
              <w:rPr>
                <w:rFonts w:cs="Arial"/>
                <w:szCs w:val="22"/>
              </w:rPr>
              <w:t xml:space="preserve"> improvements,</w:t>
            </w:r>
            <w:r w:rsidR="00F4571B">
              <w:rPr>
                <w:rFonts w:cs="Arial"/>
                <w:szCs w:val="22"/>
              </w:rPr>
              <w:t xml:space="preserve"> no formal review is planned. Instead, the options would be reviewed using the monitoring </w:t>
            </w:r>
            <w:r w:rsidR="00D7424B">
              <w:rPr>
                <w:rFonts w:cs="Arial"/>
                <w:szCs w:val="22"/>
              </w:rPr>
              <w:t>processes mentioned in 7.1 above.</w:t>
            </w:r>
          </w:p>
          <w:p w14:paraId="786E656B" w14:textId="77777777" w:rsidR="000E16A8" w:rsidRDefault="000E16A8" w:rsidP="0069218C">
            <w:pPr>
              <w:spacing w:after="0" w:line="276" w:lineRule="auto"/>
              <w:jc w:val="both"/>
              <w:rPr>
                <w:rFonts w:cs="Arial"/>
                <w:szCs w:val="22"/>
              </w:rPr>
            </w:pPr>
          </w:p>
          <w:p w14:paraId="214829FF" w14:textId="43280A6F" w:rsidR="00F132B2" w:rsidRPr="0069218C" w:rsidRDefault="000E16A8" w:rsidP="0069218C">
            <w:pPr>
              <w:spacing w:after="0" w:line="276" w:lineRule="auto"/>
              <w:jc w:val="both"/>
              <w:rPr>
                <w:rFonts w:cs="Arial"/>
                <w:szCs w:val="22"/>
              </w:rPr>
            </w:pPr>
            <w:r>
              <w:rPr>
                <w:rFonts w:cs="Arial"/>
                <w:szCs w:val="22"/>
              </w:rPr>
              <w:t xml:space="preserve">Public consultation is planned on a package of </w:t>
            </w:r>
            <w:r>
              <w:rPr>
                <w:szCs w:val="22"/>
              </w:rPr>
              <w:t xml:space="preserve">major reform options for simplifying the apportionment rules as part of a second phase of reforms. This will allow stakeholders to raise </w:t>
            </w:r>
            <w:r w:rsidR="00CC19C6">
              <w:rPr>
                <w:szCs w:val="22"/>
              </w:rPr>
              <w:t>additional issues and policy options</w:t>
            </w:r>
            <w:r>
              <w:rPr>
                <w:szCs w:val="22"/>
              </w:rPr>
              <w:t>.</w:t>
            </w:r>
            <w:r>
              <w:rPr>
                <w:rFonts w:cs="Arial"/>
                <w:szCs w:val="22"/>
              </w:rPr>
              <w:t xml:space="preserve"> </w:t>
            </w:r>
          </w:p>
        </w:tc>
      </w:tr>
    </w:tbl>
    <w:p w14:paraId="0D165C3B" w14:textId="77777777" w:rsidR="00C2708A" w:rsidRPr="00B47208" w:rsidRDefault="00C2708A" w:rsidP="00B47208">
      <w:pPr>
        <w:pStyle w:val="spacer"/>
      </w:pPr>
    </w:p>
    <w:sectPr w:rsidR="00C2708A" w:rsidRPr="00B47208" w:rsidSect="00B952B7">
      <w:headerReference w:type="default" r:id="rId7"/>
      <w:footerReference w:type="default" r:id="rId8"/>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01C4" w14:textId="77777777" w:rsidR="001B0505" w:rsidRDefault="001B0505">
      <w:pPr>
        <w:spacing w:after="0" w:line="240" w:lineRule="auto"/>
      </w:pPr>
      <w:r>
        <w:separator/>
      </w:r>
    </w:p>
  </w:endnote>
  <w:endnote w:type="continuationSeparator" w:id="0">
    <w:p w14:paraId="1BB532B6" w14:textId="77777777" w:rsidR="001B0505" w:rsidRDefault="001B0505">
      <w:pPr>
        <w:spacing w:after="0" w:line="240" w:lineRule="auto"/>
      </w:pPr>
      <w:r>
        <w:continuationSeparator/>
      </w:r>
    </w:p>
  </w:endnote>
  <w:endnote w:type="continuationNotice" w:id="1">
    <w:p w14:paraId="40C6E21C" w14:textId="77777777" w:rsidR="001B0505" w:rsidRDefault="001B0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9442" w14:textId="4C7FB236" w:rsidR="00784C66" w:rsidRPr="00957BC2" w:rsidRDefault="002127DC" w:rsidP="002127DC">
    <w:pPr>
      <w:pStyle w:val="Footer"/>
    </w:pPr>
    <w:r>
      <w:rPr>
        <w:sz w:val="14"/>
      </w:rPr>
      <w:tab/>
    </w:r>
    <w:r w:rsidR="00957BC2" w:rsidRPr="00957BC2">
      <w:t xml:space="preserve">  Impact Summary</w:t>
    </w:r>
    <w:r w:rsidR="00CA6351">
      <w:t>: GST Apportionment</w:t>
    </w:r>
    <w:r w:rsidR="00957BC2">
      <w:t xml:space="preserve"> </w:t>
    </w:r>
    <w:r w:rsidR="00380585" w:rsidRPr="00957BC2">
      <w:t xml:space="preserve">|   </w:t>
    </w:r>
    <w:r w:rsidR="00380585" w:rsidRPr="00957BC2">
      <w:fldChar w:fldCharType="begin"/>
    </w:r>
    <w:r w:rsidR="00380585" w:rsidRPr="00957BC2">
      <w:instrText xml:space="preserve"> PAGE </w:instrText>
    </w:r>
    <w:r w:rsidR="00380585" w:rsidRPr="00957BC2">
      <w:fldChar w:fldCharType="separate"/>
    </w:r>
    <w:r w:rsidR="008A44AF">
      <w:t>1</w:t>
    </w:r>
    <w:r w:rsidR="00380585" w:rsidRPr="00957B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7287" w14:textId="77777777" w:rsidR="001B0505" w:rsidRDefault="001B0505">
      <w:pPr>
        <w:spacing w:after="0" w:line="240" w:lineRule="auto"/>
      </w:pPr>
      <w:r>
        <w:separator/>
      </w:r>
    </w:p>
  </w:footnote>
  <w:footnote w:type="continuationSeparator" w:id="0">
    <w:p w14:paraId="41784B3E" w14:textId="77777777" w:rsidR="001B0505" w:rsidRDefault="001B0505">
      <w:pPr>
        <w:spacing w:after="0" w:line="240" w:lineRule="auto"/>
      </w:pPr>
      <w:r>
        <w:continuationSeparator/>
      </w:r>
    </w:p>
  </w:footnote>
  <w:footnote w:type="continuationNotice" w:id="1">
    <w:p w14:paraId="6647445A" w14:textId="77777777" w:rsidR="001B0505" w:rsidRDefault="001B05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9DBC" w14:textId="5531AA35" w:rsidR="00784C66" w:rsidRPr="00EB1B21" w:rsidRDefault="00F93065" w:rsidP="00784C66">
    <w:pPr>
      <w:tabs>
        <w:tab w:val="center" w:pos="4253"/>
      </w:tabs>
      <w:rPr>
        <w:b/>
      </w:rPr>
    </w:pPr>
    <w:r>
      <w:rPr>
        <w:noProof/>
      </w:rPr>
      <mc:AlternateContent>
        <mc:Choice Requires="wps">
          <w:drawing>
            <wp:anchor distT="0" distB="0" distL="114300" distR="114300" simplePos="0" relativeHeight="251658752" behindDoc="0" locked="0" layoutInCell="0" allowOverlap="1" wp14:anchorId="6D5B9795" wp14:editId="7F22E480">
              <wp:simplePos x="0" y="0"/>
              <wp:positionH relativeFrom="page">
                <wp:posOffset>0</wp:posOffset>
              </wp:positionH>
              <wp:positionV relativeFrom="page">
                <wp:posOffset>190500</wp:posOffset>
              </wp:positionV>
              <wp:extent cx="7560310" cy="271780"/>
              <wp:effectExtent l="0" t="0" r="0" b="13970"/>
              <wp:wrapNone/>
              <wp:docPr id="1" name="MSIPCMa4bb47db8d9921f961a2fe5f" descr="{&quot;HashCode&quot;:-17513135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5CA29B" w14:textId="63446850" w:rsidR="00F93065" w:rsidRPr="00E255C2" w:rsidRDefault="00E255C2" w:rsidP="00E255C2">
                          <w:pPr>
                            <w:spacing w:after="0"/>
                            <w:jc w:val="center"/>
                            <w:rPr>
                              <w:rFonts w:ascii="Verdana" w:hAnsi="Verdana"/>
                              <w:color w:val="000000"/>
                              <w:sz w:val="20"/>
                            </w:rPr>
                          </w:pPr>
                          <w:r w:rsidRPr="00E255C2">
                            <w:rPr>
                              <w:rFonts w:ascii="Verdana" w:hAnsi="Verdana"/>
                              <w:color w:val="000000"/>
                              <w:sz w:val="2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D5B9795" id="_x0000_t202" coordsize="21600,21600" o:spt="202" path="m,l,21600r21600,l21600,xe">
              <v:stroke joinstyle="miter"/>
              <v:path gradientshapeok="t" o:connecttype="rect"/>
            </v:shapetype>
            <v:shape id="MSIPCMa4bb47db8d9921f961a2fe5f" o:spid="_x0000_s1026" type="#_x0000_t202" alt="{&quot;HashCode&quot;:-1751313585,&quot;Height&quot;:841.0,&quot;Width&quot;:595.0,&quot;Placement&quot;:&quot;Header&quot;,&quot;Index&quot;:&quot;Primary&quot;,&quot;Section&quot;:1,&quot;Top&quot;:0.0,&quot;Left&quot;:0.0}" style="position:absolute;margin-left:0;margin-top:15pt;width:595.3pt;height:21.4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" o:allowincell="f" filled="f" stroked="f" strokeweight=".5pt">
              <v:textbox inset=",0,,0">
                <w:txbxContent>
                  <w:p w14:paraId="295CA29B" w14:textId="63446850" w:rsidR="00F93065" w:rsidRPr="00E255C2" w:rsidRDefault="00E255C2" w:rsidP="00E255C2">
                    <w:pPr>
                      <w:spacing w:after="0"/>
                      <w:jc w:val="center"/>
                      <w:rPr>
                        <w:rFonts w:ascii="Verdana" w:hAnsi="Verdana"/>
                        <w:color w:val="000000"/>
                        <w:sz w:val="20"/>
                      </w:rPr>
                    </w:pPr>
                    <w:r w:rsidRPr="00E255C2">
                      <w:rPr>
                        <w:rFonts w:ascii="Verdana" w:hAnsi="Verdana"/>
                        <w:color w:val="000000"/>
                        <w:sz w:val="20"/>
                      </w:rPr>
                      <w:t xml:space="preserve">[IN CONFIDENCE] </w:t>
                    </w:r>
                  </w:p>
                </w:txbxContent>
              </v:textbox>
              <w10:wrap anchorx="page" anchory="page"/>
            </v:shape>
          </w:pict>
        </mc:Fallback>
      </mc:AlternateContent>
    </w:r>
    <w:r w:rsidR="002F57C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CF5"/>
    <w:multiLevelType w:val="hybridMultilevel"/>
    <w:tmpl w:val="0E46E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003E76"/>
    <w:multiLevelType w:val="hybridMultilevel"/>
    <w:tmpl w:val="DC368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CA07CF7"/>
    <w:multiLevelType w:val="hybridMultilevel"/>
    <w:tmpl w:val="A59CD5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547D14"/>
    <w:multiLevelType w:val="hybridMultilevel"/>
    <w:tmpl w:val="7AC2E7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12602368"/>
    <w:multiLevelType w:val="multilevel"/>
    <w:tmpl w:val="FD844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AC65AC"/>
    <w:multiLevelType w:val="multilevel"/>
    <w:tmpl w:val="70C2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54260"/>
    <w:multiLevelType w:val="hybridMultilevel"/>
    <w:tmpl w:val="466E6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AC192D"/>
    <w:multiLevelType w:val="hybridMultilevel"/>
    <w:tmpl w:val="2062B30A"/>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2AB3A99"/>
    <w:multiLevelType w:val="multilevel"/>
    <w:tmpl w:val="6C8A7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436646B"/>
    <w:multiLevelType w:val="hybridMultilevel"/>
    <w:tmpl w:val="481A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4FB71AB"/>
    <w:multiLevelType w:val="hybridMultilevel"/>
    <w:tmpl w:val="020833A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1" w15:restartNumberingAfterBreak="0">
    <w:nsid w:val="25684844"/>
    <w:multiLevelType w:val="multilevel"/>
    <w:tmpl w:val="4F90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4922E4"/>
    <w:multiLevelType w:val="hybridMultilevel"/>
    <w:tmpl w:val="C526F7AE"/>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0EB632A"/>
    <w:multiLevelType w:val="hybridMultilevel"/>
    <w:tmpl w:val="A3686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3DF230B"/>
    <w:multiLevelType w:val="hybridMultilevel"/>
    <w:tmpl w:val="466C1FA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8DE5A8D"/>
    <w:multiLevelType w:val="hybridMultilevel"/>
    <w:tmpl w:val="474CBF86"/>
    <w:lvl w:ilvl="0" w:tplc="0EBA6BEA">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9DA29B4"/>
    <w:multiLevelType w:val="hybridMultilevel"/>
    <w:tmpl w:val="14F0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4BB017B"/>
    <w:multiLevelType w:val="multilevel"/>
    <w:tmpl w:val="A22C1030"/>
    <w:lvl w:ilvl="0">
      <w:start w:val="1"/>
      <w:numFmt w:val="decimal"/>
      <w:suff w:val="nothing"/>
      <w:lvlText w:val="Chapter %1"/>
      <w:lvlJc w:val="left"/>
      <w:pPr>
        <w:ind w:left="3970" w:firstLine="0"/>
      </w:pPr>
      <w:rPr>
        <w:rFonts w:ascii="Times New Roman Bold" w:hAnsi="Times New Roman Bold" w:hint="default"/>
        <w:b/>
        <w:i w:val="0"/>
        <w:caps/>
        <w:strike w:val="0"/>
        <w:dstrike w:val="0"/>
        <w:vanish w:val="0"/>
        <w:sz w:val="28"/>
        <w:vertAlign w:val="baseline"/>
      </w:rPr>
    </w:lvl>
    <w:lvl w:ilvl="1">
      <w:start w:val="1"/>
      <w:numFmt w:val="decimal"/>
      <w:lvlText w:val="%1.%2"/>
      <w:lvlJc w:val="left"/>
      <w:pPr>
        <w:tabs>
          <w:tab w:val="num" w:pos="851"/>
        </w:tabs>
        <w:ind w:left="851" w:hanging="851"/>
      </w:pPr>
      <w:rPr>
        <w:rFonts w:ascii="Times New Roman" w:hAnsi="Times New Roman" w:hint="default"/>
        <w:b w:val="0"/>
        <w:i w:val="0"/>
        <w:caps w:val="0"/>
        <w:strike w:val="0"/>
        <w:dstrike w:val="0"/>
        <w:vanish w:val="0"/>
        <w:sz w:val="24"/>
        <w:vertAlign w:val="baseline"/>
      </w:rPr>
    </w:lvl>
    <w:lvl w:ilvl="2">
      <w:start w:val="1"/>
      <w:numFmt w:val="bullet"/>
      <w:lvlText w:val=""/>
      <w:lvlJc w:val="left"/>
      <w:pPr>
        <w:tabs>
          <w:tab w:val="num" w:pos="1418"/>
        </w:tabs>
        <w:ind w:left="1418" w:hanging="567"/>
      </w:pPr>
      <w:rPr>
        <w:rFonts w:ascii="Symbol" w:hAnsi="Symbol" w:hint="default"/>
        <w:b w:val="0"/>
        <w:i w:val="0"/>
        <w:caps w:val="0"/>
        <w:strike w:val="0"/>
        <w:dstrike w:val="0"/>
        <w:sz w:val="24"/>
        <w:vertAlign w:val="baseline"/>
      </w:rPr>
    </w:lvl>
    <w:lvl w:ilvl="3">
      <w:start w:val="1"/>
      <w:numFmt w:val="bullet"/>
      <w:lvlText w:val="–"/>
      <w:lvlJc w:val="left"/>
      <w:pPr>
        <w:tabs>
          <w:tab w:val="num" w:pos="1985"/>
        </w:tabs>
        <w:ind w:left="1985" w:hanging="567"/>
      </w:pPr>
      <w:rPr>
        <w:rFonts w:ascii="Times New Roman" w:hAnsi="Times New Roman" w:cs="Times New Roman" w:hint="default"/>
      </w:rPr>
    </w:lvl>
    <w:lvl w:ilvl="4">
      <w:start w:val="1"/>
      <w:numFmt w:val="none"/>
      <w:lvlText w:val=""/>
      <w:lvlJc w:val="left"/>
      <w:pPr>
        <w:tabs>
          <w:tab w:val="num" w:pos="851"/>
        </w:tabs>
        <w:ind w:left="851" w:hanging="851"/>
      </w:pPr>
      <w:rPr>
        <w:rFonts w:hint="default"/>
      </w:rPr>
    </w:lvl>
    <w:lvl w:ilvl="5">
      <w:start w:val="1"/>
      <w:numFmt w:val="none"/>
      <w:lvlText w:val=""/>
      <w:lvlJc w:val="left"/>
      <w:pPr>
        <w:tabs>
          <w:tab w:val="num" w:pos="851"/>
        </w:tabs>
        <w:ind w:left="851" w:hanging="851"/>
      </w:pPr>
      <w:rPr>
        <w:rFonts w:hint="default"/>
      </w:rPr>
    </w:lvl>
    <w:lvl w:ilvl="6">
      <w:start w:val="1"/>
      <w:numFmt w:val="none"/>
      <w:lvlText w:val=""/>
      <w:lvlJc w:val="left"/>
      <w:pPr>
        <w:tabs>
          <w:tab w:val="num" w:pos="851"/>
        </w:tabs>
        <w:ind w:left="851" w:hanging="851"/>
      </w:pPr>
      <w:rPr>
        <w:rFonts w:hint="default"/>
      </w:rPr>
    </w:lvl>
    <w:lvl w:ilvl="7">
      <w:start w:val="1"/>
      <w:numFmt w:val="none"/>
      <w:lvlText w:val=""/>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9" w15:restartNumberingAfterBreak="0">
    <w:nsid w:val="44F35B45"/>
    <w:multiLevelType w:val="hybridMultilevel"/>
    <w:tmpl w:val="3EB05B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26367A"/>
    <w:multiLevelType w:val="hybridMultilevel"/>
    <w:tmpl w:val="54B63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CA63506"/>
    <w:multiLevelType w:val="multilevel"/>
    <w:tmpl w:val="BEE28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0CD02AE"/>
    <w:multiLevelType w:val="hybridMultilevel"/>
    <w:tmpl w:val="11568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55295F22"/>
    <w:multiLevelType w:val="hybridMultilevel"/>
    <w:tmpl w:val="E610A99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7"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B54D4"/>
    <w:multiLevelType w:val="multilevel"/>
    <w:tmpl w:val="186C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6E6A59"/>
    <w:multiLevelType w:val="hybridMultilevel"/>
    <w:tmpl w:val="711A8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8E10AB6"/>
    <w:multiLevelType w:val="hybridMultilevel"/>
    <w:tmpl w:val="B2947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1717CA6"/>
    <w:multiLevelType w:val="hybridMultilevel"/>
    <w:tmpl w:val="A240DEF8"/>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3993153"/>
    <w:multiLevelType w:val="multilevel"/>
    <w:tmpl w:val="5FCEC408"/>
    <w:lvl w:ilvl="0">
      <w:start w:val="1"/>
      <w:numFmt w:val="decimal"/>
      <w:lvlText w:val="%1."/>
      <w:lvlJc w:val="left"/>
      <w:pPr>
        <w:tabs>
          <w:tab w:val="num" w:pos="1429"/>
        </w:tabs>
        <w:ind w:left="1429" w:hanging="709"/>
      </w:pPr>
      <w:rPr>
        <w:rFonts w:ascii="Arial" w:hAnsi="Arial" w:hint="default"/>
        <w:i w:val="0"/>
        <w:iCs w:val="0"/>
        <w:sz w:val="24"/>
      </w:rPr>
    </w:lvl>
    <w:lvl w:ilvl="1">
      <w:start w:val="1"/>
      <w:numFmt w:val="decimal"/>
      <w:lvlText w:val="%1.%2"/>
      <w:lvlJc w:val="left"/>
      <w:pPr>
        <w:tabs>
          <w:tab w:val="num" w:pos="2138"/>
        </w:tabs>
        <w:ind w:left="2138" w:hanging="709"/>
      </w:pPr>
      <w:rPr>
        <w:rFonts w:ascii="Arial" w:hAnsi="Arial" w:hint="default"/>
        <w:sz w:val="24"/>
      </w:rPr>
    </w:lvl>
    <w:lvl w:ilvl="2">
      <w:start w:val="1"/>
      <w:numFmt w:val="decimal"/>
      <w:lvlText w:val="%1.%2.%3"/>
      <w:lvlJc w:val="left"/>
      <w:pPr>
        <w:tabs>
          <w:tab w:val="num" w:pos="2847"/>
        </w:tabs>
        <w:ind w:left="2847" w:hanging="709"/>
      </w:pPr>
      <w:rPr>
        <w:rFonts w:ascii="Arial" w:hAnsi="Arial" w:hint="default"/>
        <w:sz w:val="24"/>
      </w:rPr>
    </w:lvl>
    <w:lvl w:ilvl="3">
      <w:start w:val="1"/>
      <w:numFmt w:val="decimal"/>
      <w:lvlText w:val="(%4)"/>
      <w:lvlJc w:val="left"/>
      <w:pPr>
        <w:tabs>
          <w:tab w:val="num" w:pos="3556"/>
        </w:tabs>
        <w:ind w:left="3556" w:hanging="709"/>
      </w:pPr>
      <w:rPr>
        <w:rFonts w:hint="default"/>
        <w:sz w:val="24"/>
      </w:rPr>
    </w:lvl>
    <w:lvl w:ilvl="4">
      <w:start w:val="1"/>
      <w:numFmt w:val="lowerLetter"/>
      <w:lvlText w:val="(%5)"/>
      <w:lvlJc w:val="left"/>
      <w:pPr>
        <w:tabs>
          <w:tab w:val="num" w:pos="4265"/>
        </w:tabs>
        <w:ind w:left="4265" w:hanging="709"/>
      </w:pPr>
      <w:rPr>
        <w:rFonts w:hint="default"/>
      </w:rPr>
    </w:lvl>
    <w:lvl w:ilvl="5">
      <w:start w:val="1"/>
      <w:numFmt w:val="lowerRoman"/>
      <w:lvlText w:val="(%6)"/>
      <w:lvlJc w:val="left"/>
      <w:pPr>
        <w:tabs>
          <w:tab w:val="num" w:pos="4974"/>
        </w:tabs>
        <w:ind w:left="4974" w:hanging="709"/>
      </w:pPr>
      <w:rPr>
        <w:rFonts w:hint="default"/>
      </w:rPr>
    </w:lvl>
    <w:lvl w:ilvl="6">
      <w:start w:val="1"/>
      <w:numFmt w:val="decimal"/>
      <w:lvlText w:val="%7."/>
      <w:lvlJc w:val="left"/>
      <w:pPr>
        <w:tabs>
          <w:tab w:val="num" w:pos="5683"/>
        </w:tabs>
        <w:ind w:left="5683" w:hanging="709"/>
      </w:pPr>
      <w:rPr>
        <w:rFonts w:hint="default"/>
      </w:rPr>
    </w:lvl>
    <w:lvl w:ilvl="7">
      <w:start w:val="1"/>
      <w:numFmt w:val="lowerLetter"/>
      <w:lvlText w:val="%8."/>
      <w:lvlJc w:val="left"/>
      <w:pPr>
        <w:tabs>
          <w:tab w:val="num" w:pos="6392"/>
        </w:tabs>
        <w:ind w:left="6392" w:hanging="709"/>
      </w:pPr>
      <w:rPr>
        <w:rFonts w:hint="default"/>
      </w:rPr>
    </w:lvl>
    <w:lvl w:ilvl="8">
      <w:start w:val="1"/>
      <w:numFmt w:val="lowerRoman"/>
      <w:lvlText w:val="%9."/>
      <w:lvlJc w:val="left"/>
      <w:pPr>
        <w:tabs>
          <w:tab w:val="num" w:pos="7101"/>
        </w:tabs>
        <w:ind w:left="7101" w:hanging="709"/>
      </w:pPr>
      <w:rPr>
        <w:rFonts w:hint="default"/>
      </w:rPr>
    </w:lvl>
  </w:abstractNum>
  <w:abstractNum w:abstractNumId="33" w15:restartNumberingAfterBreak="0">
    <w:nsid w:val="6488126A"/>
    <w:multiLevelType w:val="hybridMultilevel"/>
    <w:tmpl w:val="4762F6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6517777"/>
    <w:multiLevelType w:val="hybridMultilevel"/>
    <w:tmpl w:val="D5189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92E48CD"/>
    <w:multiLevelType w:val="hybridMultilevel"/>
    <w:tmpl w:val="6524A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A6E501E"/>
    <w:multiLevelType w:val="hybridMultilevel"/>
    <w:tmpl w:val="89DA1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2F9179D"/>
    <w:multiLevelType w:val="hybridMultilevel"/>
    <w:tmpl w:val="0E506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9" w15:restartNumberingAfterBreak="0">
    <w:nsid w:val="778749A6"/>
    <w:multiLevelType w:val="hybridMultilevel"/>
    <w:tmpl w:val="C9FA2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7"/>
  </w:num>
  <w:num w:numId="4">
    <w:abstractNumId w:val="13"/>
  </w:num>
  <w:num w:numId="5">
    <w:abstractNumId w:val="38"/>
  </w:num>
  <w:num w:numId="6">
    <w:abstractNumId w:val="31"/>
  </w:num>
  <w:num w:numId="7">
    <w:abstractNumId w:val="12"/>
  </w:num>
  <w:num w:numId="8">
    <w:abstractNumId w:val="16"/>
  </w:num>
  <w:num w:numId="9">
    <w:abstractNumId w:val="8"/>
  </w:num>
  <w:num w:numId="10">
    <w:abstractNumId w:val="23"/>
  </w:num>
  <w:num w:numId="11">
    <w:abstractNumId w:val="28"/>
  </w:num>
  <w:num w:numId="12">
    <w:abstractNumId w:val="5"/>
  </w:num>
  <w:num w:numId="13">
    <w:abstractNumId w:val="11"/>
  </w:num>
  <w:num w:numId="14">
    <w:abstractNumId w:val="17"/>
  </w:num>
  <w:num w:numId="15">
    <w:abstractNumId w:val="14"/>
  </w:num>
  <w:num w:numId="16">
    <w:abstractNumId w:val="7"/>
  </w:num>
  <w:num w:numId="17">
    <w:abstractNumId w:val="36"/>
  </w:num>
  <w:num w:numId="18">
    <w:abstractNumId w:val="3"/>
  </w:num>
  <w:num w:numId="19">
    <w:abstractNumId w:val="20"/>
  </w:num>
  <w:num w:numId="20">
    <w:abstractNumId w:val="35"/>
  </w:num>
  <w:num w:numId="21">
    <w:abstractNumId w:val="26"/>
  </w:num>
  <w:num w:numId="22">
    <w:abstractNumId w:val="10"/>
  </w:num>
  <w:num w:numId="23">
    <w:abstractNumId w:val="34"/>
  </w:num>
  <w:num w:numId="24">
    <w:abstractNumId w:val="29"/>
  </w:num>
  <w:num w:numId="25">
    <w:abstractNumId w:val="0"/>
  </w:num>
  <w:num w:numId="26">
    <w:abstractNumId w:val="21"/>
  </w:num>
  <w:num w:numId="27">
    <w:abstractNumId w:val="24"/>
  </w:num>
  <w:num w:numId="28">
    <w:abstractNumId w:val="27"/>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5"/>
  </w:num>
  <w:num w:numId="36">
    <w:abstractNumId w:val="15"/>
  </w:num>
  <w:num w:numId="37">
    <w:abstractNumId w:val="4"/>
  </w:num>
  <w:num w:numId="38">
    <w:abstractNumId w:val="18"/>
  </w:num>
  <w:num w:numId="39">
    <w:abstractNumId w:val="19"/>
  </w:num>
  <w:num w:numId="40">
    <w:abstractNumId w:val="6"/>
  </w:num>
  <w:num w:numId="41">
    <w:abstractNumId w:val="39"/>
  </w:num>
  <w:num w:numId="42">
    <w:abstractNumId w:val="33"/>
  </w:num>
  <w:num w:numId="43">
    <w:abstractNumId w:val="30"/>
  </w:num>
  <w:num w:numId="44">
    <w:abstractNumId w:val="9"/>
  </w:num>
  <w:num w:numId="45">
    <w:abstractNumId w:val="32"/>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A5"/>
    <w:rsid w:val="00001D41"/>
    <w:rsid w:val="000039A8"/>
    <w:rsid w:val="00006A12"/>
    <w:rsid w:val="00007AC4"/>
    <w:rsid w:val="000107BF"/>
    <w:rsid w:val="000108DB"/>
    <w:rsid w:val="00012718"/>
    <w:rsid w:val="00013D94"/>
    <w:rsid w:val="00016C48"/>
    <w:rsid w:val="00022E76"/>
    <w:rsid w:val="00024F47"/>
    <w:rsid w:val="00025133"/>
    <w:rsid w:val="00030EC1"/>
    <w:rsid w:val="00032D9E"/>
    <w:rsid w:val="00034587"/>
    <w:rsid w:val="0003500F"/>
    <w:rsid w:val="00035A36"/>
    <w:rsid w:val="00035A73"/>
    <w:rsid w:val="00037EF1"/>
    <w:rsid w:val="000463AD"/>
    <w:rsid w:val="0004747C"/>
    <w:rsid w:val="00051A88"/>
    <w:rsid w:val="000535CE"/>
    <w:rsid w:val="00055418"/>
    <w:rsid w:val="00056173"/>
    <w:rsid w:val="00056353"/>
    <w:rsid w:val="0005717C"/>
    <w:rsid w:val="00057D30"/>
    <w:rsid w:val="000608F0"/>
    <w:rsid w:val="000609BA"/>
    <w:rsid w:val="000701C3"/>
    <w:rsid w:val="0007094A"/>
    <w:rsid w:val="00071A92"/>
    <w:rsid w:val="00073883"/>
    <w:rsid w:val="00075413"/>
    <w:rsid w:val="000758D0"/>
    <w:rsid w:val="00080F5E"/>
    <w:rsid w:val="000810F0"/>
    <w:rsid w:val="00082B07"/>
    <w:rsid w:val="00084AAD"/>
    <w:rsid w:val="00085976"/>
    <w:rsid w:val="0009009A"/>
    <w:rsid w:val="000900B4"/>
    <w:rsid w:val="000917DB"/>
    <w:rsid w:val="0009467F"/>
    <w:rsid w:val="000A223D"/>
    <w:rsid w:val="000A2910"/>
    <w:rsid w:val="000A3146"/>
    <w:rsid w:val="000A4841"/>
    <w:rsid w:val="000B1A0F"/>
    <w:rsid w:val="000B3D93"/>
    <w:rsid w:val="000B4D0A"/>
    <w:rsid w:val="000C3197"/>
    <w:rsid w:val="000C504F"/>
    <w:rsid w:val="000C529D"/>
    <w:rsid w:val="000C53CB"/>
    <w:rsid w:val="000D38CA"/>
    <w:rsid w:val="000D4E23"/>
    <w:rsid w:val="000D7CF2"/>
    <w:rsid w:val="000E16A8"/>
    <w:rsid w:val="000E180F"/>
    <w:rsid w:val="000E306D"/>
    <w:rsid w:val="000E5E73"/>
    <w:rsid w:val="000E5F98"/>
    <w:rsid w:val="000E64CF"/>
    <w:rsid w:val="000E656C"/>
    <w:rsid w:val="000F2317"/>
    <w:rsid w:val="000F3D14"/>
    <w:rsid w:val="00100007"/>
    <w:rsid w:val="0010162B"/>
    <w:rsid w:val="00105EA9"/>
    <w:rsid w:val="00111A9D"/>
    <w:rsid w:val="00111E9A"/>
    <w:rsid w:val="00115441"/>
    <w:rsid w:val="00117434"/>
    <w:rsid w:val="001231F5"/>
    <w:rsid w:val="001256D8"/>
    <w:rsid w:val="00127AAA"/>
    <w:rsid w:val="00131A82"/>
    <w:rsid w:val="001342B2"/>
    <w:rsid w:val="00141E10"/>
    <w:rsid w:val="00144191"/>
    <w:rsid w:val="00155C46"/>
    <w:rsid w:val="001624D2"/>
    <w:rsid w:val="00162E99"/>
    <w:rsid w:val="00163214"/>
    <w:rsid w:val="00165231"/>
    <w:rsid w:val="001667FA"/>
    <w:rsid w:val="0016692C"/>
    <w:rsid w:val="00171998"/>
    <w:rsid w:val="001739BC"/>
    <w:rsid w:val="00181197"/>
    <w:rsid w:val="00185F10"/>
    <w:rsid w:val="0018779D"/>
    <w:rsid w:val="00190453"/>
    <w:rsid w:val="00192634"/>
    <w:rsid w:val="001973D2"/>
    <w:rsid w:val="001A0DB9"/>
    <w:rsid w:val="001A3014"/>
    <w:rsid w:val="001A4728"/>
    <w:rsid w:val="001A4B95"/>
    <w:rsid w:val="001A4C04"/>
    <w:rsid w:val="001B0505"/>
    <w:rsid w:val="001B141D"/>
    <w:rsid w:val="001B3E1F"/>
    <w:rsid w:val="001B415F"/>
    <w:rsid w:val="001B4792"/>
    <w:rsid w:val="001B5688"/>
    <w:rsid w:val="001C3DFC"/>
    <w:rsid w:val="001C5DC9"/>
    <w:rsid w:val="001C66A9"/>
    <w:rsid w:val="001D200F"/>
    <w:rsid w:val="001E0D43"/>
    <w:rsid w:val="001E14AC"/>
    <w:rsid w:val="001E20CA"/>
    <w:rsid w:val="001F6581"/>
    <w:rsid w:val="00202A5A"/>
    <w:rsid w:val="002046CC"/>
    <w:rsid w:val="00204F5D"/>
    <w:rsid w:val="00206153"/>
    <w:rsid w:val="00207CEA"/>
    <w:rsid w:val="002106CB"/>
    <w:rsid w:val="002109FE"/>
    <w:rsid w:val="002127DC"/>
    <w:rsid w:val="00212AD9"/>
    <w:rsid w:val="00213618"/>
    <w:rsid w:val="00217894"/>
    <w:rsid w:val="002214DA"/>
    <w:rsid w:val="00223A3A"/>
    <w:rsid w:val="00223E66"/>
    <w:rsid w:val="00226E29"/>
    <w:rsid w:val="00230D07"/>
    <w:rsid w:val="00234395"/>
    <w:rsid w:val="002367EE"/>
    <w:rsid w:val="00237597"/>
    <w:rsid w:val="0023767F"/>
    <w:rsid w:val="0024289C"/>
    <w:rsid w:val="0024323C"/>
    <w:rsid w:val="002455E6"/>
    <w:rsid w:val="00250CBD"/>
    <w:rsid w:val="00252241"/>
    <w:rsid w:val="00257060"/>
    <w:rsid w:val="002575F6"/>
    <w:rsid w:val="00267038"/>
    <w:rsid w:val="002717B4"/>
    <w:rsid w:val="00271FE2"/>
    <w:rsid w:val="00273A42"/>
    <w:rsid w:val="00275D0D"/>
    <w:rsid w:val="00282A1D"/>
    <w:rsid w:val="00282E58"/>
    <w:rsid w:val="00282F5E"/>
    <w:rsid w:val="00285D10"/>
    <w:rsid w:val="00287DAD"/>
    <w:rsid w:val="00291E94"/>
    <w:rsid w:val="00293FDC"/>
    <w:rsid w:val="00297506"/>
    <w:rsid w:val="002A264A"/>
    <w:rsid w:val="002A4D3F"/>
    <w:rsid w:val="002A56B6"/>
    <w:rsid w:val="002A56F0"/>
    <w:rsid w:val="002A6A33"/>
    <w:rsid w:val="002B28A8"/>
    <w:rsid w:val="002B29E5"/>
    <w:rsid w:val="002B4AC1"/>
    <w:rsid w:val="002B5616"/>
    <w:rsid w:val="002C0155"/>
    <w:rsid w:val="002C3938"/>
    <w:rsid w:val="002C5F7A"/>
    <w:rsid w:val="002D23AC"/>
    <w:rsid w:val="002D54C0"/>
    <w:rsid w:val="002D5734"/>
    <w:rsid w:val="002D63C9"/>
    <w:rsid w:val="002E00FC"/>
    <w:rsid w:val="002F382E"/>
    <w:rsid w:val="002F4245"/>
    <w:rsid w:val="002F5292"/>
    <w:rsid w:val="002F57C1"/>
    <w:rsid w:val="0030117A"/>
    <w:rsid w:val="0030142C"/>
    <w:rsid w:val="00301D4E"/>
    <w:rsid w:val="003031DC"/>
    <w:rsid w:val="00304CE4"/>
    <w:rsid w:val="00310C66"/>
    <w:rsid w:val="00311017"/>
    <w:rsid w:val="00316701"/>
    <w:rsid w:val="00320D50"/>
    <w:rsid w:val="0032262A"/>
    <w:rsid w:val="00323607"/>
    <w:rsid w:val="00324230"/>
    <w:rsid w:val="0032503F"/>
    <w:rsid w:val="00326D5D"/>
    <w:rsid w:val="00330AC1"/>
    <w:rsid w:val="00335848"/>
    <w:rsid w:val="00336018"/>
    <w:rsid w:val="0033708B"/>
    <w:rsid w:val="003449C8"/>
    <w:rsid w:val="003454A5"/>
    <w:rsid w:val="00347B4A"/>
    <w:rsid w:val="003637B8"/>
    <w:rsid w:val="00367539"/>
    <w:rsid w:val="00367980"/>
    <w:rsid w:val="00367DB4"/>
    <w:rsid w:val="003730F0"/>
    <w:rsid w:val="00380585"/>
    <w:rsid w:val="003861BB"/>
    <w:rsid w:val="00394931"/>
    <w:rsid w:val="003B0C27"/>
    <w:rsid w:val="003B29A3"/>
    <w:rsid w:val="003B5E28"/>
    <w:rsid w:val="003B78FA"/>
    <w:rsid w:val="003C023C"/>
    <w:rsid w:val="003C12FA"/>
    <w:rsid w:val="003C228A"/>
    <w:rsid w:val="003C696B"/>
    <w:rsid w:val="003C7CF7"/>
    <w:rsid w:val="003D29DA"/>
    <w:rsid w:val="003D2B86"/>
    <w:rsid w:val="003D2C78"/>
    <w:rsid w:val="003E015C"/>
    <w:rsid w:val="003E32C3"/>
    <w:rsid w:val="003E665F"/>
    <w:rsid w:val="003E677D"/>
    <w:rsid w:val="003E7F39"/>
    <w:rsid w:val="003F0656"/>
    <w:rsid w:val="003F0D30"/>
    <w:rsid w:val="003F0DF3"/>
    <w:rsid w:val="003F0FE2"/>
    <w:rsid w:val="003F1194"/>
    <w:rsid w:val="003F23BF"/>
    <w:rsid w:val="003F2B75"/>
    <w:rsid w:val="003F48C3"/>
    <w:rsid w:val="003F75FD"/>
    <w:rsid w:val="003F7DC8"/>
    <w:rsid w:val="00402628"/>
    <w:rsid w:val="00403FCA"/>
    <w:rsid w:val="004064A6"/>
    <w:rsid w:val="004142E2"/>
    <w:rsid w:val="00414D0D"/>
    <w:rsid w:val="004173D9"/>
    <w:rsid w:val="0043072E"/>
    <w:rsid w:val="0043081D"/>
    <w:rsid w:val="00431C1D"/>
    <w:rsid w:val="004328B6"/>
    <w:rsid w:val="00433CFE"/>
    <w:rsid w:val="004347CA"/>
    <w:rsid w:val="0044002A"/>
    <w:rsid w:val="00440120"/>
    <w:rsid w:val="00441C7C"/>
    <w:rsid w:val="00447649"/>
    <w:rsid w:val="004531A2"/>
    <w:rsid w:val="00454A88"/>
    <w:rsid w:val="004550EC"/>
    <w:rsid w:val="00456ED6"/>
    <w:rsid w:val="00457E15"/>
    <w:rsid w:val="00463479"/>
    <w:rsid w:val="00463E14"/>
    <w:rsid w:val="00464F7E"/>
    <w:rsid w:val="00470D09"/>
    <w:rsid w:val="00471A29"/>
    <w:rsid w:val="0047248B"/>
    <w:rsid w:val="00472D95"/>
    <w:rsid w:val="00473F40"/>
    <w:rsid w:val="00474724"/>
    <w:rsid w:val="00476BB5"/>
    <w:rsid w:val="00480A02"/>
    <w:rsid w:val="00481277"/>
    <w:rsid w:val="004846CD"/>
    <w:rsid w:val="004915C5"/>
    <w:rsid w:val="004933E0"/>
    <w:rsid w:val="004949B0"/>
    <w:rsid w:val="0049567A"/>
    <w:rsid w:val="00495C48"/>
    <w:rsid w:val="004966C5"/>
    <w:rsid w:val="00496F04"/>
    <w:rsid w:val="004976C6"/>
    <w:rsid w:val="00497D74"/>
    <w:rsid w:val="004A09A9"/>
    <w:rsid w:val="004A192D"/>
    <w:rsid w:val="004A489B"/>
    <w:rsid w:val="004A56DA"/>
    <w:rsid w:val="004B1665"/>
    <w:rsid w:val="004B26AC"/>
    <w:rsid w:val="004B731F"/>
    <w:rsid w:val="004B7461"/>
    <w:rsid w:val="004B7D66"/>
    <w:rsid w:val="004C0262"/>
    <w:rsid w:val="004C0F8F"/>
    <w:rsid w:val="004C4415"/>
    <w:rsid w:val="004C7A0E"/>
    <w:rsid w:val="004D67EE"/>
    <w:rsid w:val="004E52E2"/>
    <w:rsid w:val="004E6413"/>
    <w:rsid w:val="004E6A51"/>
    <w:rsid w:val="004E7B1A"/>
    <w:rsid w:val="004F42BC"/>
    <w:rsid w:val="004F7D33"/>
    <w:rsid w:val="00506302"/>
    <w:rsid w:val="00511F87"/>
    <w:rsid w:val="0051258C"/>
    <w:rsid w:val="00515BB2"/>
    <w:rsid w:val="00521BDE"/>
    <w:rsid w:val="005222CF"/>
    <w:rsid w:val="0053213E"/>
    <w:rsid w:val="00532E23"/>
    <w:rsid w:val="005338CF"/>
    <w:rsid w:val="005429F8"/>
    <w:rsid w:val="00546F69"/>
    <w:rsid w:val="00556D5D"/>
    <w:rsid w:val="00562BE6"/>
    <w:rsid w:val="00564647"/>
    <w:rsid w:val="00567434"/>
    <w:rsid w:val="00567969"/>
    <w:rsid w:val="00567E35"/>
    <w:rsid w:val="00570891"/>
    <w:rsid w:val="005744B1"/>
    <w:rsid w:val="005753B9"/>
    <w:rsid w:val="0058079B"/>
    <w:rsid w:val="00580BDE"/>
    <w:rsid w:val="00581AD9"/>
    <w:rsid w:val="00584C60"/>
    <w:rsid w:val="00585F37"/>
    <w:rsid w:val="005876C7"/>
    <w:rsid w:val="005876FF"/>
    <w:rsid w:val="00587727"/>
    <w:rsid w:val="00587FD5"/>
    <w:rsid w:val="00592E70"/>
    <w:rsid w:val="005944CA"/>
    <w:rsid w:val="00594FD2"/>
    <w:rsid w:val="005A091F"/>
    <w:rsid w:val="005A1FE8"/>
    <w:rsid w:val="005A3981"/>
    <w:rsid w:val="005A725B"/>
    <w:rsid w:val="005B0875"/>
    <w:rsid w:val="005B5159"/>
    <w:rsid w:val="005B5970"/>
    <w:rsid w:val="005B6F1D"/>
    <w:rsid w:val="005C35BD"/>
    <w:rsid w:val="005C35F6"/>
    <w:rsid w:val="005C6155"/>
    <w:rsid w:val="005C69F6"/>
    <w:rsid w:val="005D01F7"/>
    <w:rsid w:val="005D09F7"/>
    <w:rsid w:val="005D0F5F"/>
    <w:rsid w:val="005D1D75"/>
    <w:rsid w:val="005D31E9"/>
    <w:rsid w:val="005D5BF0"/>
    <w:rsid w:val="005D6980"/>
    <w:rsid w:val="005E0462"/>
    <w:rsid w:val="005E1CEE"/>
    <w:rsid w:val="005E28CD"/>
    <w:rsid w:val="005E6276"/>
    <w:rsid w:val="00601587"/>
    <w:rsid w:val="00601E26"/>
    <w:rsid w:val="006112EB"/>
    <w:rsid w:val="00611994"/>
    <w:rsid w:val="006140F7"/>
    <w:rsid w:val="0061479E"/>
    <w:rsid w:val="006230A3"/>
    <w:rsid w:val="00625F77"/>
    <w:rsid w:val="006262C0"/>
    <w:rsid w:val="00630E4F"/>
    <w:rsid w:val="00634985"/>
    <w:rsid w:val="00642CE3"/>
    <w:rsid w:val="006431F9"/>
    <w:rsid w:val="0064490C"/>
    <w:rsid w:val="0064662C"/>
    <w:rsid w:val="00646E5A"/>
    <w:rsid w:val="00651B5A"/>
    <w:rsid w:val="006536DB"/>
    <w:rsid w:val="00655924"/>
    <w:rsid w:val="00656BE7"/>
    <w:rsid w:val="00660560"/>
    <w:rsid w:val="006611D2"/>
    <w:rsid w:val="00662369"/>
    <w:rsid w:val="00665878"/>
    <w:rsid w:val="00667DD6"/>
    <w:rsid w:val="00672171"/>
    <w:rsid w:val="0067504F"/>
    <w:rsid w:val="0067537D"/>
    <w:rsid w:val="00676708"/>
    <w:rsid w:val="00680946"/>
    <w:rsid w:val="006810C6"/>
    <w:rsid w:val="00681179"/>
    <w:rsid w:val="00681B2A"/>
    <w:rsid w:val="00683307"/>
    <w:rsid w:val="00684956"/>
    <w:rsid w:val="00684CCF"/>
    <w:rsid w:val="00686B28"/>
    <w:rsid w:val="0069218C"/>
    <w:rsid w:val="00695DAC"/>
    <w:rsid w:val="006967A5"/>
    <w:rsid w:val="00696C81"/>
    <w:rsid w:val="006A15EB"/>
    <w:rsid w:val="006A1BD0"/>
    <w:rsid w:val="006A21FA"/>
    <w:rsid w:val="006A515C"/>
    <w:rsid w:val="006A70C4"/>
    <w:rsid w:val="006B0E84"/>
    <w:rsid w:val="006B1547"/>
    <w:rsid w:val="006B3A81"/>
    <w:rsid w:val="006B3E33"/>
    <w:rsid w:val="006B4A0B"/>
    <w:rsid w:val="006B4D2D"/>
    <w:rsid w:val="006B6D13"/>
    <w:rsid w:val="006B715B"/>
    <w:rsid w:val="006C3E9A"/>
    <w:rsid w:val="006C40C2"/>
    <w:rsid w:val="006D06D5"/>
    <w:rsid w:val="006D0DA4"/>
    <w:rsid w:val="006D2A82"/>
    <w:rsid w:val="006D3130"/>
    <w:rsid w:val="006D5192"/>
    <w:rsid w:val="006D72B1"/>
    <w:rsid w:val="006E2187"/>
    <w:rsid w:val="006E3B62"/>
    <w:rsid w:val="006E51FE"/>
    <w:rsid w:val="006E5AA9"/>
    <w:rsid w:val="006E649B"/>
    <w:rsid w:val="006F0CCA"/>
    <w:rsid w:val="006F1B00"/>
    <w:rsid w:val="006F4195"/>
    <w:rsid w:val="006F5759"/>
    <w:rsid w:val="006F5CEE"/>
    <w:rsid w:val="006F6441"/>
    <w:rsid w:val="007014B3"/>
    <w:rsid w:val="00703522"/>
    <w:rsid w:val="00704377"/>
    <w:rsid w:val="00705BCE"/>
    <w:rsid w:val="00705DEE"/>
    <w:rsid w:val="0071000E"/>
    <w:rsid w:val="007106C1"/>
    <w:rsid w:val="0071328A"/>
    <w:rsid w:val="007164F6"/>
    <w:rsid w:val="00716CD4"/>
    <w:rsid w:val="007255E1"/>
    <w:rsid w:val="00727B7C"/>
    <w:rsid w:val="00730750"/>
    <w:rsid w:val="00733938"/>
    <w:rsid w:val="00735CAB"/>
    <w:rsid w:val="00736E02"/>
    <w:rsid w:val="00741A3D"/>
    <w:rsid w:val="0074400C"/>
    <w:rsid w:val="00744B02"/>
    <w:rsid w:val="00747363"/>
    <w:rsid w:val="00747CD0"/>
    <w:rsid w:val="00753C8D"/>
    <w:rsid w:val="00762FEB"/>
    <w:rsid w:val="00764E3C"/>
    <w:rsid w:val="00766FA0"/>
    <w:rsid w:val="00767C98"/>
    <w:rsid w:val="00771958"/>
    <w:rsid w:val="00772408"/>
    <w:rsid w:val="0077428F"/>
    <w:rsid w:val="00776CAF"/>
    <w:rsid w:val="007825C9"/>
    <w:rsid w:val="00783846"/>
    <w:rsid w:val="0078484C"/>
    <w:rsid w:val="00784C66"/>
    <w:rsid w:val="00795A6F"/>
    <w:rsid w:val="00797905"/>
    <w:rsid w:val="007A2CE2"/>
    <w:rsid w:val="007A484F"/>
    <w:rsid w:val="007A7742"/>
    <w:rsid w:val="007B0583"/>
    <w:rsid w:val="007B09D8"/>
    <w:rsid w:val="007B4001"/>
    <w:rsid w:val="007B78B3"/>
    <w:rsid w:val="007C00C2"/>
    <w:rsid w:val="007C0F9E"/>
    <w:rsid w:val="007C21FA"/>
    <w:rsid w:val="007C399A"/>
    <w:rsid w:val="007C44D5"/>
    <w:rsid w:val="007C4E00"/>
    <w:rsid w:val="007C7784"/>
    <w:rsid w:val="007C77B1"/>
    <w:rsid w:val="007D6E69"/>
    <w:rsid w:val="007E334E"/>
    <w:rsid w:val="007E6CBF"/>
    <w:rsid w:val="007E7634"/>
    <w:rsid w:val="007F1A71"/>
    <w:rsid w:val="007F5FEE"/>
    <w:rsid w:val="00800A3B"/>
    <w:rsid w:val="00800DEC"/>
    <w:rsid w:val="0080228E"/>
    <w:rsid w:val="00805B68"/>
    <w:rsid w:val="00807129"/>
    <w:rsid w:val="00815B8B"/>
    <w:rsid w:val="00820562"/>
    <w:rsid w:val="00821E31"/>
    <w:rsid w:val="0082456C"/>
    <w:rsid w:val="0082699E"/>
    <w:rsid w:val="00826BE8"/>
    <w:rsid w:val="008359F6"/>
    <w:rsid w:val="0083626F"/>
    <w:rsid w:val="008371B3"/>
    <w:rsid w:val="008378C5"/>
    <w:rsid w:val="0084694C"/>
    <w:rsid w:val="00851B3B"/>
    <w:rsid w:val="008613F3"/>
    <w:rsid w:val="00863253"/>
    <w:rsid w:val="00864EBC"/>
    <w:rsid w:val="00865B0F"/>
    <w:rsid w:val="00865F33"/>
    <w:rsid w:val="008665B6"/>
    <w:rsid w:val="0086728F"/>
    <w:rsid w:val="00870D10"/>
    <w:rsid w:val="008714F9"/>
    <w:rsid w:val="00872D60"/>
    <w:rsid w:val="00874A9C"/>
    <w:rsid w:val="00880002"/>
    <w:rsid w:val="00885FF7"/>
    <w:rsid w:val="00886AFB"/>
    <w:rsid w:val="00886DFF"/>
    <w:rsid w:val="0089107E"/>
    <w:rsid w:val="00894BBC"/>
    <w:rsid w:val="008A0B22"/>
    <w:rsid w:val="008A124E"/>
    <w:rsid w:val="008A2793"/>
    <w:rsid w:val="008A44AF"/>
    <w:rsid w:val="008A56EB"/>
    <w:rsid w:val="008A5972"/>
    <w:rsid w:val="008A6442"/>
    <w:rsid w:val="008A6F45"/>
    <w:rsid w:val="008B0393"/>
    <w:rsid w:val="008B254A"/>
    <w:rsid w:val="008B2E14"/>
    <w:rsid w:val="008C0950"/>
    <w:rsid w:val="008C1526"/>
    <w:rsid w:val="008C16A4"/>
    <w:rsid w:val="008C2F94"/>
    <w:rsid w:val="008C32CD"/>
    <w:rsid w:val="008D2AEB"/>
    <w:rsid w:val="008D523E"/>
    <w:rsid w:val="008D75DA"/>
    <w:rsid w:val="008E0801"/>
    <w:rsid w:val="008E0F12"/>
    <w:rsid w:val="008E270D"/>
    <w:rsid w:val="008E5E6D"/>
    <w:rsid w:val="008F3512"/>
    <w:rsid w:val="008F444E"/>
    <w:rsid w:val="00901A9E"/>
    <w:rsid w:val="00904CEF"/>
    <w:rsid w:val="009054CA"/>
    <w:rsid w:val="00913F6D"/>
    <w:rsid w:val="00917A22"/>
    <w:rsid w:val="00923805"/>
    <w:rsid w:val="0093024A"/>
    <w:rsid w:val="00937164"/>
    <w:rsid w:val="009405D9"/>
    <w:rsid w:val="00943D6C"/>
    <w:rsid w:val="00944CE4"/>
    <w:rsid w:val="00951ABE"/>
    <w:rsid w:val="00956FB1"/>
    <w:rsid w:val="009574C0"/>
    <w:rsid w:val="00957BC2"/>
    <w:rsid w:val="00960C57"/>
    <w:rsid w:val="0096111D"/>
    <w:rsid w:val="00962209"/>
    <w:rsid w:val="009643DA"/>
    <w:rsid w:val="00967245"/>
    <w:rsid w:val="0097283A"/>
    <w:rsid w:val="00973F2A"/>
    <w:rsid w:val="009773B0"/>
    <w:rsid w:val="009773B3"/>
    <w:rsid w:val="00982C1E"/>
    <w:rsid w:val="00986DCD"/>
    <w:rsid w:val="009930E7"/>
    <w:rsid w:val="009932EE"/>
    <w:rsid w:val="00997468"/>
    <w:rsid w:val="009A75BF"/>
    <w:rsid w:val="009A7A20"/>
    <w:rsid w:val="009B4532"/>
    <w:rsid w:val="009B7CD5"/>
    <w:rsid w:val="009C0847"/>
    <w:rsid w:val="009C1185"/>
    <w:rsid w:val="009C1989"/>
    <w:rsid w:val="009C3DF5"/>
    <w:rsid w:val="009C4D55"/>
    <w:rsid w:val="009C511A"/>
    <w:rsid w:val="009C5702"/>
    <w:rsid w:val="009C672B"/>
    <w:rsid w:val="009D0671"/>
    <w:rsid w:val="009D64B3"/>
    <w:rsid w:val="009E07C3"/>
    <w:rsid w:val="009E530A"/>
    <w:rsid w:val="009F1A8B"/>
    <w:rsid w:val="009F312A"/>
    <w:rsid w:val="009F6E07"/>
    <w:rsid w:val="00A048B6"/>
    <w:rsid w:val="00A063B5"/>
    <w:rsid w:val="00A108D9"/>
    <w:rsid w:val="00A146CA"/>
    <w:rsid w:val="00A147D1"/>
    <w:rsid w:val="00A14FBF"/>
    <w:rsid w:val="00A23B53"/>
    <w:rsid w:val="00A243D4"/>
    <w:rsid w:val="00A25EC1"/>
    <w:rsid w:val="00A31BB7"/>
    <w:rsid w:val="00A32618"/>
    <w:rsid w:val="00A334EB"/>
    <w:rsid w:val="00A33BA0"/>
    <w:rsid w:val="00A358C8"/>
    <w:rsid w:val="00A37514"/>
    <w:rsid w:val="00A4272B"/>
    <w:rsid w:val="00A43D38"/>
    <w:rsid w:val="00A441F1"/>
    <w:rsid w:val="00A45403"/>
    <w:rsid w:val="00A4564C"/>
    <w:rsid w:val="00A500A4"/>
    <w:rsid w:val="00A52B9B"/>
    <w:rsid w:val="00A552DC"/>
    <w:rsid w:val="00A56D75"/>
    <w:rsid w:val="00A57D3E"/>
    <w:rsid w:val="00A62A3A"/>
    <w:rsid w:val="00A66590"/>
    <w:rsid w:val="00A72C00"/>
    <w:rsid w:val="00A83785"/>
    <w:rsid w:val="00A85CE5"/>
    <w:rsid w:val="00A87097"/>
    <w:rsid w:val="00A90C10"/>
    <w:rsid w:val="00A92D41"/>
    <w:rsid w:val="00A964B2"/>
    <w:rsid w:val="00A969F8"/>
    <w:rsid w:val="00A976F3"/>
    <w:rsid w:val="00AB73B3"/>
    <w:rsid w:val="00AC0B4F"/>
    <w:rsid w:val="00AC23E5"/>
    <w:rsid w:val="00AC3005"/>
    <w:rsid w:val="00AC3159"/>
    <w:rsid w:val="00AD29FD"/>
    <w:rsid w:val="00AD5BDE"/>
    <w:rsid w:val="00AE18FA"/>
    <w:rsid w:val="00AE4238"/>
    <w:rsid w:val="00AE4D46"/>
    <w:rsid w:val="00AE74DD"/>
    <w:rsid w:val="00AF3223"/>
    <w:rsid w:val="00AF3A37"/>
    <w:rsid w:val="00B037EF"/>
    <w:rsid w:val="00B051B3"/>
    <w:rsid w:val="00B1039C"/>
    <w:rsid w:val="00B1131A"/>
    <w:rsid w:val="00B15F56"/>
    <w:rsid w:val="00B16F35"/>
    <w:rsid w:val="00B17B3C"/>
    <w:rsid w:val="00B2025E"/>
    <w:rsid w:val="00B20765"/>
    <w:rsid w:val="00B23E8A"/>
    <w:rsid w:val="00B245BA"/>
    <w:rsid w:val="00B274E5"/>
    <w:rsid w:val="00B349F6"/>
    <w:rsid w:val="00B4041D"/>
    <w:rsid w:val="00B422F5"/>
    <w:rsid w:val="00B445AF"/>
    <w:rsid w:val="00B446B8"/>
    <w:rsid w:val="00B47208"/>
    <w:rsid w:val="00B478FE"/>
    <w:rsid w:val="00B51411"/>
    <w:rsid w:val="00B51B48"/>
    <w:rsid w:val="00B6187D"/>
    <w:rsid w:val="00B623F4"/>
    <w:rsid w:val="00B6282E"/>
    <w:rsid w:val="00B63A3B"/>
    <w:rsid w:val="00B6654E"/>
    <w:rsid w:val="00B71B4E"/>
    <w:rsid w:val="00B73192"/>
    <w:rsid w:val="00B74056"/>
    <w:rsid w:val="00B7616A"/>
    <w:rsid w:val="00B82727"/>
    <w:rsid w:val="00B84503"/>
    <w:rsid w:val="00B87246"/>
    <w:rsid w:val="00B93EB4"/>
    <w:rsid w:val="00B952B7"/>
    <w:rsid w:val="00B95E91"/>
    <w:rsid w:val="00B97B69"/>
    <w:rsid w:val="00BA08C7"/>
    <w:rsid w:val="00BA18C4"/>
    <w:rsid w:val="00BA276B"/>
    <w:rsid w:val="00BA393D"/>
    <w:rsid w:val="00BB05D8"/>
    <w:rsid w:val="00BB141F"/>
    <w:rsid w:val="00BB3FD9"/>
    <w:rsid w:val="00BB4EA2"/>
    <w:rsid w:val="00BC08AB"/>
    <w:rsid w:val="00BC19FB"/>
    <w:rsid w:val="00BC2351"/>
    <w:rsid w:val="00BC51B1"/>
    <w:rsid w:val="00BC7DA2"/>
    <w:rsid w:val="00BD3EF3"/>
    <w:rsid w:val="00BD5F58"/>
    <w:rsid w:val="00BE0B67"/>
    <w:rsid w:val="00BE1CDE"/>
    <w:rsid w:val="00BE4A62"/>
    <w:rsid w:val="00BE62EB"/>
    <w:rsid w:val="00BE63FA"/>
    <w:rsid w:val="00BF0CF8"/>
    <w:rsid w:val="00BF0F72"/>
    <w:rsid w:val="00BF1D8C"/>
    <w:rsid w:val="00BF783A"/>
    <w:rsid w:val="00BF7965"/>
    <w:rsid w:val="00C05A4B"/>
    <w:rsid w:val="00C05EAC"/>
    <w:rsid w:val="00C07801"/>
    <w:rsid w:val="00C11D83"/>
    <w:rsid w:val="00C12FC7"/>
    <w:rsid w:val="00C14FDF"/>
    <w:rsid w:val="00C16186"/>
    <w:rsid w:val="00C17203"/>
    <w:rsid w:val="00C177F0"/>
    <w:rsid w:val="00C21111"/>
    <w:rsid w:val="00C2458D"/>
    <w:rsid w:val="00C2708A"/>
    <w:rsid w:val="00C30093"/>
    <w:rsid w:val="00C30242"/>
    <w:rsid w:val="00C33D79"/>
    <w:rsid w:val="00C34B2E"/>
    <w:rsid w:val="00C35F56"/>
    <w:rsid w:val="00C365AE"/>
    <w:rsid w:val="00C45246"/>
    <w:rsid w:val="00C50565"/>
    <w:rsid w:val="00C51808"/>
    <w:rsid w:val="00C52097"/>
    <w:rsid w:val="00C57E98"/>
    <w:rsid w:val="00C709E7"/>
    <w:rsid w:val="00C725F8"/>
    <w:rsid w:val="00C75739"/>
    <w:rsid w:val="00C7655A"/>
    <w:rsid w:val="00C76F63"/>
    <w:rsid w:val="00C77099"/>
    <w:rsid w:val="00C77A64"/>
    <w:rsid w:val="00C810D9"/>
    <w:rsid w:val="00C834E6"/>
    <w:rsid w:val="00C8418D"/>
    <w:rsid w:val="00C93AA5"/>
    <w:rsid w:val="00C97247"/>
    <w:rsid w:val="00CA5203"/>
    <w:rsid w:val="00CA6351"/>
    <w:rsid w:val="00CB1E07"/>
    <w:rsid w:val="00CB2A6F"/>
    <w:rsid w:val="00CB2A8C"/>
    <w:rsid w:val="00CB7AFE"/>
    <w:rsid w:val="00CB7FF9"/>
    <w:rsid w:val="00CC19C6"/>
    <w:rsid w:val="00CC6344"/>
    <w:rsid w:val="00CC6A25"/>
    <w:rsid w:val="00CD24DC"/>
    <w:rsid w:val="00CD44EB"/>
    <w:rsid w:val="00CD5D0B"/>
    <w:rsid w:val="00CE0ECF"/>
    <w:rsid w:val="00CE0F5F"/>
    <w:rsid w:val="00CE255B"/>
    <w:rsid w:val="00CE2790"/>
    <w:rsid w:val="00CF0C99"/>
    <w:rsid w:val="00CF0E59"/>
    <w:rsid w:val="00CF6A76"/>
    <w:rsid w:val="00D019CB"/>
    <w:rsid w:val="00D029FD"/>
    <w:rsid w:val="00D03F0E"/>
    <w:rsid w:val="00D236C4"/>
    <w:rsid w:val="00D240DE"/>
    <w:rsid w:val="00D24298"/>
    <w:rsid w:val="00D26A33"/>
    <w:rsid w:val="00D32994"/>
    <w:rsid w:val="00D32DBB"/>
    <w:rsid w:val="00D363C8"/>
    <w:rsid w:val="00D365F6"/>
    <w:rsid w:val="00D404D3"/>
    <w:rsid w:val="00D45133"/>
    <w:rsid w:val="00D4750F"/>
    <w:rsid w:val="00D47B06"/>
    <w:rsid w:val="00D5164E"/>
    <w:rsid w:val="00D52650"/>
    <w:rsid w:val="00D5449C"/>
    <w:rsid w:val="00D602EF"/>
    <w:rsid w:val="00D6049B"/>
    <w:rsid w:val="00D6115F"/>
    <w:rsid w:val="00D61EFC"/>
    <w:rsid w:val="00D62C57"/>
    <w:rsid w:val="00D63765"/>
    <w:rsid w:val="00D641EB"/>
    <w:rsid w:val="00D7122E"/>
    <w:rsid w:val="00D7274A"/>
    <w:rsid w:val="00D72E60"/>
    <w:rsid w:val="00D7424B"/>
    <w:rsid w:val="00D777AB"/>
    <w:rsid w:val="00D84994"/>
    <w:rsid w:val="00D84DEB"/>
    <w:rsid w:val="00D851EB"/>
    <w:rsid w:val="00D8694D"/>
    <w:rsid w:val="00D86B1C"/>
    <w:rsid w:val="00D90032"/>
    <w:rsid w:val="00D937A1"/>
    <w:rsid w:val="00D93F50"/>
    <w:rsid w:val="00D966F1"/>
    <w:rsid w:val="00D9793F"/>
    <w:rsid w:val="00DA06D7"/>
    <w:rsid w:val="00DA2941"/>
    <w:rsid w:val="00DA39FD"/>
    <w:rsid w:val="00DB0908"/>
    <w:rsid w:val="00DB3044"/>
    <w:rsid w:val="00DB3F3A"/>
    <w:rsid w:val="00DB6953"/>
    <w:rsid w:val="00DB6CBC"/>
    <w:rsid w:val="00DC06E7"/>
    <w:rsid w:val="00DC0C5D"/>
    <w:rsid w:val="00DC4FCB"/>
    <w:rsid w:val="00DD28F3"/>
    <w:rsid w:val="00DD3E57"/>
    <w:rsid w:val="00DD4459"/>
    <w:rsid w:val="00DD70F7"/>
    <w:rsid w:val="00DD7C7E"/>
    <w:rsid w:val="00DE0C51"/>
    <w:rsid w:val="00DE0F84"/>
    <w:rsid w:val="00DE26C2"/>
    <w:rsid w:val="00DE2A4F"/>
    <w:rsid w:val="00DF1CF4"/>
    <w:rsid w:val="00DF3053"/>
    <w:rsid w:val="00DF7985"/>
    <w:rsid w:val="00E01A35"/>
    <w:rsid w:val="00E01FCE"/>
    <w:rsid w:val="00E02CE8"/>
    <w:rsid w:val="00E04C11"/>
    <w:rsid w:val="00E04EEC"/>
    <w:rsid w:val="00E0509F"/>
    <w:rsid w:val="00E10D6B"/>
    <w:rsid w:val="00E14326"/>
    <w:rsid w:val="00E147F6"/>
    <w:rsid w:val="00E2030A"/>
    <w:rsid w:val="00E2125E"/>
    <w:rsid w:val="00E237B6"/>
    <w:rsid w:val="00E255C2"/>
    <w:rsid w:val="00E272B6"/>
    <w:rsid w:val="00E34431"/>
    <w:rsid w:val="00E42E9F"/>
    <w:rsid w:val="00E44AC7"/>
    <w:rsid w:val="00E464B9"/>
    <w:rsid w:val="00E52BBD"/>
    <w:rsid w:val="00E556AB"/>
    <w:rsid w:val="00E57521"/>
    <w:rsid w:val="00E6054D"/>
    <w:rsid w:val="00E62373"/>
    <w:rsid w:val="00E62D94"/>
    <w:rsid w:val="00E666F3"/>
    <w:rsid w:val="00E66CC0"/>
    <w:rsid w:val="00E72454"/>
    <w:rsid w:val="00E8034E"/>
    <w:rsid w:val="00E82E4D"/>
    <w:rsid w:val="00E83164"/>
    <w:rsid w:val="00E850E5"/>
    <w:rsid w:val="00E866E1"/>
    <w:rsid w:val="00E92509"/>
    <w:rsid w:val="00E92891"/>
    <w:rsid w:val="00E92D64"/>
    <w:rsid w:val="00E95647"/>
    <w:rsid w:val="00E96043"/>
    <w:rsid w:val="00E971D6"/>
    <w:rsid w:val="00E9759E"/>
    <w:rsid w:val="00EA075B"/>
    <w:rsid w:val="00EA2449"/>
    <w:rsid w:val="00EA5A73"/>
    <w:rsid w:val="00EA5F5A"/>
    <w:rsid w:val="00EB0E8C"/>
    <w:rsid w:val="00EB4507"/>
    <w:rsid w:val="00EB7B64"/>
    <w:rsid w:val="00EB7E79"/>
    <w:rsid w:val="00EC3D8D"/>
    <w:rsid w:val="00EC5396"/>
    <w:rsid w:val="00EC6FAD"/>
    <w:rsid w:val="00ED1AB6"/>
    <w:rsid w:val="00ED1D6B"/>
    <w:rsid w:val="00ED6328"/>
    <w:rsid w:val="00ED6C08"/>
    <w:rsid w:val="00ED7749"/>
    <w:rsid w:val="00EE09B9"/>
    <w:rsid w:val="00EE388F"/>
    <w:rsid w:val="00EE3D0B"/>
    <w:rsid w:val="00EE447B"/>
    <w:rsid w:val="00EE4E3B"/>
    <w:rsid w:val="00EF3E30"/>
    <w:rsid w:val="00EF3F1A"/>
    <w:rsid w:val="00EF7121"/>
    <w:rsid w:val="00F12503"/>
    <w:rsid w:val="00F132B2"/>
    <w:rsid w:val="00F14105"/>
    <w:rsid w:val="00F14C9C"/>
    <w:rsid w:val="00F20EFB"/>
    <w:rsid w:val="00F22351"/>
    <w:rsid w:val="00F22605"/>
    <w:rsid w:val="00F23DD8"/>
    <w:rsid w:val="00F31789"/>
    <w:rsid w:val="00F31F82"/>
    <w:rsid w:val="00F32294"/>
    <w:rsid w:val="00F34D51"/>
    <w:rsid w:val="00F36312"/>
    <w:rsid w:val="00F403DE"/>
    <w:rsid w:val="00F422FC"/>
    <w:rsid w:val="00F44166"/>
    <w:rsid w:val="00F4571B"/>
    <w:rsid w:val="00F57E8F"/>
    <w:rsid w:val="00F60346"/>
    <w:rsid w:val="00F63B99"/>
    <w:rsid w:val="00F6427C"/>
    <w:rsid w:val="00F67E28"/>
    <w:rsid w:val="00F72C9B"/>
    <w:rsid w:val="00F7345E"/>
    <w:rsid w:val="00F77580"/>
    <w:rsid w:val="00F81C1E"/>
    <w:rsid w:val="00F83EA4"/>
    <w:rsid w:val="00F86C5A"/>
    <w:rsid w:val="00F93065"/>
    <w:rsid w:val="00F943CA"/>
    <w:rsid w:val="00F94BB1"/>
    <w:rsid w:val="00F963B0"/>
    <w:rsid w:val="00FA45EB"/>
    <w:rsid w:val="00FA6051"/>
    <w:rsid w:val="00FA6C21"/>
    <w:rsid w:val="00FA75E0"/>
    <w:rsid w:val="00FA7A97"/>
    <w:rsid w:val="00FB0B95"/>
    <w:rsid w:val="00FB0ED6"/>
    <w:rsid w:val="00FB111B"/>
    <w:rsid w:val="00FB3273"/>
    <w:rsid w:val="00FB34A8"/>
    <w:rsid w:val="00FC1D2A"/>
    <w:rsid w:val="00FC7474"/>
    <w:rsid w:val="00FD01DF"/>
    <w:rsid w:val="00FD067C"/>
    <w:rsid w:val="00FD0D35"/>
    <w:rsid w:val="00FD4381"/>
    <w:rsid w:val="00FD4A11"/>
    <w:rsid w:val="00FD50D7"/>
    <w:rsid w:val="00FD5F1F"/>
    <w:rsid w:val="00FD6E4E"/>
    <w:rsid w:val="00FD79CD"/>
    <w:rsid w:val="00FE263B"/>
    <w:rsid w:val="00FE691D"/>
    <w:rsid w:val="00FF27C6"/>
    <w:rsid w:val="00FF3110"/>
    <w:rsid w:val="00FF5D8C"/>
    <w:rsid w:val="00FF6121"/>
    <w:rsid w:val="00FF74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2720"/>
  <w15:chartTrackingRefBased/>
  <w15:docId w15:val="{CEC85C7D-CFA4-4774-964F-93B4919A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A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414D0D"/>
    <w:pPr>
      <w:keepNext/>
      <w:spacing w:after="120" w:line="240" w:lineRule="auto"/>
      <w:outlineLvl w:val="1"/>
    </w:pPr>
    <w:rPr>
      <w:b/>
      <w:color w:val="0082AB"/>
      <w:spacing w:val="20"/>
      <w:w w:val="90"/>
      <w:sz w:val="32"/>
      <w:szCs w:val="24"/>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EC6FAD"/>
    <w:pPr>
      <w:spacing w:before="120" w:after="200" w:line="240" w:lineRule="auto"/>
      <w:outlineLvl w:val="3"/>
    </w:pPr>
    <w:rPr>
      <w:b/>
      <w:bCs/>
      <w:color w:val="335087"/>
      <w:sz w:val="20"/>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link w:val="ListParagraph"/>
    <w:uiPriority w:val="34"/>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rsid w:val="002127DC"/>
    <w:pPr>
      <w:tabs>
        <w:tab w:val="right" w:pos="9070"/>
      </w:tabs>
      <w:spacing w:after="0" w:line="240" w:lineRule="auto"/>
      <w:jc w:val="right"/>
    </w:pPr>
    <w:rPr>
      <w:noProof/>
      <w:color w:val="0082AB"/>
      <w:spacing w:val="6"/>
      <w:sz w:val="16"/>
      <w:szCs w:val="16"/>
    </w:rPr>
  </w:style>
  <w:style w:type="character" w:customStyle="1" w:styleId="FooterChar">
    <w:name w:val="Footer Char"/>
    <w:link w:val="Footer"/>
    <w:rsid w:val="002127DC"/>
    <w:rPr>
      <w:rFonts w:ascii="Arial" w:eastAsia="Times New Roman" w:hAnsi="Arial"/>
      <w:noProof/>
      <w:color w:val="0082AB"/>
      <w:spacing w:val="6"/>
      <w:sz w:val="16"/>
      <w:szCs w:val="16"/>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7A484F"/>
    <w:pPr>
      <w:numPr>
        <w:numId w:val="29"/>
      </w:numPr>
      <w:spacing w:after="120" w:line="280" w:lineRule="exact"/>
      <w:ind w:left="284" w:hanging="284"/>
    </w:pPr>
    <w:rPr>
      <w:rFonts w:ascii="Arial" w:eastAsia="Times New Roman" w:hAnsi="Arial"/>
      <w:i/>
      <w:sz w:val="22"/>
      <w:szCs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semiHidden/>
    <w:rsid w:val="00EC6FAD"/>
    <w:rPr>
      <w:sz w:val="16"/>
      <w:szCs w:val="16"/>
    </w:rPr>
  </w:style>
  <w:style w:type="paragraph" w:styleId="CommentText">
    <w:name w:val="annotation text"/>
    <w:basedOn w:val="Normal"/>
    <w:link w:val="CommentTextChar"/>
    <w:semiHidden/>
    <w:rsid w:val="00EC6FAD"/>
    <w:rPr>
      <w:sz w:val="20"/>
    </w:rPr>
  </w:style>
  <w:style w:type="character" w:customStyle="1" w:styleId="CommentTextChar">
    <w:name w:val="Comment Text Char"/>
    <w:link w:val="CommentText"/>
    <w:semiHidden/>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
    <w:name w:val="Box bullet"/>
    <w:basedOn w:val="Boxtext"/>
    <w:rsid w:val="00EC6FAD"/>
    <w:pPr>
      <w:numPr>
        <w:numId w:val="28"/>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pPr>
      <w:jc w:val="left"/>
    </w:pPr>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semiHidden/>
    <w:rsid w:val="00EC6FAD"/>
    <w:rPr>
      <w:rFonts w:ascii="Arial" w:hAnsi="Arial"/>
      <w:color w:val="auto"/>
      <w:position w:val="8"/>
      <w:sz w:val="16"/>
    </w:rPr>
  </w:style>
  <w:style w:type="paragraph" w:styleId="FootnoteText">
    <w:name w:val="footnote text"/>
    <w:basedOn w:val="Normal"/>
    <w:link w:val="FootnoteTextChar"/>
    <w:semiHidden/>
    <w:rsid w:val="00EC6FAD"/>
    <w:pPr>
      <w:tabs>
        <w:tab w:val="left" w:pos="425"/>
      </w:tabs>
      <w:spacing w:after="60" w:line="240" w:lineRule="auto"/>
      <w:ind w:left="425" w:hanging="425"/>
    </w:pPr>
    <w:rPr>
      <w:sz w:val="18"/>
    </w:rPr>
  </w:style>
  <w:style w:type="character" w:customStyle="1" w:styleId="FootnoteTextChar">
    <w:name w:val="Footnote Text Char"/>
    <w:link w:val="FootnoteText"/>
    <w:semiHidden/>
    <w:rsid w:val="00EC6FAD"/>
    <w:rPr>
      <w:rFonts w:ascii="Arial" w:eastAsia="Times New Roman" w:hAnsi="Arial" w:cs="Times New Roman"/>
      <w:sz w:val="18"/>
      <w:szCs w:val="20"/>
      <w:lang w:val="en-GB" w:eastAsia="en-GB"/>
    </w:rPr>
  </w:style>
  <w:style w:type="character" w:customStyle="1" w:styleId="Heading2Char">
    <w:name w:val="Heading 2 Char"/>
    <w:link w:val="Heading2"/>
    <w:rsid w:val="00414D0D"/>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EC6FAD"/>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26"/>
      </w:numPr>
      <w:spacing w:after="180" w:line="280" w:lineRule="exact"/>
      <w:ind w:left="568" w:hanging="284"/>
    </w:pPr>
    <w:rPr>
      <w:rFonts w:cs="Arial"/>
      <w:lang w:eastAsia="en-AU"/>
    </w:rPr>
  </w:style>
  <w:style w:type="paragraph" w:customStyle="1" w:styleId="BodyText-Numbered">
    <w:name w:val="Body Text - Numbered"/>
    <w:basedOn w:val="BodyText"/>
    <w:link w:val="BodyText-NumberedChar"/>
    <w:qFormat/>
    <w:rsid w:val="008A56EB"/>
    <w:pPr>
      <w:keepNext/>
      <w:numPr>
        <w:numId w:val="35"/>
      </w:numPr>
      <w:spacing w:before="60" w:line="240" w:lineRule="auto"/>
    </w:pPr>
    <w:rPr>
      <w:rFonts w:cs="Arial"/>
    </w:rPr>
  </w:style>
  <w:style w:type="character" w:customStyle="1" w:styleId="BodyText-NumberedChar">
    <w:name w:val="Body Text - Numbered Char"/>
    <w:link w:val="BodyText-Numbered"/>
    <w:rsid w:val="008A56EB"/>
    <w:rPr>
      <w:rFonts w:ascii="Arial" w:eastAsia="Times New Roman" w:hAnsi="Arial" w:cs="Arial"/>
      <w:sz w:val="22"/>
      <w:lang w:val="en-GB" w:eastAsia="en-GB"/>
    </w:rPr>
  </w:style>
  <w:style w:type="paragraph" w:customStyle="1" w:styleId="Tablebullet">
    <w:name w:val="Table bullet"/>
    <w:basedOn w:val="Normal"/>
    <w:qFormat/>
    <w:rsid w:val="008A56EB"/>
    <w:pPr>
      <w:numPr>
        <w:numId w:val="36"/>
      </w:numPr>
      <w:autoSpaceDE w:val="0"/>
      <w:autoSpaceDN w:val="0"/>
      <w:adjustRightInd w:val="0"/>
      <w:spacing w:before="60" w:after="60"/>
    </w:pPr>
    <w:rPr>
      <w:rFonts w:cs="GillSans"/>
      <w:szCs w:val="22"/>
      <w:lang w:eastAsia="en-AU"/>
    </w:rPr>
  </w:style>
  <w:style w:type="paragraph" w:styleId="BodyText">
    <w:name w:val="Body Text"/>
    <w:basedOn w:val="Normal"/>
    <w:link w:val="BodyTextChar"/>
    <w:uiPriority w:val="99"/>
    <w:semiHidden/>
    <w:unhideWhenUsed/>
    <w:rsid w:val="008A56EB"/>
    <w:pPr>
      <w:spacing w:after="120"/>
    </w:pPr>
  </w:style>
  <w:style w:type="character" w:customStyle="1" w:styleId="BodyTextChar">
    <w:name w:val="Body Text Char"/>
    <w:link w:val="BodyText"/>
    <w:uiPriority w:val="99"/>
    <w:semiHidden/>
    <w:rsid w:val="008A56EB"/>
    <w:rPr>
      <w:rFonts w:ascii="Arial" w:eastAsia="Times New Roman" w:hAnsi="Arial"/>
      <w:sz w:val="22"/>
      <w:lang w:val="en-GB" w:eastAsia="en-GB"/>
    </w:rPr>
  </w:style>
  <w:style w:type="paragraph" w:customStyle="1" w:styleId="NumberedParagraph">
    <w:name w:val="Numbered Paragraph"/>
    <w:basedOn w:val="Normal"/>
    <w:qFormat/>
    <w:rsid w:val="00F93065"/>
    <w:pPr>
      <w:tabs>
        <w:tab w:val="num" w:pos="851"/>
      </w:tabs>
      <w:spacing w:before="240" w:after="0" w:line="240" w:lineRule="auto"/>
      <w:ind w:left="851" w:hanging="851"/>
      <w:jc w:val="both"/>
    </w:pPr>
    <w:rPr>
      <w:rFonts w:ascii="Times New Roman" w:hAnsi="Times New Roman"/>
      <w:sz w:val="24"/>
      <w:szCs w:val="24"/>
      <w:lang w:val="en-NZ" w:eastAsia="en-NZ"/>
    </w:rPr>
  </w:style>
  <w:style w:type="paragraph" w:customStyle="1" w:styleId="NumberedParagraph-BulletL1">
    <w:name w:val="Numbered Paragraph - Bullet L1"/>
    <w:basedOn w:val="NumberedParagraph"/>
    <w:qFormat/>
    <w:rsid w:val="00F93065"/>
    <w:pPr>
      <w:tabs>
        <w:tab w:val="clear" w:pos="851"/>
        <w:tab w:val="num" w:pos="1418"/>
      </w:tabs>
      <w:spacing w:before="120"/>
      <w:ind w:left="1418" w:hanging="567"/>
    </w:pPr>
  </w:style>
  <w:style w:type="paragraph" w:customStyle="1" w:styleId="NumberedParagraph-BulletL2">
    <w:name w:val="Numbered Paragraph - Bullet L2"/>
    <w:basedOn w:val="NumberedParagraph"/>
    <w:qFormat/>
    <w:rsid w:val="00F93065"/>
    <w:pPr>
      <w:tabs>
        <w:tab w:val="clear" w:pos="851"/>
        <w:tab w:val="num" w:pos="1985"/>
      </w:tabs>
      <w:spacing w:before="120"/>
      <w:ind w:left="198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41077">
      <w:bodyDiv w:val="1"/>
      <w:marLeft w:val="0"/>
      <w:marRight w:val="0"/>
      <w:marTop w:val="0"/>
      <w:marBottom w:val="0"/>
      <w:divBdr>
        <w:top w:val="none" w:sz="0" w:space="0" w:color="auto"/>
        <w:left w:val="none" w:sz="0" w:space="0" w:color="auto"/>
        <w:bottom w:val="none" w:sz="0" w:space="0" w:color="auto"/>
        <w:right w:val="none" w:sz="0" w:space="0" w:color="auto"/>
      </w:divBdr>
    </w:div>
    <w:div w:id="1413430114">
      <w:bodyDiv w:val="1"/>
      <w:marLeft w:val="0"/>
      <w:marRight w:val="0"/>
      <w:marTop w:val="0"/>
      <w:marBottom w:val="0"/>
      <w:divBdr>
        <w:top w:val="none" w:sz="0" w:space="0" w:color="auto"/>
        <w:left w:val="none" w:sz="0" w:space="0" w:color="auto"/>
        <w:bottom w:val="none" w:sz="0" w:space="0" w:color="auto"/>
        <w:right w:val="none" w:sz="0" w:space="0" w:color="auto"/>
      </w:divBdr>
    </w:div>
    <w:div w:id="1632512307">
      <w:bodyDiv w:val="1"/>
      <w:marLeft w:val="0"/>
      <w:marRight w:val="0"/>
      <w:marTop w:val="0"/>
      <w:marBottom w:val="0"/>
      <w:divBdr>
        <w:top w:val="none" w:sz="0" w:space="0" w:color="auto"/>
        <w:left w:val="none" w:sz="0" w:space="0" w:color="auto"/>
        <w:bottom w:val="none" w:sz="0" w:space="0" w:color="auto"/>
        <w:right w:val="none" w:sz="0" w:space="0" w:color="auto"/>
      </w:divBdr>
    </w:div>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A62EEC48-7BF0-4232-9FB4-B7610F72F1CB}"/>
</file>

<file path=customXml/itemProps2.xml><?xml version="1.0" encoding="utf-8"?>
<ds:datastoreItem xmlns:ds="http://schemas.openxmlformats.org/officeDocument/2006/customXml" ds:itemID="{B6BD6F45-1BF2-45A1-8135-0B16210C8C7D}"/>
</file>

<file path=customXml/itemProps3.xml><?xml version="1.0" encoding="utf-8"?>
<ds:datastoreItem xmlns:ds="http://schemas.openxmlformats.org/officeDocument/2006/customXml" ds:itemID="{DBAF54E3-CF94-4849-BBD3-BC04167DA58C}"/>
</file>

<file path=docProps/app.xml><?xml version="1.0" encoding="utf-8"?>
<Properties xmlns="http://schemas.openxmlformats.org/officeDocument/2006/extended-properties" xmlns:vt="http://schemas.openxmlformats.org/officeDocument/2006/docPropsVTypes">
  <Template>Normal.dotm</Template>
  <TotalTime>1</TotalTime>
  <Pages>12</Pages>
  <Words>3544</Words>
  <Characters>19213</Characters>
  <Application>Microsoft Office Word</Application>
  <DocSecurity>0</DocSecurity>
  <Lines>492</Lines>
  <Paragraphs>196</Paragraphs>
  <ScaleCrop>false</ScaleCrop>
  <HeadingPairs>
    <vt:vector size="2" baseType="variant">
      <vt:variant>
        <vt:lpstr>Title</vt:lpstr>
      </vt:variant>
      <vt:variant>
        <vt:i4>1</vt:i4>
      </vt:variant>
    </vt:vector>
  </HeadingPairs>
  <TitlesOfParts>
    <vt:vector size="1" baseType="lpstr">
      <vt:lpstr>Regulatory impact assessment/statement: GST apportionment (31 May 2021)</vt:lpstr>
    </vt:vector>
  </TitlesOfParts>
  <Company>Inland Revenue</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assessment/statement: GST apportionment (31 May 2021)</dc:title>
  <dc:subject/>
  <dc:creator>Policy and Regulatory Stewardship</dc:creator>
  <cp:keywords/>
  <dc:description/>
  <dcterms:created xsi:type="dcterms:W3CDTF">2021-08-09T05:29:00Z</dcterms:created>
  <dcterms:modified xsi:type="dcterms:W3CDTF">2021-08-09T05:30:00Z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2;#Policy ＆ Regulatory Stewardship|5c6da56c-2219-46c1-9c7b-c15fc3fd45a5</vt:lpwstr>
  </property>
  <property fmtid="{D5CDD505-2E9C-101B-9397-08002B2CF9AE}" pid="3" name="ContentTypeId">
    <vt:lpwstr>0x0101000B461733DE48CC4985E239AAFC9C41590100670D0BD9AB7101418FC69E4F42B3A5BC</vt:lpwstr>
  </property>
  <property fmtid="{D5CDD505-2E9C-101B-9397-08002B2CF9AE}" pid="4" name="SecurityClassification">
    <vt:lpwstr>3;#In Confidence|5fccf67f-7cb1-4561-8450-fe0d2ea19178</vt:lpwstr>
  </property>
  <property fmtid="{D5CDD505-2E9C-101B-9397-08002B2CF9AE}" pid="5" name="BusinessActivity">
    <vt:lpwstr>1;#Tax policy work|c05dfd7c-a5ba-47bf-969f-3422104229d3</vt:lpwstr>
  </property>
  <property fmtid="{D5CDD505-2E9C-101B-9397-08002B2CF9AE}" pid="6" name="InformationType">
    <vt:lpwstr/>
  </property>
  <property fmtid="{D5CDD505-2E9C-101B-9397-08002B2CF9AE}" pid="7" name="DocumentStatus">
    <vt:lpwstr/>
  </property>
  <property fmtid="{D5CDD505-2E9C-101B-9397-08002B2CF9AE}" pid="8" name="MediaServiceImageTags">
    <vt:lpwstr/>
  </property>
</Properties>
</file>