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E4C96" w14:textId="2DB3CB0A" w:rsidR="00255281" w:rsidRPr="002A56F1" w:rsidRDefault="001A5DD1" w:rsidP="002A56F1">
      <w:pPr>
        <w:jc w:val="right"/>
        <w:rPr>
          <w:b/>
          <w:bCs/>
          <w:sz w:val="24"/>
          <w:szCs w:val="24"/>
        </w:rPr>
      </w:pPr>
      <w:r w:rsidRPr="0003648F">
        <w:rPr>
          <w:noProof/>
        </w:rPr>
        <mc:AlternateContent>
          <mc:Choice Requires="wps">
            <w:drawing>
              <wp:anchor distT="0" distB="0" distL="114300" distR="114300" simplePos="0" relativeHeight="251658240" behindDoc="0" locked="0" layoutInCell="1" allowOverlap="1" wp14:anchorId="27051BCB" wp14:editId="1E6DA4EF">
                <wp:simplePos x="0" y="0"/>
                <wp:positionH relativeFrom="page">
                  <wp:posOffset>421640</wp:posOffset>
                </wp:positionH>
                <wp:positionV relativeFrom="paragraph">
                  <wp:posOffset>-2540</wp:posOffset>
                </wp:positionV>
                <wp:extent cx="6780530" cy="692785"/>
                <wp:effectExtent l="0" t="0" r="0" b="0"/>
                <wp:wrapNone/>
                <wp:docPr id="7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0530" cy="692785"/>
                        </a:xfrm>
                        <a:custGeom>
                          <a:avLst/>
                          <a:gdLst>
                            <a:gd name="T0" fmla="+- 0 673 664"/>
                            <a:gd name="T1" fmla="*/ T0 w 10561"/>
                            <a:gd name="T2" fmla="+- 0 -205 -1245"/>
                            <a:gd name="T3" fmla="*/ -205 h 1091"/>
                            <a:gd name="T4" fmla="+- 0 673 664"/>
                            <a:gd name="T5" fmla="*/ T4 w 10561"/>
                            <a:gd name="T6" fmla="+- 0 -163 -1245"/>
                            <a:gd name="T7" fmla="*/ -163 h 1091"/>
                            <a:gd name="T8" fmla="+- 0 11207 664"/>
                            <a:gd name="T9" fmla="*/ T8 w 10561"/>
                            <a:gd name="T10" fmla="+- 0 -157 -1245"/>
                            <a:gd name="T11" fmla="*/ -157 h 1091"/>
                            <a:gd name="T12" fmla="+- 0 11223 664"/>
                            <a:gd name="T13" fmla="*/ T12 w 10561"/>
                            <a:gd name="T14" fmla="+- 0 -196 -1245"/>
                            <a:gd name="T15" fmla="*/ -196 h 1091"/>
                            <a:gd name="T16" fmla="+- 0 1083 664"/>
                            <a:gd name="T17" fmla="*/ T16 w 10561"/>
                            <a:gd name="T18" fmla="+- 0 -922 -1245"/>
                            <a:gd name="T19" fmla="*/ -922 h 1091"/>
                            <a:gd name="T20" fmla="+- 0 782 664"/>
                            <a:gd name="T21" fmla="*/ T20 w 10561"/>
                            <a:gd name="T22" fmla="+- 0 -214 -1245"/>
                            <a:gd name="T23" fmla="*/ -214 h 1091"/>
                            <a:gd name="T24" fmla="+- 0 1183 664"/>
                            <a:gd name="T25" fmla="*/ T24 w 10561"/>
                            <a:gd name="T26" fmla="+- 0 -856 -1245"/>
                            <a:gd name="T27" fmla="*/ -856 h 1091"/>
                            <a:gd name="T28" fmla="+- 0 1312 664"/>
                            <a:gd name="T29" fmla="*/ T28 w 10561"/>
                            <a:gd name="T30" fmla="+- 0 -699 -1245"/>
                            <a:gd name="T31" fmla="*/ -699 h 1091"/>
                            <a:gd name="T32" fmla="+- 0 1312 664"/>
                            <a:gd name="T33" fmla="*/ T32 w 10561"/>
                            <a:gd name="T34" fmla="+- 0 -770 -1245"/>
                            <a:gd name="T35" fmla="*/ -770 h 1091"/>
                            <a:gd name="T36" fmla="+- 0 1843 664"/>
                            <a:gd name="T37" fmla="*/ T36 w 10561"/>
                            <a:gd name="T38" fmla="+- 0 -214 -1245"/>
                            <a:gd name="T39" fmla="*/ -214 h 1091"/>
                            <a:gd name="T40" fmla="+- 0 2502 664"/>
                            <a:gd name="T41" fmla="*/ T40 w 10561"/>
                            <a:gd name="T42" fmla="+- 0 -599 -1245"/>
                            <a:gd name="T43" fmla="*/ -599 h 1091"/>
                            <a:gd name="T44" fmla="+- 0 2518 664"/>
                            <a:gd name="T45" fmla="*/ T44 w 10561"/>
                            <a:gd name="T46" fmla="+- 0 -638 -1245"/>
                            <a:gd name="T47" fmla="*/ -638 h 1091"/>
                            <a:gd name="T48" fmla="+- 0 1902 664"/>
                            <a:gd name="T49" fmla="*/ T48 w 10561"/>
                            <a:gd name="T50" fmla="+- 0 -656 -1245"/>
                            <a:gd name="T51" fmla="*/ -656 h 1091"/>
                            <a:gd name="T52" fmla="+- 0 2432 664"/>
                            <a:gd name="T53" fmla="*/ T52 w 10561"/>
                            <a:gd name="T54" fmla="+- 0 -214 -1245"/>
                            <a:gd name="T55" fmla="*/ -214 h 1091"/>
                            <a:gd name="T56" fmla="+- 0 2067 664"/>
                            <a:gd name="T57" fmla="*/ T56 w 10561"/>
                            <a:gd name="T58" fmla="+- 0 -476 -1245"/>
                            <a:gd name="T59" fmla="*/ -476 h 1091"/>
                            <a:gd name="T60" fmla="+- 0 2049 664"/>
                            <a:gd name="T61" fmla="*/ T60 w 10561"/>
                            <a:gd name="T62" fmla="+- 0 -361 -1245"/>
                            <a:gd name="T63" fmla="*/ -361 h 1091"/>
                            <a:gd name="T64" fmla="+- 0 2079 664"/>
                            <a:gd name="T65" fmla="*/ T64 w 10561"/>
                            <a:gd name="T66" fmla="+- 0 -331 -1245"/>
                            <a:gd name="T67" fmla="*/ -331 h 1091"/>
                            <a:gd name="T68" fmla="+- 0 2108 664"/>
                            <a:gd name="T69" fmla="*/ T68 w 10561"/>
                            <a:gd name="T70" fmla="+- 0 -361 -1245"/>
                            <a:gd name="T71" fmla="*/ -361 h 1091"/>
                            <a:gd name="T72" fmla="+- 0 2090 664"/>
                            <a:gd name="T73" fmla="*/ T72 w 10561"/>
                            <a:gd name="T74" fmla="+- 0 -476 -1245"/>
                            <a:gd name="T75" fmla="*/ -476 h 1091"/>
                            <a:gd name="T76" fmla="+- 0 2234 664"/>
                            <a:gd name="T77" fmla="*/ T76 w 10561"/>
                            <a:gd name="T78" fmla="+- 0 -470 -1245"/>
                            <a:gd name="T79" fmla="*/ -470 h 1091"/>
                            <a:gd name="T80" fmla="+- 0 2228 664"/>
                            <a:gd name="T81" fmla="*/ T80 w 10561"/>
                            <a:gd name="T82" fmla="+- 0 -349 -1245"/>
                            <a:gd name="T83" fmla="*/ -349 h 1091"/>
                            <a:gd name="T84" fmla="+- 0 2267 664"/>
                            <a:gd name="T85" fmla="*/ T84 w 10561"/>
                            <a:gd name="T86" fmla="+- 0 -334 -1245"/>
                            <a:gd name="T87" fmla="*/ -334 h 1091"/>
                            <a:gd name="T88" fmla="+- 0 2285 664"/>
                            <a:gd name="T89" fmla="*/ T88 w 10561"/>
                            <a:gd name="T90" fmla="+- 0 -449 -1245"/>
                            <a:gd name="T91" fmla="*/ -449 h 1091"/>
                            <a:gd name="T92" fmla="+- 0 2255 664"/>
                            <a:gd name="T93" fmla="*/ T92 w 10561"/>
                            <a:gd name="T94" fmla="+- 0 -479 -1245"/>
                            <a:gd name="T95" fmla="*/ -479 h 1091"/>
                            <a:gd name="T96" fmla="+- 0 997 664"/>
                            <a:gd name="T97" fmla="*/ T96 w 10561"/>
                            <a:gd name="T98" fmla="+- 0 -411 -1245"/>
                            <a:gd name="T99" fmla="*/ -411 h 1091"/>
                            <a:gd name="T100" fmla="+- 0 997 664"/>
                            <a:gd name="T101" fmla="*/ T100 w 10561"/>
                            <a:gd name="T102" fmla="+- 0 -370 -1245"/>
                            <a:gd name="T103" fmla="*/ -370 h 1091"/>
                            <a:gd name="T104" fmla="+- 0 1147 664"/>
                            <a:gd name="T105" fmla="*/ T104 w 10561"/>
                            <a:gd name="T106" fmla="+- 0 -363 -1245"/>
                            <a:gd name="T107" fmla="*/ -363 h 1091"/>
                            <a:gd name="T108" fmla="+- 0 1163 664"/>
                            <a:gd name="T109" fmla="*/ T108 w 10561"/>
                            <a:gd name="T110" fmla="+- 0 -402 -1245"/>
                            <a:gd name="T111" fmla="*/ -402 h 1091"/>
                            <a:gd name="T112" fmla="+- 0 1666 664"/>
                            <a:gd name="T113" fmla="*/ T112 w 10561"/>
                            <a:gd name="T114" fmla="+- 0 -420 -1245"/>
                            <a:gd name="T115" fmla="*/ -420 h 1091"/>
                            <a:gd name="T116" fmla="+- 0 1521 664"/>
                            <a:gd name="T117" fmla="*/ T116 w 10561"/>
                            <a:gd name="T118" fmla="+- 0 -402 -1245"/>
                            <a:gd name="T119" fmla="*/ -402 h 1091"/>
                            <a:gd name="T120" fmla="+- 0 1537 664"/>
                            <a:gd name="T121" fmla="*/ T120 w 10561"/>
                            <a:gd name="T122" fmla="+- 0 -363 -1245"/>
                            <a:gd name="T123" fmla="*/ -363 h 1091"/>
                            <a:gd name="T124" fmla="+- 0 1687 664"/>
                            <a:gd name="T125" fmla="*/ T124 w 10561"/>
                            <a:gd name="T126" fmla="+- 0 -370 -1245"/>
                            <a:gd name="T127" fmla="*/ -370 h 1091"/>
                            <a:gd name="T128" fmla="+- 0 1687 664"/>
                            <a:gd name="T129" fmla="*/ T128 w 10561"/>
                            <a:gd name="T130" fmla="+- 0 -411 -1245"/>
                            <a:gd name="T131" fmla="*/ -411 h 1091"/>
                            <a:gd name="T132" fmla="+- 0 1018 664"/>
                            <a:gd name="T133" fmla="*/ T132 w 10561"/>
                            <a:gd name="T134" fmla="+- 0 -626 -1245"/>
                            <a:gd name="T135" fmla="*/ -626 h 1091"/>
                            <a:gd name="T136" fmla="+- 0 988 664"/>
                            <a:gd name="T137" fmla="*/ T136 w 10561"/>
                            <a:gd name="T138" fmla="+- 0 -597 -1245"/>
                            <a:gd name="T139" fmla="*/ -597 h 1091"/>
                            <a:gd name="T140" fmla="+- 0 1018 664"/>
                            <a:gd name="T141" fmla="*/ T140 w 10561"/>
                            <a:gd name="T142" fmla="+- 0 -567 -1245"/>
                            <a:gd name="T143" fmla="*/ -567 h 1091"/>
                            <a:gd name="T144" fmla="+- 0 1163 664"/>
                            <a:gd name="T145" fmla="*/ T144 w 10561"/>
                            <a:gd name="T146" fmla="+- 0 -585 -1245"/>
                            <a:gd name="T147" fmla="*/ -585 h 1091"/>
                            <a:gd name="T148" fmla="+- 0 1147 664"/>
                            <a:gd name="T149" fmla="*/ T148 w 10561"/>
                            <a:gd name="T150" fmla="+- 0 -624 -1245"/>
                            <a:gd name="T151" fmla="*/ -624 h 1091"/>
                            <a:gd name="T152" fmla="+- 0 1537 664"/>
                            <a:gd name="T153" fmla="*/ T152 w 10561"/>
                            <a:gd name="T154" fmla="+- 0 -624 -1245"/>
                            <a:gd name="T155" fmla="*/ -624 h 1091"/>
                            <a:gd name="T156" fmla="+- 0 1521 664"/>
                            <a:gd name="T157" fmla="*/ T156 w 10561"/>
                            <a:gd name="T158" fmla="+- 0 -585 -1245"/>
                            <a:gd name="T159" fmla="*/ -585 h 1091"/>
                            <a:gd name="T160" fmla="+- 0 1666 664"/>
                            <a:gd name="T161" fmla="*/ T160 w 10561"/>
                            <a:gd name="T162" fmla="+- 0 -567 -1245"/>
                            <a:gd name="T163" fmla="*/ -567 h 1091"/>
                            <a:gd name="T164" fmla="+- 0 1695 664"/>
                            <a:gd name="T165" fmla="*/ T164 w 10561"/>
                            <a:gd name="T166" fmla="+- 0 -597 -1245"/>
                            <a:gd name="T167" fmla="*/ -597 h 1091"/>
                            <a:gd name="T168" fmla="+- 0 1666 664"/>
                            <a:gd name="T169" fmla="*/ T168 w 10561"/>
                            <a:gd name="T170" fmla="+- 0 -626 -1245"/>
                            <a:gd name="T171" fmla="*/ -626 h 1091"/>
                            <a:gd name="T172" fmla="+- 0 1292 664"/>
                            <a:gd name="T173" fmla="*/ T172 w 10561"/>
                            <a:gd name="T174" fmla="+- 0 -1236 -1245"/>
                            <a:gd name="T175" fmla="*/ -1236 h 1091"/>
                            <a:gd name="T176" fmla="+- 0 1292 664"/>
                            <a:gd name="T177" fmla="*/ T176 w 10561"/>
                            <a:gd name="T178" fmla="+- 0 -1195 -1245"/>
                            <a:gd name="T179" fmla="*/ -1195 h 1091"/>
                            <a:gd name="T180" fmla="+- 0 1371 664"/>
                            <a:gd name="T181" fmla="*/ T180 w 10561"/>
                            <a:gd name="T182" fmla="+- 0 -770 -1245"/>
                            <a:gd name="T183" fmla="*/ -770 h 1091"/>
                            <a:gd name="T184" fmla="+- 0 1923 664"/>
                            <a:gd name="T185" fmla="*/ T184 w 10561"/>
                            <a:gd name="T186" fmla="+- 0 -1195 -1245"/>
                            <a:gd name="T187" fmla="*/ -1195 h 1091"/>
                            <a:gd name="T188" fmla="+- 0 1923 664"/>
                            <a:gd name="T189" fmla="*/ T188 w 10561"/>
                            <a:gd name="T190" fmla="+- 0 -1236 -1245"/>
                            <a:gd name="T191" fmla="*/ -1236 h 1091"/>
                            <a:gd name="T192" fmla="+- 0 1548 664"/>
                            <a:gd name="T193" fmla="*/ T192 w 10561"/>
                            <a:gd name="T194" fmla="+- 0 -832 -1245"/>
                            <a:gd name="T195" fmla="*/ -832 h 1091"/>
                            <a:gd name="T196" fmla="+- 0 1519 664"/>
                            <a:gd name="T197" fmla="*/ T196 w 10561"/>
                            <a:gd name="T198" fmla="+- 0 -803 -1245"/>
                            <a:gd name="T199" fmla="*/ -803 h 1091"/>
                            <a:gd name="T200" fmla="+- 0 1548 664"/>
                            <a:gd name="T201" fmla="*/ T200 w 10561"/>
                            <a:gd name="T202" fmla="+- 0 -773 -1245"/>
                            <a:gd name="T203" fmla="*/ -773 h 1091"/>
                            <a:gd name="T204" fmla="+- 0 1693 664"/>
                            <a:gd name="T205" fmla="*/ T204 w 10561"/>
                            <a:gd name="T206" fmla="+- 0 -791 -1245"/>
                            <a:gd name="T207" fmla="*/ -791 h 1091"/>
                            <a:gd name="T208" fmla="+- 0 1677 664"/>
                            <a:gd name="T209" fmla="*/ T208 w 10561"/>
                            <a:gd name="T210" fmla="+- 0 -830 -1245"/>
                            <a:gd name="T211" fmla="*/ -830 h 1091"/>
                            <a:gd name="T212" fmla="+- 0 1537 664"/>
                            <a:gd name="T213" fmla="*/ T212 w 10561"/>
                            <a:gd name="T214" fmla="+- 0 -1036 -1245"/>
                            <a:gd name="T215" fmla="*/ -1036 h 1091"/>
                            <a:gd name="T216" fmla="+- 0 1521 664"/>
                            <a:gd name="T217" fmla="*/ T216 w 10561"/>
                            <a:gd name="T218" fmla="+- 0 -998 -1245"/>
                            <a:gd name="T219" fmla="*/ -998 h 1091"/>
                            <a:gd name="T220" fmla="+- 0 1666 664"/>
                            <a:gd name="T221" fmla="*/ T220 w 10561"/>
                            <a:gd name="T222" fmla="+- 0 -980 -1245"/>
                            <a:gd name="T223" fmla="*/ -980 h 1091"/>
                            <a:gd name="T224" fmla="+- 0 1695 664"/>
                            <a:gd name="T225" fmla="*/ T224 w 10561"/>
                            <a:gd name="T226" fmla="+- 0 -1009 -1245"/>
                            <a:gd name="T227" fmla="*/ -1009 h 1091"/>
                            <a:gd name="T228" fmla="+- 0 1666 664"/>
                            <a:gd name="T229" fmla="*/ T228 w 10561"/>
                            <a:gd name="T230" fmla="+- 0 -1039 -1245"/>
                            <a:gd name="T231" fmla="*/ -1039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561" h="1091">
                              <a:moveTo>
                                <a:pt x="10532" y="1031"/>
                              </a:moveTo>
                              <a:lnTo>
                                <a:pt x="30" y="1031"/>
                              </a:lnTo>
                              <a:lnTo>
                                <a:pt x="18" y="1034"/>
                              </a:lnTo>
                              <a:lnTo>
                                <a:pt x="9" y="1040"/>
                              </a:lnTo>
                              <a:lnTo>
                                <a:pt x="3" y="1049"/>
                              </a:lnTo>
                              <a:lnTo>
                                <a:pt x="0" y="1061"/>
                              </a:lnTo>
                              <a:lnTo>
                                <a:pt x="3" y="1072"/>
                              </a:lnTo>
                              <a:lnTo>
                                <a:pt x="9" y="1082"/>
                              </a:lnTo>
                              <a:lnTo>
                                <a:pt x="18" y="1088"/>
                              </a:lnTo>
                              <a:lnTo>
                                <a:pt x="30" y="1090"/>
                              </a:lnTo>
                              <a:lnTo>
                                <a:pt x="10532" y="1090"/>
                              </a:lnTo>
                              <a:lnTo>
                                <a:pt x="10543" y="1088"/>
                              </a:lnTo>
                              <a:lnTo>
                                <a:pt x="10553" y="1082"/>
                              </a:lnTo>
                              <a:lnTo>
                                <a:pt x="10559" y="1072"/>
                              </a:lnTo>
                              <a:lnTo>
                                <a:pt x="10561" y="1061"/>
                              </a:lnTo>
                              <a:lnTo>
                                <a:pt x="10559" y="1049"/>
                              </a:lnTo>
                              <a:lnTo>
                                <a:pt x="10553" y="1040"/>
                              </a:lnTo>
                              <a:lnTo>
                                <a:pt x="10543" y="1034"/>
                              </a:lnTo>
                              <a:lnTo>
                                <a:pt x="10532" y="1031"/>
                              </a:lnTo>
                              <a:close/>
                              <a:moveTo>
                                <a:pt x="419" y="323"/>
                              </a:moveTo>
                              <a:lnTo>
                                <a:pt x="406" y="323"/>
                              </a:lnTo>
                              <a:lnTo>
                                <a:pt x="123" y="511"/>
                              </a:lnTo>
                              <a:lnTo>
                                <a:pt x="118" y="521"/>
                              </a:lnTo>
                              <a:lnTo>
                                <a:pt x="118" y="1031"/>
                              </a:lnTo>
                              <a:lnTo>
                                <a:pt x="177" y="1031"/>
                              </a:lnTo>
                              <a:lnTo>
                                <a:pt x="177" y="546"/>
                              </a:lnTo>
                              <a:lnTo>
                                <a:pt x="413" y="389"/>
                              </a:lnTo>
                              <a:lnTo>
                                <a:pt x="519" y="389"/>
                              </a:lnTo>
                              <a:lnTo>
                                <a:pt x="419" y="323"/>
                              </a:lnTo>
                              <a:close/>
                              <a:moveTo>
                                <a:pt x="519" y="389"/>
                              </a:moveTo>
                              <a:lnTo>
                                <a:pt x="413" y="389"/>
                              </a:lnTo>
                              <a:lnTo>
                                <a:pt x="648" y="546"/>
                              </a:lnTo>
                              <a:lnTo>
                                <a:pt x="648" y="1031"/>
                              </a:lnTo>
                              <a:lnTo>
                                <a:pt x="707" y="1031"/>
                              </a:lnTo>
                              <a:lnTo>
                                <a:pt x="707" y="475"/>
                              </a:lnTo>
                              <a:lnTo>
                                <a:pt x="648" y="475"/>
                              </a:lnTo>
                              <a:lnTo>
                                <a:pt x="519" y="389"/>
                              </a:lnTo>
                              <a:close/>
                              <a:moveTo>
                                <a:pt x="1238" y="59"/>
                              </a:moveTo>
                              <a:lnTo>
                                <a:pt x="1179" y="59"/>
                              </a:lnTo>
                              <a:lnTo>
                                <a:pt x="1179" y="1031"/>
                              </a:lnTo>
                              <a:lnTo>
                                <a:pt x="1238" y="1031"/>
                              </a:lnTo>
                              <a:lnTo>
                                <a:pt x="1238" y="648"/>
                              </a:lnTo>
                              <a:lnTo>
                                <a:pt x="1827" y="648"/>
                              </a:lnTo>
                              <a:lnTo>
                                <a:pt x="1838" y="646"/>
                              </a:lnTo>
                              <a:lnTo>
                                <a:pt x="1848" y="640"/>
                              </a:lnTo>
                              <a:lnTo>
                                <a:pt x="1854" y="630"/>
                              </a:lnTo>
                              <a:lnTo>
                                <a:pt x="1856" y="619"/>
                              </a:lnTo>
                              <a:lnTo>
                                <a:pt x="1854" y="607"/>
                              </a:lnTo>
                              <a:lnTo>
                                <a:pt x="1848" y="598"/>
                              </a:lnTo>
                              <a:lnTo>
                                <a:pt x="1838" y="592"/>
                              </a:lnTo>
                              <a:lnTo>
                                <a:pt x="1827" y="589"/>
                              </a:lnTo>
                              <a:lnTo>
                                <a:pt x="1238" y="589"/>
                              </a:lnTo>
                              <a:lnTo>
                                <a:pt x="1238" y="59"/>
                              </a:lnTo>
                              <a:close/>
                              <a:moveTo>
                                <a:pt x="1827" y="648"/>
                              </a:moveTo>
                              <a:lnTo>
                                <a:pt x="1768" y="648"/>
                              </a:lnTo>
                              <a:lnTo>
                                <a:pt x="1768" y="1031"/>
                              </a:lnTo>
                              <a:lnTo>
                                <a:pt x="1827" y="1031"/>
                              </a:lnTo>
                              <a:lnTo>
                                <a:pt x="1827" y="648"/>
                              </a:lnTo>
                              <a:close/>
                              <a:moveTo>
                                <a:pt x="1415" y="766"/>
                              </a:moveTo>
                              <a:lnTo>
                                <a:pt x="1403" y="769"/>
                              </a:lnTo>
                              <a:lnTo>
                                <a:pt x="1394" y="775"/>
                              </a:lnTo>
                              <a:lnTo>
                                <a:pt x="1387" y="784"/>
                              </a:lnTo>
                              <a:lnTo>
                                <a:pt x="1385" y="796"/>
                              </a:lnTo>
                              <a:lnTo>
                                <a:pt x="1385" y="884"/>
                              </a:lnTo>
                              <a:lnTo>
                                <a:pt x="1387" y="896"/>
                              </a:lnTo>
                              <a:lnTo>
                                <a:pt x="1394" y="905"/>
                              </a:lnTo>
                              <a:lnTo>
                                <a:pt x="1403" y="911"/>
                              </a:lnTo>
                              <a:lnTo>
                                <a:pt x="1415" y="914"/>
                              </a:lnTo>
                              <a:lnTo>
                                <a:pt x="1426" y="911"/>
                              </a:lnTo>
                              <a:lnTo>
                                <a:pt x="1435" y="905"/>
                              </a:lnTo>
                              <a:lnTo>
                                <a:pt x="1442" y="896"/>
                              </a:lnTo>
                              <a:lnTo>
                                <a:pt x="1444" y="884"/>
                              </a:lnTo>
                              <a:lnTo>
                                <a:pt x="1444" y="796"/>
                              </a:lnTo>
                              <a:lnTo>
                                <a:pt x="1442" y="784"/>
                              </a:lnTo>
                              <a:lnTo>
                                <a:pt x="1435" y="775"/>
                              </a:lnTo>
                              <a:lnTo>
                                <a:pt x="1426" y="769"/>
                              </a:lnTo>
                              <a:lnTo>
                                <a:pt x="1415" y="766"/>
                              </a:lnTo>
                              <a:close/>
                              <a:moveTo>
                                <a:pt x="1591" y="766"/>
                              </a:moveTo>
                              <a:lnTo>
                                <a:pt x="1580" y="769"/>
                              </a:lnTo>
                              <a:lnTo>
                                <a:pt x="1570" y="775"/>
                              </a:lnTo>
                              <a:lnTo>
                                <a:pt x="1564" y="784"/>
                              </a:lnTo>
                              <a:lnTo>
                                <a:pt x="1562" y="796"/>
                              </a:lnTo>
                              <a:lnTo>
                                <a:pt x="1562" y="884"/>
                              </a:lnTo>
                              <a:lnTo>
                                <a:pt x="1564" y="896"/>
                              </a:lnTo>
                              <a:lnTo>
                                <a:pt x="1570" y="905"/>
                              </a:lnTo>
                              <a:lnTo>
                                <a:pt x="1580" y="911"/>
                              </a:lnTo>
                              <a:lnTo>
                                <a:pt x="1591" y="914"/>
                              </a:lnTo>
                              <a:lnTo>
                                <a:pt x="1603" y="911"/>
                              </a:lnTo>
                              <a:lnTo>
                                <a:pt x="1612" y="905"/>
                              </a:lnTo>
                              <a:lnTo>
                                <a:pt x="1618" y="896"/>
                              </a:lnTo>
                              <a:lnTo>
                                <a:pt x="1621" y="884"/>
                              </a:lnTo>
                              <a:lnTo>
                                <a:pt x="1621" y="796"/>
                              </a:lnTo>
                              <a:lnTo>
                                <a:pt x="1618" y="784"/>
                              </a:lnTo>
                              <a:lnTo>
                                <a:pt x="1612" y="775"/>
                              </a:lnTo>
                              <a:lnTo>
                                <a:pt x="1603" y="769"/>
                              </a:lnTo>
                              <a:lnTo>
                                <a:pt x="1591" y="766"/>
                              </a:lnTo>
                              <a:close/>
                              <a:moveTo>
                                <a:pt x="472" y="825"/>
                              </a:moveTo>
                              <a:lnTo>
                                <a:pt x="354" y="825"/>
                              </a:lnTo>
                              <a:lnTo>
                                <a:pt x="342" y="827"/>
                              </a:lnTo>
                              <a:lnTo>
                                <a:pt x="333" y="834"/>
                              </a:lnTo>
                              <a:lnTo>
                                <a:pt x="327" y="843"/>
                              </a:lnTo>
                              <a:lnTo>
                                <a:pt x="324" y="855"/>
                              </a:lnTo>
                              <a:lnTo>
                                <a:pt x="327" y="866"/>
                              </a:lnTo>
                              <a:lnTo>
                                <a:pt x="333" y="875"/>
                              </a:lnTo>
                              <a:lnTo>
                                <a:pt x="342" y="882"/>
                              </a:lnTo>
                              <a:lnTo>
                                <a:pt x="354" y="884"/>
                              </a:lnTo>
                              <a:lnTo>
                                <a:pt x="472" y="884"/>
                              </a:lnTo>
                              <a:lnTo>
                                <a:pt x="483" y="882"/>
                              </a:lnTo>
                              <a:lnTo>
                                <a:pt x="493" y="875"/>
                              </a:lnTo>
                              <a:lnTo>
                                <a:pt x="499" y="866"/>
                              </a:lnTo>
                              <a:lnTo>
                                <a:pt x="501" y="855"/>
                              </a:lnTo>
                              <a:lnTo>
                                <a:pt x="499" y="843"/>
                              </a:lnTo>
                              <a:lnTo>
                                <a:pt x="493" y="834"/>
                              </a:lnTo>
                              <a:lnTo>
                                <a:pt x="483" y="827"/>
                              </a:lnTo>
                              <a:lnTo>
                                <a:pt x="472" y="825"/>
                              </a:lnTo>
                              <a:close/>
                              <a:moveTo>
                                <a:pt x="1002" y="825"/>
                              </a:moveTo>
                              <a:lnTo>
                                <a:pt x="884" y="825"/>
                              </a:lnTo>
                              <a:lnTo>
                                <a:pt x="873" y="827"/>
                              </a:lnTo>
                              <a:lnTo>
                                <a:pt x="863" y="834"/>
                              </a:lnTo>
                              <a:lnTo>
                                <a:pt x="857" y="843"/>
                              </a:lnTo>
                              <a:lnTo>
                                <a:pt x="855" y="855"/>
                              </a:lnTo>
                              <a:lnTo>
                                <a:pt x="857" y="866"/>
                              </a:lnTo>
                              <a:lnTo>
                                <a:pt x="863" y="875"/>
                              </a:lnTo>
                              <a:lnTo>
                                <a:pt x="873" y="882"/>
                              </a:lnTo>
                              <a:lnTo>
                                <a:pt x="884" y="884"/>
                              </a:lnTo>
                              <a:lnTo>
                                <a:pt x="1002" y="884"/>
                              </a:lnTo>
                              <a:lnTo>
                                <a:pt x="1013" y="882"/>
                              </a:lnTo>
                              <a:lnTo>
                                <a:pt x="1023" y="875"/>
                              </a:lnTo>
                              <a:lnTo>
                                <a:pt x="1029" y="866"/>
                              </a:lnTo>
                              <a:lnTo>
                                <a:pt x="1031" y="855"/>
                              </a:lnTo>
                              <a:lnTo>
                                <a:pt x="1029" y="843"/>
                              </a:lnTo>
                              <a:lnTo>
                                <a:pt x="1023" y="834"/>
                              </a:lnTo>
                              <a:lnTo>
                                <a:pt x="1013" y="827"/>
                              </a:lnTo>
                              <a:lnTo>
                                <a:pt x="1002" y="825"/>
                              </a:lnTo>
                              <a:close/>
                              <a:moveTo>
                                <a:pt x="472" y="619"/>
                              </a:moveTo>
                              <a:lnTo>
                                <a:pt x="354" y="619"/>
                              </a:lnTo>
                              <a:lnTo>
                                <a:pt x="342" y="621"/>
                              </a:lnTo>
                              <a:lnTo>
                                <a:pt x="333" y="628"/>
                              </a:lnTo>
                              <a:lnTo>
                                <a:pt x="327" y="637"/>
                              </a:lnTo>
                              <a:lnTo>
                                <a:pt x="324" y="648"/>
                              </a:lnTo>
                              <a:lnTo>
                                <a:pt x="327" y="660"/>
                              </a:lnTo>
                              <a:lnTo>
                                <a:pt x="333" y="669"/>
                              </a:lnTo>
                              <a:lnTo>
                                <a:pt x="342" y="676"/>
                              </a:lnTo>
                              <a:lnTo>
                                <a:pt x="354" y="678"/>
                              </a:lnTo>
                              <a:lnTo>
                                <a:pt x="472" y="678"/>
                              </a:lnTo>
                              <a:lnTo>
                                <a:pt x="483" y="676"/>
                              </a:lnTo>
                              <a:lnTo>
                                <a:pt x="493" y="669"/>
                              </a:lnTo>
                              <a:lnTo>
                                <a:pt x="499" y="660"/>
                              </a:lnTo>
                              <a:lnTo>
                                <a:pt x="501" y="648"/>
                              </a:lnTo>
                              <a:lnTo>
                                <a:pt x="499" y="637"/>
                              </a:lnTo>
                              <a:lnTo>
                                <a:pt x="493" y="628"/>
                              </a:lnTo>
                              <a:lnTo>
                                <a:pt x="483" y="621"/>
                              </a:lnTo>
                              <a:lnTo>
                                <a:pt x="472" y="619"/>
                              </a:lnTo>
                              <a:close/>
                              <a:moveTo>
                                <a:pt x="1002" y="619"/>
                              </a:moveTo>
                              <a:lnTo>
                                <a:pt x="884" y="619"/>
                              </a:lnTo>
                              <a:lnTo>
                                <a:pt x="873" y="621"/>
                              </a:lnTo>
                              <a:lnTo>
                                <a:pt x="863" y="628"/>
                              </a:lnTo>
                              <a:lnTo>
                                <a:pt x="857" y="637"/>
                              </a:lnTo>
                              <a:lnTo>
                                <a:pt x="855" y="648"/>
                              </a:lnTo>
                              <a:lnTo>
                                <a:pt x="857" y="660"/>
                              </a:lnTo>
                              <a:lnTo>
                                <a:pt x="863" y="669"/>
                              </a:lnTo>
                              <a:lnTo>
                                <a:pt x="873" y="676"/>
                              </a:lnTo>
                              <a:lnTo>
                                <a:pt x="884" y="678"/>
                              </a:lnTo>
                              <a:lnTo>
                                <a:pt x="1002" y="678"/>
                              </a:lnTo>
                              <a:lnTo>
                                <a:pt x="1013" y="676"/>
                              </a:lnTo>
                              <a:lnTo>
                                <a:pt x="1023" y="669"/>
                              </a:lnTo>
                              <a:lnTo>
                                <a:pt x="1029" y="660"/>
                              </a:lnTo>
                              <a:lnTo>
                                <a:pt x="1031" y="648"/>
                              </a:lnTo>
                              <a:lnTo>
                                <a:pt x="1029" y="637"/>
                              </a:lnTo>
                              <a:lnTo>
                                <a:pt x="1023" y="628"/>
                              </a:lnTo>
                              <a:lnTo>
                                <a:pt x="1013" y="621"/>
                              </a:lnTo>
                              <a:lnTo>
                                <a:pt x="1002" y="619"/>
                              </a:lnTo>
                              <a:close/>
                              <a:moveTo>
                                <a:pt x="1238" y="0"/>
                              </a:moveTo>
                              <a:lnTo>
                                <a:pt x="648" y="0"/>
                              </a:lnTo>
                              <a:lnTo>
                                <a:pt x="637" y="2"/>
                              </a:lnTo>
                              <a:lnTo>
                                <a:pt x="628" y="9"/>
                              </a:lnTo>
                              <a:lnTo>
                                <a:pt x="621" y="18"/>
                              </a:lnTo>
                              <a:lnTo>
                                <a:pt x="619" y="30"/>
                              </a:lnTo>
                              <a:lnTo>
                                <a:pt x="621" y="41"/>
                              </a:lnTo>
                              <a:lnTo>
                                <a:pt x="628" y="50"/>
                              </a:lnTo>
                              <a:lnTo>
                                <a:pt x="637" y="57"/>
                              </a:lnTo>
                              <a:lnTo>
                                <a:pt x="648" y="59"/>
                              </a:lnTo>
                              <a:lnTo>
                                <a:pt x="648" y="475"/>
                              </a:lnTo>
                              <a:lnTo>
                                <a:pt x="707" y="475"/>
                              </a:lnTo>
                              <a:lnTo>
                                <a:pt x="707" y="59"/>
                              </a:lnTo>
                              <a:lnTo>
                                <a:pt x="1238" y="59"/>
                              </a:lnTo>
                              <a:lnTo>
                                <a:pt x="1249" y="57"/>
                              </a:lnTo>
                              <a:lnTo>
                                <a:pt x="1259" y="50"/>
                              </a:lnTo>
                              <a:lnTo>
                                <a:pt x="1265" y="41"/>
                              </a:lnTo>
                              <a:lnTo>
                                <a:pt x="1267" y="30"/>
                              </a:lnTo>
                              <a:lnTo>
                                <a:pt x="1265" y="18"/>
                              </a:lnTo>
                              <a:lnTo>
                                <a:pt x="1259" y="9"/>
                              </a:lnTo>
                              <a:lnTo>
                                <a:pt x="1249" y="2"/>
                              </a:lnTo>
                              <a:lnTo>
                                <a:pt x="1238" y="0"/>
                              </a:lnTo>
                              <a:close/>
                              <a:moveTo>
                                <a:pt x="1002" y="413"/>
                              </a:moveTo>
                              <a:lnTo>
                                <a:pt x="884" y="413"/>
                              </a:lnTo>
                              <a:lnTo>
                                <a:pt x="873" y="415"/>
                              </a:lnTo>
                              <a:lnTo>
                                <a:pt x="863" y="421"/>
                              </a:lnTo>
                              <a:lnTo>
                                <a:pt x="857" y="431"/>
                              </a:lnTo>
                              <a:lnTo>
                                <a:pt x="855" y="442"/>
                              </a:lnTo>
                              <a:lnTo>
                                <a:pt x="857" y="454"/>
                              </a:lnTo>
                              <a:lnTo>
                                <a:pt x="863" y="463"/>
                              </a:lnTo>
                              <a:lnTo>
                                <a:pt x="873" y="469"/>
                              </a:lnTo>
                              <a:lnTo>
                                <a:pt x="884" y="472"/>
                              </a:lnTo>
                              <a:lnTo>
                                <a:pt x="1002" y="472"/>
                              </a:lnTo>
                              <a:lnTo>
                                <a:pt x="1013" y="469"/>
                              </a:lnTo>
                              <a:lnTo>
                                <a:pt x="1023" y="463"/>
                              </a:lnTo>
                              <a:lnTo>
                                <a:pt x="1029" y="454"/>
                              </a:lnTo>
                              <a:lnTo>
                                <a:pt x="1031" y="442"/>
                              </a:lnTo>
                              <a:lnTo>
                                <a:pt x="1029" y="431"/>
                              </a:lnTo>
                              <a:lnTo>
                                <a:pt x="1023" y="421"/>
                              </a:lnTo>
                              <a:lnTo>
                                <a:pt x="1013" y="415"/>
                              </a:lnTo>
                              <a:lnTo>
                                <a:pt x="1002" y="413"/>
                              </a:lnTo>
                              <a:close/>
                              <a:moveTo>
                                <a:pt x="1002" y="206"/>
                              </a:moveTo>
                              <a:lnTo>
                                <a:pt x="884" y="206"/>
                              </a:lnTo>
                              <a:lnTo>
                                <a:pt x="873" y="209"/>
                              </a:lnTo>
                              <a:lnTo>
                                <a:pt x="863" y="215"/>
                              </a:lnTo>
                              <a:lnTo>
                                <a:pt x="857" y="224"/>
                              </a:lnTo>
                              <a:lnTo>
                                <a:pt x="855" y="236"/>
                              </a:lnTo>
                              <a:lnTo>
                                <a:pt x="857" y="247"/>
                              </a:lnTo>
                              <a:lnTo>
                                <a:pt x="863" y="257"/>
                              </a:lnTo>
                              <a:lnTo>
                                <a:pt x="873" y="263"/>
                              </a:lnTo>
                              <a:lnTo>
                                <a:pt x="884" y="265"/>
                              </a:lnTo>
                              <a:lnTo>
                                <a:pt x="1002" y="265"/>
                              </a:lnTo>
                              <a:lnTo>
                                <a:pt x="1013" y="263"/>
                              </a:lnTo>
                              <a:lnTo>
                                <a:pt x="1023" y="257"/>
                              </a:lnTo>
                              <a:lnTo>
                                <a:pt x="1029" y="247"/>
                              </a:lnTo>
                              <a:lnTo>
                                <a:pt x="1031" y="236"/>
                              </a:lnTo>
                              <a:lnTo>
                                <a:pt x="1029" y="224"/>
                              </a:lnTo>
                              <a:lnTo>
                                <a:pt x="1023" y="215"/>
                              </a:lnTo>
                              <a:lnTo>
                                <a:pt x="1013" y="209"/>
                              </a:lnTo>
                              <a:lnTo>
                                <a:pt x="1002" y="206"/>
                              </a:lnTo>
                              <a:close/>
                            </a:path>
                          </a:pathLst>
                        </a:custGeom>
                        <a:solidFill>
                          <a:srgbClr val="299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4290C7" id="docshape1" o:spid="_x0000_s1026" style="position:absolute;margin-left:33.2pt;margin-top:-.2pt;width:533.9pt;height:5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" path="m10532,1031l30,1031r-12,3l9,1040r-6,9l,1061r3,11l9,1082r9,6l30,1090r10502,l10543,1088r10,-6l10559,1072r2,-11l10559,1049r-6,-9l10543,1034r-11,-3xm419,323r-13,l123,511r-5,10l118,1031r59,l177,546,413,389r106,l419,323xm519,389r-106,l648,546r,485l707,1031r,-556l648,475,519,389xm1238,59r-59,l1179,1031r59,l1238,648r589,l1838,646r10,-6l1854,630r2,-11l1854,607r-6,-9l1838,592r-11,-3l1238,589r,-530xm1827,648r-59,l1768,1031r59,l1827,648xm1415,766r-12,3l1394,775r-7,9l1385,796r,88l1387,896r7,9l1403,911r12,3l1426,911r9,-6l1442,896r2,-12l1444,796r-2,-12l1435,775r-9,-6l1415,766xm1591,766r-11,3l1570,775r-6,9l1562,796r,88l1564,896r6,9l1580,911r11,3l1603,911r9,-6l1618,896r3,-12l1621,796r-3,-12l1612,775r-9,-6l1591,766xm472,825r-118,l342,827r-9,7l327,843r-3,12l327,866r6,9l342,882r12,2l472,884r11,-2l493,875r6,-9l501,855r-2,-12l493,834r-10,-7l472,825xm1002,825r-118,l873,827r-10,7l857,843r-2,12l857,866r6,9l873,882r11,2l1002,884r11,-2l1023,875r6,-9l1031,855r-2,-12l1023,834r-10,-7l1002,825xm472,619r-118,l342,621r-9,7l327,637r-3,11l327,660r6,9l342,676r12,2l472,678r11,-2l493,669r6,-9l501,648r-2,-11l493,628r-10,-7l472,619xm1002,619r-118,l873,621r-10,7l857,637r-2,11l857,660r6,9l873,676r11,2l1002,678r11,-2l1023,669r6,-9l1031,648r-2,-11l1023,628r-10,-7l1002,619xm1238,l648,,637,2r-9,7l621,18r-2,12l621,41r7,9l637,57r11,2l648,475r59,l707,59r531,l1249,57r10,-7l1265,41r2,-11l1265,18r-6,-9l1249,2,1238,xm1002,413r-118,l873,415r-10,6l857,431r-2,11l857,454r6,9l873,469r11,3l1002,472r11,-3l1023,463r6,-9l1031,442r-2,-11l1023,421r-10,-6l1002,413xm1002,206r-118,l873,209r-10,6l857,224r-2,12l857,247r6,10l873,263r11,2l1002,265r11,-2l1023,257r6,-10l1031,236r-2,-12l1023,215r-10,-6l1002,206xe" fillcolor="#2993bc" stroked="f">
                <v:path arrowok="t" o:connecttype="custom" o:connectlocs="5778,-130175;5778,-103505;6768973,-99695;6779246,-124460;269013,-585470;75760,-135890;333216,-543560;416039,-443865;416039,-488950;756959,-135890;1180060,-380365;1190333,-405130;794839,-416560;1135118,-135890;900775,-302260;889218,-229235;908479,-210185;927098,-229235;915542,-302260;1007995,-298450;1004142,-221615;1029182,-212090;1040738,-285115;1021477,-304165;213798,-260985;213798,-234950;310103,-230505;320375,-255270;643319,-266700;550224,-255270;560496,-230505;656802,-234950;656802,-260985;227280,-397510;208019,-379095;227280,-360045;320375,-371475;310103,-396240;560496,-396240;550224,-371475;643319,-360045;661938,-379095;643319,-397510;403198,-784860;403198,-758825;453919,-488950;808322,-758825;808322,-784860;567559,-528320;548940,-509905;567559,-490855;660654,-502285;650381,-527050;560496,-657860;550224,-633730;643319,-622300;661938,-640715;643319,-659765" o:connectangles="0,0,0,0,0,0,0,0,0,0,0,0,0,0,0,0,0,0,0,0,0,0,0,0,0,0,0,0,0,0,0,0,0,0,0,0,0,0,0,0,0,0,0,0,0,0,0,0,0,0,0,0,0,0,0,0,0,0"/>
                <w10:wrap anchorx="page"/>
              </v:shape>
            </w:pict>
          </mc:Fallback>
        </mc:AlternateContent>
      </w:r>
      <w:r w:rsidR="00C87BCE">
        <w:rPr>
          <w:b/>
          <w:bCs/>
          <w:sz w:val="24"/>
          <w:szCs w:val="24"/>
        </w:rPr>
        <w:t>Interest limitation</w:t>
      </w:r>
      <w:r w:rsidR="002A56F1" w:rsidRPr="002A56F1">
        <w:rPr>
          <w:b/>
          <w:bCs/>
          <w:sz w:val="24"/>
          <w:szCs w:val="24"/>
        </w:rPr>
        <w:t xml:space="preserve"> </w:t>
      </w:r>
      <w:r w:rsidR="002A56F1">
        <w:rPr>
          <w:rFonts w:ascii="Times New Roman" w:hAnsi="Times New Roman" w:cs="Times New Roman"/>
          <w:b/>
          <w:bCs/>
          <w:sz w:val="24"/>
          <w:szCs w:val="24"/>
        </w:rPr>
        <w:t>–</w:t>
      </w:r>
      <w:r w:rsidR="002A56F1" w:rsidRPr="002A56F1">
        <w:rPr>
          <w:b/>
          <w:bCs/>
          <w:sz w:val="24"/>
          <w:szCs w:val="24"/>
        </w:rPr>
        <w:t xml:space="preserve"> </w:t>
      </w:r>
      <w:r w:rsidR="00C87BCE">
        <w:rPr>
          <w:b/>
          <w:bCs/>
          <w:sz w:val="24"/>
          <w:szCs w:val="24"/>
        </w:rPr>
        <w:t>information sheet</w:t>
      </w:r>
      <w:r w:rsidR="001423B3">
        <w:rPr>
          <w:b/>
          <w:bCs/>
          <w:sz w:val="24"/>
          <w:szCs w:val="24"/>
        </w:rPr>
        <w:t xml:space="preserve"> </w:t>
      </w:r>
      <w:r w:rsidR="005E45E9">
        <w:rPr>
          <w:b/>
          <w:bCs/>
          <w:sz w:val="24"/>
          <w:szCs w:val="24"/>
        </w:rPr>
        <w:t>5</w:t>
      </w:r>
    </w:p>
    <w:p w14:paraId="7935939E" w14:textId="33C7897B" w:rsidR="002A56F1" w:rsidRDefault="002A56F1" w:rsidP="002A56F1">
      <w:pPr>
        <w:jc w:val="right"/>
      </w:pPr>
      <w:r>
        <w:t>September 2021</w:t>
      </w:r>
    </w:p>
    <w:p w14:paraId="4E0A2AFB" w14:textId="77777777" w:rsidR="002A56F1" w:rsidRPr="00BD247B" w:rsidRDefault="002A56F1" w:rsidP="00BD247B"/>
    <w:p w14:paraId="488F94EC" w14:textId="247C5044" w:rsidR="00EF61D4" w:rsidRPr="005E45E9" w:rsidRDefault="005E45E9" w:rsidP="00582384">
      <w:pPr>
        <w:pStyle w:val="Title"/>
        <w:sectPr w:rsidR="00EF61D4" w:rsidRPr="005E45E9" w:rsidSect="00F0143A">
          <w:footerReference w:type="default" r:id="rId7"/>
          <w:type w:val="continuous"/>
          <w:pgSz w:w="11910" w:h="16840" w:code="9"/>
          <w:pgMar w:top="567" w:right="567" w:bottom="567" w:left="567" w:header="567" w:footer="567" w:gutter="0"/>
          <w:cols w:space="720"/>
        </w:sectPr>
      </w:pPr>
      <w:r>
        <w:t>How interest deductions are affected</w:t>
      </w:r>
    </w:p>
    <w:p w14:paraId="65974E60" w14:textId="77777777" w:rsidR="00162365" w:rsidRPr="007D6DA4" w:rsidRDefault="00C551CE" w:rsidP="007D6DA4">
      <w:r w:rsidRPr="007D6DA4">
        <w:t xml:space="preserve">This information sheet provides general information on the way that proposals </w:t>
      </w:r>
      <w:r w:rsidR="00162365" w:rsidRPr="007D6DA4">
        <w:t>the Government is introducing are likely to work.</w:t>
      </w:r>
    </w:p>
    <w:p w14:paraId="4771FCDF" w14:textId="257989F7" w:rsidR="007223EC" w:rsidRPr="007D6DA4" w:rsidRDefault="00390FC6" w:rsidP="007D6DA4">
      <w:r w:rsidRPr="007D6DA4">
        <w:t>T</w:t>
      </w:r>
      <w:r w:rsidR="00963737" w:rsidRPr="007D6DA4">
        <w:t>h</w:t>
      </w:r>
      <w:r w:rsidR="0058464C" w:rsidRPr="007D6DA4">
        <w:t xml:space="preserve">e Government intends to limit the ability to deduct interest to make residential properties </w:t>
      </w:r>
      <w:r w:rsidR="007130CA" w:rsidRPr="007D6DA4">
        <w:t xml:space="preserve">a less attractive investment option </w:t>
      </w:r>
      <w:r w:rsidR="00A3019D" w:rsidRPr="007D6DA4">
        <w:t xml:space="preserve">and thus </w:t>
      </w:r>
      <w:r w:rsidR="007130CA" w:rsidRPr="007D6DA4">
        <w:t>level the playing field for first home buyers.</w:t>
      </w:r>
    </w:p>
    <w:p w14:paraId="047D9958" w14:textId="42AE8A38" w:rsidR="00351D81" w:rsidRPr="007D6DA4" w:rsidRDefault="00B078B0" w:rsidP="007D6DA4">
      <w:r w:rsidRPr="007D6DA4">
        <w:t xml:space="preserve">For property investors who borrowed to acquire residential property before 27 March 2021, interest deductions will be phased out between 1 October 2021 and 31 March 2025 as shown in the table. Residential property investors who borrow to acquire residential property on or after 27 March 2021 will not be allowed to deduct interest </w:t>
      </w:r>
      <w:r w:rsidR="00542461" w:rsidRPr="007D6DA4">
        <w:t xml:space="preserve">incurred </w:t>
      </w:r>
      <w:r w:rsidRPr="007D6DA4">
        <w:t>after 1 October 2021</w:t>
      </w:r>
      <w:r w:rsidR="000864F5">
        <w:t xml:space="preserve"> (unless an exception applies)</w:t>
      </w:r>
      <w:r w:rsidR="00CE729C" w:rsidRPr="007D6DA4">
        <w:t>. Certain exemptions apply and certain property types are excluded.</w:t>
      </w:r>
    </w:p>
    <w:p w14:paraId="2CB32CC5" w14:textId="77012834" w:rsidR="00CE729C" w:rsidRPr="005A7FC4" w:rsidRDefault="00CE729C" w:rsidP="00492770">
      <w:r w:rsidRPr="007D6DA4">
        <w:t>This information sheet provides general information on what interest is proposed to be either phased out or become immediately non-deductible from 1 October 2021.</w:t>
      </w:r>
    </w:p>
    <w:p w14:paraId="027048FB" w14:textId="3D9C4A29" w:rsidR="005A7FC4" w:rsidRPr="007D6DA4" w:rsidRDefault="005A7FC4" w:rsidP="00A5753C">
      <w:pPr>
        <w:spacing w:after="0"/>
      </w:pPr>
      <w:r w:rsidRPr="007D6DA4">
        <w:t>These proposals will be considered by Parliament and may change.</w:t>
      </w:r>
    </w:p>
    <w:p w14:paraId="3DE141E3" w14:textId="77777777" w:rsidR="004920D6" w:rsidRPr="00A5753C" w:rsidRDefault="004920D6" w:rsidP="00492770">
      <w:pPr>
        <w:pBdr>
          <w:bottom w:val="single" w:sz="24" w:space="1" w:color="4BACC6" w:themeColor="accent5"/>
        </w:pBdr>
        <w:spacing w:after="0"/>
        <w:rPr>
          <w:color w:val="414042"/>
        </w:rPr>
      </w:pPr>
    </w:p>
    <w:p w14:paraId="05A96BA6" w14:textId="77777777" w:rsidR="004920D6" w:rsidRDefault="004920D6" w:rsidP="00492770">
      <w:pPr>
        <w:spacing w:after="0"/>
        <w:ind w:right="28"/>
        <w:rPr>
          <w:color w:val="414042"/>
        </w:rPr>
      </w:pPr>
    </w:p>
    <w:p w14:paraId="4F936C09" w14:textId="77777777" w:rsidR="004920D6" w:rsidRDefault="004920D6" w:rsidP="00492770">
      <w:pPr>
        <w:spacing w:after="0"/>
        <w:ind w:right="28"/>
        <w:rPr>
          <w:color w:val="414042"/>
        </w:rPr>
        <w:sectPr w:rsidR="004920D6" w:rsidSect="00F0143A">
          <w:type w:val="continuous"/>
          <w:pgSz w:w="11910" w:h="16840" w:code="9"/>
          <w:pgMar w:top="567" w:right="567" w:bottom="567" w:left="567" w:header="567" w:footer="567" w:gutter="0"/>
          <w:cols w:space="720"/>
        </w:sectPr>
      </w:pPr>
    </w:p>
    <w:p w14:paraId="44FEF204" w14:textId="77777777" w:rsidR="00BC053A" w:rsidRPr="00BC053A" w:rsidRDefault="00BC053A" w:rsidP="00BC053A">
      <w:pPr>
        <w:spacing w:before="1"/>
        <w:jc w:val="center"/>
        <w:rPr>
          <w:b/>
          <w:bCs/>
          <w:color w:val="414042"/>
        </w:rPr>
      </w:pPr>
      <w:r w:rsidRPr="00BC053A">
        <w:rPr>
          <w:b/>
          <w:bCs/>
          <w:color w:val="414042"/>
        </w:rPr>
        <w:t>Phasing out interest deductions for properties acquired before 27 March 2021</w:t>
      </w:r>
    </w:p>
    <w:tbl>
      <w:tblPr>
        <w:tblW w:w="10773" w:type="dxa"/>
        <w:tblBorders>
          <w:top w:val="single" w:sz="4" w:space="0" w:color="455761"/>
          <w:left w:val="single" w:sz="4" w:space="0" w:color="455761"/>
          <w:bottom w:val="single" w:sz="4" w:space="0" w:color="455761"/>
          <w:right w:val="single" w:sz="4" w:space="0" w:color="455761"/>
          <w:insideH w:val="single" w:sz="4" w:space="0" w:color="455761"/>
          <w:insideV w:val="single" w:sz="4" w:space="0" w:color="455761"/>
        </w:tblBorders>
        <w:tblLayout w:type="fixed"/>
        <w:tblCellMar>
          <w:left w:w="0" w:type="dxa"/>
          <w:right w:w="0" w:type="dxa"/>
        </w:tblCellMar>
        <w:tblLook w:val="01E0" w:firstRow="1" w:lastRow="1" w:firstColumn="1" w:lastColumn="1" w:noHBand="0" w:noVBand="0"/>
      </w:tblPr>
      <w:tblGrid>
        <w:gridCol w:w="5399"/>
        <w:gridCol w:w="5374"/>
      </w:tblGrid>
      <w:tr w:rsidR="00BC053A" w:rsidRPr="00BC053A" w14:paraId="0323BD31" w14:textId="77777777" w:rsidTr="00B92D47">
        <w:trPr>
          <w:trHeight w:val="232"/>
          <w:tblHeader/>
        </w:trPr>
        <w:tc>
          <w:tcPr>
            <w:tcW w:w="5399" w:type="dxa"/>
            <w:tcBorders>
              <w:top w:val="single" w:sz="4" w:space="0" w:color="455761"/>
              <w:left w:val="single" w:sz="4" w:space="0" w:color="455761"/>
              <w:bottom w:val="nil"/>
              <w:right w:val="single" w:sz="4" w:space="0" w:color="455761"/>
            </w:tcBorders>
            <w:shd w:val="clear" w:color="auto" w:fill="2993BC"/>
          </w:tcPr>
          <w:p w14:paraId="039765EA" w14:textId="77777777" w:rsidR="00BC053A" w:rsidRPr="00BC053A" w:rsidRDefault="00BC053A" w:rsidP="00BC053A">
            <w:pPr>
              <w:spacing w:before="60" w:after="60"/>
              <w:ind w:left="113" w:right="113"/>
              <w:rPr>
                <w:b/>
                <w:color w:val="FFFFFF"/>
                <w:spacing w:val="-1"/>
                <w:sz w:val="18"/>
                <w:szCs w:val="18"/>
                <w:lang w:val="en-US"/>
              </w:rPr>
            </w:pPr>
            <w:r w:rsidRPr="00BC053A">
              <w:rPr>
                <w:b/>
                <w:color w:val="FFFFFF"/>
                <w:spacing w:val="-1"/>
                <w:sz w:val="18"/>
                <w:szCs w:val="18"/>
                <w:lang w:val="en-US"/>
              </w:rPr>
              <w:t>Date interest incurred</w:t>
            </w:r>
          </w:p>
        </w:tc>
        <w:tc>
          <w:tcPr>
            <w:tcW w:w="5374" w:type="dxa"/>
            <w:tcBorders>
              <w:top w:val="single" w:sz="4" w:space="0" w:color="455761"/>
              <w:left w:val="single" w:sz="4" w:space="0" w:color="455761"/>
              <w:bottom w:val="nil"/>
              <w:right w:val="single" w:sz="4" w:space="0" w:color="455761"/>
            </w:tcBorders>
            <w:shd w:val="clear" w:color="auto" w:fill="2993BC"/>
          </w:tcPr>
          <w:p w14:paraId="622D690B" w14:textId="77777777" w:rsidR="00BC053A" w:rsidRPr="00BC053A" w:rsidRDefault="00BC053A" w:rsidP="00BC053A">
            <w:pPr>
              <w:spacing w:before="60" w:after="60"/>
              <w:ind w:left="113" w:right="113"/>
              <w:rPr>
                <w:b/>
                <w:color w:val="FFFFFF"/>
                <w:spacing w:val="-1"/>
                <w:sz w:val="18"/>
                <w:szCs w:val="18"/>
                <w:lang w:val="en-US"/>
              </w:rPr>
            </w:pPr>
            <w:r w:rsidRPr="00BC053A">
              <w:rPr>
                <w:b/>
                <w:color w:val="FFFFFF"/>
                <w:spacing w:val="-1"/>
                <w:sz w:val="18"/>
                <w:szCs w:val="18"/>
                <w:lang w:val="en-US"/>
              </w:rPr>
              <w:t>Percentage of the interest that can be claimed</w:t>
            </w:r>
          </w:p>
        </w:tc>
      </w:tr>
      <w:tr w:rsidR="00BC053A" w:rsidRPr="00BC053A" w14:paraId="52EA8CAC" w14:textId="77777777" w:rsidTr="00B92D47">
        <w:trPr>
          <w:trHeight w:val="166"/>
        </w:trPr>
        <w:tc>
          <w:tcPr>
            <w:tcW w:w="5399" w:type="dxa"/>
            <w:tcBorders>
              <w:top w:val="nil"/>
              <w:left w:val="single" w:sz="4" w:space="0" w:color="455761"/>
              <w:bottom w:val="single" w:sz="4" w:space="0" w:color="455761"/>
              <w:right w:val="single" w:sz="4" w:space="0" w:color="455761"/>
            </w:tcBorders>
          </w:tcPr>
          <w:p w14:paraId="0D1DAD63" w14:textId="77777777" w:rsidR="00BC053A" w:rsidRPr="00BC053A" w:rsidRDefault="00BC053A" w:rsidP="00BC053A">
            <w:pPr>
              <w:spacing w:before="60" w:after="60"/>
              <w:ind w:left="113" w:right="113"/>
              <w:rPr>
                <w:sz w:val="18"/>
                <w:szCs w:val="18"/>
                <w:lang w:val="en-US"/>
              </w:rPr>
            </w:pPr>
            <w:r w:rsidRPr="00BC053A">
              <w:rPr>
                <w:color w:val="414042"/>
                <w:sz w:val="18"/>
                <w:szCs w:val="18"/>
              </w:rPr>
              <w:t>1 April 2020 to 31 March 2021</w:t>
            </w:r>
          </w:p>
        </w:tc>
        <w:tc>
          <w:tcPr>
            <w:tcW w:w="5374" w:type="dxa"/>
            <w:tcBorders>
              <w:top w:val="nil"/>
              <w:left w:val="single" w:sz="4" w:space="0" w:color="455761"/>
              <w:bottom w:val="single" w:sz="4" w:space="0" w:color="455761"/>
              <w:right w:val="single" w:sz="4" w:space="0" w:color="455761"/>
            </w:tcBorders>
          </w:tcPr>
          <w:p w14:paraId="4691655D" w14:textId="77777777" w:rsidR="00BC053A" w:rsidRPr="00BC053A" w:rsidRDefault="00BC053A" w:rsidP="00BC053A">
            <w:pPr>
              <w:spacing w:before="60" w:after="60"/>
              <w:ind w:left="113" w:right="113"/>
              <w:rPr>
                <w:sz w:val="18"/>
                <w:szCs w:val="18"/>
                <w:lang w:val="en-US"/>
              </w:rPr>
            </w:pPr>
            <w:r w:rsidRPr="00BC053A">
              <w:rPr>
                <w:color w:val="414042"/>
                <w:sz w:val="18"/>
                <w:szCs w:val="18"/>
              </w:rPr>
              <w:t>100%</w:t>
            </w:r>
          </w:p>
        </w:tc>
      </w:tr>
      <w:tr w:rsidR="00BC053A" w:rsidRPr="00BC053A" w14:paraId="57822FDB" w14:textId="77777777" w:rsidTr="00B92D47">
        <w:trPr>
          <w:trHeight w:val="166"/>
        </w:trPr>
        <w:tc>
          <w:tcPr>
            <w:tcW w:w="5399" w:type="dxa"/>
            <w:tcBorders>
              <w:top w:val="single" w:sz="4" w:space="0" w:color="455761"/>
              <w:left w:val="single" w:sz="4" w:space="0" w:color="455761"/>
              <w:bottom w:val="single" w:sz="4" w:space="0" w:color="455761"/>
              <w:right w:val="single" w:sz="4" w:space="0" w:color="455761"/>
            </w:tcBorders>
          </w:tcPr>
          <w:p w14:paraId="0B23829F" w14:textId="77777777" w:rsidR="00BC053A" w:rsidRPr="00BC053A" w:rsidRDefault="00BC053A" w:rsidP="00BC053A">
            <w:pPr>
              <w:spacing w:before="60" w:after="60"/>
              <w:ind w:left="113" w:right="113"/>
              <w:rPr>
                <w:sz w:val="18"/>
                <w:szCs w:val="18"/>
                <w:lang w:val="en-US"/>
              </w:rPr>
            </w:pPr>
            <w:r w:rsidRPr="00BC053A">
              <w:rPr>
                <w:color w:val="414042"/>
                <w:sz w:val="18"/>
                <w:szCs w:val="18"/>
              </w:rPr>
              <w:t>1 April 2021 to 30 September 2021</w:t>
            </w:r>
          </w:p>
        </w:tc>
        <w:tc>
          <w:tcPr>
            <w:tcW w:w="5374" w:type="dxa"/>
            <w:tcBorders>
              <w:top w:val="single" w:sz="4" w:space="0" w:color="455761"/>
              <w:left w:val="single" w:sz="4" w:space="0" w:color="455761"/>
              <w:bottom w:val="single" w:sz="4" w:space="0" w:color="455761"/>
              <w:right w:val="single" w:sz="4" w:space="0" w:color="455761"/>
            </w:tcBorders>
          </w:tcPr>
          <w:p w14:paraId="6C56C2F5" w14:textId="77777777" w:rsidR="00BC053A" w:rsidRPr="00BC053A" w:rsidRDefault="00BC053A" w:rsidP="00BC053A">
            <w:pPr>
              <w:spacing w:before="60" w:after="60"/>
              <w:ind w:left="113" w:right="113"/>
              <w:rPr>
                <w:sz w:val="18"/>
                <w:szCs w:val="18"/>
                <w:lang w:val="en-US"/>
              </w:rPr>
            </w:pPr>
            <w:r w:rsidRPr="00BC053A">
              <w:rPr>
                <w:color w:val="414042"/>
                <w:sz w:val="18"/>
                <w:szCs w:val="18"/>
              </w:rPr>
              <w:t>100%</w:t>
            </w:r>
          </w:p>
        </w:tc>
      </w:tr>
      <w:tr w:rsidR="00BC053A" w:rsidRPr="00BC053A" w14:paraId="7FC15FDF" w14:textId="77777777" w:rsidTr="00B92D47">
        <w:trPr>
          <w:trHeight w:val="166"/>
        </w:trPr>
        <w:tc>
          <w:tcPr>
            <w:tcW w:w="5399" w:type="dxa"/>
            <w:tcBorders>
              <w:top w:val="single" w:sz="4" w:space="0" w:color="455761"/>
              <w:left w:val="single" w:sz="4" w:space="0" w:color="455761"/>
              <w:bottom w:val="single" w:sz="4" w:space="0" w:color="455761"/>
              <w:right w:val="single" w:sz="4" w:space="0" w:color="455761"/>
            </w:tcBorders>
          </w:tcPr>
          <w:p w14:paraId="3872D254" w14:textId="77777777" w:rsidR="00BC053A" w:rsidRPr="00BC053A" w:rsidRDefault="00BC053A" w:rsidP="00BC053A">
            <w:pPr>
              <w:spacing w:before="60" w:after="60"/>
              <w:ind w:left="113" w:right="113"/>
              <w:rPr>
                <w:color w:val="414042"/>
                <w:sz w:val="18"/>
                <w:szCs w:val="18"/>
              </w:rPr>
            </w:pPr>
            <w:r w:rsidRPr="00BC053A">
              <w:rPr>
                <w:color w:val="414042"/>
                <w:sz w:val="18"/>
                <w:szCs w:val="18"/>
              </w:rPr>
              <w:t>1 October 2021 to 31 March 2022</w:t>
            </w:r>
          </w:p>
        </w:tc>
        <w:tc>
          <w:tcPr>
            <w:tcW w:w="5374" w:type="dxa"/>
            <w:tcBorders>
              <w:top w:val="single" w:sz="4" w:space="0" w:color="455761"/>
              <w:left w:val="single" w:sz="4" w:space="0" w:color="455761"/>
              <w:bottom w:val="single" w:sz="4" w:space="0" w:color="455761"/>
              <w:right w:val="single" w:sz="4" w:space="0" w:color="455761"/>
            </w:tcBorders>
          </w:tcPr>
          <w:p w14:paraId="27FBBE54" w14:textId="77777777" w:rsidR="00BC053A" w:rsidRPr="00BC053A" w:rsidRDefault="00BC053A" w:rsidP="00BC053A">
            <w:pPr>
              <w:spacing w:before="60" w:after="60"/>
              <w:ind w:left="113" w:right="113"/>
              <w:rPr>
                <w:color w:val="414042"/>
                <w:sz w:val="18"/>
                <w:szCs w:val="18"/>
              </w:rPr>
            </w:pPr>
            <w:r w:rsidRPr="00BC053A">
              <w:rPr>
                <w:color w:val="414042"/>
                <w:sz w:val="18"/>
                <w:szCs w:val="18"/>
              </w:rPr>
              <w:t>75%</w:t>
            </w:r>
          </w:p>
        </w:tc>
      </w:tr>
      <w:tr w:rsidR="00BC053A" w:rsidRPr="00BC053A" w14:paraId="6D046649" w14:textId="77777777" w:rsidTr="00B92D47">
        <w:trPr>
          <w:trHeight w:val="166"/>
        </w:trPr>
        <w:tc>
          <w:tcPr>
            <w:tcW w:w="5399" w:type="dxa"/>
            <w:tcBorders>
              <w:top w:val="single" w:sz="4" w:space="0" w:color="455761"/>
              <w:left w:val="single" w:sz="4" w:space="0" w:color="455761"/>
              <w:bottom w:val="single" w:sz="4" w:space="0" w:color="455761"/>
              <w:right w:val="single" w:sz="4" w:space="0" w:color="455761"/>
            </w:tcBorders>
          </w:tcPr>
          <w:p w14:paraId="3887F987" w14:textId="77777777" w:rsidR="00BC053A" w:rsidRPr="00BC053A" w:rsidRDefault="00BC053A" w:rsidP="00BC053A">
            <w:pPr>
              <w:spacing w:before="60" w:after="60"/>
              <w:ind w:left="113" w:right="113"/>
              <w:rPr>
                <w:color w:val="414042"/>
                <w:sz w:val="18"/>
                <w:szCs w:val="18"/>
              </w:rPr>
            </w:pPr>
            <w:r w:rsidRPr="00BC053A">
              <w:rPr>
                <w:color w:val="414042"/>
                <w:sz w:val="18"/>
                <w:szCs w:val="18"/>
              </w:rPr>
              <w:t>1 April 2022 to 31 March 2023</w:t>
            </w:r>
          </w:p>
        </w:tc>
        <w:tc>
          <w:tcPr>
            <w:tcW w:w="5374" w:type="dxa"/>
            <w:tcBorders>
              <w:top w:val="single" w:sz="4" w:space="0" w:color="455761"/>
              <w:left w:val="single" w:sz="4" w:space="0" w:color="455761"/>
              <w:bottom w:val="single" w:sz="4" w:space="0" w:color="455761"/>
              <w:right w:val="single" w:sz="4" w:space="0" w:color="455761"/>
            </w:tcBorders>
          </w:tcPr>
          <w:p w14:paraId="537C9246" w14:textId="77777777" w:rsidR="00BC053A" w:rsidRPr="00BC053A" w:rsidRDefault="00BC053A" w:rsidP="00BC053A">
            <w:pPr>
              <w:spacing w:before="60" w:after="60"/>
              <w:ind w:left="113" w:right="113"/>
              <w:rPr>
                <w:color w:val="414042"/>
                <w:sz w:val="18"/>
                <w:szCs w:val="18"/>
              </w:rPr>
            </w:pPr>
            <w:r w:rsidRPr="00BC053A">
              <w:rPr>
                <w:color w:val="414042"/>
                <w:sz w:val="18"/>
                <w:szCs w:val="18"/>
              </w:rPr>
              <w:t>75%</w:t>
            </w:r>
          </w:p>
        </w:tc>
      </w:tr>
      <w:tr w:rsidR="00BC053A" w:rsidRPr="00BC053A" w14:paraId="281BE768" w14:textId="77777777" w:rsidTr="00B92D47">
        <w:trPr>
          <w:trHeight w:val="166"/>
        </w:trPr>
        <w:tc>
          <w:tcPr>
            <w:tcW w:w="5399" w:type="dxa"/>
            <w:tcBorders>
              <w:top w:val="single" w:sz="4" w:space="0" w:color="455761"/>
              <w:left w:val="single" w:sz="4" w:space="0" w:color="455761"/>
              <w:bottom w:val="single" w:sz="4" w:space="0" w:color="455761"/>
              <w:right w:val="single" w:sz="4" w:space="0" w:color="455761"/>
            </w:tcBorders>
          </w:tcPr>
          <w:p w14:paraId="5CD4FD12" w14:textId="77777777" w:rsidR="00BC053A" w:rsidRPr="00BC053A" w:rsidRDefault="00BC053A" w:rsidP="00BC053A">
            <w:pPr>
              <w:spacing w:before="60" w:after="60"/>
              <w:ind w:left="113" w:right="113"/>
              <w:rPr>
                <w:color w:val="414042"/>
                <w:sz w:val="18"/>
                <w:szCs w:val="18"/>
              </w:rPr>
            </w:pPr>
            <w:r w:rsidRPr="00BC053A">
              <w:rPr>
                <w:color w:val="414042"/>
                <w:sz w:val="18"/>
                <w:szCs w:val="18"/>
              </w:rPr>
              <w:t>1 April 2023 to 31 March 2024</w:t>
            </w:r>
          </w:p>
        </w:tc>
        <w:tc>
          <w:tcPr>
            <w:tcW w:w="5374" w:type="dxa"/>
            <w:tcBorders>
              <w:top w:val="single" w:sz="4" w:space="0" w:color="455761"/>
              <w:left w:val="single" w:sz="4" w:space="0" w:color="455761"/>
              <w:bottom w:val="single" w:sz="4" w:space="0" w:color="455761"/>
              <w:right w:val="single" w:sz="4" w:space="0" w:color="455761"/>
            </w:tcBorders>
          </w:tcPr>
          <w:p w14:paraId="71FD93CC" w14:textId="77777777" w:rsidR="00BC053A" w:rsidRPr="00BC053A" w:rsidRDefault="00BC053A" w:rsidP="00BC053A">
            <w:pPr>
              <w:spacing w:before="60" w:after="60"/>
              <w:ind w:left="113" w:right="113"/>
              <w:rPr>
                <w:color w:val="414042"/>
                <w:sz w:val="18"/>
                <w:szCs w:val="18"/>
              </w:rPr>
            </w:pPr>
            <w:r w:rsidRPr="00BC053A">
              <w:rPr>
                <w:color w:val="414042"/>
                <w:sz w:val="18"/>
                <w:szCs w:val="18"/>
              </w:rPr>
              <w:t>50%</w:t>
            </w:r>
          </w:p>
        </w:tc>
      </w:tr>
      <w:tr w:rsidR="00BC053A" w:rsidRPr="00BC053A" w14:paraId="2230B9B4" w14:textId="77777777" w:rsidTr="00B92D47">
        <w:trPr>
          <w:trHeight w:val="166"/>
        </w:trPr>
        <w:tc>
          <w:tcPr>
            <w:tcW w:w="5399" w:type="dxa"/>
            <w:tcBorders>
              <w:top w:val="single" w:sz="4" w:space="0" w:color="455761"/>
              <w:left w:val="single" w:sz="4" w:space="0" w:color="455761"/>
              <w:right w:val="single" w:sz="4" w:space="0" w:color="455761"/>
            </w:tcBorders>
          </w:tcPr>
          <w:p w14:paraId="518942A4" w14:textId="77777777" w:rsidR="00BC053A" w:rsidRPr="00BC053A" w:rsidRDefault="00BC053A" w:rsidP="00BC053A">
            <w:pPr>
              <w:spacing w:before="60" w:after="60"/>
              <w:ind w:left="113" w:right="113"/>
              <w:rPr>
                <w:color w:val="414042"/>
                <w:sz w:val="18"/>
                <w:szCs w:val="18"/>
              </w:rPr>
            </w:pPr>
            <w:r w:rsidRPr="00BC053A">
              <w:rPr>
                <w:color w:val="414042"/>
                <w:sz w:val="18"/>
                <w:szCs w:val="18"/>
              </w:rPr>
              <w:t>1 April 2024 to 31 March 2025</w:t>
            </w:r>
          </w:p>
        </w:tc>
        <w:tc>
          <w:tcPr>
            <w:tcW w:w="5374" w:type="dxa"/>
            <w:tcBorders>
              <w:top w:val="single" w:sz="4" w:space="0" w:color="455761"/>
              <w:left w:val="single" w:sz="4" w:space="0" w:color="455761"/>
              <w:right w:val="single" w:sz="4" w:space="0" w:color="455761"/>
            </w:tcBorders>
          </w:tcPr>
          <w:p w14:paraId="19CE80D2" w14:textId="77777777" w:rsidR="00BC053A" w:rsidRPr="00BC053A" w:rsidRDefault="00BC053A" w:rsidP="00BC053A">
            <w:pPr>
              <w:spacing w:before="60" w:after="60"/>
              <w:ind w:left="113" w:right="113"/>
              <w:rPr>
                <w:color w:val="414042"/>
                <w:sz w:val="18"/>
                <w:szCs w:val="18"/>
              </w:rPr>
            </w:pPr>
            <w:r w:rsidRPr="00BC053A">
              <w:rPr>
                <w:color w:val="414042"/>
                <w:sz w:val="18"/>
                <w:szCs w:val="18"/>
              </w:rPr>
              <w:t>25%</w:t>
            </w:r>
          </w:p>
        </w:tc>
      </w:tr>
    </w:tbl>
    <w:p w14:paraId="6C4536CA" w14:textId="77777777" w:rsidR="00137A99" w:rsidRDefault="00137A99" w:rsidP="00137A99">
      <w:pPr>
        <w:sectPr w:rsidR="00137A99" w:rsidSect="00F0143A">
          <w:type w:val="continuous"/>
          <w:pgSz w:w="11910" w:h="16840" w:code="9"/>
          <w:pgMar w:top="567" w:right="567" w:bottom="567" w:left="567" w:header="567" w:footer="567" w:gutter="0"/>
          <w:cols w:space="720"/>
        </w:sectPr>
      </w:pPr>
    </w:p>
    <w:p w14:paraId="380EF83E" w14:textId="176B375C" w:rsidR="000348DB" w:rsidRPr="00440DE9" w:rsidRDefault="00D1079E" w:rsidP="00A47541">
      <w:pPr>
        <w:pStyle w:val="Heading1"/>
      </w:pPr>
      <w:r w:rsidRPr="00440DE9">
        <w:t>Date property acquired</w:t>
      </w:r>
    </w:p>
    <w:p w14:paraId="6A8A2779" w14:textId="10A4CD7B" w:rsidR="00D1079E" w:rsidRPr="00C54D22" w:rsidRDefault="00D1079E" w:rsidP="00C54D22">
      <w:r w:rsidRPr="00C54D22">
        <w:t xml:space="preserve">For tax purposes, a property is generally acquired on the date a binding sale and purchase agreement is entered into (even if some conditions still need to be met). Full information on when a property is acquired can be found in </w:t>
      </w:r>
      <w:r w:rsidR="00241454" w:rsidRPr="00492770">
        <w:t>QB 17/02</w:t>
      </w:r>
      <w:r w:rsidRPr="00C54D22">
        <w:t xml:space="preserve"> on </w:t>
      </w:r>
      <w:hyperlink r:id="rId8" w:history="1">
        <w:r w:rsidRPr="00492770">
          <w:rPr>
            <w:rStyle w:val="Hyperlink"/>
          </w:rPr>
          <w:t>taxtechnical.ird.govt.nz</w:t>
        </w:r>
      </w:hyperlink>
    </w:p>
    <w:p w14:paraId="11877522" w14:textId="1D6BA4D4" w:rsidR="008C17C2" w:rsidRPr="00492770" w:rsidRDefault="008C17C2" w:rsidP="00BE2C54">
      <w:pPr>
        <w:pStyle w:val="Heading1"/>
      </w:pPr>
      <w:r w:rsidRPr="00492770">
        <w:t xml:space="preserve">Funds borrowed </w:t>
      </w:r>
      <w:r w:rsidR="007356EF" w:rsidRPr="00492770">
        <w:t xml:space="preserve">on or </w:t>
      </w:r>
      <w:r w:rsidRPr="00492770">
        <w:t xml:space="preserve">after </w:t>
      </w:r>
      <w:r w:rsidR="005A1E71" w:rsidRPr="00492770">
        <w:t>27</w:t>
      </w:r>
      <w:r w:rsidR="005A1E71">
        <w:t> </w:t>
      </w:r>
      <w:r w:rsidRPr="00492770">
        <w:t>March 2021</w:t>
      </w:r>
    </w:p>
    <w:p w14:paraId="693827BB" w14:textId="683E98AB" w:rsidR="008C17C2" w:rsidRPr="00C54D22" w:rsidRDefault="008C17C2" w:rsidP="00C54D22">
      <w:r w:rsidRPr="00C54D22">
        <w:t xml:space="preserve">If you borrowed funds </w:t>
      </w:r>
      <w:r w:rsidR="007B094B">
        <w:t xml:space="preserve">on or </w:t>
      </w:r>
      <w:r w:rsidRPr="00C54D22">
        <w:t>after 27 March 2021 for your property, interest deductions will no longer be allowed from 1 October 2021 except if you</w:t>
      </w:r>
      <w:r w:rsidR="003F2FC0">
        <w:t xml:space="preserve"> used those funds to purchase property acquired</w:t>
      </w:r>
      <w:r w:rsidRPr="00C54D22">
        <w:t>:</w:t>
      </w:r>
    </w:p>
    <w:p w14:paraId="79DD5BD3" w14:textId="28483BCC" w:rsidR="007F161D" w:rsidRPr="00C54D22" w:rsidRDefault="00B22EF8" w:rsidP="00E70DB9">
      <w:pPr>
        <w:pStyle w:val="ListParagraph"/>
      </w:pPr>
      <w:r w:rsidRPr="00C54D22">
        <w:t>before 27 March 2021</w:t>
      </w:r>
      <w:r w:rsidR="000F04D7">
        <w:t xml:space="preserve"> (for example, you entered into an </w:t>
      </w:r>
      <w:proofErr w:type="gramStart"/>
      <w:r w:rsidR="000F04D7">
        <w:t>agreement</w:t>
      </w:r>
      <w:proofErr w:type="gramEnd"/>
      <w:r w:rsidR="000F04D7">
        <w:t xml:space="preserve"> but settlement was in May 2021)</w:t>
      </w:r>
      <w:r w:rsidRPr="00C54D22">
        <w:t>, or</w:t>
      </w:r>
    </w:p>
    <w:p w14:paraId="1F86EE32" w14:textId="459F14E2" w:rsidR="007F161D" w:rsidRPr="00C54D22" w:rsidRDefault="00A3636E" w:rsidP="00E70DB9">
      <w:pPr>
        <w:pStyle w:val="ListParagraph"/>
      </w:pPr>
      <w:r>
        <w:t xml:space="preserve">as a result of an offer you made before </w:t>
      </w:r>
      <w:r w:rsidR="0066155A">
        <w:t>24 </w:t>
      </w:r>
      <w:r>
        <w:t>March 2021 that you weren’t permitted to withdraw before 27 March 2021 (for example, as part of the contractual terms and conditions in a tender process).</w:t>
      </w:r>
    </w:p>
    <w:p w14:paraId="11EA433C" w14:textId="77777777" w:rsidR="007F161D" w:rsidRPr="00C54D22" w:rsidRDefault="007F161D" w:rsidP="00C54D22">
      <w:r w:rsidRPr="00C54D22">
        <w:t>If either of these exceptions applies, your ability to deduct interest will be phased out according to the table above.</w:t>
      </w:r>
    </w:p>
    <w:p w14:paraId="025F975A" w14:textId="4A9DAB57" w:rsidR="002F0CA2" w:rsidRPr="00C54D22" w:rsidRDefault="007F161D" w:rsidP="00C54D22">
      <w:r w:rsidRPr="00C54D22">
        <w:t xml:space="preserve">Note: </w:t>
      </w:r>
      <w:r w:rsidR="00785996">
        <w:t>I</w:t>
      </w:r>
      <w:r w:rsidR="004E2636" w:rsidRPr="00C54D22">
        <w:t>f one of the exemptions for property development or new builds applies</w:t>
      </w:r>
      <w:r w:rsidR="009D7D21">
        <w:t xml:space="preserve"> you</w:t>
      </w:r>
      <w:r w:rsidR="00ED3C25">
        <w:t>r</w:t>
      </w:r>
      <w:r w:rsidR="009D7D21">
        <w:t xml:space="preserve"> interest deductions will not be limited under the proposed rules</w:t>
      </w:r>
      <w:r w:rsidR="00A512FB">
        <w:t>. For more information on th</w:t>
      </w:r>
      <w:r w:rsidR="00AC7BEF">
        <w:t>i</w:t>
      </w:r>
      <w:r w:rsidR="00A512FB">
        <w:t xml:space="preserve">s, see </w:t>
      </w:r>
      <w:r w:rsidR="00A512FB">
        <w:lastRenderedPageBreak/>
        <w:t>information sheet</w:t>
      </w:r>
      <w:r w:rsidR="004E2636" w:rsidRPr="00C54D22">
        <w:t xml:space="preserve"> </w:t>
      </w:r>
      <w:r w:rsidR="004E2636" w:rsidRPr="00492770">
        <w:t>4</w:t>
      </w:r>
      <w:r w:rsidR="002F0CA2" w:rsidRPr="00C54D22">
        <w:t xml:space="preserve"> –</w:t>
      </w:r>
      <w:r w:rsidR="00CD5DE2">
        <w:t xml:space="preserve"> </w:t>
      </w:r>
      <w:hyperlink r:id="rId9" w:history="1">
        <w:r w:rsidR="002F0CA2" w:rsidRPr="00492770">
          <w:rPr>
            <w:rStyle w:val="Hyperlink"/>
          </w:rPr>
          <w:t>Exemptions for property development and new builds</w:t>
        </w:r>
      </w:hyperlink>
      <w:r w:rsidR="002F0CA2" w:rsidRPr="00C54D22">
        <w:t>.</w:t>
      </w:r>
    </w:p>
    <w:p w14:paraId="18328436" w14:textId="6088FB52" w:rsidR="00072C23" w:rsidRPr="00BE2C54" w:rsidRDefault="00072C23" w:rsidP="00BE2C54">
      <w:pPr>
        <w:pStyle w:val="Heading1"/>
      </w:pPr>
      <w:r w:rsidRPr="00BE2C54">
        <w:t xml:space="preserve">Refinancing </w:t>
      </w:r>
      <w:r w:rsidR="009A6799" w:rsidRPr="00BE2C54">
        <w:t xml:space="preserve">on or </w:t>
      </w:r>
      <w:r w:rsidRPr="00BE2C54">
        <w:t xml:space="preserve">after </w:t>
      </w:r>
      <w:r w:rsidR="006B45D6" w:rsidRPr="00BE2C54">
        <w:t>27</w:t>
      </w:r>
      <w:r w:rsidR="006B45D6">
        <w:t> </w:t>
      </w:r>
      <w:r w:rsidR="006B45D6" w:rsidRPr="00BE2C54">
        <w:t>March</w:t>
      </w:r>
      <w:r w:rsidR="006B45D6">
        <w:t> </w:t>
      </w:r>
      <w:r w:rsidRPr="00BE2C54">
        <w:t>2021</w:t>
      </w:r>
    </w:p>
    <w:p w14:paraId="1CF0589F" w14:textId="77777777" w:rsidR="00072C23" w:rsidRDefault="00072C23" w:rsidP="00C54D22">
      <w:pPr>
        <w:rPr>
          <w:w w:val="115"/>
        </w:rPr>
      </w:pPr>
      <w:r w:rsidRPr="00C54D22">
        <w:t>Refinancing up to the level of the original loan will not affect the deductibility of your interest. If the original loan qualified for phasing out, then that treatment remains</w:t>
      </w:r>
      <w:r>
        <w:rPr>
          <w:w w:val="115"/>
        </w:rPr>
        <w:t xml:space="preserve"> the same.</w:t>
      </w:r>
    </w:p>
    <w:p w14:paraId="269B5473" w14:textId="77777777" w:rsidR="00BC74EA" w:rsidRPr="00492770" w:rsidRDefault="00072C23" w:rsidP="00BE2C54">
      <w:pPr>
        <w:pStyle w:val="Heading1"/>
      </w:pPr>
      <w:r w:rsidRPr="00492770">
        <w:t>Variable loans, such as a revolving credit or over</w:t>
      </w:r>
      <w:r w:rsidR="00BC74EA" w:rsidRPr="00492770">
        <w:t>draft</w:t>
      </w:r>
    </w:p>
    <w:p w14:paraId="223E3B1F" w14:textId="702E43CF" w:rsidR="00BC74EA" w:rsidRPr="00C54D22" w:rsidRDefault="00BC74EA" w:rsidP="00C54D22">
      <w:r w:rsidRPr="00C54D22">
        <w:t>Deductions for interest on a variable loan will also be phased out as per the table above. This is provided the amount outstanding (after subtracting any expenditure on deductible or private activities) is the same or lower than the amount that was outstanding</w:t>
      </w:r>
      <w:r w:rsidR="00F07D1A">
        <w:t xml:space="preserve"> </w:t>
      </w:r>
      <w:r w:rsidR="008F7D24">
        <w:t>on</w:t>
      </w:r>
      <w:r w:rsidRPr="00C54D22">
        <w:t xml:space="preserve"> 27 March 2021.</w:t>
      </w:r>
    </w:p>
    <w:p w14:paraId="71462B99" w14:textId="63E6D308" w:rsidR="009124BA" w:rsidRPr="00C54D22" w:rsidRDefault="002544AF" w:rsidP="00C54D22">
      <w:r w:rsidRPr="00C54D22">
        <w:t xml:space="preserve">If the amount outstanding is higher than the amount outstanding on 27 March 2021, only interest on the amount outstanding on </w:t>
      </w:r>
      <w:r w:rsidR="00023D33" w:rsidRPr="00C54D22">
        <w:t>27</w:t>
      </w:r>
      <w:r w:rsidR="00023D33">
        <w:t> </w:t>
      </w:r>
      <w:r w:rsidR="00023D33" w:rsidRPr="00C54D22">
        <w:t>March</w:t>
      </w:r>
      <w:r w:rsidR="00023D33">
        <w:t> </w:t>
      </w:r>
      <w:r w:rsidRPr="00C54D22">
        <w:t>2021 will be deductib</w:t>
      </w:r>
      <w:r w:rsidR="009124BA" w:rsidRPr="00C54D22">
        <w:t>le under the phased approach. Interest on the remainder of the amount outstanding will be non-deductible.</w:t>
      </w:r>
    </w:p>
    <w:p w14:paraId="19C252D4" w14:textId="77777777" w:rsidR="009124BA" w:rsidRPr="00440DE9" w:rsidRDefault="009124BA" w:rsidP="00440DE9">
      <w:pPr>
        <w:pStyle w:val="Heading1"/>
      </w:pPr>
      <w:r w:rsidRPr="00440DE9">
        <w:t>Borrowing used for other purposes</w:t>
      </w:r>
    </w:p>
    <w:p w14:paraId="60C6FA70" w14:textId="4D88084F" w:rsidR="00106491" w:rsidRDefault="00B23A6E" w:rsidP="0062734C">
      <w:r>
        <w:t xml:space="preserve">The interest limitation rules will not affect borrowings for non-residential property purposes. For example, if you borrow </w:t>
      </w:r>
      <w:r w:rsidR="00106491">
        <w:t xml:space="preserve">against a residential property to buy a truck for a </w:t>
      </w:r>
      <w:r w:rsidR="005F4EA0">
        <w:t>transport</w:t>
      </w:r>
      <w:r w:rsidR="00106491">
        <w:t xml:space="preserve"> business, your interest deductions will not be affected.</w:t>
      </w:r>
    </w:p>
    <w:p w14:paraId="0F58B453" w14:textId="7C303750" w:rsidR="0062734C" w:rsidRDefault="0062734C" w:rsidP="0062734C">
      <w:r>
        <w:t>If you took out a loan before 27 March 2021 and cannot work out how much of the loan was used for residential property and how much was used for other business property, a special transition rule will apply. Under that transition rule, the loan will be treated as being used to acquire your other business property first (based on the market value of that business property) and then the balance will be applied to the residential property.</w:t>
      </w:r>
    </w:p>
    <w:p w14:paraId="4417214A" w14:textId="37ECD1D6" w:rsidR="00D3610E" w:rsidRPr="00440DE9" w:rsidRDefault="00AC7BEF" w:rsidP="00440DE9">
      <w:pPr>
        <w:pStyle w:val="Heading1"/>
      </w:pPr>
      <w:r>
        <w:rPr>
          <w:w w:val="115"/>
        </w:rPr>
        <w:br w:type="column"/>
      </w:r>
      <w:r w:rsidR="0062734C" w:rsidRPr="00440DE9">
        <w:t>Property rented out and also used privately</w:t>
      </w:r>
    </w:p>
    <w:p w14:paraId="5DAEEF9E" w14:textId="50D1583A" w:rsidR="007E1027" w:rsidRDefault="007E1027" w:rsidP="007E1027">
      <w:r>
        <w:t xml:space="preserve">The interest limitation rules will apply to interest relating to residential property that is rented out some of the time and used privately some of the time. This is the case with many holiday homes. Interest expenses for such properties will be </w:t>
      </w:r>
      <w:r w:rsidR="005927F5">
        <w:t xml:space="preserve">entirely </w:t>
      </w:r>
      <w:r>
        <w:t>non-deductible from 1 October 2021 unless the interest qualifies for the phased approach because the loan is a pre-</w:t>
      </w:r>
      <w:r w:rsidR="00231A86">
        <w:t>27 March </w:t>
      </w:r>
      <w:r>
        <w:t>2021 loan (as discussed above).</w:t>
      </w:r>
    </w:p>
    <w:p w14:paraId="6E3C5C26" w14:textId="7E3A48A2" w:rsidR="007E1027" w:rsidRDefault="007E1027" w:rsidP="001A4BA4">
      <w:r>
        <w:t>The interest limitation rules will not apply if the interest relates to income you earn in your main home, for example, from a flatting or boarding situation. You will still be able to deduct some interest against that income.</w:t>
      </w:r>
    </w:p>
    <w:p w14:paraId="67C1E4BE" w14:textId="7326A1D3" w:rsidR="0062734C" w:rsidRPr="00440DE9" w:rsidRDefault="007E1027" w:rsidP="00440DE9">
      <w:pPr>
        <w:pStyle w:val="Heading1"/>
      </w:pPr>
      <w:r w:rsidRPr="00440DE9">
        <w:t>Changes in how property is held</w:t>
      </w:r>
    </w:p>
    <w:p w14:paraId="63F44018" w14:textId="77777777" w:rsidR="008338F7" w:rsidRDefault="008338F7" w:rsidP="008338F7">
      <w:r>
        <w:t xml:space="preserve">Proposed </w:t>
      </w:r>
      <w:r w:rsidRPr="00AB45B4">
        <w:t>rollover relief w</w:t>
      </w:r>
      <w:r>
        <w:t>ill</w:t>
      </w:r>
      <w:r w:rsidRPr="00AB45B4">
        <w:t xml:space="preserve"> </w:t>
      </w:r>
      <w:r>
        <w:t xml:space="preserve">allow you to change how you hold the property after 27 March 2021 but still allow you to deduct a </w:t>
      </w:r>
      <w:r w:rsidRPr="00AB45B4">
        <w:t xml:space="preserve">portion of </w:t>
      </w:r>
      <w:r>
        <w:t>your</w:t>
      </w:r>
      <w:r w:rsidRPr="00AB45B4">
        <w:t xml:space="preserve"> interest expense </w:t>
      </w:r>
      <w:r>
        <w:t>during the interest phase-out period</w:t>
      </w:r>
      <w:r w:rsidRPr="00AB45B4">
        <w:t>.</w:t>
      </w:r>
    </w:p>
    <w:p w14:paraId="2C4BB375" w14:textId="0A328AC8" w:rsidR="008338F7" w:rsidRDefault="008338F7" w:rsidP="008338F7">
      <w:r>
        <w:t xml:space="preserve">Relief will be provided for some transfers to family trusts and for transfers to or from look-through companies and </w:t>
      </w:r>
      <w:r w:rsidRPr="00AB0478">
        <w:t xml:space="preserve">partnerships. </w:t>
      </w:r>
      <w:r>
        <w:t xml:space="preserve">This is consistent with the relief proposed for the bright-line test. </w:t>
      </w:r>
      <w:r w:rsidRPr="00AB0478">
        <w:t xml:space="preserve">Specific relief is proposed for transfers </w:t>
      </w:r>
      <w:r>
        <w:t>of land subject to</w:t>
      </w:r>
      <w:r w:rsidRPr="00AB0478">
        <w:t xml:space="preserve"> the Te Ture Whenua M</w:t>
      </w:r>
      <w:r w:rsidRPr="00A51B9E">
        <w:rPr>
          <w:rFonts w:ascii="Calibri" w:hAnsi="Calibri" w:cs="Calibri"/>
        </w:rPr>
        <w:t>ā</w:t>
      </w:r>
      <w:r w:rsidRPr="00AB0478">
        <w:t>ori Act</w:t>
      </w:r>
      <w:r w:rsidR="00231A86">
        <w:t> </w:t>
      </w:r>
      <w:r w:rsidRPr="00AB0478">
        <w:t>1993 and transfers to trusts as part of settling Treaty claims.</w:t>
      </w:r>
    </w:p>
    <w:p w14:paraId="2C1AFDBC" w14:textId="1821A08C" w:rsidR="007E1027" w:rsidRPr="008338F7" w:rsidRDefault="008338F7" w:rsidP="008338F7">
      <w:r>
        <w:t xml:space="preserve">Relief will also be provided </w:t>
      </w:r>
      <w:r w:rsidRPr="00AB0478">
        <w:t>for relationship property settlements and transfers on death</w:t>
      </w:r>
      <w:r>
        <w:t>. This is in line with existing rollover relief provided under the bright-line test.</w:t>
      </w:r>
    </w:p>
    <w:p w14:paraId="3DCA1EE5" w14:textId="20570EF2" w:rsidR="0038676C" w:rsidRDefault="0038676C" w:rsidP="001C3817"/>
    <w:p w14:paraId="08DC3A2E" w14:textId="71F12E3A" w:rsidR="00C06129" w:rsidRDefault="00C06129" w:rsidP="00216C4F">
      <w:pPr>
        <w:sectPr w:rsidR="00C06129" w:rsidSect="00F0143A">
          <w:headerReference w:type="default" r:id="rId10"/>
          <w:type w:val="continuous"/>
          <w:pgSz w:w="11910" w:h="16840" w:code="9"/>
          <w:pgMar w:top="567" w:right="567" w:bottom="567" w:left="567" w:header="567" w:footer="567" w:gutter="0"/>
          <w:cols w:num="2" w:space="720"/>
        </w:sectPr>
      </w:pPr>
    </w:p>
    <w:p w14:paraId="3442C1E3" w14:textId="3200148D" w:rsidR="004C4D81" w:rsidRPr="00577D7C" w:rsidRDefault="004C4D81" w:rsidP="004C4D81">
      <w:pPr>
        <w:spacing w:before="1" w:after="0" w:line="264" w:lineRule="auto"/>
        <w:ind w:right="28"/>
        <w:jc w:val="both"/>
        <w:rPr>
          <w:sz w:val="16"/>
          <w:szCs w:val="16"/>
        </w:rPr>
      </w:pPr>
    </w:p>
    <w:p w14:paraId="317311CC" w14:textId="77777777" w:rsidR="00577D7C" w:rsidRPr="00577D7C" w:rsidRDefault="00577D7C" w:rsidP="004C4D81">
      <w:pPr>
        <w:spacing w:before="1" w:after="0" w:line="264" w:lineRule="auto"/>
        <w:ind w:right="28"/>
        <w:jc w:val="both"/>
        <w:rPr>
          <w:sz w:val="16"/>
          <w:szCs w:val="16"/>
        </w:rPr>
      </w:pPr>
    </w:p>
    <w:tbl>
      <w:tblPr>
        <w:tblStyle w:val="TableGrid"/>
        <w:tblW w:w="0" w:type="auto"/>
        <w:tblLook w:val="04A0" w:firstRow="1" w:lastRow="0" w:firstColumn="1" w:lastColumn="0" w:noHBand="0" w:noVBand="1"/>
      </w:tblPr>
      <w:tblGrid>
        <w:gridCol w:w="10766"/>
      </w:tblGrid>
      <w:tr w:rsidR="006F3744" w:rsidRPr="004B5D9B" w14:paraId="521BD80A" w14:textId="77777777" w:rsidTr="000C6D30">
        <w:tc>
          <w:tcPr>
            <w:tcW w:w="10766" w:type="dxa"/>
            <w:tcBorders>
              <w:top w:val="nil"/>
              <w:left w:val="nil"/>
              <w:bottom w:val="nil"/>
              <w:right w:val="nil"/>
            </w:tcBorders>
            <w:shd w:val="clear" w:color="auto" w:fill="D9D9D9" w:themeFill="background1" w:themeFillShade="D9"/>
          </w:tcPr>
          <w:p w14:paraId="5E35D43C" w14:textId="77777777" w:rsidR="006F3744" w:rsidRPr="00492770" w:rsidRDefault="006F3744" w:rsidP="000C6D30">
            <w:pPr>
              <w:spacing w:before="60" w:after="60"/>
              <w:rPr>
                <w:sz w:val="18"/>
                <w:szCs w:val="18"/>
              </w:rPr>
            </w:pPr>
            <w:r w:rsidRPr="00492770">
              <w:rPr>
                <w:sz w:val="18"/>
                <w:szCs w:val="18"/>
              </w:rPr>
              <w:t>This information sheet provides a brief description of the Government’s proposals. It does not attempt to provide comprehensive coverage. For full details of the proposals refer to the Supplementary Order Paper.</w:t>
            </w:r>
          </w:p>
        </w:tc>
      </w:tr>
    </w:tbl>
    <w:p w14:paraId="0E6FB618" w14:textId="644EBD9C" w:rsidR="00761AC9" w:rsidRPr="00B27EF2" w:rsidRDefault="00761AC9" w:rsidP="00F272B6">
      <w:pPr>
        <w:spacing w:before="1" w:after="0" w:line="264" w:lineRule="auto"/>
        <w:ind w:right="28"/>
        <w:jc w:val="both"/>
        <w:rPr>
          <w:color w:val="414042"/>
          <w:sz w:val="16"/>
          <w:szCs w:val="16"/>
        </w:rPr>
      </w:pPr>
    </w:p>
    <w:sectPr w:rsidR="00761AC9" w:rsidRPr="00B27EF2" w:rsidSect="004C4D81">
      <w:type w:val="continuous"/>
      <w:pgSz w:w="11910" w:h="16840" w:code="9"/>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F5A5A" w14:textId="77777777" w:rsidR="00D02174" w:rsidRDefault="00D02174" w:rsidP="00190013">
      <w:pPr>
        <w:spacing w:after="0"/>
      </w:pPr>
      <w:r>
        <w:separator/>
      </w:r>
    </w:p>
  </w:endnote>
  <w:endnote w:type="continuationSeparator" w:id="0">
    <w:p w14:paraId="49B365D2" w14:textId="77777777" w:rsidR="00D02174" w:rsidRDefault="00D02174" w:rsidP="00190013">
      <w:pPr>
        <w:spacing w:after="0"/>
      </w:pPr>
      <w:r>
        <w:continuationSeparator/>
      </w:r>
    </w:p>
  </w:endnote>
  <w:endnote w:type="continuationNotice" w:id="1">
    <w:p w14:paraId="3B71DBC0" w14:textId="77777777" w:rsidR="00D02174" w:rsidRDefault="00D021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143914"/>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066"/>
              <w:gridCol w:w="3589"/>
            </w:tblGrid>
            <w:tr w:rsidR="005859F3" w:rsidRPr="005859F3" w14:paraId="4900B9F7" w14:textId="77777777" w:rsidTr="00513B10">
              <w:tc>
                <w:tcPr>
                  <w:tcW w:w="4111" w:type="dxa"/>
                  <w:vAlign w:val="center"/>
                </w:tcPr>
                <w:p w14:paraId="11C12168" w14:textId="4B94AD18" w:rsidR="005859F3" w:rsidRPr="005859F3" w:rsidRDefault="005859F3" w:rsidP="005859F3">
                  <w:pPr>
                    <w:tabs>
                      <w:tab w:val="center" w:pos="5387"/>
                      <w:tab w:val="right" w:pos="10773"/>
                    </w:tabs>
                    <w:spacing w:after="0"/>
                    <w:rPr>
                      <w:sz w:val="16"/>
                      <w:szCs w:val="16"/>
                    </w:rPr>
                  </w:pPr>
                  <w:r w:rsidRPr="005859F3">
                    <w:rPr>
                      <w:noProof/>
                    </w:rPr>
                    <w:drawing>
                      <wp:anchor distT="0" distB="0" distL="114300" distR="114300" simplePos="0" relativeHeight="251660288" behindDoc="0" locked="0" layoutInCell="1" allowOverlap="1" wp14:anchorId="3BEB19EA" wp14:editId="454DF009">
                        <wp:simplePos x="0" y="0"/>
                        <wp:positionH relativeFrom="column">
                          <wp:posOffset>0</wp:posOffset>
                        </wp:positionH>
                        <wp:positionV relativeFrom="paragraph">
                          <wp:posOffset>123825</wp:posOffset>
                        </wp:positionV>
                        <wp:extent cx="2329200" cy="532800"/>
                        <wp:effectExtent l="0" t="0" r="0" b="635"/>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29200" cy="532800"/>
                                </a:xfrm>
                                <a:prstGeom prst="rect">
                                  <a:avLst/>
                                </a:prstGeom>
                              </pic:spPr>
                            </pic:pic>
                          </a:graphicData>
                        </a:graphic>
                        <wp14:sizeRelH relativeFrom="margin">
                          <wp14:pctWidth>0</wp14:pctWidth>
                        </wp14:sizeRelH>
                        <wp14:sizeRelV relativeFrom="margin">
                          <wp14:pctHeight>0</wp14:pctHeight>
                        </wp14:sizeRelV>
                      </wp:anchor>
                    </w:drawing>
                  </w:r>
                </w:p>
              </w:tc>
              <w:tc>
                <w:tcPr>
                  <w:tcW w:w="3066" w:type="dxa"/>
                  <w:vAlign w:val="bottom"/>
                </w:tcPr>
                <w:p w14:paraId="392B51B9" w14:textId="77777777" w:rsidR="005859F3" w:rsidRPr="005859F3" w:rsidRDefault="005859F3" w:rsidP="005859F3">
                  <w:pPr>
                    <w:tabs>
                      <w:tab w:val="center" w:pos="5387"/>
                      <w:tab w:val="right" w:pos="10773"/>
                    </w:tabs>
                    <w:spacing w:after="300"/>
                    <w:jc w:val="center"/>
                    <w:rPr>
                      <w:sz w:val="16"/>
                      <w:szCs w:val="16"/>
                    </w:rPr>
                  </w:pPr>
                  <w:r w:rsidRPr="005859F3">
                    <w:rPr>
                      <w:sz w:val="16"/>
                      <w:szCs w:val="16"/>
                    </w:rPr>
                    <w:t xml:space="preserve">Page </w:t>
                  </w:r>
                  <w:r w:rsidRPr="005859F3">
                    <w:rPr>
                      <w:b/>
                      <w:bCs/>
                      <w:sz w:val="16"/>
                      <w:szCs w:val="16"/>
                    </w:rPr>
                    <w:fldChar w:fldCharType="begin"/>
                  </w:r>
                  <w:r w:rsidRPr="005859F3">
                    <w:rPr>
                      <w:b/>
                      <w:bCs/>
                      <w:sz w:val="16"/>
                      <w:szCs w:val="16"/>
                    </w:rPr>
                    <w:instrText xml:space="preserve"> PAGE </w:instrText>
                  </w:r>
                  <w:r w:rsidRPr="005859F3">
                    <w:rPr>
                      <w:b/>
                      <w:bCs/>
                      <w:sz w:val="16"/>
                      <w:szCs w:val="16"/>
                    </w:rPr>
                    <w:fldChar w:fldCharType="separate"/>
                  </w:r>
                  <w:r w:rsidRPr="005859F3">
                    <w:rPr>
                      <w:b/>
                      <w:bCs/>
                      <w:sz w:val="16"/>
                      <w:szCs w:val="16"/>
                    </w:rPr>
                    <w:t>1</w:t>
                  </w:r>
                  <w:r w:rsidRPr="005859F3">
                    <w:rPr>
                      <w:b/>
                      <w:bCs/>
                      <w:sz w:val="16"/>
                      <w:szCs w:val="16"/>
                    </w:rPr>
                    <w:fldChar w:fldCharType="end"/>
                  </w:r>
                  <w:r w:rsidRPr="005859F3">
                    <w:rPr>
                      <w:sz w:val="16"/>
                      <w:szCs w:val="16"/>
                    </w:rPr>
                    <w:t xml:space="preserve"> of </w:t>
                  </w:r>
                  <w:r w:rsidRPr="005859F3">
                    <w:rPr>
                      <w:b/>
                      <w:bCs/>
                      <w:sz w:val="16"/>
                      <w:szCs w:val="16"/>
                    </w:rPr>
                    <w:fldChar w:fldCharType="begin"/>
                  </w:r>
                  <w:r w:rsidRPr="005859F3">
                    <w:rPr>
                      <w:b/>
                      <w:bCs/>
                      <w:sz w:val="16"/>
                      <w:szCs w:val="16"/>
                    </w:rPr>
                    <w:instrText xml:space="preserve"> NUMPAGES  </w:instrText>
                  </w:r>
                  <w:r w:rsidRPr="005859F3">
                    <w:rPr>
                      <w:b/>
                      <w:bCs/>
                      <w:sz w:val="16"/>
                      <w:szCs w:val="16"/>
                    </w:rPr>
                    <w:fldChar w:fldCharType="separate"/>
                  </w:r>
                  <w:r w:rsidRPr="005859F3">
                    <w:rPr>
                      <w:b/>
                      <w:bCs/>
                      <w:sz w:val="16"/>
                      <w:szCs w:val="16"/>
                    </w:rPr>
                    <w:t>2</w:t>
                  </w:r>
                  <w:r w:rsidRPr="005859F3">
                    <w:rPr>
                      <w:b/>
                      <w:bCs/>
                      <w:sz w:val="16"/>
                      <w:szCs w:val="16"/>
                    </w:rPr>
                    <w:fldChar w:fldCharType="end"/>
                  </w:r>
                </w:p>
              </w:tc>
              <w:tc>
                <w:tcPr>
                  <w:tcW w:w="3589" w:type="dxa"/>
                </w:tcPr>
                <w:p w14:paraId="4DEAEFDC" w14:textId="77777777" w:rsidR="005859F3" w:rsidRPr="005859F3" w:rsidRDefault="005859F3" w:rsidP="005859F3">
                  <w:pPr>
                    <w:tabs>
                      <w:tab w:val="center" w:pos="5387"/>
                      <w:tab w:val="right" w:pos="10773"/>
                    </w:tabs>
                    <w:spacing w:after="0"/>
                    <w:jc w:val="right"/>
                    <w:rPr>
                      <w:sz w:val="16"/>
                      <w:szCs w:val="16"/>
                    </w:rPr>
                  </w:pPr>
                  <w:r w:rsidRPr="005859F3">
                    <w:rPr>
                      <w:noProof/>
                      <w:sz w:val="16"/>
                      <w:szCs w:val="16"/>
                    </w:rPr>
                    <w:drawing>
                      <wp:inline distT="0" distB="0" distL="0" distR="0" wp14:anchorId="59FE74CA" wp14:editId="11D35C53">
                        <wp:extent cx="1418922" cy="712741"/>
                        <wp:effectExtent l="0" t="0" r="1270" b="762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8922" cy="712741"/>
                                </a:xfrm>
                                <a:prstGeom prst="rect">
                                  <a:avLst/>
                                </a:prstGeom>
                                <a:noFill/>
                              </pic:spPr>
                            </pic:pic>
                          </a:graphicData>
                        </a:graphic>
                      </wp:inline>
                    </w:drawing>
                  </w:r>
                </w:p>
              </w:tc>
            </w:tr>
          </w:tbl>
          <w:p w14:paraId="6CDB45CE" w14:textId="69B848B9" w:rsidR="00155858" w:rsidRPr="0003648F" w:rsidRDefault="00D02174" w:rsidP="0003648F">
            <w:pPr>
              <w:pStyle w:val="Footer"/>
              <w:tabs>
                <w:tab w:val="clear" w:pos="4513"/>
                <w:tab w:val="clear" w:pos="9026"/>
                <w:tab w:val="center" w:pos="5387"/>
                <w:tab w:val="right" w:pos="10773"/>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63F6" w14:textId="77777777" w:rsidR="00D02174" w:rsidRDefault="00D02174" w:rsidP="00190013">
      <w:pPr>
        <w:spacing w:after="0"/>
      </w:pPr>
      <w:r>
        <w:separator/>
      </w:r>
    </w:p>
  </w:footnote>
  <w:footnote w:type="continuationSeparator" w:id="0">
    <w:p w14:paraId="4EC94167" w14:textId="77777777" w:rsidR="00D02174" w:rsidRDefault="00D02174" w:rsidP="00190013">
      <w:pPr>
        <w:spacing w:after="0"/>
      </w:pPr>
      <w:r>
        <w:continuationSeparator/>
      </w:r>
    </w:p>
  </w:footnote>
  <w:footnote w:type="continuationNotice" w:id="1">
    <w:p w14:paraId="1AB7FB2C" w14:textId="77777777" w:rsidR="00D02174" w:rsidRDefault="00D021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0766"/>
    </w:tblGrid>
    <w:tr w:rsidR="009C1B3C" w14:paraId="4DA25353" w14:textId="77777777" w:rsidTr="00731B09">
      <w:tc>
        <w:tcPr>
          <w:tcW w:w="10766" w:type="dxa"/>
          <w:tcBorders>
            <w:top w:val="nil"/>
            <w:left w:val="nil"/>
            <w:bottom w:val="single" w:sz="24" w:space="0" w:color="4BACC6" w:themeColor="accent5"/>
            <w:right w:val="nil"/>
          </w:tcBorders>
        </w:tcPr>
        <w:p w14:paraId="12832EAD" w14:textId="77777777" w:rsidR="009C1B3C" w:rsidRDefault="009C1B3C">
          <w:pPr>
            <w:pStyle w:val="Header"/>
          </w:pPr>
        </w:p>
      </w:tc>
    </w:tr>
  </w:tbl>
  <w:p w14:paraId="038F58DD" w14:textId="77777777" w:rsidR="00482A50" w:rsidRDefault="00482A50" w:rsidP="0073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1.05pt;height:11.05pt" o:bullet="t">
        <v:imagedata r:id="rId1" o:title="msoCE1B"/>
      </v:shape>
    </w:pict>
  </w:numPicBullet>
  <w:abstractNum w:abstractNumId="0" w15:restartNumberingAfterBreak="0">
    <w:nsid w:val="FFFFFF7C"/>
    <w:multiLevelType w:val="singleLevel"/>
    <w:tmpl w:val="07186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681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0654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05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E27C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C7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26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08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47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AE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2261B"/>
    <w:multiLevelType w:val="hybridMultilevel"/>
    <w:tmpl w:val="48C2946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1" w15:restartNumberingAfterBreak="0">
    <w:nsid w:val="45EF28AA"/>
    <w:multiLevelType w:val="hybridMultilevel"/>
    <w:tmpl w:val="8F7023A2"/>
    <w:lvl w:ilvl="0" w:tplc="7B865BCC">
      <w:numFmt w:val="bullet"/>
      <w:lvlText w:val="•"/>
      <w:lvlJc w:val="left"/>
      <w:pPr>
        <w:ind w:left="409" w:hanging="283"/>
      </w:pPr>
      <w:rPr>
        <w:rFonts w:ascii="Lucida Sans" w:eastAsia="Lucida Sans" w:hAnsi="Lucida Sans" w:cs="Lucida Sans" w:hint="default"/>
        <w:b w:val="0"/>
        <w:bCs w:val="0"/>
        <w:i w:val="0"/>
        <w:iCs w:val="0"/>
        <w:color w:val="414042"/>
        <w:w w:val="75"/>
        <w:sz w:val="19"/>
        <w:szCs w:val="19"/>
        <w:lang w:val="en-US" w:eastAsia="en-US" w:bidi="ar-SA"/>
      </w:rPr>
    </w:lvl>
    <w:lvl w:ilvl="1" w:tplc="15B8A30E">
      <w:numFmt w:val="bullet"/>
      <w:lvlText w:val="•"/>
      <w:lvlJc w:val="left"/>
      <w:pPr>
        <w:ind w:left="874" w:hanging="283"/>
      </w:pPr>
      <w:rPr>
        <w:rFonts w:hint="default"/>
        <w:lang w:val="en-US" w:eastAsia="en-US" w:bidi="ar-SA"/>
      </w:rPr>
    </w:lvl>
    <w:lvl w:ilvl="2" w:tplc="B7409D60">
      <w:numFmt w:val="bullet"/>
      <w:lvlText w:val="•"/>
      <w:lvlJc w:val="left"/>
      <w:pPr>
        <w:ind w:left="1349" w:hanging="283"/>
      </w:pPr>
      <w:rPr>
        <w:rFonts w:hint="default"/>
        <w:lang w:val="en-US" w:eastAsia="en-US" w:bidi="ar-SA"/>
      </w:rPr>
    </w:lvl>
    <w:lvl w:ilvl="3" w:tplc="FDFEC1F6">
      <w:numFmt w:val="bullet"/>
      <w:lvlText w:val="•"/>
      <w:lvlJc w:val="left"/>
      <w:pPr>
        <w:ind w:left="1823" w:hanging="283"/>
      </w:pPr>
      <w:rPr>
        <w:rFonts w:hint="default"/>
        <w:lang w:val="en-US" w:eastAsia="en-US" w:bidi="ar-SA"/>
      </w:rPr>
    </w:lvl>
    <w:lvl w:ilvl="4" w:tplc="8070D25A">
      <w:numFmt w:val="bullet"/>
      <w:lvlText w:val="•"/>
      <w:lvlJc w:val="left"/>
      <w:pPr>
        <w:ind w:left="2298" w:hanging="283"/>
      </w:pPr>
      <w:rPr>
        <w:rFonts w:hint="default"/>
        <w:lang w:val="en-US" w:eastAsia="en-US" w:bidi="ar-SA"/>
      </w:rPr>
    </w:lvl>
    <w:lvl w:ilvl="5" w:tplc="6BA61BA2">
      <w:numFmt w:val="bullet"/>
      <w:lvlText w:val="•"/>
      <w:lvlJc w:val="left"/>
      <w:pPr>
        <w:ind w:left="2772" w:hanging="283"/>
      </w:pPr>
      <w:rPr>
        <w:rFonts w:hint="default"/>
        <w:lang w:val="en-US" w:eastAsia="en-US" w:bidi="ar-SA"/>
      </w:rPr>
    </w:lvl>
    <w:lvl w:ilvl="6" w:tplc="67360B8A">
      <w:numFmt w:val="bullet"/>
      <w:lvlText w:val="•"/>
      <w:lvlJc w:val="left"/>
      <w:pPr>
        <w:ind w:left="3247" w:hanging="283"/>
      </w:pPr>
      <w:rPr>
        <w:rFonts w:hint="default"/>
        <w:lang w:val="en-US" w:eastAsia="en-US" w:bidi="ar-SA"/>
      </w:rPr>
    </w:lvl>
    <w:lvl w:ilvl="7" w:tplc="F692C3E2">
      <w:numFmt w:val="bullet"/>
      <w:lvlText w:val="•"/>
      <w:lvlJc w:val="left"/>
      <w:pPr>
        <w:ind w:left="3721" w:hanging="283"/>
      </w:pPr>
      <w:rPr>
        <w:rFonts w:hint="default"/>
        <w:lang w:val="en-US" w:eastAsia="en-US" w:bidi="ar-SA"/>
      </w:rPr>
    </w:lvl>
    <w:lvl w:ilvl="8" w:tplc="4B5459C2">
      <w:numFmt w:val="bullet"/>
      <w:lvlText w:val="•"/>
      <w:lvlJc w:val="left"/>
      <w:pPr>
        <w:ind w:left="4196" w:hanging="283"/>
      </w:pPr>
      <w:rPr>
        <w:rFonts w:hint="default"/>
        <w:lang w:val="en-US" w:eastAsia="en-US" w:bidi="ar-SA"/>
      </w:rPr>
    </w:lvl>
  </w:abstractNum>
  <w:abstractNum w:abstractNumId="12" w15:restartNumberingAfterBreak="0">
    <w:nsid w:val="557F30D2"/>
    <w:multiLevelType w:val="hybridMultilevel"/>
    <w:tmpl w:val="6C3A5B40"/>
    <w:lvl w:ilvl="0" w:tplc="64A80B6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0101C19"/>
    <w:multiLevelType w:val="hybridMultilevel"/>
    <w:tmpl w:val="5E402EDA"/>
    <w:lvl w:ilvl="0" w:tplc="14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C60778F"/>
    <w:multiLevelType w:val="multilevel"/>
    <w:tmpl w:val="7C2C32E2"/>
    <w:lvl w:ilvl="0">
      <w:start w:val="1"/>
      <w:numFmt w:val="bullet"/>
      <w:pStyle w:val="ListParagraph"/>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8" w:hanging="284"/>
      </w:pPr>
      <w:rPr>
        <w:rFonts w:ascii="Times New Roman" w:hAnsi="Times New Roman" w:cs="Times New Roman"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755A4399"/>
    <w:multiLevelType w:val="hybridMultilevel"/>
    <w:tmpl w:val="F7A4F2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93B3185"/>
    <w:multiLevelType w:val="hybridMultilevel"/>
    <w:tmpl w:val="E07EED92"/>
    <w:lvl w:ilvl="0" w:tplc="8FBEEC68">
      <w:numFmt w:val="bullet"/>
      <w:lvlText w:val="•"/>
      <w:lvlJc w:val="left"/>
      <w:pPr>
        <w:ind w:left="403" w:hanging="283"/>
      </w:pPr>
      <w:rPr>
        <w:rFonts w:ascii="Lucida Sans" w:eastAsia="Lucida Sans" w:hAnsi="Lucida Sans" w:cs="Lucida Sans" w:hint="default"/>
        <w:b w:val="0"/>
        <w:bCs w:val="0"/>
        <w:i w:val="0"/>
        <w:iCs w:val="0"/>
        <w:color w:val="414042"/>
        <w:w w:val="75"/>
        <w:sz w:val="19"/>
        <w:szCs w:val="19"/>
        <w:lang w:val="en-US" w:eastAsia="en-US" w:bidi="ar-SA"/>
      </w:rPr>
    </w:lvl>
    <w:lvl w:ilvl="1" w:tplc="F626AEEA">
      <w:numFmt w:val="bullet"/>
      <w:lvlText w:val="•"/>
      <w:lvlJc w:val="left"/>
      <w:pPr>
        <w:ind w:left="902" w:hanging="283"/>
      </w:pPr>
      <w:rPr>
        <w:rFonts w:hint="default"/>
        <w:lang w:val="en-US" w:eastAsia="en-US" w:bidi="ar-SA"/>
      </w:rPr>
    </w:lvl>
    <w:lvl w:ilvl="2" w:tplc="D780CA86">
      <w:numFmt w:val="bullet"/>
      <w:lvlText w:val="•"/>
      <w:lvlJc w:val="left"/>
      <w:pPr>
        <w:ind w:left="1405" w:hanging="283"/>
      </w:pPr>
      <w:rPr>
        <w:rFonts w:hint="default"/>
        <w:lang w:val="en-US" w:eastAsia="en-US" w:bidi="ar-SA"/>
      </w:rPr>
    </w:lvl>
    <w:lvl w:ilvl="3" w:tplc="05E479F2">
      <w:numFmt w:val="bullet"/>
      <w:lvlText w:val="•"/>
      <w:lvlJc w:val="left"/>
      <w:pPr>
        <w:ind w:left="1908" w:hanging="283"/>
      </w:pPr>
      <w:rPr>
        <w:rFonts w:hint="default"/>
        <w:lang w:val="en-US" w:eastAsia="en-US" w:bidi="ar-SA"/>
      </w:rPr>
    </w:lvl>
    <w:lvl w:ilvl="4" w:tplc="ABA2F420">
      <w:numFmt w:val="bullet"/>
      <w:lvlText w:val="•"/>
      <w:lvlJc w:val="left"/>
      <w:pPr>
        <w:ind w:left="2411" w:hanging="283"/>
      </w:pPr>
      <w:rPr>
        <w:rFonts w:hint="default"/>
        <w:lang w:val="en-US" w:eastAsia="en-US" w:bidi="ar-SA"/>
      </w:rPr>
    </w:lvl>
    <w:lvl w:ilvl="5" w:tplc="F0408B84">
      <w:numFmt w:val="bullet"/>
      <w:lvlText w:val="•"/>
      <w:lvlJc w:val="left"/>
      <w:pPr>
        <w:ind w:left="2914" w:hanging="283"/>
      </w:pPr>
      <w:rPr>
        <w:rFonts w:hint="default"/>
        <w:lang w:val="en-US" w:eastAsia="en-US" w:bidi="ar-SA"/>
      </w:rPr>
    </w:lvl>
    <w:lvl w:ilvl="6" w:tplc="DE8E9574">
      <w:numFmt w:val="bullet"/>
      <w:lvlText w:val="•"/>
      <w:lvlJc w:val="left"/>
      <w:pPr>
        <w:ind w:left="3417" w:hanging="283"/>
      </w:pPr>
      <w:rPr>
        <w:rFonts w:hint="default"/>
        <w:lang w:val="en-US" w:eastAsia="en-US" w:bidi="ar-SA"/>
      </w:rPr>
    </w:lvl>
    <w:lvl w:ilvl="7" w:tplc="1016929C">
      <w:numFmt w:val="bullet"/>
      <w:lvlText w:val="•"/>
      <w:lvlJc w:val="left"/>
      <w:pPr>
        <w:ind w:left="3920" w:hanging="283"/>
      </w:pPr>
      <w:rPr>
        <w:rFonts w:hint="default"/>
        <w:lang w:val="en-US" w:eastAsia="en-US" w:bidi="ar-SA"/>
      </w:rPr>
    </w:lvl>
    <w:lvl w:ilvl="8" w:tplc="ED4C1262">
      <w:numFmt w:val="bullet"/>
      <w:lvlText w:val="•"/>
      <w:lvlJc w:val="left"/>
      <w:pPr>
        <w:ind w:left="4423" w:hanging="283"/>
      </w:pPr>
      <w:rPr>
        <w:rFonts w:hint="default"/>
        <w:lang w:val="en-US" w:eastAsia="en-US" w:bidi="ar-SA"/>
      </w:rPr>
    </w:lvl>
  </w:abstractNum>
  <w:abstractNum w:abstractNumId="17" w15:restartNumberingAfterBreak="0">
    <w:nsid w:val="7FA35256"/>
    <w:multiLevelType w:val="multilevel"/>
    <w:tmpl w:val="E6F279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4"/>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81"/>
    <w:rsid w:val="00011ACD"/>
    <w:rsid w:val="000219F6"/>
    <w:rsid w:val="00023D33"/>
    <w:rsid w:val="00031C1D"/>
    <w:rsid w:val="00034465"/>
    <w:rsid w:val="000348DB"/>
    <w:rsid w:val="0003648F"/>
    <w:rsid w:val="000401FB"/>
    <w:rsid w:val="00051275"/>
    <w:rsid w:val="00051FA2"/>
    <w:rsid w:val="000702E7"/>
    <w:rsid w:val="00070A5F"/>
    <w:rsid w:val="00072C23"/>
    <w:rsid w:val="00081F8B"/>
    <w:rsid w:val="000864F5"/>
    <w:rsid w:val="00091EAD"/>
    <w:rsid w:val="00092902"/>
    <w:rsid w:val="000A3355"/>
    <w:rsid w:val="000B2935"/>
    <w:rsid w:val="000B45CF"/>
    <w:rsid w:val="000B7445"/>
    <w:rsid w:val="000C7561"/>
    <w:rsid w:val="000D011A"/>
    <w:rsid w:val="000E7222"/>
    <w:rsid w:val="000F04D7"/>
    <w:rsid w:val="000F0757"/>
    <w:rsid w:val="000F7ABC"/>
    <w:rsid w:val="00101EF4"/>
    <w:rsid w:val="00104184"/>
    <w:rsid w:val="00106491"/>
    <w:rsid w:val="00115F9C"/>
    <w:rsid w:val="00137A99"/>
    <w:rsid w:val="001400EC"/>
    <w:rsid w:val="001423B3"/>
    <w:rsid w:val="00146C3D"/>
    <w:rsid w:val="00146FA6"/>
    <w:rsid w:val="001533B4"/>
    <w:rsid w:val="00155858"/>
    <w:rsid w:val="00162365"/>
    <w:rsid w:val="00174E06"/>
    <w:rsid w:val="00190013"/>
    <w:rsid w:val="00195702"/>
    <w:rsid w:val="001A1CA5"/>
    <w:rsid w:val="001A4BA4"/>
    <w:rsid w:val="001A5DD1"/>
    <w:rsid w:val="001B226B"/>
    <w:rsid w:val="001B3C69"/>
    <w:rsid w:val="001B4D74"/>
    <w:rsid w:val="001C3817"/>
    <w:rsid w:val="001F1A38"/>
    <w:rsid w:val="00216C4F"/>
    <w:rsid w:val="00231A86"/>
    <w:rsid w:val="0023317F"/>
    <w:rsid w:val="00241454"/>
    <w:rsid w:val="0025015B"/>
    <w:rsid w:val="002521E7"/>
    <w:rsid w:val="002544AF"/>
    <w:rsid w:val="00255281"/>
    <w:rsid w:val="00296C8E"/>
    <w:rsid w:val="002A13E2"/>
    <w:rsid w:val="002A56F1"/>
    <w:rsid w:val="002B6368"/>
    <w:rsid w:val="002E0587"/>
    <w:rsid w:val="002E4A60"/>
    <w:rsid w:val="002E4E54"/>
    <w:rsid w:val="002F0CA2"/>
    <w:rsid w:val="002F48FE"/>
    <w:rsid w:val="00345E63"/>
    <w:rsid w:val="00351D81"/>
    <w:rsid w:val="00362D8D"/>
    <w:rsid w:val="003802D4"/>
    <w:rsid w:val="00384584"/>
    <w:rsid w:val="0038676C"/>
    <w:rsid w:val="00390FC6"/>
    <w:rsid w:val="003B1A1D"/>
    <w:rsid w:val="003C21BF"/>
    <w:rsid w:val="003C4569"/>
    <w:rsid w:val="003C64D2"/>
    <w:rsid w:val="003D4B24"/>
    <w:rsid w:val="003E347D"/>
    <w:rsid w:val="003F12CC"/>
    <w:rsid w:val="003F2FC0"/>
    <w:rsid w:val="003F6ACC"/>
    <w:rsid w:val="0040273D"/>
    <w:rsid w:val="00440DE9"/>
    <w:rsid w:val="00441244"/>
    <w:rsid w:val="00450084"/>
    <w:rsid w:val="00470B2A"/>
    <w:rsid w:val="00482A50"/>
    <w:rsid w:val="00484A88"/>
    <w:rsid w:val="004920D6"/>
    <w:rsid w:val="00492770"/>
    <w:rsid w:val="004930B2"/>
    <w:rsid w:val="00493D37"/>
    <w:rsid w:val="004C38FF"/>
    <w:rsid w:val="004C4D81"/>
    <w:rsid w:val="004E2636"/>
    <w:rsid w:val="004E4A8C"/>
    <w:rsid w:val="004F2869"/>
    <w:rsid w:val="00507FAE"/>
    <w:rsid w:val="00530DEA"/>
    <w:rsid w:val="00542461"/>
    <w:rsid w:val="00543DA2"/>
    <w:rsid w:val="00552EE0"/>
    <w:rsid w:val="005606E0"/>
    <w:rsid w:val="00560707"/>
    <w:rsid w:val="00560A27"/>
    <w:rsid w:val="005629C5"/>
    <w:rsid w:val="00577D7C"/>
    <w:rsid w:val="00582384"/>
    <w:rsid w:val="00582649"/>
    <w:rsid w:val="0058464C"/>
    <w:rsid w:val="005859F3"/>
    <w:rsid w:val="005927F5"/>
    <w:rsid w:val="005A1E71"/>
    <w:rsid w:val="005A6D7E"/>
    <w:rsid w:val="005A79A2"/>
    <w:rsid w:val="005A7FC4"/>
    <w:rsid w:val="005B0EB8"/>
    <w:rsid w:val="005B412F"/>
    <w:rsid w:val="005C6195"/>
    <w:rsid w:val="005E290B"/>
    <w:rsid w:val="005E40E9"/>
    <w:rsid w:val="005E45E9"/>
    <w:rsid w:val="005E7428"/>
    <w:rsid w:val="005F4EA0"/>
    <w:rsid w:val="00602414"/>
    <w:rsid w:val="00603910"/>
    <w:rsid w:val="00617232"/>
    <w:rsid w:val="0062734C"/>
    <w:rsid w:val="00627B02"/>
    <w:rsid w:val="006408FB"/>
    <w:rsid w:val="0065469E"/>
    <w:rsid w:val="0066155A"/>
    <w:rsid w:val="00677171"/>
    <w:rsid w:val="006806EE"/>
    <w:rsid w:val="00680772"/>
    <w:rsid w:val="006A6D7F"/>
    <w:rsid w:val="006B0FB6"/>
    <w:rsid w:val="006B45D6"/>
    <w:rsid w:val="006C001C"/>
    <w:rsid w:val="006C13ED"/>
    <w:rsid w:val="006C238A"/>
    <w:rsid w:val="006D686A"/>
    <w:rsid w:val="006E203B"/>
    <w:rsid w:val="006E5611"/>
    <w:rsid w:val="006F0AE5"/>
    <w:rsid w:val="006F3744"/>
    <w:rsid w:val="0070653C"/>
    <w:rsid w:val="00711C75"/>
    <w:rsid w:val="007130CA"/>
    <w:rsid w:val="007223EC"/>
    <w:rsid w:val="00723BDC"/>
    <w:rsid w:val="00727FEF"/>
    <w:rsid w:val="00731B09"/>
    <w:rsid w:val="007356EF"/>
    <w:rsid w:val="00737D9E"/>
    <w:rsid w:val="00761AC9"/>
    <w:rsid w:val="0076369C"/>
    <w:rsid w:val="00766D9B"/>
    <w:rsid w:val="00770A37"/>
    <w:rsid w:val="007837EA"/>
    <w:rsid w:val="007843E1"/>
    <w:rsid w:val="007853AC"/>
    <w:rsid w:val="00785996"/>
    <w:rsid w:val="00791A42"/>
    <w:rsid w:val="00793FC6"/>
    <w:rsid w:val="00796D95"/>
    <w:rsid w:val="007A5D65"/>
    <w:rsid w:val="007B094B"/>
    <w:rsid w:val="007B7263"/>
    <w:rsid w:val="007D31CE"/>
    <w:rsid w:val="007D4AC2"/>
    <w:rsid w:val="007D6DA4"/>
    <w:rsid w:val="007E1027"/>
    <w:rsid w:val="007E2229"/>
    <w:rsid w:val="007E285D"/>
    <w:rsid w:val="007E443E"/>
    <w:rsid w:val="007F0976"/>
    <w:rsid w:val="007F161D"/>
    <w:rsid w:val="007F62A8"/>
    <w:rsid w:val="008109D2"/>
    <w:rsid w:val="00813ED0"/>
    <w:rsid w:val="00815376"/>
    <w:rsid w:val="00826C19"/>
    <w:rsid w:val="00831092"/>
    <w:rsid w:val="008338F7"/>
    <w:rsid w:val="00833B15"/>
    <w:rsid w:val="00835F56"/>
    <w:rsid w:val="0086090D"/>
    <w:rsid w:val="0089795F"/>
    <w:rsid w:val="008B488D"/>
    <w:rsid w:val="008C17C2"/>
    <w:rsid w:val="008D7360"/>
    <w:rsid w:val="008F7D24"/>
    <w:rsid w:val="009042B4"/>
    <w:rsid w:val="00905787"/>
    <w:rsid w:val="009124BA"/>
    <w:rsid w:val="00926C66"/>
    <w:rsid w:val="009333C1"/>
    <w:rsid w:val="00934DE9"/>
    <w:rsid w:val="00936589"/>
    <w:rsid w:val="00963737"/>
    <w:rsid w:val="00963F58"/>
    <w:rsid w:val="00976761"/>
    <w:rsid w:val="009767C0"/>
    <w:rsid w:val="0098155D"/>
    <w:rsid w:val="00981685"/>
    <w:rsid w:val="0098690E"/>
    <w:rsid w:val="00987D6F"/>
    <w:rsid w:val="009921DC"/>
    <w:rsid w:val="009A2D06"/>
    <w:rsid w:val="009A6799"/>
    <w:rsid w:val="009C1B3C"/>
    <w:rsid w:val="009C3C2A"/>
    <w:rsid w:val="009D7D21"/>
    <w:rsid w:val="009F4400"/>
    <w:rsid w:val="00A00F97"/>
    <w:rsid w:val="00A079FB"/>
    <w:rsid w:val="00A20610"/>
    <w:rsid w:val="00A3019D"/>
    <w:rsid w:val="00A34CDA"/>
    <w:rsid w:val="00A3636E"/>
    <w:rsid w:val="00A46966"/>
    <w:rsid w:val="00A47541"/>
    <w:rsid w:val="00A512FB"/>
    <w:rsid w:val="00A5389D"/>
    <w:rsid w:val="00A5753C"/>
    <w:rsid w:val="00A7237E"/>
    <w:rsid w:val="00AA380F"/>
    <w:rsid w:val="00AC7BEF"/>
    <w:rsid w:val="00B05ADE"/>
    <w:rsid w:val="00B078B0"/>
    <w:rsid w:val="00B1334B"/>
    <w:rsid w:val="00B1576A"/>
    <w:rsid w:val="00B22EF8"/>
    <w:rsid w:val="00B23A6E"/>
    <w:rsid w:val="00B27EF2"/>
    <w:rsid w:val="00B54957"/>
    <w:rsid w:val="00B57A39"/>
    <w:rsid w:val="00BA5473"/>
    <w:rsid w:val="00BA6EB8"/>
    <w:rsid w:val="00BC053A"/>
    <w:rsid w:val="00BC13B6"/>
    <w:rsid w:val="00BC74EA"/>
    <w:rsid w:val="00BD247B"/>
    <w:rsid w:val="00BE2C54"/>
    <w:rsid w:val="00BE658E"/>
    <w:rsid w:val="00C00E9A"/>
    <w:rsid w:val="00C06129"/>
    <w:rsid w:val="00C20BDB"/>
    <w:rsid w:val="00C35C30"/>
    <w:rsid w:val="00C50B42"/>
    <w:rsid w:val="00C53D70"/>
    <w:rsid w:val="00C54D22"/>
    <w:rsid w:val="00C551CE"/>
    <w:rsid w:val="00C6386D"/>
    <w:rsid w:val="00C64528"/>
    <w:rsid w:val="00C80AAC"/>
    <w:rsid w:val="00C82ED0"/>
    <w:rsid w:val="00C87BCE"/>
    <w:rsid w:val="00CB43CC"/>
    <w:rsid w:val="00CC6B12"/>
    <w:rsid w:val="00CD5DE2"/>
    <w:rsid w:val="00CD7C9E"/>
    <w:rsid w:val="00CE27FD"/>
    <w:rsid w:val="00CE3D04"/>
    <w:rsid w:val="00CE729C"/>
    <w:rsid w:val="00CF66E6"/>
    <w:rsid w:val="00CF7A21"/>
    <w:rsid w:val="00D02174"/>
    <w:rsid w:val="00D1079E"/>
    <w:rsid w:val="00D3033C"/>
    <w:rsid w:val="00D35072"/>
    <w:rsid w:val="00D3610E"/>
    <w:rsid w:val="00D519FA"/>
    <w:rsid w:val="00D550C8"/>
    <w:rsid w:val="00D67C92"/>
    <w:rsid w:val="00D70503"/>
    <w:rsid w:val="00D77EFC"/>
    <w:rsid w:val="00D83EA4"/>
    <w:rsid w:val="00D86828"/>
    <w:rsid w:val="00D911C9"/>
    <w:rsid w:val="00D9692C"/>
    <w:rsid w:val="00DA0BE6"/>
    <w:rsid w:val="00DB3EC9"/>
    <w:rsid w:val="00DE0E4B"/>
    <w:rsid w:val="00E01E42"/>
    <w:rsid w:val="00E11126"/>
    <w:rsid w:val="00E13B6B"/>
    <w:rsid w:val="00E20A19"/>
    <w:rsid w:val="00E32EB1"/>
    <w:rsid w:val="00E4712C"/>
    <w:rsid w:val="00E62D4B"/>
    <w:rsid w:val="00E70DB9"/>
    <w:rsid w:val="00E84F64"/>
    <w:rsid w:val="00E95D7B"/>
    <w:rsid w:val="00EA3BFE"/>
    <w:rsid w:val="00EA4E30"/>
    <w:rsid w:val="00EA6680"/>
    <w:rsid w:val="00EA713C"/>
    <w:rsid w:val="00EB320E"/>
    <w:rsid w:val="00ED3C25"/>
    <w:rsid w:val="00ED5E1A"/>
    <w:rsid w:val="00EE79A9"/>
    <w:rsid w:val="00EF61D4"/>
    <w:rsid w:val="00F0143A"/>
    <w:rsid w:val="00F04149"/>
    <w:rsid w:val="00F07D1A"/>
    <w:rsid w:val="00F272B6"/>
    <w:rsid w:val="00F274CC"/>
    <w:rsid w:val="00F30869"/>
    <w:rsid w:val="00F31807"/>
    <w:rsid w:val="00F37C0E"/>
    <w:rsid w:val="00F54259"/>
    <w:rsid w:val="00F56B6B"/>
    <w:rsid w:val="00F60FD0"/>
    <w:rsid w:val="00F70731"/>
    <w:rsid w:val="00F72012"/>
    <w:rsid w:val="00F73AD6"/>
    <w:rsid w:val="00F7774B"/>
    <w:rsid w:val="00F82DC2"/>
    <w:rsid w:val="00F845AD"/>
    <w:rsid w:val="00F924A9"/>
    <w:rsid w:val="00FA1BA4"/>
    <w:rsid w:val="00FA1D4A"/>
    <w:rsid w:val="00FC7F71"/>
    <w:rsid w:val="00FF1342"/>
    <w:rsid w:val="00FF1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0C77"/>
  <w15:docId w15:val="{DCD743C7-2E78-4D11-A533-BC566AA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D1"/>
    <w:pPr>
      <w:spacing w:after="200"/>
    </w:pPr>
    <w:rPr>
      <w:rFonts w:ascii="Verdana" w:eastAsia="Lucida Sans" w:hAnsi="Verdana" w:cs="Lucida Sans"/>
      <w:sz w:val="20"/>
      <w:lang w:val="en-NZ"/>
    </w:rPr>
  </w:style>
  <w:style w:type="paragraph" w:styleId="Heading1">
    <w:name w:val="heading 1"/>
    <w:basedOn w:val="Normal"/>
    <w:uiPriority w:val="9"/>
    <w:qFormat/>
    <w:rsid w:val="00440DE9"/>
    <w:pPr>
      <w:keepNext/>
      <w:keepLines/>
      <w:widowControl/>
      <w:spacing w:before="200"/>
      <w:outlineLvl w:val="0"/>
    </w:pPr>
    <w:rPr>
      <w:b/>
      <w:color w:val="2993BC"/>
      <w:sz w:val="24"/>
      <w:szCs w:val="44"/>
    </w:rPr>
  </w:style>
  <w:style w:type="paragraph" w:styleId="Heading2">
    <w:name w:val="heading 2"/>
    <w:basedOn w:val="Heading1"/>
    <w:next w:val="Normal"/>
    <w:link w:val="Heading2Char"/>
    <w:uiPriority w:val="9"/>
    <w:unhideWhenUsed/>
    <w:qFormat/>
    <w:rsid w:val="001A5DD1"/>
    <w:pPr>
      <w:outlineLvl w:val="1"/>
    </w:pPr>
    <w:rPr>
      <w:i/>
      <w:sz w:val="20"/>
    </w:rPr>
  </w:style>
  <w:style w:type="paragraph" w:styleId="Heading3">
    <w:name w:val="heading 3"/>
    <w:basedOn w:val="Heading2"/>
    <w:next w:val="Normal"/>
    <w:link w:val="Heading3Char"/>
    <w:uiPriority w:val="9"/>
    <w:unhideWhenUsed/>
    <w:qFormat/>
    <w:rsid w:val="001A5DD1"/>
    <w:pPr>
      <w:outlineLvl w:val="2"/>
    </w:pPr>
    <w:rPr>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3F6ACC"/>
    <w:pPr>
      <w:spacing w:before="60" w:after="60"/>
      <w:ind w:left="113" w:right="113"/>
    </w:pPr>
    <w:rPr>
      <w:w w:val="95"/>
      <w:szCs w:val="20"/>
    </w:rPr>
  </w:style>
  <w:style w:type="paragraph" w:styleId="Title">
    <w:name w:val="Title"/>
    <w:basedOn w:val="Normal"/>
    <w:uiPriority w:val="10"/>
    <w:qFormat/>
    <w:rsid w:val="001A5DD1"/>
    <w:pPr>
      <w:spacing w:before="200" w:after="240"/>
      <w:outlineLvl w:val="0"/>
    </w:pPr>
    <w:rPr>
      <w:b/>
      <w:color w:val="2993BC"/>
      <w:sz w:val="44"/>
      <w:szCs w:val="44"/>
    </w:rPr>
  </w:style>
  <w:style w:type="paragraph" w:styleId="ListParagraph">
    <w:name w:val="List Paragraph"/>
    <w:basedOn w:val="Normal"/>
    <w:uiPriority w:val="1"/>
    <w:qFormat/>
    <w:rsid w:val="00216C4F"/>
    <w:pPr>
      <w:numPr>
        <w:numId w:val="5"/>
      </w:numPr>
    </w:p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190013"/>
    <w:pPr>
      <w:tabs>
        <w:tab w:val="center" w:pos="4513"/>
        <w:tab w:val="right" w:pos="9026"/>
      </w:tabs>
    </w:pPr>
  </w:style>
  <w:style w:type="character" w:customStyle="1" w:styleId="HeaderChar">
    <w:name w:val="Header Char"/>
    <w:basedOn w:val="DefaultParagraphFont"/>
    <w:link w:val="Header"/>
    <w:uiPriority w:val="99"/>
    <w:rsid w:val="00190013"/>
    <w:rPr>
      <w:rFonts w:ascii="Lucida Sans" w:eastAsia="Lucida Sans" w:hAnsi="Lucida Sans" w:cs="Lucida Sans"/>
    </w:rPr>
  </w:style>
  <w:style w:type="paragraph" w:styleId="Footer">
    <w:name w:val="footer"/>
    <w:basedOn w:val="Normal"/>
    <w:link w:val="FooterChar"/>
    <w:uiPriority w:val="99"/>
    <w:unhideWhenUsed/>
    <w:rsid w:val="00190013"/>
    <w:pPr>
      <w:tabs>
        <w:tab w:val="center" w:pos="4513"/>
        <w:tab w:val="right" w:pos="9026"/>
      </w:tabs>
    </w:pPr>
  </w:style>
  <w:style w:type="character" w:customStyle="1" w:styleId="FooterChar">
    <w:name w:val="Footer Char"/>
    <w:basedOn w:val="DefaultParagraphFont"/>
    <w:link w:val="Footer"/>
    <w:uiPriority w:val="99"/>
    <w:rsid w:val="00190013"/>
    <w:rPr>
      <w:rFonts w:ascii="Lucida Sans" w:eastAsia="Lucida Sans" w:hAnsi="Lucida Sans" w:cs="Lucida Sans"/>
    </w:rPr>
  </w:style>
  <w:style w:type="character" w:customStyle="1" w:styleId="Heading2Char">
    <w:name w:val="Heading 2 Char"/>
    <w:basedOn w:val="DefaultParagraphFont"/>
    <w:link w:val="Heading2"/>
    <w:uiPriority w:val="9"/>
    <w:rsid w:val="001A5DD1"/>
    <w:rPr>
      <w:rFonts w:ascii="Verdana" w:eastAsia="Lucida Sans" w:hAnsi="Verdana" w:cs="Lucida Sans"/>
      <w:b/>
      <w:i/>
      <w:color w:val="2993BC"/>
      <w:w w:val="105"/>
      <w:sz w:val="20"/>
      <w:szCs w:val="44"/>
      <w:lang w:val="en-NZ"/>
    </w:rPr>
  </w:style>
  <w:style w:type="character" w:customStyle="1" w:styleId="Heading3Char">
    <w:name w:val="Heading 3 Char"/>
    <w:basedOn w:val="DefaultParagraphFont"/>
    <w:link w:val="Heading3"/>
    <w:uiPriority w:val="9"/>
    <w:rsid w:val="001A5DD1"/>
    <w:rPr>
      <w:rFonts w:ascii="Verdana" w:eastAsia="Lucida Sans" w:hAnsi="Verdana" w:cs="Lucida Sans"/>
      <w:i/>
      <w:color w:val="2993BC"/>
      <w:w w:val="105"/>
      <w:sz w:val="20"/>
      <w:szCs w:val="20"/>
      <w:lang w:val="en-NZ"/>
    </w:rPr>
  </w:style>
  <w:style w:type="character" w:styleId="Hyperlink">
    <w:name w:val="Hyperlink"/>
    <w:basedOn w:val="DefaultParagraphFont"/>
    <w:uiPriority w:val="99"/>
    <w:unhideWhenUsed/>
    <w:rsid w:val="00216C4F"/>
    <w:rPr>
      <w:color w:val="0000FF" w:themeColor="hyperlink"/>
      <w:u w:val="single"/>
    </w:rPr>
  </w:style>
  <w:style w:type="character" w:styleId="Strong">
    <w:name w:val="Strong"/>
    <w:basedOn w:val="DefaultParagraphFont"/>
    <w:uiPriority w:val="22"/>
    <w:qFormat/>
    <w:rsid w:val="007223EC"/>
    <w:rPr>
      <w:b/>
      <w:bCs/>
    </w:rPr>
  </w:style>
  <w:style w:type="character" w:styleId="Emphasis">
    <w:name w:val="Emphasis"/>
    <w:basedOn w:val="DefaultParagraphFont"/>
    <w:uiPriority w:val="20"/>
    <w:qFormat/>
    <w:rsid w:val="007223EC"/>
    <w:rPr>
      <w:b/>
      <w:i w:val="0"/>
      <w:iCs/>
    </w:rPr>
  </w:style>
  <w:style w:type="character" w:styleId="IntenseEmphasis">
    <w:name w:val="Intense Emphasis"/>
    <w:basedOn w:val="DefaultParagraphFont"/>
    <w:uiPriority w:val="21"/>
    <w:qFormat/>
    <w:rsid w:val="007223EC"/>
    <w:rPr>
      <w:b/>
      <w:i/>
      <w:iCs/>
      <w:color w:val="auto"/>
    </w:rPr>
  </w:style>
  <w:style w:type="character" w:styleId="SubtleEmphasis">
    <w:name w:val="Subtle Emphasis"/>
    <w:basedOn w:val="DefaultParagraphFont"/>
    <w:uiPriority w:val="19"/>
    <w:qFormat/>
    <w:rsid w:val="005606E0"/>
    <w:rPr>
      <w:i/>
      <w:iCs/>
      <w:color w:val="auto"/>
    </w:rPr>
  </w:style>
  <w:style w:type="paragraph" w:styleId="FootnoteText">
    <w:name w:val="footnote text"/>
    <w:basedOn w:val="Normal"/>
    <w:link w:val="FootnoteTextChar"/>
    <w:uiPriority w:val="99"/>
    <w:semiHidden/>
    <w:unhideWhenUsed/>
    <w:qFormat/>
    <w:rsid w:val="00BD247B"/>
    <w:pPr>
      <w:spacing w:after="60"/>
    </w:pPr>
    <w:rPr>
      <w:sz w:val="18"/>
      <w:szCs w:val="20"/>
    </w:rPr>
  </w:style>
  <w:style w:type="character" w:customStyle="1" w:styleId="FootnoteTextChar">
    <w:name w:val="Footnote Text Char"/>
    <w:basedOn w:val="DefaultParagraphFont"/>
    <w:link w:val="FootnoteText"/>
    <w:uiPriority w:val="99"/>
    <w:semiHidden/>
    <w:rsid w:val="00BD247B"/>
    <w:rPr>
      <w:rFonts w:ascii="Verdana" w:eastAsia="Lucida Sans" w:hAnsi="Verdana" w:cs="Lucida Sans"/>
      <w:sz w:val="18"/>
      <w:szCs w:val="20"/>
      <w:lang w:val="en-NZ"/>
    </w:rPr>
  </w:style>
  <w:style w:type="character" w:styleId="FootnoteReference">
    <w:name w:val="footnote reference"/>
    <w:basedOn w:val="DefaultParagraphFont"/>
    <w:uiPriority w:val="99"/>
    <w:semiHidden/>
    <w:unhideWhenUsed/>
    <w:rsid w:val="00C80AAC"/>
    <w:rPr>
      <w:vertAlign w:val="superscript"/>
    </w:rPr>
  </w:style>
  <w:style w:type="character" w:styleId="UnresolvedMention">
    <w:name w:val="Unresolved Mention"/>
    <w:basedOn w:val="DefaultParagraphFont"/>
    <w:uiPriority w:val="99"/>
    <w:semiHidden/>
    <w:unhideWhenUsed/>
    <w:rsid w:val="00543DA2"/>
    <w:rPr>
      <w:color w:val="605E5C"/>
      <w:shd w:val="clear" w:color="auto" w:fill="E1DFDD"/>
    </w:rPr>
  </w:style>
  <w:style w:type="paragraph" w:customStyle="1" w:styleId="Tableheading">
    <w:name w:val="Table heading"/>
    <w:basedOn w:val="Normal"/>
    <w:qFormat/>
    <w:rsid w:val="003F6ACC"/>
    <w:pPr>
      <w:spacing w:before="60" w:after="60"/>
      <w:ind w:left="113" w:right="113"/>
    </w:pPr>
    <w:rPr>
      <w:b/>
      <w:color w:val="FFFFFF"/>
      <w:spacing w:val="-1"/>
      <w:szCs w:val="20"/>
    </w:rPr>
  </w:style>
  <w:style w:type="table" w:styleId="TableGrid">
    <w:name w:val="Table Grid"/>
    <w:basedOn w:val="TableNormal"/>
    <w:uiPriority w:val="39"/>
    <w:rsid w:val="00E9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6680"/>
    <w:pPr>
      <w:spacing w:after="0"/>
    </w:pPr>
    <w:rPr>
      <w:rFonts w:ascii="Lucida Sans" w:hAnsi="Lucida Sans"/>
      <w:sz w:val="19"/>
      <w:szCs w:val="19"/>
      <w:lang w:val="en-US"/>
    </w:rPr>
  </w:style>
  <w:style w:type="character" w:customStyle="1" w:styleId="BodyTextChar">
    <w:name w:val="Body Text Char"/>
    <w:basedOn w:val="DefaultParagraphFont"/>
    <w:link w:val="BodyText"/>
    <w:uiPriority w:val="1"/>
    <w:rsid w:val="00EA6680"/>
    <w:rPr>
      <w:rFonts w:ascii="Lucida Sans" w:eastAsia="Lucida Sans" w:hAnsi="Lucida Sans" w:cs="Lucida Sans"/>
      <w:sz w:val="19"/>
      <w:szCs w:val="19"/>
    </w:rPr>
  </w:style>
  <w:style w:type="paragraph" w:styleId="Revision">
    <w:name w:val="Revision"/>
    <w:hidden/>
    <w:uiPriority w:val="99"/>
    <w:semiHidden/>
    <w:rsid w:val="00F7774B"/>
    <w:pPr>
      <w:widowControl/>
      <w:autoSpaceDE/>
      <w:autoSpaceDN/>
    </w:pPr>
    <w:rPr>
      <w:rFonts w:ascii="Verdana" w:eastAsia="Lucida Sans" w:hAnsi="Verdana" w:cs="Lucida Sans"/>
      <w:sz w:val="20"/>
      <w:lang w:val="en-NZ"/>
    </w:rPr>
  </w:style>
  <w:style w:type="table" w:customStyle="1" w:styleId="TableGrid1">
    <w:name w:val="Table Grid1"/>
    <w:basedOn w:val="TableNormal"/>
    <w:next w:val="TableGrid"/>
    <w:uiPriority w:val="39"/>
    <w:rsid w:val="005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xtechnical.ird.govt.nz/questions-we-ve-been-asked/2017/qb-1702-income-tax-date-of-acquisition-of-land-and-start-date-for-2-year-bright-line-tes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xpolicy.ird.govt.nz/publications/2021/2021-other-interest-limitation/4-exemption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5197</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Information sheet 5 – How interest deductions are affected (September 2021)</vt:lpstr>
    </vt:vector>
  </TitlesOfParts>
  <Company>Inland Revenue</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5 – How interest deductions are affected (September 2021)</dc:title>
  <dc:creator>Policy and Regulatory Stewardship</dc:creator>
  <dcterms:created xsi:type="dcterms:W3CDTF">2021-09-27T21:14:00Z</dcterms:created>
  <dcterms:modified xsi:type="dcterms:W3CDTF">2021-09-27T21:15:00Z</dcterms:modified>
</cp:coreProperties>
</file>