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8C3B" w14:textId="5B604A63" w:rsidR="00E92509" w:rsidRPr="0067537D" w:rsidRDefault="00A6696A" w:rsidP="00293FDC">
      <w:pPr>
        <w:pStyle w:val="Heading1"/>
        <w:spacing w:before="0"/>
      </w:pPr>
      <w:bookmarkStart w:id="0" w:name="_Hlk40949368"/>
      <w:r>
        <w:t>Supplementary Analysis Report</w:t>
      </w:r>
      <w:r w:rsidR="00783846" w:rsidRPr="00957BC2">
        <w:t>:</w:t>
      </w:r>
      <w:r w:rsidR="007C77B1" w:rsidRPr="00957BC2">
        <w:t xml:space="preserve"> </w:t>
      </w:r>
      <w:r>
        <w:t>Purchase Price Allocation</w:t>
      </w:r>
    </w:p>
    <w:bookmarkEnd w:id="0"/>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72609">
        <w:tc>
          <w:tcPr>
            <w:tcW w:w="5000" w:type="pct"/>
            <w:tcBorders>
              <w:bottom w:val="single" w:sz="4" w:space="0" w:color="DDDDDD"/>
            </w:tcBorders>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DA39FD" w:rsidRPr="0069218C" w14:paraId="56BFAA63" w14:textId="77777777" w:rsidTr="00976D47">
        <w:trPr>
          <w:trHeight w:val="680"/>
        </w:trPr>
        <w:tc>
          <w:tcPr>
            <w:tcW w:w="5000" w:type="pct"/>
            <w:shd w:val="clear" w:color="auto" w:fill="auto"/>
          </w:tcPr>
          <w:p w14:paraId="2BA47050" w14:textId="77777777" w:rsidR="00992EB0" w:rsidRDefault="00992EB0" w:rsidP="00992EB0">
            <w:pPr>
              <w:spacing w:after="0"/>
              <w:rPr>
                <w:rFonts w:cs="Arial"/>
                <w:iCs/>
                <w:color w:val="000000"/>
                <w:szCs w:val="22"/>
              </w:rPr>
            </w:pPr>
          </w:p>
          <w:p w14:paraId="09973811" w14:textId="77777777" w:rsidR="0081745C" w:rsidRDefault="000818F1" w:rsidP="005C687E">
            <w:pPr>
              <w:spacing w:after="0"/>
              <w:jc w:val="both"/>
              <w:rPr>
                <w:rFonts w:cs="Arial"/>
                <w:color w:val="000000"/>
                <w:szCs w:val="22"/>
              </w:rPr>
            </w:pPr>
            <w:r>
              <w:rPr>
                <w:rFonts w:cs="Arial"/>
                <w:iCs/>
                <w:color w:val="000000"/>
                <w:szCs w:val="22"/>
              </w:rPr>
              <w:t>Inland Revenue</w:t>
            </w:r>
            <w:r w:rsidR="00DA39FD" w:rsidRPr="00886DFF">
              <w:rPr>
                <w:rFonts w:cs="Arial"/>
                <w:color w:val="000000"/>
                <w:szCs w:val="22"/>
              </w:rPr>
              <w:t xml:space="preserve"> is solely responsible for the analysis and advice set out in this </w:t>
            </w:r>
            <w:r>
              <w:rPr>
                <w:rFonts w:cs="Arial"/>
                <w:color w:val="000000"/>
                <w:szCs w:val="22"/>
              </w:rPr>
              <w:t>Supplementary Analysis Report</w:t>
            </w:r>
            <w:r w:rsidR="00A54AC9">
              <w:rPr>
                <w:rFonts w:cs="Arial"/>
                <w:color w:val="000000"/>
                <w:szCs w:val="22"/>
              </w:rPr>
              <w:t xml:space="preserve"> (SAR)</w:t>
            </w:r>
            <w:r w:rsidR="00DA39FD" w:rsidRPr="00886DFF">
              <w:rPr>
                <w:rFonts w:cs="Arial"/>
                <w:color w:val="000000"/>
                <w:szCs w:val="22"/>
              </w:rPr>
              <w:t xml:space="preserve">, except as </w:t>
            </w:r>
            <w:r w:rsidR="00CD24DC">
              <w:rPr>
                <w:rFonts w:cs="Arial"/>
                <w:color w:val="000000"/>
                <w:szCs w:val="22"/>
              </w:rPr>
              <w:t>otherwise explicitly indicated.</w:t>
            </w:r>
          </w:p>
          <w:p w14:paraId="28CBDFF1" w14:textId="77777777" w:rsidR="0081745C" w:rsidRDefault="0081745C" w:rsidP="005C687E">
            <w:pPr>
              <w:spacing w:after="0"/>
              <w:jc w:val="both"/>
              <w:rPr>
                <w:rFonts w:cs="Arial"/>
                <w:color w:val="000000"/>
                <w:szCs w:val="22"/>
              </w:rPr>
            </w:pPr>
          </w:p>
          <w:p w14:paraId="39C96BCA" w14:textId="3F3374EF" w:rsidR="00193A7A" w:rsidRDefault="0018006E" w:rsidP="005C687E">
            <w:pPr>
              <w:spacing w:after="0"/>
              <w:jc w:val="both"/>
              <w:rPr>
                <w:rFonts w:cs="Arial"/>
                <w:color w:val="000000"/>
                <w:szCs w:val="22"/>
              </w:rPr>
            </w:pPr>
            <w:r>
              <w:rPr>
                <w:rFonts w:cs="Arial"/>
                <w:color w:val="000000"/>
                <w:szCs w:val="22"/>
              </w:rPr>
              <w:t>The purpose of thi</w:t>
            </w:r>
            <w:r w:rsidR="006223AA">
              <w:rPr>
                <w:rFonts w:cs="Arial"/>
                <w:color w:val="000000"/>
                <w:szCs w:val="22"/>
              </w:rPr>
              <w:t>s report is to</w:t>
            </w:r>
            <w:r w:rsidR="00EE4AFA">
              <w:rPr>
                <w:rFonts w:cs="Arial"/>
                <w:color w:val="000000"/>
                <w:szCs w:val="22"/>
              </w:rPr>
              <w:t xml:space="preserve"> </w:t>
            </w:r>
            <w:r w:rsidR="0082797B">
              <w:rPr>
                <w:rFonts w:cs="Arial"/>
                <w:color w:val="000000"/>
                <w:szCs w:val="22"/>
              </w:rPr>
              <w:t xml:space="preserve">explain the policy rationale and </w:t>
            </w:r>
            <w:r w:rsidR="00DB14A7">
              <w:rPr>
                <w:rFonts w:cs="Arial"/>
                <w:color w:val="000000"/>
                <w:szCs w:val="22"/>
              </w:rPr>
              <w:t xml:space="preserve">development </w:t>
            </w:r>
            <w:r w:rsidR="00A3670C">
              <w:rPr>
                <w:rFonts w:cs="Arial"/>
                <w:color w:val="000000"/>
                <w:szCs w:val="22"/>
              </w:rPr>
              <w:t>behind</w:t>
            </w:r>
            <w:r w:rsidR="00DB14A7">
              <w:rPr>
                <w:rFonts w:cs="Arial"/>
                <w:color w:val="000000"/>
                <w:szCs w:val="22"/>
              </w:rPr>
              <w:t xml:space="preserve"> </w:t>
            </w:r>
            <w:r w:rsidR="00217251">
              <w:rPr>
                <w:rFonts w:cs="Arial"/>
                <w:color w:val="000000"/>
                <w:szCs w:val="22"/>
              </w:rPr>
              <w:t xml:space="preserve">the </w:t>
            </w:r>
            <w:r w:rsidR="00CD2791">
              <w:rPr>
                <w:rFonts w:cs="Arial"/>
                <w:color w:val="000000"/>
                <w:szCs w:val="22"/>
              </w:rPr>
              <w:t>“</w:t>
            </w:r>
            <w:r w:rsidR="00224252">
              <w:rPr>
                <w:rFonts w:cs="Arial"/>
                <w:color w:val="000000"/>
                <w:szCs w:val="22"/>
              </w:rPr>
              <w:t>purchase price allocation</w:t>
            </w:r>
            <w:r w:rsidR="00CD2791">
              <w:rPr>
                <w:rFonts w:cs="Arial"/>
                <w:color w:val="000000"/>
                <w:szCs w:val="22"/>
              </w:rPr>
              <w:t>”</w:t>
            </w:r>
            <w:r w:rsidR="004A6F14">
              <w:rPr>
                <w:rFonts w:cs="Arial"/>
                <w:color w:val="000000"/>
                <w:szCs w:val="22"/>
              </w:rPr>
              <w:t xml:space="preserve"> proposal</w:t>
            </w:r>
            <w:r w:rsidR="00AF1DA6">
              <w:rPr>
                <w:rFonts w:cs="Arial"/>
                <w:color w:val="000000"/>
                <w:szCs w:val="22"/>
              </w:rPr>
              <w:t xml:space="preserve"> </w:t>
            </w:r>
            <w:r w:rsidR="00357177">
              <w:rPr>
                <w:rFonts w:cs="Arial"/>
                <w:color w:val="000000"/>
                <w:szCs w:val="22"/>
              </w:rPr>
              <w:t>contained in the Taxation (Annual Rates for 2020-21, Feasibility Expenditure, and Remedial Matters) Bill</w:t>
            </w:r>
            <w:r w:rsidR="00A97FE2">
              <w:rPr>
                <w:rFonts w:cs="Arial"/>
                <w:color w:val="000000"/>
                <w:szCs w:val="22"/>
              </w:rPr>
              <w:t xml:space="preserve">, </w:t>
            </w:r>
            <w:r w:rsidR="002F3919">
              <w:rPr>
                <w:rFonts w:cs="Arial"/>
                <w:color w:val="000000"/>
                <w:szCs w:val="22"/>
              </w:rPr>
              <w:t>as</w:t>
            </w:r>
            <w:r w:rsidR="003103D0">
              <w:rPr>
                <w:rFonts w:cs="Arial"/>
                <w:color w:val="000000"/>
                <w:szCs w:val="22"/>
              </w:rPr>
              <w:t xml:space="preserve"> a Regulatory Impact Assessment (RIA) was not required</w:t>
            </w:r>
            <w:r w:rsidR="002F3919">
              <w:rPr>
                <w:rFonts w:cs="Arial"/>
                <w:color w:val="000000"/>
                <w:szCs w:val="22"/>
              </w:rPr>
              <w:t xml:space="preserve"> for the proposal</w:t>
            </w:r>
            <w:r w:rsidR="006753EB">
              <w:rPr>
                <w:rFonts w:cs="Arial"/>
                <w:color w:val="000000"/>
                <w:szCs w:val="22"/>
              </w:rPr>
              <w:t>.</w:t>
            </w:r>
            <w:r w:rsidR="002F3919">
              <w:rPr>
                <w:rFonts w:cs="Arial"/>
                <w:color w:val="000000"/>
                <w:szCs w:val="22"/>
              </w:rPr>
              <w:t xml:space="preserve"> It </w:t>
            </w:r>
            <w:r w:rsidR="008030A9">
              <w:rPr>
                <w:rFonts w:cs="Arial"/>
                <w:color w:val="000000"/>
                <w:szCs w:val="22"/>
              </w:rPr>
              <w:t xml:space="preserve">is a modified version of </w:t>
            </w:r>
            <w:r w:rsidR="00784E53">
              <w:rPr>
                <w:rFonts w:cs="Arial"/>
                <w:color w:val="000000"/>
                <w:szCs w:val="22"/>
              </w:rPr>
              <w:t>the</w:t>
            </w:r>
            <w:r w:rsidR="008030A9">
              <w:rPr>
                <w:rFonts w:cs="Arial"/>
                <w:color w:val="000000"/>
                <w:szCs w:val="22"/>
              </w:rPr>
              <w:t xml:space="preserve"> </w:t>
            </w:r>
            <w:r w:rsidR="00983B10">
              <w:rPr>
                <w:rFonts w:cs="Arial"/>
                <w:color w:val="000000"/>
                <w:szCs w:val="22"/>
              </w:rPr>
              <w:t>approach</w:t>
            </w:r>
            <w:r w:rsidR="008030A9">
              <w:rPr>
                <w:rFonts w:cs="Arial"/>
                <w:color w:val="000000"/>
                <w:szCs w:val="22"/>
              </w:rPr>
              <w:t xml:space="preserve"> set out in an officials’ issues paper – </w:t>
            </w:r>
            <w:r w:rsidR="008030A9">
              <w:rPr>
                <w:rFonts w:cs="Arial"/>
                <w:i/>
                <w:iCs/>
                <w:color w:val="000000"/>
                <w:szCs w:val="22"/>
              </w:rPr>
              <w:t xml:space="preserve">Purchase price allocation – </w:t>
            </w:r>
            <w:r w:rsidR="008030A9">
              <w:rPr>
                <w:rFonts w:cs="Arial"/>
                <w:color w:val="000000"/>
                <w:szCs w:val="22"/>
              </w:rPr>
              <w:t xml:space="preserve"> </w:t>
            </w:r>
            <w:r w:rsidR="00E9717B">
              <w:rPr>
                <w:rFonts w:cs="Arial"/>
                <w:color w:val="000000"/>
                <w:szCs w:val="22"/>
              </w:rPr>
              <w:t xml:space="preserve">which was </w:t>
            </w:r>
            <w:r w:rsidR="008030A9">
              <w:rPr>
                <w:rFonts w:cs="Arial"/>
                <w:color w:val="000000"/>
                <w:szCs w:val="22"/>
              </w:rPr>
              <w:t>released for public consultation in December 2019</w:t>
            </w:r>
            <w:r w:rsidR="00176301">
              <w:rPr>
                <w:rFonts w:cs="Arial"/>
                <w:color w:val="000000"/>
                <w:szCs w:val="22"/>
              </w:rPr>
              <w:t xml:space="preserve"> with Cabinet’s approval.</w:t>
            </w:r>
            <w:r w:rsidR="00A15A09">
              <w:rPr>
                <w:rFonts w:cs="Arial"/>
                <w:color w:val="000000"/>
                <w:szCs w:val="22"/>
              </w:rPr>
              <w:t xml:space="preserve"> </w:t>
            </w:r>
          </w:p>
          <w:p w14:paraId="73189702" w14:textId="47569F0B" w:rsidR="00BC461F" w:rsidRDefault="002F3919" w:rsidP="009928F1">
            <w:pPr>
              <w:tabs>
                <w:tab w:val="left" w:pos="2800"/>
              </w:tabs>
              <w:spacing w:after="0"/>
              <w:jc w:val="both"/>
              <w:rPr>
                <w:rFonts w:cs="Arial"/>
                <w:color w:val="000000"/>
                <w:szCs w:val="22"/>
              </w:rPr>
            </w:pPr>
            <w:r>
              <w:rPr>
                <w:rFonts w:cs="Arial"/>
                <w:color w:val="000000"/>
                <w:szCs w:val="22"/>
              </w:rPr>
              <w:tab/>
            </w:r>
          </w:p>
          <w:p w14:paraId="0D89D001" w14:textId="7B8F98E2" w:rsidR="00DA39FD" w:rsidRPr="009928F1" w:rsidRDefault="008C280B" w:rsidP="005C687E">
            <w:pPr>
              <w:spacing w:after="0"/>
              <w:jc w:val="both"/>
              <w:rPr>
                <w:rFonts w:cs="Arial"/>
                <w:color w:val="000000"/>
                <w:szCs w:val="22"/>
                <w:lang w:val="en-NZ"/>
              </w:rPr>
            </w:pPr>
            <w:r w:rsidRPr="008C280B">
              <w:rPr>
                <w:rFonts w:cs="Arial"/>
                <w:color w:val="000000"/>
                <w:szCs w:val="22"/>
                <w:lang w:val="en-NZ"/>
              </w:rPr>
              <w:t>The issues paper functioned as an interim R</w:t>
            </w:r>
            <w:r w:rsidR="006838DC">
              <w:rPr>
                <w:rFonts w:cs="Arial"/>
                <w:color w:val="000000"/>
                <w:szCs w:val="22"/>
                <w:lang w:val="en-NZ"/>
              </w:rPr>
              <w:t>IA</w:t>
            </w:r>
            <w:r w:rsidRPr="008C280B">
              <w:rPr>
                <w:rFonts w:cs="Arial"/>
                <w:color w:val="000000"/>
                <w:szCs w:val="22"/>
                <w:lang w:val="en-NZ"/>
              </w:rPr>
              <w:t xml:space="preserve"> when </w:t>
            </w:r>
            <w:r w:rsidR="00C122E6">
              <w:rPr>
                <w:rFonts w:cs="Arial"/>
                <w:color w:val="000000"/>
                <w:szCs w:val="22"/>
                <w:lang w:val="en-NZ"/>
              </w:rPr>
              <w:t>it</w:t>
            </w:r>
            <w:r w:rsidRPr="008C280B">
              <w:rPr>
                <w:rFonts w:cs="Arial"/>
                <w:color w:val="000000"/>
                <w:szCs w:val="22"/>
                <w:lang w:val="en-NZ"/>
              </w:rPr>
              <w:t xml:space="preserve"> was considered by Cabinet and a final RIA was not required as </w:t>
            </w:r>
            <w:r w:rsidR="00902A17">
              <w:rPr>
                <w:rFonts w:cs="Arial"/>
                <w:color w:val="000000"/>
                <w:szCs w:val="22"/>
                <w:lang w:val="en-NZ"/>
              </w:rPr>
              <w:t xml:space="preserve">policy </w:t>
            </w:r>
            <w:r w:rsidRPr="008C280B">
              <w:rPr>
                <w:rFonts w:cs="Arial"/>
                <w:color w:val="000000"/>
                <w:szCs w:val="22"/>
                <w:lang w:val="en-NZ"/>
              </w:rPr>
              <w:t>decisions were made by the Minister of Finance and Minister of Revenue under delegated authority from Cabinet.</w:t>
            </w:r>
            <w:r w:rsidR="009928F1">
              <w:rPr>
                <w:rFonts w:cs="Arial"/>
                <w:color w:val="000000"/>
                <w:szCs w:val="22"/>
                <w:lang w:val="en-NZ"/>
              </w:rPr>
              <w:t xml:space="preserve"> </w:t>
            </w:r>
            <w:r w:rsidR="00F178B2">
              <w:rPr>
                <w:rFonts w:cs="Arial"/>
                <w:color w:val="000000"/>
                <w:szCs w:val="22"/>
              </w:rPr>
              <w:t>Therefore, t</w:t>
            </w:r>
            <w:r w:rsidR="00C73FA4">
              <w:rPr>
                <w:rFonts w:cs="Arial"/>
                <w:color w:val="000000"/>
                <w:szCs w:val="22"/>
              </w:rPr>
              <w:t>hi</w:t>
            </w:r>
            <w:r w:rsidR="00630FD0">
              <w:rPr>
                <w:rFonts w:cs="Arial"/>
                <w:color w:val="000000"/>
                <w:szCs w:val="22"/>
              </w:rPr>
              <w:t>s</w:t>
            </w:r>
            <w:r w:rsidR="009A551A">
              <w:rPr>
                <w:rFonts w:cs="Arial"/>
                <w:color w:val="000000"/>
                <w:szCs w:val="22"/>
              </w:rPr>
              <w:t xml:space="preserve"> </w:t>
            </w:r>
            <w:r w:rsidR="00C30090">
              <w:rPr>
                <w:rFonts w:cs="Arial"/>
                <w:color w:val="000000"/>
                <w:szCs w:val="22"/>
              </w:rPr>
              <w:t>SAR</w:t>
            </w:r>
            <w:r w:rsidR="009928F1">
              <w:rPr>
                <w:rFonts w:cs="Arial"/>
                <w:color w:val="000000"/>
                <w:szCs w:val="22"/>
              </w:rPr>
              <w:t xml:space="preserve"> </w:t>
            </w:r>
            <w:r w:rsidR="00DA39FD" w:rsidRPr="00886DFF">
              <w:rPr>
                <w:rFonts w:cs="Arial"/>
                <w:color w:val="000000"/>
                <w:szCs w:val="22"/>
              </w:rPr>
              <w:t>has been produced</w:t>
            </w:r>
            <w:r w:rsidR="007A2193">
              <w:rPr>
                <w:rFonts w:cs="Arial"/>
                <w:color w:val="000000"/>
                <w:szCs w:val="22"/>
              </w:rPr>
              <w:t xml:space="preserve"> to</w:t>
            </w:r>
            <w:r w:rsidR="004C00DB">
              <w:rPr>
                <w:rFonts w:cs="Arial"/>
                <w:color w:val="000000"/>
                <w:szCs w:val="22"/>
              </w:rPr>
              <w:t xml:space="preserve"> improve transp</w:t>
            </w:r>
            <w:r w:rsidR="004F04AD">
              <w:rPr>
                <w:rFonts w:cs="Arial"/>
                <w:color w:val="000000"/>
                <w:szCs w:val="22"/>
              </w:rPr>
              <w:t xml:space="preserve">arency and understanding </w:t>
            </w:r>
            <w:r w:rsidR="007A2193">
              <w:rPr>
                <w:rFonts w:cs="Arial"/>
                <w:color w:val="000000"/>
                <w:szCs w:val="22"/>
              </w:rPr>
              <w:t xml:space="preserve">of </w:t>
            </w:r>
            <w:r w:rsidR="00631772">
              <w:rPr>
                <w:rFonts w:cs="Arial"/>
                <w:color w:val="000000"/>
                <w:szCs w:val="22"/>
              </w:rPr>
              <w:t xml:space="preserve">the policy </w:t>
            </w:r>
            <w:r w:rsidR="005713E8">
              <w:rPr>
                <w:rFonts w:cs="Arial"/>
                <w:color w:val="000000"/>
                <w:szCs w:val="22"/>
              </w:rPr>
              <w:t>as</w:t>
            </w:r>
            <w:r w:rsidR="007A2193">
              <w:rPr>
                <w:rFonts w:cs="Arial"/>
                <w:color w:val="000000"/>
                <w:szCs w:val="22"/>
              </w:rPr>
              <w:t xml:space="preserve"> the </w:t>
            </w:r>
            <w:r w:rsidR="00CF0CFF">
              <w:rPr>
                <w:rFonts w:cs="Arial"/>
                <w:color w:val="000000"/>
                <w:szCs w:val="22"/>
              </w:rPr>
              <w:t>amendments</w:t>
            </w:r>
            <w:r w:rsidR="007A2193">
              <w:rPr>
                <w:rFonts w:cs="Arial"/>
                <w:color w:val="000000"/>
                <w:szCs w:val="22"/>
              </w:rPr>
              <w:t xml:space="preserve"> </w:t>
            </w:r>
            <w:r w:rsidR="001D619A">
              <w:rPr>
                <w:rFonts w:cs="Arial"/>
                <w:color w:val="000000"/>
                <w:szCs w:val="22"/>
              </w:rPr>
              <w:t xml:space="preserve"> </w:t>
            </w:r>
            <w:r w:rsidR="00BA0577">
              <w:rPr>
                <w:rFonts w:cs="Arial"/>
                <w:color w:val="000000"/>
                <w:szCs w:val="22"/>
              </w:rPr>
              <w:t xml:space="preserve">go </w:t>
            </w:r>
            <w:r w:rsidR="001D619A">
              <w:rPr>
                <w:rFonts w:cs="Arial"/>
                <w:color w:val="000000"/>
                <w:szCs w:val="22"/>
              </w:rPr>
              <w:t>through</w:t>
            </w:r>
            <w:r w:rsidR="0004072E">
              <w:rPr>
                <w:rFonts w:cs="Arial"/>
                <w:color w:val="000000"/>
                <w:szCs w:val="22"/>
              </w:rPr>
              <w:t xml:space="preserve"> the </w:t>
            </w:r>
            <w:r w:rsidR="008E5F0D">
              <w:rPr>
                <w:rFonts w:cs="Arial"/>
                <w:color w:val="000000"/>
                <w:szCs w:val="22"/>
              </w:rPr>
              <w:t>legislative process.</w:t>
            </w:r>
            <w:r w:rsidR="001D619A">
              <w:rPr>
                <w:rFonts w:cs="Arial"/>
                <w:color w:val="000000"/>
                <w:szCs w:val="22"/>
              </w:rPr>
              <w:t xml:space="preserve"> </w:t>
            </w:r>
          </w:p>
          <w:p w14:paraId="4B3BF8AC" w14:textId="6D97FCAE" w:rsidR="00DA39FD" w:rsidRPr="0069218C" w:rsidRDefault="00F7345E" w:rsidP="00976D47">
            <w:pPr>
              <w:pStyle w:val="Bullet-list"/>
              <w:numPr>
                <w:ilvl w:val="0"/>
                <w:numId w:val="0"/>
              </w:numPr>
              <w:ind w:left="284"/>
              <w:rPr>
                <w:rFonts w:cs="Arial"/>
              </w:rPr>
            </w:pPr>
            <w:r>
              <w:t xml:space="preserve"> </w:t>
            </w: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00BB4EA2">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00BB4EA2">
        <w:trPr>
          <w:trHeight w:val="1780"/>
        </w:trPr>
        <w:tc>
          <w:tcPr>
            <w:tcW w:w="5000" w:type="pct"/>
            <w:shd w:val="clear" w:color="auto" w:fill="auto"/>
          </w:tcPr>
          <w:p w14:paraId="4D177E7A" w14:textId="77777777" w:rsidR="00C7655A" w:rsidRDefault="00C7655A" w:rsidP="00C7655A">
            <w:pPr>
              <w:spacing w:after="0" w:line="276" w:lineRule="auto"/>
              <w:jc w:val="both"/>
              <w:rPr>
                <w:rFonts w:cs="Arial"/>
                <w:szCs w:val="22"/>
              </w:rPr>
            </w:pPr>
          </w:p>
          <w:p w14:paraId="34E53CD2" w14:textId="66367456" w:rsidR="0040325F" w:rsidRDefault="009661FF" w:rsidP="00C7655A">
            <w:pPr>
              <w:spacing w:after="0" w:line="276" w:lineRule="auto"/>
              <w:jc w:val="both"/>
              <w:rPr>
                <w:rFonts w:cs="Arial"/>
                <w:szCs w:val="22"/>
              </w:rPr>
            </w:pPr>
            <w:r>
              <w:rPr>
                <w:rFonts w:cs="Arial"/>
                <w:szCs w:val="22"/>
              </w:rPr>
              <w:t xml:space="preserve">A </w:t>
            </w:r>
            <w:r w:rsidR="0040325F">
              <w:rPr>
                <w:rFonts w:cs="Arial"/>
                <w:szCs w:val="22"/>
              </w:rPr>
              <w:t xml:space="preserve">limitation on the </w:t>
            </w:r>
            <w:r w:rsidR="00BC63A5">
              <w:rPr>
                <w:rFonts w:cs="Arial"/>
                <w:szCs w:val="22"/>
              </w:rPr>
              <w:t>analysis is the absence of precedent for the propos</w:t>
            </w:r>
            <w:r w:rsidR="00B558F5">
              <w:rPr>
                <w:rFonts w:cs="Arial"/>
                <w:szCs w:val="22"/>
              </w:rPr>
              <w:t>ed approach in foreign jurisdictions</w:t>
            </w:r>
            <w:r w:rsidR="000958C3">
              <w:rPr>
                <w:rFonts w:cs="Arial"/>
                <w:szCs w:val="22"/>
              </w:rPr>
              <w:t>. However,</w:t>
            </w:r>
            <w:r w:rsidR="00BF0643">
              <w:rPr>
                <w:rFonts w:cs="Arial"/>
                <w:szCs w:val="22"/>
              </w:rPr>
              <w:t xml:space="preserve"> t</w:t>
            </w:r>
            <w:r w:rsidR="00C0400C">
              <w:rPr>
                <w:rFonts w:cs="Arial"/>
                <w:szCs w:val="22"/>
              </w:rPr>
              <w:t>here is</w:t>
            </w:r>
            <w:r w:rsidR="00B06EBB">
              <w:rPr>
                <w:rFonts w:cs="Arial"/>
                <w:szCs w:val="22"/>
              </w:rPr>
              <w:t xml:space="preserve"> </w:t>
            </w:r>
            <w:r w:rsidR="009906EB">
              <w:rPr>
                <w:rFonts w:cs="Arial"/>
                <w:szCs w:val="22"/>
              </w:rPr>
              <w:t>one instance of the approach in current</w:t>
            </w:r>
            <w:r w:rsidR="0082159F">
              <w:rPr>
                <w:rFonts w:cs="Arial"/>
                <w:szCs w:val="22"/>
              </w:rPr>
              <w:t xml:space="preserve"> New Zealand</w:t>
            </w:r>
            <w:r w:rsidR="009D4BF0">
              <w:rPr>
                <w:rFonts w:cs="Arial"/>
                <w:szCs w:val="22"/>
              </w:rPr>
              <w:t xml:space="preserve"> </w:t>
            </w:r>
            <w:r w:rsidR="002B51AC">
              <w:rPr>
                <w:rFonts w:cs="Arial"/>
                <w:szCs w:val="22"/>
              </w:rPr>
              <w:t>statute</w:t>
            </w:r>
            <w:r w:rsidR="009D4BF0">
              <w:rPr>
                <w:rFonts w:cs="Arial"/>
                <w:szCs w:val="22"/>
              </w:rPr>
              <w:t xml:space="preserve">, </w:t>
            </w:r>
            <w:r w:rsidR="00732BE9">
              <w:rPr>
                <w:rFonts w:cs="Arial"/>
                <w:szCs w:val="22"/>
              </w:rPr>
              <w:t xml:space="preserve">and </w:t>
            </w:r>
            <w:r w:rsidR="005A39B7">
              <w:rPr>
                <w:rFonts w:cs="Arial"/>
                <w:szCs w:val="22"/>
              </w:rPr>
              <w:t>it</w:t>
            </w:r>
            <w:r w:rsidR="00A40442">
              <w:rPr>
                <w:rFonts w:cs="Arial"/>
                <w:szCs w:val="22"/>
              </w:rPr>
              <w:t xml:space="preserve"> appears to have worked</w:t>
            </w:r>
            <w:r w:rsidR="009C5B63">
              <w:rPr>
                <w:rFonts w:cs="Arial"/>
                <w:szCs w:val="22"/>
              </w:rPr>
              <w:t xml:space="preserve"> without problem</w:t>
            </w:r>
            <w:r w:rsidR="00933E3C">
              <w:rPr>
                <w:rFonts w:cs="Arial"/>
                <w:szCs w:val="22"/>
              </w:rPr>
              <w:t xml:space="preserve"> for many decades</w:t>
            </w:r>
            <w:r w:rsidR="00715165">
              <w:rPr>
                <w:rFonts w:cs="Arial"/>
                <w:szCs w:val="22"/>
              </w:rPr>
              <w:t>.</w:t>
            </w:r>
            <w:r w:rsidR="009C5B63">
              <w:rPr>
                <w:rFonts w:cs="Arial"/>
                <w:szCs w:val="22"/>
              </w:rPr>
              <w:t xml:space="preserve"> </w:t>
            </w:r>
            <w:r w:rsidR="00186587">
              <w:rPr>
                <w:rFonts w:cs="Arial"/>
                <w:szCs w:val="22"/>
              </w:rPr>
              <w:t xml:space="preserve">Officials are confident </w:t>
            </w:r>
            <w:r w:rsidR="00AD0E3E">
              <w:rPr>
                <w:rFonts w:cs="Arial"/>
                <w:szCs w:val="22"/>
              </w:rPr>
              <w:t xml:space="preserve">that the </w:t>
            </w:r>
            <w:r w:rsidR="002B58F8">
              <w:rPr>
                <w:rFonts w:cs="Arial"/>
                <w:szCs w:val="22"/>
              </w:rPr>
              <w:t>approach</w:t>
            </w:r>
            <w:r w:rsidR="003B2D7C">
              <w:rPr>
                <w:rFonts w:cs="Arial"/>
                <w:szCs w:val="22"/>
              </w:rPr>
              <w:t xml:space="preserve"> will achieve the desired outcome,</w:t>
            </w:r>
            <w:r w:rsidR="008E0863">
              <w:rPr>
                <w:rFonts w:cs="Arial"/>
                <w:szCs w:val="22"/>
              </w:rPr>
              <w:t xml:space="preserve"> acknowledging</w:t>
            </w:r>
            <w:r w:rsidR="0097537A">
              <w:rPr>
                <w:rFonts w:cs="Arial"/>
                <w:szCs w:val="22"/>
              </w:rPr>
              <w:t xml:space="preserve"> that </w:t>
            </w:r>
            <w:r w:rsidR="00BD43FB">
              <w:rPr>
                <w:rFonts w:cs="Arial"/>
                <w:szCs w:val="22"/>
              </w:rPr>
              <w:t xml:space="preserve"> </w:t>
            </w:r>
            <w:r w:rsidR="008C6855">
              <w:rPr>
                <w:rFonts w:cs="Arial"/>
                <w:szCs w:val="22"/>
              </w:rPr>
              <w:t xml:space="preserve">aside from the </w:t>
            </w:r>
            <w:r w:rsidR="00DE0C2F">
              <w:rPr>
                <w:rFonts w:cs="Arial"/>
                <w:szCs w:val="22"/>
              </w:rPr>
              <w:t>aforementioned instance,</w:t>
            </w:r>
            <w:r w:rsidR="007F4B08">
              <w:rPr>
                <w:rFonts w:cs="Arial"/>
                <w:szCs w:val="22"/>
              </w:rPr>
              <w:t xml:space="preserve"> </w:t>
            </w:r>
            <w:r w:rsidR="00883414">
              <w:rPr>
                <w:rFonts w:cs="Arial"/>
                <w:szCs w:val="22"/>
              </w:rPr>
              <w:t xml:space="preserve">it is </w:t>
            </w:r>
            <w:r w:rsidR="000D59E5">
              <w:rPr>
                <w:rFonts w:cs="Arial"/>
                <w:szCs w:val="22"/>
              </w:rPr>
              <w:t>untried</w:t>
            </w:r>
            <w:r w:rsidR="00C64095">
              <w:rPr>
                <w:rFonts w:cs="Arial"/>
                <w:szCs w:val="22"/>
              </w:rPr>
              <w:t xml:space="preserve"> and </w:t>
            </w:r>
            <w:r w:rsidR="00096EC2">
              <w:rPr>
                <w:rFonts w:cs="Arial"/>
                <w:szCs w:val="22"/>
              </w:rPr>
              <w:t xml:space="preserve">therefore </w:t>
            </w:r>
            <w:r w:rsidR="00813C8A">
              <w:rPr>
                <w:rFonts w:cs="Arial"/>
                <w:szCs w:val="22"/>
              </w:rPr>
              <w:t>less certain.</w:t>
            </w:r>
          </w:p>
          <w:p w14:paraId="7AC72995" w14:textId="283D1025" w:rsidR="00EB3B9D" w:rsidRPr="0069218C" w:rsidRDefault="00EB3B9D" w:rsidP="00C7655A">
            <w:pPr>
              <w:spacing w:after="0" w:line="276" w:lineRule="auto"/>
              <w:jc w:val="both"/>
              <w:rPr>
                <w:rFonts w:cs="Arial"/>
                <w:szCs w:val="22"/>
              </w:rPr>
            </w:pPr>
          </w:p>
        </w:tc>
      </w:tr>
      <w:tr w:rsidR="00DA39FD" w:rsidRPr="0069218C" w14:paraId="354CE8B4" w14:textId="77777777" w:rsidTr="00BB4EA2">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00B72609">
        <w:trPr>
          <w:trHeight w:val="2334"/>
        </w:trPr>
        <w:tc>
          <w:tcPr>
            <w:tcW w:w="5000" w:type="pct"/>
            <w:shd w:val="clear" w:color="auto" w:fill="FFFFFF"/>
          </w:tcPr>
          <w:p w14:paraId="4D1EC406" w14:textId="4B9F7034" w:rsidR="00E92E52" w:rsidRDefault="0045340D" w:rsidP="00E92E52">
            <w:pPr>
              <w:spacing w:after="0"/>
              <w:rPr>
                <w:szCs w:val="22"/>
              </w:rPr>
            </w:pPr>
            <w:r>
              <w:rPr>
                <w:szCs w:val="22"/>
              </w:rPr>
              <w:t xml:space="preserve"> </w:t>
            </w:r>
          </w:p>
          <w:p w14:paraId="62880832" w14:textId="3053046E" w:rsidR="00380585" w:rsidRPr="0069218C" w:rsidRDefault="0045340D" w:rsidP="00B72609">
            <w:pPr>
              <w:spacing w:after="0"/>
              <w:rPr>
                <w:szCs w:val="22"/>
              </w:rPr>
            </w:pPr>
            <w:r>
              <w:rPr>
                <w:szCs w:val="22"/>
              </w:rPr>
              <w:t>Casey Plunket</w:t>
            </w:r>
          </w:p>
          <w:p w14:paraId="17AF58F5" w14:textId="0DB31DEB" w:rsidR="00380585" w:rsidRPr="0069218C" w:rsidRDefault="00E92E52" w:rsidP="00B72609">
            <w:pPr>
              <w:spacing w:after="0"/>
              <w:rPr>
                <w:szCs w:val="22"/>
              </w:rPr>
            </w:pPr>
            <w:r>
              <w:rPr>
                <w:szCs w:val="22"/>
              </w:rPr>
              <w:t>Special Policy Advisor</w:t>
            </w:r>
            <w:r w:rsidR="00277D06">
              <w:rPr>
                <w:szCs w:val="22"/>
              </w:rPr>
              <w:t xml:space="preserve"> </w:t>
            </w:r>
          </w:p>
          <w:p w14:paraId="3CF46CF8" w14:textId="2B8F6B62" w:rsidR="00380585" w:rsidRPr="0069218C" w:rsidRDefault="0045340D" w:rsidP="00B72609">
            <w:pPr>
              <w:spacing w:after="0"/>
              <w:rPr>
                <w:szCs w:val="22"/>
              </w:rPr>
            </w:pPr>
            <w:r>
              <w:rPr>
                <w:szCs w:val="22"/>
              </w:rPr>
              <w:t>Policy and Strategy</w:t>
            </w:r>
          </w:p>
          <w:p w14:paraId="295FB060" w14:textId="38174C1E" w:rsidR="00E92509" w:rsidRDefault="0045340D" w:rsidP="00E92E52">
            <w:pPr>
              <w:spacing w:after="0"/>
              <w:rPr>
                <w:szCs w:val="22"/>
              </w:rPr>
            </w:pPr>
            <w:r>
              <w:rPr>
                <w:szCs w:val="22"/>
              </w:rPr>
              <w:t>Inland Revenue</w:t>
            </w:r>
          </w:p>
          <w:p w14:paraId="6DE412B9" w14:textId="77777777" w:rsidR="00E92E52" w:rsidRDefault="00E92E52" w:rsidP="00E92E52">
            <w:pPr>
              <w:spacing w:after="0"/>
              <w:rPr>
                <w:rFonts w:cs="Arial"/>
                <w:szCs w:val="22"/>
              </w:rPr>
            </w:pPr>
          </w:p>
          <w:p w14:paraId="08054841" w14:textId="70CFF99B" w:rsidR="00E92E52" w:rsidRPr="0069218C" w:rsidRDefault="00E92E52" w:rsidP="00B72609">
            <w:pPr>
              <w:spacing w:after="0"/>
              <w:rPr>
                <w:rFonts w:cs="Arial"/>
                <w:szCs w:val="22"/>
              </w:rPr>
            </w:pPr>
            <w:r>
              <w:rPr>
                <w:rFonts w:cs="Arial"/>
                <w:szCs w:val="22"/>
              </w:rPr>
              <w:t>2</w:t>
            </w:r>
            <w:r w:rsidR="00DB28AA">
              <w:rPr>
                <w:rFonts w:cs="Arial"/>
                <w:szCs w:val="22"/>
              </w:rPr>
              <w:t>7</w:t>
            </w:r>
            <w:r>
              <w:rPr>
                <w:rFonts w:cs="Arial"/>
                <w:szCs w:val="22"/>
              </w:rPr>
              <w:t xml:space="preserve"> May 2020</w:t>
            </w:r>
          </w:p>
        </w:tc>
      </w:tr>
    </w:tbl>
    <w:p w14:paraId="2CC4323F" w14:textId="77777777" w:rsidR="003D1A82" w:rsidRDefault="003D1A82" w:rsidP="007A484F">
      <w:pPr>
        <w:spacing w:before="240" w:after="0" w:line="276" w:lineRule="auto"/>
        <w:rPr>
          <w:i/>
          <w:szCs w:val="22"/>
        </w:rPr>
      </w:pPr>
      <w:bookmarkStart w:id="1" w:name="_Toc363047038"/>
      <w:bookmarkStart w:id="2" w:name="_Toc362940530"/>
      <w:bookmarkStart w:id="3" w:name="_Toc362618966"/>
      <w:bookmarkStart w:id="4" w:name="_Toc362434720"/>
      <w:bookmarkStart w:id="5" w:name="_Toc362368098"/>
    </w:p>
    <w:p w14:paraId="0A5601BC" w14:textId="77777777" w:rsidR="003D1A82" w:rsidRDefault="003D1A82" w:rsidP="007A484F">
      <w:pPr>
        <w:spacing w:before="240" w:after="0" w:line="276" w:lineRule="auto"/>
        <w:rPr>
          <w:i/>
          <w:szCs w:val="22"/>
        </w:rPr>
      </w:pPr>
    </w:p>
    <w:p w14:paraId="6510CD39" w14:textId="77777777" w:rsidR="003D1A82" w:rsidRDefault="003D1A82" w:rsidP="007A484F">
      <w:pPr>
        <w:spacing w:before="240" w:after="0" w:line="276" w:lineRule="auto"/>
        <w:rPr>
          <w:i/>
          <w:szCs w:val="22"/>
        </w:rPr>
      </w:pPr>
    </w:p>
    <w:p w14:paraId="4D1670C2" w14:textId="208D3AAD" w:rsidR="00EE447B" w:rsidRDefault="00EE447B" w:rsidP="007A484F">
      <w:pPr>
        <w:spacing w:before="240" w:after="0" w:line="276" w:lineRule="auto"/>
        <w:rPr>
          <w:rFonts w:ascii="Arial Narrow" w:hAnsi="Arial Narrow"/>
          <w:i/>
          <w:szCs w:val="22"/>
        </w:rPr>
      </w:pPr>
      <w:r>
        <w:rPr>
          <w:i/>
          <w:szCs w:val="22"/>
        </w:rPr>
        <w:lastRenderedPageBreak/>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719E4BAF" w14:textId="77777777" w:rsidR="00AF721A" w:rsidRDefault="00AF721A" w:rsidP="00AF721A">
            <w:pPr>
              <w:spacing w:after="0"/>
            </w:pPr>
          </w:p>
          <w:p w14:paraId="5B96159F" w14:textId="12A8D273" w:rsidR="00EE447B" w:rsidRDefault="007A2193" w:rsidP="00AF721A">
            <w:pPr>
              <w:spacing w:after="0"/>
            </w:pPr>
            <w:r>
              <w:t>Inland Revenue</w:t>
            </w:r>
          </w:p>
          <w:p w14:paraId="27C850ED" w14:textId="77777777" w:rsidR="00EE447B" w:rsidRDefault="00EE447B">
            <w:pPr>
              <w:pStyle w:val="spacer"/>
              <w:spacing w:line="276" w:lineRule="auto"/>
              <w:rPr>
                <w:sz w:val="22"/>
              </w:rPr>
            </w:pP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4F7D3F03" w14:textId="77777777" w:rsidR="00AF721A" w:rsidRDefault="00AF721A" w:rsidP="00AF721A">
            <w:pPr>
              <w:spacing w:after="0"/>
            </w:pPr>
          </w:p>
          <w:p w14:paraId="269F8749" w14:textId="60CA6478" w:rsidR="00B72609" w:rsidRPr="00F910EB" w:rsidRDefault="00B72609" w:rsidP="00623EC5">
            <w:pPr>
              <w:spacing w:after="0"/>
              <w:jc w:val="both"/>
            </w:pPr>
            <w:r>
              <w:t xml:space="preserve">The Quality Assurance reviewer at Inland Revenue has reviewed the </w:t>
            </w:r>
            <w:r>
              <w:rPr>
                <w:i/>
                <w:iCs/>
              </w:rPr>
              <w:t>Purchase Price Allocation</w:t>
            </w:r>
            <w:r>
              <w:t xml:space="preserve"> Supplementary Analysis Report prepared by Inland </w:t>
            </w:r>
            <w:proofErr w:type="gramStart"/>
            <w:r>
              <w:t>Revenue, and</w:t>
            </w:r>
            <w:proofErr w:type="gramEnd"/>
            <w:r>
              <w:t xml:space="preserve"> considers that the information and analysis summarised in the Supplementary Analysis Report meets the quality assurance criteria.</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t>Reviewer Comments and Recommendations:</w:t>
            </w:r>
          </w:p>
        </w:tc>
      </w:tr>
      <w:tr w:rsidR="00EE447B" w14:paraId="7B66F7F0" w14:textId="77777777" w:rsidTr="00BB4EA2">
        <w:trPr>
          <w:trHeight w:val="850"/>
        </w:trPr>
        <w:tc>
          <w:tcPr>
            <w:tcW w:w="9072" w:type="dxa"/>
            <w:shd w:val="clear" w:color="auto" w:fill="FFFFFF"/>
          </w:tcPr>
          <w:p w14:paraId="51FCA801" w14:textId="77777777" w:rsidR="001F47D0" w:rsidRDefault="001F47D0" w:rsidP="001F47D0">
            <w:pPr>
              <w:spacing w:after="0"/>
            </w:pPr>
          </w:p>
          <w:p w14:paraId="2B6BCF00" w14:textId="382080DE" w:rsidR="00EE447B" w:rsidRDefault="007A2193" w:rsidP="001F47D0">
            <w:pPr>
              <w:spacing w:after="0"/>
            </w:pPr>
            <w:r>
              <w:t>The reviewer’s comments on earlier versions of this draft have been incorporated into the final version.  Although this SAR will not be presented to Cabinet it has still been reviewed consistent with the quality assurance framework.</w:t>
            </w:r>
          </w:p>
          <w:p w14:paraId="3F069AA1" w14:textId="6E4014D3" w:rsidR="00E6054D" w:rsidRDefault="00E6054D">
            <w:pPr>
              <w:pStyle w:val="spacer"/>
              <w:spacing w:line="276" w:lineRule="auto"/>
              <w:rPr>
                <w:sz w:val="22"/>
              </w:rPr>
            </w:pPr>
          </w:p>
        </w:tc>
      </w:tr>
    </w:tbl>
    <w:p w14:paraId="31001C64" w14:textId="4B01982B" w:rsidR="00E92509" w:rsidRDefault="00F132B2" w:rsidP="00414D0D">
      <w:pPr>
        <w:pStyle w:val="Heading2"/>
      </w:pPr>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00BB4EA2">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6711BE">
        <w:trPr>
          <w:trHeight w:val="2585"/>
        </w:trPr>
        <w:tc>
          <w:tcPr>
            <w:tcW w:w="5000" w:type="pct"/>
            <w:shd w:val="clear" w:color="auto" w:fill="auto"/>
          </w:tcPr>
          <w:p w14:paraId="10A06EB4" w14:textId="77777777" w:rsidR="00DA0ECF" w:rsidRDefault="00DA0ECF" w:rsidP="00B045C4">
            <w:pPr>
              <w:tabs>
                <w:tab w:val="left" w:pos="1090"/>
              </w:tabs>
              <w:spacing w:after="0"/>
              <w:jc w:val="both"/>
            </w:pPr>
          </w:p>
          <w:p w14:paraId="4BDA5C5D" w14:textId="0F3CC1BA" w:rsidR="00C65FAD" w:rsidRDefault="00C7430A" w:rsidP="00B045C4">
            <w:pPr>
              <w:tabs>
                <w:tab w:val="left" w:pos="1090"/>
              </w:tabs>
              <w:spacing w:after="0"/>
              <w:jc w:val="both"/>
            </w:pPr>
            <w:r>
              <w:t xml:space="preserve">When </w:t>
            </w:r>
            <w:r w:rsidR="0083115E">
              <w:t xml:space="preserve">business </w:t>
            </w:r>
            <w:r>
              <w:t>assets are bought or sold, they</w:t>
            </w:r>
            <w:r w:rsidR="00A77EA6">
              <w:t xml:space="preserve"> may be subject to different tax treatments. Some assets</w:t>
            </w:r>
            <w:r w:rsidR="00AA5E08">
              <w:t>, such as land or goodwill</w:t>
            </w:r>
            <w:r w:rsidR="00E0599D">
              <w:rPr>
                <w:rStyle w:val="FootnoteReference"/>
              </w:rPr>
              <w:footnoteReference w:id="2"/>
            </w:r>
            <w:r w:rsidR="00AA5E08">
              <w:t>, are generally held on capital account and are not taxable</w:t>
            </w:r>
            <w:r w:rsidR="00E665AC">
              <w:t xml:space="preserve"> or deductible.</w:t>
            </w:r>
            <w:r w:rsidR="009258DA">
              <w:t xml:space="preserve"> Other</w:t>
            </w:r>
            <w:r w:rsidR="00E665AC">
              <w:t xml:space="preserve"> assets</w:t>
            </w:r>
            <w:r w:rsidR="009258DA">
              <w:t>,</w:t>
            </w:r>
            <w:r w:rsidR="009C1422">
              <w:t xml:space="preserve"> such as trading stock</w:t>
            </w:r>
            <w:r w:rsidR="00D514E2">
              <w:rPr>
                <w:rStyle w:val="FootnoteReference"/>
              </w:rPr>
              <w:footnoteReference w:id="3"/>
            </w:r>
            <w:r w:rsidR="009C1422">
              <w:t xml:space="preserve"> and financial arrangements</w:t>
            </w:r>
            <w:r w:rsidR="002D2110">
              <w:rPr>
                <w:rStyle w:val="FootnoteReference"/>
              </w:rPr>
              <w:footnoteReference w:id="4"/>
            </w:r>
            <w:r w:rsidR="001C1643">
              <w:t xml:space="preserve">, </w:t>
            </w:r>
            <w:r w:rsidR="009258DA">
              <w:t xml:space="preserve">are held on revenue account </w:t>
            </w:r>
            <w:r w:rsidR="001C1643">
              <w:t>and are</w:t>
            </w:r>
            <w:r w:rsidR="001B59DF">
              <w:t xml:space="preserve"> both taxable and immediately deductible. </w:t>
            </w:r>
            <w:r w:rsidR="00FE2755">
              <w:t>Still other assets</w:t>
            </w:r>
            <w:r w:rsidR="00E62B4A">
              <w:t xml:space="preserve"> </w:t>
            </w:r>
            <w:r w:rsidR="00C16A2D">
              <w:t>– capital assets that are expected to decline in value</w:t>
            </w:r>
            <w:r w:rsidR="007D1FD4">
              <w:t xml:space="preserve"> over time </w:t>
            </w:r>
            <w:r w:rsidR="007E17B4">
              <w:t xml:space="preserve">(‘depreciable property’) </w:t>
            </w:r>
            <w:r w:rsidR="007D1FD4">
              <w:t xml:space="preserve">– are </w:t>
            </w:r>
            <w:r w:rsidR="00FF7C9D">
              <w:t>only</w:t>
            </w:r>
            <w:r w:rsidR="00814BB3">
              <w:t xml:space="preserve"> deductible</w:t>
            </w:r>
            <w:r w:rsidR="009905A1">
              <w:t xml:space="preserve"> over a number </w:t>
            </w:r>
            <w:r w:rsidR="004C3348">
              <w:t>of years</w:t>
            </w:r>
            <w:r w:rsidR="0059217C">
              <w:t>, in line with</w:t>
            </w:r>
            <w:r w:rsidR="00A8675D">
              <w:t xml:space="preserve"> their estimated useful lives</w:t>
            </w:r>
            <w:r w:rsidR="009B4B68">
              <w:t xml:space="preserve"> </w:t>
            </w:r>
            <w:r w:rsidR="00B240D2">
              <w:t>(i</w:t>
            </w:r>
            <w:r w:rsidR="006E722C">
              <w:t>f</w:t>
            </w:r>
            <w:r w:rsidR="00810E8F">
              <w:t xml:space="preserve"> the </w:t>
            </w:r>
            <w:r w:rsidR="00242111">
              <w:t>asset is sold for more than its depreciated value,</w:t>
            </w:r>
            <w:r w:rsidR="005E6D6E">
              <w:t xml:space="preserve"> the</w:t>
            </w:r>
            <w:r w:rsidR="00810E8F">
              <w:t xml:space="preserve"> </w:t>
            </w:r>
            <w:r w:rsidR="009025F2">
              <w:t xml:space="preserve">excess deductions are </w:t>
            </w:r>
            <w:r w:rsidR="00242111">
              <w:t>clawed back as taxable income</w:t>
            </w:r>
            <w:r w:rsidR="00E443D9">
              <w:t xml:space="preserve">). </w:t>
            </w:r>
          </w:p>
          <w:p w14:paraId="7BAED915" w14:textId="77777777" w:rsidR="003649AB" w:rsidRDefault="003649AB" w:rsidP="00B045C4">
            <w:pPr>
              <w:tabs>
                <w:tab w:val="left" w:pos="1090"/>
              </w:tabs>
              <w:spacing w:after="0"/>
              <w:jc w:val="both"/>
            </w:pPr>
          </w:p>
          <w:p w14:paraId="21BF5DCC" w14:textId="5B2984AC" w:rsidR="00205546" w:rsidRDefault="000338EC" w:rsidP="00B045C4">
            <w:pPr>
              <w:tabs>
                <w:tab w:val="left" w:pos="1090"/>
              </w:tabs>
              <w:spacing w:after="0"/>
              <w:jc w:val="both"/>
            </w:pPr>
            <w:r>
              <w:t>Parties</w:t>
            </w:r>
            <w:r w:rsidR="00B72609">
              <w:t xml:space="preserve"> </w:t>
            </w:r>
            <w:r w:rsidRPr="005C17AC">
              <w:t xml:space="preserve">to </w:t>
            </w:r>
            <w:r>
              <w:t>a</w:t>
            </w:r>
            <w:r w:rsidRPr="005C17AC">
              <w:t xml:space="preserve"> sale of two or more assets with different tax treatments (a ‘mixed supply’) </w:t>
            </w:r>
            <w:r>
              <w:t xml:space="preserve">are required to </w:t>
            </w:r>
            <w:r w:rsidRPr="005C17AC">
              <w:t>allocate the total sale/purchase price between the various assets</w:t>
            </w:r>
            <w:r w:rsidR="00E81CD3">
              <w:t xml:space="preserve"> </w:t>
            </w:r>
            <w:r w:rsidRPr="005C17AC">
              <w:t xml:space="preserve">for tax purposes. </w:t>
            </w:r>
            <w:r w:rsidR="007C7F7C">
              <w:t xml:space="preserve">The allocation determines the vendor’s tax liability </w:t>
            </w:r>
            <w:r w:rsidR="00393B51">
              <w:t xml:space="preserve">from the sale, and the purchaser’s cost base for claiming deductions in the future. </w:t>
            </w:r>
            <w:r w:rsidR="00E22B40">
              <w:t>T</w:t>
            </w:r>
            <w:r w:rsidR="00A6585D">
              <w:t xml:space="preserve">o correctly account for the business going forward, </w:t>
            </w:r>
            <w:r w:rsidR="00A07249">
              <w:t>the owner must maintain a</w:t>
            </w:r>
            <w:r w:rsidR="008C3D23">
              <w:t xml:space="preserve"> schedule for any depreciable assets – which have </w:t>
            </w:r>
            <w:r w:rsidR="005C79D6">
              <w:t>different depreciation rates – and a re</w:t>
            </w:r>
            <w:r w:rsidR="00CD5E26">
              <w:t>gister</w:t>
            </w:r>
            <w:r w:rsidR="005C79D6">
              <w:t xml:space="preserve"> of all the other assets</w:t>
            </w:r>
            <w:r w:rsidR="0065079D">
              <w:t xml:space="preserve">, some of which may be bought or sold separately. </w:t>
            </w:r>
          </w:p>
          <w:p w14:paraId="1349BC67" w14:textId="77777777" w:rsidR="00205546" w:rsidRDefault="00205546" w:rsidP="00B045C4">
            <w:pPr>
              <w:tabs>
                <w:tab w:val="left" w:pos="1090"/>
              </w:tabs>
              <w:spacing w:after="0"/>
              <w:jc w:val="both"/>
            </w:pPr>
          </w:p>
          <w:p w14:paraId="68B290D4" w14:textId="36242E70" w:rsidR="000338EC" w:rsidRDefault="00205546" w:rsidP="00B045C4">
            <w:pPr>
              <w:tabs>
                <w:tab w:val="left" w:pos="1090"/>
              </w:tabs>
              <w:spacing w:after="0"/>
              <w:jc w:val="both"/>
            </w:pPr>
            <w:r>
              <w:t>The policy problem</w:t>
            </w:r>
            <w:r w:rsidR="00FE1377">
              <w:t xml:space="preserve"> </w:t>
            </w:r>
            <w:r w:rsidR="00BB3309">
              <w:t>is that c</w:t>
            </w:r>
            <w:r w:rsidR="00703A55">
              <w:t xml:space="preserve">urrently, </w:t>
            </w:r>
            <w:r w:rsidR="000338EC" w:rsidRPr="005C17AC">
              <w:t xml:space="preserve">vendors and purchasers </w:t>
            </w:r>
            <w:r w:rsidR="001C6141">
              <w:t xml:space="preserve">are able to </w:t>
            </w:r>
            <w:r w:rsidR="000338EC" w:rsidRPr="005C17AC">
              <w:t>adopt different price allocations that minimise their own tax liabilities</w:t>
            </w:r>
            <w:r w:rsidR="001C6141">
              <w:t xml:space="preserve">, resulting in an overall </w:t>
            </w:r>
            <w:r w:rsidR="00F918E7">
              <w:t xml:space="preserve">loss to the revenue base. </w:t>
            </w:r>
            <w:r w:rsidR="000601C3">
              <w:t>Moreover, i</w:t>
            </w:r>
            <w:r w:rsidR="00BA33FB">
              <w:t>n</w:t>
            </w:r>
            <w:r w:rsidR="00CE755C">
              <w:t xml:space="preserve"> a </w:t>
            </w:r>
            <w:r w:rsidR="00E13206">
              <w:t>small number of</w:t>
            </w:r>
            <w:r w:rsidR="00CE755C">
              <w:t xml:space="preserve"> cases</w:t>
            </w:r>
            <w:r w:rsidR="00BA33FB">
              <w:t xml:space="preserve">, </w:t>
            </w:r>
            <w:r w:rsidR="00CE755C">
              <w:t xml:space="preserve">parties have been found to </w:t>
            </w:r>
            <w:r w:rsidR="004A768E">
              <w:t>adopt different allocations in their tax returns</w:t>
            </w:r>
            <w:r w:rsidR="00D81A95">
              <w:t xml:space="preserve"> despite having agreed an allocation</w:t>
            </w:r>
            <w:r w:rsidR="005071EF">
              <w:t xml:space="preserve"> during the sale process. </w:t>
            </w:r>
          </w:p>
          <w:p w14:paraId="290C5811" w14:textId="599B5493" w:rsidR="005741F0" w:rsidRDefault="005741F0" w:rsidP="00B045C4">
            <w:pPr>
              <w:tabs>
                <w:tab w:val="left" w:pos="1090"/>
              </w:tabs>
              <w:spacing w:after="0"/>
              <w:jc w:val="both"/>
            </w:pPr>
          </w:p>
          <w:p w14:paraId="3708616C" w14:textId="61DD5028" w:rsidR="005741F0" w:rsidRDefault="00D24C92" w:rsidP="00B045C4">
            <w:pPr>
              <w:tabs>
                <w:tab w:val="left" w:pos="1090"/>
              </w:tabs>
              <w:spacing w:after="0"/>
              <w:jc w:val="both"/>
            </w:pPr>
            <w:r>
              <w:t>The problem stems</w:t>
            </w:r>
            <w:r w:rsidR="001B05E6">
              <w:t xml:space="preserve"> from </w:t>
            </w:r>
            <w:r w:rsidR="003E4CB0">
              <w:t>the</w:t>
            </w:r>
            <w:r w:rsidR="00D91342">
              <w:t xml:space="preserve"> </w:t>
            </w:r>
            <w:r w:rsidR="001A2DFF">
              <w:t>existing legal framework</w:t>
            </w:r>
            <w:r w:rsidR="0017051F">
              <w:t xml:space="preserve"> </w:t>
            </w:r>
            <w:r w:rsidR="0011078F">
              <w:t>governing purchase price allocation. Under the</w:t>
            </w:r>
            <w:r w:rsidR="0017051F">
              <w:t xml:space="preserve"> Income Tax Act 2007</w:t>
            </w:r>
            <w:r w:rsidR="0011078F">
              <w:t>, p</w:t>
            </w:r>
            <w:r w:rsidR="0017051F">
              <w:t xml:space="preserve">arties are generally required </w:t>
            </w:r>
            <w:r w:rsidR="008C2D49">
              <w:t>to ascribe market value</w:t>
            </w:r>
            <w:r w:rsidR="005B4C74">
              <w:t>s</w:t>
            </w:r>
            <w:r w:rsidR="008C2D49">
              <w:t xml:space="preserve"> to the assets</w:t>
            </w:r>
            <w:r w:rsidR="006E47D0">
              <w:t xml:space="preserve"> transferred</w:t>
            </w:r>
            <w:r w:rsidR="00722820">
              <w:t>.</w:t>
            </w:r>
            <w:r w:rsidR="005B4C74">
              <w:t xml:space="preserve"> </w:t>
            </w:r>
            <w:r w:rsidR="00722820">
              <w:t>B</w:t>
            </w:r>
            <w:r w:rsidR="005B4C74">
              <w:t>ut market value is a range rather than a single value</w:t>
            </w:r>
            <w:r w:rsidR="008B3E8B">
              <w:t xml:space="preserve"> and </w:t>
            </w:r>
            <w:r w:rsidR="00F823A0">
              <w:t>the parties</w:t>
            </w:r>
            <w:r w:rsidR="002A2717">
              <w:t xml:space="preserve"> </w:t>
            </w:r>
            <w:r w:rsidR="003C4F0D">
              <w:t xml:space="preserve">are </w:t>
            </w:r>
            <w:r w:rsidR="002A2717">
              <w:t>not require</w:t>
            </w:r>
            <w:r w:rsidR="003C4F0D">
              <w:t>d</w:t>
            </w:r>
            <w:r w:rsidR="002A2717">
              <w:t xml:space="preserve"> to use the same market values</w:t>
            </w:r>
            <w:r w:rsidR="00851B97">
              <w:t>, other than for trading stock</w:t>
            </w:r>
            <w:r w:rsidR="00FC5A72">
              <w:t xml:space="preserve"> (the</w:t>
            </w:r>
            <w:r w:rsidR="00D819E2">
              <w:t xml:space="preserve"> specific instance </w:t>
            </w:r>
            <w:r w:rsidR="00D87F2B">
              <w:t xml:space="preserve">alluded to earlier </w:t>
            </w:r>
            <w:r w:rsidR="00D819E2">
              <w:t>where</w:t>
            </w:r>
            <w:r w:rsidR="00870E67">
              <w:t xml:space="preserve"> </w:t>
            </w:r>
            <w:r w:rsidR="004D5771">
              <w:t xml:space="preserve">a rule akin to </w:t>
            </w:r>
            <w:r w:rsidR="00870E67">
              <w:t>the proposed approach</w:t>
            </w:r>
            <w:r w:rsidR="00682480">
              <w:t xml:space="preserve"> – discussed </w:t>
            </w:r>
            <w:r w:rsidR="004E590B">
              <w:t>in the next section</w:t>
            </w:r>
            <w:r w:rsidR="008B61F5">
              <w:t xml:space="preserve"> – is already used)</w:t>
            </w:r>
            <w:r w:rsidR="002A2717">
              <w:t>.</w:t>
            </w:r>
            <w:r w:rsidR="00D207B3">
              <w:t xml:space="preserve"> </w:t>
            </w:r>
            <w:r w:rsidR="00FD3DFA">
              <w:t xml:space="preserve">There is also some doubt about how the law applies to a purchaser of depreciable property.  </w:t>
            </w:r>
            <w:r w:rsidR="00F95063">
              <w:t>Consequently, the</w:t>
            </w:r>
            <w:r w:rsidR="003623E9">
              <w:t xml:space="preserve"> vendor </w:t>
            </w:r>
            <w:r w:rsidR="004A5EC5">
              <w:t>can</w:t>
            </w:r>
            <w:r w:rsidR="003623E9">
              <w:t xml:space="preserve"> allocate </w:t>
            </w:r>
            <w:r w:rsidR="0092037B">
              <w:t xml:space="preserve">lower amounts to </w:t>
            </w:r>
            <w:r w:rsidR="004D3626">
              <w:t xml:space="preserve">depreciable property and financial arrangements, </w:t>
            </w:r>
            <w:r w:rsidR="007655ED">
              <w:t xml:space="preserve">which are </w:t>
            </w:r>
            <w:r w:rsidR="0092037B">
              <w:t>taxable</w:t>
            </w:r>
            <w:r w:rsidR="00C345B5">
              <w:t>,</w:t>
            </w:r>
            <w:r w:rsidR="0092037B">
              <w:t xml:space="preserve"> and higher amounts to non-taxable capital assets</w:t>
            </w:r>
            <w:r w:rsidR="00DD4854">
              <w:t xml:space="preserve">, </w:t>
            </w:r>
            <w:r w:rsidR="00527753">
              <w:t>to reduce its tax liability</w:t>
            </w:r>
            <w:r w:rsidR="00F95063">
              <w:t>, while</w:t>
            </w:r>
            <w:r w:rsidR="00ED5EB5">
              <w:t xml:space="preserve"> the purchaser </w:t>
            </w:r>
            <w:r w:rsidR="004A5EC5">
              <w:t>can</w:t>
            </w:r>
            <w:r w:rsidR="00DD4854">
              <w:t xml:space="preserve"> </w:t>
            </w:r>
            <w:r w:rsidR="00564277">
              <w:t xml:space="preserve">allocate higher amounts to </w:t>
            </w:r>
            <w:r w:rsidR="00192278">
              <w:t>depreciable property and financial arrangements</w:t>
            </w:r>
            <w:r w:rsidR="00564277">
              <w:t xml:space="preserve"> in order to </w:t>
            </w:r>
            <w:r w:rsidR="00DD4854">
              <w:t>maximise its de</w:t>
            </w:r>
            <w:r w:rsidR="00C10E40">
              <w:t>ductions over time.</w:t>
            </w:r>
          </w:p>
          <w:p w14:paraId="62BBC9DC" w14:textId="593BE5AC" w:rsidR="00CF14C5" w:rsidRDefault="00CF14C5" w:rsidP="00B045C4">
            <w:pPr>
              <w:tabs>
                <w:tab w:val="left" w:pos="1090"/>
              </w:tabs>
              <w:spacing w:after="0"/>
              <w:jc w:val="both"/>
            </w:pPr>
          </w:p>
          <w:p w14:paraId="69E6DA3D" w14:textId="4ECACE97" w:rsidR="00CF14C5" w:rsidRDefault="00CF14C5" w:rsidP="00B045C4">
            <w:pPr>
              <w:tabs>
                <w:tab w:val="left" w:pos="1090"/>
              </w:tabs>
              <w:spacing w:after="0"/>
              <w:jc w:val="both"/>
            </w:pPr>
            <w:r>
              <w:t xml:space="preserve">Since </w:t>
            </w:r>
            <w:r w:rsidR="004B04CD">
              <w:t xml:space="preserve">the law does not require consistency, </w:t>
            </w:r>
            <w:r w:rsidR="001F1CB8">
              <w:t xml:space="preserve">it is </w:t>
            </w:r>
            <w:r w:rsidR="008C00AD">
              <w:t>difficult</w:t>
            </w:r>
            <w:r w:rsidR="00A4075E">
              <w:t xml:space="preserve"> </w:t>
            </w:r>
            <w:r w:rsidR="003531E8">
              <w:t>f</w:t>
            </w:r>
            <w:r w:rsidR="001F1CB8">
              <w:t xml:space="preserve">or the Commissioner to challenge </w:t>
            </w:r>
            <w:r w:rsidR="0077013F">
              <w:t>different allocations that are both based on market values</w:t>
            </w:r>
            <w:r w:rsidR="00363DFE">
              <w:t xml:space="preserve">, despite the result being a loss to the tax base. </w:t>
            </w:r>
            <w:r w:rsidR="0009107A">
              <w:t>Investigations</w:t>
            </w:r>
            <w:r w:rsidR="00A55630">
              <w:t xml:space="preserve"> undertaken by Inland Revenue</w:t>
            </w:r>
            <w:r w:rsidR="0009107A">
              <w:t xml:space="preserve"> into</w:t>
            </w:r>
            <w:r w:rsidR="00F52A01">
              <w:t xml:space="preserve"> a</w:t>
            </w:r>
            <w:r w:rsidR="008562D0">
              <w:t xml:space="preserve"> number of large commercial property transactions </w:t>
            </w:r>
            <w:r w:rsidR="00A55630">
              <w:t xml:space="preserve">have revealed discrepancies between vendor and purchaser allocations resulting in </w:t>
            </w:r>
            <w:r w:rsidR="00927FE4">
              <w:t xml:space="preserve">overall revenue losses </w:t>
            </w:r>
            <w:r w:rsidR="00D15A22">
              <w:t>in the</w:t>
            </w:r>
            <w:r w:rsidR="00927FE4">
              <w:t xml:space="preserve"> millions of dollars. </w:t>
            </w:r>
            <w:r w:rsidR="00533488">
              <w:t xml:space="preserve">Given the cost and uncertainty of disputes, these losses are </w:t>
            </w:r>
            <w:r w:rsidR="00385C55">
              <w:t>often u</w:t>
            </w:r>
            <w:r w:rsidR="00BD2483">
              <w:t>n</w:t>
            </w:r>
            <w:r w:rsidR="00533488">
              <w:t xml:space="preserve">able to be eliminated.  </w:t>
            </w:r>
            <w:r w:rsidR="004D0CA2">
              <w:t>If</w:t>
            </w:r>
            <w:r w:rsidR="00D36BED">
              <w:t xml:space="preserve"> the status quo continues, </w:t>
            </w:r>
            <w:r w:rsidR="00BD6548">
              <w:t>such</w:t>
            </w:r>
            <w:r w:rsidR="00AA5E66">
              <w:t xml:space="preserve"> outcomes are likely to</w:t>
            </w:r>
            <w:r w:rsidR="00AD3AF9">
              <w:t xml:space="preserve"> recur.</w:t>
            </w:r>
          </w:p>
          <w:p w14:paraId="08B50A9E" w14:textId="2464FEAE" w:rsidR="00CA1EB7" w:rsidRDefault="00CA1EB7" w:rsidP="00B045C4">
            <w:pPr>
              <w:tabs>
                <w:tab w:val="left" w:pos="1090"/>
              </w:tabs>
              <w:spacing w:after="0"/>
              <w:jc w:val="both"/>
            </w:pPr>
          </w:p>
          <w:p w14:paraId="22258ED5" w14:textId="08708FC4" w:rsidR="00CA7FD3" w:rsidRDefault="004F3E9D" w:rsidP="00CA7FD3">
            <w:pPr>
              <w:spacing w:after="0" w:line="276" w:lineRule="auto"/>
              <w:jc w:val="both"/>
            </w:pPr>
            <w:r>
              <w:t xml:space="preserve"> </w:t>
            </w:r>
            <w:r w:rsidR="00647CC6">
              <w:t xml:space="preserve">Officials do </w:t>
            </w:r>
            <w:r>
              <w:t xml:space="preserve">not consider </w:t>
            </w:r>
            <w:r w:rsidR="00CA1EB7">
              <w:t>these discrepancies</w:t>
            </w:r>
            <w:r w:rsidR="008C6A20">
              <w:t xml:space="preserve"> to be justifiable</w:t>
            </w:r>
            <w:r w:rsidR="00CA1EB7">
              <w:t>. In a normal commercial transaction, the vendor and purchaser will take different views of the value of an asset</w:t>
            </w:r>
            <w:r w:rsidR="00A4075E">
              <w:t>.</w:t>
            </w:r>
            <w:r w:rsidR="00CA1EB7">
              <w:t xml:space="preserve"> </w:t>
            </w:r>
            <w:r w:rsidR="00A4075E">
              <w:t>T</w:t>
            </w:r>
            <w:r w:rsidR="00CA1EB7">
              <w:t xml:space="preserve">he vendor will not sell the asset unless it thinks the asset is worth less than the purchaser is willing to pay for it, and the purchaser will not buy the asset unless it thinks the opposite. But the asset is sold and bought for a single price, and that price is </w:t>
            </w:r>
            <w:r w:rsidR="00E37C4C">
              <w:t xml:space="preserve">the amount </w:t>
            </w:r>
            <w:proofErr w:type="gramStart"/>
            <w:r w:rsidR="00E37C4C">
              <w:t>taken into account</w:t>
            </w:r>
            <w:proofErr w:type="gramEnd"/>
            <w:r w:rsidR="00E37C4C">
              <w:t xml:space="preserve"> in the tax returns</w:t>
            </w:r>
            <w:r w:rsidR="00CA1EB7">
              <w:t xml:space="preserve"> for both parties. There is no obvious reason to depart from this</w:t>
            </w:r>
            <w:r w:rsidR="006A3955">
              <w:t xml:space="preserve"> “single price”</w:t>
            </w:r>
            <w:r w:rsidR="00CA1EB7">
              <w:t xml:space="preserve"> principle where multiple assets are sold together.</w:t>
            </w:r>
          </w:p>
          <w:p w14:paraId="128DD047" w14:textId="5900C88A" w:rsidR="00CA7FD3" w:rsidRPr="00CA7FD3" w:rsidRDefault="00CA7FD3" w:rsidP="00CA7FD3"/>
        </w:tc>
      </w:tr>
    </w:tbl>
    <w:p w14:paraId="5D2EE621" w14:textId="77777777" w:rsidR="00F132B2" w:rsidRPr="00567434" w:rsidRDefault="00F132B2" w:rsidP="00B045C4">
      <w:pPr>
        <w:pStyle w:val="spacer"/>
        <w:jc w:val="both"/>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B045C4">
            <w:pPr>
              <w:pStyle w:val="TableHeadings"/>
              <w:jc w:val="both"/>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BB4EA2">
        <w:trPr>
          <w:trHeight w:val="1779"/>
        </w:trPr>
        <w:tc>
          <w:tcPr>
            <w:tcW w:w="5000" w:type="pct"/>
            <w:shd w:val="clear" w:color="auto" w:fill="auto"/>
          </w:tcPr>
          <w:p w14:paraId="1E894BC1" w14:textId="77777777" w:rsidR="00B203ED" w:rsidRDefault="00B203ED" w:rsidP="00B045C4">
            <w:pPr>
              <w:spacing w:after="0"/>
              <w:jc w:val="both"/>
            </w:pPr>
          </w:p>
          <w:p w14:paraId="17C29B0E" w14:textId="2F9BFD3E" w:rsidR="00F132B2" w:rsidRPr="0069218C" w:rsidRDefault="00B512BC" w:rsidP="00B72609">
            <w:pPr>
              <w:spacing w:after="0"/>
              <w:jc w:val="both"/>
              <w:rPr>
                <w:rFonts w:cs="Arial"/>
                <w:szCs w:val="22"/>
              </w:rPr>
            </w:pPr>
            <w:r>
              <w:t xml:space="preserve">The </w:t>
            </w:r>
            <w:r w:rsidR="007E1D56">
              <w:t>purchase price allocation</w:t>
            </w:r>
            <w:r w:rsidR="00141C45">
              <w:t xml:space="preserve"> </w:t>
            </w:r>
            <w:r w:rsidR="007E1D56">
              <w:t>amendments</w:t>
            </w:r>
            <w:r w:rsidR="005E2629">
              <w:t xml:space="preserve"> </w:t>
            </w:r>
            <w:r>
              <w:t>affect vendors and purchasers</w:t>
            </w:r>
            <w:r w:rsidR="00A4075E">
              <w:t xml:space="preserve"> </w:t>
            </w:r>
            <w:r>
              <w:t>in mixed supplies</w:t>
            </w:r>
            <w:r w:rsidR="00981187">
              <w:t xml:space="preserve"> – p</w:t>
            </w:r>
            <w:r w:rsidR="00200D93">
              <w:t>articularly</w:t>
            </w:r>
            <w:r w:rsidR="00981187">
              <w:t xml:space="preserve"> those that do not agree an allocation</w:t>
            </w:r>
            <w:r w:rsidR="000F185C">
              <w:t xml:space="preserve"> under current law.</w:t>
            </w:r>
            <w:r w:rsidR="005A344B">
              <w:t xml:space="preserve"> </w:t>
            </w:r>
            <w:r w:rsidR="00A4075E">
              <w:t>Compliant parties to a sale are generally not opposed to alignment between sale and purchase prices but often do not support structured rules that increase compliance costs.</w:t>
            </w:r>
          </w:p>
        </w:tc>
      </w:tr>
    </w:tbl>
    <w:p w14:paraId="1F0A46B0" w14:textId="77777777" w:rsidR="000C3197" w:rsidRPr="00567434" w:rsidRDefault="000C3197" w:rsidP="00B045C4">
      <w:pPr>
        <w:pStyle w:val="spacer"/>
        <w:jc w:val="both"/>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B045C4">
            <w:pPr>
              <w:pStyle w:val="TableHeadings"/>
              <w:jc w:val="both"/>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6FD685B9" w14:textId="77777777" w:rsidR="001A008A" w:rsidRDefault="001A008A" w:rsidP="00B045C4">
            <w:pPr>
              <w:spacing w:after="0"/>
              <w:jc w:val="both"/>
            </w:pPr>
          </w:p>
          <w:p w14:paraId="680A618F" w14:textId="31E7F47F" w:rsidR="0027368E" w:rsidRDefault="0027368E" w:rsidP="00B045C4">
            <w:pPr>
              <w:spacing w:after="0"/>
              <w:jc w:val="both"/>
            </w:pPr>
            <w:r>
              <w:t>The p</w:t>
            </w:r>
            <w:r w:rsidR="00F22276">
              <w:t>olicy</w:t>
            </w:r>
            <w:r>
              <w:t xml:space="preserve"> objective is to</w:t>
            </w:r>
            <w:r w:rsidR="00704E35">
              <w:t xml:space="preserve"> prevent revenue loss arising in mixed suppl</w:t>
            </w:r>
            <w:r w:rsidR="000C083C">
              <w:t>ies</w:t>
            </w:r>
            <w:r w:rsidR="0072022B">
              <w:t xml:space="preserve"> </w:t>
            </w:r>
            <w:r w:rsidR="00E93A56">
              <w:t xml:space="preserve">– </w:t>
            </w:r>
            <w:r w:rsidR="00831D6D">
              <w:t xml:space="preserve">i.e. </w:t>
            </w:r>
            <w:r w:rsidR="00896256">
              <w:t>promote</w:t>
            </w:r>
            <w:r w:rsidR="00831D6D">
              <w:t xml:space="preserve"> </w:t>
            </w:r>
            <w:r w:rsidR="00020015">
              <w:t>“</w:t>
            </w:r>
            <w:r w:rsidR="0072022B">
              <w:t>revenue integrity</w:t>
            </w:r>
            <w:r w:rsidR="00020015">
              <w:t>”</w:t>
            </w:r>
            <w:r w:rsidR="00E93A56">
              <w:t xml:space="preserve"> – </w:t>
            </w:r>
            <w:r w:rsidR="002D26BB">
              <w:t xml:space="preserve">while </w:t>
            </w:r>
            <w:r w:rsidR="00EE6602">
              <w:t xml:space="preserve">keeping any </w:t>
            </w:r>
            <w:r w:rsidR="008503CB">
              <w:t>additional compliance a</w:t>
            </w:r>
            <w:r w:rsidR="0070146A">
              <w:t xml:space="preserve">nd administration costs and </w:t>
            </w:r>
            <w:r w:rsidR="003C1B5F">
              <w:t>disruption to natural commercial dynamics</w:t>
            </w:r>
            <w:r w:rsidR="0070146A">
              <w:t xml:space="preserve"> as</w:t>
            </w:r>
            <w:r w:rsidR="00AA034D">
              <w:t xml:space="preserve"> </w:t>
            </w:r>
            <w:r w:rsidR="00475E88">
              <w:t>small</w:t>
            </w:r>
            <w:r w:rsidR="00C07AFC">
              <w:t xml:space="preserve"> as possible.</w:t>
            </w:r>
            <w:r w:rsidR="00A7020F">
              <w:t xml:space="preserve"> </w:t>
            </w:r>
            <w:r w:rsidR="0000508F">
              <w:t xml:space="preserve"> </w:t>
            </w:r>
            <w:r w:rsidR="00C9718F">
              <w:t xml:space="preserve">Since the only way to </w:t>
            </w:r>
            <w:r w:rsidR="00AD49AF">
              <w:t>prevent revenue loss</w:t>
            </w:r>
            <w:r w:rsidR="00C9718F">
              <w:t xml:space="preserve"> is</w:t>
            </w:r>
            <w:r w:rsidR="008C6886">
              <w:t xml:space="preserve"> for the vendor and purchaser to use the same purchase price allocation, </w:t>
            </w:r>
            <w:r w:rsidR="00A162AC">
              <w:t>the</w:t>
            </w:r>
            <w:r w:rsidR="00292C97">
              <w:t xml:space="preserve"> </w:t>
            </w:r>
            <w:r w:rsidR="00A162AC">
              <w:t xml:space="preserve"> objective </w:t>
            </w:r>
            <w:r w:rsidR="007A4C18">
              <w:t xml:space="preserve">of revenue integrity </w:t>
            </w:r>
            <w:r w:rsidR="00A162AC">
              <w:t xml:space="preserve">can </w:t>
            </w:r>
            <w:r w:rsidR="00B41542">
              <w:t xml:space="preserve">also </w:t>
            </w:r>
            <w:r w:rsidR="00A162AC">
              <w:t>be</w:t>
            </w:r>
            <w:r w:rsidR="00856CD6">
              <w:t xml:space="preserve"> represented as </w:t>
            </w:r>
            <w:r w:rsidR="00A93580">
              <w:t>“</w:t>
            </w:r>
            <w:r w:rsidR="00856CD6">
              <w:t>consistency</w:t>
            </w:r>
            <w:r w:rsidR="00A93580">
              <w:t>”</w:t>
            </w:r>
            <w:r w:rsidR="00856CD6">
              <w:t>.</w:t>
            </w:r>
            <w:r w:rsidR="003C1B5F">
              <w:t xml:space="preserve"> </w:t>
            </w:r>
          </w:p>
          <w:p w14:paraId="6CCE6DE4" w14:textId="77777777" w:rsidR="00F132B2" w:rsidRPr="0069218C" w:rsidRDefault="00F132B2" w:rsidP="00B045C4">
            <w:pPr>
              <w:spacing w:after="0" w:line="276" w:lineRule="auto"/>
              <w:jc w:val="both"/>
              <w:rPr>
                <w:rFonts w:cs="Arial"/>
                <w:szCs w:val="22"/>
              </w:rPr>
            </w:pPr>
          </w:p>
        </w:tc>
      </w:tr>
    </w:tbl>
    <w:p w14:paraId="23951347" w14:textId="014101A8" w:rsidR="00E92509" w:rsidRDefault="00A552DC" w:rsidP="00B045C4">
      <w:pPr>
        <w:pStyle w:val="Heading2"/>
        <w:jc w:val="both"/>
      </w:pPr>
      <w:r w:rsidRPr="0069218C">
        <w:rPr>
          <w:lang w:val="en-NZ"/>
        </w:rPr>
        <w:br w:type="page"/>
      </w:r>
      <w:r w:rsidR="00BE62EB" w:rsidRPr="002D5734">
        <w:lastRenderedPageBreak/>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00BB4EA2">
        <w:trPr>
          <w:trHeight w:val="77"/>
        </w:trPr>
        <w:tc>
          <w:tcPr>
            <w:tcW w:w="5000" w:type="pct"/>
            <w:shd w:val="clear" w:color="auto" w:fill="99CDDD"/>
          </w:tcPr>
          <w:p w14:paraId="291154AD" w14:textId="77777777" w:rsidR="00051A88" w:rsidRPr="00886DFF" w:rsidRDefault="00B23E8A" w:rsidP="00B045C4">
            <w:pPr>
              <w:pStyle w:val="TableHeadings"/>
              <w:keepNext/>
              <w:jc w:val="both"/>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00BB4EA2">
        <w:trPr>
          <w:trHeight w:val="3161"/>
        </w:trPr>
        <w:tc>
          <w:tcPr>
            <w:tcW w:w="5000" w:type="pct"/>
            <w:shd w:val="clear" w:color="auto" w:fill="auto"/>
          </w:tcPr>
          <w:p w14:paraId="131F88E3" w14:textId="77777777" w:rsidR="002B7067" w:rsidRDefault="002B7067" w:rsidP="00B045C4">
            <w:pPr>
              <w:spacing w:after="0"/>
              <w:jc w:val="both"/>
            </w:pPr>
          </w:p>
          <w:p w14:paraId="6F26400E" w14:textId="095A57EA" w:rsidR="00351ACC" w:rsidRDefault="002B741F" w:rsidP="002B741F">
            <w:pPr>
              <w:pStyle w:val="ListParagraph"/>
              <w:numPr>
                <w:ilvl w:val="0"/>
                <w:numId w:val="40"/>
              </w:numPr>
              <w:jc w:val="both"/>
            </w:pPr>
            <w:r>
              <w:t xml:space="preserve">Option 1 – </w:t>
            </w:r>
            <w:r w:rsidR="007714C3">
              <w:t>S</w:t>
            </w:r>
            <w:r>
              <w:t>tatus quo</w:t>
            </w:r>
          </w:p>
          <w:p w14:paraId="614F5A17" w14:textId="076176B6" w:rsidR="002B741F" w:rsidRDefault="002B741F" w:rsidP="002B741F">
            <w:pPr>
              <w:pStyle w:val="ListParagraph"/>
              <w:numPr>
                <w:ilvl w:val="0"/>
                <w:numId w:val="40"/>
              </w:numPr>
              <w:jc w:val="both"/>
            </w:pPr>
            <w:r>
              <w:t xml:space="preserve">Option 2 – </w:t>
            </w:r>
            <w:r w:rsidR="007714C3">
              <w:t>P</w:t>
            </w:r>
            <w:r>
              <w:t>arty allocation (vendor first)</w:t>
            </w:r>
          </w:p>
          <w:p w14:paraId="60F67EB0" w14:textId="22323E94" w:rsidR="002B741F" w:rsidRDefault="002B741F" w:rsidP="002B741F">
            <w:pPr>
              <w:pStyle w:val="ListParagraph"/>
              <w:numPr>
                <w:ilvl w:val="0"/>
                <w:numId w:val="40"/>
              </w:numPr>
              <w:jc w:val="both"/>
            </w:pPr>
            <w:r>
              <w:t>Option 3 – Commissioner allocation</w:t>
            </w:r>
          </w:p>
          <w:p w14:paraId="7C9784D6" w14:textId="326506D4" w:rsidR="002B741F" w:rsidRDefault="002B741F" w:rsidP="00DC329E">
            <w:pPr>
              <w:pStyle w:val="ListParagraph"/>
              <w:numPr>
                <w:ilvl w:val="0"/>
                <w:numId w:val="40"/>
              </w:numPr>
              <w:jc w:val="both"/>
            </w:pPr>
            <w:r>
              <w:t xml:space="preserve">Option 4 – </w:t>
            </w:r>
            <w:r w:rsidR="007714C3">
              <w:t>O</w:t>
            </w:r>
            <w:r>
              <w:t xml:space="preserve">perational approach </w:t>
            </w:r>
          </w:p>
          <w:p w14:paraId="6AC6D4C6" w14:textId="77777777" w:rsidR="00351ACC" w:rsidRDefault="00351ACC" w:rsidP="00B045C4">
            <w:pPr>
              <w:spacing w:after="0"/>
              <w:jc w:val="both"/>
            </w:pPr>
          </w:p>
          <w:p w14:paraId="3E2EFC7D" w14:textId="0E4EF145" w:rsidR="00685CBF" w:rsidRDefault="00962335" w:rsidP="00B045C4">
            <w:pPr>
              <w:spacing w:after="0"/>
              <w:jc w:val="both"/>
            </w:pPr>
            <w:r>
              <w:t>Options 2 and 3 are</w:t>
            </w:r>
            <w:r w:rsidR="00CA39B9">
              <w:t xml:space="preserve"> </w:t>
            </w:r>
            <w:r w:rsidR="00900927">
              <w:t xml:space="preserve">the main </w:t>
            </w:r>
            <w:r w:rsidR="00CA39B9">
              <w:t>legislative approaches</w:t>
            </w:r>
            <w:r w:rsidR="00900927">
              <w:t xml:space="preserve"> considered by </w:t>
            </w:r>
            <w:proofErr w:type="gramStart"/>
            <w:r w:rsidR="00900927">
              <w:t>officials</w:t>
            </w:r>
            <w:r w:rsidR="00CA39B9">
              <w:t>, and</w:t>
            </w:r>
            <w:proofErr w:type="gramEnd"/>
            <w:r w:rsidR="006949C7">
              <w:t xml:space="preserve"> relate to how an allocation is made if the vendor and purchaser do not reach an agreement between themselves. </w:t>
            </w:r>
            <w:r w:rsidR="00386BFB">
              <w:t>Officials have always considered that i</w:t>
            </w:r>
            <w:r w:rsidR="00110634">
              <w:t>f the</w:t>
            </w:r>
            <w:r w:rsidR="00E4242A">
              <w:t xml:space="preserve"> parties</w:t>
            </w:r>
            <w:r w:rsidR="00110634">
              <w:t xml:space="preserve"> agree an allocation,</w:t>
            </w:r>
            <w:r w:rsidR="007E6A3C">
              <w:t xml:space="preserve"> </w:t>
            </w:r>
            <w:r w:rsidR="00386BFB">
              <w:t>they should</w:t>
            </w:r>
            <w:r w:rsidR="007E6A3C">
              <w:t xml:space="preserve"> </w:t>
            </w:r>
            <w:r w:rsidR="00830022">
              <w:t xml:space="preserve">not be able to adopt </w:t>
            </w:r>
            <w:r w:rsidR="00B24EDE">
              <w:t xml:space="preserve">separate, </w:t>
            </w:r>
            <w:r w:rsidR="00830022">
              <w:t xml:space="preserve">more favourable </w:t>
            </w:r>
            <w:r w:rsidR="00077D9A">
              <w:t>allocation</w:t>
            </w:r>
            <w:r w:rsidR="00092D89">
              <w:t>s</w:t>
            </w:r>
            <w:r w:rsidR="007E6A3C">
              <w:t xml:space="preserve"> in their tax returns</w:t>
            </w:r>
            <w:r w:rsidR="001A5860">
              <w:t xml:space="preserve">. </w:t>
            </w:r>
            <w:r w:rsidR="0069031B">
              <w:t>Officials</w:t>
            </w:r>
            <w:r w:rsidR="00D46306">
              <w:t xml:space="preserve"> have also been of the view that</w:t>
            </w:r>
            <w:r w:rsidR="007C54B5">
              <w:t xml:space="preserve"> </w:t>
            </w:r>
            <w:r w:rsidR="009552BD">
              <w:t xml:space="preserve">the allocation </w:t>
            </w:r>
            <w:r w:rsidR="00D46306">
              <w:t>should</w:t>
            </w:r>
            <w:r w:rsidR="00ED4675">
              <w:t xml:space="preserve"> </w:t>
            </w:r>
            <w:r w:rsidR="00D950FE">
              <w:t xml:space="preserve">always </w:t>
            </w:r>
            <w:r w:rsidR="00897C37">
              <w:t xml:space="preserve">be based on relative market values (market values </w:t>
            </w:r>
            <w:r w:rsidR="009A6A8C">
              <w:t>proportionate</w:t>
            </w:r>
            <w:r w:rsidR="00BE31B7">
              <w:t xml:space="preserve"> to the total purchase price)</w:t>
            </w:r>
            <w:r w:rsidR="00D46306">
              <w:t xml:space="preserve"> – in line with the current law – </w:t>
            </w:r>
            <w:r w:rsidR="009F2BBF">
              <w:t>and</w:t>
            </w:r>
            <w:r w:rsidR="00D46306">
              <w:t xml:space="preserve"> that</w:t>
            </w:r>
            <w:r w:rsidR="009F2BBF">
              <w:t xml:space="preserve"> </w:t>
            </w:r>
            <w:r w:rsidR="005A4E7F">
              <w:t>t</w:t>
            </w:r>
            <w:r w:rsidR="007D1F47">
              <w:t>he</w:t>
            </w:r>
            <w:r w:rsidR="00BE31B7">
              <w:t xml:space="preserve"> </w:t>
            </w:r>
            <w:r w:rsidR="009552BD">
              <w:t xml:space="preserve">Commissioner </w:t>
            </w:r>
            <w:r w:rsidR="00FC1189">
              <w:t>should  be</w:t>
            </w:r>
            <w:r w:rsidR="009552BD">
              <w:t xml:space="preserve"> able to challenge an allocation</w:t>
            </w:r>
            <w:r w:rsidR="007D1F47">
              <w:t xml:space="preserve"> that </w:t>
            </w:r>
            <w:r w:rsidR="00E817BF">
              <w:t>she considers is</w:t>
            </w:r>
            <w:r w:rsidR="007D1F47">
              <w:t xml:space="preserve"> not</w:t>
            </w:r>
            <w:r w:rsidR="00062914">
              <w:t xml:space="preserve"> </w:t>
            </w:r>
            <w:r w:rsidR="000C4C4F">
              <w:t>so based.</w:t>
            </w:r>
          </w:p>
          <w:p w14:paraId="6C0ECA0A" w14:textId="77777777" w:rsidR="005F5029" w:rsidRDefault="005F5029" w:rsidP="00B045C4">
            <w:pPr>
              <w:spacing w:after="0"/>
              <w:jc w:val="both"/>
            </w:pPr>
          </w:p>
          <w:p w14:paraId="5B87F05A" w14:textId="77722BCC" w:rsidR="00BB4507" w:rsidRDefault="00BB4507" w:rsidP="00B045C4">
            <w:pPr>
              <w:spacing w:after="0"/>
              <w:jc w:val="both"/>
            </w:pPr>
            <w:r>
              <w:t>Other</w:t>
            </w:r>
            <w:r w:rsidR="00D7005B">
              <w:t xml:space="preserve"> elements that did not</w:t>
            </w:r>
            <w:r w:rsidR="004E26E8">
              <w:t xml:space="preserve"> differ between </w:t>
            </w:r>
            <w:r w:rsidR="00962335">
              <w:t>options 2 and 3</w:t>
            </w:r>
            <w:r w:rsidR="004E26E8">
              <w:t xml:space="preserve"> during policy development were</w:t>
            </w:r>
            <w:r w:rsidR="00697CA9">
              <w:t>:</w:t>
            </w:r>
          </w:p>
          <w:p w14:paraId="7FB44EA6" w14:textId="433A3FB9" w:rsidR="00697CA9" w:rsidRDefault="00697CA9" w:rsidP="00B045C4">
            <w:pPr>
              <w:spacing w:after="0"/>
              <w:jc w:val="both"/>
            </w:pPr>
          </w:p>
          <w:p w14:paraId="2CAB7B25" w14:textId="7B2D7FAF" w:rsidR="00697CA9" w:rsidRDefault="00697CA9" w:rsidP="00B045C4">
            <w:pPr>
              <w:pStyle w:val="ListParagraph"/>
              <w:numPr>
                <w:ilvl w:val="0"/>
                <w:numId w:val="38"/>
              </w:numPr>
              <w:jc w:val="both"/>
            </w:pPr>
            <w:r w:rsidRPr="00214D25">
              <w:rPr>
                <w:i/>
                <w:iCs/>
              </w:rPr>
              <w:t>Granularity of allocation</w:t>
            </w:r>
            <w:r w:rsidR="00214D25" w:rsidRPr="00214D25">
              <w:rPr>
                <w:i/>
                <w:iCs/>
              </w:rPr>
              <w:t>:</w:t>
            </w:r>
            <w:r w:rsidR="00214D25">
              <w:t xml:space="preserve"> parties should not be required to agree an allocation to every individual asset, but rather asset categories with unique tax treatments</w:t>
            </w:r>
            <w:r w:rsidR="00ED26B9">
              <w:t xml:space="preserve"> – e.g. depreciable property, buildings, land, revenue account property</w:t>
            </w:r>
            <w:r w:rsidR="00F62693">
              <w:t xml:space="preserve"> etc. </w:t>
            </w:r>
            <w:r w:rsidR="00470FC5">
              <w:t>While this may leave some scope for</w:t>
            </w:r>
            <w:r w:rsidR="00A85DB8">
              <w:t xml:space="preserve"> arbitrage between different write-down rates for depreciable property, for example,</w:t>
            </w:r>
            <w:r w:rsidR="001929F1">
              <w:t xml:space="preserve"> the compliance cost of</w:t>
            </w:r>
            <w:r w:rsidR="00ED5658">
              <w:t xml:space="preserve"> working out and agreeing a value for every single asset </w:t>
            </w:r>
            <w:r w:rsidR="00116B8B">
              <w:t>might</w:t>
            </w:r>
            <w:r w:rsidR="00DB7FDF">
              <w:t xml:space="preserve"> be</w:t>
            </w:r>
            <w:r w:rsidR="00ED5658">
              <w:t xml:space="preserve"> unrealistic</w:t>
            </w:r>
            <w:r w:rsidR="00DB7FDF">
              <w:t xml:space="preserve"> for many taxpayers.</w:t>
            </w:r>
          </w:p>
          <w:p w14:paraId="4635C052" w14:textId="77777777" w:rsidR="00715B9B" w:rsidRDefault="00715B9B" w:rsidP="00B045C4">
            <w:pPr>
              <w:pStyle w:val="ListParagraph"/>
              <w:jc w:val="both"/>
            </w:pPr>
          </w:p>
          <w:p w14:paraId="336B6F7B" w14:textId="38F3CFE2" w:rsidR="00F62693" w:rsidRDefault="00AA6A3B" w:rsidP="00B045C4">
            <w:pPr>
              <w:pStyle w:val="ListParagraph"/>
              <w:numPr>
                <w:ilvl w:val="0"/>
                <w:numId w:val="38"/>
              </w:numPr>
              <w:jc w:val="both"/>
            </w:pPr>
            <w:r>
              <w:rPr>
                <w:i/>
                <w:iCs/>
              </w:rPr>
              <w:t xml:space="preserve">Notification of allocation: </w:t>
            </w:r>
            <w:r>
              <w:t>parties should be required to notify</w:t>
            </w:r>
            <w:r w:rsidR="00E03594">
              <w:t xml:space="preserve"> the Commissioner if they have not agreed an allocation. </w:t>
            </w:r>
          </w:p>
          <w:p w14:paraId="1094483F" w14:textId="77777777" w:rsidR="00DC329E" w:rsidRDefault="00DC329E" w:rsidP="00B72609">
            <w:pPr>
              <w:pStyle w:val="ListParagraph"/>
            </w:pPr>
          </w:p>
          <w:p w14:paraId="7D9B9CC7" w14:textId="0812B785" w:rsidR="00BC4A0F" w:rsidRDefault="00A80D3A" w:rsidP="00B72609">
            <w:pPr>
              <w:pStyle w:val="ListParagraph"/>
              <w:numPr>
                <w:ilvl w:val="0"/>
                <w:numId w:val="38"/>
              </w:numPr>
              <w:jc w:val="both"/>
            </w:pPr>
            <w:r w:rsidRPr="00DC329E">
              <w:rPr>
                <w:i/>
                <w:iCs/>
              </w:rPr>
              <w:t xml:space="preserve">De minimis: </w:t>
            </w:r>
            <w:r>
              <w:t>t</w:t>
            </w:r>
            <w:r w:rsidR="00C605D6">
              <w:t xml:space="preserve">ransactions </w:t>
            </w:r>
            <w:r w:rsidR="0064179E">
              <w:t xml:space="preserve">falling below certain </w:t>
            </w:r>
            <w:r w:rsidR="00E10EFA">
              <w:t>value</w:t>
            </w:r>
            <w:r w:rsidR="0064179E">
              <w:t xml:space="preserve"> thresholds should not be subject to the consistency requirement</w:t>
            </w:r>
            <w:r w:rsidR="007E2508">
              <w:t xml:space="preserve"> for purchase price allocation</w:t>
            </w:r>
            <w:r w:rsidR="00081671">
              <w:t xml:space="preserve">, as the scope for tax manipulation is </w:t>
            </w:r>
            <w:r w:rsidR="008F16F7">
              <w:t>not great enough</w:t>
            </w:r>
            <w:r w:rsidR="001E3EA9">
              <w:t xml:space="preserve"> to </w:t>
            </w:r>
            <w:r w:rsidR="009600C0">
              <w:t xml:space="preserve">present a material risk to the </w:t>
            </w:r>
            <w:r w:rsidR="00094142">
              <w:t>revenue</w:t>
            </w:r>
            <w:r w:rsidR="009600C0">
              <w:t xml:space="preserve"> base.</w:t>
            </w:r>
            <w:r w:rsidR="009A1B33">
              <w:t xml:space="preserve"> The thresholds should be a total </w:t>
            </w:r>
            <w:r w:rsidR="005B69A7">
              <w:t>purchase price of $1 million, or an allocation to taxable property by the purchaser of $100,000.</w:t>
            </w:r>
          </w:p>
          <w:p w14:paraId="3B691C10" w14:textId="77777777" w:rsidR="00DC329E" w:rsidRDefault="00DC329E" w:rsidP="00B72609">
            <w:pPr>
              <w:spacing w:after="0"/>
              <w:jc w:val="both"/>
            </w:pPr>
          </w:p>
          <w:p w14:paraId="76BC2B9A" w14:textId="08C2FCCE" w:rsidR="00BC4A0F" w:rsidRDefault="00BC4A0F" w:rsidP="00DC329E">
            <w:pPr>
              <w:jc w:val="both"/>
            </w:pPr>
            <w:r>
              <w:t>Option 4 is the operational approach generally favoured by stakeholders.</w:t>
            </w:r>
          </w:p>
          <w:p w14:paraId="3E97727F" w14:textId="2C84B93F" w:rsidR="000862A1" w:rsidRDefault="000862A1" w:rsidP="00B045C4">
            <w:pPr>
              <w:spacing w:after="0"/>
              <w:jc w:val="both"/>
            </w:pPr>
            <w:r>
              <w:t>The criteria against which the options were assessed are:</w:t>
            </w:r>
          </w:p>
          <w:p w14:paraId="7AC36A38" w14:textId="35CED95C" w:rsidR="000862A1" w:rsidRDefault="000862A1" w:rsidP="00B045C4">
            <w:pPr>
              <w:spacing w:after="0"/>
              <w:jc w:val="both"/>
            </w:pPr>
          </w:p>
          <w:p w14:paraId="79391A40" w14:textId="49EE2749" w:rsidR="000862A1" w:rsidRPr="003F1D4F" w:rsidRDefault="000862A1" w:rsidP="00B045C4">
            <w:pPr>
              <w:jc w:val="both"/>
            </w:pPr>
            <w:r>
              <w:t xml:space="preserve">- </w:t>
            </w:r>
            <w:r w:rsidRPr="00B72609">
              <w:rPr>
                <w:i/>
                <w:iCs/>
              </w:rPr>
              <w:t>Compliance costs</w:t>
            </w:r>
            <w:r w:rsidR="003F1D4F">
              <w:rPr>
                <w:i/>
                <w:iCs/>
              </w:rPr>
              <w:t xml:space="preserve">: </w:t>
            </w:r>
            <w:r w:rsidR="00DC329E">
              <w:t xml:space="preserve">compliance costs </w:t>
            </w:r>
            <w:r w:rsidR="00BC255D">
              <w:t xml:space="preserve">for taxpayers </w:t>
            </w:r>
            <w:r w:rsidR="00DC329E">
              <w:t>should be minimised</w:t>
            </w:r>
            <w:r w:rsidR="008B75C7">
              <w:t>.</w:t>
            </w:r>
            <w:r w:rsidR="00DC329E">
              <w:t xml:space="preserve"> </w:t>
            </w:r>
          </w:p>
          <w:p w14:paraId="1EB10C74" w14:textId="5065F9DB" w:rsidR="000862A1" w:rsidRPr="00EB24E1" w:rsidRDefault="000862A1" w:rsidP="00B045C4">
            <w:pPr>
              <w:jc w:val="both"/>
            </w:pPr>
            <w:r>
              <w:t xml:space="preserve">- </w:t>
            </w:r>
            <w:r w:rsidRPr="00B72609">
              <w:rPr>
                <w:i/>
                <w:iCs/>
              </w:rPr>
              <w:t>Administration costs</w:t>
            </w:r>
            <w:r w:rsidR="00EB24E1">
              <w:rPr>
                <w:i/>
                <w:iCs/>
              </w:rPr>
              <w:t xml:space="preserve">: </w:t>
            </w:r>
            <w:r w:rsidR="00DC329E">
              <w:t xml:space="preserve">administration costs </w:t>
            </w:r>
            <w:r w:rsidR="006462F1">
              <w:t>for</w:t>
            </w:r>
            <w:r w:rsidR="00BC255D">
              <w:t xml:space="preserve"> Inland Revenue </w:t>
            </w:r>
            <w:r w:rsidR="00DC329E">
              <w:t>should be minimised</w:t>
            </w:r>
            <w:r w:rsidR="008B75C7">
              <w:t>.</w:t>
            </w:r>
            <w:r w:rsidR="00DC329E">
              <w:t xml:space="preserve"> </w:t>
            </w:r>
          </w:p>
          <w:p w14:paraId="093773B8" w14:textId="70FD6996" w:rsidR="000862A1" w:rsidRPr="00B72609" w:rsidRDefault="000862A1" w:rsidP="00B045C4">
            <w:pPr>
              <w:jc w:val="both"/>
              <w:rPr>
                <w:i/>
                <w:iCs/>
              </w:rPr>
            </w:pPr>
            <w:r>
              <w:t xml:space="preserve">- </w:t>
            </w:r>
            <w:r w:rsidRPr="00B72609">
              <w:rPr>
                <w:i/>
                <w:iCs/>
              </w:rPr>
              <w:t>Neutrality</w:t>
            </w:r>
            <w:r w:rsidR="000A4820">
              <w:t xml:space="preserve">: </w:t>
            </w:r>
            <w:r w:rsidR="00CE6D12">
              <w:t>the</w:t>
            </w:r>
            <w:r w:rsidR="00A7482F">
              <w:t xml:space="preserve"> tax rules </w:t>
            </w:r>
            <w:r w:rsidR="00DC329E">
              <w:t xml:space="preserve">should not </w:t>
            </w:r>
            <w:r w:rsidR="00A7482F">
              <w:t>distort</w:t>
            </w:r>
            <w:r w:rsidR="009F1681">
              <w:t xml:space="preserve"> economic outcomes</w:t>
            </w:r>
            <w:r w:rsidR="001D43C2">
              <w:t xml:space="preserve"> by incentivising </w:t>
            </w:r>
            <w:r w:rsidR="0012023E">
              <w:t>business</w:t>
            </w:r>
            <w:r w:rsidR="00D1488B">
              <w:t xml:space="preserve"> </w:t>
            </w:r>
            <w:r w:rsidR="00DC6635">
              <w:t>behaviours</w:t>
            </w:r>
            <w:r w:rsidR="00DA065C">
              <w:t xml:space="preserve"> that</w:t>
            </w:r>
            <w:r w:rsidR="00951B3D">
              <w:t xml:space="preserve"> do not</w:t>
            </w:r>
            <w:r w:rsidR="00DA065C">
              <w:t xml:space="preserve"> </w:t>
            </w:r>
            <w:r w:rsidR="009A3405">
              <w:t xml:space="preserve">make commercial </w:t>
            </w:r>
            <w:proofErr w:type="gramStart"/>
            <w:r w:rsidR="009A3405">
              <w:t>sense</w:t>
            </w:r>
            <w:r w:rsidR="00951B3D">
              <w:t>, and</w:t>
            </w:r>
            <w:proofErr w:type="gramEnd"/>
            <w:r w:rsidR="00951B3D">
              <w:t xml:space="preserve"> are only </w:t>
            </w:r>
            <w:r w:rsidR="00DC6635">
              <w:t>adopted</w:t>
            </w:r>
            <w:r w:rsidR="00D1488B">
              <w:t xml:space="preserve"> </w:t>
            </w:r>
            <w:r w:rsidR="00DE2593">
              <w:t xml:space="preserve">for tax reasons. </w:t>
            </w:r>
            <w:r w:rsidR="00C90F24">
              <w:t xml:space="preserve">They should </w:t>
            </w:r>
            <w:r w:rsidR="007F11AF">
              <w:t xml:space="preserve">not </w:t>
            </w:r>
            <w:r w:rsidR="00C90F24">
              <w:t>advantage one party over another.</w:t>
            </w:r>
          </w:p>
          <w:p w14:paraId="01D1D529" w14:textId="77777777" w:rsidR="00E557B0" w:rsidRDefault="00E557B0" w:rsidP="00446338">
            <w:pPr>
              <w:spacing w:after="0"/>
              <w:jc w:val="both"/>
              <w:rPr>
                <w:b/>
                <w:bCs/>
              </w:rPr>
            </w:pPr>
          </w:p>
          <w:p w14:paraId="7CD747C8" w14:textId="77777777" w:rsidR="00E557B0" w:rsidRDefault="00E557B0" w:rsidP="00446338">
            <w:pPr>
              <w:spacing w:after="0"/>
              <w:jc w:val="both"/>
              <w:rPr>
                <w:b/>
                <w:bCs/>
              </w:rPr>
            </w:pPr>
          </w:p>
          <w:p w14:paraId="47FA6172" w14:textId="77777777" w:rsidR="00E557B0" w:rsidRDefault="00E557B0" w:rsidP="00446338">
            <w:pPr>
              <w:spacing w:after="0"/>
              <w:jc w:val="both"/>
              <w:rPr>
                <w:b/>
                <w:bCs/>
              </w:rPr>
            </w:pPr>
          </w:p>
          <w:p w14:paraId="21927793" w14:textId="77777777" w:rsidR="00E557B0" w:rsidRDefault="00E557B0" w:rsidP="00446338">
            <w:pPr>
              <w:spacing w:after="0"/>
              <w:jc w:val="both"/>
              <w:rPr>
                <w:b/>
                <w:bCs/>
              </w:rPr>
            </w:pPr>
          </w:p>
          <w:p w14:paraId="09D070BF" w14:textId="6B792522" w:rsidR="00602355" w:rsidRDefault="00602355" w:rsidP="00446338">
            <w:pPr>
              <w:spacing w:after="0"/>
              <w:jc w:val="both"/>
              <w:rPr>
                <w:b/>
                <w:bCs/>
              </w:rPr>
            </w:pPr>
            <w:r>
              <w:rPr>
                <w:b/>
                <w:bCs/>
              </w:rPr>
              <w:t>Option 1 – Status quo</w:t>
            </w:r>
          </w:p>
          <w:p w14:paraId="183AFB9A" w14:textId="77777777" w:rsidR="00446338" w:rsidRPr="00B72609" w:rsidRDefault="00446338" w:rsidP="00446338">
            <w:pPr>
              <w:spacing w:after="0"/>
              <w:jc w:val="both"/>
              <w:rPr>
                <w:b/>
                <w:bCs/>
              </w:rPr>
            </w:pPr>
          </w:p>
          <w:p w14:paraId="77897860" w14:textId="2AD6AA4C" w:rsidR="006F245E" w:rsidRPr="00B72609" w:rsidRDefault="00602355" w:rsidP="00B045C4">
            <w:pPr>
              <w:jc w:val="both"/>
            </w:pPr>
            <w:r>
              <w:t xml:space="preserve">Vendors and purchasers can continue </w:t>
            </w:r>
            <w:r w:rsidR="005607F7">
              <w:t xml:space="preserve">either to agree an allocation or to make their own separate allocations. </w:t>
            </w:r>
            <w:r w:rsidR="00093AAA">
              <w:t>The Commissioner can challenge allocations</w:t>
            </w:r>
            <w:r w:rsidR="00652ACD">
              <w:t xml:space="preserve"> that she considers are not at </w:t>
            </w:r>
            <w:proofErr w:type="gramStart"/>
            <w:r w:rsidR="00652ACD">
              <w:t>market, but</w:t>
            </w:r>
            <w:proofErr w:type="gramEnd"/>
            <w:r w:rsidR="00652ACD">
              <w:t xml:space="preserve"> cannot require </w:t>
            </w:r>
            <w:r w:rsidR="00D86CD2">
              <w:t>parties to</w:t>
            </w:r>
            <w:r w:rsidR="0059115D">
              <w:t xml:space="preserve"> adopt</w:t>
            </w:r>
            <w:r w:rsidR="00D86CD2">
              <w:t xml:space="preserve"> the same allocation. </w:t>
            </w:r>
            <w:r w:rsidR="00385247">
              <w:t>Revenue would continue to be lost</w:t>
            </w:r>
            <w:r w:rsidR="00FC40A2">
              <w:t xml:space="preserve"> where vendors and purchasers adopt separate allocations that minimise their own tax liabilities. </w:t>
            </w:r>
          </w:p>
          <w:p w14:paraId="7C33D930" w14:textId="2FC5FF06" w:rsidR="00602355" w:rsidRDefault="00907BB1" w:rsidP="00B045C4">
            <w:pPr>
              <w:jc w:val="both"/>
              <w:rPr>
                <w:i/>
                <w:iCs/>
                <w:u w:val="single"/>
              </w:rPr>
            </w:pPr>
            <w:r>
              <w:rPr>
                <w:i/>
                <w:iCs/>
                <w:u w:val="single"/>
              </w:rPr>
              <w:t>Pros</w:t>
            </w:r>
          </w:p>
          <w:p w14:paraId="59D5632B" w14:textId="79C3273F" w:rsidR="00907BB1" w:rsidRDefault="00033A9D" w:rsidP="00B045C4">
            <w:pPr>
              <w:jc w:val="both"/>
            </w:pPr>
            <w:r>
              <w:t xml:space="preserve">Parties would not have to change their </w:t>
            </w:r>
            <w:proofErr w:type="gramStart"/>
            <w:r>
              <w:t>behaviour</w:t>
            </w:r>
            <w:r w:rsidR="00CD6F64">
              <w:t>,</w:t>
            </w:r>
            <w:proofErr w:type="gramEnd"/>
            <w:r w:rsidR="00CD6F64">
              <w:t xml:space="preserve"> </w:t>
            </w:r>
            <w:r w:rsidR="00381292">
              <w:t>therefore</w:t>
            </w:r>
            <w:r w:rsidR="0095402B">
              <w:t xml:space="preserve"> compliance cost</w:t>
            </w:r>
            <w:r w:rsidR="005B226C">
              <w:t>s</w:t>
            </w:r>
            <w:r w:rsidR="00CD6F64">
              <w:t xml:space="preserve"> would be low.</w:t>
            </w:r>
            <w:r w:rsidR="00BC2EC7" w:rsidDel="00BC2EC7">
              <w:t xml:space="preserve"> </w:t>
            </w:r>
          </w:p>
          <w:p w14:paraId="166E6020" w14:textId="22CCE2D2" w:rsidR="009E3140" w:rsidRDefault="009E3140" w:rsidP="00B045C4">
            <w:pPr>
              <w:jc w:val="both"/>
              <w:rPr>
                <w:i/>
                <w:iCs/>
                <w:u w:val="single"/>
              </w:rPr>
            </w:pPr>
            <w:r>
              <w:rPr>
                <w:i/>
                <w:iCs/>
                <w:u w:val="single"/>
              </w:rPr>
              <w:t>Cons</w:t>
            </w:r>
          </w:p>
          <w:p w14:paraId="29264F5B" w14:textId="17DCF14E" w:rsidR="009E3140" w:rsidRPr="00B72609" w:rsidRDefault="009E3140" w:rsidP="00B045C4">
            <w:pPr>
              <w:jc w:val="both"/>
            </w:pPr>
            <w:r>
              <w:t>There would likely be an ongoing</w:t>
            </w:r>
            <w:r w:rsidR="002E5AA6">
              <w:t xml:space="preserve"> substantial</w:t>
            </w:r>
            <w:r>
              <w:t xml:space="preserve"> loss of revenue</w:t>
            </w:r>
            <w:r w:rsidR="00B30E14">
              <w:t xml:space="preserve">, </w:t>
            </w:r>
            <w:r w:rsidR="00541E5C">
              <w:t>meaning</w:t>
            </w:r>
            <w:r w:rsidR="00875CE7">
              <w:t xml:space="preserve"> the objective of revenue integrity</w:t>
            </w:r>
            <w:r w:rsidR="00F259F8">
              <w:t>/consistency</w:t>
            </w:r>
            <w:r w:rsidR="00875CE7">
              <w:t xml:space="preserve"> would not be achieved.</w:t>
            </w:r>
            <w:r w:rsidR="003F7FE3">
              <w:t xml:space="preserve"> Inland Revenue </w:t>
            </w:r>
            <w:r w:rsidR="00FC4150">
              <w:t>would continue to incur the administration costs</w:t>
            </w:r>
            <w:r w:rsidR="00EA5CA4">
              <w:t xml:space="preserve"> </w:t>
            </w:r>
            <w:r w:rsidR="00664107">
              <w:t>associated with</w:t>
            </w:r>
            <w:r w:rsidR="00825C5A">
              <w:t xml:space="preserve"> identifying inconsistent allocations through </w:t>
            </w:r>
            <w:proofErr w:type="gramStart"/>
            <w:r w:rsidR="00825C5A">
              <w:t>audit, and</w:t>
            </w:r>
            <w:proofErr w:type="gramEnd"/>
            <w:r w:rsidR="0070351F">
              <w:t xml:space="preserve"> attempting to resolve</w:t>
            </w:r>
            <w:r w:rsidR="00842E7F">
              <w:t xml:space="preserve"> inconsistencies</w:t>
            </w:r>
            <w:r w:rsidR="00D073A9">
              <w:t xml:space="preserve"> with</w:t>
            </w:r>
            <w:r w:rsidR="00575FE6">
              <w:t xml:space="preserve">out a </w:t>
            </w:r>
            <w:r w:rsidR="00B409E0">
              <w:t xml:space="preserve">legal basis to </w:t>
            </w:r>
            <w:r w:rsidR="00C33D5E">
              <w:t xml:space="preserve">require </w:t>
            </w:r>
            <w:r w:rsidR="0068347A">
              <w:t>resolution</w:t>
            </w:r>
            <w:r w:rsidR="000868DD">
              <w:t xml:space="preserve">. </w:t>
            </w:r>
            <w:r w:rsidR="00D3306D">
              <w:t>Moreover, t</w:t>
            </w:r>
            <w:r w:rsidR="00EA5CA4">
              <w:t>he status quo is not</w:t>
            </w:r>
            <w:r w:rsidR="004219B4">
              <w:t xml:space="preserve"> economically</w:t>
            </w:r>
            <w:r w:rsidR="00EA5CA4">
              <w:t xml:space="preserve"> neutral, </w:t>
            </w:r>
            <w:r w:rsidR="00F95D85">
              <w:t>because parties adopting different allocations are</w:t>
            </w:r>
            <w:r w:rsidR="00413C5B">
              <w:t xml:space="preserve"> re</w:t>
            </w:r>
            <w:r w:rsidR="005C534D">
              <w:t>lying on</w:t>
            </w:r>
            <w:r w:rsidR="00413C5B">
              <w:t xml:space="preserve"> a</w:t>
            </w:r>
            <w:r w:rsidR="00B72609">
              <w:t>n effective</w:t>
            </w:r>
            <w:r w:rsidR="00413C5B">
              <w:t xml:space="preserve"> subsidy from</w:t>
            </w:r>
            <w:r w:rsidR="00AF0E21">
              <w:t xml:space="preserve"> the revenue base</w:t>
            </w:r>
            <w:r w:rsidR="001C632C">
              <w:t xml:space="preserve"> </w:t>
            </w:r>
            <w:r w:rsidR="000610A1">
              <w:t xml:space="preserve">to support their commercial </w:t>
            </w:r>
            <w:proofErr w:type="gramStart"/>
            <w:r w:rsidR="000610A1">
              <w:t>transaction</w:t>
            </w:r>
            <w:r w:rsidR="001D76D2">
              <w:t>, when</w:t>
            </w:r>
            <w:proofErr w:type="gramEnd"/>
            <w:r w:rsidR="001D76D2">
              <w:t xml:space="preserve"> the transaction should stand on its own.</w:t>
            </w:r>
            <w:r w:rsidR="00875CE7">
              <w:t xml:space="preserve"> </w:t>
            </w:r>
            <w:r>
              <w:t xml:space="preserve"> </w:t>
            </w:r>
          </w:p>
          <w:p w14:paraId="4DBAE094" w14:textId="7A661DE5" w:rsidR="00B167EA" w:rsidRPr="00D0199A" w:rsidRDefault="00D0199A" w:rsidP="00B045C4">
            <w:pPr>
              <w:jc w:val="both"/>
              <w:rPr>
                <w:b/>
                <w:bCs/>
              </w:rPr>
            </w:pPr>
            <w:r>
              <w:rPr>
                <w:b/>
                <w:bCs/>
              </w:rPr>
              <w:t xml:space="preserve">Option </w:t>
            </w:r>
            <w:r w:rsidR="00677987">
              <w:rPr>
                <w:b/>
                <w:bCs/>
              </w:rPr>
              <w:t>2</w:t>
            </w:r>
            <w:r>
              <w:rPr>
                <w:b/>
                <w:bCs/>
              </w:rPr>
              <w:t xml:space="preserve"> </w:t>
            </w:r>
            <w:r w:rsidR="007E6A3C">
              <w:rPr>
                <w:b/>
                <w:bCs/>
              </w:rPr>
              <w:t>–</w:t>
            </w:r>
            <w:r>
              <w:rPr>
                <w:b/>
                <w:bCs/>
              </w:rPr>
              <w:t xml:space="preserve"> </w:t>
            </w:r>
            <w:r w:rsidR="00B1570C">
              <w:rPr>
                <w:b/>
                <w:bCs/>
              </w:rPr>
              <w:t>Party allocation (vendor first)</w:t>
            </w:r>
          </w:p>
          <w:p w14:paraId="5FEF6088" w14:textId="516DDBFA" w:rsidR="00061F2E" w:rsidRDefault="00076B71" w:rsidP="00B045C4">
            <w:pPr>
              <w:jc w:val="both"/>
            </w:pPr>
            <w:r>
              <w:t>If the vendor and purchaser do not agree an allocation,</w:t>
            </w:r>
            <w:r w:rsidR="00061F2E">
              <w:t xml:space="preserve"> </w:t>
            </w:r>
            <w:r>
              <w:t>they must step</w:t>
            </w:r>
            <w:r w:rsidR="00061F2E">
              <w:t xml:space="preserve"> through a short sequence of rules that allow one of the parties to determine the allocation. </w:t>
            </w:r>
          </w:p>
          <w:p w14:paraId="1A2EAF4D" w14:textId="5FC637A2" w:rsidR="00FC3146" w:rsidRDefault="00061F2E" w:rsidP="00B045C4">
            <w:pPr>
              <w:jc w:val="both"/>
            </w:pPr>
            <w:r>
              <w:t xml:space="preserve">For two months after transfer of the property, the vendor is </w:t>
            </w:r>
            <w:r w:rsidR="001448C1">
              <w:t>required</w:t>
            </w:r>
            <w:r>
              <w:t xml:space="preserve"> to determine the allocation, and must notify the purchaser and the Commissioner of it. </w:t>
            </w:r>
            <w:r w:rsidR="0008056D">
              <w:t>However, t</w:t>
            </w:r>
            <w:r w:rsidR="00E65AB3">
              <w:t>he</w:t>
            </w:r>
            <w:r>
              <w:t xml:space="preserve"> vendor  </w:t>
            </w:r>
            <w:r w:rsidR="0008056D">
              <w:t xml:space="preserve">cannot </w:t>
            </w:r>
            <w:r>
              <w:t>allocate amounts to taxable property that result in an additional loss</w:t>
            </w:r>
            <w:r w:rsidR="00FC3146">
              <w:t xml:space="preserve"> on the sale of that property</w:t>
            </w:r>
            <w:r w:rsidR="00A22283">
              <w:t xml:space="preserve"> (other than for part year depreciation)</w:t>
            </w:r>
            <w:r w:rsidR="00340218">
              <w:t>.</w:t>
            </w:r>
            <w:r w:rsidR="000764C8">
              <w:rPr>
                <w:rStyle w:val="FootnoteReference"/>
              </w:rPr>
              <w:footnoteReference w:id="5"/>
            </w:r>
            <w:r w:rsidR="00126FB0">
              <w:t xml:space="preserve"> </w:t>
            </w:r>
            <w:r w:rsidR="001D5496">
              <w:t xml:space="preserve"> </w:t>
            </w:r>
            <w:r w:rsidR="001318F0">
              <w:t xml:space="preserve"> </w:t>
            </w:r>
          </w:p>
          <w:p w14:paraId="5EF423CC" w14:textId="4EC59E30" w:rsidR="00C7655A" w:rsidRDefault="00061F2E" w:rsidP="00B045C4">
            <w:pPr>
              <w:jc w:val="both"/>
            </w:pPr>
            <w:r>
              <w:t xml:space="preserve">If the vendor fails to </w:t>
            </w:r>
            <w:r w:rsidR="00F46CDD">
              <w:t xml:space="preserve">notify an </w:t>
            </w:r>
            <w:r>
              <w:t>allocat</w:t>
            </w:r>
            <w:r w:rsidR="00F46CDD">
              <w:t>ion</w:t>
            </w:r>
            <w:r>
              <w:t xml:space="preserve"> within the two-month window, the purchaser </w:t>
            </w:r>
            <w:r w:rsidR="00E82858">
              <w:t xml:space="preserve">must </w:t>
            </w:r>
            <w:r>
              <w:t xml:space="preserve">determine the allocation, and notify the vendor and Commissioner of it. </w:t>
            </w:r>
            <w:r w:rsidR="00AC414F">
              <w:t>Whether the vendor or the purchaser determines the allocation</w:t>
            </w:r>
            <w:r>
              <w:t xml:space="preserve">, both parties must follow </w:t>
            </w:r>
            <w:r w:rsidR="00AC414F">
              <w:t>it</w:t>
            </w:r>
            <w:r>
              <w:t xml:space="preserve"> in their tax returns. The allocation must be at market, and the Commissioner can challenge </w:t>
            </w:r>
            <w:r w:rsidR="00A15799">
              <w:t>the</w:t>
            </w:r>
            <w:r>
              <w:t xml:space="preserve"> allocation </w:t>
            </w:r>
            <w:r w:rsidR="00A15799">
              <w:t>if</w:t>
            </w:r>
            <w:r>
              <w:t xml:space="preserve"> she considers </w:t>
            </w:r>
            <w:r w:rsidR="00A15799">
              <w:t>that it is not.</w:t>
            </w:r>
          </w:p>
          <w:p w14:paraId="713F882F" w14:textId="0E526C7C" w:rsidR="00AD4169" w:rsidRDefault="00AD4169" w:rsidP="00B045C4">
            <w:pPr>
              <w:jc w:val="both"/>
            </w:pPr>
            <w:r>
              <w:t xml:space="preserve">If neither party </w:t>
            </w:r>
            <w:r w:rsidR="006B3538">
              <w:t xml:space="preserve">notifies </w:t>
            </w:r>
            <w:r>
              <w:t>an allocation, the vendor is treated as disposing of the assets for market value, and the purchaser is treated as acquiring</w:t>
            </w:r>
            <w:r w:rsidR="000D7119">
              <w:t xml:space="preserve"> </w:t>
            </w:r>
            <w:r w:rsidR="00851905">
              <w:t>the assets</w:t>
            </w:r>
            <w:r w:rsidR="000D7119">
              <w:t xml:space="preserve"> for nil consideration. The effect of this is that the purchaser is unable to claim </w:t>
            </w:r>
            <w:r w:rsidR="00237B1C">
              <w:t xml:space="preserve">any deductions in relation to the property until it has made an allocation. </w:t>
            </w:r>
            <w:r w:rsidR="000B7E3D">
              <w:t>This</w:t>
            </w:r>
            <w:r w:rsidR="00F1394D">
              <w:t xml:space="preserve"> incentivises</w:t>
            </w:r>
            <w:r w:rsidR="000B7E3D">
              <w:t xml:space="preserve"> the purchaser to make </w:t>
            </w:r>
            <w:r w:rsidR="00F1394D">
              <w:t>and notify an</w:t>
            </w:r>
            <w:r w:rsidR="000B7E3D">
              <w:t xml:space="preserve"> allocation, which is</w:t>
            </w:r>
            <w:r w:rsidR="00AB2AFE">
              <w:t xml:space="preserve"> key to achieving consistency. </w:t>
            </w:r>
          </w:p>
          <w:p w14:paraId="59A2D433" w14:textId="77777777" w:rsidR="004467E4" w:rsidRDefault="004467E4" w:rsidP="00B045C4">
            <w:pPr>
              <w:jc w:val="both"/>
              <w:rPr>
                <w:i/>
                <w:iCs/>
                <w:u w:val="single"/>
              </w:rPr>
            </w:pPr>
          </w:p>
          <w:p w14:paraId="42EA3BCC" w14:textId="77777777" w:rsidR="004467E4" w:rsidRDefault="004467E4" w:rsidP="004467E4">
            <w:pPr>
              <w:spacing w:after="0"/>
              <w:jc w:val="both"/>
              <w:rPr>
                <w:i/>
                <w:iCs/>
                <w:u w:val="single"/>
              </w:rPr>
            </w:pPr>
          </w:p>
          <w:p w14:paraId="4CE57882" w14:textId="77777777" w:rsidR="004467E4" w:rsidRDefault="004467E4" w:rsidP="004467E4">
            <w:pPr>
              <w:spacing w:after="0"/>
              <w:jc w:val="both"/>
              <w:rPr>
                <w:i/>
                <w:iCs/>
                <w:u w:val="single"/>
              </w:rPr>
            </w:pPr>
          </w:p>
          <w:p w14:paraId="070995B5" w14:textId="1A4CFA41" w:rsidR="00072E82" w:rsidRDefault="00367635" w:rsidP="004467E4">
            <w:pPr>
              <w:spacing w:after="0"/>
              <w:jc w:val="both"/>
              <w:rPr>
                <w:i/>
                <w:iCs/>
                <w:u w:val="single"/>
              </w:rPr>
            </w:pPr>
            <w:r w:rsidRPr="00367635">
              <w:rPr>
                <w:i/>
                <w:iCs/>
                <w:u w:val="single"/>
              </w:rPr>
              <w:t xml:space="preserve">Pros </w:t>
            </w:r>
          </w:p>
          <w:p w14:paraId="16296017" w14:textId="77777777" w:rsidR="004467E4" w:rsidRDefault="004467E4" w:rsidP="004467E4">
            <w:pPr>
              <w:spacing w:after="0"/>
              <w:jc w:val="both"/>
            </w:pPr>
          </w:p>
          <w:p w14:paraId="6E28DA0A" w14:textId="66D37165" w:rsidR="00A8681E" w:rsidRDefault="00544053" w:rsidP="00B045C4">
            <w:pPr>
              <w:jc w:val="both"/>
            </w:pPr>
            <w:r>
              <w:t xml:space="preserve">This option </w:t>
            </w:r>
            <w:r w:rsidR="00EC3AF7">
              <w:t>achieves</w:t>
            </w:r>
            <w:r w:rsidR="005B7E95">
              <w:t xml:space="preserve"> the objective of</w:t>
            </w:r>
            <w:r>
              <w:t xml:space="preserve"> revenue integrity</w:t>
            </w:r>
            <w:r w:rsidR="00F259F8">
              <w:t>/consistency</w:t>
            </w:r>
            <w:r>
              <w:t xml:space="preserve"> </w:t>
            </w:r>
            <w:r w:rsidR="003E5271">
              <w:t>by</w:t>
            </w:r>
            <w:r w:rsidR="00CB2F68">
              <w:t xml:space="preserve"> driving parties towards using a single allocation.</w:t>
            </w:r>
            <w:r w:rsidR="00DC121C">
              <w:t xml:space="preserve"> It </w:t>
            </w:r>
            <w:r w:rsidR="00874A32">
              <w:t>has low administration costs, as it is the parties who must allocate</w:t>
            </w:r>
            <w:r w:rsidR="00BA60F2">
              <w:t xml:space="preserve">, not the Commissioner. </w:t>
            </w:r>
            <w:r w:rsidR="00F42441">
              <w:t>Importantly, t</w:t>
            </w:r>
            <w:r w:rsidR="000323B6">
              <w:t xml:space="preserve">he parties will </w:t>
            </w:r>
            <w:r w:rsidR="00E934B1">
              <w:t xml:space="preserve">have much better knowledge of the transaction and the assets in it than the </w:t>
            </w:r>
            <w:proofErr w:type="gramStart"/>
            <w:r w:rsidR="00E934B1">
              <w:t>Commissioner</w:t>
            </w:r>
            <w:r w:rsidR="00435C92">
              <w:t>, and</w:t>
            </w:r>
            <w:proofErr w:type="gramEnd"/>
            <w:r w:rsidR="00435C92">
              <w:t xml:space="preserve"> are therefore better placed to make the allocation. </w:t>
            </w:r>
            <w:r w:rsidR="00E934B1">
              <w:t xml:space="preserve"> </w:t>
            </w:r>
          </w:p>
          <w:p w14:paraId="7628AD6D" w14:textId="7EE91CB4" w:rsidR="00AF69E9" w:rsidRDefault="00AF69E9" w:rsidP="00B045C4">
            <w:pPr>
              <w:jc w:val="both"/>
              <w:rPr>
                <w:i/>
                <w:iCs/>
                <w:u w:val="single"/>
              </w:rPr>
            </w:pPr>
            <w:r>
              <w:rPr>
                <w:i/>
                <w:iCs/>
                <w:u w:val="single"/>
              </w:rPr>
              <w:t>Cons</w:t>
            </w:r>
          </w:p>
          <w:p w14:paraId="4FFF2AFD" w14:textId="2C888350" w:rsidR="00AF69E9" w:rsidRPr="00AF69E9" w:rsidRDefault="00523ADE" w:rsidP="00B045C4">
            <w:pPr>
              <w:jc w:val="both"/>
            </w:pPr>
            <w:r>
              <w:t>This option appears less neutral</w:t>
            </w:r>
            <w:r w:rsidR="00F34DB7">
              <w:t xml:space="preserve"> between </w:t>
            </w:r>
            <w:r w:rsidR="009944B4">
              <w:t xml:space="preserve">the </w:t>
            </w:r>
            <w:r w:rsidR="00F34DB7">
              <w:t>vendor and purchaser</w:t>
            </w:r>
            <w:r>
              <w:t>, as it allows the vendor to determine the allocation in the first instance</w:t>
            </w:r>
            <w:r w:rsidR="00EE12DB">
              <w:t>.</w:t>
            </w:r>
            <w:r w:rsidR="00D52627" w:rsidDel="005C4FF2">
              <w:t xml:space="preserve"> </w:t>
            </w:r>
            <w:r w:rsidR="00833173">
              <w:t>This</w:t>
            </w:r>
            <w:r w:rsidR="000F20DF">
              <w:t xml:space="preserve"> may</w:t>
            </w:r>
            <w:r w:rsidR="00D52DDE">
              <w:t xml:space="preserve"> be perceived as unfair by some </w:t>
            </w:r>
            <w:proofErr w:type="gramStart"/>
            <w:r w:rsidR="00D52DDE">
              <w:t>purchasers, or</w:t>
            </w:r>
            <w:proofErr w:type="gramEnd"/>
            <w:r w:rsidR="00D52DDE">
              <w:t xml:space="preserve"> </w:t>
            </w:r>
            <w:r w:rsidR="007F3C9D">
              <w:t xml:space="preserve">may </w:t>
            </w:r>
            <w:r w:rsidR="00D52DDE">
              <w:t>be a</w:t>
            </w:r>
            <w:r w:rsidR="00AB101C">
              <w:t>n additional</w:t>
            </w:r>
            <w:r w:rsidR="00D52DDE">
              <w:t xml:space="preserve"> source of tension in the negotiations</w:t>
            </w:r>
            <w:r w:rsidR="00205809">
              <w:t>, which could mean increased compliance costs</w:t>
            </w:r>
            <w:r w:rsidR="00D52DDE">
              <w:t>.</w:t>
            </w:r>
            <w:r w:rsidR="005C4FF2">
              <w:t xml:space="preserve">  However, </w:t>
            </w:r>
            <w:r w:rsidR="009944B4">
              <w:t>as the purchaser will be aware of th</w:t>
            </w:r>
            <w:r w:rsidR="00601682">
              <w:t>e rule</w:t>
            </w:r>
            <w:r w:rsidR="009944B4">
              <w:t xml:space="preserve">  when negotiating the sale</w:t>
            </w:r>
            <w:r w:rsidR="000945D8">
              <w:t>,</w:t>
            </w:r>
            <w:r w:rsidR="009944B4">
              <w:t xml:space="preserve"> an unfavourable</w:t>
            </w:r>
            <w:r w:rsidR="001C38E5">
              <w:t xml:space="preserve"> or undisclosed</w:t>
            </w:r>
            <w:r w:rsidR="009944B4">
              <w:t xml:space="preserve"> </w:t>
            </w:r>
            <w:r w:rsidR="0024726E">
              <w:t xml:space="preserve">vendor </w:t>
            </w:r>
            <w:r w:rsidR="009944B4">
              <w:t xml:space="preserve">allocation could be </w:t>
            </w:r>
            <w:r w:rsidR="00513364">
              <w:t>answered</w:t>
            </w:r>
            <w:r w:rsidR="009944B4">
              <w:t xml:space="preserve"> by a reduced purchase price.  </w:t>
            </w:r>
            <w:r w:rsidR="00BA31E5">
              <w:t>Moreover, t</w:t>
            </w:r>
            <w:r w:rsidR="005C4FF2">
              <w:t>he vendor is constrained by not being able to allocate amounts to taxable property that would result in an additional loss.</w:t>
            </w:r>
          </w:p>
          <w:p w14:paraId="1321146C" w14:textId="5D245023" w:rsidR="00536C4F" w:rsidRDefault="00536C4F" w:rsidP="00B045C4">
            <w:pPr>
              <w:jc w:val="both"/>
              <w:rPr>
                <w:b/>
                <w:bCs/>
              </w:rPr>
            </w:pPr>
            <w:r>
              <w:rPr>
                <w:b/>
                <w:bCs/>
              </w:rPr>
              <w:t xml:space="preserve">Option </w:t>
            </w:r>
            <w:r w:rsidR="00677987">
              <w:rPr>
                <w:b/>
                <w:bCs/>
              </w:rPr>
              <w:t xml:space="preserve">3 </w:t>
            </w:r>
            <w:r>
              <w:rPr>
                <w:b/>
                <w:bCs/>
              </w:rPr>
              <w:t>– Commissioner allocation</w:t>
            </w:r>
          </w:p>
          <w:p w14:paraId="65F4ECF4" w14:textId="4EFCE672" w:rsidR="00F33BCA" w:rsidRDefault="00C61554" w:rsidP="00B045C4">
            <w:pPr>
              <w:jc w:val="both"/>
            </w:pPr>
            <w:r>
              <w:t>If the vendor and purchaser do not agree an allocation, they</w:t>
            </w:r>
            <w:r w:rsidR="00FB5FA1">
              <w:t xml:space="preserve"> </w:t>
            </w:r>
            <w:r>
              <w:t>must request</w:t>
            </w:r>
            <w:r w:rsidR="00863624">
              <w:t xml:space="preserve"> an allocation from the Commissioner.</w:t>
            </w:r>
            <w:r w:rsidR="00F33BCA">
              <w:t xml:space="preserve"> The Commissioner may choose the vendor’s</w:t>
            </w:r>
            <w:r w:rsidR="00D06B12">
              <w:t xml:space="preserve"> allocation, the purchaser’s allocation, or any </w:t>
            </w:r>
            <w:r w:rsidR="00062556">
              <w:t>other allocation within a market value range</w:t>
            </w:r>
            <w:r w:rsidR="00D06B12">
              <w:t xml:space="preserve">. </w:t>
            </w:r>
            <w:r w:rsidR="00723BC8">
              <w:t>Both</w:t>
            </w:r>
            <w:r w:rsidR="0026325A">
              <w:t xml:space="preserve"> parties must then follow that allocation</w:t>
            </w:r>
            <w:r w:rsidR="00420369">
              <w:t xml:space="preserve"> in their tax returns.</w:t>
            </w:r>
          </w:p>
          <w:p w14:paraId="78E2D769" w14:textId="51A4E451" w:rsidR="00FB5FA1" w:rsidRDefault="0083451D" w:rsidP="00B045C4">
            <w:pPr>
              <w:jc w:val="both"/>
            </w:pPr>
            <w:r>
              <w:t>The Commissioner’s allocation cannot be challenged</w:t>
            </w:r>
            <w:r w:rsidR="000A5EDD">
              <w:t>.</w:t>
            </w:r>
            <w:r w:rsidR="00E003C4">
              <w:t xml:space="preserve"> </w:t>
            </w:r>
            <w:r w:rsidR="00384974">
              <w:t>The Commissioner may or may not decide to seek a</w:t>
            </w:r>
            <w:r w:rsidR="004545A5">
              <w:t>n external</w:t>
            </w:r>
            <w:r w:rsidR="00384974">
              <w:t xml:space="preserve"> valuation to </w:t>
            </w:r>
            <w:r w:rsidR="00FC512A">
              <w:t xml:space="preserve">determine the allocation. </w:t>
            </w:r>
          </w:p>
          <w:p w14:paraId="21C61C80" w14:textId="77777777" w:rsidR="006F245E" w:rsidRDefault="006F245E" w:rsidP="00B045C4">
            <w:pPr>
              <w:jc w:val="both"/>
            </w:pPr>
            <w:r w:rsidRPr="00367635">
              <w:rPr>
                <w:i/>
                <w:iCs/>
                <w:u w:val="single"/>
              </w:rPr>
              <w:t xml:space="preserve">Pros </w:t>
            </w:r>
          </w:p>
          <w:p w14:paraId="53AAC556" w14:textId="2C7E6A77" w:rsidR="00536C4F" w:rsidRDefault="00E367B5" w:rsidP="00B045C4">
            <w:pPr>
              <w:jc w:val="both"/>
            </w:pPr>
            <w:r>
              <w:t>This option ensures revenue integrity</w:t>
            </w:r>
            <w:r w:rsidR="00F259F8">
              <w:t>/consistency</w:t>
            </w:r>
            <w:r>
              <w:t xml:space="preserve"> by driving parties towards using a single allocation. It has low compliance costs, </w:t>
            </w:r>
            <w:r w:rsidR="008E2F07">
              <w:t xml:space="preserve">because if the parties cannot agree, </w:t>
            </w:r>
            <w:r>
              <w:t xml:space="preserve">it is the Commissioner who </w:t>
            </w:r>
            <w:r w:rsidR="000D416B">
              <w:t>determines</w:t>
            </w:r>
            <w:r w:rsidR="008E2F07">
              <w:t xml:space="preserve"> the allocation</w:t>
            </w:r>
            <w:r w:rsidR="00BC0F35">
              <w:t xml:space="preserve">. </w:t>
            </w:r>
            <w:r w:rsidR="00BE0B8D">
              <w:t>The</w:t>
            </w:r>
            <w:r w:rsidR="00B773F1">
              <w:t xml:space="preserve"> uncertainty of what the Commissioner will decide to allocate also provides a strong incentive for both parties to </w:t>
            </w:r>
            <w:r w:rsidR="00E40EAD">
              <w:t xml:space="preserve">reach an agreement between themselves. </w:t>
            </w:r>
            <w:r w:rsidR="00CA00C1">
              <w:t xml:space="preserve">Since neither party </w:t>
            </w:r>
            <w:r w:rsidR="00786992">
              <w:t>is given the opportunity to allocate</w:t>
            </w:r>
            <w:r w:rsidR="00663CEE">
              <w:t xml:space="preserve"> before the other, this option is relatively neutral in its impact on the commercial dynamic.</w:t>
            </w:r>
          </w:p>
          <w:p w14:paraId="48A16807" w14:textId="1A78801E" w:rsidR="000F427B" w:rsidRDefault="000F427B" w:rsidP="00B045C4">
            <w:pPr>
              <w:jc w:val="both"/>
              <w:rPr>
                <w:i/>
                <w:iCs/>
                <w:u w:val="single"/>
              </w:rPr>
            </w:pPr>
            <w:r>
              <w:rPr>
                <w:i/>
                <w:iCs/>
                <w:u w:val="single"/>
              </w:rPr>
              <w:t>Cons</w:t>
            </w:r>
          </w:p>
          <w:p w14:paraId="2D47B595" w14:textId="3382886E" w:rsidR="000F427B" w:rsidRDefault="000F427B" w:rsidP="00B045C4">
            <w:pPr>
              <w:jc w:val="both"/>
            </w:pPr>
            <w:r>
              <w:t>The administration costs of this option</w:t>
            </w:r>
            <w:r w:rsidR="00595502">
              <w:t xml:space="preserve"> could be high. </w:t>
            </w:r>
            <w:r w:rsidR="00603062">
              <w:t xml:space="preserve">The Commissioner has to dedicate resources to making an allocation every time parties fail to agree one. </w:t>
            </w:r>
            <w:r w:rsidR="009C4FA1">
              <w:t>To avoid costly disputes, the Commissioner’s allocation</w:t>
            </w:r>
            <w:r w:rsidR="006E179B">
              <w:t xml:space="preserve"> has to be unchallengeable, but this is likely to be seen as unfair</w:t>
            </w:r>
            <w:r w:rsidR="003A7AFA">
              <w:t xml:space="preserve"> by aggrieved parties</w:t>
            </w:r>
            <w:r w:rsidR="006A0251">
              <w:t xml:space="preserve"> – particularly if the Commissioner’s position is not </w:t>
            </w:r>
            <w:r w:rsidR="002B6C8D">
              <w:t>supported</w:t>
            </w:r>
            <w:r w:rsidR="006A0251">
              <w:t xml:space="preserve"> by an independent valuation</w:t>
            </w:r>
            <w:r w:rsidR="00DA3CD5">
              <w:t xml:space="preserve">. </w:t>
            </w:r>
            <w:r w:rsidR="009F54B5">
              <w:t xml:space="preserve"> This might lead to attempts to challenge an allocation regardless of any legal provisions, for example through judicial review.</w:t>
            </w:r>
          </w:p>
          <w:p w14:paraId="0C9FF17E" w14:textId="14824E7E" w:rsidR="00C144D4" w:rsidRDefault="00C144D4" w:rsidP="00B045C4">
            <w:pPr>
              <w:jc w:val="both"/>
              <w:rPr>
                <w:b/>
                <w:bCs/>
              </w:rPr>
            </w:pPr>
            <w:r>
              <w:rPr>
                <w:b/>
                <w:bCs/>
              </w:rPr>
              <w:t xml:space="preserve">Option </w:t>
            </w:r>
            <w:r w:rsidR="00677987">
              <w:rPr>
                <w:b/>
                <w:bCs/>
              </w:rPr>
              <w:t xml:space="preserve">4 </w:t>
            </w:r>
            <w:r w:rsidR="001410B3">
              <w:rPr>
                <w:b/>
                <w:bCs/>
              </w:rPr>
              <w:t>–</w:t>
            </w:r>
            <w:r>
              <w:rPr>
                <w:b/>
                <w:bCs/>
              </w:rPr>
              <w:t xml:space="preserve"> </w:t>
            </w:r>
            <w:r w:rsidR="001410B3">
              <w:rPr>
                <w:b/>
                <w:bCs/>
              </w:rPr>
              <w:t>Operational approach</w:t>
            </w:r>
            <w:r w:rsidR="00547C74">
              <w:rPr>
                <w:b/>
                <w:bCs/>
              </w:rPr>
              <w:t xml:space="preserve"> </w:t>
            </w:r>
          </w:p>
          <w:p w14:paraId="6993BFCA" w14:textId="77777777" w:rsidR="00084A7A" w:rsidRDefault="001E40DA" w:rsidP="00B045C4">
            <w:pPr>
              <w:jc w:val="both"/>
            </w:pPr>
            <w:r>
              <w:t xml:space="preserve">The vendor and purchaser can </w:t>
            </w:r>
            <w:r w:rsidR="00707055">
              <w:t xml:space="preserve">continue </w:t>
            </w:r>
            <w:r w:rsidR="007C69C8">
              <w:t>either to</w:t>
            </w:r>
            <w:r w:rsidR="00707055">
              <w:t xml:space="preserve"> agree an allocation or</w:t>
            </w:r>
            <w:r w:rsidR="006F1927">
              <w:t xml:space="preserve"> </w:t>
            </w:r>
            <w:r w:rsidR="007C69C8">
              <w:t xml:space="preserve">to </w:t>
            </w:r>
            <w:r w:rsidR="006F1927">
              <w:t>make</w:t>
            </w:r>
            <w:r>
              <w:t xml:space="preserve"> their own </w:t>
            </w:r>
            <w:r w:rsidR="004B698C">
              <w:t xml:space="preserve">separate </w:t>
            </w:r>
            <w:r>
              <w:t>allocations</w:t>
            </w:r>
            <w:r w:rsidR="002F79DF">
              <w:t xml:space="preserve">. </w:t>
            </w:r>
            <w:r w:rsidR="00423A0A">
              <w:t>I</w:t>
            </w:r>
            <w:r w:rsidR="00F11BDF">
              <w:t xml:space="preserve">n the latter case, the parties are required to notify the Commissioner that they have not agreed, and </w:t>
            </w:r>
            <w:r w:rsidR="00FA3948">
              <w:t xml:space="preserve">to </w:t>
            </w:r>
            <w:r w:rsidR="00F11BDF">
              <w:t xml:space="preserve">provide </w:t>
            </w:r>
            <w:r w:rsidR="00FA3948">
              <w:t>both the Commissioner and the ot</w:t>
            </w:r>
            <w:r w:rsidR="00721683">
              <w:t>her</w:t>
            </w:r>
            <w:r w:rsidR="00FA3948">
              <w:t xml:space="preserve"> </w:t>
            </w:r>
            <w:r w:rsidR="00721683">
              <w:t xml:space="preserve">party with </w:t>
            </w:r>
            <w:r w:rsidR="00F11BDF">
              <w:lastRenderedPageBreak/>
              <w:t>copies of their respective allocations.</w:t>
            </w:r>
            <w:r w:rsidR="006F7AD8">
              <w:t xml:space="preserve"> </w:t>
            </w:r>
            <w:r w:rsidR="00EC4072">
              <w:t>Penalties will apply</w:t>
            </w:r>
            <w:r w:rsidR="0039720D">
              <w:t xml:space="preserve"> to parties who are found not to have complied</w:t>
            </w:r>
            <w:r w:rsidR="00084A7A">
              <w:t xml:space="preserve"> with this requirement.</w:t>
            </w:r>
          </w:p>
          <w:p w14:paraId="4EF096C6" w14:textId="77777777" w:rsidR="00A616D7" w:rsidRDefault="00F11BDF" w:rsidP="00B045C4">
            <w:pPr>
              <w:jc w:val="both"/>
            </w:pPr>
            <w:r>
              <w:t>If the</w:t>
            </w:r>
            <w:r w:rsidR="002F79DF">
              <w:t xml:space="preserve"> Commissioner</w:t>
            </w:r>
            <w:r>
              <w:t xml:space="preserve"> </w:t>
            </w:r>
            <w:r w:rsidR="00F92BF2">
              <w:t xml:space="preserve">takes issue with </w:t>
            </w:r>
            <w:r w:rsidR="00FC1A6E">
              <w:t>one or both of the parties’ allocations, she</w:t>
            </w:r>
            <w:r w:rsidR="002F79DF">
              <w:t xml:space="preserve"> </w:t>
            </w:r>
            <w:r w:rsidR="00423A0A">
              <w:t>can enter into a dispute with both parties simultaneously</w:t>
            </w:r>
            <w:r w:rsidR="001D4279">
              <w:t xml:space="preserve">, leveraging </w:t>
            </w:r>
            <w:r w:rsidR="0076787D">
              <w:t xml:space="preserve">the associated costs as an incentive for the parties to </w:t>
            </w:r>
            <w:r w:rsidR="000E7ED7">
              <w:t>agree an allocation</w:t>
            </w:r>
            <w:r w:rsidR="0041400C">
              <w:t xml:space="preserve">. </w:t>
            </w:r>
          </w:p>
          <w:p w14:paraId="49A6165A" w14:textId="79F32C60" w:rsidR="001410B3" w:rsidRDefault="00834EDE" w:rsidP="00B045C4">
            <w:pPr>
              <w:jc w:val="both"/>
            </w:pPr>
            <w:r>
              <w:t>The Commissioner</w:t>
            </w:r>
            <w:r w:rsidR="00D02E1F">
              <w:t xml:space="preserve"> will </w:t>
            </w:r>
            <w:r w:rsidR="00D96871">
              <w:t>issue clear guidance</w:t>
            </w:r>
            <w:r w:rsidR="00ED1397">
              <w:t xml:space="preserve"> </w:t>
            </w:r>
            <w:r w:rsidR="00AC5123">
              <w:t xml:space="preserve">to the effect that vendors and purchasers should agree a purchase price allocation or risk </w:t>
            </w:r>
            <w:r w:rsidR="001D7946">
              <w:t xml:space="preserve">a dispute with the Commissioner. </w:t>
            </w:r>
            <w:r w:rsidR="000421C6">
              <w:t xml:space="preserve">She will also </w:t>
            </w:r>
            <w:r w:rsidR="009B569D">
              <w:t>clarify the existing legislative provisions governing allocations</w:t>
            </w:r>
            <w:r w:rsidR="003A34BB">
              <w:t xml:space="preserve">. </w:t>
            </w:r>
            <w:r w:rsidR="008514EA">
              <w:t xml:space="preserve">There will be no </w:t>
            </w:r>
            <w:r w:rsidR="00D30093">
              <w:t xml:space="preserve">other </w:t>
            </w:r>
            <w:r w:rsidR="008514EA">
              <w:t>changes to the legislation.</w:t>
            </w:r>
          </w:p>
          <w:p w14:paraId="7ED798DA" w14:textId="65F48495" w:rsidR="00E35DEA" w:rsidRDefault="00E35DEA" w:rsidP="00B045C4">
            <w:pPr>
              <w:jc w:val="both"/>
              <w:rPr>
                <w:i/>
                <w:iCs/>
                <w:u w:val="single"/>
              </w:rPr>
            </w:pPr>
            <w:r>
              <w:rPr>
                <w:i/>
                <w:iCs/>
                <w:u w:val="single"/>
              </w:rPr>
              <w:t>Pros</w:t>
            </w:r>
          </w:p>
          <w:p w14:paraId="708F4435" w14:textId="365B19A9" w:rsidR="00E35DEA" w:rsidRPr="00702A24" w:rsidRDefault="003B7394" w:rsidP="00B045C4">
            <w:pPr>
              <w:jc w:val="both"/>
            </w:pPr>
            <w:r>
              <w:t>This approach may be seen as more subtle and targeted</w:t>
            </w:r>
            <w:r w:rsidR="00677009">
              <w:t xml:space="preserve"> at the concern area – a </w:t>
            </w:r>
            <w:r w:rsidR="008736B3">
              <w:t xml:space="preserve">relatively </w:t>
            </w:r>
            <w:r w:rsidR="00D17CEB">
              <w:t xml:space="preserve">small number of large transactions </w:t>
            </w:r>
            <w:r w:rsidR="001B3184">
              <w:t>where there is deliberate</w:t>
            </w:r>
            <w:r w:rsidR="008736B3">
              <w:t xml:space="preserve"> </w:t>
            </w:r>
            <w:r w:rsidR="009B223F">
              <w:t xml:space="preserve">and substantial </w:t>
            </w:r>
            <w:r w:rsidR="008736B3">
              <w:t>tax planning.</w:t>
            </w:r>
            <w:r w:rsidR="006065EF">
              <w:t xml:space="preserve"> It </w:t>
            </w:r>
            <w:r w:rsidR="00F40944">
              <w:t>may seem fairer to vendors and purchasers</w:t>
            </w:r>
            <w:r w:rsidR="00DC591B">
              <w:t xml:space="preserve"> than </w:t>
            </w:r>
            <w:r w:rsidR="00312108">
              <w:t xml:space="preserve">enforced </w:t>
            </w:r>
            <w:r w:rsidR="00DC591B">
              <w:t>legislative rules</w:t>
            </w:r>
            <w:r w:rsidR="00265823">
              <w:t>,</w:t>
            </w:r>
            <w:r w:rsidR="008A6425">
              <w:t xml:space="preserve"> and more neutral</w:t>
            </w:r>
            <w:r w:rsidR="00F36D6F">
              <w:t xml:space="preserve"> on transactions</w:t>
            </w:r>
            <w:r w:rsidR="008A6425">
              <w:t xml:space="preserve">. </w:t>
            </w:r>
          </w:p>
          <w:p w14:paraId="3ED68949" w14:textId="2A634B4B" w:rsidR="00205791" w:rsidRDefault="00072838" w:rsidP="00B045C4">
            <w:pPr>
              <w:jc w:val="both"/>
              <w:rPr>
                <w:i/>
                <w:u w:val="single"/>
              </w:rPr>
            </w:pPr>
            <w:r>
              <w:rPr>
                <w:i/>
                <w:iCs/>
                <w:u w:val="single"/>
              </w:rPr>
              <w:t>Cons</w:t>
            </w:r>
          </w:p>
          <w:p w14:paraId="73636BE8" w14:textId="0B188ABF" w:rsidR="000F2C97" w:rsidRPr="00536C4F" w:rsidRDefault="00072838" w:rsidP="00B045C4">
            <w:pPr>
              <w:jc w:val="both"/>
            </w:pPr>
            <w:r>
              <w:t xml:space="preserve">The Commissioner cannot require the desired outcome of </w:t>
            </w:r>
            <w:proofErr w:type="gramStart"/>
            <w:r>
              <w:t>consistency, because</w:t>
            </w:r>
            <w:proofErr w:type="gramEnd"/>
            <w:r>
              <w:t xml:space="preserve"> </w:t>
            </w:r>
            <w:r w:rsidR="00C16831">
              <w:t>the</w:t>
            </w:r>
            <w:r w:rsidR="00375AA3">
              <w:t>re is no legal basis for her to do so.</w:t>
            </w:r>
            <w:r w:rsidR="00C16831">
              <w:t xml:space="preserve"> </w:t>
            </w:r>
            <w:r w:rsidR="00DE06A7">
              <w:t>Parties may be deterred by the costs of dispute, but they may not, and then an operational approach is ineffective at resolving the revenue risk.</w:t>
            </w:r>
            <w:r w:rsidR="00912C2B">
              <w:t xml:space="preserve"> The Commissioner has failed to achieve consistency in a number of real</w:t>
            </w:r>
            <w:r w:rsidR="000411F7">
              <w:t xml:space="preserve"> </w:t>
            </w:r>
            <w:r w:rsidR="00912C2B">
              <w:t>disputes,</w:t>
            </w:r>
            <w:r w:rsidR="000E2568">
              <w:t xml:space="preserve"> and it is  </w:t>
            </w:r>
            <w:r w:rsidR="00FA4A6E">
              <w:t xml:space="preserve">unlikely </w:t>
            </w:r>
            <w:r w:rsidR="000E2568">
              <w:t xml:space="preserve">that this would change </w:t>
            </w:r>
            <w:r w:rsidR="00C430B3">
              <w:t xml:space="preserve">simply through administrative guidance. </w:t>
            </w:r>
          </w:p>
        </w:tc>
      </w:tr>
    </w:tbl>
    <w:p w14:paraId="65608C12" w14:textId="77777777" w:rsidR="00F132B2" w:rsidRPr="00567434" w:rsidRDefault="00F132B2" w:rsidP="00B045C4">
      <w:pPr>
        <w:pStyle w:val="spacer"/>
        <w:jc w:val="both"/>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6393B122" w:rsidR="006D7184" w:rsidRPr="00886DFF" w:rsidRDefault="00B23E8A" w:rsidP="00B045C4">
            <w:pPr>
              <w:pStyle w:val="TableHeadings"/>
              <w:jc w:val="both"/>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BB21EA">
        <w:trPr>
          <w:trHeight w:val="6554"/>
        </w:trPr>
        <w:tc>
          <w:tcPr>
            <w:tcW w:w="5000" w:type="pct"/>
            <w:shd w:val="clear" w:color="auto" w:fill="auto"/>
          </w:tcPr>
          <w:p w14:paraId="24CC1E4E" w14:textId="77777777" w:rsidR="00A2475E" w:rsidRDefault="00A2475E" w:rsidP="00A2475E">
            <w:pPr>
              <w:spacing w:after="0"/>
              <w:jc w:val="both"/>
            </w:pPr>
          </w:p>
          <w:p w14:paraId="34EBA3D0" w14:textId="478F6F9E" w:rsidR="00947027" w:rsidRDefault="00947027" w:rsidP="009928F1">
            <w:pPr>
              <w:spacing w:after="0"/>
              <w:jc w:val="both"/>
            </w:pPr>
            <w:r>
              <w:t xml:space="preserve">The proposed approach is option </w:t>
            </w:r>
            <w:r w:rsidR="00FB59E7">
              <w:t>2</w:t>
            </w:r>
            <w:r w:rsidR="002722C8">
              <w:t xml:space="preserve">. </w:t>
            </w:r>
            <w:r w:rsidR="00AC6721">
              <w:t>O</w:t>
            </w:r>
            <w:r w:rsidR="002722C8">
              <w:t>fficials consider</w:t>
            </w:r>
            <w:r w:rsidR="0081146C">
              <w:t xml:space="preserve"> that it is the best option</w:t>
            </w:r>
            <w:r w:rsidR="00BB21EA">
              <w:t xml:space="preserve"> on balance</w:t>
            </w:r>
            <w:r w:rsidR="00991D25">
              <w:t xml:space="preserve">, for </w:t>
            </w:r>
            <w:r w:rsidR="00B50825">
              <w:t>the reasons outlined below.</w:t>
            </w:r>
          </w:p>
          <w:p w14:paraId="7AC73D07" w14:textId="77777777" w:rsidR="00E769E2" w:rsidRDefault="00E769E2" w:rsidP="00E769E2">
            <w:pPr>
              <w:spacing w:after="0"/>
              <w:jc w:val="both"/>
              <w:rPr>
                <w:i/>
                <w:iCs/>
              </w:rPr>
            </w:pPr>
          </w:p>
          <w:p w14:paraId="706A7870" w14:textId="487D27F5" w:rsidR="006D4CCD" w:rsidRDefault="006D4CCD" w:rsidP="00E769E2">
            <w:pPr>
              <w:spacing w:after="0"/>
              <w:jc w:val="both"/>
              <w:rPr>
                <w:i/>
                <w:iCs/>
              </w:rPr>
            </w:pPr>
            <w:r>
              <w:rPr>
                <w:i/>
                <w:iCs/>
              </w:rPr>
              <w:t>Legal foundation</w:t>
            </w:r>
          </w:p>
          <w:p w14:paraId="0472C9EF" w14:textId="77777777" w:rsidR="00E769E2" w:rsidRDefault="00E769E2" w:rsidP="00E769E2">
            <w:pPr>
              <w:spacing w:after="0"/>
              <w:jc w:val="both"/>
              <w:rPr>
                <w:i/>
                <w:iCs/>
              </w:rPr>
            </w:pPr>
          </w:p>
          <w:p w14:paraId="573C3F9D" w14:textId="64B9DD02" w:rsidR="006D4CCD" w:rsidRPr="006D4CCD" w:rsidRDefault="006C300E" w:rsidP="00B045C4">
            <w:pPr>
              <w:jc w:val="both"/>
            </w:pPr>
            <w:r>
              <w:t xml:space="preserve">Option </w:t>
            </w:r>
            <w:r w:rsidR="00FB59E7">
              <w:t>2</w:t>
            </w:r>
            <w:r w:rsidR="00FF72EC">
              <w:t xml:space="preserve"> provides a strong legal requirement for consistency</w:t>
            </w:r>
            <w:r w:rsidR="00935F34">
              <w:t>, which does not currently exist. This enables the Commissioner to</w:t>
            </w:r>
            <w:r w:rsidR="007771E1">
              <w:t xml:space="preserve"> mandate consistency, not </w:t>
            </w:r>
            <w:r w:rsidR="009B0DBD">
              <w:t xml:space="preserve">merely expect it. </w:t>
            </w:r>
            <w:r w:rsidR="001560B5">
              <w:t xml:space="preserve"> While the operational approach (option </w:t>
            </w:r>
            <w:r w:rsidR="001A6D7F">
              <w:t>4</w:t>
            </w:r>
            <w:r w:rsidR="001560B5">
              <w:t xml:space="preserve">) may be seen as less </w:t>
            </w:r>
            <w:r w:rsidR="005C5A0B">
              <w:t>intrusive</w:t>
            </w:r>
            <w:r>
              <w:t xml:space="preserve">, it </w:t>
            </w:r>
            <w:r w:rsidR="00791AC2">
              <w:t xml:space="preserve">is also  </w:t>
            </w:r>
            <w:r w:rsidR="0036347F">
              <w:t xml:space="preserve">likely not </w:t>
            </w:r>
            <w:r w:rsidR="00791AC2">
              <w:t>to lead to the desired outcome</w:t>
            </w:r>
            <w:r w:rsidR="00952816">
              <w:t xml:space="preserve"> in some cases</w:t>
            </w:r>
            <w:r w:rsidR="007B07E3">
              <w:t>.</w:t>
            </w:r>
          </w:p>
          <w:p w14:paraId="12F773F1" w14:textId="11B1211B" w:rsidR="002619E8" w:rsidRPr="002619E8" w:rsidRDefault="002619E8" w:rsidP="00B045C4">
            <w:pPr>
              <w:jc w:val="both"/>
              <w:rPr>
                <w:i/>
                <w:iCs/>
              </w:rPr>
            </w:pPr>
            <w:r>
              <w:rPr>
                <w:i/>
                <w:iCs/>
              </w:rPr>
              <w:t>Expertise</w:t>
            </w:r>
          </w:p>
          <w:p w14:paraId="47A37A02" w14:textId="6F6AB3B4" w:rsidR="00F132B2" w:rsidRDefault="003F23D5" w:rsidP="00B045C4">
            <w:pPr>
              <w:jc w:val="both"/>
            </w:pPr>
            <w:r>
              <w:t>Where the parties do not agree an allocation, it is better</w:t>
            </w:r>
            <w:r w:rsidR="00556A43">
              <w:t xml:space="preserve"> </w:t>
            </w:r>
            <w:r>
              <w:t>to k</w:t>
            </w:r>
            <w:r w:rsidR="009C7FAB">
              <w:t xml:space="preserve">eep the responsibility to allocate with the parties rather than </w:t>
            </w:r>
            <w:r w:rsidR="00737703">
              <w:t xml:space="preserve">transfer it to </w:t>
            </w:r>
            <w:r w:rsidR="009C7FAB">
              <w:t>the Commissioner</w:t>
            </w:r>
            <w:r w:rsidR="003D42C4">
              <w:t>, because t</w:t>
            </w:r>
            <w:r w:rsidR="00287B4B">
              <w:t xml:space="preserve">he parties are </w:t>
            </w:r>
            <w:r w:rsidR="008B41AB">
              <w:t xml:space="preserve">directly </w:t>
            </w:r>
            <w:r w:rsidR="00287B4B">
              <w:t>engaged in the transaction and have a much better</w:t>
            </w:r>
            <w:r w:rsidR="0086454B">
              <w:t xml:space="preserve"> </w:t>
            </w:r>
            <w:r w:rsidR="00C53F57">
              <w:t>understanding</w:t>
            </w:r>
            <w:r w:rsidR="0086454B">
              <w:t xml:space="preserve"> of the assets</w:t>
            </w:r>
            <w:r w:rsidR="00C53F57">
              <w:t xml:space="preserve"> being sold</w:t>
            </w:r>
            <w:r w:rsidR="008E2E7A">
              <w:t>,</w:t>
            </w:r>
            <w:r w:rsidR="009C4E97">
              <w:t xml:space="preserve"> </w:t>
            </w:r>
            <w:r w:rsidR="00C53F57">
              <w:t xml:space="preserve">and their value. </w:t>
            </w:r>
            <w:r w:rsidR="009C4E97">
              <w:t>The Commissioner</w:t>
            </w:r>
            <w:r w:rsidR="00666DCB">
              <w:t xml:space="preserve"> is detached from the transaction,</w:t>
            </w:r>
            <w:r w:rsidR="00897A96">
              <w:t xml:space="preserve"> has no particular valuation expertise, and is largely indifferent to </w:t>
            </w:r>
            <w:r w:rsidR="00F122ED">
              <w:t xml:space="preserve">what allocation is chosen provided it is a single allocation and is tethered to market values. </w:t>
            </w:r>
            <w:r w:rsidR="00547D48">
              <w:t xml:space="preserve">An allocation </w:t>
            </w:r>
            <w:r w:rsidR="00E7101E">
              <w:t>determined</w:t>
            </w:r>
            <w:r w:rsidR="00547D48">
              <w:t xml:space="preserve"> by the Commissioner</w:t>
            </w:r>
            <w:r w:rsidR="00287065">
              <w:t xml:space="preserve"> will be seen as a</w:t>
            </w:r>
            <w:r w:rsidR="00DF1313">
              <w:t xml:space="preserve">t least as arbitrary – if not more arbitrary – than an allocation chosen by the vendor or the purchaser, and </w:t>
            </w:r>
            <w:r w:rsidR="00186676">
              <w:t xml:space="preserve">to avoid </w:t>
            </w:r>
            <w:r w:rsidR="00D62982">
              <w:t xml:space="preserve">the possibility of costly disputes </w:t>
            </w:r>
            <w:r w:rsidR="00000771">
              <w:t xml:space="preserve">that would </w:t>
            </w:r>
            <w:r w:rsidR="00AE4AC3">
              <w:t xml:space="preserve">ultimately </w:t>
            </w:r>
            <w:r w:rsidR="00000771">
              <w:t xml:space="preserve">have to be funded by the </w:t>
            </w:r>
            <w:r w:rsidR="00645D5A">
              <w:t>Government</w:t>
            </w:r>
            <w:r w:rsidR="00186676">
              <w:t xml:space="preserve">, the Commissioner’s </w:t>
            </w:r>
            <w:r w:rsidR="00186676">
              <w:lastRenderedPageBreak/>
              <w:t>determination has to be unchallengeable</w:t>
            </w:r>
            <w:r w:rsidR="00F53A4D">
              <w:t xml:space="preserve">. </w:t>
            </w:r>
            <w:r w:rsidR="00C958CE">
              <w:t xml:space="preserve">Stakeholder feedback </w:t>
            </w:r>
            <w:r w:rsidR="001956C0">
              <w:t xml:space="preserve">has </w:t>
            </w:r>
            <w:r w:rsidR="00C958CE">
              <w:t>indicate</w:t>
            </w:r>
            <w:r w:rsidR="001956C0">
              <w:t>d</w:t>
            </w:r>
            <w:r w:rsidR="00550488">
              <w:t xml:space="preserve"> that t</w:t>
            </w:r>
            <w:r w:rsidR="009C583E">
              <w:t xml:space="preserve">his would </w:t>
            </w:r>
            <w:r w:rsidR="00945875">
              <w:t>not be popular</w:t>
            </w:r>
            <w:r w:rsidR="008259D7">
              <w:t xml:space="preserve">. </w:t>
            </w:r>
          </w:p>
          <w:p w14:paraId="4F6307BC" w14:textId="12E6EAC2" w:rsidR="002619E8" w:rsidRPr="002619E8" w:rsidRDefault="001B2B26" w:rsidP="00B045C4">
            <w:pPr>
              <w:jc w:val="both"/>
              <w:rPr>
                <w:i/>
                <w:iCs/>
              </w:rPr>
            </w:pPr>
            <w:r>
              <w:rPr>
                <w:i/>
                <w:iCs/>
              </w:rPr>
              <w:t xml:space="preserve">Neutrality </w:t>
            </w:r>
          </w:p>
          <w:p w14:paraId="57497D3A" w14:textId="7610DBD4" w:rsidR="00DA0199" w:rsidRDefault="009960E8" w:rsidP="00B045C4">
            <w:pPr>
              <w:jc w:val="both"/>
            </w:pPr>
            <w:r>
              <w:t>The</w:t>
            </w:r>
            <w:r w:rsidR="00DA0199">
              <w:t xml:space="preserve"> main criticism of the proposed approach is that it favours the vendor, since, if the parties do not agree an allocation before filing their returns, the vendor is given the power to determine it first. Thus, the vendor is not incentivised to agree an allocation</w:t>
            </w:r>
            <w:r w:rsidR="00F2622B">
              <w:t xml:space="preserve">, and the </w:t>
            </w:r>
            <w:r w:rsidR="007D5241">
              <w:t>rules</w:t>
            </w:r>
            <w:r w:rsidR="002E67A4">
              <w:t xml:space="preserve"> </w:t>
            </w:r>
            <w:r w:rsidR="007D5241">
              <w:t>disrupt the neutrality of the commercial dynamic.</w:t>
            </w:r>
            <w:r w:rsidR="00DA0199">
              <w:t xml:space="preserve"> </w:t>
            </w:r>
            <w:r w:rsidR="001050F3">
              <w:t>However, o</w:t>
            </w:r>
            <w:r w:rsidR="00DA0199">
              <w:t>fficials consider that this concern is overstated</w:t>
            </w:r>
            <w:r w:rsidR="00C60CFD">
              <w:t xml:space="preserve"> for the reasons</w:t>
            </w:r>
            <w:r w:rsidR="00577EE2">
              <w:t xml:space="preserve"> outlined below</w:t>
            </w:r>
            <w:r w:rsidR="00573849">
              <w:t xml:space="preserve">. </w:t>
            </w:r>
          </w:p>
          <w:p w14:paraId="395605BE" w14:textId="159BF0B1" w:rsidR="00DA0199" w:rsidRDefault="00A4673A" w:rsidP="00B045C4">
            <w:pPr>
              <w:jc w:val="both"/>
            </w:pPr>
            <w:r>
              <w:t>In the first place, i</w:t>
            </w:r>
            <w:r w:rsidR="00C12838">
              <w:t>f</w:t>
            </w:r>
            <w:r w:rsidR="00DA0199">
              <w:t xml:space="preserve"> the allocation is important to the purchaser, the purchaser can insist on agreeing the allocation with the vendor as a condition of the deal.</w:t>
            </w:r>
            <w:r w:rsidR="00DE42C8">
              <w:t xml:space="preserve"> </w:t>
            </w:r>
            <w:r w:rsidR="00793E9F">
              <w:t xml:space="preserve">If </w:t>
            </w:r>
            <w:r w:rsidR="00C52036">
              <w:t>the vendor is not prepared to agree the allocation, the purchaser</w:t>
            </w:r>
            <w:r w:rsidR="001C7594">
              <w:t xml:space="preserve"> may either refuse to</w:t>
            </w:r>
            <w:r w:rsidR="008D374D">
              <w:t xml:space="preserve"> go ahead with the </w:t>
            </w:r>
            <w:proofErr w:type="gramStart"/>
            <w:r w:rsidR="008D374D">
              <w:t>transaction</w:t>
            </w:r>
            <w:r w:rsidR="000B51D8">
              <w:t>, or</w:t>
            </w:r>
            <w:proofErr w:type="gramEnd"/>
            <w:r w:rsidR="000B51D8">
              <w:t xml:space="preserve"> lower its price.</w:t>
            </w:r>
            <w:r w:rsidR="00C52036">
              <w:t xml:space="preserve"> </w:t>
            </w:r>
            <w:r w:rsidR="00DE42C8">
              <w:t>Th</w:t>
            </w:r>
            <w:r w:rsidR="005025F9">
              <w:t>ese strategies</w:t>
            </w:r>
            <w:r w:rsidR="00775272">
              <w:t xml:space="preserve"> operate as a counterbalance to the vendor’s </w:t>
            </w:r>
            <w:r w:rsidR="00995F19">
              <w:t xml:space="preserve">perceived advantage. </w:t>
            </w:r>
            <w:r w:rsidR="00DA0199">
              <w:t xml:space="preserve"> </w:t>
            </w:r>
          </w:p>
          <w:p w14:paraId="3427248A" w14:textId="7FCE381E" w:rsidR="00DA0199" w:rsidRPr="00E67CA0" w:rsidRDefault="003343A3" w:rsidP="00B045C4">
            <w:pPr>
              <w:jc w:val="both"/>
            </w:pPr>
            <w:r>
              <w:t>E</w:t>
            </w:r>
            <w:r w:rsidR="00DA0199">
              <w:t xml:space="preserve">ven if the vendor gets the opportunity to determine the allocation, it is constrained by not being able to allocate amounts to taxable property that result in an additional loss. This means that the purchaser’s cost basis for claiming deductions in the future cannot be lower than the vendor’s basis would have been had the transaction not occurred. It also means that if the vendor considers the value of taxable property to be lower than its current carrying value, it is incentivised to agree an allocation with the purchaser to avoid paying more tax on the </w:t>
            </w:r>
            <w:r w:rsidR="00CB2D6A">
              <w:t>transaction</w:t>
            </w:r>
            <w:r w:rsidR="00DA0199">
              <w:t xml:space="preserve"> than it thinks is appropriate. </w:t>
            </w:r>
            <w:r w:rsidR="00781D12">
              <w:t>Thus, the</w:t>
            </w:r>
            <w:r w:rsidR="009111D3">
              <w:t xml:space="preserve"> ability for </w:t>
            </w:r>
            <w:r w:rsidR="00781D12">
              <w:t>the vendor</w:t>
            </w:r>
            <w:r w:rsidR="009111D3">
              <w:t xml:space="preserve"> to determine the allocation is </w:t>
            </w:r>
            <w:r w:rsidR="00781D12">
              <w:t xml:space="preserve">only advantageous </w:t>
            </w:r>
            <w:r w:rsidR="00E67CA0">
              <w:t xml:space="preserve">if it thinks the taxable property is worth </w:t>
            </w:r>
            <w:r w:rsidR="00781D12">
              <w:rPr>
                <w:i/>
                <w:iCs/>
              </w:rPr>
              <w:t>more</w:t>
            </w:r>
            <w:r w:rsidR="00E67CA0">
              <w:rPr>
                <w:i/>
                <w:iCs/>
              </w:rPr>
              <w:t xml:space="preserve"> </w:t>
            </w:r>
            <w:r w:rsidR="00E67CA0">
              <w:t xml:space="preserve">than </w:t>
            </w:r>
            <w:proofErr w:type="gramStart"/>
            <w:r w:rsidR="00E67CA0">
              <w:t>its</w:t>
            </w:r>
            <w:proofErr w:type="gramEnd"/>
            <w:r w:rsidR="00E67CA0">
              <w:t xml:space="preserve"> carrying value</w:t>
            </w:r>
            <w:r w:rsidR="00781D12">
              <w:t xml:space="preserve">. </w:t>
            </w:r>
            <w:r w:rsidR="00000498">
              <w:t>Probabilistically</w:t>
            </w:r>
            <w:r w:rsidR="00477089">
              <w:t>, it seems reasonable to assume  this might</w:t>
            </w:r>
            <w:r w:rsidR="00D833F8">
              <w:t xml:space="preserve"> only be the case half of the time. </w:t>
            </w:r>
          </w:p>
          <w:p w14:paraId="0057743B" w14:textId="734E91F8" w:rsidR="00657E3C" w:rsidRDefault="00FC28D1" w:rsidP="00B045C4">
            <w:pPr>
              <w:jc w:val="both"/>
            </w:pPr>
            <w:r>
              <w:t>Finally</w:t>
            </w:r>
            <w:r w:rsidR="00DA0199">
              <w:t xml:space="preserve">, the Commissioner can challenge an allocation that she considers is not based on market values. </w:t>
            </w:r>
            <w:r w:rsidR="00CE608B">
              <w:t>If</w:t>
            </w:r>
            <w:r w:rsidR="00DA0199">
              <w:t xml:space="preserve"> the amounts allocated by the vendor to taxable property are unjustifiably low (even </w:t>
            </w:r>
            <w:proofErr w:type="gramStart"/>
            <w:r w:rsidR="00DA0199">
              <w:t>taking into account</w:t>
            </w:r>
            <w:proofErr w:type="gramEnd"/>
            <w:r w:rsidR="00DA0199">
              <w:t xml:space="preserve"> the aforementioned constraint), and the transaction is sufficiently large, the Commissioner may intervene and substitute an allocation that is more favourable to the purchaser</w:t>
            </w:r>
            <w:r w:rsidR="007B1859">
              <w:t>.</w:t>
            </w:r>
          </w:p>
          <w:p w14:paraId="30EAC69E" w14:textId="2CFA1D07" w:rsidR="005E5D24" w:rsidRPr="005E5D24" w:rsidRDefault="007A0D70" w:rsidP="00B045C4">
            <w:pPr>
              <w:jc w:val="both"/>
              <w:rPr>
                <w:i/>
                <w:iCs/>
              </w:rPr>
            </w:pPr>
            <w:r>
              <w:rPr>
                <w:i/>
                <w:iCs/>
              </w:rPr>
              <w:t>Awareness of the rules</w:t>
            </w:r>
          </w:p>
          <w:p w14:paraId="6D13881D" w14:textId="6FE0A3C7" w:rsidR="00921DA8" w:rsidRDefault="00DA0199" w:rsidP="00B045C4">
            <w:pPr>
              <w:jc w:val="both"/>
            </w:pPr>
            <w:r>
              <w:t xml:space="preserve">Another </w:t>
            </w:r>
            <w:r w:rsidR="004A79C5">
              <w:t xml:space="preserve">related </w:t>
            </w:r>
            <w:r>
              <w:t xml:space="preserve">concern with the proposed </w:t>
            </w:r>
            <w:r w:rsidR="004A79C5">
              <w:t>approach</w:t>
            </w:r>
            <w:r>
              <w:t xml:space="preserve"> is that parties may not turn their minds to the tax implications of the transaction until after the sale and purchase is completed</w:t>
            </w:r>
            <w:r w:rsidR="00696F62">
              <w:t>, and then</w:t>
            </w:r>
            <w:r w:rsidR="0082676B">
              <w:t xml:space="preserve"> the vendor </w:t>
            </w:r>
            <w:r w:rsidR="00964704">
              <w:t>has the power</w:t>
            </w:r>
            <w:r w:rsidR="0082676B">
              <w:t xml:space="preserve"> to allocate.</w:t>
            </w:r>
            <w:r w:rsidR="000932B1">
              <w:t xml:space="preserve"> </w:t>
            </w:r>
            <w:r w:rsidR="00416EC2">
              <w:t xml:space="preserve">This may </w:t>
            </w:r>
            <w:r w:rsidR="00F70362">
              <w:t xml:space="preserve">occur </w:t>
            </w:r>
            <w:r w:rsidR="00416EC2">
              <w:t xml:space="preserve">in </w:t>
            </w:r>
            <w:r w:rsidR="00240A0E">
              <w:t>multiple bid scenarios</w:t>
            </w:r>
            <w:r w:rsidR="00ED579B">
              <w:t xml:space="preserve">, or where </w:t>
            </w:r>
            <w:r w:rsidR="00350D8B">
              <w:t>parties are distressed</w:t>
            </w:r>
            <w:r w:rsidR="004C7E33">
              <w:t xml:space="preserve">. </w:t>
            </w:r>
          </w:p>
          <w:p w14:paraId="7B581635" w14:textId="77777777" w:rsidR="008B602C" w:rsidRDefault="005E1EB7" w:rsidP="00B045C4">
            <w:pPr>
              <w:jc w:val="both"/>
            </w:pPr>
            <w:r>
              <w:t>I</w:t>
            </w:r>
            <w:r w:rsidR="00921DA8">
              <w:t xml:space="preserve">f parties neglect to consider tax until filing their returns, then the result will be either that the purchaser must settle for the vendor’s market values </w:t>
            </w:r>
            <w:r w:rsidR="00921DA8">
              <w:rPr>
                <w:i/>
                <w:iCs/>
              </w:rPr>
              <w:t>or</w:t>
            </w:r>
            <w:r w:rsidR="00921DA8">
              <w:t xml:space="preserve"> the vendor for the purchaser’s, if more than two months have elapsed since the property was transferred. </w:t>
            </w:r>
            <w:r w:rsidR="00DA0199">
              <w:t xml:space="preserve"> </w:t>
            </w:r>
            <w:r w:rsidR="00921DA8">
              <w:t>However, o</w:t>
            </w:r>
            <w:r w:rsidR="00DA0199">
              <w:t>fficials consider that this is unlikely to occur if the parties are well advised and the rules are signalled so that taxpayers and advisors are aware of them.</w:t>
            </w:r>
            <w:r w:rsidR="005E1048">
              <w:t xml:space="preserve"> Officials </w:t>
            </w:r>
            <w:r w:rsidR="00954567">
              <w:t>anticipate</w:t>
            </w:r>
            <w:r w:rsidR="005E1048">
              <w:t xml:space="preserve"> that </w:t>
            </w:r>
            <w:r w:rsidR="004D507F">
              <w:t>taxpayers will adapt sale and purchase practices to</w:t>
            </w:r>
            <w:r w:rsidR="00636F54">
              <w:t xml:space="preserve"> ensure </w:t>
            </w:r>
            <w:r w:rsidR="00F32A49">
              <w:t xml:space="preserve">there is sufficient time for </w:t>
            </w:r>
            <w:r w:rsidR="006C44A3">
              <w:t xml:space="preserve">an </w:t>
            </w:r>
            <w:r w:rsidR="00636F54">
              <w:t xml:space="preserve">allocation </w:t>
            </w:r>
            <w:r w:rsidR="00AF32D2">
              <w:t>to be</w:t>
            </w:r>
            <w:r w:rsidR="00636F54">
              <w:t xml:space="preserve"> agreed before the transaction is completed.</w:t>
            </w:r>
            <w:r w:rsidR="00DA0199">
              <w:t xml:space="preserve"> </w:t>
            </w:r>
            <w:r w:rsidR="001D64AD">
              <w:t xml:space="preserve">Moreover, </w:t>
            </w:r>
            <w:r w:rsidR="001345C9">
              <w:t>for the reasons given in the previous section,</w:t>
            </w:r>
            <w:r w:rsidR="002A76F8">
              <w:t xml:space="preserve"> officials do not </w:t>
            </w:r>
            <w:r w:rsidR="00F0582E">
              <w:t xml:space="preserve">think </w:t>
            </w:r>
            <w:r w:rsidR="00591D23">
              <w:t>purchasers will be</w:t>
            </w:r>
            <w:r w:rsidR="00B5721B">
              <w:t xml:space="preserve"> s</w:t>
            </w:r>
            <w:r w:rsidR="005E79B3">
              <w:t>ignificantly</w:t>
            </w:r>
            <w:r w:rsidR="00B5721B">
              <w:t xml:space="preserve"> disadvantaged </w:t>
            </w:r>
            <w:r w:rsidR="00A744A0">
              <w:t>by a vendor-determined allocation.</w:t>
            </w:r>
          </w:p>
          <w:p w14:paraId="69791F73" w14:textId="7D58D6F4" w:rsidR="00BB21EA" w:rsidRPr="00BB21EA" w:rsidRDefault="00BB21EA" w:rsidP="00BB21EA"/>
        </w:tc>
      </w:tr>
    </w:tbl>
    <w:p w14:paraId="4D6DE60E" w14:textId="40ECB482" w:rsidR="00BE4A62" w:rsidRPr="00030EC1" w:rsidRDefault="00D9793F" w:rsidP="00B045C4">
      <w:pPr>
        <w:pStyle w:val="Heading2"/>
        <w:jc w:val="both"/>
      </w:pPr>
      <w:r w:rsidRPr="0069218C">
        <w:rPr>
          <w:rFonts w:cs="Arial"/>
          <w:sz w:val="22"/>
          <w:lang w:val="en-NZ"/>
        </w:rPr>
        <w:lastRenderedPageBreak/>
        <w:br w:type="page"/>
      </w:r>
      <w:r w:rsidR="00E92509" w:rsidRPr="002D5734">
        <w:lastRenderedPageBreak/>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398" w:type="pct"/>
        <w:tblInd w:w="-289"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781"/>
      </w:tblGrid>
      <w:tr w:rsidR="005D5BF0" w:rsidRPr="0069218C" w14:paraId="31372389" w14:textId="77777777" w:rsidTr="00D9141C">
        <w:trPr>
          <w:trHeight w:val="77"/>
        </w:trPr>
        <w:tc>
          <w:tcPr>
            <w:tcW w:w="5000" w:type="pct"/>
            <w:shd w:val="clear" w:color="auto" w:fill="99CDDD"/>
            <w:hideMark/>
          </w:tcPr>
          <w:p w14:paraId="0C1F8B7E" w14:textId="77777777" w:rsidR="005D5BF0" w:rsidRPr="0069218C" w:rsidRDefault="00D9793F" w:rsidP="00B045C4">
            <w:pPr>
              <w:pStyle w:val="TableHeadings"/>
              <w:jc w:val="both"/>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B045C4">
      <w:pPr>
        <w:pStyle w:val="spacer"/>
        <w:jc w:val="both"/>
      </w:pPr>
    </w:p>
    <w:tbl>
      <w:tblPr>
        <w:tblpPr w:leftFromText="180" w:rightFromText="180" w:vertAnchor="text" w:tblpX="-332" w:tblpY="1"/>
        <w:tblOverlap w:val="never"/>
        <w:tblW w:w="978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539"/>
        <w:gridCol w:w="4394"/>
        <w:gridCol w:w="2849"/>
      </w:tblGrid>
      <w:tr w:rsidR="00380585" w:rsidRPr="0069218C" w14:paraId="575E4657" w14:textId="77777777" w:rsidTr="008F455F">
        <w:trPr>
          <w:trHeight w:val="732"/>
        </w:trPr>
        <w:tc>
          <w:tcPr>
            <w:tcW w:w="2539" w:type="dxa"/>
            <w:shd w:val="clear" w:color="auto" w:fill="99CDDD"/>
          </w:tcPr>
          <w:p w14:paraId="54712201" w14:textId="77777777" w:rsidR="00380585" w:rsidRPr="00886DFF" w:rsidRDefault="00380585" w:rsidP="008F455F">
            <w:pPr>
              <w:pStyle w:val="TableText"/>
              <w:keepNext/>
              <w:jc w:val="both"/>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394" w:type="dxa"/>
            <w:shd w:val="clear" w:color="auto" w:fill="99CDDD"/>
          </w:tcPr>
          <w:p w14:paraId="133262F9" w14:textId="588A2CA6" w:rsidR="00380585" w:rsidRPr="00886DFF" w:rsidRDefault="00380585" w:rsidP="008F455F">
            <w:pPr>
              <w:pStyle w:val="TableText"/>
              <w:keepNext/>
              <w:jc w:val="both"/>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compliance rates), risks</w:t>
            </w:r>
          </w:p>
        </w:tc>
        <w:tc>
          <w:tcPr>
            <w:tcW w:w="2849" w:type="dxa"/>
            <w:shd w:val="clear" w:color="auto" w:fill="99CDDD"/>
          </w:tcPr>
          <w:p w14:paraId="0F0B9F6F" w14:textId="77777777" w:rsidR="00380585" w:rsidRPr="00886DFF" w:rsidRDefault="00380585" w:rsidP="008F455F">
            <w:pPr>
              <w:pStyle w:val="TableText"/>
              <w:keepNext/>
              <w:jc w:val="both"/>
              <w:rPr>
                <w:rFonts w:eastAsia="Calibri"/>
                <w:b/>
                <w:color w:val="000000"/>
                <w:sz w:val="22"/>
              </w:rPr>
            </w:pPr>
            <w:r w:rsidRPr="00886DFF">
              <w:rPr>
                <w:rFonts w:eastAsia="Calibri"/>
                <w:b/>
                <w:color w:val="000000"/>
                <w:sz w:val="22"/>
              </w:rPr>
              <w:t>Impact</w:t>
            </w:r>
          </w:p>
          <w:p w14:paraId="4BF028E9" w14:textId="72B90A3F" w:rsidR="00380585" w:rsidRPr="00886DFF" w:rsidRDefault="00380585" w:rsidP="008F455F">
            <w:pPr>
              <w:pStyle w:val="TableText"/>
              <w:keepNext/>
              <w:jc w:val="both"/>
              <w:rPr>
                <w:rFonts w:eastAsia="Calibri"/>
                <w:i/>
                <w:color w:val="000000"/>
                <w:sz w:val="22"/>
              </w:rPr>
            </w:pPr>
            <w:r w:rsidRPr="00886DFF">
              <w:rPr>
                <w:rFonts w:eastAsia="Calibri"/>
                <w:i/>
                <w:color w:val="000000"/>
                <w:sz w:val="22"/>
              </w:rPr>
              <w:t>$m present value</w:t>
            </w:r>
            <w:r w:rsidR="00D45133">
              <w:rPr>
                <w:rFonts w:eastAsia="Calibri"/>
                <w:i/>
                <w:color w:val="000000"/>
                <w:sz w:val="22"/>
              </w:rPr>
              <w:t xml:space="preserve"> where appropriate</w:t>
            </w:r>
            <w:r w:rsidRPr="00886DFF">
              <w:rPr>
                <w:rFonts w:eastAsia="Calibri"/>
                <w:i/>
                <w:color w:val="000000"/>
                <w:sz w:val="22"/>
              </w:rPr>
              <w:t xml:space="preserve">, for monetised impacts; high, </w:t>
            </w:r>
            <w:proofErr w:type="gramStart"/>
            <w:r w:rsidRPr="00886DFF">
              <w:rPr>
                <w:rFonts w:eastAsia="Calibri"/>
                <w:i/>
                <w:color w:val="000000"/>
                <w:sz w:val="22"/>
              </w:rPr>
              <w:t>medium</w:t>
            </w:r>
            <w:proofErr w:type="gramEnd"/>
            <w:r w:rsidRPr="00886DFF">
              <w:rPr>
                <w:rFonts w:eastAsia="Calibri"/>
                <w:i/>
                <w:color w:val="000000"/>
                <w:sz w:val="22"/>
              </w:rPr>
              <w:t xml:space="preserve"> or low for non-monetised impacts  </w:t>
            </w:r>
          </w:p>
        </w:tc>
      </w:tr>
      <w:tr w:rsidR="00380585" w:rsidRPr="0069218C" w14:paraId="374C3B33" w14:textId="77777777" w:rsidTr="008F455F">
        <w:trPr>
          <w:trHeight w:val="197"/>
        </w:trPr>
        <w:tc>
          <w:tcPr>
            <w:tcW w:w="9782" w:type="dxa"/>
            <w:gridSpan w:val="3"/>
            <w:tcBorders>
              <w:bottom w:val="single" w:sz="4" w:space="0" w:color="DDDDDD"/>
            </w:tcBorders>
          </w:tcPr>
          <w:p w14:paraId="56BD4D53" w14:textId="77777777" w:rsidR="00380585" w:rsidRPr="00567434" w:rsidRDefault="00380585" w:rsidP="008F455F">
            <w:pPr>
              <w:pStyle w:val="spacer"/>
              <w:jc w:val="both"/>
              <w:rPr>
                <w:rFonts w:eastAsia="Calibri"/>
              </w:rPr>
            </w:pPr>
          </w:p>
        </w:tc>
      </w:tr>
      <w:tr w:rsidR="00380585" w:rsidRPr="0069218C" w14:paraId="3311A7AD" w14:textId="77777777" w:rsidTr="008F455F">
        <w:trPr>
          <w:trHeight w:val="253"/>
        </w:trPr>
        <w:tc>
          <w:tcPr>
            <w:tcW w:w="9782" w:type="dxa"/>
            <w:gridSpan w:val="3"/>
            <w:shd w:val="clear" w:color="auto" w:fill="99CDDD"/>
          </w:tcPr>
          <w:p w14:paraId="0287E966" w14:textId="77777777" w:rsidR="00380585" w:rsidRPr="0069218C" w:rsidRDefault="00380585" w:rsidP="008F455F">
            <w:pPr>
              <w:keepNext/>
              <w:spacing w:before="40" w:after="20" w:line="240" w:lineRule="auto"/>
              <w:jc w:val="both"/>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008F455F">
        <w:trPr>
          <w:trHeight w:val="253"/>
        </w:trPr>
        <w:tc>
          <w:tcPr>
            <w:tcW w:w="2539" w:type="dxa"/>
            <w:shd w:val="clear" w:color="auto" w:fill="auto"/>
          </w:tcPr>
          <w:p w14:paraId="24414C32" w14:textId="77777777" w:rsidR="00DC1A37" w:rsidRDefault="00DC1A37" w:rsidP="008F455F">
            <w:pPr>
              <w:pStyle w:val="TableText"/>
              <w:keepNext/>
              <w:spacing w:before="0" w:after="0"/>
              <w:jc w:val="both"/>
              <w:rPr>
                <w:rFonts w:eastAsia="Calibri"/>
                <w:i/>
                <w:iCs/>
                <w:sz w:val="22"/>
              </w:rPr>
            </w:pPr>
          </w:p>
          <w:p w14:paraId="7B5AC912" w14:textId="58893EF6" w:rsidR="00380585" w:rsidRPr="00F35C63" w:rsidRDefault="00380585" w:rsidP="008F455F">
            <w:pPr>
              <w:pStyle w:val="TableText"/>
              <w:keepNext/>
              <w:spacing w:before="0" w:after="0"/>
              <w:jc w:val="both"/>
              <w:rPr>
                <w:rFonts w:eastAsia="Calibri"/>
                <w:i/>
                <w:iCs/>
                <w:sz w:val="22"/>
              </w:rPr>
            </w:pPr>
            <w:r w:rsidRPr="00F35C63">
              <w:rPr>
                <w:rFonts w:eastAsia="Calibri"/>
                <w:i/>
                <w:iCs/>
                <w:sz w:val="22"/>
              </w:rPr>
              <w:t>Regulated parties</w:t>
            </w:r>
          </w:p>
          <w:p w14:paraId="475A657A" w14:textId="639426C7" w:rsidR="00986AAC" w:rsidRPr="0069218C" w:rsidRDefault="00F35C63" w:rsidP="008F455F">
            <w:pPr>
              <w:pStyle w:val="TableText"/>
              <w:keepNext/>
              <w:rPr>
                <w:rFonts w:eastAsia="Calibri"/>
                <w:sz w:val="22"/>
              </w:rPr>
            </w:pPr>
            <w:r>
              <w:rPr>
                <w:rFonts w:eastAsia="Calibri"/>
                <w:sz w:val="22"/>
              </w:rPr>
              <w:t>Vendors and purchasers in mixed supply transactions</w:t>
            </w:r>
          </w:p>
        </w:tc>
        <w:tc>
          <w:tcPr>
            <w:tcW w:w="4394" w:type="dxa"/>
            <w:shd w:val="clear" w:color="auto" w:fill="auto"/>
          </w:tcPr>
          <w:p w14:paraId="51CB769E" w14:textId="77777777" w:rsidR="00DC1A37" w:rsidRDefault="00DC1A37" w:rsidP="008F455F">
            <w:pPr>
              <w:pStyle w:val="TableText"/>
              <w:keepNext/>
              <w:spacing w:before="0" w:after="0"/>
              <w:jc w:val="both"/>
              <w:rPr>
                <w:rFonts w:eastAsia="Calibri"/>
                <w:sz w:val="22"/>
              </w:rPr>
            </w:pPr>
          </w:p>
          <w:p w14:paraId="3AF3035E" w14:textId="7814D20F" w:rsidR="005E1EB7" w:rsidRDefault="00C96592" w:rsidP="008F455F">
            <w:pPr>
              <w:pStyle w:val="TableText"/>
              <w:keepNext/>
              <w:spacing w:before="0" w:after="0"/>
              <w:jc w:val="both"/>
              <w:rPr>
                <w:rFonts w:eastAsia="Calibri"/>
                <w:sz w:val="22"/>
              </w:rPr>
            </w:pPr>
            <w:r>
              <w:rPr>
                <w:rFonts w:eastAsia="Calibri"/>
                <w:sz w:val="22"/>
              </w:rPr>
              <w:t xml:space="preserve">Some vendors will </w:t>
            </w:r>
            <w:r w:rsidR="00ED1D3D">
              <w:rPr>
                <w:rFonts w:eastAsia="Calibri"/>
                <w:sz w:val="22"/>
              </w:rPr>
              <w:t>pay</w:t>
            </w:r>
            <w:r>
              <w:rPr>
                <w:rFonts w:eastAsia="Calibri"/>
                <w:sz w:val="22"/>
              </w:rPr>
              <w:t xml:space="preserve"> more tax and some purchaser</w:t>
            </w:r>
            <w:r w:rsidR="001D1ABC">
              <w:rPr>
                <w:rFonts w:eastAsia="Calibri"/>
                <w:sz w:val="22"/>
              </w:rPr>
              <w:t>s</w:t>
            </w:r>
            <w:r>
              <w:rPr>
                <w:rFonts w:eastAsia="Calibri"/>
                <w:sz w:val="22"/>
              </w:rPr>
              <w:t xml:space="preserve"> will </w:t>
            </w:r>
            <w:r w:rsidR="00ED1D3D">
              <w:rPr>
                <w:rFonts w:eastAsia="Calibri"/>
                <w:sz w:val="22"/>
              </w:rPr>
              <w:t>claim</w:t>
            </w:r>
            <w:r>
              <w:rPr>
                <w:rFonts w:eastAsia="Calibri"/>
                <w:sz w:val="22"/>
              </w:rPr>
              <w:t xml:space="preserve"> l</w:t>
            </w:r>
            <w:r w:rsidR="009974EE">
              <w:rPr>
                <w:rFonts w:eastAsia="Calibri"/>
                <w:sz w:val="22"/>
              </w:rPr>
              <w:t xml:space="preserve">ower deductions </w:t>
            </w:r>
            <w:r w:rsidR="003948FB">
              <w:rPr>
                <w:rFonts w:eastAsia="Calibri"/>
                <w:sz w:val="22"/>
              </w:rPr>
              <w:t xml:space="preserve">as a result of the new rules. </w:t>
            </w:r>
            <w:r w:rsidR="005E1EB7">
              <w:rPr>
                <w:rFonts w:eastAsia="Calibri"/>
                <w:sz w:val="22"/>
              </w:rPr>
              <w:t xml:space="preserve"> The revenue estimate is based on data from commercial property transactions, extrapolated out to the total base of tangible</w:t>
            </w:r>
            <w:r w:rsidR="005E1EB7" w:rsidDel="00CC6387">
              <w:rPr>
                <w:rFonts w:eastAsia="Calibri"/>
                <w:sz w:val="22"/>
              </w:rPr>
              <w:t xml:space="preserve"> </w:t>
            </w:r>
            <w:r w:rsidR="005E1EB7">
              <w:rPr>
                <w:rFonts w:eastAsia="Calibri"/>
                <w:sz w:val="22"/>
              </w:rPr>
              <w:t>property.</w:t>
            </w:r>
          </w:p>
          <w:p w14:paraId="3598FA76" w14:textId="77777777" w:rsidR="008C5C44" w:rsidRDefault="008C5C44" w:rsidP="008F455F">
            <w:pPr>
              <w:pStyle w:val="TableText"/>
              <w:keepNext/>
              <w:jc w:val="both"/>
              <w:rPr>
                <w:rFonts w:eastAsia="Calibri"/>
                <w:sz w:val="22"/>
              </w:rPr>
            </w:pPr>
          </w:p>
          <w:p w14:paraId="71F3CAB1" w14:textId="360112E9" w:rsidR="00B856A3" w:rsidRPr="0069218C" w:rsidRDefault="005E1EB7" w:rsidP="008F455F">
            <w:pPr>
              <w:pStyle w:val="TableText"/>
              <w:keepNext/>
              <w:jc w:val="both"/>
              <w:rPr>
                <w:rFonts w:eastAsia="Calibri"/>
                <w:sz w:val="22"/>
              </w:rPr>
            </w:pPr>
            <w:r>
              <w:rPr>
                <w:rFonts w:eastAsia="Calibri"/>
                <w:iCs/>
                <w:sz w:val="22"/>
              </w:rPr>
              <w:t>Possible compliance costs for vendors and purchasers associated with having to negotiate an agreed allocation, or to expedite an agreement that might otherwise have occurred after the sale.</w:t>
            </w:r>
            <w:r w:rsidR="00B856A3">
              <w:rPr>
                <w:rFonts w:eastAsia="Calibri"/>
                <w:sz w:val="22"/>
              </w:rPr>
              <w:t xml:space="preserve"> </w:t>
            </w:r>
          </w:p>
        </w:tc>
        <w:tc>
          <w:tcPr>
            <w:tcW w:w="2849" w:type="dxa"/>
            <w:shd w:val="clear" w:color="auto" w:fill="auto"/>
          </w:tcPr>
          <w:p w14:paraId="6002BBA3" w14:textId="77777777" w:rsidR="00DC1A37" w:rsidRDefault="00DC1A37" w:rsidP="008F455F">
            <w:pPr>
              <w:pStyle w:val="TableText"/>
              <w:keepNext/>
              <w:spacing w:before="0" w:after="0"/>
              <w:jc w:val="both"/>
              <w:rPr>
                <w:rFonts w:eastAsia="Calibri"/>
                <w:sz w:val="22"/>
              </w:rPr>
            </w:pPr>
          </w:p>
          <w:p w14:paraId="57C4B44C" w14:textId="05927E44" w:rsidR="005E1EB7" w:rsidRDefault="000B3D3B" w:rsidP="009928F1">
            <w:pPr>
              <w:pStyle w:val="TableText"/>
              <w:keepNext/>
              <w:spacing w:before="0" w:after="0"/>
              <w:rPr>
                <w:rFonts w:eastAsia="Calibri"/>
                <w:sz w:val="22"/>
              </w:rPr>
            </w:pPr>
            <w:r>
              <w:rPr>
                <w:rFonts w:eastAsia="Calibri"/>
                <w:sz w:val="22"/>
              </w:rPr>
              <w:t xml:space="preserve">Approximately $154 million of </w:t>
            </w:r>
            <w:r w:rsidR="00C25674">
              <w:rPr>
                <w:rFonts w:eastAsia="Calibri"/>
                <w:sz w:val="22"/>
              </w:rPr>
              <w:t>additional tax</w:t>
            </w:r>
            <w:r w:rsidR="00DB16C4">
              <w:rPr>
                <w:rFonts w:eastAsia="Calibri"/>
                <w:sz w:val="22"/>
              </w:rPr>
              <w:t xml:space="preserve"> paid/</w:t>
            </w:r>
            <w:r w:rsidR="002E4604">
              <w:rPr>
                <w:rFonts w:eastAsia="Calibri"/>
                <w:sz w:val="22"/>
              </w:rPr>
              <w:t>collected</w:t>
            </w:r>
            <w:r>
              <w:rPr>
                <w:rFonts w:eastAsia="Calibri"/>
                <w:sz w:val="22"/>
              </w:rPr>
              <w:t xml:space="preserve"> over </w:t>
            </w:r>
            <w:r w:rsidR="009745AD">
              <w:rPr>
                <w:rFonts w:eastAsia="Calibri"/>
                <w:sz w:val="22"/>
              </w:rPr>
              <w:t xml:space="preserve">the </w:t>
            </w:r>
            <w:r>
              <w:rPr>
                <w:rFonts w:eastAsia="Calibri"/>
                <w:sz w:val="22"/>
              </w:rPr>
              <w:t>forecast period (2021-24).</w:t>
            </w:r>
          </w:p>
          <w:p w14:paraId="7F830EA3" w14:textId="77777777" w:rsidR="005E1EB7" w:rsidRDefault="005E1EB7" w:rsidP="008F455F">
            <w:pPr>
              <w:pStyle w:val="TableText"/>
              <w:keepNext/>
              <w:jc w:val="both"/>
              <w:rPr>
                <w:rFonts w:eastAsia="Calibri"/>
                <w:sz w:val="22"/>
              </w:rPr>
            </w:pPr>
          </w:p>
          <w:p w14:paraId="687B29BC" w14:textId="77777777" w:rsidR="00DC1A37" w:rsidRDefault="00DC1A37" w:rsidP="008F455F">
            <w:pPr>
              <w:pStyle w:val="TableText"/>
              <w:keepNext/>
              <w:jc w:val="both"/>
              <w:rPr>
                <w:rFonts w:eastAsia="Calibri"/>
                <w:sz w:val="22"/>
              </w:rPr>
            </w:pPr>
          </w:p>
          <w:p w14:paraId="5DB6E4EC" w14:textId="77777777" w:rsidR="002F59B3" w:rsidRDefault="002F59B3" w:rsidP="008F455F">
            <w:pPr>
              <w:pStyle w:val="TableText"/>
              <w:keepNext/>
              <w:spacing w:before="0" w:after="0"/>
              <w:jc w:val="both"/>
              <w:rPr>
                <w:rFonts w:eastAsia="Calibri"/>
                <w:sz w:val="22"/>
              </w:rPr>
            </w:pPr>
          </w:p>
          <w:p w14:paraId="30B3CC2E" w14:textId="5465BAAA" w:rsidR="00380585" w:rsidRPr="0069218C" w:rsidRDefault="005E1EB7" w:rsidP="008F455F">
            <w:pPr>
              <w:pStyle w:val="TableText"/>
              <w:keepNext/>
              <w:spacing w:before="0" w:after="0"/>
              <w:jc w:val="both"/>
              <w:rPr>
                <w:rFonts w:eastAsia="Calibri"/>
                <w:sz w:val="22"/>
              </w:rPr>
            </w:pPr>
            <w:r>
              <w:rPr>
                <w:rFonts w:eastAsia="Calibri"/>
                <w:sz w:val="22"/>
              </w:rPr>
              <w:t>Low to medium</w:t>
            </w:r>
          </w:p>
        </w:tc>
      </w:tr>
      <w:tr w:rsidR="00380585" w:rsidRPr="0069218C" w14:paraId="7AF8FD29" w14:textId="77777777" w:rsidTr="008F455F">
        <w:trPr>
          <w:trHeight w:val="253"/>
        </w:trPr>
        <w:tc>
          <w:tcPr>
            <w:tcW w:w="2539" w:type="dxa"/>
            <w:shd w:val="clear" w:color="auto" w:fill="auto"/>
          </w:tcPr>
          <w:p w14:paraId="3A3D87B8" w14:textId="77777777" w:rsidR="00380585" w:rsidRPr="00F35C63" w:rsidRDefault="00380585" w:rsidP="008F455F">
            <w:pPr>
              <w:pStyle w:val="TableText"/>
              <w:keepNext/>
              <w:jc w:val="both"/>
              <w:rPr>
                <w:rFonts w:eastAsia="Calibri"/>
                <w:i/>
                <w:iCs/>
                <w:color w:val="000000"/>
                <w:sz w:val="22"/>
              </w:rPr>
            </w:pPr>
            <w:r w:rsidRPr="00F35C63">
              <w:rPr>
                <w:rFonts w:eastAsia="Calibri"/>
                <w:i/>
                <w:iCs/>
                <w:color w:val="000000"/>
                <w:sz w:val="22"/>
              </w:rPr>
              <w:t>Regulators</w:t>
            </w:r>
          </w:p>
          <w:p w14:paraId="0F06DC5D" w14:textId="6D73544F" w:rsidR="00F35C63" w:rsidRPr="0069218C" w:rsidRDefault="00F35C63" w:rsidP="008F455F">
            <w:pPr>
              <w:pStyle w:val="TableText"/>
              <w:keepNext/>
              <w:jc w:val="both"/>
              <w:rPr>
                <w:rFonts w:eastAsia="Calibri" w:cs="Arial"/>
                <w:color w:val="000000"/>
                <w:sz w:val="22"/>
              </w:rPr>
            </w:pPr>
            <w:r>
              <w:rPr>
                <w:rFonts w:eastAsia="Calibri"/>
                <w:color w:val="000000"/>
                <w:sz w:val="22"/>
              </w:rPr>
              <w:t>Inland Revenue</w:t>
            </w:r>
          </w:p>
        </w:tc>
        <w:tc>
          <w:tcPr>
            <w:tcW w:w="4394" w:type="dxa"/>
            <w:shd w:val="clear" w:color="auto" w:fill="auto"/>
          </w:tcPr>
          <w:p w14:paraId="15408B5E" w14:textId="77777777" w:rsidR="00380585" w:rsidRPr="0069218C" w:rsidRDefault="00380585" w:rsidP="008F455F">
            <w:pPr>
              <w:pStyle w:val="TableText"/>
              <w:keepNext/>
              <w:jc w:val="both"/>
              <w:rPr>
                <w:rFonts w:eastAsia="Calibri"/>
                <w:sz w:val="22"/>
              </w:rPr>
            </w:pPr>
          </w:p>
        </w:tc>
        <w:tc>
          <w:tcPr>
            <w:tcW w:w="2849" w:type="dxa"/>
            <w:shd w:val="clear" w:color="auto" w:fill="auto"/>
          </w:tcPr>
          <w:p w14:paraId="682F55BC" w14:textId="77777777" w:rsidR="00380585" w:rsidRPr="0069218C" w:rsidRDefault="00380585" w:rsidP="008F455F">
            <w:pPr>
              <w:pStyle w:val="TableText"/>
              <w:keepNext/>
              <w:jc w:val="both"/>
              <w:rPr>
                <w:rFonts w:eastAsia="Calibri"/>
                <w:sz w:val="22"/>
              </w:rPr>
            </w:pPr>
          </w:p>
        </w:tc>
      </w:tr>
      <w:tr w:rsidR="00380585" w:rsidRPr="0069218C" w14:paraId="051F6DE9" w14:textId="77777777" w:rsidTr="008F455F">
        <w:trPr>
          <w:trHeight w:val="253"/>
        </w:trPr>
        <w:tc>
          <w:tcPr>
            <w:tcW w:w="2539" w:type="dxa"/>
            <w:shd w:val="clear" w:color="auto" w:fill="auto"/>
          </w:tcPr>
          <w:p w14:paraId="3D15155E" w14:textId="77777777" w:rsidR="00380585" w:rsidRPr="0069218C" w:rsidRDefault="00380585" w:rsidP="008F455F">
            <w:pPr>
              <w:pStyle w:val="TableText"/>
              <w:keepNext/>
              <w:jc w:val="both"/>
              <w:rPr>
                <w:rFonts w:eastAsia="Calibri"/>
                <w:color w:val="000000"/>
                <w:sz w:val="22"/>
              </w:rPr>
            </w:pPr>
            <w:r w:rsidRPr="0069218C">
              <w:rPr>
                <w:rFonts w:eastAsia="Calibri"/>
                <w:color w:val="000000"/>
                <w:sz w:val="22"/>
              </w:rPr>
              <w:t>Wider government</w:t>
            </w:r>
          </w:p>
        </w:tc>
        <w:tc>
          <w:tcPr>
            <w:tcW w:w="4394" w:type="dxa"/>
            <w:shd w:val="clear" w:color="auto" w:fill="auto"/>
          </w:tcPr>
          <w:p w14:paraId="6CE17A35" w14:textId="6C65F134" w:rsidR="00380585" w:rsidRPr="00736C27" w:rsidRDefault="00380585" w:rsidP="008F455F">
            <w:pPr>
              <w:pStyle w:val="TableText"/>
              <w:keepNext/>
              <w:jc w:val="both"/>
              <w:rPr>
                <w:rFonts w:eastAsia="Calibri"/>
                <w:color w:val="FF0000"/>
                <w:sz w:val="22"/>
              </w:rPr>
            </w:pPr>
          </w:p>
        </w:tc>
        <w:tc>
          <w:tcPr>
            <w:tcW w:w="2849" w:type="dxa"/>
            <w:shd w:val="clear" w:color="auto" w:fill="auto"/>
          </w:tcPr>
          <w:p w14:paraId="211A32E6" w14:textId="1DE346A3" w:rsidR="00380585" w:rsidRPr="0069218C" w:rsidRDefault="00380585" w:rsidP="008F455F">
            <w:pPr>
              <w:pStyle w:val="TableText"/>
              <w:keepNext/>
              <w:jc w:val="both"/>
              <w:rPr>
                <w:rFonts w:eastAsia="Calibri"/>
                <w:sz w:val="22"/>
              </w:rPr>
            </w:pPr>
          </w:p>
        </w:tc>
      </w:tr>
      <w:tr w:rsidR="00380585" w:rsidRPr="0069218C" w14:paraId="67B640BC" w14:textId="77777777" w:rsidTr="008F455F">
        <w:trPr>
          <w:trHeight w:val="253"/>
        </w:trPr>
        <w:tc>
          <w:tcPr>
            <w:tcW w:w="2539" w:type="dxa"/>
            <w:shd w:val="clear" w:color="auto" w:fill="auto"/>
          </w:tcPr>
          <w:p w14:paraId="21C83AA5" w14:textId="77777777" w:rsidR="00380585" w:rsidRPr="0069218C" w:rsidRDefault="00380585" w:rsidP="008F455F">
            <w:pPr>
              <w:pStyle w:val="TableText"/>
              <w:keepNext/>
              <w:jc w:val="both"/>
              <w:rPr>
                <w:rFonts w:eastAsia="Calibri" w:cs="Arial"/>
                <w:color w:val="000000"/>
                <w:sz w:val="22"/>
              </w:rPr>
            </w:pPr>
            <w:r w:rsidRPr="0069218C">
              <w:rPr>
                <w:rFonts w:eastAsia="Calibri"/>
                <w:color w:val="000000"/>
                <w:sz w:val="22"/>
              </w:rPr>
              <w:t xml:space="preserve">Other parties </w:t>
            </w:r>
          </w:p>
        </w:tc>
        <w:tc>
          <w:tcPr>
            <w:tcW w:w="4394" w:type="dxa"/>
            <w:shd w:val="clear" w:color="auto" w:fill="auto"/>
          </w:tcPr>
          <w:p w14:paraId="197E8BDC" w14:textId="77777777" w:rsidR="00380585" w:rsidRPr="0069218C" w:rsidRDefault="00380585" w:rsidP="008F455F">
            <w:pPr>
              <w:pStyle w:val="TableText"/>
              <w:keepNext/>
              <w:jc w:val="both"/>
              <w:rPr>
                <w:rFonts w:eastAsia="Calibri"/>
                <w:sz w:val="22"/>
              </w:rPr>
            </w:pPr>
          </w:p>
        </w:tc>
        <w:tc>
          <w:tcPr>
            <w:tcW w:w="2849" w:type="dxa"/>
            <w:shd w:val="clear" w:color="auto" w:fill="auto"/>
          </w:tcPr>
          <w:p w14:paraId="26C82814" w14:textId="77777777" w:rsidR="00380585" w:rsidRPr="0069218C" w:rsidRDefault="00380585" w:rsidP="008F455F">
            <w:pPr>
              <w:pStyle w:val="TableText"/>
              <w:keepNext/>
              <w:jc w:val="both"/>
              <w:rPr>
                <w:rFonts w:eastAsia="Calibri"/>
                <w:sz w:val="22"/>
              </w:rPr>
            </w:pPr>
          </w:p>
        </w:tc>
      </w:tr>
      <w:tr w:rsidR="00380585" w:rsidRPr="0069218C" w14:paraId="36C00356" w14:textId="77777777" w:rsidTr="008F455F">
        <w:trPr>
          <w:trHeight w:val="253"/>
        </w:trPr>
        <w:tc>
          <w:tcPr>
            <w:tcW w:w="2539" w:type="dxa"/>
            <w:shd w:val="clear" w:color="auto" w:fill="auto"/>
          </w:tcPr>
          <w:p w14:paraId="55DE5259" w14:textId="77777777" w:rsidR="00380585" w:rsidRPr="0069218C" w:rsidRDefault="00380585" w:rsidP="008F455F">
            <w:pPr>
              <w:pStyle w:val="TableText"/>
              <w:keepNext/>
              <w:jc w:val="both"/>
              <w:rPr>
                <w:rFonts w:eastAsia="Calibri"/>
                <w:b/>
                <w:sz w:val="22"/>
              </w:rPr>
            </w:pPr>
            <w:r w:rsidRPr="0069218C">
              <w:rPr>
                <w:rFonts w:eastAsia="Calibri"/>
                <w:b/>
                <w:sz w:val="22"/>
              </w:rPr>
              <w:t>Total Monetised Cost</w:t>
            </w:r>
          </w:p>
        </w:tc>
        <w:tc>
          <w:tcPr>
            <w:tcW w:w="4394" w:type="dxa"/>
            <w:shd w:val="clear" w:color="auto" w:fill="auto"/>
          </w:tcPr>
          <w:p w14:paraId="4D0A094E" w14:textId="77777777" w:rsidR="00380585" w:rsidRPr="0069218C" w:rsidRDefault="00380585" w:rsidP="008F455F">
            <w:pPr>
              <w:pStyle w:val="TableText"/>
              <w:keepNext/>
              <w:jc w:val="both"/>
              <w:rPr>
                <w:rFonts w:eastAsia="Calibri"/>
                <w:i/>
                <w:sz w:val="22"/>
              </w:rPr>
            </w:pPr>
          </w:p>
        </w:tc>
        <w:tc>
          <w:tcPr>
            <w:tcW w:w="2849" w:type="dxa"/>
            <w:shd w:val="clear" w:color="auto" w:fill="auto"/>
          </w:tcPr>
          <w:p w14:paraId="1513E189" w14:textId="44562F3F" w:rsidR="00380585" w:rsidRPr="008F1CD0" w:rsidRDefault="009047E5" w:rsidP="008F455F">
            <w:pPr>
              <w:pStyle w:val="TableText"/>
              <w:keepNext/>
              <w:jc w:val="both"/>
              <w:rPr>
                <w:rFonts w:eastAsia="Calibri"/>
                <w:b/>
                <w:bCs/>
                <w:sz w:val="22"/>
              </w:rPr>
            </w:pPr>
            <w:r>
              <w:rPr>
                <w:rFonts w:eastAsia="Calibri"/>
                <w:b/>
                <w:bCs/>
                <w:sz w:val="22"/>
              </w:rPr>
              <w:t>Estimated $154 million over forecast period</w:t>
            </w:r>
          </w:p>
        </w:tc>
      </w:tr>
      <w:tr w:rsidR="00380585" w:rsidRPr="0069218C" w14:paraId="744EB59C" w14:textId="77777777" w:rsidTr="008F455F">
        <w:trPr>
          <w:trHeight w:val="253"/>
        </w:trPr>
        <w:tc>
          <w:tcPr>
            <w:tcW w:w="2539" w:type="dxa"/>
            <w:shd w:val="clear" w:color="auto" w:fill="auto"/>
          </w:tcPr>
          <w:p w14:paraId="7F4CC76A" w14:textId="56583B7A" w:rsidR="00380585" w:rsidRPr="0069218C" w:rsidRDefault="00380585" w:rsidP="008F455F">
            <w:pPr>
              <w:pStyle w:val="TableText"/>
              <w:keepNext/>
              <w:jc w:val="both"/>
              <w:rPr>
                <w:rFonts w:eastAsia="Calibri"/>
                <w:b/>
                <w:sz w:val="22"/>
              </w:rPr>
            </w:pPr>
            <w:r w:rsidRPr="0069218C">
              <w:rPr>
                <w:rFonts w:eastAsia="Calibri"/>
                <w:b/>
                <w:sz w:val="22"/>
              </w:rPr>
              <w:t xml:space="preserve">Non-monetised costs </w:t>
            </w:r>
          </w:p>
        </w:tc>
        <w:tc>
          <w:tcPr>
            <w:tcW w:w="4394" w:type="dxa"/>
            <w:shd w:val="clear" w:color="auto" w:fill="auto"/>
          </w:tcPr>
          <w:p w14:paraId="3F8B3128" w14:textId="3F15E2E7" w:rsidR="00380585" w:rsidRPr="00FE6673" w:rsidRDefault="00380585" w:rsidP="008F455F">
            <w:pPr>
              <w:pStyle w:val="TableText"/>
              <w:keepNext/>
              <w:tabs>
                <w:tab w:val="left" w:pos="1150"/>
              </w:tabs>
              <w:jc w:val="both"/>
              <w:rPr>
                <w:rFonts w:eastAsia="Calibri"/>
                <w:iCs/>
                <w:sz w:val="22"/>
              </w:rPr>
            </w:pPr>
          </w:p>
        </w:tc>
        <w:tc>
          <w:tcPr>
            <w:tcW w:w="2849" w:type="dxa"/>
            <w:shd w:val="clear" w:color="auto" w:fill="auto"/>
          </w:tcPr>
          <w:p w14:paraId="59E9AAEA" w14:textId="16E17078" w:rsidR="00380585" w:rsidRPr="00B72609" w:rsidRDefault="00096CDC" w:rsidP="008F455F">
            <w:pPr>
              <w:pStyle w:val="TableText"/>
              <w:keepNext/>
              <w:jc w:val="both"/>
              <w:rPr>
                <w:rFonts w:eastAsia="Calibri"/>
                <w:b/>
                <w:bCs/>
                <w:iCs/>
                <w:sz w:val="22"/>
              </w:rPr>
            </w:pPr>
            <w:r w:rsidRPr="00A11EE8">
              <w:rPr>
                <w:rFonts w:eastAsia="Calibri"/>
                <w:b/>
                <w:bCs/>
                <w:iCs/>
                <w:sz w:val="22"/>
              </w:rPr>
              <w:t>Low</w:t>
            </w:r>
            <w:r w:rsidR="00CB0817" w:rsidRPr="00A11EE8">
              <w:rPr>
                <w:rFonts w:eastAsia="Calibri"/>
                <w:b/>
                <w:bCs/>
                <w:iCs/>
                <w:sz w:val="22"/>
              </w:rPr>
              <w:t xml:space="preserve"> to medium</w:t>
            </w:r>
          </w:p>
        </w:tc>
      </w:tr>
    </w:tbl>
    <w:p w14:paraId="0A9A2360" w14:textId="77777777" w:rsidR="00380585" w:rsidRPr="0069218C" w:rsidRDefault="00380585" w:rsidP="00B045C4">
      <w:pPr>
        <w:pStyle w:val="spacer"/>
        <w:jc w:val="both"/>
      </w:pPr>
    </w:p>
    <w:tbl>
      <w:tblPr>
        <w:tblpPr w:leftFromText="180" w:rightFromText="180" w:vertAnchor="text" w:tblpX="-322" w:tblpY="1"/>
        <w:tblOverlap w:val="never"/>
        <w:tblW w:w="977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529"/>
        <w:gridCol w:w="4394"/>
        <w:gridCol w:w="2853"/>
      </w:tblGrid>
      <w:tr w:rsidR="00380585" w:rsidRPr="0069218C" w14:paraId="377EAB6F" w14:textId="77777777" w:rsidTr="008F455F">
        <w:trPr>
          <w:trHeight w:val="253"/>
        </w:trPr>
        <w:tc>
          <w:tcPr>
            <w:tcW w:w="9776" w:type="dxa"/>
            <w:gridSpan w:val="3"/>
            <w:shd w:val="clear" w:color="auto" w:fill="99CDDD"/>
          </w:tcPr>
          <w:p w14:paraId="564BDD89" w14:textId="77777777" w:rsidR="00380585" w:rsidRPr="000535CE" w:rsidRDefault="00380585" w:rsidP="008F455F">
            <w:pPr>
              <w:spacing w:before="40" w:after="20" w:line="240" w:lineRule="auto"/>
              <w:jc w:val="both"/>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8F455F">
        <w:trPr>
          <w:trHeight w:val="253"/>
        </w:trPr>
        <w:tc>
          <w:tcPr>
            <w:tcW w:w="2529" w:type="dxa"/>
            <w:shd w:val="clear" w:color="auto" w:fill="auto"/>
          </w:tcPr>
          <w:p w14:paraId="4F532354" w14:textId="77777777" w:rsidR="00380585" w:rsidRPr="00656C6C" w:rsidRDefault="00380585" w:rsidP="008F455F">
            <w:pPr>
              <w:pStyle w:val="TableText"/>
              <w:jc w:val="both"/>
              <w:rPr>
                <w:rFonts w:eastAsia="Calibri"/>
                <w:i/>
                <w:iCs/>
                <w:sz w:val="22"/>
              </w:rPr>
            </w:pPr>
            <w:r w:rsidRPr="00656C6C">
              <w:rPr>
                <w:rFonts w:eastAsia="Calibri"/>
                <w:i/>
                <w:iCs/>
                <w:sz w:val="22"/>
              </w:rPr>
              <w:t>Regulated parties</w:t>
            </w:r>
          </w:p>
          <w:p w14:paraId="118392ED" w14:textId="00CE77DD" w:rsidR="00656C6C" w:rsidRPr="0069218C" w:rsidRDefault="00656C6C" w:rsidP="008F455F">
            <w:pPr>
              <w:pStyle w:val="TableText"/>
              <w:rPr>
                <w:rFonts w:eastAsia="Calibri"/>
                <w:sz w:val="22"/>
              </w:rPr>
            </w:pPr>
            <w:r>
              <w:rPr>
                <w:rFonts w:eastAsia="Calibri"/>
                <w:sz w:val="22"/>
              </w:rPr>
              <w:t>Vendors and purchasers in mixed supply transactions</w:t>
            </w:r>
          </w:p>
        </w:tc>
        <w:tc>
          <w:tcPr>
            <w:tcW w:w="4394" w:type="dxa"/>
            <w:shd w:val="clear" w:color="auto" w:fill="auto"/>
          </w:tcPr>
          <w:p w14:paraId="7FA83A27" w14:textId="713BD1A7" w:rsidR="00380585" w:rsidRPr="0069218C" w:rsidRDefault="00380585" w:rsidP="008F455F">
            <w:pPr>
              <w:pStyle w:val="TableText"/>
              <w:jc w:val="both"/>
              <w:rPr>
                <w:rFonts w:eastAsia="Calibri"/>
                <w:sz w:val="22"/>
              </w:rPr>
            </w:pPr>
          </w:p>
        </w:tc>
        <w:tc>
          <w:tcPr>
            <w:tcW w:w="2853" w:type="dxa"/>
            <w:shd w:val="clear" w:color="auto" w:fill="auto"/>
          </w:tcPr>
          <w:p w14:paraId="73CBE2E0" w14:textId="77777777" w:rsidR="00380585" w:rsidRPr="0069218C" w:rsidRDefault="00380585" w:rsidP="008F455F">
            <w:pPr>
              <w:pStyle w:val="TableText"/>
              <w:jc w:val="both"/>
              <w:rPr>
                <w:rFonts w:eastAsia="Calibri"/>
                <w:sz w:val="22"/>
              </w:rPr>
            </w:pPr>
          </w:p>
        </w:tc>
      </w:tr>
      <w:tr w:rsidR="00380585" w:rsidRPr="0069218C" w14:paraId="6D1801A4" w14:textId="77777777" w:rsidTr="008F455F">
        <w:trPr>
          <w:trHeight w:val="253"/>
        </w:trPr>
        <w:tc>
          <w:tcPr>
            <w:tcW w:w="2529" w:type="dxa"/>
            <w:shd w:val="clear" w:color="auto" w:fill="auto"/>
          </w:tcPr>
          <w:p w14:paraId="1DFCC6D9" w14:textId="77777777" w:rsidR="00380585" w:rsidRPr="00656C6C" w:rsidRDefault="00380585" w:rsidP="008F455F">
            <w:pPr>
              <w:pStyle w:val="TableText"/>
              <w:jc w:val="both"/>
              <w:rPr>
                <w:rFonts w:eastAsia="Calibri"/>
                <w:i/>
                <w:iCs/>
                <w:sz w:val="22"/>
              </w:rPr>
            </w:pPr>
            <w:r w:rsidRPr="00656C6C">
              <w:rPr>
                <w:rFonts w:eastAsia="Calibri"/>
                <w:i/>
                <w:iCs/>
                <w:sz w:val="22"/>
              </w:rPr>
              <w:t>Regulators</w:t>
            </w:r>
          </w:p>
          <w:p w14:paraId="715A3757" w14:textId="689496ED" w:rsidR="00656C6C" w:rsidRPr="0069218C" w:rsidRDefault="00656C6C" w:rsidP="008F455F">
            <w:pPr>
              <w:pStyle w:val="TableText"/>
              <w:jc w:val="both"/>
              <w:rPr>
                <w:rFonts w:eastAsia="Calibri"/>
                <w:sz w:val="22"/>
              </w:rPr>
            </w:pPr>
            <w:r>
              <w:rPr>
                <w:rFonts w:eastAsia="Calibri"/>
                <w:sz w:val="22"/>
              </w:rPr>
              <w:t>Inland Revenue</w:t>
            </w:r>
          </w:p>
        </w:tc>
        <w:tc>
          <w:tcPr>
            <w:tcW w:w="4394" w:type="dxa"/>
            <w:shd w:val="clear" w:color="auto" w:fill="auto"/>
          </w:tcPr>
          <w:p w14:paraId="2D09FD04" w14:textId="7A1F775F" w:rsidR="00380585" w:rsidRPr="0069218C" w:rsidRDefault="00280B90" w:rsidP="008F455F">
            <w:pPr>
              <w:pStyle w:val="TableText"/>
              <w:jc w:val="both"/>
              <w:rPr>
                <w:rFonts w:eastAsia="Calibri"/>
                <w:sz w:val="22"/>
              </w:rPr>
            </w:pPr>
            <w:r>
              <w:rPr>
                <w:rFonts w:eastAsia="Calibri"/>
                <w:sz w:val="22"/>
              </w:rPr>
              <w:t>Inconsistent allocations will not occur, or will be clearly in breach of the law, so able to b</w:t>
            </w:r>
            <w:r w:rsidR="001B7BC3">
              <w:rPr>
                <w:rFonts w:eastAsia="Calibri"/>
                <w:sz w:val="22"/>
              </w:rPr>
              <w:t>e</w:t>
            </w:r>
            <w:r w:rsidR="00B17422">
              <w:rPr>
                <w:rFonts w:eastAsia="Calibri"/>
                <w:sz w:val="22"/>
              </w:rPr>
              <w:t xml:space="preserve"> effectively challenge</w:t>
            </w:r>
            <w:r w:rsidR="001B7BC3">
              <w:rPr>
                <w:rFonts w:eastAsia="Calibri"/>
                <w:sz w:val="22"/>
              </w:rPr>
              <w:t>d.</w:t>
            </w:r>
          </w:p>
        </w:tc>
        <w:tc>
          <w:tcPr>
            <w:tcW w:w="2853" w:type="dxa"/>
            <w:shd w:val="clear" w:color="auto" w:fill="auto"/>
          </w:tcPr>
          <w:p w14:paraId="733C5865" w14:textId="59873270" w:rsidR="00380585" w:rsidRPr="0069218C" w:rsidRDefault="005E1EB7" w:rsidP="008F455F">
            <w:pPr>
              <w:pStyle w:val="TableText"/>
              <w:jc w:val="both"/>
              <w:rPr>
                <w:rFonts w:eastAsia="Calibri"/>
                <w:sz w:val="22"/>
              </w:rPr>
            </w:pPr>
            <w:r>
              <w:rPr>
                <w:rFonts w:eastAsia="Calibri"/>
                <w:sz w:val="22"/>
              </w:rPr>
              <w:t>Medium</w:t>
            </w:r>
          </w:p>
        </w:tc>
      </w:tr>
      <w:tr w:rsidR="00380585" w:rsidRPr="0069218C" w14:paraId="6617ED99" w14:textId="77777777" w:rsidTr="008F455F">
        <w:trPr>
          <w:trHeight w:val="253"/>
        </w:trPr>
        <w:tc>
          <w:tcPr>
            <w:tcW w:w="2529" w:type="dxa"/>
            <w:shd w:val="clear" w:color="auto" w:fill="auto"/>
          </w:tcPr>
          <w:p w14:paraId="4D03E098" w14:textId="77777777" w:rsidR="00380585" w:rsidRPr="0069218C" w:rsidRDefault="00380585" w:rsidP="008F455F">
            <w:pPr>
              <w:pStyle w:val="TableText"/>
              <w:jc w:val="both"/>
              <w:rPr>
                <w:rFonts w:eastAsia="Calibri"/>
                <w:sz w:val="22"/>
              </w:rPr>
            </w:pPr>
            <w:r w:rsidRPr="0069218C">
              <w:rPr>
                <w:rFonts w:eastAsia="Calibri"/>
                <w:sz w:val="22"/>
              </w:rPr>
              <w:t>Wider government</w:t>
            </w:r>
          </w:p>
        </w:tc>
        <w:tc>
          <w:tcPr>
            <w:tcW w:w="4394" w:type="dxa"/>
            <w:shd w:val="clear" w:color="auto" w:fill="auto"/>
          </w:tcPr>
          <w:p w14:paraId="28CC1657" w14:textId="4FF92DDF" w:rsidR="00380585" w:rsidRPr="0069218C" w:rsidRDefault="00B53538" w:rsidP="008F455F">
            <w:pPr>
              <w:pStyle w:val="TableText"/>
              <w:jc w:val="both"/>
              <w:rPr>
                <w:rFonts w:eastAsia="Calibri"/>
                <w:sz w:val="22"/>
              </w:rPr>
            </w:pPr>
            <w:r>
              <w:rPr>
                <w:rFonts w:eastAsia="Calibri"/>
                <w:sz w:val="22"/>
              </w:rPr>
              <w:t>A</w:t>
            </w:r>
            <w:r w:rsidR="005E1EB7">
              <w:rPr>
                <w:rFonts w:eastAsia="Calibri"/>
                <w:sz w:val="22"/>
              </w:rPr>
              <w:t>n</w:t>
            </w:r>
            <w:r>
              <w:rPr>
                <w:rFonts w:eastAsia="Calibri"/>
                <w:sz w:val="22"/>
              </w:rPr>
              <w:t xml:space="preserve"> increase in revenue is expected. </w:t>
            </w:r>
          </w:p>
        </w:tc>
        <w:tc>
          <w:tcPr>
            <w:tcW w:w="2853" w:type="dxa"/>
            <w:shd w:val="clear" w:color="auto" w:fill="auto"/>
          </w:tcPr>
          <w:p w14:paraId="3881C965" w14:textId="53EEAB70" w:rsidR="00380585" w:rsidRPr="0069218C" w:rsidRDefault="00656C6C" w:rsidP="008F455F">
            <w:pPr>
              <w:pStyle w:val="TableText"/>
              <w:jc w:val="both"/>
              <w:rPr>
                <w:rFonts w:eastAsia="Calibri"/>
                <w:sz w:val="22"/>
              </w:rPr>
            </w:pPr>
            <w:r>
              <w:rPr>
                <w:rFonts w:eastAsia="Calibri"/>
                <w:sz w:val="22"/>
              </w:rPr>
              <w:t>Approximately $154 million of revenue gain over</w:t>
            </w:r>
            <w:r w:rsidR="009745AD">
              <w:rPr>
                <w:rFonts w:eastAsia="Calibri"/>
                <w:sz w:val="22"/>
              </w:rPr>
              <w:t xml:space="preserve"> the</w:t>
            </w:r>
            <w:r>
              <w:rPr>
                <w:rFonts w:eastAsia="Calibri"/>
                <w:sz w:val="22"/>
              </w:rPr>
              <w:t xml:space="preserve"> forecast period (2021-24).</w:t>
            </w:r>
          </w:p>
        </w:tc>
      </w:tr>
      <w:tr w:rsidR="00380585" w:rsidRPr="0069218C" w14:paraId="746B7EB9" w14:textId="77777777" w:rsidTr="008F455F">
        <w:trPr>
          <w:trHeight w:val="253"/>
        </w:trPr>
        <w:tc>
          <w:tcPr>
            <w:tcW w:w="2529" w:type="dxa"/>
            <w:shd w:val="clear" w:color="auto" w:fill="auto"/>
          </w:tcPr>
          <w:p w14:paraId="3F02F27B" w14:textId="77777777" w:rsidR="00380585" w:rsidRPr="0069218C" w:rsidRDefault="00380585" w:rsidP="008F455F">
            <w:pPr>
              <w:pStyle w:val="TableText"/>
              <w:jc w:val="both"/>
              <w:rPr>
                <w:rFonts w:eastAsia="Calibri"/>
                <w:sz w:val="22"/>
              </w:rPr>
            </w:pPr>
            <w:r w:rsidRPr="0069218C">
              <w:rPr>
                <w:rFonts w:eastAsia="Calibri"/>
                <w:sz w:val="22"/>
              </w:rPr>
              <w:t xml:space="preserve">Other parties </w:t>
            </w:r>
          </w:p>
        </w:tc>
        <w:tc>
          <w:tcPr>
            <w:tcW w:w="4394" w:type="dxa"/>
            <w:shd w:val="clear" w:color="auto" w:fill="auto"/>
          </w:tcPr>
          <w:p w14:paraId="6F1D21BC" w14:textId="77777777" w:rsidR="00380585" w:rsidRPr="0069218C" w:rsidRDefault="00380585" w:rsidP="008F455F">
            <w:pPr>
              <w:pStyle w:val="TableText"/>
              <w:jc w:val="both"/>
              <w:rPr>
                <w:rFonts w:eastAsia="Calibri"/>
                <w:sz w:val="22"/>
              </w:rPr>
            </w:pPr>
          </w:p>
        </w:tc>
        <w:tc>
          <w:tcPr>
            <w:tcW w:w="2853" w:type="dxa"/>
            <w:shd w:val="clear" w:color="auto" w:fill="auto"/>
          </w:tcPr>
          <w:p w14:paraId="4BA42D52" w14:textId="77777777" w:rsidR="00380585" w:rsidRPr="0069218C" w:rsidRDefault="00380585" w:rsidP="008F455F">
            <w:pPr>
              <w:pStyle w:val="TableText"/>
              <w:jc w:val="both"/>
              <w:rPr>
                <w:rFonts w:eastAsia="Calibri"/>
                <w:sz w:val="22"/>
              </w:rPr>
            </w:pPr>
          </w:p>
        </w:tc>
      </w:tr>
      <w:tr w:rsidR="00380585" w:rsidRPr="0069218C" w14:paraId="7DFE3740" w14:textId="77777777" w:rsidTr="008F455F">
        <w:trPr>
          <w:trHeight w:val="253"/>
        </w:trPr>
        <w:tc>
          <w:tcPr>
            <w:tcW w:w="2529" w:type="dxa"/>
            <w:shd w:val="clear" w:color="auto" w:fill="auto"/>
          </w:tcPr>
          <w:p w14:paraId="5AE97A8A" w14:textId="77777777" w:rsidR="00380585" w:rsidRPr="0069218C" w:rsidRDefault="00380585" w:rsidP="008F455F">
            <w:pPr>
              <w:pStyle w:val="TableText"/>
              <w:jc w:val="both"/>
              <w:rPr>
                <w:rFonts w:eastAsia="Calibri"/>
                <w:b/>
                <w:sz w:val="22"/>
              </w:rPr>
            </w:pPr>
            <w:r w:rsidRPr="0069218C">
              <w:rPr>
                <w:rFonts w:eastAsia="Calibri"/>
                <w:b/>
                <w:sz w:val="22"/>
              </w:rPr>
              <w:t>Total Monetised  Benefit</w:t>
            </w:r>
          </w:p>
        </w:tc>
        <w:tc>
          <w:tcPr>
            <w:tcW w:w="4394" w:type="dxa"/>
            <w:shd w:val="clear" w:color="auto" w:fill="auto"/>
          </w:tcPr>
          <w:p w14:paraId="4A0ED95F" w14:textId="77777777" w:rsidR="00380585" w:rsidRPr="0069218C" w:rsidRDefault="00380585" w:rsidP="008F455F">
            <w:pPr>
              <w:pStyle w:val="TableText"/>
              <w:jc w:val="both"/>
              <w:rPr>
                <w:rFonts w:eastAsia="Calibri"/>
                <w:sz w:val="22"/>
              </w:rPr>
            </w:pPr>
          </w:p>
        </w:tc>
        <w:tc>
          <w:tcPr>
            <w:tcW w:w="2853" w:type="dxa"/>
            <w:shd w:val="clear" w:color="auto" w:fill="auto"/>
          </w:tcPr>
          <w:p w14:paraId="36B5F82A" w14:textId="2944325B" w:rsidR="00380585" w:rsidRPr="0069218C" w:rsidRDefault="009047E5" w:rsidP="008F455F">
            <w:pPr>
              <w:pStyle w:val="TableText"/>
              <w:jc w:val="both"/>
              <w:rPr>
                <w:rFonts w:eastAsia="Calibri"/>
                <w:sz w:val="22"/>
              </w:rPr>
            </w:pPr>
            <w:r>
              <w:rPr>
                <w:rFonts w:eastAsia="Calibri"/>
                <w:b/>
                <w:bCs/>
                <w:sz w:val="22"/>
              </w:rPr>
              <w:t xml:space="preserve">Estimated </w:t>
            </w:r>
            <w:r w:rsidR="00015D1A" w:rsidRPr="008F1CD0">
              <w:rPr>
                <w:rFonts w:eastAsia="Calibri"/>
                <w:b/>
                <w:bCs/>
                <w:sz w:val="22"/>
              </w:rPr>
              <w:t>$154 million</w:t>
            </w:r>
            <w:r w:rsidR="00015D1A">
              <w:rPr>
                <w:rFonts w:eastAsia="Calibri"/>
                <w:b/>
                <w:bCs/>
                <w:sz w:val="22"/>
              </w:rPr>
              <w:t xml:space="preserve"> over forecast period</w:t>
            </w:r>
          </w:p>
        </w:tc>
      </w:tr>
      <w:tr w:rsidR="00380585" w:rsidRPr="0069218C" w14:paraId="4A17A07A" w14:textId="77777777" w:rsidTr="008F455F">
        <w:trPr>
          <w:trHeight w:val="253"/>
        </w:trPr>
        <w:tc>
          <w:tcPr>
            <w:tcW w:w="2529" w:type="dxa"/>
            <w:shd w:val="clear" w:color="auto" w:fill="auto"/>
          </w:tcPr>
          <w:p w14:paraId="1C9A83D8" w14:textId="77777777" w:rsidR="00380585" w:rsidRPr="0069218C" w:rsidRDefault="00380585" w:rsidP="008F455F">
            <w:pPr>
              <w:pStyle w:val="TableText"/>
              <w:jc w:val="both"/>
              <w:rPr>
                <w:rFonts w:eastAsia="Calibri"/>
                <w:b/>
                <w:sz w:val="22"/>
              </w:rPr>
            </w:pPr>
            <w:r w:rsidRPr="0069218C">
              <w:rPr>
                <w:rFonts w:eastAsia="Calibri"/>
                <w:b/>
                <w:sz w:val="22"/>
              </w:rPr>
              <w:t>Non-monetised benefits</w:t>
            </w:r>
          </w:p>
        </w:tc>
        <w:tc>
          <w:tcPr>
            <w:tcW w:w="4394" w:type="dxa"/>
            <w:shd w:val="clear" w:color="auto" w:fill="auto"/>
          </w:tcPr>
          <w:p w14:paraId="6EC0B707" w14:textId="4ED4F13C" w:rsidR="00380585" w:rsidRPr="0069218C" w:rsidRDefault="00380585" w:rsidP="008F455F">
            <w:pPr>
              <w:pStyle w:val="TableText"/>
              <w:jc w:val="both"/>
              <w:rPr>
                <w:rFonts w:eastAsia="Calibri"/>
                <w:sz w:val="22"/>
              </w:rPr>
            </w:pPr>
          </w:p>
        </w:tc>
        <w:tc>
          <w:tcPr>
            <w:tcW w:w="2853" w:type="dxa"/>
            <w:shd w:val="clear" w:color="auto" w:fill="auto"/>
          </w:tcPr>
          <w:p w14:paraId="723A8545" w14:textId="059CBCC4" w:rsidR="00380585" w:rsidRPr="00E62373" w:rsidRDefault="005E1EB7" w:rsidP="008F455F">
            <w:pPr>
              <w:pStyle w:val="TableText"/>
              <w:jc w:val="both"/>
              <w:rPr>
                <w:rFonts w:eastAsia="Calibri"/>
                <w:i/>
                <w:sz w:val="22"/>
              </w:rPr>
            </w:pPr>
            <w:r w:rsidRPr="00B72609">
              <w:rPr>
                <w:rFonts w:eastAsia="Calibri"/>
                <w:b/>
                <w:bCs/>
                <w:iCs/>
                <w:sz w:val="22"/>
              </w:rPr>
              <w:t>Medium</w:t>
            </w:r>
          </w:p>
        </w:tc>
      </w:tr>
    </w:tbl>
    <w:p w14:paraId="1185774B" w14:textId="02D13009" w:rsidR="00C77099" w:rsidRPr="00886DFF" w:rsidRDefault="00C77099" w:rsidP="00B045C4">
      <w:pPr>
        <w:jc w:val="both"/>
        <w:rPr>
          <w:rFonts w:cs="Arial"/>
          <w:i/>
          <w:color w:val="000000"/>
          <w:szCs w:val="22"/>
          <w:lang w:eastAsia="en-AU"/>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C77099" w:rsidRPr="0069218C" w14:paraId="176D43DC" w14:textId="77777777" w:rsidTr="00BB4EA2">
        <w:trPr>
          <w:trHeight w:val="77"/>
        </w:trPr>
        <w:tc>
          <w:tcPr>
            <w:tcW w:w="5000" w:type="pct"/>
            <w:shd w:val="clear" w:color="auto" w:fill="99CDDD"/>
            <w:hideMark/>
          </w:tcPr>
          <w:p w14:paraId="483E41C0" w14:textId="77777777" w:rsidR="00C77099" w:rsidRPr="00886DFF" w:rsidRDefault="00D9793F" w:rsidP="00B045C4">
            <w:pPr>
              <w:pStyle w:val="TableHeadings"/>
              <w:jc w:val="both"/>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280871FA" w14:textId="77777777" w:rsidTr="00AA3B5B">
        <w:trPr>
          <w:trHeight w:val="2370"/>
        </w:trPr>
        <w:tc>
          <w:tcPr>
            <w:tcW w:w="5000" w:type="pct"/>
            <w:shd w:val="clear" w:color="auto" w:fill="auto"/>
          </w:tcPr>
          <w:p w14:paraId="302B043C" w14:textId="77777777" w:rsidR="004C26AF" w:rsidRDefault="004C26AF" w:rsidP="00B045C4">
            <w:pPr>
              <w:spacing w:after="0"/>
              <w:jc w:val="both"/>
            </w:pPr>
          </w:p>
          <w:p w14:paraId="3A5D4AB9" w14:textId="53947BA3" w:rsidR="00AA3B5B" w:rsidRPr="00AA3B5B" w:rsidRDefault="0065121B" w:rsidP="00AA3B5B">
            <w:pPr>
              <w:spacing w:after="0"/>
              <w:jc w:val="both"/>
            </w:pPr>
            <w:r>
              <w:t>Some sale and purchase transactions may</w:t>
            </w:r>
            <w:r w:rsidR="00B914B8">
              <w:t xml:space="preserve"> take longer as a result of a</w:t>
            </w:r>
            <w:r w:rsidR="00FC296E">
              <w:t xml:space="preserve"> single allocation having to be used. </w:t>
            </w:r>
            <w:r w:rsidR="0072315B">
              <w:t>This may</w:t>
            </w:r>
            <w:r w:rsidR="002C02CB">
              <w:t xml:space="preserve"> </w:t>
            </w:r>
            <w:r w:rsidR="0072315B">
              <w:t>place more pressure on some purchasers in multi-bid deals where the</w:t>
            </w:r>
            <w:r w:rsidR="0084014A">
              <w:t>re is competition</w:t>
            </w:r>
            <w:r w:rsidR="002C02CB">
              <w:t xml:space="preserve"> with </w:t>
            </w:r>
            <w:r w:rsidR="005F65A9">
              <w:t xml:space="preserve">foreign purchasers </w:t>
            </w:r>
            <w:r w:rsidR="002D6106">
              <w:t xml:space="preserve">that </w:t>
            </w:r>
            <w:r w:rsidR="005F65A9">
              <w:t>are not subject to the</w:t>
            </w:r>
            <w:r w:rsidR="002D6106">
              <w:t xml:space="preserve"> consistency rule.</w:t>
            </w:r>
            <w:r w:rsidR="00F270FA">
              <w:t xml:space="preserve"> Officials note, however, that</w:t>
            </w:r>
            <w:r w:rsidR="00071C9C">
              <w:t xml:space="preserve"> purchasers from different jurisdictions </w:t>
            </w:r>
            <w:r w:rsidR="002C4D61">
              <w:t>may</w:t>
            </w:r>
            <w:r w:rsidR="00071C9C">
              <w:t xml:space="preserve"> be on an unequal footing </w:t>
            </w:r>
            <w:r w:rsidR="00A0249C">
              <w:t xml:space="preserve">already </w:t>
            </w:r>
            <w:r w:rsidR="00071C9C">
              <w:t>for a variety of reasons</w:t>
            </w:r>
            <w:r w:rsidR="000703C8">
              <w:t xml:space="preserve"> that are unrelated to purchase price allocation</w:t>
            </w:r>
            <w:r w:rsidR="00A0249C">
              <w:t>.</w:t>
            </w:r>
          </w:p>
        </w:tc>
      </w:tr>
    </w:tbl>
    <w:p w14:paraId="67094455" w14:textId="77777777" w:rsidR="00B15F56" w:rsidRPr="00886DFF" w:rsidRDefault="00B15F56" w:rsidP="00B045C4">
      <w:pPr>
        <w:spacing w:after="0"/>
        <w:jc w:val="both"/>
        <w:rPr>
          <w:rFonts w:cs="Arial"/>
          <w:i/>
          <w:color w:val="000000"/>
          <w:szCs w:val="22"/>
          <w:lang w:eastAsia="en-AU"/>
        </w:rPr>
      </w:pPr>
    </w:p>
    <w:p w14:paraId="698F59C7" w14:textId="31375EB7" w:rsidR="00051A88" w:rsidRDefault="00051A88" w:rsidP="00B045C4">
      <w:pPr>
        <w:pStyle w:val="Heading2"/>
        <w:jc w:val="both"/>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00BB4EA2">
        <w:trPr>
          <w:trHeight w:val="77"/>
        </w:trPr>
        <w:tc>
          <w:tcPr>
            <w:tcW w:w="5000" w:type="pct"/>
            <w:shd w:val="clear" w:color="auto" w:fill="99CDDD"/>
          </w:tcPr>
          <w:p w14:paraId="3B740C86" w14:textId="77777777" w:rsidR="00051A88" w:rsidRPr="00886DFF" w:rsidRDefault="00D9793F" w:rsidP="00B045C4">
            <w:pPr>
              <w:pStyle w:val="TableHeadings"/>
              <w:jc w:val="both"/>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00D42BE1">
        <w:trPr>
          <w:trHeight w:val="4995"/>
        </w:trPr>
        <w:tc>
          <w:tcPr>
            <w:tcW w:w="5000" w:type="pct"/>
            <w:shd w:val="clear" w:color="auto" w:fill="auto"/>
          </w:tcPr>
          <w:p w14:paraId="1B49A1A1" w14:textId="77777777" w:rsidR="00A671BA" w:rsidRDefault="00A671BA" w:rsidP="00B045C4">
            <w:pPr>
              <w:spacing w:after="0" w:line="276" w:lineRule="auto"/>
              <w:jc w:val="both"/>
              <w:rPr>
                <w:rFonts w:cs="Arial"/>
                <w:szCs w:val="22"/>
              </w:rPr>
            </w:pPr>
          </w:p>
          <w:p w14:paraId="32477F4F" w14:textId="2E840F3F" w:rsidR="00F132B2" w:rsidRDefault="000D1797" w:rsidP="00B045C4">
            <w:pPr>
              <w:spacing w:after="0" w:line="276" w:lineRule="auto"/>
              <w:jc w:val="both"/>
              <w:rPr>
                <w:rFonts w:cs="Arial"/>
                <w:szCs w:val="22"/>
              </w:rPr>
            </w:pPr>
            <w:r>
              <w:rPr>
                <w:rFonts w:cs="Arial"/>
                <w:szCs w:val="22"/>
              </w:rPr>
              <w:t>Officials engaged in targeted consultation with</w:t>
            </w:r>
            <w:r w:rsidR="00F034DC">
              <w:rPr>
                <w:rFonts w:cs="Arial"/>
                <w:szCs w:val="22"/>
              </w:rPr>
              <w:t xml:space="preserve"> the Corporate Taxpayers Group (CTG), Chartered Accountants Australia and New Zealand (CA ANZ), </w:t>
            </w:r>
            <w:r w:rsidR="00EB1195">
              <w:rPr>
                <w:rFonts w:cs="Arial"/>
                <w:szCs w:val="22"/>
              </w:rPr>
              <w:t xml:space="preserve">KPMG, PwC, </w:t>
            </w:r>
            <w:r w:rsidR="00F034DC">
              <w:rPr>
                <w:rFonts w:cs="Arial"/>
                <w:szCs w:val="22"/>
              </w:rPr>
              <w:t>Deloitte</w:t>
            </w:r>
            <w:r>
              <w:rPr>
                <w:rFonts w:cs="Arial"/>
                <w:szCs w:val="22"/>
              </w:rPr>
              <w:t xml:space="preserve"> and</w:t>
            </w:r>
            <w:r w:rsidR="00F034DC">
              <w:rPr>
                <w:rFonts w:cs="Arial"/>
                <w:szCs w:val="22"/>
              </w:rPr>
              <w:t xml:space="preserve"> </w:t>
            </w:r>
            <w:r w:rsidR="00E16405">
              <w:rPr>
                <w:rFonts w:cs="Arial"/>
                <w:szCs w:val="22"/>
              </w:rPr>
              <w:t xml:space="preserve">Russell </w:t>
            </w:r>
            <w:proofErr w:type="spellStart"/>
            <w:r w:rsidR="00E16405">
              <w:rPr>
                <w:rFonts w:cs="Arial"/>
                <w:szCs w:val="22"/>
              </w:rPr>
              <w:t>McVeagh</w:t>
            </w:r>
            <w:proofErr w:type="spellEnd"/>
            <w:r w:rsidR="00574CDF">
              <w:rPr>
                <w:rFonts w:cs="Arial"/>
                <w:szCs w:val="22"/>
              </w:rPr>
              <w:t>, and an official’s issues paper</w:t>
            </w:r>
            <w:r w:rsidR="006F73F8">
              <w:rPr>
                <w:rFonts w:cs="Arial"/>
                <w:szCs w:val="22"/>
              </w:rPr>
              <w:t xml:space="preserve"> – </w:t>
            </w:r>
            <w:r w:rsidR="006F73F8">
              <w:rPr>
                <w:rFonts w:cs="Arial"/>
                <w:i/>
                <w:iCs/>
                <w:szCs w:val="22"/>
              </w:rPr>
              <w:t xml:space="preserve">Purchase price allocation – </w:t>
            </w:r>
            <w:r w:rsidR="006F73F8">
              <w:rPr>
                <w:rFonts w:cs="Arial"/>
                <w:szCs w:val="22"/>
              </w:rPr>
              <w:t xml:space="preserve">was released for public consultation in December </w:t>
            </w:r>
            <w:r w:rsidR="00895ADB">
              <w:rPr>
                <w:rFonts w:cs="Arial"/>
                <w:szCs w:val="22"/>
              </w:rPr>
              <w:t>2019.</w:t>
            </w:r>
            <w:r>
              <w:rPr>
                <w:rFonts w:cs="Arial"/>
                <w:szCs w:val="22"/>
              </w:rPr>
              <w:t xml:space="preserve"> </w:t>
            </w:r>
            <w:r w:rsidR="00502B5C">
              <w:rPr>
                <w:rFonts w:cs="Arial"/>
                <w:szCs w:val="22"/>
              </w:rPr>
              <w:t>S</w:t>
            </w:r>
            <w:r w:rsidR="00610707">
              <w:rPr>
                <w:rFonts w:cs="Arial"/>
                <w:szCs w:val="22"/>
              </w:rPr>
              <w:t xml:space="preserve">ubmissions on the issues paper were received from </w:t>
            </w:r>
            <w:r w:rsidR="0070242A">
              <w:rPr>
                <w:rFonts w:cs="Arial"/>
                <w:szCs w:val="22"/>
              </w:rPr>
              <w:t xml:space="preserve">the </w:t>
            </w:r>
            <w:r w:rsidR="0039357A">
              <w:rPr>
                <w:rFonts w:cs="Arial"/>
                <w:szCs w:val="22"/>
              </w:rPr>
              <w:t xml:space="preserve">above </w:t>
            </w:r>
            <w:r w:rsidR="0070242A">
              <w:rPr>
                <w:rFonts w:cs="Arial"/>
                <w:szCs w:val="22"/>
              </w:rPr>
              <w:t>stakeholders as well as</w:t>
            </w:r>
            <w:r w:rsidR="003A1F84">
              <w:rPr>
                <w:rFonts w:cs="Arial"/>
                <w:szCs w:val="22"/>
              </w:rPr>
              <w:t xml:space="preserve"> </w:t>
            </w:r>
            <w:r w:rsidR="003A1F84" w:rsidRPr="003A1F84">
              <w:rPr>
                <w:rFonts w:cs="Arial"/>
                <w:szCs w:val="22"/>
              </w:rPr>
              <w:t>Business NZ,</w:t>
            </w:r>
            <w:r w:rsidR="003A1F84" w:rsidRPr="003A1F84" w:rsidDel="00EB1195">
              <w:rPr>
                <w:rFonts w:cs="Arial"/>
                <w:szCs w:val="22"/>
              </w:rPr>
              <w:t xml:space="preserve"> </w:t>
            </w:r>
            <w:r w:rsidR="003A1F84" w:rsidRPr="003A1F84">
              <w:rPr>
                <w:rFonts w:cs="Arial"/>
                <w:szCs w:val="22"/>
              </w:rPr>
              <w:t>Bell Gully, the New Zealand Law Society,</w:t>
            </w:r>
            <w:r w:rsidR="003A1F84">
              <w:rPr>
                <w:rFonts w:cs="Arial"/>
                <w:szCs w:val="22"/>
              </w:rPr>
              <w:t xml:space="preserve"> </w:t>
            </w:r>
            <w:proofErr w:type="spellStart"/>
            <w:r w:rsidR="00F60DC9">
              <w:rPr>
                <w:rFonts w:cs="Arial"/>
                <w:szCs w:val="22"/>
              </w:rPr>
              <w:t>nsa</w:t>
            </w:r>
            <w:r w:rsidR="003A1F84" w:rsidRPr="003A1F84">
              <w:rPr>
                <w:rFonts w:cs="Arial"/>
                <w:szCs w:val="22"/>
              </w:rPr>
              <w:t>Tax</w:t>
            </w:r>
            <w:proofErr w:type="spellEnd"/>
            <w:r w:rsidR="003A1F84" w:rsidRPr="003A1F84">
              <w:rPr>
                <w:rFonts w:cs="Arial"/>
                <w:szCs w:val="22"/>
              </w:rPr>
              <w:t>, Chapman Tripp, and EY.</w:t>
            </w:r>
          </w:p>
          <w:p w14:paraId="20FCA85C" w14:textId="77777777" w:rsidR="008A31B4" w:rsidRDefault="008A31B4" w:rsidP="00B045C4">
            <w:pPr>
              <w:spacing w:after="0" w:line="276" w:lineRule="auto"/>
              <w:jc w:val="both"/>
              <w:rPr>
                <w:rFonts w:cs="Arial"/>
                <w:szCs w:val="22"/>
              </w:rPr>
            </w:pPr>
          </w:p>
          <w:p w14:paraId="43846B7E" w14:textId="5156A172" w:rsidR="005F2CB5" w:rsidRPr="005F2CB5" w:rsidRDefault="005F2CB5" w:rsidP="00B045C4">
            <w:pPr>
              <w:spacing w:after="0" w:line="276" w:lineRule="auto"/>
              <w:jc w:val="both"/>
              <w:rPr>
                <w:rFonts w:cs="Arial"/>
                <w:szCs w:val="22"/>
              </w:rPr>
            </w:pPr>
            <w:r w:rsidRPr="005F2CB5">
              <w:rPr>
                <w:rFonts w:cs="Arial"/>
                <w:szCs w:val="22"/>
              </w:rPr>
              <w:t xml:space="preserve">Almost all </w:t>
            </w:r>
            <w:r>
              <w:rPr>
                <w:rFonts w:cs="Arial"/>
                <w:szCs w:val="22"/>
              </w:rPr>
              <w:t>stakeholders support</w:t>
            </w:r>
            <w:r w:rsidRPr="005F2CB5">
              <w:rPr>
                <w:rFonts w:cs="Arial"/>
                <w:szCs w:val="22"/>
              </w:rPr>
              <w:t xml:space="preserve"> the proposition that parties to a mixed supply should adopt the same </w:t>
            </w:r>
            <w:r w:rsidR="002646EF">
              <w:rPr>
                <w:rFonts w:cs="Arial"/>
                <w:szCs w:val="22"/>
              </w:rPr>
              <w:t xml:space="preserve">purchase </w:t>
            </w:r>
            <w:r w:rsidRPr="005F2CB5">
              <w:rPr>
                <w:rFonts w:cs="Arial"/>
                <w:szCs w:val="22"/>
              </w:rPr>
              <w:t xml:space="preserve">price allocation. </w:t>
            </w:r>
            <w:r w:rsidR="00EE40BE">
              <w:rPr>
                <w:rFonts w:cs="Arial"/>
                <w:szCs w:val="22"/>
              </w:rPr>
              <w:t>A number of</w:t>
            </w:r>
            <w:r w:rsidRPr="005F2CB5">
              <w:rPr>
                <w:rFonts w:cs="Arial"/>
                <w:szCs w:val="22"/>
              </w:rPr>
              <w:t xml:space="preserve"> advisors </w:t>
            </w:r>
            <w:r w:rsidR="001F7DF8">
              <w:rPr>
                <w:rFonts w:cs="Arial"/>
                <w:szCs w:val="22"/>
              </w:rPr>
              <w:t xml:space="preserve">have </w:t>
            </w:r>
            <w:r w:rsidRPr="005F2CB5">
              <w:rPr>
                <w:rFonts w:cs="Arial"/>
                <w:szCs w:val="22"/>
              </w:rPr>
              <w:t xml:space="preserve">noted that they always advise their clients to agree an allocation, as it is considered best practice from a tax perspective.  </w:t>
            </w:r>
            <w:r w:rsidR="00913385">
              <w:rPr>
                <w:rFonts w:cs="Arial"/>
                <w:szCs w:val="22"/>
              </w:rPr>
              <w:t xml:space="preserve">However, clients do not always </w:t>
            </w:r>
            <w:r w:rsidR="00FC33D6">
              <w:rPr>
                <w:rFonts w:cs="Arial"/>
                <w:szCs w:val="22"/>
              </w:rPr>
              <w:t>follow</w:t>
            </w:r>
            <w:r w:rsidR="00913385">
              <w:rPr>
                <w:rFonts w:cs="Arial"/>
                <w:szCs w:val="22"/>
              </w:rPr>
              <w:t xml:space="preserve"> this advice.</w:t>
            </w:r>
          </w:p>
          <w:p w14:paraId="4A1C91D9" w14:textId="77777777" w:rsidR="005F2CB5" w:rsidRPr="005F2CB5" w:rsidRDefault="005F2CB5" w:rsidP="00B045C4">
            <w:pPr>
              <w:spacing w:after="0" w:line="276" w:lineRule="auto"/>
              <w:jc w:val="both"/>
              <w:rPr>
                <w:rFonts w:cs="Arial"/>
                <w:szCs w:val="22"/>
              </w:rPr>
            </w:pPr>
          </w:p>
          <w:p w14:paraId="451410D7" w14:textId="14E461C7" w:rsidR="005F2CB5" w:rsidRPr="005F2CB5" w:rsidRDefault="007D6134" w:rsidP="00B045C4">
            <w:pPr>
              <w:spacing w:after="0" w:line="276" w:lineRule="auto"/>
              <w:jc w:val="both"/>
              <w:rPr>
                <w:rFonts w:cs="Arial"/>
                <w:szCs w:val="22"/>
              </w:rPr>
            </w:pPr>
            <w:r>
              <w:rPr>
                <w:rFonts w:cs="Arial"/>
                <w:szCs w:val="22"/>
              </w:rPr>
              <w:t>A f</w:t>
            </w:r>
            <w:r w:rsidR="003E2806">
              <w:rPr>
                <w:rFonts w:cs="Arial"/>
                <w:szCs w:val="22"/>
              </w:rPr>
              <w:t>ew stakeholders</w:t>
            </w:r>
            <w:r w:rsidR="005F2CB5" w:rsidRPr="005F2CB5">
              <w:rPr>
                <w:rFonts w:cs="Arial"/>
                <w:szCs w:val="22"/>
              </w:rPr>
              <w:t xml:space="preserve"> disagree with the central premise that parties should always be required to agree on the value ascribed to an asset, as parties could legitimately take different views of its value</w:t>
            </w:r>
            <w:r w:rsidR="008C7E03">
              <w:rPr>
                <w:rFonts w:cs="Arial"/>
                <w:szCs w:val="22"/>
              </w:rPr>
              <w:t xml:space="preserve"> (officials acknowledge this reality </w:t>
            </w:r>
            <w:r w:rsidR="005F0247">
              <w:rPr>
                <w:rFonts w:cs="Arial"/>
                <w:szCs w:val="22"/>
              </w:rPr>
              <w:t xml:space="preserve">but do not think it is a valid reason </w:t>
            </w:r>
            <w:r w:rsidR="00E26597">
              <w:rPr>
                <w:rFonts w:cs="Arial"/>
                <w:szCs w:val="22"/>
              </w:rPr>
              <w:t xml:space="preserve">to treat the </w:t>
            </w:r>
            <w:r w:rsidR="00B70826">
              <w:rPr>
                <w:rFonts w:cs="Arial"/>
                <w:szCs w:val="22"/>
              </w:rPr>
              <w:t>asset as being sold for two different values for tax purposes</w:t>
            </w:r>
            <w:r w:rsidR="005F0247">
              <w:rPr>
                <w:rFonts w:cs="Arial"/>
                <w:szCs w:val="22"/>
              </w:rPr>
              <w:t xml:space="preserve">). </w:t>
            </w:r>
          </w:p>
          <w:p w14:paraId="2DD6EE3C" w14:textId="77777777" w:rsidR="005F2CB5" w:rsidRPr="005F2CB5" w:rsidRDefault="005F2CB5" w:rsidP="00B045C4">
            <w:pPr>
              <w:spacing w:after="0" w:line="276" w:lineRule="auto"/>
              <w:jc w:val="both"/>
              <w:rPr>
                <w:rFonts w:cs="Arial"/>
                <w:szCs w:val="22"/>
              </w:rPr>
            </w:pPr>
          </w:p>
          <w:p w14:paraId="4E678E3A" w14:textId="0D8CB596" w:rsidR="008A31B4" w:rsidRDefault="005F2CB5" w:rsidP="00B045C4">
            <w:pPr>
              <w:spacing w:after="0" w:line="276" w:lineRule="auto"/>
              <w:jc w:val="both"/>
              <w:rPr>
                <w:rFonts w:cs="Arial"/>
                <w:szCs w:val="22"/>
              </w:rPr>
            </w:pPr>
            <w:r w:rsidRPr="005F2CB5">
              <w:rPr>
                <w:rFonts w:cs="Arial"/>
                <w:szCs w:val="22"/>
              </w:rPr>
              <w:t xml:space="preserve">Nearly all </w:t>
            </w:r>
            <w:r w:rsidR="007F270B">
              <w:rPr>
                <w:rFonts w:cs="Arial"/>
                <w:szCs w:val="22"/>
              </w:rPr>
              <w:t>stakeholders</w:t>
            </w:r>
            <w:r w:rsidRPr="005F2CB5">
              <w:rPr>
                <w:rFonts w:cs="Arial"/>
                <w:szCs w:val="22"/>
              </w:rPr>
              <w:t xml:space="preserve"> </w:t>
            </w:r>
            <w:r w:rsidR="007F270B">
              <w:rPr>
                <w:rFonts w:cs="Arial"/>
                <w:szCs w:val="22"/>
              </w:rPr>
              <w:t>disagree</w:t>
            </w:r>
            <w:r w:rsidR="00271DD4">
              <w:rPr>
                <w:rFonts w:cs="Arial"/>
                <w:szCs w:val="22"/>
              </w:rPr>
              <w:t>d</w:t>
            </w:r>
            <w:r w:rsidR="007F270B">
              <w:rPr>
                <w:rFonts w:cs="Arial"/>
                <w:szCs w:val="22"/>
              </w:rPr>
              <w:t xml:space="preserve"> with</w:t>
            </w:r>
            <w:r w:rsidRPr="005F2CB5">
              <w:rPr>
                <w:rFonts w:cs="Arial"/>
                <w:szCs w:val="22"/>
              </w:rPr>
              <w:t xml:space="preserve"> the proposals set out in the issues paper for legislative reform. Many fe</w:t>
            </w:r>
            <w:r w:rsidR="00C66919">
              <w:rPr>
                <w:rFonts w:cs="Arial"/>
                <w:szCs w:val="22"/>
              </w:rPr>
              <w:t>lt</w:t>
            </w:r>
            <w:r w:rsidRPr="005F2CB5">
              <w:rPr>
                <w:rFonts w:cs="Arial"/>
                <w:szCs w:val="22"/>
              </w:rPr>
              <w:t xml:space="preserve"> that legislative measures </w:t>
            </w:r>
            <w:r w:rsidR="00371110">
              <w:rPr>
                <w:rFonts w:cs="Arial"/>
                <w:szCs w:val="22"/>
              </w:rPr>
              <w:t>were</w:t>
            </w:r>
            <w:r w:rsidRPr="005F2CB5">
              <w:rPr>
                <w:rFonts w:cs="Arial"/>
                <w:szCs w:val="22"/>
              </w:rPr>
              <w:t xml:space="preserve"> unnecessary or overly burdensome, and that the policy objectives could instead be achieved operationally through better enforcement of the existing law and the publication of additional guidance for businesses on price allocations.  </w:t>
            </w:r>
          </w:p>
          <w:p w14:paraId="19727E85" w14:textId="77777777" w:rsidR="00A64188" w:rsidRDefault="00A64188" w:rsidP="00B045C4">
            <w:pPr>
              <w:spacing w:after="0" w:line="276" w:lineRule="auto"/>
              <w:jc w:val="both"/>
              <w:rPr>
                <w:rFonts w:cs="Arial"/>
                <w:szCs w:val="22"/>
              </w:rPr>
            </w:pPr>
          </w:p>
          <w:p w14:paraId="7551C5CA" w14:textId="13BE2DDA" w:rsidR="00A64188" w:rsidRDefault="00303BAE" w:rsidP="00B045C4">
            <w:pPr>
              <w:spacing w:after="0" w:line="276" w:lineRule="auto"/>
              <w:jc w:val="both"/>
              <w:rPr>
                <w:rFonts w:cs="Arial"/>
                <w:szCs w:val="22"/>
              </w:rPr>
            </w:pPr>
            <w:r>
              <w:rPr>
                <w:rFonts w:cs="Arial"/>
                <w:szCs w:val="22"/>
              </w:rPr>
              <w:t xml:space="preserve">The </w:t>
            </w:r>
            <w:r w:rsidR="00D8513A">
              <w:rPr>
                <w:rFonts w:cs="Arial"/>
                <w:szCs w:val="22"/>
              </w:rPr>
              <w:t>strongest</w:t>
            </w:r>
            <w:r>
              <w:rPr>
                <w:rFonts w:cs="Arial"/>
                <w:szCs w:val="22"/>
              </w:rPr>
              <w:t xml:space="preserve"> concern expressed by most stakeholders was </w:t>
            </w:r>
            <w:r w:rsidR="00E428D1">
              <w:rPr>
                <w:rFonts w:cs="Arial"/>
                <w:szCs w:val="22"/>
              </w:rPr>
              <w:t>that the approach set out in the issues paper gave too much power to the vendor</w:t>
            </w:r>
            <w:r w:rsidR="00B40BE8">
              <w:rPr>
                <w:rFonts w:cs="Arial"/>
                <w:szCs w:val="22"/>
              </w:rPr>
              <w:t xml:space="preserve">, by allowing the vendor to determine the allocation if the parties could not reach agreement. </w:t>
            </w:r>
            <w:r w:rsidR="00113B50">
              <w:rPr>
                <w:rFonts w:cs="Arial"/>
                <w:szCs w:val="22"/>
              </w:rPr>
              <w:t xml:space="preserve">Stakeholders were not convinced that the purchaser would always </w:t>
            </w:r>
            <w:r w:rsidR="004C0B96">
              <w:rPr>
                <w:rFonts w:cs="Arial"/>
                <w:szCs w:val="22"/>
              </w:rPr>
              <w:t>have the negotiating power</w:t>
            </w:r>
            <w:r w:rsidR="00113B50">
              <w:rPr>
                <w:rFonts w:cs="Arial"/>
                <w:szCs w:val="22"/>
              </w:rPr>
              <w:t xml:space="preserve"> to insist </w:t>
            </w:r>
            <w:r w:rsidR="00552FCD">
              <w:rPr>
                <w:rFonts w:cs="Arial"/>
                <w:szCs w:val="22"/>
              </w:rPr>
              <w:t>that the vendor agree an allocation with it,</w:t>
            </w:r>
            <w:r w:rsidR="00106C83">
              <w:rPr>
                <w:rFonts w:cs="Arial"/>
                <w:szCs w:val="22"/>
              </w:rPr>
              <w:t xml:space="preserve"> or that the parties would always turn their minds to tax</w:t>
            </w:r>
            <w:r w:rsidR="0027511F">
              <w:rPr>
                <w:rFonts w:cs="Arial"/>
                <w:szCs w:val="22"/>
              </w:rPr>
              <w:t xml:space="preserve"> </w:t>
            </w:r>
            <w:r w:rsidR="00A25739">
              <w:rPr>
                <w:rFonts w:cs="Arial"/>
                <w:szCs w:val="22"/>
              </w:rPr>
              <w:t>during the negotiation</w:t>
            </w:r>
            <w:r w:rsidR="00033DFE">
              <w:rPr>
                <w:rFonts w:cs="Arial"/>
                <w:szCs w:val="22"/>
              </w:rPr>
              <w:t>,</w:t>
            </w:r>
            <w:r w:rsidR="0040747E">
              <w:rPr>
                <w:rFonts w:cs="Arial"/>
                <w:szCs w:val="22"/>
              </w:rPr>
              <w:t xml:space="preserve"> and once </w:t>
            </w:r>
            <w:r w:rsidR="00A25739">
              <w:rPr>
                <w:rFonts w:cs="Arial"/>
                <w:szCs w:val="22"/>
              </w:rPr>
              <w:t>the transaction was</w:t>
            </w:r>
            <w:r w:rsidR="0040747E">
              <w:rPr>
                <w:rFonts w:cs="Arial"/>
                <w:szCs w:val="22"/>
              </w:rPr>
              <w:t xml:space="preserve"> co</w:t>
            </w:r>
            <w:r w:rsidR="007A633D">
              <w:rPr>
                <w:rFonts w:cs="Arial"/>
                <w:szCs w:val="22"/>
              </w:rPr>
              <w:t>mpleted,</w:t>
            </w:r>
            <w:r w:rsidR="00033DFE">
              <w:rPr>
                <w:rFonts w:cs="Arial"/>
                <w:szCs w:val="22"/>
              </w:rPr>
              <w:t xml:space="preserve"> the purchaser would have no recourse. </w:t>
            </w:r>
          </w:p>
          <w:p w14:paraId="58FB157D" w14:textId="77777777" w:rsidR="00C32186" w:rsidRDefault="00C32186" w:rsidP="00B045C4">
            <w:pPr>
              <w:spacing w:after="0" w:line="276" w:lineRule="auto"/>
              <w:jc w:val="both"/>
              <w:rPr>
                <w:rFonts w:cs="Arial"/>
                <w:szCs w:val="22"/>
              </w:rPr>
            </w:pPr>
          </w:p>
          <w:p w14:paraId="5E0109DD" w14:textId="133A16CF" w:rsidR="00C32186" w:rsidRDefault="009B7257" w:rsidP="00B045C4">
            <w:pPr>
              <w:spacing w:after="0" w:line="276" w:lineRule="auto"/>
              <w:jc w:val="both"/>
              <w:rPr>
                <w:rFonts w:cs="Arial"/>
                <w:szCs w:val="22"/>
              </w:rPr>
            </w:pPr>
            <w:r>
              <w:rPr>
                <w:rFonts w:cs="Arial"/>
                <w:szCs w:val="22"/>
              </w:rPr>
              <w:t>In response to these concerns, officials made a significant modific</w:t>
            </w:r>
            <w:r w:rsidR="00DA6834">
              <w:rPr>
                <w:rFonts w:cs="Arial"/>
                <w:szCs w:val="22"/>
              </w:rPr>
              <w:t>ation to the proposal</w:t>
            </w:r>
            <w:r w:rsidR="00C66702">
              <w:rPr>
                <w:rFonts w:cs="Arial"/>
                <w:szCs w:val="22"/>
              </w:rPr>
              <w:t xml:space="preserve">: </w:t>
            </w:r>
            <w:r w:rsidR="00736F1F">
              <w:rPr>
                <w:rFonts w:cs="Arial"/>
                <w:szCs w:val="22"/>
              </w:rPr>
              <w:t>the vendor cannot allocate amounts to taxable property (depreciable property,</w:t>
            </w:r>
            <w:r w:rsidR="00407F3C">
              <w:rPr>
                <w:rFonts w:cs="Arial"/>
                <w:szCs w:val="22"/>
              </w:rPr>
              <w:t xml:space="preserve"> revenue </w:t>
            </w:r>
            <w:r w:rsidR="00407F3C">
              <w:rPr>
                <w:rFonts w:cs="Arial"/>
                <w:szCs w:val="22"/>
              </w:rPr>
              <w:lastRenderedPageBreak/>
              <w:t>account property, financial arrangements) that result in an additional loss</w:t>
            </w:r>
            <w:r w:rsidR="00D00CC6">
              <w:rPr>
                <w:rFonts w:cs="Arial"/>
                <w:szCs w:val="22"/>
              </w:rPr>
              <w:t xml:space="preserve"> on that property.</w:t>
            </w:r>
            <w:r w:rsidR="00263DD3">
              <w:rPr>
                <w:rFonts w:cs="Arial"/>
                <w:szCs w:val="22"/>
              </w:rPr>
              <w:t xml:space="preserve"> </w:t>
            </w:r>
            <w:r w:rsidR="00936190">
              <w:rPr>
                <w:rFonts w:cs="Arial"/>
                <w:szCs w:val="22"/>
              </w:rPr>
              <w:t>Therefore</w:t>
            </w:r>
            <w:r w:rsidR="00263DD3">
              <w:rPr>
                <w:rFonts w:cs="Arial"/>
                <w:szCs w:val="22"/>
              </w:rPr>
              <w:t>, the vendor cannot</w:t>
            </w:r>
            <w:r w:rsidR="00936190">
              <w:rPr>
                <w:rFonts w:cs="Arial"/>
                <w:szCs w:val="22"/>
              </w:rPr>
              <w:t xml:space="preserve">, for example, </w:t>
            </w:r>
            <w:r w:rsidR="00263DD3">
              <w:rPr>
                <w:rFonts w:cs="Arial"/>
                <w:szCs w:val="22"/>
              </w:rPr>
              <w:t xml:space="preserve">allocate to </w:t>
            </w:r>
            <w:r w:rsidR="00BF7DE4">
              <w:rPr>
                <w:rFonts w:cs="Arial"/>
                <w:szCs w:val="22"/>
              </w:rPr>
              <w:t xml:space="preserve">an item of </w:t>
            </w:r>
            <w:r w:rsidR="00263DD3">
              <w:rPr>
                <w:rFonts w:cs="Arial"/>
                <w:szCs w:val="22"/>
              </w:rPr>
              <w:t>depreciable</w:t>
            </w:r>
            <w:r w:rsidR="00BF7DE4">
              <w:rPr>
                <w:rFonts w:cs="Arial"/>
                <w:szCs w:val="22"/>
              </w:rPr>
              <w:t xml:space="preserve"> property an amount </w:t>
            </w:r>
            <w:r w:rsidR="00936190">
              <w:rPr>
                <w:rFonts w:cs="Arial"/>
                <w:szCs w:val="22"/>
              </w:rPr>
              <w:t xml:space="preserve">that is </w:t>
            </w:r>
            <w:r w:rsidR="00BF7DE4">
              <w:rPr>
                <w:rFonts w:cs="Arial"/>
                <w:szCs w:val="22"/>
              </w:rPr>
              <w:t>less than its adjusted tax value</w:t>
            </w:r>
            <w:r w:rsidR="00936190">
              <w:rPr>
                <w:rFonts w:cs="Arial"/>
                <w:szCs w:val="22"/>
              </w:rPr>
              <w:t xml:space="preserve">. </w:t>
            </w:r>
            <w:r w:rsidR="00556F86">
              <w:rPr>
                <w:rFonts w:cs="Arial"/>
                <w:szCs w:val="22"/>
              </w:rPr>
              <w:t>This constraint protects the purchaser from an unreasonably</w:t>
            </w:r>
            <w:r w:rsidR="007D65C5">
              <w:rPr>
                <w:rFonts w:cs="Arial"/>
                <w:szCs w:val="22"/>
              </w:rPr>
              <w:t xml:space="preserve"> low</w:t>
            </w:r>
            <w:r w:rsidR="00556F86">
              <w:rPr>
                <w:rFonts w:cs="Arial"/>
                <w:szCs w:val="22"/>
              </w:rPr>
              <w:t xml:space="preserve"> vendor allocation that</w:t>
            </w:r>
            <w:r w:rsidR="00FD15C7">
              <w:rPr>
                <w:rFonts w:cs="Arial"/>
                <w:szCs w:val="22"/>
              </w:rPr>
              <w:t xml:space="preserve"> </w:t>
            </w:r>
            <w:r w:rsidR="00556F86">
              <w:rPr>
                <w:rFonts w:cs="Arial"/>
                <w:szCs w:val="22"/>
              </w:rPr>
              <w:t>may not be challenged by the Commissioner.</w:t>
            </w:r>
            <w:r w:rsidR="009F2633">
              <w:rPr>
                <w:rFonts w:cs="Arial"/>
                <w:szCs w:val="22"/>
              </w:rPr>
              <w:t xml:space="preserve"> It also means that the purchaser cannot</w:t>
            </w:r>
            <w:r w:rsidR="008A629D">
              <w:rPr>
                <w:rFonts w:cs="Arial"/>
                <w:szCs w:val="22"/>
              </w:rPr>
              <w:t xml:space="preserve"> end up with a lower cost basis for deductions than the vendor would have had if the transaction had not occurred. </w:t>
            </w:r>
            <w:r w:rsidR="00A74DB6">
              <w:rPr>
                <w:rFonts w:cs="Arial"/>
                <w:szCs w:val="22"/>
              </w:rPr>
              <w:t>This enhances the neutrality of the rules.</w:t>
            </w:r>
          </w:p>
          <w:p w14:paraId="1693EB9A" w14:textId="77777777" w:rsidR="00461947" w:rsidRDefault="00461947" w:rsidP="00B045C4">
            <w:pPr>
              <w:spacing w:after="0" w:line="276" w:lineRule="auto"/>
              <w:jc w:val="both"/>
              <w:rPr>
                <w:rFonts w:cs="Arial"/>
                <w:szCs w:val="22"/>
              </w:rPr>
            </w:pPr>
          </w:p>
          <w:p w14:paraId="53FB4632" w14:textId="586BD902" w:rsidR="00461947" w:rsidRPr="0069218C" w:rsidRDefault="005D5566" w:rsidP="00B045C4">
            <w:pPr>
              <w:spacing w:after="0" w:line="276" w:lineRule="auto"/>
              <w:jc w:val="both"/>
              <w:rPr>
                <w:rFonts w:cs="Arial"/>
                <w:szCs w:val="22"/>
              </w:rPr>
            </w:pPr>
            <w:r>
              <w:rPr>
                <w:rFonts w:cs="Arial"/>
                <w:szCs w:val="22"/>
              </w:rPr>
              <w:t xml:space="preserve">The modification went some way to allaying stakeholder concerns, but </w:t>
            </w:r>
            <w:r w:rsidR="00E2236A">
              <w:rPr>
                <w:rFonts w:cs="Arial"/>
                <w:szCs w:val="22"/>
              </w:rPr>
              <w:t>stakeholders are still in disagreement with the proposals.</w:t>
            </w:r>
            <w:r w:rsidR="00AE47C4">
              <w:rPr>
                <w:rFonts w:cs="Arial"/>
                <w:szCs w:val="22"/>
              </w:rPr>
              <w:t xml:space="preserve"> The majority are of the view that legislation is unnecessary</w:t>
            </w:r>
            <w:r w:rsidR="00601A2B">
              <w:rPr>
                <w:rFonts w:cs="Arial"/>
                <w:szCs w:val="22"/>
              </w:rPr>
              <w:t xml:space="preserve">, and thus would not agree with </w:t>
            </w:r>
            <w:r w:rsidR="00E601EE">
              <w:rPr>
                <w:rFonts w:cs="Arial"/>
                <w:szCs w:val="22"/>
              </w:rPr>
              <w:t>the amendments in any form</w:t>
            </w:r>
            <w:r w:rsidR="00A609E3">
              <w:rPr>
                <w:rFonts w:cs="Arial"/>
                <w:szCs w:val="22"/>
              </w:rPr>
              <w:t xml:space="preserve">.  </w:t>
            </w:r>
            <w:r w:rsidR="00BC2ABE">
              <w:rPr>
                <w:rFonts w:cs="Arial"/>
                <w:szCs w:val="22"/>
              </w:rPr>
              <w:t>Officials</w:t>
            </w:r>
            <w:r w:rsidR="001339D5">
              <w:rPr>
                <w:rFonts w:cs="Arial"/>
                <w:szCs w:val="22"/>
              </w:rPr>
              <w:t xml:space="preserve"> explored the possibility of an operational solution</w:t>
            </w:r>
            <w:r w:rsidR="00213690">
              <w:rPr>
                <w:rFonts w:cs="Arial"/>
                <w:szCs w:val="22"/>
              </w:rPr>
              <w:t xml:space="preserve"> early on</w:t>
            </w:r>
            <w:r w:rsidR="001339D5">
              <w:rPr>
                <w:rFonts w:cs="Arial"/>
                <w:szCs w:val="22"/>
              </w:rPr>
              <w:t>, but</w:t>
            </w:r>
            <w:r w:rsidR="00196B3D">
              <w:rPr>
                <w:rFonts w:cs="Arial"/>
                <w:szCs w:val="22"/>
              </w:rPr>
              <w:t xml:space="preserve"> determined that it would not be effective, as ultimately the Commissioner would have no legal basis on which to require the desired outcome of </w:t>
            </w:r>
            <w:r w:rsidR="00C60CFD">
              <w:rPr>
                <w:rFonts w:cs="Arial"/>
                <w:szCs w:val="22"/>
              </w:rPr>
              <w:t>revenue integrity/</w:t>
            </w:r>
            <w:r w:rsidR="00196B3D">
              <w:rPr>
                <w:rFonts w:cs="Arial"/>
                <w:szCs w:val="22"/>
              </w:rPr>
              <w:t xml:space="preserve">consistency. </w:t>
            </w:r>
            <w:r w:rsidR="00925DFB">
              <w:rPr>
                <w:rFonts w:cs="Arial"/>
                <w:szCs w:val="22"/>
              </w:rPr>
              <w:t>Parties might choose to agree an allocation, but that is the case under the status quo</w:t>
            </w:r>
            <w:r w:rsidR="005C32CF">
              <w:rPr>
                <w:rFonts w:cs="Arial"/>
                <w:szCs w:val="22"/>
              </w:rPr>
              <w:t xml:space="preserve">, and the lack of an </w:t>
            </w:r>
            <w:r w:rsidR="005C32CF" w:rsidRPr="000425B1">
              <w:rPr>
                <w:rFonts w:cs="Arial"/>
                <w:i/>
                <w:iCs/>
                <w:szCs w:val="22"/>
              </w:rPr>
              <w:t>obligation</w:t>
            </w:r>
            <w:r w:rsidR="005C32CF">
              <w:rPr>
                <w:rFonts w:cs="Arial"/>
                <w:szCs w:val="22"/>
              </w:rPr>
              <w:t xml:space="preserve"> for them to do so is the problem</w:t>
            </w:r>
            <w:r w:rsidR="000425B1">
              <w:rPr>
                <w:rFonts w:cs="Arial"/>
                <w:szCs w:val="22"/>
              </w:rPr>
              <w:t xml:space="preserve"> </w:t>
            </w:r>
            <w:r w:rsidR="00891EA7">
              <w:rPr>
                <w:rFonts w:cs="Arial"/>
                <w:szCs w:val="22"/>
              </w:rPr>
              <w:t xml:space="preserve">perpetuating </w:t>
            </w:r>
            <w:r w:rsidR="002E7A50">
              <w:rPr>
                <w:rFonts w:cs="Arial"/>
                <w:szCs w:val="22"/>
              </w:rPr>
              <w:t xml:space="preserve">the </w:t>
            </w:r>
            <w:r w:rsidR="00D84801">
              <w:rPr>
                <w:rFonts w:cs="Arial"/>
                <w:szCs w:val="22"/>
              </w:rPr>
              <w:t xml:space="preserve">loss of revenue. </w:t>
            </w:r>
          </w:p>
        </w:tc>
      </w:tr>
    </w:tbl>
    <w:p w14:paraId="240E5F50" w14:textId="508C638A" w:rsidR="00EE4E3B" w:rsidRPr="008A6442" w:rsidRDefault="00D9793F" w:rsidP="00B045C4">
      <w:pPr>
        <w:pStyle w:val="Heading2"/>
        <w:jc w:val="both"/>
      </w:pPr>
      <w:r w:rsidRPr="0069218C">
        <w:rPr>
          <w:lang w:val="en-NZ"/>
        </w:rPr>
        <w:lastRenderedPageBreak/>
        <w:br w:type="page"/>
      </w:r>
      <w:r w:rsidR="00EE4E3B" w:rsidRPr="002D5734">
        <w:lastRenderedPageBreak/>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045C4">
            <w:pPr>
              <w:pStyle w:val="TableHeadings"/>
              <w:jc w:val="both"/>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BB4EA2">
        <w:trPr>
          <w:trHeight w:val="9337"/>
        </w:trPr>
        <w:tc>
          <w:tcPr>
            <w:tcW w:w="9072" w:type="dxa"/>
            <w:shd w:val="clear" w:color="auto" w:fill="auto"/>
          </w:tcPr>
          <w:p w14:paraId="5C206BF8" w14:textId="77777777" w:rsidR="00D42BE1" w:rsidRDefault="00D42BE1" w:rsidP="00B045C4">
            <w:pPr>
              <w:spacing w:after="0" w:line="276" w:lineRule="auto"/>
              <w:jc w:val="both"/>
              <w:rPr>
                <w:rFonts w:cs="Arial"/>
                <w:szCs w:val="22"/>
              </w:rPr>
            </w:pPr>
          </w:p>
          <w:p w14:paraId="427F38A4" w14:textId="62687369" w:rsidR="00F132B2" w:rsidRDefault="002E43F0" w:rsidP="00B045C4">
            <w:pPr>
              <w:spacing w:after="0" w:line="276" w:lineRule="auto"/>
              <w:jc w:val="both"/>
              <w:rPr>
                <w:rFonts w:cs="Arial"/>
                <w:szCs w:val="22"/>
              </w:rPr>
            </w:pPr>
            <w:r>
              <w:rPr>
                <w:rFonts w:cs="Arial"/>
                <w:szCs w:val="22"/>
              </w:rPr>
              <w:t xml:space="preserve">The new rules will be </w:t>
            </w:r>
            <w:r w:rsidR="00951826">
              <w:rPr>
                <w:rFonts w:cs="Arial"/>
                <w:szCs w:val="22"/>
              </w:rPr>
              <w:t>legislated</w:t>
            </w:r>
            <w:r w:rsidR="00B215CD">
              <w:rPr>
                <w:rFonts w:cs="Arial"/>
                <w:szCs w:val="22"/>
              </w:rPr>
              <w:t xml:space="preserve"> </w:t>
            </w:r>
            <w:r w:rsidR="00F27EF3">
              <w:rPr>
                <w:rFonts w:cs="Arial"/>
                <w:szCs w:val="22"/>
              </w:rPr>
              <w:t>via</w:t>
            </w:r>
            <w:r w:rsidR="00B215CD">
              <w:rPr>
                <w:rFonts w:cs="Arial"/>
                <w:szCs w:val="22"/>
              </w:rPr>
              <w:t xml:space="preserve"> </w:t>
            </w:r>
            <w:r w:rsidR="00AD1969">
              <w:rPr>
                <w:rFonts w:cs="Arial"/>
                <w:szCs w:val="22"/>
              </w:rPr>
              <w:t>the Taxation (Annual Rates 2020-21, Feasibility Expenditure, and Remedial Matters) Bill</w:t>
            </w:r>
            <w:r w:rsidR="00E8735E">
              <w:rPr>
                <w:rFonts w:cs="Arial"/>
                <w:szCs w:val="22"/>
              </w:rPr>
              <w:t>, and will</w:t>
            </w:r>
            <w:r w:rsidR="00845080">
              <w:rPr>
                <w:rFonts w:cs="Arial"/>
                <w:szCs w:val="22"/>
              </w:rPr>
              <w:t xml:space="preserve"> </w:t>
            </w:r>
            <w:r w:rsidR="00E8735E">
              <w:rPr>
                <w:rFonts w:cs="Arial"/>
                <w:szCs w:val="22"/>
              </w:rPr>
              <w:t>apply to agreements for the disposal and acquisition of property entered into on or after 1 April 2021.</w:t>
            </w:r>
            <w:r w:rsidR="00211D14">
              <w:rPr>
                <w:rFonts w:cs="Arial"/>
                <w:szCs w:val="22"/>
              </w:rPr>
              <w:t xml:space="preserve"> </w:t>
            </w:r>
            <w:r w:rsidR="007572B3">
              <w:rPr>
                <w:rFonts w:cs="Arial"/>
                <w:szCs w:val="22"/>
              </w:rPr>
              <w:t xml:space="preserve">In conjunction with the </w:t>
            </w:r>
            <w:r w:rsidR="00027FD9">
              <w:rPr>
                <w:rFonts w:cs="Arial"/>
                <w:szCs w:val="22"/>
              </w:rPr>
              <w:t>enactment</w:t>
            </w:r>
            <w:r w:rsidR="007572B3">
              <w:rPr>
                <w:rFonts w:cs="Arial"/>
                <w:szCs w:val="22"/>
              </w:rPr>
              <w:t xml:space="preserve"> of the legislation</w:t>
            </w:r>
            <w:r w:rsidR="00770BCB">
              <w:rPr>
                <w:rFonts w:cs="Arial"/>
                <w:szCs w:val="22"/>
              </w:rPr>
              <w:t>, Inland Revenue will publish guidance</w:t>
            </w:r>
            <w:r w:rsidR="00AE58AF">
              <w:rPr>
                <w:rFonts w:cs="Arial"/>
                <w:szCs w:val="22"/>
              </w:rPr>
              <w:t xml:space="preserve"> on the new rules so that taxpayers and advisors are aware of them</w:t>
            </w:r>
            <w:r w:rsidR="00C17B47">
              <w:rPr>
                <w:rFonts w:cs="Arial"/>
                <w:szCs w:val="22"/>
              </w:rPr>
              <w:t xml:space="preserve"> and have time to prepare. </w:t>
            </w:r>
            <w:r w:rsidR="007167BA">
              <w:rPr>
                <w:rFonts w:cs="Arial"/>
                <w:szCs w:val="22"/>
              </w:rPr>
              <w:t>Officials note that</w:t>
            </w:r>
            <w:r w:rsidR="009B5211">
              <w:rPr>
                <w:rFonts w:cs="Arial"/>
                <w:szCs w:val="22"/>
              </w:rPr>
              <w:t xml:space="preserve"> </w:t>
            </w:r>
            <w:r w:rsidR="006E4BA2">
              <w:rPr>
                <w:rFonts w:cs="Arial"/>
                <w:szCs w:val="22"/>
              </w:rPr>
              <w:t>the</w:t>
            </w:r>
            <w:r w:rsidR="00635221">
              <w:rPr>
                <w:rFonts w:cs="Arial"/>
                <w:szCs w:val="22"/>
              </w:rPr>
              <w:t xml:space="preserve"> basic</w:t>
            </w:r>
            <w:r w:rsidR="006E4BA2">
              <w:rPr>
                <w:rFonts w:cs="Arial"/>
                <w:szCs w:val="22"/>
              </w:rPr>
              <w:t xml:space="preserve"> requirement for parties to make a purchase price allocation</w:t>
            </w:r>
            <w:r w:rsidR="00757C1F">
              <w:rPr>
                <w:rFonts w:cs="Arial"/>
                <w:szCs w:val="22"/>
              </w:rPr>
              <w:t xml:space="preserve"> is not new</w:t>
            </w:r>
            <w:r w:rsidR="000D6F71">
              <w:rPr>
                <w:rFonts w:cs="Arial"/>
                <w:szCs w:val="22"/>
              </w:rPr>
              <w:t xml:space="preserve">, </w:t>
            </w:r>
            <w:r w:rsidR="0062384C">
              <w:rPr>
                <w:rFonts w:cs="Arial"/>
                <w:szCs w:val="22"/>
              </w:rPr>
              <w:t>so</w:t>
            </w:r>
            <w:r w:rsidR="000D6F71">
              <w:rPr>
                <w:rFonts w:cs="Arial"/>
                <w:szCs w:val="22"/>
              </w:rPr>
              <w:t xml:space="preserve"> </w:t>
            </w:r>
            <w:r w:rsidR="00EC0598">
              <w:rPr>
                <w:rFonts w:cs="Arial"/>
                <w:szCs w:val="22"/>
              </w:rPr>
              <w:t>a long</w:t>
            </w:r>
            <w:r w:rsidR="001B16C6">
              <w:rPr>
                <w:rFonts w:cs="Arial"/>
                <w:szCs w:val="22"/>
              </w:rPr>
              <w:t xml:space="preserve"> </w:t>
            </w:r>
            <w:r w:rsidR="000B0724">
              <w:rPr>
                <w:rFonts w:cs="Arial"/>
                <w:szCs w:val="22"/>
              </w:rPr>
              <w:t>lead-in</w:t>
            </w:r>
            <w:r w:rsidR="001B16C6">
              <w:rPr>
                <w:rFonts w:cs="Arial"/>
                <w:szCs w:val="22"/>
              </w:rPr>
              <w:t xml:space="preserve"> period </w:t>
            </w:r>
            <w:r w:rsidR="0062384C">
              <w:rPr>
                <w:rFonts w:cs="Arial"/>
                <w:szCs w:val="22"/>
              </w:rPr>
              <w:t xml:space="preserve">is not </w:t>
            </w:r>
            <w:r w:rsidR="001B16C6">
              <w:rPr>
                <w:rFonts w:cs="Arial"/>
                <w:szCs w:val="22"/>
              </w:rPr>
              <w:t xml:space="preserve">necessary. </w:t>
            </w:r>
          </w:p>
          <w:p w14:paraId="39CD49E9" w14:textId="13995181" w:rsidR="00CF704D" w:rsidRDefault="00CF704D" w:rsidP="00B045C4">
            <w:pPr>
              <w:spacing w:after="0" w:line="276" w:lineRule="auto"/>
              <w:jc w:val="both"/>
              <w:rPr>
                <w:rFonts w:cs="Arial"/>
                <w:szCs w:val="22"/>
              </w:rPr>
            </w:pPr>
          </w:p>
          <w:p w14:paraId="7BD87DE1" w14:textId="3BE03DD8" w:rsidR="00CF704D" w:rsidRDefault="00006BC6" w:rsidP="00B045C4">
            <w:pPr>
              <w:spacing w:after="0" w:line="276" w:lineRule="auto"/>
              <w:jc w:val="both"/>
              <w:rPr>
                <w:rFonts w:cs="Arial"/>
                <w:szCs w:val="22"/>
              </w:rPr>
            </w:pPr>
            <w:r>
              <w:rPr>
                <w:rFonts w:cs="Arial"/>
                <w:szCs w:val="22"/>
              </w:rPr>
              <w:t>For v</w:t>
            </w:r>
            <w:r w:rsidR="00E575E6">
              <w:rPr>
                <w:rFonts w:cs="Arial"/>
                <w:szCs w:val="22"/>
              </w:rPr>
              <w:t xml:space="preserve">endors and purchasers in mixed supplies </w:t>
            </w:r>
            <w:r w:rsidR="0061212F">
              <w:rPr>
                <w:rFonts w:cs="Arial"/>
                <w:szCs w:val="22"/>
              </w:rPr>
              <w:t>that</w:t>
            </w:r>
            <w:r w:rsidR="00CD0306">
              <w:rPr>
                <w:rFonts w:cs="Arial"/>
                <w:szCs w:val="22"/>
              </w:rPr>
              <w:t xml:space="preserve"> agree an allocation</w:t>
            </w:r>
            <w:r>
              <w:rPr>
                <w:rFonts w:cs="Arial"/>
                <w:szCs w:val="22"/>
              </w:rPr>
              <w:t>, nothing will be different</w:t>
            </w:r>
            <w:r w:rsidR="00B91C04">
              <w:rPr>
                <w:rFonts w:cs="Arial"/>
                <w:szCs w:val="22"/>
              </w:rPr>
              <w:t>, other than that they will</w:t>
            </w:r>
            <w:r w:rsidR="004569E5">
              <w:rPr>
                <w:rFonts w:cs="Arial"/>
                <w:szCs w:val="22"/>
              </w:rPr>
              <w:t xml:space="preserve"> now</w:t>
            </w:r>
            <w:r w:rsidR="00B91C04">
              <w:rPr>
                <w:rFonts w:cs="Arial"/>
                <w:szCs w:val="22"/>
              </w:rPr>
              <w:t xml:space="preserve"> be obliged</w:t>
            </w:r>
            <w:r w:rsidR="006F28DD">
              <w:rPr>
                <w:rFonts w:cs="Arial"/>
                <w:szCs w:val="22"/>
              </w:rPr>
              <w:t xml:space="preserve"> under income tax law</w:t>
            </w:r>
            <w:r w:rsidR="00B91C04">
              <w:rPr>
                <w:rFonts w:cs="Arial"/>
                <w:szCs w:val="22"/>
              </w:rPr>
              <w:t xml:space="preserve"> to</w:t>
            </w:r>
            <w:r w:rsidR="00DD227F">
              <w:rPr>
                <w:rFonts w:cs="Arial"/>
                <w:szCs w:val="22"/>
              </w:rPr>
              <w:t xml:space="preserve"> follow the</w:t>
            </w:r>
            <w:r w:rsidR="00D4213A">
              <w:rPr>
                <w:rFonts w:cs="Arial"/>
                <w:szCs w:val="22"/>
              </w:rPr>
              <w:t xml:space="preserve"> agreed</w:t>
            </w:r>
            <w:r w:rsidR="00DD227F">
              <w:rPr>
                <w:rFonts w:cs="Arial"/>
                <w:szCs w:val="22"/>
              </w:rPr>
              <w:t xml:space="preserve"> allocation in their tax returns</w:t>
            </w:r>
            <w:r w:rsidR="00214722">
              <w:rPr>
                <w:rFonts w:cs="Arial"/>
                <w:szCs w:val="22"/>
              </w:rPr>
              <w:t xml:space="preserve"> (which happens in almost all cases in any event)</w:t>
            </w:r>
            <w:r w:rsidR="00D4213A">
              <w:rPr>
                <w:rFonts w:cs="Arial"/>
                <w:szCs w:val="22"/>
              </w:rPr>
              <w:t xml:space="preserve">. </w:t>
            </w:r>
            <w:r w:rsidR="00830E20">
              <w:rPr>
                <w:rFonts w:cs="Arial"/>
                <w:szCs w:val="22"/>
              </w:rPr>
              <w:t xml:space="preserve">For </w:t>
            </w:r>
            <w:r w:rsidR="00D92FE6">
              <w:rPr>
                <w:rFonts w:cs="Arial"/>
                <w:szCs w:val="22"/>
              </w:rPr>
              <w:t>parties</w:t>
            </w:r>
            <w:r w:rsidR="00697DA6">
              <w:rPr>
                <w:rFonts w:cs="Arial"/>
                <w:szCs w:val="22"/>
              </w:rPr>
              <w:t xml:space="preserve"> </w:t>
            </w:r>
            <w:r w:rsidR="00BC46DD">
              <w:rPr>
                <w:rFonts w:cs="Arial"/>
                <w:szCs w:val="22"/>
              </w:rPr>
              <w:t>that</w:t>
            </w:r>
            <w:r w:rsidR="00697DA6">
              <w:rPr>
                <w:rFonts w:cs="Arial"/>
                <w:szCs w:val="22"/>
              </w:rPr>
              <w:t xml:space="preserve"> do not agree an allocation before filing their </w:t>
            </w:r>
            <w:proofErr w:type="gramStart"/>
            <w:r w:rsidR="00697DA6">
              <w:rPr>
                <w:rFonts w:cs="Arial"/>
                <w:szCs w:val="22"/>
              </w:rPr>
              <w:t>returns, but</w:t>
            </w:r>
            <w:proofErr w:type="gramEnd"/>
            <w:r w:rsidR="00697DA6">
              <w:rPr>
                <w:rFonts w:cs="Arial"/>
                <w:szCs w:val="22"/>
              </w:rPr>
              <w:t xml:space="preserve"> </w:t>
            </w:r>
            <w:r w:rsidR="00345765">
              <w:rPr>
                <w:rFonts w:cs="Arial"/>
                <w:szCs w:val="22"/>
              </w:rPr>
              <w:t>determine that the transaction falls below at least one of the two de minimis thresholds</w:t>
            </w:r>
            <w:r w:rsidR="00061448">
              <w:rPr>
                <w:rFonts w:cs="Arial"/>
                <w:szCs w:val="22"/>
              </w:rPr>
              <w:t xml:space="preserve"> </w:t>
            </w:r>
            <w:r w:rsidR="00BF2A2B">
              <w:rPr>
                <w:rFonts w:cs="Arial"/>
                <w:szCs w:val="22"/>
              </w:rPr>
              <w:t>–</w:t>
            </w:r>
            <w:r w:rsidR="00061448">
              <w:rPr>
                <w:rFonts w:cs="Arial"/>
                <w:szCs w:val="22"/>
              </w:rPr>
              <w:t xml:space="preserve"> </w:t>
            </w:r>
            <w:r w:rsidR="00BF2A2B">
              <w:rPr>
                <w:rFonts w:cs="Arial"/>
                <w:szCs w:val="22"/>
              </w:rPr>
              <w:t xml:space="preserve">a $1 million transaction value or </w:t>
            </w:r>
            <w:r w:rsidR="007074AA">
              <w:rPr>
                <w:rFonts w:cs="Arial"/>
                <w:szCs w:val="22"/>
              </w:rPr>
              <w:t xml:space="preserve">a </w:t>
            </w:r>
            <w:r w:rsidR="00BF2A2B">
              <w:rPr>
                <w:rFonts w:cs="Arial"/>
                <w:szCs w:val="22"/>
              </w:rPr>
              <w:t>$100,000 allocation to taxable property by the purchaser</w:t>
            </w:r>
            <w:r w:rsidR="000F723F">
              <w:rPr>
                <w:rFonts w:cs="Arial"/>
                <w:szCs w:val="22"/>
              </w:rPr>
              <w:t xml:space="preserve"> – </w:t>
            </w:r>
            <w:r w:rsidR="00830E20">
              <w:rPr>
                <w:rFonts w:cs="Arial"/>
                <w:szCs w:val="22"/>
              </w:rPr>
              <w:t>nothing will be different.</w:t>
            </w:r>
            <w:r w:rsidR="009C4FFA">
              <w:rPr>
                <w:rFonts w:cs="Arial"/>
                <w:szCs w:val="22"/>
              </w:rPr>
              <w:t xml:space="preserve"> Officials envisage that </w:t>
            </w:r>
            <w:r w:rsidR="00E83103">
              <w:rPr>
                <w:rFonts w:cs="Arial"/>
                <w:szCs w:val="22"/>
              </w:rPr>
              <w:t>th</w:t>
            </w:r>
            <w:r w:rsidR="009B4635">
              <w:rPr>
                <w:rFonts w:cs="Arial"/>
                <w:szCs w:val="22"/>
              </w:rPr>
              <w:t>ese thresholds</w:t>
            </w:r>
            <w:r w:rsidR="00E83103">
              <w:rPr>
                <w:rFonts w:cs="Arial"/>
                <w:szCs w:val="22"/>
              </w:rPr>
              <w:t xml:space="preserve"> will exclude</w:t>
            </w:r>
            <w:r w:rsidR="00B72609">
              <w:rPr>
                <w:rFonts w:cs="Arial"/>
                <w:szCs w:val="22"/>
              </w:rPr>
              <w:t xml:space="preserve"> </w:t>
            </w:r>
            <w:r w:rsidR="00E83103">
              <w:rPr>
                <w:rFonts w:cs="Arial"/>
                <w:szCs w:val="22"/>
              </w:rPr>
              <w:t>many</w:t>
            </w:r>
            <w:r w:rsidR="009E59C2">
              <w:rPr>
                <w:rFonts w:cs="Arial"/>
                <w:szCs w:val="22"/>
              </w:rPr>
              <w:t xml:space="preserve"> rental property </w:t>
            </w:r>
            <w:r w:rsidR="00B63A1E">
              <w:rPr>
                <w:rFonts w:cs="Arial"/>
                <w:szCs w:val="22"/>
              </w:rPr>
              <w:t>sales (as residential</w:t>
            </w:r>
            <w:r w:rsidR="00F50244">
              <w:rPr>
                <w:rFonts w:cs="Arial"/>
                <w:szCs w:val="22"/>
              </w:rPr>
              <w:t xml:space="preserve"> buildings</w:t>
            </w:r>
            <w:r w:rsidR="00B63A1E">
              <w:rPr>
                <w:rFonts w:cs="Arial"/>
                <w:szCs w:val="22"/>
              </w:rPr>
              <w:t xml:space="preserve"> </w:t>
            </w:r>
            <w:r w:rsidR="00391748">
              <w:rPr>
                <w:rFonts w:cs="Arial"/>
                <w:szCs w:val="22"/>
              </w:rPr>
              <w:t>cannot be depreciated by</w:t>
            </w:r>
            <w:r w:rsidR="006D3C8A">
              <w:rPr>
                <w:rFonts w:cs="Arial"/>
                <w:szCs w:val="22"/>
              </w:rPr>
              <w:t xml:space="preserve"> the purchaser</w:t>
            </w:r>
            <w:r w:rsidR="00B63A1E">
              <w:rPr>
                <w:rFonts w:cs="Arial"/>
                <w:szCs w:val="22"/>
              </w:rPr>
              <w:t xml:space="preserve"> and</w:t>
            </w:r>
            <w:r w:rsidR="006D3C8A">
              <w:rPr>
                <w:rFonts w:cs="Arial"/>
                <w:szCs w:val="22"/>
              </w:rPr>
              <w:t xml:space="preserve"> are</w:t>
            </w:r>
            <w:r w:rsidR="00F50244">
              <w:rPr>
                <w:rFonts w:cs="Arial"/>
                <w:szCs w:val="22"/>
              </w:rPr>
              <w:t xml:space="preserve"> therefore not counted towards the taxable property threshold), </w:t>
            </w:r>
            <w:r w:rsidR="009E59C2">
              <w:rPr>
                <w:rFonts w:cs="Arial"/>
                <w:szCs w:val="22"/>
              </w:rPr>
              <w:t>a</w:t>
            </w:r>
            <w:r w:rsidR="00F50244">
              <w:rPr>
                <w:rFonts w:cs="Arial"/>
                <w:szCs w:val="22"/>
              </w:rPr>
              <w:t>s well as</w:t>
            </w:r>
            <w:r w:rsidR="009E59C2">
              <w:rPr>
                <w:rFonts w:cs="Arial"/>
                <w:szCs w:val="22"/>
              </w:rPr>
              <w:t xml:space="preserve"> </w:t>
            </w:r>
            <w:r w:rsidR="00D5798D">
              <w:rPr>
                <w:rFonts w:cs="Arial"/>
                <w:szCs w:val="22"/>
              </w:rPr>
              <w:t xml:space="preserve">some </w:t>
            </w:r>
            <w:r w:rsidR="009E59C2">
              <w:rPr>
                <w:rFonts w:cs="Arial"/>
                <w:szCs w:val="22"/>
              </w:rPr>
              <w:t>small business sales</w:t>
            </w:r>
            <w:r w:rsidR="00D5798D">
              <w:rPr>
                <w:rFonts w:cs="Arial"/>
                <w:szCs w:val="22"/>
              </w:rPr>
              <w:t>.</w:t>
            </w:r>
          </w:p>
          <w:p w14:paraId="7CCCB107" w14:textId="53B04510" w:rsidR="00A438D8" w:rsidRDefault="00A438D8" w:rsidP="00B045C4">
            <w:pPr>
              <w:spacing w:after="0" w:line="276" w:lineRule="auto"/>
              <w:jc w:val="both"/>
              <w:rPr>
                <w:rFonts w:cs="Arial"/>
                <w:szCs w:val="22"/>
              </w:rPr>
            </w:pPr>
          </w:p>
          <w:p w14:paraId="2C5669D4" w14:textId="3E6B3394" w:rsidR="00A438D8" w:rsidRDefault="009725F3" w:rsidP="00B045C4">
            <w:pPr>
              <w:spacing w:after="0" w:line="276" w:lineRule="auto"/>
              <w:jc w:val="both"/>
              <w:rPr>
                <w:rFonts w:cs="Arial"/>
                <w:szCs w:val="22"/>
              </w:rPr>
            </w:pPr>
            <w:r>
              <w:rPr>
                <w:rFonts w:cs="Arial"/>
                <w:szCs w:val="22"/>
              </w:rPr>
              <w:t>Where parties</w:t>
            </w:r>
            <w:r w:rsidR="00B94D29">
              <w:rPr>
                <w:rFonts w:cs="Arial"/>
                <w:szCs w:val="22"/>
              </w:rPr>
              <w:t xml:space="preserve"> do not agree an allocation</w:t>
            </w:r>
            <w:r>
              <w:rPr>
                <w:rFonts w:cs="Arial"/>
                <w:szCs w:val="22"/>
              </w:rPr>
              <w:t xml:space="preserve"> and both</w:t>
            </w:r>
            <w:r w:rsidR="0011404C">
              <w:rPr>
                <w:rFonts w:cs="Arial"/>
                <w:szCs w:val="22"/>
              </w:rPr>
              <w:t xml:space="preserve"> de minimis</w:t>
            </w:r>
            <w:r>
              <w:rPr>
                <w:rFonts w:cs="Arial"/>
                <w:szCs w:val="22"/>
              </w:rPr>
              <w:t xml:space="preserve"> thresholds are exceeded, </w:t>
            </w:r>
            <w:r w:rsidR="006D5F8A">
              <w:rPr>
                <w:rFonts w:cs="Arial"/>
                <w:szCs w:val="22"/>
              </w:rPr>
              <w:t xml:space="preserve">whichever party </w:t>
            </w:r>
            <w:r w:rsidR="00C40C46">
              <w:rPr>
                <w:rFonts w:cs="Arial"/>
                <w:szCs w:val="22"/>
              </w:rPr>
              <w:t>unilaterally allocates under the new rules</w:t>
            </w:r>
            <w:r w:rsidR="006B15F4">
              <w:rPr>
                <w:rFonts w:cs="Arial"/>
                <w:szCs w:val="22"/>
              </w:rPr>
              <w:t xml:space="preserve"> will have to notify both the other party and the Commissioner of its allocation. </w:t>
            </w:r>
            <w:r w:rsidR="00943D88">
              <w:rPr>
                <w:rFonts w:cs="Arial"/>
                <w:szCs w:val="22"/>
              </w:rPr>
              <w:t>This</w:t>
            </w:r>
            <w:r w:rsidR="004F0A95">
              <w:rPr>
                <w:rFonts w:cs="Arial"/>
                <w:szCs w:val="22"/>
              </w:rPr>
              <w:t xml:space="preserve"> </w:t>
            </w:r>
            <w:r w:rsidR="003D03F5">
              <w:rPr>
                <w:rFonts w:cs="Arial"/>
                <w:szCs w:val="22"/>
              </w:rPr>
              <w:t xml:space="preserve">will tell </w:t>
            </w:r>
            <w:r w:rsidR="004F0A95">
              <w:rPr>
                <w:rFonts w:cs="Arial"/>
                <w:szCs w:val="22"/>
              </w:rPr>
              <w:t xml:space="preserve">the other party what </w:t>
            </w:r>
            <w:r w:rsidR="00AF1B51">
              <w:rPr>
                <w:rFonts w:cs="Arial"/>
                <w:szCs w:val="22"/>
              </w:rPr>
              <w:t xml:space="preserve">values it must </w:t>
            </w:r>
            <w:r w:rsidR="00F7211A">
              <w:rPr>
                <w:rFonts w:cs="Arial"/>
                <w:szCs w:val="22"/>
              </w:rPr>
              <w:t>use to complete its</w:t>
            </w:r>
            <w:r w:rsidR="00AF1B51">
              <w:rPr>
                <w:rFonts w:cs="Arial"/>
                <w:szCs w:val="22"/>
              </w:rPr>
              <w:t xml:space="preserve"> tax return, and</w:t>
            </w:r>
            <w:r w:rsidR="005A1795">
              <w:rPr>
                <w:rFonts w:cs="Arial"/>
                <w:szCs w:val="22"/>
              </w:rPr>
              <w:t xml:space="preserve"> </w:t>
            </w:r>
            <w:r w:rsidR="009150A3">
              <w:rPr>
                <w:rFonts w:cs="Arial"/>
                <w:szCs w:val="22"/>
              </w:rPr>
              <w:t xml:space="preserve">will </w:t>
            </w:r>
            <w:r w:rsidR="005A1795">
              <w:rPr>
                <w:rFonts w:cs="Arial"/>
                <w:szCs w:val="22"/>
              </w:rPr>
              <w:t xml:space="preserve">give the Commissioner visibility of </w:t>
            </w:r>
            <w:r w:rsidR="00603396">
              <w:rPr>
                <w:rFonts w:cs="Arial"/>
                <w:szCs w:val="22"/>
              </w:rPr>
              <w:t>the allocation</w:t>
            </w:r>
            <w:r w:rsidR="002C60B4">
              <w:rPr>
                <w:rFonts w:cs="Arial"/>
                <w:szCs w:val="22"/>
              </w:rPr>
              <w:t xml:space="preserve">, so that she is in a position to </w:t>
            </w:r>
            <w:r w:rsidR="005466A3">
              <w:rPr>
                <w:rFonts w:cs="Arial"/>
                <w:szCs w:val="22"/>
              </w:rPr>
              <w:t xml:space="preserve">ensure the other party follows it, and to </w:t>
            </w:r>
            <w:r w:rsidR="002C60B4">
              <w:rPr>
                <w:rFonts w:cs="Arial"/>
                <w:szCs w:val="22"/>
              </w:rPr>
              <w:t xml:space="preserve">challenge </w:t>
            </w:r>
            <w:r w:rsidR="001C2013">
              <w:rPr>
                <w:rFonts w:cs="Arial"/>
                <w:szCs w:val="22"/>
              </w:rPr>
              <w:t xml:space="preserve">it </w:t>
            </w:r>
            <w:r w:rsidR="002C60B4">
              <w:rPr>
                <w:rFonts w:cs="Arial"/>
                <w:szCs w:val="22"/>
              </w:rPr>
              <w:t xml:space="preserve">if necessary. </w:t>
            </w:r>
          </w:p>
          <w:p w14:paraId="1AE199E0" w14:textId="2B2FEBF4" w:rsidR="00360AB1" w:rsidRDefault="00360AB1" w:rsidP="00B045C4">
            <w:pPr>
              <w:spacing w:after="0" w:line="276" w:lineRule="auto"/>
              <w:jc w:val="both"/>
              <w:rPr>
                <w:rFonts w:cs="Arial"/>
                <w:szCs w:val="22"/>
              </w:rPr>
            </w:pPr>
            <w:r>
              <w:rPr>
                <w:rFonts w:cs="Arial"/>
                <w:szCs w:val="22"/>
              </w:rPr>
              <w:t>The notification procedures</w:t>
            </w:r>
            <w:r w:rsidR="00CD38FC">
              <w:rPr>
                <w:rFonts w:cs="Arial"/>
                <w:szCs w:val="22"/>
              </w:rPr>
              <w:t xml:space="preserve"> are </w:t>
            </w:r>
            <w:r w:rsidR="003D3B9E">
              <w:rPr>
                <w:rFonts w:cs="Arial"/>
                <w:szCs w:val="22"/>
              </w:rPr>
              <w:t>set out in section 14 of the Tax Administration Act 1994.</w:t>
            </w:r>
            <w:r w:rsidR="00CD38FC">
              <w:rPr>
                <w:rFonts w:cs="Arial"/>
                <w:szCs w:val="22"/>
              </w:rPr>
              <w:t xml:space="preserve"> </w:t>
            </w:r>
          </w:p>
          <w:p w14:paraId="794F0897" w14:textId="6809731A" w:rsidR="00477ECC" w:rsidRDefault="00477ECC" w:rsidP="00B045C4">
            <w:pPr>
              <w:spacing w:after="0" w:line="276" w:lineRule="auto"/>
              <w:jc w:val="both"/>
              <w:rPr>
                <w:rFonts w:cs="Arial"/>
                <w:szCs w:val="22"/>
              </w:rPr>
            </w:pPr>
          </w:p>
          <w:p w14:paraId="4D919C2A" w14:textId="38D88D16" w:rsidR="00477ECC" w:rsidRDefault="00477ECC" w:rsidP="00B045C4">
            <w:pPr>
              <w:spacing w:after="0" w:line="276" w:lineRule="auto"/>
              <w:jc w:val="both"/>
              <w:rPr>
                <w:rFonts w:cs="Arial"/>
                <w:szCs w:val="22"/>
              </w:rPr>
            </w:pPr>
            <w:r>
              <w:rPr>
                <w:rFonts w:cs="Arial"/>
                <w:szCs w:val="22"/>
              </w:rPr>
              <w:t>Compliance with the new rules will be</w:t>
            </w:r>
            <w:r w:rsidR="00B151E1">
              <w:rPr>
                <w:rFonts w:cs="Arial"/>
                <w:szCs w:val="22"/>
              </w:rPr>
              <w:t xml:space="preserve"> monitored through</w:t>
            </w:r>
            <w:r w:rsidR="00C42EF8">
              <w:rPr>
                <w:rFonts w:cs="Arial"/>
                <w:szCs w:val="22"/>
              </w:rPr>
              <w:t xml:space="preserve"> routine</w:t>
            </w:r>
            <w:r w:rsidR="00B151E1">
              <w:rPr>
                <w:rFonts w:cs="Arial"/>
                <w:szCs w:val="22"/>
              </w:rPr>
              <w:t xml:space="preserve"> audit </w:t>
            </w:r>
            <w:r w:rsidR="00487301">
              <w:rPr>
                <w:rFonts w:cs="Arial"/>
                <w:szCs w:val="22"/>
              </w:rPr>
              <w:t xml:space="preserve">and through </w:t>
            </w:r>
            <w:r w:rsidR="009643E3">
              <w:rPr>
                <w:rFonts w:cs="Arial"/>
                <w:szCs w:val="22"/>
              </w:rPr>
              <w:t>evaluation</w:t>
            </w:r>
            <w:r w:rsidR="00487301">
              <w:rPr>
                <w:rFonts w:cs="Arial"/>
                <w:szCs w:val="22"/>
              </w:rPr>
              <w:t xml:space="preserve"> of any allocations notified to the Commissioner by the parties. </w:t>
            </w:r>
          </w:p>
          <w:p w14:paraId="66A968A5" w14:textId="0C20721D" w:rsidR="00754C60" w:rsidRDefault="00754C60" w:rsidP="00B045C4">
            <w:pPr>
              <w:spacing w:after="0" w:line="276" w:lineRule="auto"/>
              <w:jc w:val="both"/>
              <w:rPr>
                <w:rFonts w:cs="Arial"/>
                <w:szCs w:val="22"/>
              </w:rPr>
            </w:pPr>
          </w:p>
          <w:p w14:paraId="53C672CA" w14:textId="6B5882B8" w:rsidR="00754C60" w:rsidRDefault="00E110F5" w:rsidP="00B045C4">
            <w:pPr>
              <w:spacing w:after="0" w:line="276" w:lineRule="auto"/>
              <w:jc w:val="both"/>
              <w:rPr>
                <w:rFonts w:cs="Arial"/>
                <w:szCs w:val="22"/>
              </w:rPr>
            </w:pPr>
            <w:r>
              <w:rPr>
                <w:rFonts w:cs="Arial"/>
                <w:szCs w:val="22"/>
              </w:rPr>
              <w:t>Overall, i</w:t>
            </w:r>
            <w:r w:rsidR="00754C60">
              <w:rPr>
                <w:rFonts w:cs="Arial"/>
                <w:szCs w:val="22"/>
              </w:rPr>
              <w:t>mplementation risks are low</w:t>
            </w:r>
            <w:r w:rsidR="001B1BF0">
              <w:rPr>
                <w:rFonts w:cs="Arial"/>
                <w:szCs w:val="22"/>
              </w:rPr>
              <w:t>,</w:t>
            </w:r>
            <w:r w:rsidR="00FA1A12">
              <w:rPr>
                <w:rFonts w:cs="Arial"/>
                <w:szCs w:val="22"/>
              </w:rPr>
              <w:t xml:space="preserve"> provided the rules are well-signalled</w:t>
            </w:r>
            <w:r w:rsidR="009C0CEC">
              <w:rPr>
                <w:rFonts w:cs="Arial"/>
                <w:szCs w:val="22"/>
              </w:rPr>
              <w:t>,</w:t>
            </w:r>
            <w:r w:rsidR="00FA1A12">
              <w:rPr>
                <w:rFonts w:cs="Arial"/>
                <w:szCs w:val="22"/>
              </w:rPr>
              <w:t xml:space="preserve"> as they are intended to be.</w:t>
            </w:r>
          </w:p>
          <w:p w14:paraId="6D63EAF7" w14:textId="77777777" w:rsidR="00C31EB3" w:rsidRDefault="00C31EB3" w:rsidP="00B045C4">
            <w:pPr>
              <w:spacing w:after="0" w:line="276" w:lineRule="auto"/>
              <w:jc w:val="both"/>
              <w:rPr>
                <w:rFonts w:cs="Arial"/>
                <w:szCs w:val="22"/>
              </w:rPr>
            </w:pPr>
          </w:p>
          <w:p w14:paraId="21A0B5F6" w14:textId="25ACB336" w:rsidR="00C31EB3" w:rsidRPr="0069218C" w:rsidRDefault="00C31EB3" w:rsidP="00B045C4">
            <w:pPr>
              <w:spacing w:after="0" w:line="276" w:lineRule="auto"/>
              <w:jc w:val="both"/>
              <w:rPr>
                <w:rFonts w:cs="Arial"/>
                <w:szCs w:val="22"/>
              </w:rPr>
            </w:pPr>
          </w:p>
        </w:tc>
      </w:tr>
    </w:tbl>
    <w:p w14:paraId="732C114C" w14:textId="3D4BB04C" w:rsidR="00F132B2" w:rsidRPr="008A6442" w:rsidRDefault="000535CE" w:rsidP="00B045C4">
      <w:pPr>
        <w:pStyle w:val="Heading2"/>
        <w:jc w:val="both"/>
      </w:pPr>
      <w:r w:rsidRPr="0069218C">
        <w:br w:type="page"/>
      </w:r>
      <w:r w:rsidR="00F132B2" w:rsidRPr="00B952B7">
        <w:lastRenderedPageBreak/>
        <w:t xml:space="preserve">Section 7: Monitoring, </w:t>
      </w:r>
      <w:proofErr w:type="gramStart"/>
      <w:r w:rsidR="00F132B2" w:rsidRPr="00030EC1">
        <w:t>evalu</w:t>
      </w:r>
      <w:r w:rsidR="00F132B2" w:rsidRPr="00B952B7">
        <w:t>ation</w:t>
      </w:r>
      <w:proofErr w:type="gramEnd"/>
      <w:r w:rsidR="00F132B2"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045C4">
            <w:pPr>
              <w:pStyle w:val="TableHeadings"/>
              <w:jc w:val="both"/>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BB4EA2">
        <w:trPr>
          <w:trHeight w:val="2936"/>
        </w:trPr>
        <w:tc>
          <w:tcPr>
            <w:tcW w:w="9072" w:type="dxa"/>
            <w:shd w:val="clear" w:color="auto" w:fill="auto"/>
          </w:tcPr>
          <w:p w14:paraId="44C19515" w14:textId="77777777" w:rsidR="000F180E" w:rsidRDefault="000F180E" w:rsidP="000F180E">
            <w:pPr>
              <w:spacing w:after="0"/>
              <w:jc w:val="both"/>
            </w:pPr>
          </w:p>
          <w:p w14:paraId="1CA60080" w14:textId="5181317A" w:rsidR="00803464" w:rsidRDefault="00803464" w:rsidP="000F180E">
            <w:pPr>
              <w:spacing w:after="0"/>
              <w:jc w:val="both"/>
            </w:pPr>
            <w:r>
              <w:t>Officials will</w:t>
            </w:r>
            <w:r w:rsidR="00321A2A">
              <w:t xml:space="preserve"> </w:t>
            </w:r>
            <w:r w:rsidR="00657D28">
              <w:t>engage</w:t>
            </w:r>
            <w:r w:rsidR="00321A2A">
              <w:t xml:space="preserve"> with the tax advisory community </w:t>
            </w:r>
            <w:r w:rsidR="00546425">
              <w:t xml:space="preserve">and </w:t>
            </w:r>
            <w:r w:rsidR="001510E6">
              <w:t>Inland Revenue investigators</w:t>
            </w:r>
            <w:r w:rsidR="00294439">
              <w:t xml:space="preserve"> </w:t>
            </w:r>
            <w:r w:rsidR="00657D28">
              <w:t xml:space="preserve">again </w:t>
            </w:r>
            <w:r w:rsidR="00D64181">
              <w:t>when</w:t>
            </w:r>
            <w:r w:rsidR="00294439">
              <w:t xml:space="preserve"> the rules </w:t>
            </w:r>
            <w:r w:rsidR="00421B18">
              <w:t>are</w:t>
            </w:r>
            <w:r w:rsidR="00294439">
              <w:t xml:space="preserve"> in force</w:t>
            </w:r>
            <w:r w:rsidR="00720015">
              <w:t xml:space="preserve"> to</w:t>
            </w:r>
            <w:r w:rsidR="00294439">
              <w:t xml:space="preserve"> </w:t>
            </w:r>
            <w:r w:rsidR="003D1DA3">
              <w:t>seek feedback on how the rules are working</w:t>
            </w:r>
            <w:r w:rsidR="00AF0736">
              <w:t xml:space="preserve"> for vendors and purchasers. </w:t>
            </w:r>
          </w:p>
          <w:p w14:paraId="6453EFE8" w14:textId="77777777" w:rsidR="000F180E" w:rsidRPr="0069218C" w:rsidRDefault="000F180E" w:rsidP="000F180E">
            <w:pPr>
              <w:spacing w:after="0"/>
              <w:jc w:val="both"/>
            </w:pPr>
          </w:p>
          <w:p w14:paraId="2765D85C" w14:textId="7438CAA2" w:rsidR="00F132B2" w:rsidRDefault="002F57BD" w:rsidP="00B045C4">
            <w:pPr>
              <w:spacing w:after="0" w:line="276" w:lineRule="auto"/>
              <w:jc w:val="both"/>
              <w:rPr>
                <w:rFonts w:cs="Arial"/>
                <w:szCs w:val="22"/>
              </w:rPr>
            </w:pPr>
            <w:r>
              <w:rPr>
                <w:rFonts w:cs="Arial"/>
                <w:szCs w:val="22"/>
              </w:rPr>
              <w:t xml:space="preserve">Officials considered requiring all vendors and purchasers in mixed supplies to notify </w:t>
            </w:r>
            <w:r w:rsidR="00B84D8E">
              <w:rPr>
                <w:rFonts w:cs="Arial"/>
                <w:szCs w:val="22"/>
              </w:rPr>
              <w:t xml:space="preserve">the Commissioner of their allocation, regardless of whether they agreed </w:t>
            </w:r>
            <w:r w:rsidR="002B7F5A">
              <w:rPr>
                <w:rFonts w:cs="Arial"/>
                <w:szCs w:val="22"/>
              </w:rPr>
              <w:t>the allocation</w:t>
            </w:r>
            <w:r w:rsidR="00B84D8E">
              <w:rPr>
                <w:rFonts w:cs="Arial"/>
                <w:szCs w:val="22"/>
              </w:rPr>
              <w:t xml:space="preserve"> or not, however </w:t>
            </w:r>
            <w:r w:rsidR="00DD3337">
              <w:rPr>
                <w:rFonts w:cs="Arial"/>
                <w:szCs w:val="22"/>
              </w:rPr>
              <w:t xml:space="preserve">this would increase compliance costs for </w:t>
            </w:r>
            <w:r w:rsidR="008D373B">
              <w:rPr>
                <w:rFonts w:cs="Arial"/>
                <w:szCs w:val="22"/>
              </w:rPr>
              <w:t xml:space="preserve">taxpayers and </w:t>
            </w:r>
            <w:r w:rsidR="00CD0DBA">
              <w:rPr>
                <w:rFonts w:cs="Arial"/>
                <w:szCs w:val="22"/>
              </w:rPr>
              <w:t xml:space="preserve">officials expect </w:t>
            </w:r>
            <w:r w:rsidR="005E6E7C">
              <w:rPr>
                <w:rFonts w:cs="Arial"/>
                <w:szCs w:val="22"/>
              </w:rPr>
              <w:t>the monitoring methods outlined above</w:t>
            </w:r>
            <w:r w:rsidR="00CD0DBA">
              <w:rPr>
                <w:rFonts w:cs="Arial"/>
                <w:szCs w:val="22"/>
              </w:rPr>
              <w:t xml:space="preserve"> to be sufficient. </w:t>
            </w:r>
            <w:r w:rsidR="00601EBD">
              <w:rPr>
                <w:rFonts w:cs="Arial"/>
                <w:szCs w:val="22"/>
              </w:rPr>
              <w:t xml:space="preserve"> </w:t>
            </w:r>
          </w:p>
          <w:p w14:paraId="45C87625" w14:textId="092A1951" w:rsidR="00DD3337" w:rsidRPr="0069218C" w:rsidRDefault="00DD3337" w:rsidP="00B045C4">
            <w:pPr>
              <w:spacing w:after="0" w:line="276" w:lineRule="auto"/>
              <w:jc w:val="both"/>
              <w:rPr>
                <w:rFonts w:cs="Arial"/>
                <w:szCs w:val="22"/>
              </w:rPr>
            </w:pPr>
          </w:p>
        </w:tc>
      </w:tr>
    </w:tbl>
    <w:p w14:paraId="00A882ED" w14:textId="77777777" w:rsidR="00F132B2" w:rsidRPr="00567434" w:rsidRDefault="00F132B2" w:rsidP="00B045C4">
      <w:pPr>
        <w:pStyle w:val="spacer"/>
        <w:jc w:val="both"/>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B045C4">
            <w:pPr>
              <w:pStyle w:val="TableHeadings"/>
              <w:keepNext/>
              <w:jc w:val="both"/>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B72609">
        <w:trPr>
          <w:trHeight w:val="1700"/>
        </w:trPr>
        <w:tc>
          <w:tcPr>
            <w:tcW w:w="9072" w:type="dxa"/>
            <w:shd w:val="clear" w:color="auto" w:fill="auto"/>
          </w:tcPr>
          <w:p w14:paraId="422CC350" w14:textId="77777777" w:rsidR="005F3AE7" w:rsidRDefault="005F3AE7" w:rsidP="005F3AE7">
            <w:pPr>
              <w:spacing w:after="0"/>
              <w:jc w:val="both"/>
            </w:pPr>
          </w:p>
          <w:p w14:paraId="214829FF" w14:textId="28BBA81A" w:rsidR="00F132B2" w:rsidRPr="0069218C" w:rsidRDefault="00C611F4" w:rsidP="005F3AE7">
            <w:pPr>
              <w:spacing w:after="0"/>
              <w:jc w:val="both"/>
              <w:rPr>
                <w:rFonts w:cs="Arial"/>
                <w:szCs w:val="22"/>
              </w:rPr>
            </w:pPr>
            <w:r>
              <w:t>Policy officials</w:t>
            </w:r>
            <w:r w:rsidR="0043652D">
              <w:t xml:space="preserve"> maintain </w:t>
            </w:r>
            <w:r w:rsidR="00DF6148">
              <w:t>strong communication channels with stakeholders in the</w:t>
            </w:r>
            <w:r w:rsidR="00217AF6">
              <w:t xml:space="preserve"> tax</w:t>
            </w:r>
            <w:r w:rsidR="00DF6148">
              <w:t xml:space="preserve"> advisory community</w:t>
            </w:r>
            <w:r w:rsidR="00AB7CFE">
              <w:t>,</w:t>
            </w:r>
            <w:r w:rsidR="00DF6148">
              <w:t xml:space="preserve"> </w:t>
            </w:r>
            <w:r w:rsidR="00996F6B">
              <w:t xml:space="preserve">and </w:t>
            </w:r>
            <w:r w:rsidR="00743AAF">
              <w:t xml:space="preserve">these stakeholders will be </w:t>
            </w:r>
            <w:r w:rsidR="005773D6">
              <w:t xml:space="preserve">able to correspond with officials </w:t>
            </w:r>
            <w:r w:rsidR="00355E6B">
              <w:t>about the operation of the new rules</w:t>
            </w:r>
            <w:r w:rsidR="0084584B">
              <w:t xml:space="preserve"> at any time.</w:t>
            </w:r>
            <w:r w:rsidR="00BE3FC3">
              <w:t xml:space="preserve">  If problems emerge, they will be dealt with either operationally, or by way of legislative amendment if needed.</w:t>
            </w:r>
          </w:p>
        </w:tc>
      </w:tr>
    </w:tbl>
    <w:p w14:paraId="0D165C3B" w14:textId="77777777" w:rsidR="00C2708A" w:rsidRPr="00B47208" w:rsidRDefault="00C2708A" w:rsidP="00B045C4">
      <w:pPr>
        <w:pStyle w:val="spacer"/>
        <w:jc w:val="both"/>
      </w:pPr>
    </w:p>
    <w:sectPr w:rsidR="00C2708A" w:rsidRPr="00B47208" w:rsidSect="00B952B7">
      <w:headerReference w:type="default" r:id="rId8"/>
      <w:footerReference w:type="default" r:id="rId9"/>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8545" w14:textId="77777777" w:rsidR="00935932" w:rsidRDefault="00935932">
      <w:pPr>
        <w:spacing w:after="0" w:line="240" w:lineRule="auto"/>
      </w:pPr>
      <w:r>
        <w:separator/>
      </w:r>
    </w:p>
  </w:endnote>
  <w:endnote w:type="continuationSeparator" w:id="0">
    <w:p w14:paraId="0E31D55B" w14:textId="77777777" w:rsidR="00935932" w:rsidRDefault="00935932">
      <w:pPr>
        <w:spacing w:after="0" w:line="240" w:lineRule="auto"/>
      </w:pPr>
      <w:r>
        <w:continuationSeparator/>
      </w:r>
    </w:p>
  </w:endnote>
  <w:endnote w:type="continuationNotice" w:id="1">
    <w:p w14:paraId="3A13AF32" w14:textId="77777777" w:rsidR="00935932" w:rsidRDefault="00935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9442" w14:textId="05362D13" w:rsidR="00C60CFD" w:rsidRPr="00957BC2" w:rsidRDefault="00C60CFD" w:rsidP="002127DC">
    <w:pPr>
      <w:pStyle w:val="Footer"/>
    </w:pPr>
    <w:r>
      <w:rPr>
        <w:sz w:val="14"/>
      </w:rPr>
      <w:tab/>
    </w:r>
    <w:r w:rsidRPr="007A2193">
      <w:t>Supplementary Analysis Report: Purchase Price Allocation</w:t>
    </w:r>
    <w:r w:rsidRPr="00957BC2">
      <w:t xml:space="preserve">   </w:t>
    </w:r>
    <w:r w:rsidRPr="00957BC2">
      <w:fldChar w:fldCharType="begin"/>
    </w:r>
    <w:r w:rsidRPr="00957BC2">
      <w:instrText xml:space="preserve"> PAGE </w:instrText>
    </w:r>
    <w:r w:rsidRPr="00957BC2">
      <w:fldChar w:fldCharType="separate"/>
    </w:r>
    <w:r>
      <w:t>1</w:t>
    </w:r>
    <w:r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48295" w14:textId="77777777" w:rsidR="00935932" w:rsidRDefault="00935932">
      <w:pPr>
        <w:spacing w:after="0" w:line="240" w:lineRule="auto"/>
      </w:pPr>
      <w:r>
        <w:separator/>
      </w:r>
    </w:p>
  </w:footnote>
  <w:footnote w:type="continuationSeparator" w:id="0">
    <w:p w14:paraId="64089D99" w14:textId="77777777" w:rsidR="00935932" w:rsidRDefault="00935932">
      <w:pPr>
        <w:spacing w:after="0" w:line="240" w:lineRule="auto"/>
      </w:pPr>
      <w:r>
        <w:continuationSeparator/>
      </w:r>
    </w:p>
  </w:footnote>
  <w:footnote w:type="continuationNotice" w:id="1">
    <w:p w14:paraId="53662D78" w14:textId="77777777" w:rsidR="00935932" w:rsidRDefault="00935932">
      <w:pPr>
        <w:spacing w:after="0" w:line="240" w:lineRule="auto"/>
      </w:pPr>
    </w:p>
  </w:footnote>
  <w:footnote w:id="2">
    <w:p w14:paraId="1AA2BE2D" w14:textId="3C119C5D" w:rsidR="00C60CFD" w:rsidRPr="00A4075E" w:rsidRDefault="00C60CFD" w:rsidP="00B614CC">
      <w:pPr>
        <w:pStyle w:val="FootnoteText"/>
        <w:tabs>
          <w:tab w:val="left" w:pos="142"/>
        </w:tabs>
        <w:ind w:left="142" w:hanging="142"/>
        <w:jc w:val="both"/>
        <w:rPr>
          <w:lang w:val="en-NZ"/>
        </w:rPr>
      </w:pPr>
      <w:r>
        <w:rPr>
          <w:rStyle w:val="FootnoteReference"/>
        </w:rPr>
        <w:footnoteRef/>
      </w:r>
      <w:r>
        <w:t xml:space="preserve"> Any excess of the total sale price above the aggregate value of all the assets being sold, attributable to the established reputation of the business.</w:t>
      </w:r>
    </w:p>
  </w:footnote>
  <w:footnote w:id="3">
    <w:p w14:paraId="508AD2EF" w14:textId="57C6CB78" w:rsidR="00C60CFD" w:rsidRPr="00A4075E" w:rsidRDefault="00C60CFD" w:rsidP="00B614CC">
      <w:pPr>
        <w:pStyle w:val="FootnoteText"/>
        <w:jc w:val="both"/>
        <w:rPr>
          <w:lang w:val="en-NZ"/>
        </w:rPr>
      </w:pPr>
      <w:r>
        <w:rPr>
          <w:rStyle w:val="FootnoteReference"/>
        </w:rPr>
        <w:footnoteRef/>
      </w:r>
      <w:r>
        <w:t xml:space="preserve"> </w:t>
      </w:r>
      <w:r>
        <w:rPr>
          <w:lang w:val="en-NZ"/>
        </w:rPr>
        <w:t xml:space="preserve">Items bought and sold regularly in the course of a business, such as books </w:t>
      </w:r>
      <w:r w:rsidR="00ED3A9D">
        <w:rPr>
          <w:lang w:val="en-NZ"/>
        </w:rPr>
        <w:t>in</w:t>
      </w:r>
      <w:r>
        <w:rPr>
          <w:lang w:val="en-NZ"/>
        </w:rPr>
        <w:t xml:space="preserve"> a bookstore.</w:t>
      </w:r>
    </w:p>
  </w:footnote>
  <w:footnote w:id="4">
    <w:p w14:paraId="39742D74" w14:textId="7908A3BE" w:rsidR="00C60CFD" w:rsidRPr="00A4075E" w:rsidRDefault="00C60CFD" w:rsidP="00B614CC">
      <w:pPr>
        <w:pStyle w:val="FootnoteText"/>
        <w:tabs>
          <w:tab w:val="clear" w:pos="425"/>
          <w:tab w:val="left" w:pos="142"/>
        </w:tabs>
        <w:ind w:left="142" w:hanging="142"/>
        <w:jc w:val="both"/>
        <w:rPr>
          <w:lang w:val="en-NZ"/>
        </w:rPr>
      </w:pPr>
      <w:r>
        <w:rPr>
          <w:rStyle w:val="FootnoteReference"/>
        </w:rPr>
        <w:footnoteRef/>
      </w:r>
      <w:r>
        <w:t xml:space="preserve"> </w:t>
      </w:r>
      <w:r>
        <w:rPr>
          <w:lang w:val="en-NZ"/>
        </w:rPr>
        <w:t>Arrangements under which a person receives money in exchange for providing money at a future time, such as loans.</w:t>
      </w:r>
    </w:p>
  </w:footnote>
  <w:footnote w:id="5">
    <w:p w14:paraId="6E33BB29" w14:textId="0608F4C7" w:rsidR="000764C8" w:rsidRPr="009928F1" w:rsidRDefault="000764C8" w:rsidP="009928F1">
      <w:pPr>
        <w:pStyle w:val="FootnoteText"/>
        <w:tabs>
          <w:tab w:val="clear" w:pos="425"/>
          <w:tab w:val="left" w:pos="142"/>
        </w:tabs>
        <w:ind w:left="142" w:hanging="142"/>
        <w:jc w:val="both"/>
        <w:rPr>
          <w:lang w:val="en-NZ"/>
        </w:rPr>
      </w:pPr>
      <w:r>
        <w:rPr>
          <w:rStyle w:val="FootnoteReference"/>
        </w:rPr>
        <w:footnoteRef/>
      </w:r>
      <w:r>
        <w:t xml:space="preserve"> </w:t>
      </w:r>
      <w:r w:rsidR="00ED44CA">
        <w:t>Th</w:t>
      </w:r>
      <w:r w:rsidR="00023C7E">
        <w:t xml:space="preserve">e vendor will not be able to </w:t>
      </w:r>
      <w:r w:rsidR="009541DF">
        <w:t>satisfy this rule i</w:t>
      </w:r>
      <w:r w:rsidR="00D1541B">
        <w:t>f</w:t>
      </w:r>
      <w:r w:rsidR="00A345E2">
        <w:rPr>
          <w:lang w:val="en-NZ"/>
        </w:rPr>
        <w:t xml:space="preserve"> the</w:t>
      </w:r>
      <w:r w:rsidR="002B2E55">
        <w:rPr>
          <w:lang w:val="en-NZ"/>
        </w:rPr>
        <w:t xml:space="preserve"> </w:t>
      </w:r>
      <w:r w:rsidR="00844F82">
        <w:rPr>
          <w:lang w:val="en-NZ"/>
        </w:rPr>
        <w:t xml:space="preserve">total </w:t>
      </w:r>
      <w:r w:rsidR="002B2E55">
        <w:rPr>
          <w:lang w:val="en-NZ"/>
        </w:rPr>
        <w:t>purchase</w:t>
      </w:r>
      <w:r w:rsidR="00A345E2">
        <w:rPr>
          <w:lang w:val="en-NZ"/>
        </w:rPr>
        <w:t xml:space="preserve"> price</w:t>
      </w:r>
      <w:r w:rsidR="002B2E55">
        <w:rPr>
          <w:lang w:val="en-NZ"/>
        </w:rPr>
        <w:t xml:space="preserve"> is lower than the</w:t>
      </w:r>
      <w:r w:rsidR="00994BBA">
        <w:rPr>
          <w:lang w:val="en-NZ"/>
        </w:rPr>
        <w:t xml:space="preserve"> vendor’s</w:t>
      </w:r>
      <w:r w:rsidR="002B2E55">
        <w:rPr>
          <w:lang w:val="en-NZ"/>
        </w:rPr>
        <w:t xml:space="preserve"> aggregate carrying cost of</w:t>
      </w:r>
      <w:r w:rsidR="00994BBA">
        <w:rPr>
          <w:lang w:val="en-NZ"/>
        </w:rPr>
        <w:t xml:space="preserve"> the taxable property</w:t>
      </w:r>
      <w:r w:rsidR="00686638">
        <w:rPr>
          <w:lang w:val="en-NZ"/>
        </w:rPr>
        <w:t>.</w:t>
      </w:r>
      <w:r w:rsidR="009541DF">
        <w:rPr>
          <w:lang w:val="en-NZ"/>
        </w:rPr>
        <w:t xml:space="preserve"> </w:t>
      </w:r>
      <w:r w:rsidR="008A4FD9">
        <w:rPr>
          <w:lang w:val="en-NZ"/>
        </w:rPr>
        <w:t>In</w:t>
      </w:r>
      <w:r w:rsidR="000509BE">
        <w:rPr>
          <w:lang w:val="en-NZ"/>
        </w:rPr>
        <w:t xml:space="preserve"> this case,</w:t>
      </w:r>
      <w:r w:rsidR="002B2E55">
        <w:rPr>
          <w:lang w:val="en-NZ"/>
        </w:rPr>
        <w:t xml:space="preserve"> </w:t>
      </w:r>
      <w:r w:rsidR="008A4FD9">
        <w:rPr>
          <w:lang w:val="en-NZ"/>
        </w:rPr>
        <w:t xml:space="preserve">therefore, </w:t>
      </w:r>
      <w:r w:rsidR="00844F82">
        <w:rPr>
          <w:lang w:val="en-NZ"/>
        </w:rPr>
        <w:t xml:space="preserve">the </w:t>
      </w:r>
      <w:r w:rsidR="00147151">
        <w:rPr>
          <w:lang w:val="en-NZ"/>
        </w:rPr>
        <w:t xml:space="preserve">minimum allocation to taxable property will be </w:t>
      </w:r>
      <w:proofErr w:type="gramStart"/>
      <w:r w:rsidR="00C673C1">
        <w:rPr>
          <w:lang w:val="en-NZ"/>
        </w:rPr>
        <w:t>its</w:t>
      </w:r>
      <w:proofErr w:type="gramEnd"/>
      <w:r w:rsidR="00147151">
        <w:rPr>
          <w:lang w:val="en-NZ"/>
        </w:rPr>
        <w:t xml:space="preserve"> carrying</w:t>
      </w:r>
      <w:r w:rsidR="00AF4FF2">
        <w:rPr>
          <w:lang w:val="en-NZ"/>
        </w:rPr>
        <w:t xml:space="preserve"> value reduced (pro rata) </w:t>
      </w:r>
      <w:r w:rsidR="00042D77">
        <w:rPr>
          <w:lang w:val="en-NZ"/>
        </w:rPr>
        <w:t>in proportion to the</w:t>
      </w:r>
      <w:r w:rsidR="005839CC">
        <w:rPr>
          <w:lang w:val="en-NZ"/>
        </w:rPr>
        <w:t xml:space="preserve"> difference between the aggregate carrying </w:t>
      </w:r>
      <w:r w:rsidR="00014812">
        <w:rPr>
          <w:lang w:val="en-NZ"/>
        </w:rPr>
        <w:t xml:space="preserve">cost of the taxable property and the purchase price.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9DBC" w14:textId="77777777" w:rsidR="00C60CFD" w:rsidRPr="00EB1B21" w:rsidRDefault="00C60CFD"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A6B02"/>
    <w:multiLevelType w:val="hybridMultilevel"/>
    <w:tmpl w:val="71EE15A2"/>
    <w:lvl w:ilvl="0" w:tplc="664616B4">
      <w:start w:val="2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30075"/>
    <w:multiLevelType w:val="hybridMultilevel"/>
    <w:tmpl w:val="78888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0"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F1843"/>
    <w:multiLevelType w:val="hybridMultilevel"/>
    <w:tmpl w:val="9F364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2"/>
  </w:num>
  <w:num w:numId="4">
    <w:abstractNumId w:val="12"/>
  </w:num>
  <w:num w:numId="5">
    <w:abstractNumId w:val="33"/>
  </w:num>
  <w:num w:numId="6">
    <w:abstractNumId w:val="28"/>
  </w:num>
  <w:num w:numId="7">
    <w:abstractNumId w:val="11"/>
  </w:num>
  <w:num w:numId="8">
    <w:abstractNumId w:val="15"/>
  </w:num>
  <w:num w:numId="9">
    <w:abstractNumId w:val="8"/>
  </w:num>
  <w:num w:numId="10">
    <w:abstractNumId w:val="21"/>
  </w:num>
  <w:num w:numId="11">
    <w:abstractNumId w:val="26"/>
  </w:num>
  <w:num w:numId="12">
    <w:abstractNumId w:val="5"/>
  </w:num>
  <w:num w:numId="13">
    <w:abstractNumId w:val="10"/>
  </w:num>
  <w:num w:numId="14">
    <w:abstractNumId w:val="16"/>
  </w:num>
  <w:num w:numId="15">
    <w:abstractNumId w:val="13"/>
  </w:num>
  <w:num w:numId="16">
    <w:abstractNumId w:val="7"/>
  </w:num>
  <w:num w:numId="17">
    <w:abstractNumId w:val="31"/>
  </w:num>
  <w:num w:numId="18">
    <w:abstractNumId w:val="3"/>
  </w:num>
  <w:num w:numId="19">
    <w:abstractNumId w:val="17"/>
  </w:num>
  <w:num w:numId="20">
    <w:abstractNumId w:val="30"/>
  </w:num>
  <w:num w:numId="21">
    <w:abstractNumId w:val="24"/>
  </w:num>
  <w:num w:numId="22">
    <w:abstractNumId w:val="9"/>
  </w:num>
  <w:num w:numId="23">
    <w:abstractNumId w:val="29"/>
  </w:num>
  <w:num w:numId="24">
    <w:abstractNumId w:val="27"/>
  </w:num>
  <w:num w:numId="25">
    <w:abstractNumId w:val="0"/>
  </w:num>
  <w:num w:numId="26">
    <w:abstractNumId w:val="18"/>
  </w:num>
  <w:num w:numId="27">
    <w:abstractNumId w:val="22"/>
  </w:num>
  <w:num w:numId="28">
    <w:abstractNumId w:val="2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3"/>
  </w:num>
  <w:num w:numId="36">
    <w:abstractNumId w:val="14"/>
  </w:num>
  <w:num w:numId="37">
    <w:abstractNumId w:val="4"/>
  </w:num>
  <w:num w:numId="38">
    <w:abstractNumId w:val="19"/>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0498"/>
    <w:rsid w:val="00000771"/>
    <w:rsid w:val="000015E0"/>
    <w:rsid w:val="000027CF"/>
    <w:rsid w:val="000049FE"/>
    <w:rsid w:val="00004ACC"/>
    <w:rsid w:val="0000508F"/>
    <w:rsid w:val="00006329"/>
    <w:rsid w:val="00006BC6"/>
    <w:rsid w:val="000070DF"/>
    <w:rsid w:val="00012291"/>
    <w:rsid w:val="000126A9"/>
    <w:rsid w:val="00012718"/>
    <w:rsid w:val="00014657"/>
    <w:rsid w:val="00014812"/>
    <w:rsid w:val="00015D1A"/>
    <w:rsid w:val="00020015"/>
    <w:rsid w:val="00021DA5"/>
    <w:rsid w:val="00023C7E"/>
    <w:rsid w:val="00025A2A"/>
    <w:rsid w:val="00027FD9"/>
    <w:rsid w:val="000301BC"/>
    <w:rsid w:val="00030EC1"/>
    <w:rsid w:val="0003116B"/>
    <w:rsid w:val="000318F3"/>
    <w:rsid w:val="00032184"/>
    <w:rsid w:val="000323B6"/>
    <w:rsid w:val="000338EC"/>
    <w:rsid w:val="00033A9D"/>
    <w:rsid w:val="00033DFE"/>
    <w:rsid w:val="0003500F"/>
    <w:rsid w:val="00035A36"/>
    <w:rsid w:val="00037F38"/>
    <w:rsid w:val="000406D2"/>
    <w:rsid w:val="0004072E"/>
    <w:rsid w:val="000411F7"/>
    <w:rsid w:val="00041B21"/>
    <w:rsid w:val="000421C6"/>
    <w:rsid w:val="000425B1"/>
    <w:rsid w:val="00042D77"/>
    <w:rsid w:val="000463AD"/>
    <w:rsid w:val="000509BE"/>
    <w:rsid w:val="00051A88"/>
    <w:rsid w:val="00052A30"/>
    <w:rsid w:val="000532B4"/>
    <w:rsid w:val="00053336"/>
    <w:rsid w:val="000535CE"/>
    <w:rsid w:val="00056353"/>
    <w:rsid w:val="000576FE"/>
    <w:rsid w:val="000601C3"/>
    <w:rsid w:val="000610A1"/>
    <w:rsid w:val="00061448"/>
    <w:rsid w:val="00061F2E"/>
    <w:rsid w:val="000621C9"/>
    <w:rsid w:val="00062556"/>
    <w:rsid w:val="00062914"/>
    <w:rsid w:val="00065C47"/>
    <w:rsid w:val="00070194"/>
    <w:rsid w:val="000703C8"/>
    <w:rsid w:val="00071C9C"/>
    <w:rsid w:val="00072838"/>
    <w:rsid w:val="00072E82"/>
    <w:rsid w:val="00075350"/>
    <w:rsid w:val="000764C8"/>
    <w:rsid w:val="00076B71"/>
    <w:rsid w:val="00077D9A"/>
    <w:rsid w:val="0008056D"/>
    <w:rsid w:val="00081671"/>
    <w:rsid w:val="000818F1"/>
    <w:rsid w:val="00082B07"/>
    <w:rsid w:val="00084A7A"/>
    <w:rsid w:val="000862A1"/>
    <w:rsid w:val="000868DD"/>
    <w:rsid w:val="00086CAA"/>
    <w:rsid w:val="0009009A"/>
    <w:rsid w:val="0009107A"/>
    <w:rsid w:val="00091574"/>
    <w:rsid w:val="000917DB"/>
    <w:rsid w:val="00092664"/>
    <w:rsid w:val="00092D89"/>
    <w:rsid w:val="00092E49"/>
    <w:rsid w:val="000932B1"/>
    <w:rsid w:val="00093AAA"/>
    <w:rsid w:val="00094142"/>
    <w:rsid w:val="000945D8"/>
    <w:rsid w:val="0009467F"/>
    <w:rsid w:val="000958C3"/>
    <w:rsid w:val="0009629D"/>
    <w:rsid w:val="00096ADC"/>
    <w:rsid w:val="00096CDC"/>
    <w:rsid w:val="00096EC2"/>
    <w:rsid w:val="000974A2"/>
    <w:rsid w:val="000A222C"/>
    <w:rsid w:val="000A2CF4"/>
    <w:rsid w:val="000A3146"/>
    <w:rsid w:val="000A4820"/>
    <w:rsid w:val="000A4841"/>
    <w:rsid w:val="000A5897"/>
    <w:rsid w:val="000A5C74"/>
    <w:rsid w:val="000A5EDD"/>
    <w:rsid w:val="000B0066"/>
    <w:rsid w:val="000B0724"/>
    <w:rsid w:val="000B366E"/>
    <w:rsid w:val="000B3D3B"/>
    <w:rsid w:val="000B51D8"/>
    <w:rsid w:val="000B56D8"/>
    <w:rsid w:val="000B5ADF"/>
    <w:rsid w:val="000B7E3D"/>
    <w:rsid w:val="000C083C"/>
    <w:rsid w:val="000C11DE"/>
    <w:rsid w:val="000C26F0"/>
    <w:rsid w:val="000C2DF7"/>
    <w:rsid w:val="000C3197"/>
    <w:rsid w:val="000C3424"/>
    <w:rsid w:val="000C4C4F"/>
    <w:rsid w:val="000C529D"/>
    <w:rsid w:val="000C607B"/>
    <w:rsid w:val="000D012E"/>
    <w:rsid w:val="000D1797"/>
    <w:rsid w:val="000D2ED4"/>
    <w:rsid w:val="000D416B"/>
    <w:rsid w:val="000D59E5"/>
    <w:rsid w:val="000D5F18"/>
    <w:rsid w:val="000D6F71"/>
    <w:rsid w:val="000D7119"/>
    <w:rsid w:val="000E180F"/>
    <w:rsid w:val="000E2568"/>
    <w:rsid w:val="000E6626"/>
    <w:rsid w:val="000E6A29"/>
    <w:rsid w:val="000E7E42"/>
    <w:rsid w:val="000E7ED7"/>
    <w:rsid w:val="000F180E"/>
    <w:rsid w:val="000F185C"/>
    <w:rsid w:val="000F209B"/>
    <w:rsid w:val="000F20DF"/>
    <w:rsid w:val="000F2317"/>
    <w:rsid w:val="000F2382"/>
    <w:rsid w:val="000F25AD"/>
    <w:rsid w:val="000F282D"/>
    <w:rsid w:val="000F2C97"/>
    <w:rsid w:val="000F3225"/>
    <w:rsid w:val="000F3CBC"/>
    <w:rsid w:val="000F427B"/>
    <w:rsid w:val="000F46E1"/>
    <w:rsid w:val="000F723F"/>
    <w:rsid w:val="000F78D2"/>
    <w:rsid w:val="000F7C29"/>
    <w:rsid w:val="00100007"/>
    <w:rsid w:val="00101ED0"/>
    <w:rsid w:val="00102262"/>
    <w:rsid w:val="00102B62"/>
    <w:rsid w:val="001043D6"/>
    <w:rsid w:val="001050F3"/>
    <w:rsid w:val="00106C26"/>
    <w:rsid w:val="00106C83"/>
    <w:rsid w:val="00110634"/>
    <w:rsid w:val="0011078F"/>
    <w:rsid w:val="00111329"/>
    <w:rsid w:val="00111BE2"/>
    <w:rsid w:val="001120DD"/>
    <w:rsid w:val="001124D6"/>
    <w:rsid w:val="00113B50"/>
    <w:rsid w:val="00113E60"/>
    <w:rsid w:val="0011404C"/>
    <w:rsid w:val="00115EAF"/>
    <w:rsid w:val="00116936"/>
    <w:rsid w:val="00116B8B"/>
    <w:rsid w:val="0012023E"/>
    <w:rsid w:val="00120CC1"/>
    <w:rsid w:val="001221F7"/>
    <w:rsid w:val="00122444"/>
    <w:rsid w:val="00123BDB"/>
    <w:rsid w:val="0012537F"/>
    <w:rsid w:val="00125C73"/>
    <w:rsid w:val="0012604B"/>
    <w:rsid w:val="00126B44"/>
    <w:rsid w:val="00126F0C"/>
    <w:rsid w:val="00126FB0"/>
    <w:rsid w:val="001303F0"/>
    <w:rsid w:val="0013054D"/>
    <w:rsid w:val="00130640"/>
    <w:rsid w:val="0013172F"/>
    <w:rsid w:val="001318C4"/>
    <w:rsid w:val="001318F0"/>
    <w:rsid w:val="001339D5"/>
    <w:rsid w:val="001342B2"/>
    <w:rsid w:val="001345C9"/>
    <w:rsid w:val="00134DFA"/>
    <w:rsid w:val="00135939"/>
    <w:rsid w:val="00137B7D"/>
    <w:rsid w:val="001410B3"/>
    <w:rsid w:val="00141C45"/>
    <w:rsid w:val="00144191"/>
    <w:rsid w:val="001448C1"/>
    <w:rsid w:val="00147151"/>
    <w:rsid w:val="001473D0"/>
    <w:rsid w:val="00150D59"/>
    <w:rsid w:val="001510E6"/>
    <w:rsid w:val="001540A5"/>
    <w:rsid w:val="00154ACC"/>
    <w:rsid w:val="00155D07"/>
    <w:rsid w:val="001560B5"/>
    <w:rsid w:val="001569C5"/>
    <w:rsid w:val="00160ECA"/>
    <w:rsid w:val="001624D2"/>
    <w:rsid w:val="00163820"/>
    <w:rsid w:val="00164476"/>
    <w:rsid w:val="0017051F"/>
    <w:rsid w:val="00170C9B"/>
    <w:rsid w:val="0017130D"/>
    <w:rsid w:val="001739E1"/>
    <w:rsid w:val="00176301"/>
    <w:rsid w:val="00176B3D"/>
    <w:rsid w:val="00177BF1"/>
    <w:rsid w:val="00177F41"/>
    <w:rsid w:val="0018006E"/>
    <w:rsid w:val="00180DBF"/>
    <w:rsid w:val="00185741"/>
    <w:rsid w:val="00185872"/>
    <w:rsid w:val="00186093"/>
    <w:rsid w:val="00186587"/>
    <w:rsid w:val="00186676"/>
    <w:rsid w:val="00190453"/>
    <w:rsid w:val="0019196E"/>
    <w:rsid w:val="00192278"/>
    <w:rsid w:val="001929F1"/>
    <w:rsid w:val="00193A7A"/>
    <w:rsid w:val="001956C0"/>
    <w:rsid w:val="00196538"/>
    <w:rsid w:val="00196B3D"/>
    <w:rsid w:val="00196B9D"/>
    <w:rsid w:val="001970BB"/>
    <w:rsid w:val="001A008A"/>
    <w:rsid w:val="001A2DFF"/>
    <w:rsid w:val="001A2EA3"/>
    <w:rsid w:val="001A5848"/>
    <w:rsid w:val="001A5860"/>
    <w:rsid w:val="001A6D7F"/>
    <w:rsid w:val="001B05E6"/>
    <w:rsid w:val="001B0EC2"/>
    <w:rsid w:val="001B16C6"/>
    <w:rsid w:val="001B1BF0"/>
    <w:rsid w:val="001B2B26"/>
    <w:rsid w:val="001B3184"/>
    <w:rsid w:val="001B3E1F"/>
    <w:rsid w:val="001B464F"/>
    <w:rsid w:val="001B4792"/>
    <w:rsid w:val="001B59DF"/>
    <w:rsid w:val="001B6113"/>
    <w:rsid w:val="001B6218"/>
    <w:rsid w:val="001B660C"/>
    <w:rsid w:val="001B7BC3"/>
    <w:rsid w:val="001C1643"/>
    <w:rsid w:val="001C2013"/>
    <w:rsid w:val="001C38E5"/>
    <w:rsid w:val="001C3F37"/>
    <w:rsid w:val="001C4870"/>
    <w:rsid w:val="001C506C"/>
    <w:rsid w:val="001C5277"/>
    <w:rsid w:val="001C6141"/>
    <w:rsid w:val="001C632C"/>
    <w:rsid w:val="001C7594"/>
    <w:rsid w:val="001C7AD6"/>
    <w:rsid w:val="001D1ABC"/>
    <w:rsid w:val="001D200F"/>
    <w:rsid w:val="001D4139"/>
    <w:rsid w:val="001D4279"/>
    <w:rsid w:val="001D43C2"/>
    <w:rsid w:val="001D45CA"/>
    <w:rsid w:val="001D5496"/>
    <w:rsid w:val="001D619A"/>
    <w:rsid w:val="001D6349"/>
    <w:rsid w:val="001D64AD"/>
    <w:rsid w:val="001D76D2"/>
    <w:rsid w:val="001D7946"/>
    <w:rsid w:val="001E0168"/>
    <w:rsid w:val="001E0D43"/>
    <w:rsid w:val="001E1901"/>
    <w:rsid w:val="001E3EA9"/>
    <w:rsid w:val="001E40DA"/>
    <w:rsid w:val="001E47EF"/>
    <w:rsid w:val="001E4A8A"/>
    <w:rsid w:val="001E4C1F"/>
    <w:rsid w:val="001E7522"/>
    <w:rsid w:val="001F1530"/>
    <w:rsid w:val="001F1CB8"/>
    <w:rsid w:val="001F2339"/>
    <w:rsid w:val="001F47D0"/>
    <w:rsid w:val="001F7679"/>
    <w:rsid w:val="001F7DF8"/>
    <w:rsid w:val="0020026F"/>
    <w:rsid w:val="002006CD"/>
    <w:rsid w:val="00200BE0"/>
    <w:rsid w:val="00200D93"/>
    <w:rsid w:val="00201136"/>
    <w:rsid w:val="00203796"/>
    <w:rsid w:val="00203AFE"/>
    <w:rsid w:val="002041F0"/>
    <w:rsid w:val="002042FA"/>
    <w:rsid w:val="00205546"/>
    <w:rsid w:val="00205791"/>
    <w:rsid w:val="00205809"/>
    <w:rsid w:val="00207747"/>
    <w:rsid w:val="00207CEA"/>
    <w:rsid w:val="002106CB"/>
    <w:rsid w:val="00211D14"/>
    <w:rsid w:val="002127DC"/>
    <w:rsid w:val="00213690"/>
    <w:rsid w:val="0021378A"/>
    <w:rsid w:val="00214722"/>
    <w:rsid w:val="00214AE7"/>
    <w:rsid w:val="00214D25"/>
    <w:rsid w:val="00217251"/>
    <w:rsid w:val="00217894"/>
    <w:rsid w:val="00217AF6"/>
    <w:rsid w:val="00217BDB"/>
    <w:rsid w:val="00220545"/>
    <w:rsid w:val="00223832"/>
    <w:rsid w:val="00223E66"/>
    <w:rsid w:val="00224252"/>
    <w:rsid w:val="0022600F"/>
    <w:rsid w:val="00226C05"/>
    <w:rsid w:val="0023144D"/>
    <w:rsid w:val="002345DE"/>
    <w:rsid w:val="00237B1C"/>
    <w:rsid w:val="002404B8"/>
    <w:rsid w:val="00240568"/>
    <w:rsid w:val="00240A0E"/>
    <w:rsid w:val="00241A97"/>
    <w:rsid w:val="00242111"/>
    <w:rsid w:val="0024289C"/>
    <w:rsid w:val="0024639F"/>
    <w:rsid w:val="00246CFB"/>
    <w:rsid w:val="0024726E"/>
    <w:rsid w:val="00247712"/>
    <w:rsid w:val="00247E00"/>
    <w:rsid w:val="00250978"/>
    <w:rsid w:val="00251FD7"/>
    <w:rsid w:val="002554D6"/>
    <w:rsid w:val="0025557A"/>
    <w:rsid w:val="00255C9A"/>
    <w:rsid w:val="002615F5"/>
    <w:rsid w:val="002619E8"/>
    <w:rsid w:val="00261CA0"/>
    <w:rsid w:val="0026325A"/>
    <w:rsid w:val="00263DD3"/>
    <w:rsid w:val="002646EF"/>
    <w:rsid w:val="00265823"/>
    <w:rsid w:val="00265C09"/>
    <w:rsid w:val="0027048D"/>
    <w:rsid w:val="002717B4"/>
    <w:rsid w:val="00271DD4"/>
    <w:rsid w:val="002721AC"/>
    <w:rsid w:val="002722C8"/>
    <w:rsid w:val="0027368E"/>
    <w:rsid w:val="00273A42"/>
    <w:rsid w:val="0027511F"/>
    <w:rsid w:val="00275D0D"/>
    <w:rsid w:val="00275D83"/>
    <w:rsid w:val="00277D06"/>
    <w:rsid w:val="00280B90"/>
    <w:rsid w:val="002810BD"/>
    <w:rsid w:val="00283C73"/>
    <w:rsid w:val="00285684"/>
    <w:rsid w:val="00285707"/>
    <w:rsid w:val="00287065"/>
    <w:rsid w:val="00287B4B"/>
    <w:rsid w:val="00290C12"/>
    <w:rsid w:val="00292C97"/>
    <w:rsid w:val="00293FDC"/>
    <w:rsid w:val="00294439"/>
    <w:rsid w:val="002960FD"/>
    <w:rsid w:val="00297506"/>
    <w:rsid w:val="002A0D51"/>
    <w:rsid w:val="002A1AD7"/>
    <w:rsid w:val="002A2717"/>
    <w:rsid w:val="002A2774"/>
    <w:rsid w:val="002A2881"/>
    <w:rsid w:val="002A56F0"/>
    <w:rsid w:val="002A6A33"/>
    <w:rsid w:val="002A76F8"/>
    <w:rsid w:val="002B0695"/>
    <w:rsid w:val="002B2D33"/>
    <w:rsid w:val="002B2E55"/>
    <w:rsid w:val="002B3A3E"/>
    <w:rsid w:val="002B51AC"/>
    <w:rsid w:val="002B58F8"/>
    <w:rsid w:val="002B6C8D"/>
    <w:rsid w:val="002B7067"/>
    <w:rsid w:val="002B741F"/>
    <w:rsid w:val="002B7F5A"/>
    <w:rsid w:val="002C02CB"/>
    <w:rsid w:val="002C2ADE"/>
    <w:rsid w:val="002C486E"/>
    <w:rsid w:val="002C4D61"/>
    <w:rsid w:val="002C5138"/>
    <w:rsid w:val="002C60B4"/>
    <w:rsid w:val="002D2110"/>
    <w:rsid w:val="002D26BB"/>
    <w:rsid w:val="002D30C9"/>
    <w:rsid w:val="002D361D"/>
    <w:rsid w:val="002D4473"/>
    <w:rsid w:val="002D54C0"/>
    <w:rsid w:val="002D5734"/>
    <w:rsid w:val="002D6106"/>
    <w:rsid w:val="002D63C9"/>
    <w:rsid w:val="002D67F3"/>
    <w:rsid w:val="002E1EAA"/>
    <w:rsid w:val="002E3F51"/>
    <w:rsid w:val="002E43F0"/>
    <w:rsid w:val="002E4604"/>
    <w:rsid w:val="002E4AFA"/>
    <w:rsid w:val="002E5AA6"/>
    <w:rsid w:val="002E5BDF"/>
    <w:rsid w:val="002E67A4"/>
    <w:rsid w:val="002E7A50"/>
    <w:rsid w:val="002E7C9E"/>
    <w:rsid w:val="002F0443"/>
    <w:rsid w:val="002F3919"/>
    <w:rsid w:val="002F3D3F"/>
    <w:rsid w:val="002F57BD"/>
    <w:rsid w:val="002F57C1"/>
    <w:rsid w:val="002F59B3"/>
    <w:rsid w:val="002F6546"/>
    <w:rsid w:val="002F79DF"/>
    <w:rsid w:val="00300060"/>
    <w:rsid w:val="0030117A"/>
    <w:rsid w:val="00303BAE"/>
    <w:rsid w:val="00304CE4"/>
    <w:rsid w:val="003050A1"/>
    <w:rsid w:val="0030595E"/>
    <w:rsid w:val="00305ED6"/>
    <w:rsid w:val="00305F81"/>
    <w:rsid w:val="003063C0"/>
    <w:rsid w:val="003103D0"/>
    <w:rsid w:val="00311B07"/>
    <w:rsid w:val="00312108"/>
    <w:rsid w:val="003129F3"/>
    <w:rsid w:val="00312A64"/>
    <w:rsid w:val="00316701"/>
    <w:rsid w:val="0031697B"/>
    <w:rsid w:val="00320569"/>
    <w:rsid w:val="00321A2A"/>
    <w:rsid w:val="00321D86"/>
    <w:rsid w:val="003223CC"/>
    <w:rsid w:val="0032262A"/>
    <w:rsid w:val="003228A2"/>
    <w:rsid w:val="00324230"/>
    <w:rsid w:val="00324B5B"/>
    <w:rsid w:val="0032503F"/>
    <w:rsid w:val="00327AD6"/>
    <w:rsid w:val="00327C2C"/>
    <w:rsid w:val="003343A3"/>
    <w:rsid w:val="003352B6"/>
    <w:rsid w:val="00336018"/>
    <w:rsid w:val="00337008"/>
    <w:rsid w:val="0033708B"/>
    <w:rsid w:val="003375BF"/>
    <w:rsid w:val="00340218"/>
    <w:rsid w:val="003404B2"/>
    <w:rsid w:val="00340748"/>
    <w:rsid w:val="00343C04"/>
    <w:rsid w:val="00344370"/>
    <w:rsid w:val="00344E82"/>
    <w:rsid w:val="00345765"/>
    <w:rsid w:val="00345776"/>
    <w:rsid w:val="00347D00"/>
    <w:rsid w:val="00350D8B"/>
    <w:rsid w:val="00351ACC"/>
    <w:rsid w:val="003524D5"/>
    <w:rsid w:val="003531E8"/>
    <w:rsid w:val="00355E6B"/>
    <w:rsid w:val="00357177"/>
    <w:rsid w:val="00357CC3"/>
    <w:rsid w:val="00360931"/>
    <w:rsid w:val="00360AB1"/>
    <w:rsid w:val="00360B67"/>
    <w:rsid w:val="0036120A"/>
    <w:rsid w:val="003623E9"/>
    <w:rsid w:val="00362517"/>
    <w:rsid w:val="0036347F"/>
    <w:rsid w:val="00363DFE"/>
    <w:rsid w:val="003646C5"/>
    <w:rsid w:val="003649AB"/>
    <w:rsid w:val="00367635"/>
    <w:rsid w:val="003677D7"/>
    <w:rsid w:val="00370175"/>
    <w:rsid w:val="00371110"/>
    <w:rsid w:val="00372C86"/>
    <w:rsid w:val="003730F0"/>
    <w:rsid w:val="00373A43"/>
    <w:rsid w:val="00373EA2"/>
    <w:rsid w:val="00374B98"/>
    <w:rsid w:val="00375AA3"/>
    <w:rsid w:val="00375DBE"/>
    <w:rsid w:val="00376362"/>
    <w:rsid w:val="003800DA"/>
    <w:rsid w:val="00380585"/>
    <w:rsid w:val="00381292"/>
    <w:rsid w:val="00384974"/>
    <w:rsid w:val="00385247"/>
    <w:rsid w:val="00385C55"/>
    <w:rsid w:val="00386BFB"/>
    <w:rsid w:val="00391748"/>
    <w:rsid w:val="0039344E"/>
    <w:rsid w:val="0039357A"/>
    <w:rsid w:val="00393B51"/>
    <w:rsid w:val="003948FB"/>
    <w:rsid w:val="0039720D"/>
    <w:rsid w:val="00397E01"/>
    <w:rsid w:val="003A1F84"/>
    <w:rsid w:val="003A22A0"/>
    <w:rsid w:val="003A2AB1"/>
    <w:rsid w:val="003A2AC1"/>
    <w:rsid w:val="003A34BB"/>
    <w:rsid w:val="003A3D71"/>
    <w:rsid w:val="003A47DC"/>
    <w:rsid w:val="003A48DE"/>
    <w:rsid w:val="003A4AF9"/>
    <w:rsid w:val="003A4D84"/>
    <w:rsid w:val="003A5573"/>
    <w:rsid w:val="003A5DF7"/>
    <w:rsid w:val="003A6A94"/>
    <w:rsid w:val="003A6FAC"/>
    <w:rsid w:val="003A7AFA"/>
    <w:rsid w:val="003B0D4E"/>
    <w:rsid w:val="003B29A3"/>
    <w:rsid w:val="003B2D7C"/>
    <w:rsid w:val="003B30EF"/>
    <w:rsid w:val="003B3A53"/>
    <w:rsid w:val="003B7394"/>
    <w:rsid w:val="003B7B3C"/>
    <w:rsid w:val="003C12FA"/>
    <w:rsid w:val="003C1658"/>
    <w:rsid w:val="003C1B5F"/>
    <w:rsid w:val="003C36FF"/>
    <w:rsid w:val="003C49D2"/>
    <w:rsid w:val="003C4F0D"/>
    <w:rsid w:val="003C5AF9"/>
    <w:rsid w:val="003C7BD2"/>
    <w:rsid w:val="003D03F5"/>
    <w:rsid w:val="003D1A82"/>
    <w:rsid w:val="003D1DA3"/>
    <w:rsid w:val="003D1E89"/>
    <w:rsid w:val="003D2B86"/>
    <w:rsid w:val="003D3B9E"/>
    <w:rsid w:val="003D42C4"/>
    <w:rsid w:val="003D60CF"/>
    <w:rsid w:val="003D6589"/>
    <w:rsid w:val="003D7C07"/>
    <w:rsid w:val="003D7F6C"/>
    <w:rsid w:val="003E059E"/>
    <w:rsid w:val="003E2806"/>
    <w:rsid w:val="003E2C2D"/>
    <w:rsid w:val="003E3F10"/>
    <w:rsid w:val="003E4CB0"/>
    <w:rsid w:val="003E5271"/>
    <w:rsid w:val="003E5CCE"/>
    <w:rsid w:val="003E76AF"/>
    <w:rsid w:val="003F0DF3"/>
    <w:rsid w:val="003F1D4F"/>
    <w:rsid w:val="003F23D5"/>
    <w:rsid w:val="003F287E"/>
    <w:rsid w:val="003F2927"/>
    <w:rsid w:val="003F29CE"/>
    <w:rsid w:val="003F40CB"/>
    <w:rsid w:val="003F4F9A"/>
    <w:rsid w:val="003F5B32"/>
    <w:rsid w:val="003F72CF"/>
    <w:rsid w:val="003F7FE3"/>
    <w:rsid w:val="00402022"/>
    <w:rsid w:val="0040325F"/>
    <w:rsid w:val="00403FCA"/>
    <w:rsid w:val="0040747E"/>
    <w:rsid w:val="00407F3C"/>
    <w:rsid w:val="004108CE"/>
    <w:rsid w:val="00412A28"/>
    <w:rsid w:val="00413C5B"/>
    <w:rsid w:val="0041400C"/>
    <w:rsid w:val="004142E2"/>
    <w:rsid w:val="00414481"/>
    <w:rsid w:val="00414841"/>
    <w:rsid w:val="00414D0D"/>
    <w:rsid w:val="004165CF"/>
    <w:rsid w:val="00416EC2"/>
    <w:rsid w:val="00420369"/>
    <w:rsid w:val="004213C3"/>
    <w:rsid w:val="00421646"/>
    <w:rsid w:val="004219B4"/>
    <w:rsid w:val="00421B18"/>
    <w:rsid w:val="00423A0A"/>
    <w:rsid w:val="00430877"/>
    <w:rsid w:val="004318F6"/>
    <w:rsid w:val="00431D20"/>
    <w:rsid w:val="0043258C"/>
    <w:rsid w:val="00432CD2"/>
    <w:rsid w:val="004347CA"/>
    <w:rsid w:val="00435C92"/>
    <w:rsid w:val="0043652D"/>
    <w:rsid w:val="004404DA"/>
    <w:rsid w:val="00441C7C"/>
    <w:rsid w:val="00443BD1"/>
    <w:rsid w:val="00444CE0"/>
    <w:rsid w:val="00446338"/>
    <w:rsid w:val="004467E4"/>
    <w:rsid w:val="00451BD3"/>
    <w:rsid w:val="004527F1"/>
    <w:rsid w:val="00453025"/>
    <w:rsid w:val="0045340D"/>
    <w:rsid w:val="00453F50"/>
    <w:rsid w:val="004545A5"/>
    <w:rsid w:val="00455FE8"/>
    <w:rsid w:val="004569E5"/>
    <w:rsid w:val="00456ED6"/>
    <w:rsid w:val="00457256"/>
    <w:rsid w:val="00461230"/>
    <w:rsid w:val="00461947"/>
    <w:rsid w:val="00465485"/>
    <w:rsid w:val="00470D09"/>
    <w:rsid w:val="00470FC5"/>
    <w:rsid w:val="00472D95"/>
    <w:rsid w:val="00473188"/>
    <w:rsid w:val="00474A8F"/>
    <w:rsid w:val="00475131"/>
    <w:rsid w:val="00475E88"/>
    <w:rsid w:val="00477089"/>
    <w:rsid w:val="00477ECC"/>
    <w:rsid w:val="0048080E"/>
    <w:rsid w:val="00480F5F"/>
    <w:rsid w:val="00485110"/>
    <w:rsid w:val="00485180"/>
    <w:rsid w:val="004854BB"/>
    <w:rsid w:val="0048582A"/>
    <w:rsid w:val="004858BD"/>
    <w:rsid w:val="00487301"/>
    <w:rsid w:val="00487474"/>
    <w:rsid w:val="0049210A"/>
    <w:rsid w:val="004933E0"/>
    <w:rsid w:val="004935D2"/>
    <w:rsid w:val="004949B0"/>
    <w:rsid w:val="00494A35"/>
    <w:rsid w:val="00494C0F"/>
    <w:rsid w:val="004951A4"/>
    <w:rsid w:val="004976C6"/>
    <w:rsid w:val="004A17C9"/>
    <w:rsid w:val="004A192D"/>
    <w:rsid w:val="004A2167"/>
    <w:rsid w:val="004A309D"/>
    <w:rsid w:val="004A3716"/>
    <w:rsid w:val="004A4928"/>
    <w:rsid w:val="004A59C5"/>
    <w:rsid w:val="004A5EC5"/>
    <w:rsid w:val="004A6834"/>
    <w:rsid w:val="004A6F14"/>
    <w:rsid w:val="004A7230"/>
    <w:rsid w:val="004A768E"/>
    <w:rsid w:val="004A7746"/>
    <w:rsid w:val="004A79C5"/>
    <w:rsid w:val="004B01DD"/>
    <w:rsid w:val="004B04CD"/>
    <w:rsid w:val="004B1FBD"/>
    <w:rsid w:val="004B26AC"/>
    <w:rsid w:val="004B4498"/>
    <w:rsid w:val="004B5AD9"/>
    <w:rsid w:val="004B698C"/>
    <w:rsid w:val="004B731F"/>
    <w:rsid w:val="004B7D66"/>
    <w:rsid w:val="004C00DB"/>
    <w:rsid w:val="004C0B96"/>
    <w:rsid w:val="004C1673"/>
    <w:rsid w:val="004C26AF"/>
    <w:rsid w:val="004C3348"/>
    <w:rsid w:val="004C40C1"/>
    <w:rsid w:val="004C4E2E"/>
    <w:rsid w:val="004C73A1"/>
    <w:rsid w:val="004C7E33"/>
    <w:rsid w:val="004D0308"/>
    <w:rsid w:val="004D0CA2"/>
    <w:rsid w:val="004D3626"/>
    <w:rsid w:val="004D388A"/>
    <w:rsid w:val="004D507F"/>
    <w:rsid w:val="004D5771"/>
    <w:rsid w:val="004E06CB"/>
    <w:rsid w:val="004E1DCE"/>
    <w:rsid w:val="004E26E8"/>
    <w:rsid w:val="004E3BDF"/>
    <w:rsid w:val="004E4518"/>
    <w:rsid w:val="004E590B"/>
    <w:rsid w:val="004E7422"/>
    <w:rsid w:val="004E7F7B"/>
    <w:rsid w:val="004F04AD"/>
    <w:rsid w:val="004F0A95"/>
    <w:rsid w:val="004F2844"/>
    <w:rsid w:val="004F2F45"/>
    <w:rsid w:val="004F3E9D"/>
    <w:rsid w:val="004F412A"/>
    <w:rsid w:val="004F7161"/>
    <w:rsid w:val="005025F9"/>
    <w:rsid w:val="00502A9C"/>
    <w:rsid w:val="00502B5C"/>
    <w:rsid w:val="005048F5"/>
    <w:rsid w:val="00506230"/>
    <w:rsid w:val="005071EF"/>
    <w:rsid w:val="0051258C"/>
    <w:rsid w:val="00513364"/>
    <w:rsid w:val="005142A1"/>
    <w:rsid w:val="00514883"/>
    <w:rsid w:val="00515377"/>
    <w:rsid w:val="005153A8"/>
    <w:rsid w:val="00517283"/>
    <w:rsid w:val="00521687"/>
    <w:rsid w:val="00521BDE"/>
    <w:rsid w:val="00523ADE"/>
    <w:rsid w:val="00527753"/>
    <w:rsid w:val="0053088B"/>
    <w:rsid w:val="00530C6D"/>
    <w:rsid w:val="00531791"/>
    <w:rsid w:val="0053213E"/>
    <w:rsid w:val="0053249F"/>
    <w:rsid w:val="00533488"/>
    <w:rsid w:val="00534E97"/>
    <w:rsid w:val="00536A2D"/>
    <w:rsid w:val="00536C4F"/>
    <w:rsid w:val="00541E5C"/>
    <w:rsid w:val="005429F8"/>
    <w:rsid w:val="00542B82"/>
    <w:rsid w:val="00543D79"/>
    <w:rsid w:val="00544053"/>
    <w:rsid w:val="00544F89"/>
    <w:rsid w:val="00545C79"/>
    <w:rsid w:val="00546425"/>
    <w:rsid w:val="005466A3"/>
    <w:rsid w:val="00546F69"/>
    <w:rsid w:val="00547C74"/>
    <w:rsid w:val="00547D48"/>
    <w:rsid w:val="00547E56"/>
    <w:rsid w:val="00550488"/>
    <w:rsid w:val="00550B18"/>
    <w:rsid w:val="00550D48"/>
    <w:rsid w:val="005523AA"/>
    <w:rsid w:val="00552FCD"/>
    <w:rsid w:val="0055324A"/>
    <w:rsid w:val="00556A43"/>
    <w:rsid w:val="00556F5F"/>
    <w:rsid w:val="00556F86"/>
    <w:rsid w:val="005601D8"/>
    <w:rsid w:val="005607F7"/>
    <w:rsid w:val="00560D21"/>
    <w:rsid w:val="00562BE6"/>
    <w:rsid w:val="00563CA8"/>
    <w:rsid w:val="00563EE3"/>
    <w:rsid w:val="00564277"/>
    <w:rsid w:val="00564647"/>
    <w:rsid w:val="00564FAE"/>
    <w:rsid w:val="00566267"/>
    <w:rsid w:val="005672D0"/>
    <w:rsid w:val="00567434"/>
    <w:rsid w:val="00570672"/>
    <w:rsid w:val="005713E8"/>
    <w:rsid w:val="00573849"/>
    <w:rsid w:val="005741F0"/>
    <w:rsid w:val="005744B1"/>
    <w:rsid w:val="00574CDF"/>
    <w:rsid w:val="00575FE6"/>
    <w:rsid w:val="005773D6"/>
    <w:rsid w:val="00577EE2"/>
    <w:rsid w:val="00580BDE"/>
    <w:rsid w:val="005839CC"/>
    <w:rsid w:val="00584D6C"/>
    <w:rsid w:val="00585087"/>
    <w:rsid w:val="00585F37"/>
    <w:rsid w:val="005876C7"/>
    <w:rsid w:val="005876FF"/>
    <w:rsid w:val="00587A2C"/>
    <w:rsid w:val="00590748"/>
    <w:rsid w:val="0059115D"/>
    <w:rsid w:val="00591D23"/>
    <w:rsid w:val="0059217C"/>
    <w:rsid w:val="00592CDE"/>
    <w:rsid w:val="00593923"/>
    <w:rsid w:val="00595502"/>
    <w:rsid w:val="00595AEB"/>
    <w:rsid w:val="00596845"/>
    <w:rsid w:val="00597BD7"/>
    <w:rsid w:val="005A006B"/>
    <w:rsid w:val="005A07AD"/>
    <w:rsid w:val="005A13A3"/>
    <w:rsid w:val="005A1795"/>
    <w:rsid w:val="005A29B0"/>
    <w:rsid w:val="005A344B"/>
    <w:rsid w:val="005A3981"/>
    <w:rsid w:val="005A39B7"/>
    <w:rsid w:val="005A428C"/>
    <w:rsid w:val="005A4E7F"/>
    <w:rsid w:val="005B0667"/>
    <w:rsid w:val="005B0875"/>
    <w:rsid w:val="005B1C6E"/>
    <w:rsid w:val="005B226C"/>
    <w:rsid w:val="005B4C74"/>
    <w:rsid w:val="005B4FFC"/>
    <w:rsid w:val="005B5159"/>
    <w:rsid w:val="005B57A1"/>
    <w:rsid w:val="005B69A7"/>
    <w:rsid w:val="005B7E95"/>
    <w:rsid w:val="005C05B2"/>
    <w:rsid w:val="005C2075"/>
    <w:rsid w:val="005C32CF"/>
    <w:rsid w:val="005C34D9"/>
    <w:rsid w:val="005C35F6"/>
    <w:rsid w:val="005C396C"/>
    <w:rsid w:val="005C4099"/>
    <w:rsid w:val="005C4FF2"/>
    <w:rsid w:val="005C534D"/>
    <w:rsid w:val="005C5A0B"/>
    <w:rsid w:val="005C687E"/>
    <w:rsid w:val="005C79D6"/>
    <w:rsid w:val="005D0376"/>
    <w:rsid w:val="005D0F5F"/>
    <w:rsid w:val="005D4DA1"/>
    <w:rsid w:val="005D5566"/>
    <w:rsid w:val="005D5BF0"/>
    <w:rsid w:val="005D6980"/>
    <w:rsid w:val="005D6F57"/>
    <w:rsid w:val="005E0B9F"/>
    <w:rsid w:val="005E0C53"/>
    <w:rsid w:val="005E1048"/>
    <w:rsid w:val="005E1EB7"/>
    <w:rsid w:val="005E2585"/>
    <w:rsid w:val="005E2629"/>
    <w:rsid w:val="005E5D24"/>
    <w:rsid w:val="005E61CB"/>
    <w:rsid w:val="005E652D"/>
    <w:rsid w:val="005E6D6E"/>
    <w:rsid w:val="005E6E7C"/>
    <w:rsid w:val="005E7289"/>
    <w:rsid w:val="005E7336"/>
    <w:rsid w:val="005E79B3"/>
    <w:rsid w:val="005E7B6D"/>
    <w:rsid w:val="005F0247"/>
    <w:rsid w:val="005F1D2B"/>
    <w:rsid w:val="005F2CB5"/>
    <w:rsid w:val="005F3663"/>
    <w:rsid w:val="005F3AE7"/>
    <w:rsid w:val="005F5029"/>
    <w:rsid w:val="005F56FE"/>
    <w:rsid w:val="005F65A9"/>
    <w:rsid w:val="005F688A"/>
    <w:rsid w:val="005F6A0B"/>
    <w:rsid w:val="005F6D7E"/>
    <w:rsid w:val="005F7567"/>
    <w:rsid w:val="005F7892"/>
    <w:rsid w:val="00600188"/>
    <w:rsid w:val="00601682"/>
    <w:rsid w:val="00601A2B"/>
    <w:rsid w:val="00601E26"/>
    <w:rsid w:val="00601EBD"/>
    <w:rsid w:val="00602355"/>
    <w:rsid w:val="00603062"/>
    <w:rsid w:val="00603396"/>
    <w:rsid w:val="006065EF"/>
    <w:rsid w:val="00610707"/>
    <w:rsid w:val="0061212F"/>
    <w:rsid w:val="00613639"/>
    <w:rsid w:val="006157F1"/>
    <w:rsid w:val="00616115"/>
    <w:rsid w:val="006211A8"/>
    <w:rsid w:val="0062239C"/>
    <w:rsid w:val="006223AA"/>
    <w:rsid w:val="0062384C"/>
    <w:rsid w:val="00623EC5"/>
    <w:rsid w:val="006262C0"/>
    <w:rsid w:val="00630985"/>
    <w:rsid w:val="00630FD0"/>
    <w:rsid w:val="00631772"/>
    <w:rsid w:val="00633C16"/>
    <w:rsid w:val="00635221"/>
    <w:rsid w:val="00636F54"/>
    <w:rsid w:val="0064179E"/>
    <w:rsid w:val="00643FA5"/>
    <w:rsid w:val="006454F9"/>
    <w:rsid w:val="00645D5A"/>
    <w:rsid w:val="006462F1"/>
    <w:rsid w:val="00647CC6"/>
    <w:rsid w:val="006506F9"/>
    <w:rsid w:val="0065079D"/>
    <w:rsid w:val="00650C0C"/>
    <w:rsid w:val="0065121B"/>
    <w:rsid w:val="00651B5A"/>
    <w:rsid w:val="00652ACD"/>
    <w:rsid w:val="00653D7C"/>
    <w:rsid w:val="00655695"/>
    <w:rsid w:val="00655742"/>
    <w:rsid w:val="00655924"/>
    <w:rsid w:val="00656C6C"/>
    <w:rsid w:val="00657D28"/>
    <w:rsid w:val="00657E3C"/>
    <w:rsid w:val="006626CF"/>
    <w:rsid w:val="00663CEE"/>
    <w:rsid w:val="00664107"/>
    <w:rsid w:val="00665602"/>
    <w:rsid w:val="006668F9"/>
    <w:rsid w:val="00666DCB"/>
    <w:rsid w:val="006675A0"/>
    <w:rsid w:val="006711BE"/>
    <w:rsid w:val="00673A4A"/>
    <w:rsid w:val="0067537D"/>
    <w:rsid w:val="006753EB"/>
    <w:rsid w:val="006755A7"/>
    <w:rsid w:val="00676708"/>
    <w:rsid w:val="00676C23"/>
    <w:rsid w:val="00677009"/>
    <w:rsid w:val="00677987"/>
    <w:rsid w:val="00677C6D"/>
    <w:rsid w:val="00677C99"/>
    <w:rsid w:val="00681952"/>
    <w:rsid w:val="00681B2A"/>
    <w:rsid w:val="00682480"/>
    <w:rsid w:val="0068347A"/>
    <w:rsid w:val="006838DC"/>
    <w:rsid w:val="00685CBF"/>
    <w:rsid w:val="00686638"/>
    <w:rsid w:val="00686B28"/>
    <w:rsid w:val="0069031B"/>
    <w:rsid w:val="00691836"/>
    <w:rsid w:val="0069218C"/>
    <w:rsid w:val="00692303"/>
    <w:rsid w:val="006949C7"/>
    <w:rsid w:val="00695DAC"/>
    <w:rsid w:val="00696F62"/>
    <w:rsid w:val="00697CA9"/>
    <w:rsid w:val="00697DA6"/>
    <w:rsid w:val="006A0251"/>
    <w:rsid w:val="006A1DE5"/>
    <w:rsid w:val="006A22CB"/>
    <w:rsid w:val="006A2656"/>
    <w:rsid w:val="006A3955"/>
    <w:rsid w:val="006A41BD"/>
    <w:rsid w:val="006A5CA5"/>
    <w:rsid w:val="006A5F0D"/>
    <w:rsid w:val="006A70C4"/>
    <w:rsid w:val="006B0847"/>
    <w:rsid w:val="006B1547"/>
    <w:rsid w:val="006B15F4"/>
    <w:rsid w:val="006B15FD"/>
    <w:rsid w:val="006B21C8"/>
    <w:rsid w:val="006B26F4"/>
    <w:rsid w:val="006B3538"/>
    <w:rsid w:val="006B4D2D"/>
    <w:rsid w:val="006B55F8"/>
    <w:rsid w:val="006C23B7"/>
    <w:rsid w:val="006C300E"/>
    <w:rsid w:val="006C40C2"/>
    <w:rsid w:val="006C44A3"/>
    <w:rsid w:val="006C4C60"/>
    <w:rsid w:val="006C6054"/>
    <w:rsid w:val="006C7179"/>
    <w:rsid w:val="006C7860"/>
    <w:rsid w:val="006C7F5F"/>
    <w:rsid w:val="006D3130"/>
    <w:rsid w:val="006D39B0"/>
    <w:rsid w:val="006D3C8A"/>
    <w:rsid w:val="006D4CCD"/>
    <w:rsid w:val="006D5192"/>
    <w:rsid w:val="006D5F8A"/>
    <w:rsid w:val="006D7184"/>
    <w:rsid w:val="006D72B1"/>
    <w:rsid w:val="006E007E"/>
    <w:rsid w:val="006E179B"/>
    <w:rsid w:val="006E19E3"/>
    <w:rsid w:val="006E1BAC"/>
    <w:rsid w:val="006E43F0"/>
    <w:rsid w:val="006E47D0"/>
    <w:rsid w:val="006E4BA2"/>
    <w:rsid w:val="006E7034"/>
    <w:rsid w:val="006E722C"/>
    <w:rsid w:val="006E74A9"/>
    <w:rsid w:val="006E78D3"/>
    <w:rsid w:val="006F1927"/>
    <w:rsid w:val="006F1B00"/>
    <w:rsid w:val="006F245E"/>
    <w:rsid w:val="006F27C7"/>
    <w:rsid w:val="006F28DD"/>
    <w:rsid w:val="006F4195"/>
    <w:rsid w:val="006F5CEE"/>
    <w:rsid w:val="006F6916"/>
    <w:rsid w:val="006F73F8"/>
    <w:rsid w:val="006F7A5F"/>
    <w:rsid w:val="006F7AD8"/>
    <w:rsid w:val="006F7E58"/>
    <w:rsid w:val="007005F5"/>
    <w:rsid w:val="0070146A"/>
    <w:rsid w:val="00701D0C"/>
    <w:rsid w:val="00701E87"/>
    <w:rsid w:val="00701ED7"/>
    <w:rsid w:val="0070242A"/>
    <w:rsid w:val="00702A24"/>
    <w:rsid w:val="0070351F"/>
    <w:rsid w:val="00703A55"/>
    <w:rsid w:val="00704377"/>
    <w:rsid w:val="00704556"/>
    <w:rsid w:val="00704E35"/>
    <w:rsid w:val="00705DEE"/>
    <w:rsid w:val="0070687A"/>
    <w:rsid w:val="00707055"/>
    <w:rsid w:val="007074AA"/>
    <w:rsid w:val="00707F76"/>
    <w:rsid w:val="007108CF"/>
    <w:rsid w:val="00712508"/>
    <w:rsid w:val="00715165"/>
    <w:rsid w:val="00715B9B"/>
    <w:rsid w:val="00715FB5"/>
    <w:rsid w:val="007164F6"/>
    <w:rsid w:val="007167BA"/>
    <w:rsid w:val="0071693F"/>
    <w:rsid w:val="00720015"/>
    <w:rsid w:val="0072022B"/>
    <w:rsid w:val="00721683"/>
    <w:rsid w:val="007223C0"/>
    <w:rsid w:val="00722820"/>
    <w:rsid w:val="0072315B"/>
    <w:rsid w:val="00723BC8"/>
    <w:rsid w:val="00724400"/>
    <w:rsid w:val="007251D7"/>
    <w:rsid w:val="00727B7C"/>
    <w:rsid w:val="00730365"/>
    <w:rsid w:val="00730771"/>
    <w:rsid w:val="00730A76"/>
    <w:rsid w:val="007316EE"/>
    <w:rsid w:val="007326A0"/>
    <w:rsid w:val="00732BE9"/>
    <w:rsid w:val="0073442A"/>
    <w:rsid w:val="007368AA"/>
    <w:rsid w:val="00736C27"/>
    <w:rsid w:val="00736E02"/>
    <w:rsid w:val="00736F1F"/>
    <w:rsid w:val="00737703"/>
    <w:rsid w:val="00741731"/>
    <w:rsid w:val="007435D3"/>
    <w:rsid w:val="00743AAF"/>
    <w:rsid w:val="00743B12"/>
    <w:rsid w:val="00745A2A"/>
    <w:rsid w:val="00746EB3"/>
    <w:rsid w:val="00747944"/>
    <w:rsid w:val="00747E2A"/>
    <w:rsid w:val="00750535"/>
    <w:rsid w:val="0075099D"/>
    <w:rsid w:val="0075306B"/>
    <w:rsid w:val="00754C60"/>
    <w:rsid w:val="007572B3"/>
    <w:rsid w:val="00757C1F"/>
    <w:rsid w:val="0076004D"/>
    <w:rsid w:val="00761613"/>
    <w:rsid w:val="007655ED"/>
    <w:rsid w:val="007665A5"/>
    <w:rsid w:val="0076787D"/>
    <w:rsid w:val="0077013F"/>
    <w:rsid w:val="00770BCB"/>
    <w:rsid w:val="007714C3"/>
    <w:rsid w:val="00771958"/>
    <w:rsid w:val="00773916"/>
    <w:rsid w:val="00774356"/>
    <w:rsid w:val="00775272"/>
    <w:rsid w:val="007766F9"/>
    <w:rsid w:val="007771E1"/>
    <w:rsid w:val="00781D12"/>
    <w:rsid w:val="0078268E"/>
    <w:rsid w:val="00783846"/>
    <w:rsid w:val="00784B69"/>
    <w:rsid w:val="00784C66"/>
    <w:rsid w:val="00784E53"/>
    <w:rsid w:val="00784FC9"/>
    <w:rsid w:val="00786992"/>
    <w:rsid w:val="00786CBD"/>
    <w:rsid w:val="00790862"/>
    <w:rsid w:val="00791AC2"/>
    <w:rsid w:val="00792995"/>
    <w:rsid w:val="00793611"/>
    <w:rsid w:val="007938E6"/>
    <w:rsid w:val="00793E9F"/>
    <w:rsid w:val="00795A6F"/>
    <w:rsid w:val="007A0D70"/>
    <w:rsid w:val="007A1499"/>
    <w:rsid w:val="007A2193"/>
    <w:rsid w:val="007A2AB6"/>
    <w:rsid w:val="007A3F09"/>
    <w:rsid w:val="007A484F"/>
    <w:rsid w:val="007A4C18"/>
    <w:rsid w:val="007A633D"/>
    <w:rsid w:val="007A683C"/>
    <w:rsid w:val="007A71EC"/>
    <w:rsid w:val="007B07E3"/>
    <w:rsid w:val="007B1859"/>
    <w:rsid w:val="007B32BA"/>
    <w:rsid w:val="007B42FB"/>
    <w:rsid w:val="007B780E"/>
    <w:rsid w:val="007B7947"/>
    <w:rsid w:val="007B7972"/>
    <w:rsid w:val="007C4426"/>
    <w:rsid w:val="007C54B5"/>
    <w:rsid w:val="007C5CBB"/>
    <w:rsid w:val="007C6287"/>
    <w:rsid w:val="007C69C8"/>
    <w:rsid w:val="007C70B4"/>
    <w:rsid w:val="007C77B1"/>
    <w:rsid w:val="007C7F7C"/>
    <w:rsid w:val="007D0E05"/>
    <w:rsid w:val="007D1A40"/>
    <w:rsid w:val="007D1F47"/>
    <w:rsid w:val="007D1FD4"/>
    <w:rsid w:val="007D33F0"/>
    <w:rsid w:val="007D5241"/>
    <w:rsid w:val="007D5B58"/>
    <w:rsid w:val="007D6134"/>
    <w:rsid w:val="007D65C5"/>
    <w:rsid w:val="007D6AD0"/>
    <w:rsid w:val="007E0BD0"/>
    <w:rsid w:val="007E17B4"/>
    <w:rsid w:val="007E1D56"/>
    <w:rsid w:val="007E1E8F"/>
    <w:rsid w:val="007E2508"/>
    <w:rsid w:val="007E26B2"/>
    <w:rsid w:val="007E3E4A"/>
    <w:rsid w:val="007E4BA2"/>
    <w:rsid w:val="007E4E44"/>
    <w:rsid w:val="007E6A3C"/>
    <w:rsid w:val="007F11AF"/>
    <w:rsid w:val="007F161A"/>
    <w:rsid w:val="007F270B"/>
    <w:rsid w:val="007F3C9D"/>
    <w:rsid w:val="007F4B08"/>
    <w:rsid w:val="007F4F53"/>
    <w:rsid w:val="007F623C"/>
    <w:rsid w:val="00800A3B"/>
    <w:rsid w:val="00800DEC"/>
    <w:rsid w:val="00801365"/>
    <w:rsid w:val="008030A9"/>
    <w:rsid w:val="00803464"/>
    <w:rsid w:val="008041D5"/>
    <w:rsid w:val="00805E24"/>
    <w:rsid w:val="00810E8F"/>
    <w:rsid w:val="0081146C"/>
    <w:rsid w:val="008119C1"/>
    <w:rsid w:val="008126F8"/>
    <w:rsid w:val="008129D6"/>
    <w:rsid w:val="00813C8A"/>
    <w:rsid w:val="00814BB3"/>
    <w:rsid w:val="0081745C"/>
    <w:rsid w:val="00820BF5"/>
    <w:rsid w:val="0082159F"/>
    <w:rsid w:val="008236F0"/>
    <w:rsid w:val="00823EF2"/>
    <w:rsid w:val="0082452E"/>
    <w:rsid w:val="008246BC"/>
    <w:rsid w:val="00825954"/>
    <w:rsid w:val="008259D7"/>
    <w:rsid w:val="00825C5A"/>
    <w:rsid w:val="0082676B"/>
    <w:rsid w:val="00826BE8"/>
    <w:rsid w:val="0082769D"/>
    <w:rsid w:val="0082797B"/>
    <w:rsid w:val="00830022"/>
    <w:rsid w:val="00830E20"/>
    <w:rsid w:val="00831110"/>
    <w:rsid w:val="0083115E"/>
    <w:rsid w:val="00831D6D"/>
    <w:rsid w:val="00833173"/>
    <w:rsid w:val="0083451D"/>
    <w:rsid w:val="00834EDE"/>
    <w:rsid w:val="00837044"/>
    <w:rsid w:val="0083767E"/>
    <w:rsid w:val="0084014A"/>
    <w:rsid w:val="0084035D"/>
    <w:rsid w:val="008417B7"/>
    <w:rsid w:val="00841A67"/>
    <w:rsid w:val="00842E7F"/>
    <w:rsid w:val="00844F82"/>
    <w:rsid w:val="00845080"/>
    <w:rsid w:val="0084584B"/>
    <w:rsid w:val="008458AA"/>
    <w:rsid w:val="00847172"/>
    <w:rsid w:val="008503CB"/>
    <w:rsid w:val="00850AE4"/>
    <w:rsid w:val="008514EA"/>
    <w:rsid w:val="00851905"/>
    <w:rsid w:val="00851B97"/>
    <w:rsid w:val="008531F3"/>
    <w:rsid w:val="00853B47"/>
    <w:rsid w:val="0085432D"/>
    <w:rsid w:val="00854CC5"/>
    <w:rsid w:val="008550E8"/>
    <w:rsid w:val="008562D0"/>
    <w:rsid w:val="00856CD6"/>
    <w:rsid w:val="0086006D"/>
    <w:rsid w:val="00863624"/>
    <w:rsid w:val="0086454B"/>
    <w:rsid w:val="00864EBC"/>
    <w:rsid w:val="00865B0F"/>
    <w:rsid w:val="00870D10"/>
    <w:rsid w:val="00870E67"/>
    <w:rsid w:val="0087209A"/>
    <w:rsid w:val="00872D60"/>
    <w:rsid w:val="0087326F"/>
    <w:rsid w:val="008736B3"/>
    <w:rsid w:val="008739F4"/>
    <w:rsid w:val="00873A6E"/>
    <w:rsid w:val="00874A32"/>
    <w:rsid w:val="00875CE7"/>
    <w:rsid w:val="00883414"/>
    <w:rsid w:val="00884D68"/>
    <w:rsid w:val="00886DFF"/>
    <w:rsid w:val="00891338"/>
    <w:rsid w:val="00891EA7"/>
    <w:rsid w:val="008923B1"/>
    <w:rsid w:val="0089257D"/>
    <w:rsid w:val="008948EC"/>
    <w:rsid w:val="00895ADB"/>
    <w:rsid w:val="00896108"/>
    <w:rsid w:val="00896256"/>
    <w:rsid w:val="008969A3"/>
    <w:rsid w:val="00897A96"/>
    <w:rsid w:val="00897C37"/>
    <w:rsid w:val="008A124E"/>
    <w:rsid w:val="008A2FE2"/>
    <w:rsid w:val="008A31B4"/>
    <w:rsid w:val="008A3B35"/>
    <w:rsid w:val="008A43F5"/>
    <w:rsid w:val="008A44AF"/>
    <w:rsid w:val="008A477A"/>
    <w:rsid w:val="008A4FD9"/>
    <w:rsid w:val="008A56EB"/>
    <w:rsid w:val="008A629D"/>
    <w:rsid w:val="008A6425"/>
    <w:rsid w:val="008A6442"/>
    <w:rsid w:val="008A7C8B"/>
    <w:rsid w:val="008B1326"/>
    <w:rsid w:val="008B15BF"/>
    <w:rsid w:val="008B1E5A"/>
    <w:rsid w:val="008B2E69"/>
    <w:rsid w:val="008B3E8B"/>
    <w:rsid w:val="008B41AB"/>
    <w:rsid w:val="008B602C"/>
    <w:rsid w:val="008B61F5"/>
    <w:rsid w:val="008B75C7"/>
    <w:rsid w:val="008C00AD"/>
    <w:rsid w:val="008C16A4"/>
    <w:rsid w:val="008C280B"/>
    <w:rsid w:val="008C2D49"/>
    <w:rsid w:val="008C3D23"/>
    <w:rsid w:val="008C55BE"/>
    <w:rsid w:val="008C5C44"/>
    <w:rsid w:val="008C6855"/>
    <w:rsid w:val="008C6886"/>
    <w:rsid w:val="008C6A20"/>
    <w:rsid w:val="008C6B99"/>
    <w:rsid w:val="008C7E03"/>
    <w:rsid w:val="008C7FAE"/>
    <w:rsid w:val="008D373B"/>
    <w:rsid w:val="008D374D"/>
    <w:rsid w:val="008D396B"/>
    <w:rsid w:val="008D3A85"/>
    <w:rsid w:val="008D523E"/>
    <w:rsid w:val="008D56C5"/>
    <w:rsid w:val="008D622C"/>
    <w:rsid w:val="008E057C"/>
    <w:rsid w:val="008E0863"/>
    <w:rsid w:val="008E0B0C"/>
    <w:rsid w:val="008E0D98"/>
    <w:rsid w:val="008E0F12"/>
    <w:rsid w:val="008E117D"/>
    <w:rsid w:val="008E137A"/>
    <w:rsid w:val="008E2E7A"/>
    <w:rsid w:val="008E2F07"/>
    <w:rsid w:val="008E4F8C"/>
    <w:rsid w:val="008E5F0D"/>
    <w:rsid w:val="008E6FCA"/>
    <w:rsid w:val="008E7516"/>
    <w:rsid w:val="008F0BC1"/>
    <w:rsid w:val="008F0BE2"/>
    <w:rsid w:val="008F16F7"/>
    <w:rsid w:val="008F1CD0"/>
    <w:rsid w:val="008F331C"/>
    <w:rsid w:val="008F455F"/>
    <w:rsid w:val="008F4AB9"/>
    <w:rsid w:val="008F598D"/>
    <w:rsid w:val="008F64D0"/>
    <w:rsid w:val="008F779C"/>
    <w:rsid w:val="008F7EC5"/>
    <w:rsid w:val="00900025"/>
    <w:rsid w:val="0090086F"/>
    <w:rsid w:val="00900927"/>
    <w:rsid w:val="009025F2"/>
    <w:rsid w:val="00902A17"/>
    <w:rsid w:val="00902F5B"/>
    <w:rsid w:val="0090388C"/>
    <w:rsid w:val="009047E5"/>
    <w:rsid w:val="0090659D"/>
    <w:rsid w:val="00906BE9"/>
    <w:rsid w:val="00907BB1"/>
    <w:rsid w:val="009111D3"/>
    <w:rsid w:val="00912A8F"/>
    <w:rsid w:val="00912C2B"/>
    <w:rsid w:val="00913385"/>
    <w:rsid w:val="00913F6D"/>
    <w:rsid w:val="009150A3"/>
    <w:rsid w:val="0091623D"/>
    <w:rsid w:val="00916AB7"/>
    <w:rsid w:val="00917A22"/>
    <w:rsid w:val="00917D48"/>
    <w:rsid w:val="0092037B"/>
    <w:rsid w:val="00920CB2"/>
    <w:rsid w:val="00921DA8"/>
    <w:rsid w:val="009224EE"/>
    <w:rsid w:val="00924FDD"/>
    <w:rsid w:val="009258DA"/>
    <w:rsid w:val="00925DFB"/>
    <w:rsid w:val="00926127"/>
    <w:rsid w:val="00927FE4"/>
    <w:rsid w:val="00933107"/>
    <w:rsid w:val="00933E3C"/>
    <w:rsid w:val="00933F49"/>
    <w:rsid w:val="00935932"/>
    <w:rsid w:val="00935F34"/>
    <w:rsid w:val="00936190"/>
    <w:rsid w:val="00937FF4"/>
    <w:rsid w:val="00940969"/>
    <w:rsid w:val="00941AAC"/>
    <w:rsid w:val="00941BD8"/>
    <w:rsid w:val="00942AFE"/>
    <w:rsid w:val="00943D88"/>
    <w:rsid w:val="00945875"/>
    <w:rsid w:val="00947027"/>
    <w:rsid w:val="009505B3"/>
    <w:rsid w:val="00951826"/>
    <w:rsid w:val="00951ABE"/>
    <w:rsid w:val="00951B3D"/>
    <w:rsid w:val="00951C12"/>
    <w:rsid w:val="00952816"/>
    <w:rsid w:val="00953121"/>
    <w:rsid w:val="0095402B"/>
    <w:rsid w:val="009541DF"/>
    <w:rsid w:val="00954567"/>
    <w:rsid w:val="009546F8"/>
    <w:rsid w:val="009552BD"/>
    <w:rsid w:val="009555B3"/>
    <w:rsid w:val="00956FB1"/>
    <w:rsid w:val="00957BC2"/>
    <w:rsid w:val="009600C0"/>
    <w:rsid w:val="0096092F"/>
    <w:rsid w:val="0096111D"/>
    <w:rsid w:val="00961CFE"/>
    <w:rsid w:val="00962209"/>
    <w:rsid w:val="00962335"/>
    <w:rsid w:val="00962D9A"/>
    <w:rsid w:val="009643E3"/>
    <w:rsid w:val="00964704"/>
    <w:rsid w:val="00964C09"/>
    <w:rsid w:val="0096528B"/>
    <w:rsid w:val="009661FF"/>
    <w:rsid w:val="00970238"/>
    <w:rsid w:val="009725F3"/>
    <w:rsid w:val="009745AD"/>
    <w:rsid w:val="0097537A"/>
    <w:rsid w:val="00976D47"/>
    <w:rsid w:val="009770C1"/>
    <w:rsid w:val="009773E7"/>
    <w:rsid w:val="009775B8"/>
    <w:rsid w:val="00980DB5"/>
    <w:rsid w:val="00981187"/>
    <w:rsid w:val="009813A4"/>
    <w:rsid w:val="00983B10"/>
    <w:rsid w:val="0098572F"/>
    <w:rsid w:val="00986AAC"/>
    <w:rsid w:val="00986DCD"/>
    <w:rsid w:val="00987FB4"/>
    <w:rsid w:val="009905A1"/>
    <w:rsid w:val="009906EB"/>
    <w:rsid w:val="00990C2C"/>
    <w:rsid w:val="00990E49"/>
    <w:rsid w:val="0099191C"/>
    <w:rsid w:val="00991D25"/>
    <w:rsid w:val="009920E1"/>
    <w:rsid w:val="009928F1"/>
    <w:rsid w:val="00992EB0"/>
    <w:rsid w:val="009932EE"/>
    <w:rsid w:val="00993B0D"/>
    <w:rsid w:val="009944B4"/>
    <w:rsid w:val="00994BBA"/>
    <w:rsid w:val="0099568A"/>
    <w:rsid w:val="00995F19"/>
    <w:rsid w:val="009960E8"/>
    <w:rsid w:val="00996F6B"/>
    <w:rsid w:val="009974EE"/>
    <w:rsid w:val="009A1B33"/>
    <w:rsid w:val="009A2CB5"/>
    <w:rsid w:val="009A3405"/>
    <w:rsid w:val="009A40FF"/>
    <w:rsid w:val="009A551A"/>
    <w:rsid w:val="009A5B5B"/>
    <w:rsid w:val="009A69D2"/>
    <w:rsid w:val="009A6A8C"/>
    <w:rsid w:val="009A7A20"/>
    <w:rsid w:val="009B0DBD"/>
    <w:rsid w:val="009B223F"/>
    <w:rsid w:val="009B23A6"/>
    <w:rsid w:val="009B4532"/>
    <w:rsid w:val="009B4635"/>
    <w:rsid w:val="009B4B68"/>
    <w:rsid w:val="009B5211"/>
    <w:rsid w:val="009B5251"/>
    <w:rsid w:val="009B569D"/>
    <w:rsid w:val="009B7257"/>
    <w:rsid w:val="009C0CEC"/>
    <w:rsid w:val="009C1422"/>
    <w:rsid w:val="009C1DEA"/>
    <w:rsid w:val="009C24CB"/>
    <w:rsid w:val="009C38FA"/>
    <w:rsid w:val="009C3DF5"/>
    <w:rsid w:val="009C4E97"/>
    <w:rsid w:val="009C4FA1"/>
    <w:rsid w:val="009C4FFA"/>
    <w:rsid w:val="009C55D6"/>
    <w:rsid w:val="009C583E"/>
    <w:rsid w:val="009C5B63"/>
    <w:rsid w:val="009C7FAB"/>
    <w:rsid w:val="009D321F"/>
    <w:rsid w:val="009D4BF0"/>
    <w:rsid w:val="009D7048"/>
    <w:rsid w:val="009D7161"/>
    <w:rsid w:val="009D7AF7"/>
    <w:rsid w:val="009E2988"/>
    <w:rsid w:val="009E3140"/>
    <w:rsid w:val="009E38DA"/>
    <w:rsid w:val="009E59C2"/>
    <w:rsid w:val="009E617A"/>
    <w:rsid w:val="009E7275"/>
    <w:rsid w:val="009E7E2C"/>
    <w:rsid w:val="009F0A7B"/>
    <w:rsid w:val="009F0BCB"/>
    <w:rsid w:val="009F1681"/>
    <w:rsid w:val="009F2633"/>
    <w:rsid w:val="009F2BBF"/>
    <w:rsid w:val="009F30BD"/>
    <w:rsid w:val="009F4F4A"/>
    <w:rsid w:val="009F54B5"/>
    <w:rsid w:val="00A000F9"/>
    <w:rsid w:val="00A01A49"/>
    <w:rsid w:val="00A0249C"/>
    <w:rsid w:val="00A0298E"/>
    <w:rsid w:val="00A0370E"/>
    <w:rsid w:val="00A03CB1"/>
    <w:rsid w:val="00A04F00"/>
    <w:rsid w:val="00A063B5"/>
    <w:rsid w:val="00A0699B"/>
    <w:rsid w:val="00A06FA5"/>
    <w:rsid w:val="00A07249"/>
    <w:rsid w:val="00A11100"/>
    <w:rsid w:val="00A11EE8"/>
    <w:rsid w:val="00A14350"/>
    <w:rsid w:val="00A146CA"/>
    <w:rsid w:val="00A15799"/>
    <w:rsid w:val="00A15A09"/>
    <w:rsid w:val="00A162AC"/>
    <w:rsid w:val="00A16333"/>
    <w:rsid w:val="00A163A0"/>
    <w:rsid w:val="00A201F8"/>
    <w:rsid w:val="00A22283"/>
    <w:rsid w:val="00A2230F"/>
    <w:rsid w:val="00A236A1"/>
    <w:rsid w:val="00A2475E"/>
    <w:rsid w:val="00A25739"/>
    <w:rsid w:val="00A301FB"/>
    <w:rsid w:val="00A30BF9"/>
    <w:rsid w:val="00A33A0C"/>
    <w:rsid w:val="00A33BA0"/>
    <w:rsid w:val="00A345E2"/>
    <w:rsid w:val="00A345FB"/>
    <w:rsid w:val="00A358C8"/>
    <w:rsid w:val="00A3670C"/>
    <w:rsid w:val="00A373D4"/>
    <w:rsid w:val="00A37E63"/>
    <w:rsid w:val="00A40442"/>
    <w:rsid w:val="00A4075E"/>
    <w:rsid w:val="00A438D8"/>
    <w:rsid w:val="00A441F1"/>
    <w:rsid w:val="00A448B7"/>
    <w:rsid w:val="00A44BE7"/>
    <w:rsid w:val="00A4673A"/>
    <w:rsid w:val="00A471EF"/>
    <w:rsid w:val="00A479EB"/>
    <w:rsid w:val="00A5122A"/>
    <w:rsid w:val="00A51A10"/>
    <w:rsid w:val="00A54AC9"/>
    <w:rsid w:val="00A552DC"/>
    <w:rsid w:val="00A55630"/>
    <w:rsid w:val="00A55A15"/>
    <w:rsid w:val="00A578A6"/>
    <w:rsid w:val="00A603BF"/>
    <w:rsid w:val="00A608C9"/>
    <w:rsid w:val="00A609E3"/>
    <w:rsid w:val="00A616D7"/>
    <w:rsid w:val="00A64188"/>
    <w:rsid w:val="00A64592"/>
    <w:rsid w:val="00A6585D"/>
    <w:rsid w:val="00A66590"/>
    <w:rsid w:val="00A6696A"/>
    <w:rsid w:val="00A66A11"/>
    <w:rsid w:val="00A671BA"/>
    <w:rsid w:val="00A7020F"/>
    <w:rsid w:val="00A70E39"/>
    <w:rsid w:val="00A72294"/>
    <w:rsid w:val="00A7419E"/>
    <w:rsid w:val="00A744A0"/>
    <w:rsid w:val="00A7482F"/>
    <w:rsid w:val="00A74DB6"/>
    <w:rsid w:val="00A77EA6"/>
    <w:rsid w:val="00A80D3A"/>
    <w:rsid w:val="00A815F2"/>
    <w:rsid w:val="00A82147"/>
    <w:rsid w:val="00A85DB8"/>
    <w:rsid w:val="00A8675D"/>
    <w:rsid w:val="00A8681E"/>
    <w:rsid w:val="00A90EE3"/>
    <w:rsid w:val="00A91955"/>
    <w:rsid w:val="00A92BCE"/>
    <w:rsid w:val="00A92D41"/>
    <w:rsid w:val="00A93580"/>
    <w:rsid w:val="00A9704F"/>
    <w:rsid w:val="00A97FE2"/>
    <w:rsid w:val="00AA034D"/>
    <w:rsid w:val="00AA225E"/>
    <w:rsid w:val="00AA236E"/>
    <w:rsid w:val="00AA3B5B"/>
    <w:rsid w:val="00AA4DB5"/>
    <w:rsid w:val="00AA5A98"/>
    <w:rsid w:val="00AA5C77"/>
    <w:rsid w:val="00AA5E08"/>
    <w:rsid w:val="00AA5E66"/>
    <w:rsid w:val="00AA6A3B"/>
    <w:rsid w:val="00AA7C54"/>
    <w:rsid w:val="00AB031D"/>
    <w:rsid w:val="00AB101C"/>
    <w:rsid w:val="00AB10DA"/>
    <w:rsid w:val="00AB2AFE"/>
    <w:rsid w:val="00AB7041"/>
    <w:rsid w:val="00AB724B"/>
    <w:rsid w:val="00AB73B3"/>
    <w:rsid w:val="00AB7445"/>
    <w:rsid w:val="00AB7CFE"/>
    <w:rsid w:val="00AC2196"/>
    <w:rsid w:val="00AC28C0"/>
    <w:rsid w:val="00AC414F"/>
    <w:rsid w:val="00AC5123"/>
    <w:rsid w:val="00AC6721"/>
    <w:rsid w:val="00AD0E3E"/>
    <w:rsid w:val="00AD1565"/>
    <w:rsid w:val="00AD1969"/>
    <w:rsid w:val="00AD2B90"/>
    <w:rsid w:val="00AD3AF9"/>
    <w:rsid w:val="00AD4169"/>
    <w:rsid w:val="00AD49AF"/>
    <w:rsid w:val="00AD5449"/>
    <w:rsid w:val="00AD6441"/>
    <w:rsid w:val="00AD760C"/>
    <w:rsid w:val="00AE0266"/>
    <w:rsid w:val="00AE0D1A"/>
    <w:rsid w:val="00AE13F0"/>
    <w:rsid w:val="00AE4238"/>
    <w:rsid w:val="00AE4478"/>
    <w:rsid w:val="00AE47C4"/>
    <w:rsid w:val="00AE4AC3"/>
    <w:rsid w:val="00AE4D46"/>
    <w:rsid w:val="00AE58AF"/>
    <w:rsid w:val="00AE6410"/>
    <w:rsid w:val="00AE6AB1"/>
    <w:rsid w:val="00AE6E7E"/>
    <w:rsid w:val="00AE74DD"/>
    <w:rsid w:val="00AE76B5"/>
    <w:rsid w:val="00AF01E2"/>
    <w:rsid w:val="00AF0736"/>
    <w:rsid w:val="00AF0E21"/>
    <w:rsid w:val="00AF1B51"/>
    <w:rsid w:val="00AF1DA6"/>
    <w:rsid w:val="00AF3223"/>
    <w:rsid w:val="00AF32D2"/>
    <w:rsid w:val="00AF3A37"/>
    <w:rsid w:val="00AF3AE8"/>
    <w:rsid w:val="00AF4FF2"/>
    <w:rsid w:val="00AF65FD"/>
    <w:rsid w:val="00AF69E9"/>
    <w:rsid w:val="00AF721A"/>
    <w:rsid w:val="00AF7CBF"/>
    <w:rsid w:val="00B01451"/>
    <w:rsid w:val="00B02E73"/>
    <w:rsid w:val="00B037EF"/>
    <w:rsid w:val="00B045C4"/>
    <w:rsid w:val="00B046D2"/>
    <w:rsid w:val="00B04A42"/>
    <w:rsid w:val="00B06EBB"/>
    <w:rsid w:val="00B0777F"/>
    <w:rsid w:val="00B07AAA"/>
    <w:rsid w:val="00B117C8"/>
    <w:rsid w:val="00B12147"/>
    <w:rsid w:val="00B13491"/>
    <w:rsid w:val="00B151E1"/>
    <w:rsid w:val="00B152AA"/>
    <w:rsid w:val="00B1570C"/>
    <w:rsid w:val="00B15824"/>
    <w:rsid w:val="00B15B39"/>
    <w:rsid w:val="00B15F56"/>
    <w:rsid w:val="00B16646"/>
    <w:rsid w:val="00B167EA"/>
    <w:rsid w:val="00B16A30"/>
    <w:rsid w:val="00B16DC3"/>
    <w:rsid w:val="00B17422"/>
    <w:rsid w:val="00B17B3C"/>
    <w:rsid w:val="00B17F1F"/>
    <w:rsid w:val="00B2024E"/>
    <w:rsid w:val="00B203ED"/>
    <w:rsid w:val="00B20765"/>
    <w:rsid w:val="00B20FED"/>
    <w:rsid w:val="00B215CD"/>
    <w:rsid w:val="00B23ADD"/>
    <w:rsid w:val="00B23DF6"/>
    <w:rsid w:val="00B23E8A"/>
    <w:rsid w:val="00B240D2"/>
    <w:rsid w:val="00B24EDE"/>
    <w:rsid w:val="00B25379"/>
    <w:rsid w:val="00B254D6"/>
    <w:rsid w:val="00B26E93"/>
    <w:rsid w:val="00B274E5"/>
    <w:rsid w:val="00B30E14"/>
    <w:rsid w:val="00B31640"/>
    <w:rsid w:val="00B322F6"/>
    <w:rsid w:val="00B32391"/>
    <w:rsid w:val="00B4041D"/>
    <w:rsid w:val="00B409E0"/>
    <w:rsid w:val="00B40BE8"/>
    <w:rsid w:val="00B41542"/>
    <w:rsid w:val="00B418C9"/>
    <w:rsid w:val="00B4266B"/>
    <w:rsid w:val="00B43FDE"/>
    <w:rsid w:val="00B451C4"/>
    <w:rsid w:val="00B461BB"/>
    <w:rsid w:val="00B46431"/>
    <w:rsid w:val="00B47208"/>
    <w:rsid w:val="00B478FE"/>
    <w:rsid w:val="00B50825"/>
    <w:rsid w:val="00B512BC"/>
    <w:rsid w:val="00B513CF"/>
    <w:rsid w:val="00B51411"/>
    <w:rsid w:val="00B51B48"/>
    <w:rsid w:val="00B51FAB"/>
    <w:rsid w:val="00B52015"/>
    <w:rsid w:val="00B52CE4"/>
    <w:rsid w:val="00B53538"/>
    <w:rsid w:val="00B53F1C"/>
    <w:rsid w:val="00B53F8F"/>
    <w:rsid w:val="00B55049"/>
    <w:rsid w:val="00B558F5"/>
    <w:rsid w:val="00B5652C"/>
    <w:rsid w:val="00B5721B"/>
    <w:rsid w:val="00B614CC"/>
    <w:rsid w:val="00B63A1E"/>
    <w:rsid w:val="00B70008"/>
    <w:rsid w:val="00B70826"/>
    <w:rsid w:val="00B7236A"/>
    <w:rsid w:val="00B72609"/>
    <w:rsid w:val="00B74A09"/>
    <w:rsid w:val="00B76D93"/>
    <w:rsid w:val="00B773F1"/>
    <w:rsid w:val="00B82D69"/>
    <w:rsid w:val="00B83E28"/>
    <w:rsid w:val="00B84503"/>
    <w:rsid w:val="00B84D8E"/>
    <w:rsid w:val="00B856A3"/>
    <w:rsid w:val="00B858B6"/>
    <w:rsid w:val="00B85906"/>
    <w:rsid w:val="00B87022"/>
    <w:rsid w:val="00B90920"/>
    <w:rsid w:val="00B90E08"/>
    <w:rsid w:val="00B914B8"/>
    <w:rsid w:val="00B91C04"/>
    <w:rsid w:val="00B94D29"/>
    <w:rsid w:val="00B952B7"/>
    <w:rsid w:val="00BA0577"/>
    <w:rsid w:val="00BA08C7"/>
    <w:rsid w:val="00BA18C4"/>
    <w:rsid w:val="00BA246A"/>
    <w:rsid w:val="00BA2D1C"/>
    <w:rsid w:val="00BA31E5"/>
    <w:rsid w:val="00BA33FB"/>
    <w:rsid w:val="00BA430B"/>
    <w:rsid w:val="00BA5A08"/>
    <w:rsid w:val="00BA5E6C"/>
    <w:rsid w:val="00BA60F2"/>
    <w:rsid w:val="00BA6760"/>
    <w:rsid w:val="00BA6F8B"/>
    <w:rsid w:val="00BB0344"/>
    <w:rsid w:val="00BB185B"/>
    <w:rsid w:val="00BB21EA"/>
    <w:rsid w:val="00BB235C"/>
    <w:rsid w:val="00BB3309"/>
    <w:rsid w:val="00BB39F0"/>
    <w:rsid w:val="00BB4507"/>
    <w:rsid w:val="00BB4EA2"/>
    <w:rsid w:val="00BB58FD"/>
    <w:rsid w:val="00BC0F35"/>
    <w:rsid w:val="00BC2351"/>
    <w:rsid w:val="00BC255D"/>
    <w:rsid w:val="00BC2ABE"/>
    <w:rsid w:val="00BC2EC7"/>
    <w:rsid w:val="00BC4368"/>
    <w:rsid w:val="00BC461F"/>
    <w:rsid w:val="00BC46DD"/>
    <w:rsid w:val="00BC4A0F"/>
    <w:rsid w:val="00BC51B1"/>
    <w:rsid w:val="00BC63A5"/>
    <w:rsid w:val="00BC6554"/>
    <w:rsid w:val="00BD09FE"/>
    <w:rsid w:val="00BD2483"/>
    <w:rsid w:val="00BD2DB6"/>
    <w:rsid w:val="00BD43FB"/>
    <w:rsid w:val="00BD6548"/>
    <w:rsid w:val="00BD7589"/>
    <w:rsid w:val="00BE0B8D"/>
    <w:rsid w:val="00BE0D45"/>
    <w:rsid w:val="00BE1859"/>
    <w:rsid w:val="00BE1E3A"/>
    <w:rsid w:val="00BE31B7"/>
    <w:rsid w:val="00BE3FC3"/>
    <w:rsid w:val="00BE4190"/>
    <w:rsid w:val="00BE4A62"/>
    <w:rsid w:val="00BE59B3"/>
    <w:rsid w:val="00BE62EB"/>
    <w:rsid w:val="00BE663A"/>
    <w:rsid w:val="00BF00F5"/>
    <w:rsid w:val="00BF0643"/>
    <w:rsid w:val="00BF2927"/>
    <w:rsid w:val="00BF298B"/>
    <w:rsid w:val="00BF2A2B"/>
    <w:rsid w:val="00BF4E50"/>
    <w:rsid w:val="00BF4E7C"/>
    <w:rsid w:val="00BF5B50"/>
    <w:rsid w:val="00BF5CC5"/>
    <w:rsid w:val="00BF7679"/>
    <w:rsid w:val="00BF7965"/>
    <w:rsid w:val="00BF7DE4"/>
    <w:rsid w:val="00C013DF"/>
    <w:rsid w:val="00C023A7"/>
    <w:rsid w:val="00C02464"/>
    <w:rsid w:val="00C02C9B"/>
    <w:rsid w:val="00C0400C"/>
    <w:rsid w:val="00C05671"/>
    <w:rsid w:val="00C05A4B"/>
    <w:rsid w:val="00C06274"/>
    <w:rsid w:val="00C07866"/>
    <w:rsid w:val="00C07AFC"/>
    <w:rsid w:val="00C07BF2"/>
    <w:rsid w:val="00C10E40"/>
    <w:rsid w:val="00C11528"/>
    <w:rsid w:val="00C122E6"/>
    <w:rsid w:val="00C12838"/>
    <w:rsid w:val="00C12C1D"/>
    <w:rsid w:val="00C13DC9"/>
    <w:rsid w:val="00C144D4"/>
    <w:rsid w:val="00C14D8D"/>
    <w:rsid w:val="00C16186"/>
    <w:rsid w:val="00C16831"/>
    <w:rsid w:val="00C16A2D"/>
    <w:rsid w:val="00C174A7"/>
    <w:rsid w:val="00C17B47"/>
    <w:rsid w:val="00C21370"/>
    <w:rsid w:val="00C21E3D"/>
    <w:rsid w:val="00C251FF"/>
    <w:rsid w:val="00C25674"/>
    <w:rsid w:val="00C2708A"/>
    <w:rsid w:val="00C27A18"/>
    <w:rsid w:val="00C27B15"/>
    <w:rsid w:val="00C30090"/>
    <w:rsid w:val="00C3103A"/>
    <w:rsid w:val="00C31EB3"/>
    <w:rsid w:val="00C32186"/>
    <w:rsid w:val="00C33D5E"/>
    <w:rsid w:val="00C33D79"/>
    <w:rsid w:val="00C345B5"/>
    <w:rsid w:val="00C40C46"/>
    <w:rsid w:val="00C40FEA"/>
    <w:rsid w:val="00C42495"/>
    <w:rsid w:val="00C42EF8"/>
    <w:rsid w:val="00C430B3"/>
    <w:rsid w:val="00C436B4"/>
    <w:rsid w:val="00C45246"/>
    <w:rsid w:val="00C5040E"/>
    <w:rsid w:val="00C50DA3"/>
    <w:rsid w:val="00C51FCA"/>
    <w:rsid w:val="00C52036"/>
    <w:rsid w:val="00C52CE5"/>
    <w:rsid w:val="00C52D8A"/>
    <w:rsid w:val="00C534C8"/>
    <w:rsid w:val="00C53F57"/>
    <w:rsid w:val="00C547C3"/>
    <w:rsid w:val="00C55CFC"/>
    <w:rsid w:val="00C57E98"/>
    <w:rsid w:val="00C605D6"/>
    <w:rsid w:val="00C60CFD"/>
    <w:rsid w:val="00C611F4"/>
    <w:rsid w:val="00C61554"/>
    <w:rsid w:val="00C638F9"/>
    <w:rsid w:val="00C63F30"/>
    <w:rsid w:val="00C64095"/>
    <w:rsid w:val="00C650E9"/>
    <w:rsid w:val="00C65FAD"/>
    <w:rsid w:val="00C66702"/>
    <w:rsid w:val="00C66919"/>
    <w:rsid w:val="00C669BB"/>
    <w:rsid w:val="00C673C1"/>
    <w:rsid w:val="00C7006C"/>
    <w:rsid w:val="00C70682"/>
    <w:rsid w:val="00C718BA"/>
    <w:rsid w:val="00C73FA4"/>
    <w:rsid w:val="00C7430A"/>
    <w:rsid w:val="00C7522A"/>
    <w:rsid w:val="00C753BF"/>
    <w:rsid w:val="00C75739"/>
    <w:rsid w:val="00C7655A"/>
    <w:rsid w:val="00C77099"/>
    <w:rsid w:val="00C77158"/>
    <w:rsid w:val="00C810D9"/>
    <w:rsid w:val="00C8219E"/>
    <w:rsid w:val="00C83EAA"/>
    <w:rsid w:val="00C868B8"/>
    <w:rsid w:val="00C868C0"/>
    <w:rsid w:val="00C870B1"/>
    <w:rsid w:val="00C90F24"/>
    <w:rsid w:val="00C9106E"/>
    <w:rsid w:val="00C91A4C"/>
    <w:rsid w:val="00C91F25"/>
    <w:rsid w:val="00C93AA5"/>
    <w:rsid w:val="00C94CE8"/>
    <w:rsid w:val="00C958CE"/>
    <w:rsid w:val="00C96592"/>
    <w:rsid w:val="00C9718F"/>
    <w:rsid w:val="00CA00C1"/>
    <w:rsid w:val="00CA0EF0"/>
    <w:rsid w:val="00CA1EB7"/>
    <w:rsid w:val="00CA2799"/>
    <w:rsid w:val="00CA39B9"/>
    <w:rsid w:val="00CA7239"/>
    <w:rsid w:val="00CA7FD3"/>
    <w:rsid w:val="00CB0817"/>
    <w:rsid w:val="00CB1E07"/>
    <w:rsid w:val="00CB2D6A"/>
    <w:rsid w:val="00CB2F68"/>
    <w:rsid w:val="00CB5D69"/>
    <w:rsid w:val="00CB7097"/>
    <w:rsid w:val="00CB7FF9"/>
    <w:rsid w:val="00CC056D"/>
    <w:rsid w:val="00CC0AAF"/>
    <w:rsid w:val="00CC1E16"/>
    <w:rsid w:val="00CC3413"/>
    <w:rsid w:val="00CC39E2"/>
    <w:rsid w:val="00CC487C"/>
    <w:rsid w:val="00CC6387"/>
    <w:rsid w:val="00CD01A7"/>
    <w:rsid w:val="00CD0306"/>
    <w:rsid w:val="00CD0995"/>
    <w:rsid w:val="00CD0DBA"/>
    <w:rsid w:val="00CD123D"/>
    <w:rsid w:val="00CD13A6"/>
    <w:rsid w:val="00CD24DC"/>
    <w:rsid w:val="00CD2791"/>
    <w:rsid w:val="00CD2B7B"/>
    <w:rsid w:val="00CD38FC"/>
    <w:rsid w:val="00CD5E26"/>
    <w:rsid w:val="00CD6F64"/>
    <w:rsid w:val="00CD7D8F"/>
    <w:rsid w:val="00CD7ECD"/>
    <w:rsid w:val="00CE0F5F"/>
    <w:rsid w:val="00CE1DD3"/>
    <w:rsid w:val="00CE3CEC"/>
    <w:rsid w:val="00CE4111"/>
    <w:rsid w:val="00CE608B"/>
    <w:rsid w:val="00CE6D12"/>
    <w:rsid w:val="00CE755C"/>
    <w:rsid w:val="00CF0518"/>
    <w:rsid w:val="00CF0683"/>
    <w:rsid w:val="00CF0C99"/>
    <w:rsid w:val="00CF0CFF"/>
    <w:rsid w:val="00CF14C5"/>
    <w:rsid w:val="00CF1AD4"/>
    <w:rsid w:val="00CF704D"/>
    <w:rsid w:val="00CF757F"/>
    <w:rsid w:val="00D00A31"/>
    <w:rsid w:val="00D00CC6"/>
    <w:rsid w:val="00D0199A"/>
    <w:rsid w:val="00D019CB"/>
    <w:rsid w:val="00D02A3B"/>
    <w:rsid w:val="00D02E1F"/>
    <w:rsid w:val="00D0477E"/>
    <w:rsid w:val="00D04B7F"/>
    <w:rsid w:val="00D05562"/>
    <w:rsid w:val="00D06B12"/>
    <w:rsid w:val="00D06B79"/>
    <w:rsid w:val="00D073A9"/>
    <w:rsid w:val="00D07AD6"/>
    <w:rsid w:val="00D11339"/>
    <w:rsid w:val="00D132DF"/>
    <w:rsid w:val="00D138FB"/>
    <w:rsid w:val="00D1488B"/>
    <w:rsid w:val="00D1541B"/>
    <w:rsid w:val="00D15A22"/>
    <w:rsid w:val="00D16901"/>
    <w:rsid w:val="00D17C75"/>
    <w:rsid w:val="00D17CEB"/>
    <w:rsid w:val="00D17D73"/>
    <w:rsid w:val="00D207B3"/>
    <w:rsid w:val="00D23332"/>
    <w:rsid w:val="00D236C4"/>
    <w:rsid w:val="00D24298"/>
    <w:rsid w:val="00D24C92"/>
    <w:rsid w:val="00D26A33"/>
    <w:rsid w:val="00D26ECB"/>
    <w:rsid w:val="00D27C96"/>
    <w:rsid w:val="00D30093"/>
    <w:rsid w:val="00D32C57"/>
    <w:rsid w:val="00D3306D"/>
    <w:rsid w:val="00D34D91"/>
    <w:rsid w:val="00D36BED"/>
    <w:rsid w:val="00D378E5"/>
    <w:rsid w:val="00D40DF0"/>
    <w:rsid w:val="00D41259"/>
    <w:rsid w:val="00D41627"/>
    <w:rsid w:val="00D417DC"/>
    <w:rsid w:val="00D4213A"/>
    <w:rsid w:val="00D42BE1"/>
    <w:rsid w:val="00D43467"/>
    <w:rsid w:val="00D44891"/>
    <w:rsid w:val="00D45133"/>
    <w:rsid w:val="00D45BBB"/>
    <w:rsid w:val="00D46306"/>
    <w:rsid w:val="00D474C3"/>
    <w:rsid w:val="00D514E2"/>
    <w:rsid w:val="00D5204F"/>
    <w:rsid w:val="00D52627"/>
    <w:rsid w:val="00D52650"/>
    <w:rsid w:val="00D52CB1"/>
    <w:rsid w:val="00D52DDE"/>
    <w:rsid w:val="00D55F22"/>
    <w:rsid w:val="00D5798D"/>
    <w:rsid w:val="00D60CB8"/>
    <w:rsid w:val="00D61264"/>
    <w:rsid w:val="00D61420"/>
    <w:rsid w:val="00D62982"/>
    <w:rsid w:val="00D62B6A"/>
    <w:rsid w:val="00D630AF"/>
    <w:rsid w:val="00D64181"/>
    <w:rsid w:val="00D652EC"/>
    <w:rsid w:val="00D7005B"/>
    <w:rsid w:val="00D70821"/>
    <w:rsid w:val="00D713EA"/>
    <w:rsid w:val="00D71A5D"/>
    <w:rsid w:val="00D72817"/>
    <w:rsid w:val="00D73AF2"/>
    <w:rsid w:val="00D7598E"/>
    <w:rsid w:val="00D7716F"/>
    <w:rsid w:val="00D7763C"/>
    <w:rsid w:val="00D77B84"/>
    <w:rsid w:val="00D819E2"/>
    <w:rsid w:val="00D81A95"/>
    <w:rsid w:val="00D81CEF"/>
    <w:rsid w:val="00D82201"/>
    <w:rsid w:val="00D833F8"/>
    <w:rsid w:val="00D83C2B"/>
    <w:rsid w:val="00D846E3"/>
    <w:rsid w:val="00D84801"/>
    <w:rsid w:val="00D8513A"/>
    <w:rsid w:val="00D85D09"/>
    <w:rsid w:val="00D86B1C"/>
    <w:rsid w:val="00D86CD2"/>
    <w:rsid w:val="00D87F2B"/>
    <w:rsid w:val="00D90032"/>
    <w:rsid w:val="00D91342"/>
    <w:rsid w:val="00D9141C"/>
    <w:rsid w:val="00D92FE6"/>
    <w:rsid w:val="00D950FE"/>
    <w:rsid w:val="00D96871"/>
    <w:rsid w:val="00D9793F"/>
    <w:rsid w:val="00DA0199"/>
    <w:rsid w:val="00DA02B0"/>
    <w:rsid w:val="00DA065C"/>
    <w:rsid w:val="00DA06D7"/>
    <w:rsid w:val="00DA09F3"/>
    <w:rsid w:val="00DA0ECF"/>
    <w:rsid w:val="00DA39FD"/>
    <w:rsid w:val="00DA3CD5"/>
    <w:rsid w:val="00DA6834"/>
    <w:rsid w:val="00DA69F8"/>
    <w:rsid w:val="00DA6AE8"/>
    <w:rsid w:val="00DA79D1"/>
    <w:rsid w:val="00DB14A7"/>
    <w:rsid w:val="00DB16C4"/>
    <w:rsid w:val="00DB28AA"/>
    <w:rsid w:val="00DB337F"/>
    <w:rsid w:val="00DB4E5C"/>
    <w:rsid w:val="00DB7FDF"/>
    <w:rsid w:val="00DC121C"/>
    <w:rsid w:val="00DC1A37"/>
    <w:rsid w:val="00DC329E"/>
    <w:rsid w:val="00DC48A3"/>
    <w:rsid w:val="00DC4EC8"/>
    <w:rsid w:val="00DC591B"/>
    <w:rsid w:val="00DC6635"/>
    <w:rsid w:val="00DD06A1"/>
    <w:rsid w:val="00DD0A01"/>
    <w:rsid w:val="00DD1411"/>
    <w:rsid w:val="00DD227F"/>
    <w:rsid w:val="00DD28F3"/>
    <w:rsid w:val="00DD3337"/>
    <w:rsid w:val="00DD3FB4"/>
    <w:rsid w:val="00DD407D"/>
    <w:rsid w:val="00DD4854"/>
    <w:rsid w:val="00DD4FF4"/>
    <w:rsid w:val="00DD72B0"/>
    <w:rsid w:val="00DE06A7"/>
    <w:rsid w:val="00DE0C2F"/>
    <w:rsid w:val="00DE11C9"/>
    <w:rsid w:val="00DE2593"/>
    <w:rsid w:val="00DE2C2F"/>
    <w:rsid w:val="00DE42C8"/>
    <w:rsid w:val="00DE563B"/>
    <w:rsid w:val="00DF1313"/>
    <w:rsid w:val="00DF45CD"/>
    <w:rsid w:val="00DF4B7E"/>
    <w:rsid w:val="00DF6148"/>
    <w:rsid w:val="00DF6BFE"/>
    <w:rsid w:val="00DF78D5"/>
    <w:rsid w:val="00E003C4"/>
    <w:rsid w:val="00E017C1"/>
    <w:rsid w:val="00E01A35"/>
    <w:rsid w:val="00E02F01"/>
    <w:rsid w:val="00E031AE"/>
    <w:rsid w:val="00E03594"/>
    <w:rsid w:val="00E0599D"/>
    <w:rsid w:val="00E072EE"/>
    <w:rsid w:val="00E07745"/>
    <w:rsid w:val="00E10EFA"/>
    <w:rsid w:val="00E110F5"/>
    <w:rsid w:val="00E13067"/>
    <w:rsid w:val="00E13206"/>
    <w:rsid w:val="00E1404F"/>
    <w:rsid w:val="00E160F6"/>
    <w:rsid w:val="00E16405"/>
    <w:rsid w:val="00E16530"/>
    <w:rsid w:val="00E215B1"/>
    <w:rsid w:val="00E2236A"/>
    <w:rsid w:val="00E229C6"/>
    <w:rsid w:val="00E22B40"/>
    <w:rsid w:val="00E24675"/>
    <w:rsid w:val="00E24B55"/>
    <w:rsid w:val="00E26597"/>
    <w:rsid w:val="00E26B2F"/>
    <w:rsid w:val="00E26C03"/>
    <w:rsid w:val="00E30C5F"/>
    <w:rsid w:val="00E30DC5"/>
    <w:rsid w:val="00E31CB1"/>
    <w:rsid w:val="00E3444B"/>
    <w:rsid w:val="00E34E83"/>
    <w:rsid w:val="00E35DEA"/>
    <w:rsid w:val="00E367B5"/>
    <w:rsid w:val="00E36CA5"/>
    <w:rsid w:val="00E37C4C"/>
    <w:rsid w:val="00E40EAD"/>
    <w:rsid w:val="00E41CDF"/>
    <w:rsid w:val="00E4242A"/>
    <w:rsid w:val="00E428D1"/>
    <w:rsid w:val="00E42E9F"/>
    <w:rsid w:val="00E443D9"/>
    <w:rsid w:val="00E44D9E"/>
    <w:rsid w:val="00E454A2"/>
    <w:rsid w:val="00E456C5"/>
    <w:rsid w:val="00E45871"/>
    <w:rsid w:val="00E459BF"/>
    <w:rsid w:val="00E46186"/>
    <w:rsid w:val="00E464B9"/>
    <w:rsid w:val="00E50C5D"/>
    <w:rsid w:val="00E51389"/>
    <w:rsid w:val="00E52EBB"/>
    <w:rsid w:val="00E557B0"/>
    <w:rsid w:val="00E55D5F"/>
    <w:rsid w:val="00E57521"/>
    <w:rsid w:val="00E575E6"/>
    <w:rsid w:val="00E57E6D"/>
    <w:rsid w:val="00E601EE"/>
    <w:rsid w:val="00E6054D"/>
    <w:rsid w:val="00E610E2"/>
    <w:rsid w:val="00E62373"/>
    <w:rsid w:val="00E62B4A"/>
    <w:rsid w:val="00E63B22"/>
    <w:rsid w:val="00E651F0"/>
    <w:rsid w:val="00E65595"/>
    <w:rsid w:val="00E65AB3"/>
    <w:rsid w:val="00E665AC"/>
    <w:rsid w:val="00E666F3"/>
    <w:rsid w:val="00E66CC0"/>
    <w:rsid w:val="00E67CA0"/>
    <w:rsid w:val="00E7101E"/>
    <w:rsid w:val="00E731B4"/>
    <w:rsid w:val="00E745D1"/>
    <w:rsid w:val="00E769E2"/>
    <w:rsid w:val="00E77878"/>
    <w:rsid w:val="00E77D87"/>
    <w:rsid w:val="00E80842"/>
    <w:rsid w:val="00E817BF"/>
    <w:rsid w:val="00E81CD3"/>
    <w:rsid w:val="00E82858"/>
    <w:rsid w:val="00E83103"/>
    <w:rsid w:val="00E8395B"/>
    <w:rsid w:val="00E866C1"/>
    <w:rsid w:val="00E8735E"/>
    <w:rsid w:val="00E9032F"/>
    <w:rsid w:val="00E91542"/>
    <w:rsid w:val="00E92355"/>
    <w:rsid w:val="00E92509"/>
    <w:rsid w:val="00E928B1"/>
    <w:rsid w:val="00E92E52"/>
    <w:rsid w:val="00E92E5E"/>
    <w:rsid w:val="00E934B1"/>
    <w:rsid w:val="00E93A56"/>
    <w:rsid w:val="00E949D6"/>
    <w:rsid w:val="00E95647"/>
    <w:rsid w:val="00E96043"/>
    <w:rsid w:val="00E96266"/>
    <w:rsid w:val="00E9717B"/>
    <w:rsid w:val="00E9759E"/>
    <w:rsid w:val="00EA0FD4"/>
    <w:rsid w:val="00EA2449"/>
    <w:rsid w:val="00EA4530"/>
    <w:rsid w:val="00EA468C"/>
    <w:rsid w:val="00EA49FB"/>
    <w:rsid w:val="00EA5CA4"/>
    <w:rsid w:val="00EA66E9"/>
    <w:rsid w:val="00EA6E37"/>
    <w:rsid w:val="00EA7D17"/>
    <w:rsid w:val="00EB0636"/>
    <w:rsid w:val="00EB0E8C"/>
    <w:rsid w:val="00EB0E90"/>
    <w:rsid w:val="00EB1195"/>
    <w:rsid w:val="00EB19B4"/>
    <w:rsid w:val="00EB24E1"/>
    <w:rsid w:val="00EB26A1"/>
    <w:rsid w:val="00EB3B9D"/>
    <w:rsid w:val="00EB3CA2"/>
    <w:rsid w:val="00EB497A"/>
    <w:rsid w:val="00EB626D"/>
    <w:rsid w:val="00EB699F"/>
    <w:rsid w:val="00EB7B64"/>
    <w:rsid w:val="00EC0598"/>
    <w:rsid w:val="00EC07C8"/>
    <w:rsid w:val="00EC0A90"/>
    <w:rsid w:val="00EC3AF7"/>
    <w:rsid w:val="00EC3D8D"/>
    <w:rsid w:val="00EC4072"/>
    <w:rsid w:val="00EC601D"/>
    <w:rsid w:val="00EC6FAD"/>
    <w:rsid w:val="00ED1397"/>
    <w:rsid w:val="00ED1D3D"/>
    <w:rsid w:val="00ED1D6B"/>
    <w:rsid w:val="00ED26B9"/>
    <w:rsid w:val="00ED3A9D"/>
    <w:rsid w:val="00ED44CA"/>
    <w:rsid w:val="00ED4675"/>
    <w:rsid w:val="00ED5658"/>
    <w:rsid w:val="00ED579B"/>
    <w:rsid w:val="00ED5EB5"/>
    <w:rsid w:val="00ED748E"/>
    <w:rsid w:val="00ED7749"/>
    <w:rsid w:val="00ED7986"/>
    <w:rsid w:val="00ED7B13"/>
    <w:rsid w:val="00EE09B9"/>
    <w:rsid w:val="00EE12DB"/>
    <w:rsid w:val="00EE142F"/>
    <w:rsid w:val="00EE21A4"/>
    <w:rsid w:val="00EE40BE"/>
    <w:rsid w:val="00EE447B"/>
    <w:rsid w:val="00EE4AFA"/>
    <w:rsid w:val="00EE4E3B"/>
    <w:rsid w:val="00EE556A"/>
    <w:rsid w:val="00EE6602"/>
    <w:rsid w:val="00EE6F21"/>
    <w:rsid w:val="00EE78DE"/>
    <w:rsid w:val="00EE7E59"/>
    <w:rsid w:val="00EF3292"/>
    <w:rsid w:val="00EF32A8"/>
    <w:rsid w:val="00EF51C4"/>
    <w:rsid w:val="00EF77C1"/>
    <w:rsid w:val="00EF7E45"/>
    <w:rsid w:val="00F0132D"/>
    <w:rsid w:val="00F034DC"/>
    <w:rsid w:val="00F04E36"/>
    <w:rsid w:val="00F0582E"/>
    <w:rsid w:val="00F11BDF"/>
    <w:rsid w:val="00F11EFB"/>
    <w:rsid w:val="00F122ED"/>
    <w:rsid w:val="00F13174"/>
    <w:rsid w:val="00F132B2"/>
    <w:rsid w:val="00F13446"/>
    <w:rsid w:val="00F1394D"/>
    <w:rsid w:val="00F14105"/>
    <w:rsid w:val="00F15BD5"/>
    <w:rsid w:val="00F178B2"/>
    <w:rsid w:val="00F21569"/>
    <w:rsid w:val="00F22276"/>
    <w:rsid w:val="00F22605"/>
    <w:rsid w:val="00F24EB4"/>
    <w:rsid w:val="00F259F8"/>
    <w:rsid w:val="00F2606D"/>
    <w:rsid w:val="00F2622B"/>
    <w:rsid w:val="00F270FA"/>
    <w:rsid w:val="00F27EF3"/>
    <w:rsid w:val="00F313DE"/>
    <w:rsid w:val="00F31A13"/>
    <w:rsid w:val="00F32A49"/>
    <w:rsid w:val="00F3364B"/>
    <w:rsid w:val="00F33BCA"/>
    <w:rsid w:val="00F3418D"/>
    <w:rsid w:val="00F349D8"/>
    <w:rsid w:val="00F34DB7"/>
    <w:rsid w:val="00F35C63"/>
    <w:rsid w:val="00F36D6F"/>
    <w:rsid w:val="00F40944"/>
    <w:rsid w:val="00F40AD3"/>
    <w:rsid w:val="00F42441"/>
    <w:rsid w:val="00F44166"/>
    <w:rsid w:val="00F4529A"/>
    <w:rsid w:val="00F468AE"/>
    <w:rsid w:val="00F46CDD"/>
    <w:rsid w:val="00F50244"/>
    <w:rsid w:val="00F5116B"/>
    <w:rsid w:val="00F52A01"/>
    <w:rsid w:val="00F53A4D"/>
    <w:rsid w:val="00F53C92"/>
    <w:rsid w:val="00F54710"/>
    <w:rsid w:val="00F5557E"/>
    <w:rsid w:val="00F55D30"/>
    <w:rsid w:val="00F60DC9"/>
    <w:rsid w:val="00F62431"/>
    <w:rsid w:val="00F62693"/>
    <w:rsid w:val="00F63B99"/>
    <w:rsid w:val="00F647FE"/>
    <w:rsid w:val="00F70362"/>
    <w:rsid w:val="00F7211A"/>
    <w:rsid w:val="00F72B6D"/>
    <w:rsid w:val="00F72C9B"/>
    <w:rsid w:val="00F7345E"/>
    <w:rsid w:val="00F75850"/>
    <w:rsid w:val="00F776FD"/>
    <w:rsid w:val="00F80D41"/>
    <w:rsid w:val="00F81C1E"/>
    <w:rsid w:val="00F81F4E"/>
    <w:rsid w:val="00F823A0"/>
    <w:rsid w:val="00F83EE0"/>
    <w:rsid w:val="00F849DC"/>
    <w:rsid w:val="00F84C9F"/>
    <w:rsid w:val="00F860FA"/>
    <w:rsid w:val="00F877C8"/>
    <w:rsid w:val="00F9018D"/>
    <w:rsid w:val="00F908BF"/>
    <w:rsid w:val="00F9096F"/>
    <w:rsid w:val="00F918E7"/>
    <w:rsid w:val="00F9218F"/>
    <w:rsid w:val="00F92567"/>
    <w:rsid w:val="00F92902"/>
    <w:rsid w:val="00F92BF2"/>
    <w:rsid w:val="00F95063"/>
    <w:rsid w:val="00F95D85"/>
    <w:rsid w:val="00F96C56"/>
    <w:rsid w:val="00FA1A12"/>
    <w:rsid w:val="00FA27AE"/>
    <w:rsid w:val="00FA2C61"/>
    <w:rsid w:val="00FA3948"/>
    <w:rsid w:val="00FA414D"/>
    <w:rsid w:val="00FA4A6E"/>
    <w:rsid w:val="00FA615C"/>
    <w:rsid w:val="00FB1310"/>
    <w:rsid w:val="00FB16E9"/>
    <w:rsid w:val="00FB30A5"/>
    <w:rsid w:val="00FB5093"/>
    <w:rsid w:val="00FB59E7"/>
    <w:rsid w:val="00FB5FA1"/>
    <w:rsid w:val="00FC09EF"/>
    <w:rsid w:val="00FC1189"/>
    <w:rsid w:val="00FC1A6E"/>
    <w:rsid w:val="00FC28D1"/>
    <w:rsid w:val="00FC296E"/>
    <w:rsid w:val="00FC3146"/>
    <w:rsid w:val="00FC33D6"/>
    <w:rsid w:val="00FC40A2"/>
    <w:rsid w:val="00FC4150"/>
    <w:rsid w:val="00FC512A"/>
    <w:rsid w:val="00FC5A72"/>
    <w:rsid w:val="00FC6EB3"/>
    <w:rsid w:val="00FC7153"/>
    <w:rsid w:val="00FD0D35"/>
    <w:rsid w:val="00FD15A0"/>
    <w:rsid w:val="00FD15C7"/>
    <w:rsid w:val="00FD2B06"/>
    <w:rsid w:val="00FD2D9A"/>
    <w:rsid w:val="00FD3DFA"/>
    <w:rsid w:val="00FD3E71"/>
    <w:rsid w:val="00FD408C"/>
    <w:rsid w:val="00FD4D00"/>
    <w:rsid w:val="00FD501C"/>
    <w:rsid w:val="00FD5E9C"/>
    <w:rsid w:val="00FD5F1F"/>
    <w:rsid w:val="00FE0815"/>
    <w:rsid w:val="00FE0871"/>
    <w:rsid w:val="00FE1377"/>
    <w:rsid w:val="00FE2755"/>
    <w:rsid w:val="00FE458A"/>
    <w:rsid w:val="00FE6673"/>
    <w:rsid w:val="00FE691D"/>
    <w:rsid w:val="00FE71C7"/>
    <w:rsid w:val="00FF056C"/>
    <w:rsid w:val="00FF219E"/>
    <w:rsid w:val="00FF49D9"/>
    <w:rsid w:val="00FF5CD7"/>
    <w:rsid w:val="00FF5D8C"/>
    <w:rsid w:val="00FF6121"/>
    <w:rsid w:val="00FF72EC"/>
    <w:rsid w:val="00FF7C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42720"/>
  <w15:chartTrackingRefBased/>
  <w15:docId w15:val="{B1F0A770-ADE2-40B8-BEF3-044F0E8D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paragraph" w:styleId="Revision">
    <w:name w:val="Revision"/>
    <w:hidden/>
    <w:uiPriority w:val="99"/>
    <w:semiHidden/>
    <w:rsid w:val="00DC329E"/>
    <w:rPr>
      <w:rFonts w:ascii="Arial" w:eastAsia="Times New Roman"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248614422">
      <w:bodyDiv w:val="1"/>
      <w:marLeft w:val="0"/>
      <w:marRight w:val="0"/>
      <w:marTop w:val="0"/>
      <w:marBottom w:val="0"/>
      <w:divBdr>
        <w:top w:val="none" w:sz="0" w:space="0" w:color="auto"/>
        <w:left w:val="none" w:sz="0" w:space="0" w:color="auto"/>
        <w:bottom w:val="none" w:sz="0" w:space="0" w:color="auto"/>
        <w:right w:val="none" w:sz="0" w:space="0" w:color="auto"/>
      </w:divBdr>
    </w:div>
    <w:div w:id="1317806105">
      <w:bodyDiv w:val="1"/>
      <w:marLeft w:val="0"/>
      <w:marRight w:val="0"/>
      <w:marTop w:val="0"/>
      <w:marBottom w:val="0"/>
      <w:divBdr>
        <w:top w:val="none" w:sz="0" w:space="0" w:color="auto"/>
        <w:left w:val="none" w:sz="0" w:space="0" w:color="auto"/>
        <w:bottom w:val="none" w:sz="0" w:space="0" w:color="auto"/>
        <w:right w:val="none" w:sz="0" w:space="0" w:color="auto"/>
      </w:divBdr>
      <w:divsChild>
        <w:div w:id="1414352007">
          <w:marLeft w:val="0"/>
          <w:marRight w:val="0"/>
          <w:marTop w:val="0"/>
          <w:marBottom w:val="0"/>
          <w:divBdr>
            <w:top w:val="none" w:sz="0" w:space="0" w:color="auto"/>
            <w:left w:val="none" w:sz="0" w:space="0" w:color="auto"/>
            <w:bottom w:val="none" w:sz="0" w:space="0" w:color="auto"/>
            <w:right w:val="none" w:sz="0" w:space="0" w:color="auto"/>
          </w:divBdr>
        </w:div>
        <w:div w:id="98374499">
          <w:marLeft w:val="0"/>
          <w:marRight w:val="0"/>
          <w:marTop w:val="0"/>
          <w:marBottom w:val="0"/>
          <w:divBdr>
            <w:top w:val="none" w:sz="0" w:space="0" w:color="auto"/>
            <w:left w:val="none" w:sz="0" w:space="0" w:color="auto"/>
            <w:bottom w:val="none" w:sz="0" w:space="0" w:color="auto"/>
            <w:right w:val="none" w:sz="0" w:space="0" w:color="auto"/>
          </w:divBdr>
        </w:div>
        <w:div w:id="842746857">
          <w:marLeft w:val="0"/>
          <w:marRight w:val="0"/>
          <w:marTop w:val="0"/>
          <w:marBottom w:val="0"/>
          <w:divBdr>
            <w:top w:val="none" w:sz="0" w:space="0" w:color="auto"/>
            <w:left w:val="none" w:sz="0" w:space="0" w:color="auto"/>
            <w:bottom w:val="none" w:sz="0" w:space="0" w:color="auto"/>
            <w:right w:val="none" w:sz="0" w:space="0" w:color="auto"/>
          </w:divBdr>
        </w:div>
      </w:divsChild>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 w:id="20853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4D285CAB-1B16-434C-B217-6259AFB1A817}">
  <ds:schemaRefs>
    <ds:schemaRef ds:uri="http://schemas.openxmlformats.org/officeDocument/2006/bibliography"/>
  </ds:schemaRefs>
</ds:datastoreItem>
</file>

<file path=customXml/itemProps2.xml><?xml version="1.0" encoding="utf-8"?>
<ds:datastoreItem xmlns:ds="http://schemas.openxmlformats.org/officeDocument/2006/customXml" ds:itemID="{33C0C02A-E169-4ADF-BBCC-1B8B686F4F36}"/>
</file>

<file path=customXml/itemProps3.xml><?xml version="1.0" encoding="utf-8"?>
<ds:datastoreItem xmlns:ds="http://schemas.openxmlformats.org/officeDocument/2006/customXml" ds:itemID="{9DFC8010-4819-48E4-B744-B9E74BA47439}"/>
</file>

<file path=customXml/itemProps4.xml><?xml version="1.0" encoding="utf-8"?>
<ds:datastoreItem xmlns:ds="http://schemas.openxmlformats.org/officeDocument/2006/customXml" ds:itemID="{BF3CCC8A-EE12-4CD5-9EAE-D23755F26845}"/>
</file>

<file path=docProps/app.xml><?xml version="1.0" encoding="utf-8"?>
<Properties xmlns="http://schemas.openxmlformats.org/officeDocument/2006/extended-properties" xmlns:vt="http://schemas.openxmlformats.org/officeDocument/2006/docPropsVTypes">
  <Template>Normal.dotm</Template>
  <TotalTime>0</TotalTime>
  <Pages>14</Pages>
  <Words>4698</Words>
  <Characters>25287</Characters>
  <Application>Microsoft Office Word</Application>
  <DocSecurity>0</DocSecurity>
  <Lines>553</Lines>
  <Paragraphs>154</Paragraphs>
  <ScaleCrop>false</ScaleCrop>
  <HeadingPairs>
    <vt:vector size="2" baseType="variant">
      <vt:variant>
        <vt:lpstr>Title</vt:lpstr>
      </vt:variant>
      <vt:variant>
        <vt:i4>1</vt:i4>
      </vt:variant>
    </vt:vector>
  </HeadingPairs>
  <TitlesOfParts>
    <vt:vector size="1" baseType="lpstr">
      <vt:lpstr>Supplementary analysis report - Purchase price allocation (27 May 2020)</vt:lpstr>
    </vt:vector>
  </TitlesOfParts>
  <Company>Inland Revenue</Company>
  <LinksUpToDate>false</LinksUpToDate>
  <CharactersWithSpaces>29981</CharactersWithSpaces>
  <SharedDoc>false</SharedDoc>
  <HLinks>
    <vt:vector size="36" baseType="variant">
      <vt:variant>
        <vt:i4>8257662</vt:i4>
      </vt:variant>
      <vt:variant>
        <vt:i4>15</vt:i4>
      </vt:variant>
      <vt:variant>
        <vt:i4>0</vt:i4>
      </vt:variant>
      <vt:variant>
        <vt:i4>5</vt:i4>
      </vt:variant>
      <vt:variant>
        <vt:lpwstr>http://www.treasury.govt.nz/publications/guidance/planning/costbenefitanalysis</vt:lpwstr>
      </vt:variant>
      <vt:variant>
        <vt:lpwstr/>
      </vt:variant>
      <vt:variant>
        <vt:i4>2949239</vt:i4>
      </vt:variant>
      <vt:variant>
        <vt:i4>12</vt:i4>
      </vt:variant>
      <vt:variant>
        <vt:i4>0</vt:i4>
      </vt:variant>
      <vt:variant>
        <vt:i4>5</vt:i4>
      </vt:variant>
      <vt:variant>
        <vt:lpwstr>http://www.treasury.govt.nz/publications/guidance/planning/costbenefitanalysis/x/x-guide-oct15.pdf</vt:lpwstr>
      </vt:variant>
      <vt:variant>
        <vt:lpwstr/>
      </vt:variant>
      <vt:variant>
        <vt:i4>2687029</vt:i4>
      </vt:variant>
      <vt:variant>
        <vt:i4>9</vt:i4>
      </vt:variant>
      <vt:variant>
        <vt:i4>0</vt:i4>
      </vt:variant>
      <vt:variant>
        <vt:i4>5</vt:i4>
      </vt:variant>
      <vt:variant>
        <vt:lpwstr>http://www.treasury.govt.nz/regulation/expectations</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analysis report - Purchase price allocation (27 May 2020)</dc:title>
  <dc:subject/>
  <dc:creator>Policy and Strategy</dc:creator>
  <cp:keywords/>
  <dc:description/>
  <dcterms:created xsi:type="dcterms:W3CDTF">2020-06-02T01:54:00Z</dcterms:created>
  <dcterms:modified xsi:type="dcterms:W3CDTF">2020-06-02T01:55:00Z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