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D8C3B" w14:textId="150D1948" w:rsidR="00E92509" w:rsidRPr="0067537D" w:rsidRDefault="00BA08C7" w:rsidP="00293FDC">
      <w:pPr>
        <w:pStyle w:val="Heading1"/>
        <w:spacing w:before="0"/>
      </w:pPr>
      <w:r w:rsidRPr="00B952B7">
        <w:t>Impact Sum</w:t>
      </w:r>
      <w:r w:rsidRPr="006D3130">
        <w:t>m</w:t>
      </w:r>
      <w:r w:rsidRPr="00B952B7">
        <w:t>ary</w:t>
      </w:r>
      <w:r w:rsidR="00783846" w:rsidRPr="00957BC2">
        <w:t>:</w:t>
      </w:r>
      <w:r w:rsidR="007C77B1" w:rsidRPr="00957BC2">
        <w:t xml:space="preserve"> </w:t>
      </w:r>
      <w:r w:rsidR="00CF1EDB">
        <w:t xml:space="preserve">Mycoplasma </w:t>
      </w:r>
      <w:proofErr w:type="spellStart"/>
      <w:r w:rsidR="00CF1EDB">
        <w:t>bovis</w:t>
      </w:r>
      <w:proofErr w:type="spellEnd"/>
      <w:r w:rsidR="00CF1EDB">
        <w:t xml:space="preserve"> tax issue</w:t>
      </w:r>
    </w:p>
    <w:p w14:paraId="181D721E" w14:textId="77777777" w:rsidR="00E57521" w:rsidRPr="00E57521" w:rsidRDefault="00E57521" w:rsidP="00EC6FAD">
      <w:pPr>
        <w:pStyle w:val="spacer"/>
        <w:rPr>
          <w:w w:val="90"/>
          <w:sz w:val="22"/>
        </w:rPr>
      </w:pPr>
    </w:p>
    <w:p w14:paraId="3CAFAA9C" w14:textId="77777777" w:rsidR="00E92509" w:rsidRPr="00B952B7" w:rsidRDefault="00E92509" w:rsidP="00414D0D">
      <w:pPr>
        <w:pStyle w:val="Heading2"/>
      </w:pPr>
      <w:r w:rsidRPr="00B952B7">
        <w:t>Section 1: Ge</w:t>
      </w:r>
      <w:r w:rsidRPr="00414D0D">
        <w:t>nera</w:t>
      </w:r>
      <w:r w:rsidRPr="00B952B7">
        <w:t>l infor</w:t>
      </w:r>
      <w:r w:rsidRPr="00414D0D">
        <w:t>ma</w:t>
      </w:r>
      <w:r w:rsidRPr="00B952B7">
        <w:t>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DA39FD" w:rsidRPr="0069218C" w14:paraId="060BCB7B" w14:textId="77777777" w:rsidTr="00BB4EA2">
        <w:tc>
          <w:tcPr>
            <w:tcW w:w="5000" w:type="pct"/>
            <w:shd w:val="clear" w:color="auto" w:fill="99CDDD"/>
            <w:hideMark/>
          </w:tcPr>
          <w:p w14:paraId="3A3107FA" w14:textId="77777777" w:rsidR="00DA39FD" w:rsidRPr="00AE4D46" w:rsidRDefault="00217894" w:rsidP="00EC6FAD">
            <w:pPr>
              <w:pStyle w:val="TableHeadings"/>
              <w:rPr>
                <w:color w:val="002060"/>
                <w:szCs w:val="22"/>
              </w:rPr>
            </w:pPr>
            <w:r w:rsidRPr="00886DFF">
              <w:rPr>
                <w:szCs w:val="22"/>
              </w:rPr>
              <w:t>Purpose</w:t>
            </w:r>
          </w:p>
        </w:tc>
      </w:tr>
      <w:tr w:rsidR="00DA39FD" w:rsidRPr="0069218C" w14:paraId="56BFAA63" w14:textId="77777777" w:rsidTr="00BB4EA2">
        <w:trPr>
          <w:trHeight w:val="680"/>
        </w:trPr>
        <w:tc>
          <w:tcPr>
            <w:tcW w:w="5000" w:type="pct"/>
            <w:shd w:val="clear" w:color="auto" w:fill="EBF5F8"/>
          </w:tcPr>
          <w:p w14:paraId="4B3BF8AC" w14:textId="3D10C6C4" w:rsidR="00DA39FD" w:rsidRPr="0069218C" w:rsidRDefault="00B93C24" w:rsidP="00B93C24">
            <w:pPr>
              <w:spacing w:after="180"/>
              <w:rPr>
                <w:rFonts w:cs="Arial"/>
              </w:rPr>
            </w:pPr>
            <w:r>
              <w:rPr>
                <w:rFonts w:cs="Arial"/>
                <w:i/>
                <w:color w:val="000000"/>
                <w:szCs w:val="22"/>
              </w:rPr>
              <w:t>Inland Revenue</w:t>
            </w:r>
            <w:r w:rsidR="00DA39FD" w:rsidRPr="00886DFF">
              <w:rPr>
                <w:rFonts w:cs="Arial"/>
                <w:color w:val="000000"/>
                <w:szCs w:val="22"/>
              </w:rPr>
              <w:t xml:space="preserve"> is solely responsible for the analysis and advice set out in this Impact </w:t>
            </w:r>
            <w:r w:rsidR="008A56EB" w:rsidRPr="00886DFF">
              <w:rPr>
                <w:rFonts w:cs="Arial"/>
                <w:color w:val="000000"/>
                <w:szCs w:val="22"/>
              </w:rPr>
              <w:t>S</w:t>
            </w:r>
            <w:r w:rsidR="008A56EB">
              <w:rPr>
                <w:rFonts w:cs="Arial"/>
                <w:color w:val="000000"/>
                <w:szCs w:val="22"/>
              </w:rPr>
              <w:t>ummary</w:t>
            </w:r>
            <w:r w:rsidR="00DA39FD" w:rsidRPr="00886DFF">
              <w:rPr>
                <w:rFonts w:cs="Arial"/>
                <w:color w:val="000000"/>
                <w:szCs w:val="22"/>
              </w:rPr>
              <w:t xml:space="preserve">, except as </w:t>
            </w:r>
            <w:r w:rsidR="00CD24DC">
              <w:rPr>
                <w:rFonts w:cs="Arial"/>
                <w:color w:val="000000"/>
                <w:szCs w:val="22"/>
              </w:rPr>
              <w:t xml:space="preserve">otherwise explicitly indicated. </w:t>
            </w:r>
            <w:r w:rsidR="00DA39FD" w:rsidRPr="00886DFF">
              <w:rPr>
                <w:rFonts w:cs="Arial"/>
                <w:color w:val="000000"/>
                <w:szCs w:val="22"/>
              </w:rPr>
              <w:t>This analysis and advice has been produced for the purpose of informing</w:t>
            </w:r>
            <w:r>
              <w:rPr>
                <w:rFonts w:cs="Arial"/>
                <w:color w:val="000000"/>
                <w:szCs w:val="22"/>
              </w:rPr>
              <w:t xml:space="preserve"> </w:t>
            </w:r>
            <w:r w:rsidR="009C43AE">
              <w:rPr>
                <w:rFonts w:cs="Arial"/>
                <w:color w:val="000000"/>
                <w:szCs w:val="22"/>
              </w:rPr>
              <w:t>key policy decisions to</w:t>
            </w:r>
            <w:r w:rsidR="00DA39FD" w:rsidRPr="00783846">
              <w:t xml:space="preserve"> be taken by or on behalf of Cabinet</w:t>
            </w:r>
            <w:r>
              <w:t>.</w:t>
            </w:r>
            <w:r w:rsidR="00F7345E">
              <w:t xml:space="preserve"> </w:t>
            </w:r>
          </w:p>
        </w:tc>
      </w:tr>
    </w:tbl>
    <w:p w14:paraId="11F871E2" w14:textId="77777777" w:rsidR="00F81C1E" w:rsidRDefault="00F81C1E"/>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DA39FD" w:rsidRPr="0069218C" w14:paraId="3AE36782" w14:textId="77777777" w:rsidTr="00BB4EA2">
        <w:tc>
          <w:tcPr>
            <w:tcW w:w="5000" w:type="pct"/>
            <w:shd w:val="clear" w:color="auto" w:fill="99CDDD"/>
            <w:hideMark/>
          </w:tcPr>
          <w:p w14:paraId="03359D62" w14:textId="77777777" w:rsidR="00DA39FD" w:rsidRPr="00886DFF" w:rsidRDefault="00DA39FD" w:rsidP="00957BC2">
            <w:pPr>
              <w:pStyle w:val="TableHeadings"/>
              <w:keepNext/>
              <w:rPr>
                <w:szCs w:val="22"/>
              </w:rPr>
            </w:pPr>
            <w:r w:rsidRPr="00886DFF">
              <w:rPr>
                <w:szCs w:val="22"/>
              </w:rPr>
              <w:t>Key Limitations or Constraints on Analysis</w:t>
            </w:r>
          </w:p>
        </w:tc>
      </w:tr>
      <w:tr w:rsidR="0069218C" w:rsidRPr="0069218C" w14:paraId="4593227A" w14:textId="77777777" w:rsidTr="00BB4EA2">
        <w:trPr>
          <w:trHeight w:val="1780"/>
        </w:trPr>
        <w:tc>
          <w:tcPr>
            <w:tcW w:w="5000" w:type="pct"/>
            <w:shd w:val="clear" w:color="auto" w:fill="auto"/>
          </w:tcPr>
          <w:p w14:paraId="559D8EB2" w14:textId="77777777" w:rsidR="009E0C15" w:rsidRPr="00096726" w:rsidRDefault="009E0C15" w:rsidP="00C7655A">
            <w:pPr>
              <w:spacing w:after="0" w:line="276" w:lineRule="auto"/>
              <w:jc w:val="both"/>
              <w:rPr>
                <w:rFonts w:cs="Arial"/>
                <w:b/>
                <w:bCs/>
                <w:szCs w:val="22"/>
              </w:rPr>
            </w:pPr>
            <w:r w:rsidRPr="00096726">
              <w:rPr>
                <w:rFonts w:cs="Arial"/>
                <w:b/>
                <w:bCs/>
                <w:szCs w:val="22"/>
              </w:rPr>
              <w:t>Range of options considered</w:t>
            </w:r>
          </w:p>
          <w:p w14:paraId="4D177E7A" w14:textId="5CBF36B9" w:rsidR="00C7655A" w:rsidRDefault="00A375F7" w:rsidP="00C7655A">
            <w:pPr>
              <w:spacing w:after="0" w:line="276" w:lineRule="auto"/>
              <w:jc w:val="both"/>
              <w:rPr>
                <w:rFonts w:cs="Arial"/>
                <w:szCs w:val="22"/>
              </w:rPr>
            </w:pPr>
            <w:r>
              <w:rPr>
                <w:rFonts w:cs="Arial"/>
                <w:szCs w:val="22"/>
              </w:rPr>
              <w:t xml:space="preserve">A more long-term generic process or provision for handling severe adverse events and future biosecurity incursions affecting livestock has not been </w:t>
            </w:r>
            <w:r w:rsidR="004D4BA6">
              <w:rPr>
                <w:rFonts w:cs="Arial"/>
                <w:szCs w:val="22"/>
              </w:rPr>
              <w:t xml:space="preserve">considered. Given the timeframe for addressing the current Mycoplasma </w:t>
            </w:r>
            <w:proofErr w:type="spellStart"/>
            <w:r w:rsidR="004D4BA6">
              <w:rPr>
                <w:rFonts w:cs="Arial"/>
                <w:szCs w:val="22"/>
              </w:rPr>
              <w:t>bovis</w:t>
            </w:r>
            <w:proofErr w:type="spellEnd"/>
            <w:r w:rsidR="00CD4059">
              <w:rPr>
                <w:rFonts w:cs="Arial"/>
                <w:szCs w:val="22"/>
              </w:rPr>
              <w:t xml:space="preserve"> </w:t>
            </w:r>
            <w:r w:rsidR="004D4BA6">
              <w:rPr>
                <w:rFonts w:cs="Arial"/>
                <w:szCs w:val="22"/>
              </w:rPr>
              <w:t>issue</w:t>
            </w:r>
            <w:r w:rsidR="00D87282">
              <w:rPr>
                <w:rFonts w:cs="Arial"/>
                <w:szCs w:val="22"/>
              </w:rPr>
              <w:t xml:space="preserve"> (taxpayers</w:t>
            </w:r>
            <w:r w:rsidR="00376334">
              <w:rPr>
                <w:rFonts w:cs="Arial"/>
                <w:szCs w:val="22"/>
              </w:rPr>
              <w:t xml:space="preserve"> that are clients o</w:t>
            </w:r>
            <w:r w:rsidR="009F3371">
              <w:rPr>
                <w:rFonts w:cs="Arial"/>
                <w:szCs w:val="22"/>
              </w:rPr>
              <w:t>f</w:t>
            </w:r>
            <w:r w:rsidR="00376334">
              <w:rPr>
                <w:rFonts w:cs="Arial"/>
                <w:szCs w:val="22"/>
              </w:rPr>
              <w:t xml:space="preserve"> tax agents with a valid extension of time</w:t>
            </w:r>
            <w:r w:rsidR="00D87282">
              <w:rPr>
                <w:rFonts w:cs="Arial"/>
                <w:szCs w:val="22"/>
              </w:rPr>
              <w:t xml:space="preserve"> are due to file tax returns for the 2018/19 income tax year by 31 March 2020)</w:t>
            </w:r>
            <w:r w:rsidR="004D4BA6">
              <w:rPr>
                <w:rFonts w:cs="Arial"/>
                <w:szCs w:val="22"/>
              </w:rPr>
              <w:t xml:space="preserve"> a specific solution is required as it would not be possible to fully consider a longer-term solution.</w:t>
            </w:r>
          </w:p>
          <w:p w14:paraId="56D2A587" w14:textId="6A251D1C" w:rsidR="009E0C15" w:rsidRDefault="009E0C15" w:rsidP="00C7655A">
            <w:pPr>
              <w:spacing w:after="0" w:line="276" w:lineRule="auto"/>
              <w:jc w:val="both"/>
              <w:rPr>
                <w:rFonts w:cs="Arial"/>
                <w:szCs w:val="22"/>
              </w:rPr>
            </w:pPr>
          </w:p>
          <w:p w14:paraId="2CDA98AF" w14:textId="5531C3CD" w:rsidR="009E0C15" w:rsidRPr="00096726" w:rsidRDefault="009E0C15" w:rsidP="00C7655A">
            <w:pPr>
              <w:spacing w:after="0" w:line="276" w:lineRule="auto"/>
              <w:jc w:val="both"/>
              <w:rPr>
                <w:rFonts w:cs="Arial"/>
                <w:b/>
                <w:bCs/>
                <w:szCs w:val="22"/>
              </w:rPr>
            </w:pPr>
            <w:r w:rsidRPr="00096726">
              <w:rPr>
                <w:rFonts w:cs="Arial"/>
                <w:b/>
                <w:bCs/>
                <w:szCs w:val="22"/>
              </w:rPr>
              <w:t>Consultation</w:t>
            </w:r>
          </w:p>
          <w:p w14:paraId="7AC72995" w14:textId="714E19F9" w:rsidR="00E6054D" w:rsidRPr="0069218C" w:rsidRDefault="00A47562" w:rsidP="00C7655A">
            <w:pPr>
              <w:spacing w:after="0" w:line="276" w:lineRule="auto"/>
              <w:jc w:val="both"/>
              <w:rPr>
                <w:rFonts w:cs="Arial"/>
                <w:szCs w:val="22"/>
              </w:rPr>
            </w:pPr>
            <w:r>
              <w:rPr>
                <w:rFonts w:cs="Arial"/>
                <w:szCs w:val="22"/>
              </w:rPr>
              <w:t>Consultation has been focussed on discussing the issue and potential sol</w:t>
            </w:r>
            <w:r w:rsidR="00097307">
              <w:rPr>
                <w:rFonts w:cs="Arial"/>
                <w:szCs w:val="22"/>
              </w:rPr>
              <w:t>utions with Federated Farmers and Chartered Accountants Australia and New Zealand (CA ANZ).</w:t>
            </w:r>
            <w:r w:rsidR="009708E3">
              <w:rPr>
                <w:rFonts w:cs="Arial"/>
                <w:szCs w:val="22"/>
              </w:rPr>
              <w:t xml:space="preserve"> </w:t>
            </w:r>
            <w:r w:rsidR="00067CD1">
              <w:rPr>
                <w:rFonts w:cs="Arial"/>
                <w:szCs w:val="22"/>
              </w:rPr>
              <w:t xml:space="preserve"> </w:t>
            </w:r>
            <w:r w:rsidR="00A92BE3">
              <w:t>Given the time</w:t>
            </w:r>
            <w:r w:rsidR="009708E3">
              <w:t>frame</w:t>
            </w:r>
            <w:r w:rsidR="00A92BE3">
              <w:t xml:space="preserve"> for addressing this issue </w:t>
            </w:r>
            <w:r w:rsidR="00376334">
              <w:t xml:space="preserve">other groups have not been consulted </w:t>
            </w:r>
            <w:r w:rsidR="009F3371">
              <w:t xml:space="preserve">at this stage. </w:t>
            </w:r>
            <w:r w:rsidR="00F17DCE">
              <w:t>O</w:t>
            </w:r>
            <w:r w:rsidR="00A92BE3">
              <w:t>fficials will consider whether other groups should also be consulted as we work through the detailed design</w:t>
            </w:r>
            <w:r w:rsidR="00F17DCE">
              <w:t xml:space="preserve"> of the proposal</w:t>
            </w:r>
            <w:r w:rsidR="00A92BE3">
              <w:t xml:space="preserve"> before legislation is introduced and at the select committee stage.</w:t>
            </w:r>
          </w:p>
        </w:tc>
      </w:tr>
      <w:tr w:rsidR="00DA39FD" w:rsidRPr="0069218C" w14:paraId="354CE8B4" w14:textId="77777777" w:rsidTr="00BB4EA2">
        <w:tc>
          <w:tcPr>
            <w:tcW w:w="5000" w:type="pct"/>
            <w:shd w:val="clear" w:color="auto" w:fill="99CDDD"/>
            <w:hideMark/>
          </w:tcPr>
          <w:p w14:paraId="389E8B25" w14:textId="77777777" w:rsidR="00DA39FD" w:rsidRPr="00886DFF" w:rsidRDefault="00DA39FD" w:rsidP="00EC6FAD">
            <w:pPr>
              <w:pStyle w:val="TableHeadings"/>
              <w:rPr>
                <w:szCs w:val="22"/>
              </w:rPr>
            </w:pPr>
            <w:r w:rsidRPr="00886DFF">
              <w:rPr>
                <w:szCs w:val="22"/>
              </w:rPr>
              <w:t>Responsible Manager (signature and date):</w:t>
            </w:r>
          </w:p>
        </w:tc>
      </w:tr>
      <w:tr w:rsidR="00E92509" w:rsidRPr="0069218C" w14:paraId="4DB19724" w14:textId="77777777" w:rsidTr="00BB4EA2">
        <w:trPr>
          <w:trHeight w:val="3108"/>
        </w:trPr>
        <w:tc>
          <w:tcPr>
            <w:tcW w:w="5000" w:type="pct"/>
            <w:shd w:val="clear" w:color="auto" w:fill="FFFFFF"/>
          </w:tcPr>
          <w:p w14:paraId="25B48968" w14:textId="54061BF8" w:rsidR="00CC30C8" w:rsidRDefault="00CC30C8" w:rsidP="00CC30C8">
            <w:pPr>
              <w:spacing w:after="0"/>
              <w:rPr>
                <w:szCs w:val="22"/>
              </w:rPr>
            </w:pPr>
          </w:p>
          <w:p w14:paraId="559D6547" w14:textId="1BE7B326" w:rsidR="00CC30C8" w:rsidRDefault="00CC30C8" w:rsidP="00CC30C8">
            <w:pPr>
              <w:spacing w:after="0"/>
              <w:rPr>
                <w:szCs w:val="22"/>
              </w:rPr>
            </w:pPr>
          </w:p>
          <w:p w14:paraId="733A2B56" w14:textId="0832C091" w:rsidR="00096726" w:rsidRDefault="00096726" w:rsidP="00CC30C8">
            <w:pPr>
              <w:spacing w:after="0"/>
              <w:rPr>
                <w:szCs w:val="22"/>
              </w:rPr>
            </w:pPr>
          </w:p>
          <w:p w14:paraId="4B62B892" w14:textId="77777777" w:rsidR="00096726" w:rsidRDefault="00096726" w:rsidP="00CC30C8">
            <w:pPr>
              <w:spacing w:after="0"/>
              <w:rPr>
                <w:szCs w:val="22"/>
              </w:rPr>
            </w:pPr>
          </w:p>
          <w:p w14:paraId="36F0880F" w14:textId="77777777" w:rsidR="00CC30C8" w:rsidRDefault="00CC30C8" w:rsidP="00CC30C8">
            <w:pPr>
              <w:spacing w:after="0"/>
              <w:rPr>
                <w:szCs w:val="22"/>
              </w:rPr>
            </w:pPr>
          </w:p>
          <w:p w14:paraId="62880832" w14:textId="5C475626" w:rsidR="00380585" w:rsidRPr="0069218C" w:rsidRDefault="0084487A" w:rsidP="001D4DC1">
            <w:pPr>
              <w:spacing w:after="0"/>
              <w:rPr>
                <w:szCs w:val="22"/>
              </w:rPr>
            </w:pPr>
            <w:r>
              <w:rPr>
                <w:szCs w:val="22"/>
              </w:rPr>
              <w:t>Geoff Leggett</w:t>
            </w:r>
          </w:p>
          <w:p w14:paraId="17AF58F5" w14:textId="7B188432" w:rsidR="00380585" w:rsidRPr="0069218C" w:rsidRDefault="0084487A" w:rsidP="001D4DC1">
            <w:pPr>
              <w:spacing w:after="0"/>
              <w:rPr>
                <w:szCs w:val="22"/>
              </w:rPr>
            </w:pPr>
            <w:r>
              <w:rPr>
                <w:szCs w:val="22"/>
              </w:rPr>
              <w:t>Principal Policy Advisor</w:t>
            </w:r>
          </w:p>
          <w:p w14:paraId="3CF46CF8" w14:textId="2F3885C3" w:rsidR="00380585" w:rsidRPr="0069218C" w:rsidRDefault="00B93C24" w:rsidP="001D4DC1">
            <w:pPr>
              <w:spacing w:after="0"/>
              <w:rPr>
                <w:szCs w:val="22"/>
              </w:rPr>
            </w:pPr>
            <w:r>
              <w:rPr>
                <w:szCs w:val="22"/>
              </w:rPr>
              <w:t>Policy and Strategy</w:t>
            </w:r>
          </w:p>
          <w:p w14:paraId="7CBFADD5" w14:textId="77777777" w:rsidR="00E92509" w:rsidRDefault="00B93C24" w:rsidP="001D4DC1">
            <w:pPr>
              <w:spacing w:after="0"/>
              <w:rPr>
                <w:szCs w:val="22"/>
              </w:rPr>
            </w:pPr>
            <w:r>
              <w:rPr>
                <w:szCs w:val="22"/>
              </w:rPr>
              <w:t>Inland Revenue</w:t>
            </w:r>
          </w:p>
          <w:p w14:paraId="6A5CD2DD" w14:textId="77777777" w:rsidR="001D4DC1" w:rsidRDefault="001D4DC1" w:rsidP="001D4DC1">
            <w:pPr>
              <w:spacing w:after="0"/>
              <w:rPr>
                <w:rFonts w:cs="Arial"/>
                <w:szCs w:val="22"/>
              </w:rPr>
            </w:pPr>
          </w:p>
          <w:p w14:paraId="08054841" w14:textId="4DEAC5EF" w:rsidR="00CC30C8" w:rsidRPr="0069218C" w:rsidRDefault="00FF595C" w:rsidP="001D4DC1">
            <w:pPr>
              <w:spacing w:after="0"/>
              <w:rPr>
                <w:rFonts w:cs="Arial"/>
                <w:szCs w:val="22"/>
              </w:rPr>
            </w:pPr>
            <w:r>
              <w:rPr>
                <w:rFonts w:cs="Arial"/>
                <w:szCs w:val="22"/>
              </w:rPr>
              <w:t>26</w:t>
            </w:r>
            <w:r w:rsidR="00CC30C8">
              <w:rPr>
                <w:rFonts w:cs="Arial"/>
                <w:szCs w:val="22"/>
              </w:rPr>
              <w:t xml:space="preserve"> February 2020</w:t>
            </w:r>
          </w:p>
        </w:tc>
      </w:tr>
    </w:tbl>
    <w:p w14:paraId="79A5A931" w14:textId="77777777" w:rsidR="00096726" w:rsidRDefault="00096726" w:rsidP="007A484F">
      <w:pPr>
        <w:spacing w:before="240" w:after="0" w:line="276" w:lineRule="auto"/>
        <w:rPr>
          <w:i/>
          <w:szCs w:val="22"/>
        </w:rPr>
      </w:pPr>
      <w:bookmarkStart w:id="0" w:name="_Toc363047038"/>
      <w:bookmarkStart w:id="1" w:name="_Toc362940530"/>
      <w:bookmarkStart w:id="2" w:name="_Toc362618966"/>
      <w:bookmarkStart w:id="3" w:name="_Toc362434720"/>
      <w:bookmarkStart w:id="4" w:name="_Toc362368098"/>
    </w:p>
    <w:p w14:paraId="5B7AA203" w14:textId="77777777" w:rsidR="00096726" w:rsidRDefault="00096726">
      <w:pPr>
        <w:spacing w:after="0" w:line="240" w:lineRule="auto"/>
        <w:rPr>
          <w:i/>
          <w:szCs w:val="22"/>
        </w:rPr>
      </w:pPr>
      <w:r>
        <w:rPr>
          <w:i/>
          <w:szCs w:val="22"/>
        </w:rPr>
        <w:br w:type="page"/>
      </w:r>
    </w:p>
    <w:p w14:paraId="4D1670C2" w14:textId="6358A9E5" w:rsidR="00EE447B" w:rsidRDefault="00EE447B" w:rsidP="007A484F">
      <w:pPr>
        <w:spacing w:before="240" w:after="0" w:line="276" w:lineRule="auto"/>
        <w:rPr>
          <w:rFonts w:ascii="Arial Narrow" w:hAnsi="Arial Narrow"/>
          <w:i/>
          <w:szCs w:val="22"/>
        </w:rPr>
      </w:pPr>
      <w:r>
        <w:rPr>
          <w:i/>
          <w:szCs w:val="22"/>
        </w:rPr>
        <w:lastRenderedPageBreak/>
        <w:t>To be completed by quality assurers:</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EE447B" w14:paraId="59A9A119" w14:textId="77777777" w:rsidTr="00BB4EA2">
        <w:trPr>
          <w:trHeight w:val="77"/>
        </w:trPr>
        <w:tc>
          <w:tcPr>
            <w:tcW w:w="9072" w:type="dxa"/>
            <w:shd w:val="clear" w:color="auto" w:fill="99CDDD"/>
            <w:hideMark/>
          </w:tcPr>
          <w:p w14:paraId="70F09C50" w14:textId="77777777" w:rsidR="00EE447B" w:rsidRDefault="00EE447B">
            <w:pPr>
              <w:spacing w:before="60" w:after="60" w:line="240" w:lineRule="auto"/>
              <w:rPr>
                <w:szCs w:val="22"/>
              </w:rPr>
            </w:pPr>
            <w:r>
              <w:rPr>
                <w:szCs w:val="22"/>
              </w:rPr>
              <w:t>Quality Assurance Reviewing Agency:</w:t>
            </w:r>
          </w:p>
        </w:tc>
      </w:tr>
      <w:tr w:rsidR="00EE447B" w14:paraId="4AD5579C" w14:textId="77777777" w:rsidTr="00BB4EA2">
        <w:trPr>
          <w:trHeight w:val="850"/>
        </w:trPr>
        <w:tc>
          <w:tcPr>
            <w:tcW w:w="9072" w:type="dxa"/>
            <w:shd w:val="clear" w:color="auto" w:fill="FFFFFF"/>
          </w:tcPr>
          <w:p w14:paraId="5B96159F" w14:textId="40D3F767" w:rsidR="00EE447B" w:rsidRDefault="001D4DC1" w:rsidP="00E6054D">
            <w:r>
              <w:t>Inland Revenue</w:t>
            </w:r>
          </w:p>
          <w:p w14:paraId="27C850ED" w14:textId="77777777" w:rsidR="00EE447B" w:rsidRDefault="00EE447B">
            <w:pPr>
              <w:pStyle w:val="spacer"/>
              <w:spacing w:line="276" w:lineRule="auto"/>
              <w:rPr>
                <w:sz w:val="22"/>
              </w:rPr>
            </w:pPr>
          </w:p>
        </w:tc>
      </w:tr>
      <w:tr w:rsidR="00EE447B" w14:paraId="01AACAE6" w14:textId="77777777" w:rsidTr="00BB4EA2">
        <w:trPr>
          <w:trHeight w:val="109"/>
        </w:trPr>
        <w:tc>
          <w:tcPr>
            <w:tcW w:w="9072" w:type="dxa"/>
            <w:shd w:val="clear" w:color="auto" w:fill="99CDDD"/>
            <w:hideMark/>
          </w:tcPr>
          <w:p w14:paraId="758EC865" w14:textId="77777777" w:rsidR="00EE447B" w:rsidRDefault="00EE447B">
            <w:pPr>
              <w:spacing w:before="60" w:after="60" w:line="240" w:lineRule="auto"/>
              <w:rPr>
                <w:szCs w:val="22"/>
              </w:rPr>
            </w:pPr>
            <w:r>
              <w:rPr>
                <w:szCs w:val="22"/>
              </w:rPr>
              <w:t>Quality Assurance Assessment:</w:t>
            </w:r>
          </w:p>
        </w:tc>
      </w:tr>
      <w:tr w:rsidR="00EE447B" w14:paraId="320B9AF8" w14:textId="77777777" w:rsidTr="00BB4EA2">
        <w:trPr>
          <w:trHeight w:val="850"/>
        </w:trPr>
        <w:tc>
          <w:tcPr>
            <w:tcW w:w="9072" w:type="dxa"/>
            <w:shd w:val="clear" w:color="auto" w:fill="FFFFFF"/>
          </w:tcPr>
          <w:p w14:paraId="103684F1" w14:textId="429C03AD" w:rsidR="00EE447B" w:rsidRPr="001D4DC1" w:rsidRDefault="001D4DC1" w:rsidP="00E6054D">
            <w:r>
              <w:t xml:space="preserve">The Quality Assurance reviewer at Inland Revenue has reviewed the </w:t>
            </w:r>
            <w:r w:rsidRPr="001D4DC1">
              <w:rPr>
                <w:i/>
                <w:iCs/>
              </w:rPr>
              <w:t xml:space="preserve">Mycoplasma </w:t>
            </w:r>
            <w:proofErr w:type="spellStart"/>
            <w:r w:rsidRPr="001D4DC1">
              <w:rPr>
                <w:i/>
                <w:iCs/>
              </w:rPr>
              <w:t>bovis</w:t>
            </w:r>
            <w:proofErr w:type="spellEnd"/>
            <w:r w:rsidRPr="001D4DC1">
              <w:rPr>
                <w:i/>
                <w:iCs/>
              </w:rPr>
              <w:t xml:space="preserve"> tax issue</w:t>
            </w:r>
            <w:r>
              <w:t xml:space="preserve"> RIA and considers that the information and analysis summarised in it </w:t>
            </w:r>
            <w:r w:rsidRPr="00096726">
              <w:rPr>
                <w:b/>
                <w:bCs/>
              </w:rPr>
              <w:t>meets</w:t>
            </w:r>
            <w:r>
              <w:t xml:space="preserve"> the quality criteria of the Regulatory Impact Analysis framework.</w:t>
            </w:r>
          </w:p>
          <w:p w14:paraId="1696CB8D" w14:textId="77777777" w:rsidR="00EE447B" w:rsidRDefault="00EE447B">
            <w:pPr>
              <w:pStyle w:val="spacer"/>
              <w:spacing w:line="276" w:lineRule="auto"/>
              <w:rPr>
                <w:sz w:val="22"/>
              </w:rPr>
            </w:pPr>
          </w:p>
        </w:tc>
      </w:tr>
      <w:tr w:rsidR="00EE447B" w14:paraId="2731CAD0" w14:textId="77777777" w:rsidTr="00BB4EA2">
        <w:trPr>
          <w:trHeight w:val="56"/>
        </w:trPr>
        <w:tc>
          <w:tcPr>
            <w:tcW w:w="9072" w:type="dxa"/>
            <w:shd w:val="clear" w:color="auto" w:fill="99CDDD"/>
            <w:hideMark/>
          </w:tcPr>
          <w:p w14:paraId="0244DF29" w14:textId="77777777" w:rsidR="00EE447B" w:rsidRDefault="00EE447B">
            <w:pPr>
              <w:spacing w:before="60" w:after="60" w:line="240" w:lineRule="auto"/>
              <w:rPr>
                <w:szCs w:val="22"/>
              </w:rPr>
            </w:pPr>
            <w:r>
              <w:rPr>
                <w:szCs w:val="22"/>
              </w:rPr>
              <w:t>Reviewer Comments and Recommendations:</w:t>
            </w:r>
          </w:p>
        </w:tc>
      </w:tr>
      <w:tr w:rsidR="00EE447B" w14:paraId="7B66F7F0" w14:textId="77777777" w:rsidTr="00BB4EA2">
        <w:trPr>
          <w:trHeight w:val="850"/>
        </w:trPr>
        <w:tc>
          <w:tcPr>
            <w:tcW w:w="9072" w:type="dxa"/>
            <w:shd w:val="clear" w:color="auto" w:fill="FFFFFF"/>
          </w:tcPr>
          <w:p w14:paraId="2B6BCF00" w14:textId="1FAA3D43" w:rsidR="00EE447B" w:rsidRDefault="001D4DC1" w:rsidP="00E6054D">
            <w:r>
              <w:t>The reviewer’s comments on earlier versions of this RIA have been incorporated into this version.</w:t>
            </w:r>
          </w:p>
          <w:p w14:paraId="3F069AA1" w14:textId="6E4014D3" w:rsidR="00E6054D" w:rsidRDefault="00E6054D">
            <w:pPr>
              <w:pStyle w:val="spacer"/>
              <w:spacing w:line="276" w:lineRule="auto"/>
              <w:rPr>
                <w:sz w:val="22"/>
              </w:rPr>
            </w:pPr>
          </w:p>
        </w:tc>
      </w:tr>
    </w:tbl>
    <w:p w14:paraId="31001C64" w14:textId="4B01982B" w:rsidR="00E92509" w:rsidRDefault="00F132B2" w:rsidP="00414D0D">
      <w:pPr>
        <w:pStyle w:val="Heading2"/>
      </w:pPr>
      <w:r w:rsidRPr="0069218C">
        <w:rPr>
          <w:rFonts w:cs="Arial"/>
          <w:lang w:val="en-NZ"/>
        </w:rPr>
        <w:br w:type="page"/>
      </w:r>
      <w:r w:rsidR="00E92509" w:rsidRPr="002D5734">
        <w:lastRenderedPageBreak/>
        <w:t xml:space="preserve">Section 2: </w:t>
      </w:r>
      <w:bookmarkEnd w:id="0"/>
      <w:bookmarkEnd w:id="1"/>
      <w:bookmarkEnd w:id="2"/>
      <w:bookmarkEnd w:id="3"/>
      <w:bookmarkEnd w:id="4"/>
      <w:r w:rsidR="00304CE4" w:rsidRPr="002D5734">
        <w:t xml:space="preserve">Problem </w:t>
      </w:r>
      <w:r w:rsidR="0032262A" w:rsidRPr="002D5734">
        <w:t>d</w:t>
      </w:r>
      <w:r w:rsidR="00304CE4" w:rsidRPr="002D5734">
        <w:t>efinition</w:t>
      </w:r>
      <w:r w:rsidR="0032262A" w:rsidRPr="002D5734">
        <w:t xml:space="preserve"> and objectives</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2D5734" w:rsidRPr="0069218C" w14:paraId="06740BC8" w14:textId="77777777" w:rsidTr="00BB4EA2">
        <w:trPr>
          <w:trHeight w:val="77"/>
        </w:trPr>
        <w:tc>
          <w:tcPr>
            <w:tcW w:w="5000" w:type="pct"/>
            <w:shd w:val="clear" w:color="auto" w:fill="99CDDD"/>
            <w:hideMark/>
          </w:tcPr>
          <w:p w14:paraId="6C4DF9C6" w14:textId="77777777" w:rsidR="00E92509" w:rsidRPr="00886DFF" w:rsidRDefault="002A56F0" w:rsidP="00EC6FAD">
            <w:pPr>
              <w:pStyle w:val="TableHeadings"/>
              <w:rPr>
                <w:szCs w:val="22"/>
              </w:rPr>
            </w:pPr>
            <w:r w:rsidRPr="00886DFF">
              <w:rPr>
                <w:szCs w:val="22"/>
              </w:rPr>
              <w:t xml:space="preserve">2.1   </w:t>
            </w:r>
            <w:r w:rsidR="00051A88" w:rsidRPr="00886DFF">
              <w:rPr>
                <w:szCs w:val="22"/>
              </w:rPr>
              <w:t>What is the policy problem or opportunity</w:t>
            </w:r>
            <w:r w:rsidR="002106CB" w:rsidRPr="00886DFF">
              <w:rPr>
                <w:szCs w:val="22"/>
              </w:rPr>
              <w:t xml:space="preserve">? </w:t>
            </w:r>
          </w:p>
        </w:tc>
      </w:tr>
      <w:tr w:rsidR="00A552DC" w:rsidRPr="0069218C" w14:paraId="657BE5E1" w14:textId="77777777" w:rsidTr="00BB4EA2">
        <w:trPr>
          <w:trHeight w:val="1913"/>
        </w:trPr>
        <w:tc>
          <w:tcPr>
            <w:tcW w:w="5000" w:type="pct"/>
            <w:shd w:val="clear" w:color="auto" w:fill="auto"/>
          </w:tcPr>
          <w:p w14:paraId="62D32F22" w14:textId="56C0C51E" w:rsidR="0014120C" w:rsidRPr="001D4DC1" w:rsidRDefault="0014120C" w:rsidP="00E6054D">
            <w:pPr>
              <w:rPr>
                <w:b/>
                <w:bCs/>
              </w:rPr>
            </w:pPr>
            <w:r w:rsidRPr="001D4DC1">
              <w:rPr>
                <w:b/>
                <w:bCs/>
              </w:rPr>
              <w:t>Overview</w:t>
            </w:r>
          </w:p>
          <w:p w14:paraId="528BB16C" w14:textId="11436DAD" w:rsidR="00A448B0" w:rsidRPr="001D4DC1" w:rsidRDefault="00A448B0" w:rsidP="00E6054D">
            <w:r>
              <w:t xml:space="preserve">Some farmers that have had their livestock culled owing to the Government’s attempts to eradicate Mycoplasma </w:t>
            </w:r>
            <w:proofErr w:type="spellStart"/>
            <w:r>
              <w:t>bovis</w:t>
            </w:r>
            <w:proofErr w:type="spellEnd"/>
            <w:r>
              <w:t xml:space="preserve"> from New Zealand have faced an unexpected and significant tax liability as a result. This tax liability may impede their ability to replace their culled herd and is contrary to a key principle of the Biosecurity Act 1993 that no person is made better or worse off owing to the Crown’s use of its powers under that Act.</w:t>
            </w:r>
          </w:p>
          <w:p w14:paraId="69BC14CD" w14:textId="55B9C371" w:rsidR="004D4BA6" w:rsidRPr="004D4BA6" w:rsidRDefault="004D4BA6" w:rsidP="00E6054D">
            <w:pPr>
              <w:rPr>
                <w:b/>
                <w:bCs/>
              </w:rPr>
            </w:pPr>
            <w:r w:rsidRPr="004D4BA6">
              <w:rPr>
                <w:b/>
                <w:bCs/>
              </w:rPr>
              <w:t>Background</w:t>
            </w:r>
          </w:p>
          <w:p w14:paraId="5D1AD8CA" w14:textId="16B42F8B" w:rsidR="000A3857" w:rsidRDefault="000A3857" w:rsidP="000A3857">
            <w:r>
              <w:t xml:space="preserve">Mycoplasma </w:t>
            </w:r>
            <w:proofErr w:type="spellStart"/>
            <w:r>
              <w:t>bovis</w:t>
            </w:r>
            <w:proofErr w:type="spellEnd"/>
            <w:r>
              <w:t xml:space="preserve"> </w:t>
            </w:r>
            <w:r w:rsidR="00745BC0">
              <w:t>i</w:t>
            </w:r>
            <w:r>
              <w:t>s a bacterium that can cause a range of serious conditions in cattle. The disease may be dormant in an animal – causing no symptoms at all. But in times of stress (for example, calving, drying-off, transporting, or being exposed to extreme weather), the animal may shed bacteria in milk and nasal secretions. As a result, other animals may be infected and become ill or carriers themselves.</w:t>
            </w:r>
          </w:p>
          <w:p w14:paraId="2066606C" w14:textId="19909248" w:rsidR="00F132B2" w:rsidRDefault="00745BC0" w:rsidP="00E6054D">
            <w:r>
              <w:t xml:space="preserve">The presence of Mycoplasma </w:t>
            </w:r>
            <w:proofErr w:type="spellStart"/>
            <w:r w:rsidR="00FB3557">
              <w:t>b</w:t>
            </w:r>
            <w:r>
              <w:t>ovis</w:t>
            </w:r>
            <w:proofErr w:type="spellEnd"/>
            <w:r>
              <w:t xml:space="preserve"> in New Zealand was first detected in 2017. </w:t>
            </w:r>
            <w:r w:rsidR="004D4BA6" w:rsidRPr="004D4BA6">
              <w:t>The Government, in partnership with the dairy and beef sectors</w:t>
            </w:r>
            <w:r w:rsidR="004D4BA6">
              <w:t>,</w:t>
            </w:r>
            <w:r w:rsidR="004D4BA6" w:rsidRPr="004D4BA6">
              <w:t xml:space="preserve"> has decided to try to eradicate Mycoplasma </w:t>
            </w:r>
            <w:proofErr w:type="spellStart"/>
            <w:r w:rsidR="004D4BA6" w:rsidRPr="004D4BA6">
              <w:t>bovis</w:t>
            </w:r>
            <w:proofErr w:type="spellEnd"/>
            <w:r w:rsidR="004D4BA6" w:rsidRPr="004D4BA6">
              <w:t xml:space="preserve"> from New Zealand. As a result, Biosecurity New Zealand can require all the stock on a farm where Mycoplasma </w:t>
            </w:r>
            <w:proofErr w:type="spellStart"/>
            <w:r w:rsidR="004D4BA6" w:rsidRPr="004D4BA6">
              <w:t>bovis</w:t>
            </w:r>
            <w:proofErr w:type="spellEnd"/>
            <w:r w:rsidR="004D4BA6" w:rsidRPr="004D4BA6">
              <w:t xml:space="preserve"> has been found to be culled. In exchange, the Government pays compensation to the affected farmers</w:t>
            </w:r>
            <w:r w:rsidR="006476FA">
              <w:t xml:space="preserve"> </w:t>
            </w:r>
            <w:bookmarkStart w:id="5" w:name="_Hlk33099896"/>
            <w:r w:rsidR="006476FA">
              <w:t>for the difference between the normal market value of the stock and the amount received when the stock is slaughtered</w:t>
            </w:r>
            <w:bookmarkEnd w:id="5"/>
            <w:r w:rsidR="00717CE2">
              <w:t xml:space="preserve">. This </w:t>
            </w:r>
            <w:r w:rsidR="00C2784D">
              <w:t xml:space="preserve">compensation </w:t>
            </w:r>
            <w:r w:rsidR="00717CE2">
              <w:t>is</w:t>
            </w:r>
            <w:r w:rsidR="004D4BA6" w:rsidRPr="004D4BA6">
              <w:t xml:space="preserve"> </w:t>
            </w:r>
            <w:r w:rsidR="0084487A">
              <w:t>intended</w:t>
            </w:r>
            <w:r w:rsidR="0084487A" w:rsidRPr="004D4BA6">
              <w:t xml:space="preserve"> </w:t>
            </w:r>
            <w:r w:rsidR="004D4BA6" w:rsidRPr="004D4BA6">
              <w:t>to leave farmers in no better or worse position than a person whose property is not directly affected by the exercise of the powers.</w:t>
            </w:r>
            <w:r w:rsidR="004D4BA6">
              <w:t xml:space="preserve"> </w:t>
            </w:r>
          </w:p>
          <w:p w14:paraId="444E0573" w14:textId="77ECE7BB" w:rsidR="004D4BA6" w:rsidRDefault="004D4BA6" w:rsidP="00E6054D">
            <w:r w:rsidRPr="004D4BA6">
              <w:t xml:space="preserve">To date, around 200 properties have been cleared of stock with a similar number </w:t>
            </w:r>
            <w:r w:rsidR="00CC30C8">
              <w:t xml:space="preserve">being monitored for the presence of Mycoplasma </w:t>
            </w:r>
            <w:proofErr w:type="spellStart"/>
            <w:r w:rsidR="00CC30C8">
              <w:t>bovis</w:t>
            </w:r>
            <w:proofErr w:type="spellEnd"/>
            <w:r w:rsidR="00CC30C8">
              <w:t>.</w:t>
            </w:r>
            <w:r w:rsidRPr="004D4BA6">
              <w:t xml:space="preserve"> These have been predominantly dairy farms although Mycoplasma </w:t>
            </w:r>
            <w:proofErr w:type="spellStart"/>
            <w:r w:rsidRPr="004D4BA6">
              <w:t>bovis</w:t>
            </w:r>
            <w:proofErr w:type="spellEnd"/>
            <w:r w:rsidRPr="004D4BA6">
              <w:t xml:space="preserve"> is increasingly being found on beef farms that acquired young stock from affected dairy farms before the disease was identified. Of the total 90,000 stock culled and compensated for by the end of January</w:t>
            </w:r>
            <w:r w:rsidR="00CC30C8">
              <w:t xml:space="preserve"> 2020</w:t>
            </w:r>
            <w:r w:rsidRPr="004D4BA6">
              <w:t>, 52,000 were dairy cattle and 38,000 were beef cattle, with the bulk of the beef cattle being from fattening operations rather than breeding operations.</w:t>
            </w:r>
            <w:r w:rsidR="0084487A">
              <w:rPr>
                <w:rStyle w:val="FootnoteReference"/>
              </w:rPr>
              <w:footnoteReference w:id="1"/>
            </w:r>
          </w:p>
          <w:p w14:paraId="3E1F32ED" w14:textId="0443CA6E" w:rsidR="00FB3557" w:rsidRDefault="008A488F" w:rsidP="008A488F">
            <w:r>
              <w:t>For income tax purposes livestock must be valued annually to establish its opening and closing values as part of determining the cost of sales. A farmer has the choice of several valuation options</w:t>
            </w:r>
            <w:r w:rsidR="00A21153">
              <w:t xml:space="preserve">.  Many use the </w:t>
            </w:r>
            <w:r>
              <w:t xml:space="preserve">national standard cost (NSC) </w:t>
            </w:r>
            <w:r w:rsidR="00A21153">
              <w:t xml:space="preserve">scheme which </w:t>
            </w:r>
            <w:r>
              <w:t xml:space="preserve">  values the animals at</w:t>
            </w:r>
            <w:r w:rsidR="00FB3557">
              <w:t>:</w:t>
            </w:r>
          </w:p>
          <w:p w14:paraId="672C16E9" w14:textId="37B988F8" w:rsidR="00FB3557" w:rsidRPr="00FB3557" w:rsidRDefault="008A488F" w:rsidP="00FB3557">
            <w:pPr>
              <w:pStyle w:val="Bullet-list"/>
              <w:rPr>
                <w:i w:val="0"/>
                <w:iCs/>
              </w:rPr>
            </w:pPr>
            <w:r w:rsidRPr="00FB3557">
              <w:rPr>
                <w:i w:val="0"/>
                <w:iCs/>
              </w:rPr>
              <w:t>a standard cost</w:t>
            </w:r>
            <w:r w:rsidR="00682529" w:rsidRPr="00FB3557">
              <w:rPr>
                <w:i w:val="0"/>
                <w:iCs/>
              </w:rPr>
              <w:t xml:space="preserve"> (determined by the Commissioner of Inland Revenue)</w:t>
            </w:r>
            <w:r w:rsidR="00FB3557">
              <w:rPr>
                <w:i w:val="0"/>
                <w:iCs/>
              </w:rPr>
              <w:t>, if the animal is homebred,</w:t>
            </w:r>
            <w:r w:rsidR="00682529" w:rsidRPr="00FB3557">
              <w:rPr>
                <w:i w:val="0"/>
                <w:iCs/>
              </w:rPr>
              <w:t xml:space="preserve"> </w:t>
            </w:r>
            <w:r w:rsidRPr="00FB3557">
              <w:rPr>
                <w:i w:val="0"/>
                <w:iCs/>
              </w:rPr>
              <w:t>for the respective age and type of animal that reflects average home breeding costs</w:t>
            </w:r>
            <w:r w:rsidR="00FB3557" w:rsidRPr="00FB3557">
              <w:rPr>
                <w:i w:val="0"/>
                <w:iCs/>
              </w:rPr>
              <w:t>;</w:t>
            </w:r>
            <w:r w:rsidR="00FB3557">
              <w:rPr>
                <w:i w:val="0"/>
                <w:iCs/>
              </w:rPr>
              <w:t xml:space="preserve"> </w:t>
            </w:r>
            <w:r w:rsidRPr="00FB3557">
              <w:rPr>
                <w:i w:val="0"/>
                <w:iCs/>
              </w:rPr>
              <w:t xml:space="preserve">or </w:t>
            </w:r>
          </w:p>
          <w:p w14:paraId="7B27C202" w14:textId="35285405" w:rsidR="008A488F" w:rsidRPr="00FB3557" w:rsidRDefault="008A488F" w:rsidP="00482470">
            <w:pPr>
              <w:pStyle w:val="Bullet-list"/>
              <w:rPr>
                <w:iCs/>
              </w:rPr>
            </w:pPr>
            <w:r w:rsidRPr="00FB3557">
              <w:rPr>
                <w:i w:val="0"/>
                <w:iCs/>
              </w:rPr>
              <w:t xml:space="preserve">at its purchase cost if the </w:t>
            </w:r>
            <w:r w:rsidR="00CC30C8" w:rsidRPr="00FB3557">
              <w:rPr>
                <w:i w:val="0"/>
                <w:iCs/>
              </w:rPr>
              <w:t xml:space="preserve">animal </w:t>
            </w:r>
            <w:r w:rsidRPr="00FB3557">
              <w:rPr>
                <w:i w:val="0"/>
                <w:iCs/>
              </w:rPr>
              <w:t xml:space="preserve">is purchased.  </w:t>
            </w:r>
          </w:p>
          <w:p w14:paraId="5C86E9F0" w14:textId="23585CAA" w:rsidR="008A488F" w:rsidRPr="0069218C" w:rsidRDefault="00C2784D" w:rsidP="00F24072">
            <w:pPr>
              <w:jc w:val="both"/>
            </w:pPr>
            <w:r>
              <w:lastRenderedPageBreak/>
              <w:t xml:space="preserve">A few farmers also use the self-assessed cost scheme which </w:t>
            </w:r>
            <w:r w:rsidR="00733BF0">
              <w:t xml:space="preserve">involves farmers using their own farm costs rather than standard costs.  </w:t>
            </w:r>
          </w:p>
          <w:p w14:paraId="6C0E3000" w14:textId="3B5F3646" w:rsidR="008A488F" w:rsidRPr="008A488F" w:rsidRDefault="008A488F" w:rsidP="008A488F">
            <w:pPr>
              <w:rPr>
                <w:b/>
                <w:bCs/>
              </w:rPr>
            </w:pPr>
            <w:r w:rsidRPr="008A488F">
              <w:rPr>
                <w:b/>
                <w:bCs/>
              </w:rPr>
              <w:t>Policy problem</w:t>
            </w:r>
            <w:r w:rsidR="0014120C">
              <w:rPr>
                <w:b/>
                <w:bCs/>
              </w:rPr>
              <w:t xml:space="preserve"> in detail</w:t>
            </w:r>
          </w:p>
          <w:p w14:paraId="6FC672EC" w14:textId="414C9FC1" w:rsidR="009745DF" w:rsidRDefault="00682529" w:rsidP="009A2624">
            <w:pPr>
              <w:spacing w:after="0" w:line="276" w:lineRule="auto"/>
              <w:jc w:val="both"/>
              <w:rPr>
                <w:szCs w:val="23"/>
                <w:lang w:eastAsia="en-NZ"/>
              </w:rPr>
            </w:pPr>
            <w:r>
              <w:rPr>
                <w:szCs w:val="23"/>
                <w:lang w:eastAsia="en-NZ"/>
              </w:rPr>
              <w:t xml:space="preserve">When </w:t>
            </w:r>
            <w:r w:rsidR="007577DA">
              <w:rPr>
                <w:szCs w:val="23"/>
                <w:lang w:eastAsia="en-NZ"/>
              </w:rPr>
              <w:t xml:space="preserve">breeding </w:t>
            </w:r>
            <w:r w:rsidR="008A488F">
              <w:rPr>
                <w:szCs w:val="23"/>
                <w:lang w:eastAsia="en-NZ"/>
              </w:rPr>
              <w:t xml:space="preserve">livestock </w:t>
            </w:r>
            <w:r>
              <w:rPr>
                <w:szCs w:val="23"/>
                <w:lang w:eastAsia="en-NZ"/>
              </w:rPr>
              <w:t xml:space="preserve">has been </w:t>
            </w:r>
            <w:r w:rsidR="008A488F">
              <w:rPr>
                <w:szCs w:val="23"/>
                <w:lang w:eastAsia="en-NZ"/>
              </w:rPr>
              <w:t xml:space="preserve">valued under </w:t>
            </w:r>
            <w:r w:rsidR="00B56AB5">
              <w:rPr>
                <w:szCs w:val="23"/>
                <w:lang w:eastAsia="en-NZ"/>
              </w:rPr>
              <w:t xml:space="preserve">either </w:t>
            </w:r>
            <w:r w:rsidR="008A488F">
              <w:rPr>
                <w:szCs w:val="23"/>
                <w:lang w:eastAsia="en-NZ"/>
              </w:rPr>
              <w:t xml:space="preserve">the NSC </w:t>
            </w:r>
            <w:r w:rsidR="00B56AB5">
              <w:rPr>
                <w:szCs w:val="23"/>
                <w:lang w:eastAsia="en-NZ"/>
              </w:rPr>
              <w:t>scheme or the self-assessed cost scheme</w:t>
            </w:r>
            <w:r w:rsidR="009A2624">
              <w:rPr>
                <w:szCs w:val="23"/>
                <w:lang w:eastAsia="en-NZ"/>
              </w:rPr>
              <w:t xml:space="preserve">, culling the herd can result in a significant and unexpected tax </w:t>
            </w:r>
            <w:r>
              <w:rPr>
                <w:szCs w:val="23"/>
                <w:lang w:eastAsia="en-NZ"/>
              </w:rPr>
              <w:t>liability that can impede a farmer’s ability to restock their farm. This is b</w:t>
            </w:r>
            <w:r w:rsidR="009A2624">
              <w:rPr>
                <w:szCs w:val="23"/>
                <w:lang w:eastAsia="en-NZ"/>
              </w:rPr>
              <w:t>ecause</w:t>
            </w:r>
            <w:r w:rsidR="008A488F" w:rsidRPr="00473E0F">
              <w:rPr>
                <w:szCs w:val="23"/>
                <w:lang w:eastAsia="en-NZ"/>
              </w:rPr>
              <w:t xml:space="preserve"> the </w:t>
            </w:r>
            <w:r w:rsidR="00B56AB5">
              <w:rPr>
                <w:szCs w:val="23"/>
                <w:lang w:eastAsia="en-NZ"/>
              </w:rPr>
              <w:t xml:space="preserve">compensation payments plus slaughter receipts are </w:t>
            </w:r>
            <w:r w:rsidR="008A488F" w:rsidRPr="00473E0F">
              <w:rPr>
                <w:szCs w:val="23"/>
                <w:lang w:eastAsia="en-NZ"/>
              </w:rPr>
              <w:t>income</w:t>
            </w:r>
            <w:r w:rsidR="0077529C">
              <w:rPr>
                <w:szCs w:val="23"/>
                <w:lang w:eastAsia="en-NZ"/>
              </w:rPr>
              <w:t>, and t</w:t>
            </w:r>
            <w:r w:rsidR="008A488F" w:rsidRPr="00473E0F">
              <w:rPr>
                <w:szCs w:val="23"/>
                <w:lang w:eastAsia="en-NZ"/>
              </w:rPr>
              <w:t>he</w:t>
            </w:r>
            <w:r w:rsidR="00B56AB5">
              <w:rPr>
                <w:szCs w:val="23"/>
                <w:lang w:eastAsia="en-NZ"/>
              </w:rPr>
              <w:t xml:space="preserve">re is no immediate </w:t>
            </w:r>
            <w:r w:rsidR="0084487A">
              <w:rPr>
                <w:szCs w:val="23"/>
                <w:lang w:eastAsia="en-NZ"/>
              </w:rPr>
              <w:t xml:space="preserve">comparable </w:t>
            </w:r>
            <w:r w:rsidR="00B56AB5">
              <w:rPr>
                <w:szCs w:val="23"/>
                <w:lang w:eastAsia="en-NZ"/>
              </w:rPr>
              <w:t>deduction in relation to the replacement stock to offset th</w:t>
            </w:r>
            <w:r w:rsidR="00A16AD4">
              <w:rPr>
                <w:szCs w:val="23"/>
                <w:lang w:eastAsia="en-NZ"/>
              </w:rPr>
              <w:t>at</w:t>
            </w:r>
            <w:r w:rsidR="00B56AB5">
              <w:rPr>
                <w:szCs w:val="23"/>
                <w:lang w:eastAsia="en-NZ"/>
              </w:rPr>
              <w:t xml:space="preserve"> income. </w:t>
            </w:r>
            <w:r w:rsidR="001041AA">
              <w:rPr>
                <w:szCs w:val="23"/>
                <w:lang w:eastAsia="en-NZ"/>
              </w:rPr>
              <w:t>The replacement stoc</w:t>
            </w:r>
            <w:r w:rsidR="003234CB">
              <w:rPr>
                <w:szCs w:val="23"/>
                <w:lang w:eastAsia="en-NZ"/>
              </w:rPr>
              <w:t xml:space="preserve">k </w:t>
            </w:r>
            <w:r w:rsidR="00C32909">
              <w:rPr>
                <w:szCs w:val="23"/>
                <w:lang w:eastAsia="en-NZ"/>
              </w:rPr>
              <w:t xml:space="preserve">value </w:t>
            </w:r>
            <w:r w:rsidR="00B56AB5">
              <w:rPr>
                <w:szCs w:val="23"/>
                <w:lang w:eastAsia="en-NZ"/>
              </w:rPr>
              <w:t>for NSC and self</w:t>
            </w:r>
            <w:r w:rsidR="00A21153">
              <w:rPr>
                <w:szCs w:val="23"/>
                <w:lang w:eastAsia="en-NZ"/>
              </w:rPr>
              <w:t>-</w:t>
            </w:r>
            <w:r w:rsidR="00B56AB5">
              <w:rPr>
                <w:szCs w:val="23"/>
                <w:lang w:eastAsia="en-NZ"/>
              </w:rPr>
              <w:t xml:space="preserve">assessed cost purposes </w:t>
            </w:r>
            <w:r w:rsidR="00C32909">
              <w:rPr>
                <w:szCs w:val="23"/>
                <w:lang w:eastAsia="en-NZ"/>
              </w:rPr>
              <w:t>is</w:t>
            </w:r>
            <w:r w:rsidR="00B56AB5">
              <w:rPr>
                <w:szCs w:val="23"/>
                <w:lang w:eastAsia="en-NZ"/>
              </w:rPr>
              <w:t xml:space="preserve"> its purchase price and th</w:t>
            </w:r>
            <w:r w:rsidR="00580FEA">
              <w:rPr>
                <w:szCs w:val="23"/>
                <w:lang w:eastAsia="en-NZ"/>
              </w:rPr>
              <w:t>is</w:t>
            </w:r>
            <w:r w:rsidR="00B56AB5">
              <w:rPr>
                <w:szCs w:val="23"/>
                <w:lang w:eastAsia="en-NZ"/>
              </w:rPr>
              <w:t xml:space="preserve"> </w:t>
            </w:r>
            <w:r w:rsidR="008A488F" w:rsidRPr="00473E0F">
              <w:rPr>
                <w:szCs w:val="23"/>
                <w:lang w:eastAsia="en-NZ"/>
              </w:rPr>
              <w:t>stock value is</w:t>
            </w:r>
            <w:r w:rsidR="00B56AB5">
              <w:rPr>
                <w:szCs w:val="23"/>
                <w:lang w:eastAsia="en-NZ"/>
              </w:rPr>
              <w:t xml:space="preserve"> only gradually </w:t>
            </w:r>
            <w:r w:rsidR="008A488F" w:rsidRPr="00473E0F">
              <w:rPr>
                <w:szCs w:val="23"/>
                <w:lang w:eastAsia="en-NZ"/>
              </w:rPr>
              <w:t xml:space="preserve">written down </w:t>
            </w:r>
            <w:r w:rsidR="00B56AB5">
              <w:rPr>
                <w:szCs w:val="23"/>
                <w:lang w:eastAsia="en-NZ"/>
              </w:rPr>
              <w:t>(</w:t>
            </w:r>
            <w:r w:rsidR="008A488F" w:rsidRPr="00473E0F">
              <w:rPr>
                <w:szCs w:val="23"/>
                <w:lang w:eastAsia="en-NZ"/>
              </w:rPr>
              <w:t>over the next five or so years</w:t>
            </w:r>
            <w:r w:rsidR="00B56AB5">
              <w:rPr>
                <w:szCs w:val="23"/>
                <w:lang w:eastAsia="en-NZ"/>
              </w:rPr>
              <w:t>)</w:t>
            </w:r>
            <w:r w:rsidR="008A488F" w:rsidRPr="00473E0F">
              <w:rPr>
                <w:szCs w:val="23"/>
                <w:lang w:eastAsia="en-NZ"/>
              </w:rPr>
              <w:t xml:space="preserve"> as the stock ages and is itself replaced from homebred animals.  </w:t>
            </w:r>
          </w:p>
          <w:p w14:paraId="783765CC" w14:textId="77777777" w:rsidR="009745DF" w:rsidRDefault="009745DF" w:rsidP="009A2624">
            <w:pPr>
              <w:spacing w:after="0" w:line="276" w:lineRule="auto"/>
              <w:jc w:val="both"/>
              <w:rPr>
                <w:szCs w:val="23"/>
                <w:lang w:eastAsia="en-NZ"/>
              </w:rPr>
            </w:pPr>
          </w:p>
          <w:p w14:paraId="34DFC69E" w14:textId="5EE51BC5" w:rsidR="008A488F" w:rsidRDefault="009745DF" w:rsidP="009A2624">
            <w:pPr>
              <w:spacing w:after="0" w:line="276" w:lineRule="auto"/>
              <w:jc w:val="both"/>
              <w:rPr>
                <w:szCs w:val="23"/>
                <w:lang w:eastAsia="en-NZ"/>
              </w:rPr>
            </w:pPr>
            <w:r>
              <w:rPr>
                <w:szCs w:val="23"/>
                <w:lang w:eastAsia="en-NZ"/>
              </w:rPr>
              <w:t xml:space="preserve">Although this is a tax timing issue, </w:t>
            </w:r>
            <w:r w:rsidR="009A2624">
              <w:rPr>
                <w:szCs w:val="23"/>
                <w:lang w:eastAsia="en-NZ"/>
              </w:rPr>
              <w:t>t</w:t>
            </w:r>
            <w:r w:rsidR="008A488F" w:rsidRPr="00473E0F">
              <w:rPr>
                <w:szCs w:val="23"/>
                <w:lang w:eastAsia="en-NZ"/>
              </w:rPr>
              <w:t xml:space="preserve">here are potential cash flow </w:t>
            </w:r>
            <w:r w:rsidR="00AF7A5B">
              <w:rPr>
                <w:szCs w:val="23"/>
                <w:lang w:eastAsia="en-NZ"/>
              </w:rPr>
              <w:t xml:space="preserve">problems </w:t>
            </w:r>
            <w:r w:rsidR="008A488F" w:rsidRPr="00473E0F">
              <w:rPr>
                <w:szCs w:val="23"/>
                <w:lang w:eastAsia="en-NZ"/>
              </w:rPr>
              <w:t>and interest costs for farmer</w:t>
            </w:r>
            <w:r>
              <w:rPr>
                <w:szCs w:val="23"/>
                <w:lang w:eastAsia="en-NZ"/>
              </w:rPr>
              <w:t>s</w:t>
            </w:r>
            <w:r w:rsidR="008A488F" w:rsidRPr="00473E0F">
              <w:rPr>
                <w:szCs w:val="23"/>
                <w:lang w:eastAsia="en-NZ"/>
              </w:rPr>
              <w:t xml:space="preserve"> in the meantime</w:t>
            </w:r>
            <w:r>
              <w:rPr>
                <w:szCs w:val="23"/>
                <w:lang w:eastAsia="en-NZ"/>
              </w:rPr>
              <w:t xml:space="preserve"> that can impede the recovery process</w:t>
            </w:r>
            <w:r w:rsidR="008A488F" w:rsidRPr="00473E0F">
              <w:rPr>
                <w:szCs w:val="23"/>
                <w:lang w:eastAsia="en-NZ"/>
              </w:rPr>
              <w:t>.</w:t>
            </w:r>
          </w:p>
          <w:p w14:paraId="0D964C7E" w14:textId="5A012376" w:rsidR="00A21153" w:rsidRDefault="00A21153" w:rsidP="009A2624">
            <w:pPr>
              <w:spacing w:after="0" w:line="276" w:lineRule="auto"/>
              <w:jc w:val="both"/>
              <w:rPr>
                <w:szCs w:val="23"/>
                <w:lang w:eastAsia="en-NZ"/>
              </w:rPr>
            </w:pPr>
          </w:p>
          <w:p w14:paraId="1BDD3D52" w14:textId="41E61348" w:rsidR="009745DF" w:rsidRPr="001D4DC1" w:rsidRDefault="004F075A" w:rsidP="009A2624">
            <w:pPr>
              <w:spacing w:after="0" w:line="276" w:lineRule="auto"/>
              <w:jc w:val="both"/>
              <w:rPr>
                <w:b/>
                <w:bCs/>
                <w:szCs w:val="23"/>
                <w:lang w:eastAsia="en-NZ"/>
              </w:rPr>
            </w:pPr>
            <w:r w:rsidRPr="001D4DC1">
              <w:rPr>
                <w:b/>
                <w:bCs/>
                <w:i/>
                <w:iCs/>
                <w:szCs w:val="23"/>
                <w:lang w:eastAsia="en-NZ"/>
              </w:rPr>
              <w:t>Simplified e</w:t>
            </w:r>
            <w:r w:rsidR="00A21153" w:rsidRPr="001D4DC1">
              <w:rPr>
                <w:b/>
                <w:bCs/>
                <w:i/>
                <w:iCs/>
                <w:szCs w:val="23"/>
                <w:lang w:eastAsia="en-NZ"/>
              </w:rPr>
              <w:t>xample</w:t>
            </w:r>
          </w:p>
          <w:p w14:paraId="63C4415F" w14:textId="77777777" w:rsidR="009745DF" w:rsidRDefault="009745DF" w:rsidP="009A2624">
            <w:pPr>
              <w:spacing w:after="0" w:line="276" w:lineRule="auto"/>
              <w:jc w:val="both"/>
              <w:rPr>
                <w:szCs w:val="23"/>
                <w:lang w:eastAsia="en-NZ"/>
              </w:rPr>
            </w:pPr>
          </w:p>
          <w:p w14:paraId="457CA4B0" w14:textId="7CB7CD7F" w:rsidR="001F623F" w:rsidRPr="001D4DC1" w:rsidRDefault="009745DF" w:rsidP="001D4DC1">
            <w:pPr>
              <w:pBdr>
                <w:top w:val="single" w:sz="4" w:space="1" w:color="auto"/>
                <w:left w:val="single" w:sz="4" w:space="4" w:color="auto"/>
                <w:bottom w:val="single" w:sz="4" w:space="1" w:color="auto"/>
                <w:right w:val="single" w:sz="4" w:space="4" w:color="auto"/>
              </w:pBdr>
              <w:spacing w:after="0" w:line="276" w:lineRule="auto"/>
              <w:jc w:val="both"/>
              <w:rPr>
                <w:sz w:val="20"/>
                <w:lang w:eastAsia="en-NZ"/>
              </w:rPr>
            </w:pPr>
            <w:r w:rsidRPr="001D4DC1">
              <w:rPr>
                <w:sz w:val="20"/>
                <w:lang w:eastAsia="en-NZ"/>
              </w:rPr>
              <w:t>C</w:t>
            </w:r>
            <w:r w:rsidR="00A21153" w:rsidRPr="001D4DC1">
              <w:rPr>
                <w:sz w:val="20"/>
                <w:lang w:eastAsia="en-NZ"/>
              </w:rPr>
              <w:t xml:space="preserve">ow </w:t>
            </w:r>
            <w:r w:rsidR="001F623F" w:rsidRPr="001D4DC1">
              <w:rPr>
                <w:sz w:val="20"/>
                <w:lang w:eastAsia="en-NZ"/>
              </w:rPr>
              <w:t xml:space="preserve">A with a market </w:t>
            </w:r>
            <w:r w:rsidR="00A21153" w:rsidRPr="001D4DC1">
              <w:rPr>
                <w:sz w:val="20"/>
                <w:lang w:eastAsia="en-NZ"/>
              </w:rPr>
              <w:t>value</w:t>
            </w:r>
            <w:r w:rsidR="001F623F" w:rsidRPr="001D4DC1">
              <w:rPr>
                <w:sz w:val="20"/>
                <w:lang w:eastAsia="en-NZ"/>
              </w:rPr>
              <w:t xml:space="preserve"> of</w:t>
            </w:r>
            <w:r w:rsidR="00A21153" w:rsidRPr="001D4DC1">
              <w:rPr>
                <w:sz w:val="20"/>
                <w:lang w:eastAsia="en-NZ"/>
              </w:rPr>
              <w:t xml:space="preserve"> $1,500 is culled because of Mycoplasma </w:t>
            </w:r>
            <w:proofErr w:type="spellStart"/>
            <w:r w:rsidR="00A21153" w:rsidRPr="001D4DC1">
              <w:rPr>
                <w:sz w:val="20"/>
                <w:lang w:eastAsia="en-NZ"/>
              </w:rPr>
              <w:t>bovis</w:t>
            </w:r>
            <w:proofErr w:type="spellEnd"/>
            <w:r w:rsidR="00A21153" w:rsidRPr="001D4DC1">
              <w:rPr>
                <w:sz w:val="20"/>
                <w:lang w:eastAsia="en-NZ"/>
              </w:rPr>
              <w:t xml:space="preserve">.  </w:t>
            </w:r>
            <w:r w:rsidR="001F623F" w:rsidRPr="001D4DC1">
              <w:rPr>
                <w:sz w:val="20"/>
                <w:lang w:eastAsia="en-NZ"/>
              </w:rPr>
              <w:t>The farmer receives $1,500 for the cow from a combination of compensation and slaughter receipts</w:t>
            </w:r>
            <w:r w:rsidR="007170DB" w:rsidRPr="001D4DC1">
              <w:rPr>
                <w:sz w:val="20"/>
                <w:lang w:eastAsia="en-NZ"/>
              </w:rPr>
              <w:t>.</w:t>
            </w:r>
          </w:p>
          <w:p w14:paraId="3BB9F27D" w14:textId="77777777" w:rsidR="001F623F" w:rsidRPr="001D4DC1" w:rsidRDefault="001F623F" w:rsidP="001D4DC1">
            <w:pPr>
              <w:pBdr>
                <w:top w:val="single" w:sz="4" w:space="1" w:color="auto"/>
                <w:left w:val="single" w:sz="4" w:space="4" w:color="auto"/>
                <w:bottom w:val="single" w:sz="4" w:space="1" w:color="auto"/>
                <w:right w:val="single" w:sz="4" w:space="4" w:color="auto"/>
              </w:pBdr>
              <w:spacing w:after="0" w:line="276" w:lineRule="auto"/>
              <w:jc w:val="both"/>
              <w:rPr>
                <w:sz w:val="20"/>
                <w:lang w:eastAsia="en-NZ"/>
              </w:rPr>
            </w:pPr>
          </w:p>
          <w:p w14:paraId="3682819A" w14:textId="772F8EB1" w:rsidR="001F623F" w:rsidRPr="001D4DC1" w:rsidRDefault="001F623F" w:rsidP="001D4DC1">
            <w:pPr>
              <w:pBdr>
                <w:top w:val="single" w:sz="4" w:space="1" w:color="auto"/>
                <w:left w:val="single" w:sz="4" w:space="4" w:color="auto"/>
                <w:bottom w:val="single" w:sz="4" w:space="1" w:color="auto"/>
                <w:right w:val="single" w:sz="4" w:space="4" w:color="auto"/>
              </w:pBdr>
              <w:spacing w:after="0" w:line="276" w:lineRule="auto"/>
              <w:jc w:val="both"/>
              <w:rPr>
                <w:sz w:val="20"/>
                <w:lang w:eastAsia="en-NZ"/>
              </w:rPr>
            </w:pPr>
            <w:r w:rsidRPr="001D4DC1">
              <w:rPr>
                <w:sz w:val="20"/>
                <w:lang w:eastAsia="en-NZ"/>
              </w:rPr>
              <w:t xml:space="preserve">For tax purposes, </w:t>
            </w:r>
            <w:r w:rsidR="009745DF" w:rsidRPr="001D4DC1">
              <w:rPr>
                <w:sz w:val="20"/>
                <w:lang w:eastAsia="en-NZ"/>
              </w:rPr>
              <w:t xml:space="preserve">as </w:t>
            </w:r>
            <w:r w:rsidRPr="001D4DC1">
              <w:rPr>
                <w:sz w:val="20"/>
                <w:lang w:eastAsia="en-NZ"/>
              </w:rPr>
              <w:t xml:space="preserve">cow A </w:t>
            </w:r>
            <w:r w:rsidR="00A21153" w:rsidRPr="001D4DC1">
              <w:rPr>
                <w:sz w:val="20"/>
                <w:lang w:eastAsia="en-NZ"/>
              </w:rPr>
              <w:t xml:space="preserve">was valued under the </w:t>
            </w:r>
            <w:r w:rsidRPr="001D4DC1">
              <w:rPr>
                <w:sz w:val="20"/>
                <w:lang w:eastAsia="en-NZ"/>
              </w:rPr>
              <w:t>NSC scheme at $700</w:t>
            </w:r>
            <w:r w:rsidR="009745DF" w:rsidRPr="001D4DC1">
              <w:rPr>
                <w:sz w:val="20"/>
                <w:lang w:eastAsia="en-NZ"/>
              </w:rPr>
              <w:t xml:space="preserve">, there is </w:t>
            </w:r>
            <w:r w:rsidRPr="001D4DC1">
              <w:rPr>
                <w:sz w:val="20"/>
                <w:lang w:eastAsia="en-NZ"/>
              </w:rPr>
              <w:t>taxable income of $800</w:t>
            </w:r>
            <w:r w:rsidR="009745DF" w:rsidRPr="001D4DC1">
              <w:rPr>
                <w:sz w:val="20"/>
                <w:lang w:eastAsia="en-NZ"/>
              </w:rPr>
              <w:t xml:space="preserve"> from its cull</w:t>
            </w:r>
            <w:r w:rsidRPr="001D4DC1">
              <w:rPr>
                <w:sz w:val="20"/>
                <w:lang w:eastAsia="en-NZ"/>
              </w:rPr>
              <w:t xml:space="preserve">. </w:t>
            </w:r>
          </w:p>
          <w:p w14:paraId="61FD18E9" w14:textId="77777777" w:rsidR="001F623F" w:rsidRPr="001D4DC1" w:rsidRDefault="001F623F" w:rsidP="001D4DC1">
            <w:pPr>
              <w:pBdr>
                <w:top w:val="single" w:sz="4" w:space="1" w:color="auto"/>
                <w:left w:val="single" w:sz="4" w:space="4" w:color="auto"/>
                <w:bottom w:val="single" w:sz="4" w:space="1" w:color="auto"/>
                <w:right w:val="single" w:sz="4" w:space="4" w:color="auto"/>
              </w:pBdr>
              <w:spacing w:after="0" w:line="276" w:lineRule="auto"/>
              <w:jc w:val="both"/>
              <w:rPr>
                <w:sz w:val="20"/>
                <w:lang w:eastAsia="en-NZ"/>
              </w:rPr>
            </w:pPr>
          </w:p>
          <w:p w14:paraId="7AF0C3F9" w14:textId="582B42D3" w:rsidR="009745DF" w:rsidRPr="001D4DC1" w:rsidRDefault="009745DF" w:rsidP="001D4DC1">
            <w:pPr>
              <w:pBdr>
                <w:top w:val="single" w:sz="4" w:space="1" w:color="auto"/>
                <w:left w:val="single" w:sz="4" w:space="4" w:color="auto"/>
                <w:bottom w:val="single" w:sz="4" w:space="1" w:color="auto"/>
                <w:right w:val="single" w:sz="4" w:space="4" w:color="auto"/>
              </w:pBdr>
              <w:spacing w:after="0" w:line="276" w:lineRule="auto"/>
              <w:jc w:val="both"/>
              <w:rPr>
                <w:sz w:val="20"/>
                <w:lang w:eastAsia="en-NZ"/>
              </w:rPr>
            </w:pPr>
            <w:r w:rsidRPr="001D4DC1">
              <w:rPr>
                <w:sz w:val="20"/>
                <w:lang w:eastAsia="en-NZ"/>
              </w:rPr>
              <w:t>The $1,500 is used to buy replacement c</w:t>
            </w:r>
            <w:r w:rsidR="001F623F" w:rsidRPr="001D4DC1">
              <w:rPr>
                <w:sz w:val="20"/>
                <w:lang w:eastAsia="en-NZ"/>
              </w:rPr>
              <w:t>ow B</w:t>
            </w:r>
            <w:r w:rsidRPr="001D4DC1">
              <w:rPr>
                <w:sz w:val="20"/>
                <w:lang w:eastAsia="en-NZ"/>
              </w:rPr>
              <w:t xml:space="preserve">.  Under NSC, cow B is valued at </w:t>
            </w:r>
            <w:r w:rsidR="001F3C00">
              <w:rPr>
                <w:sz w:val="20"/>
                <w:lang w:eastAsia="en-NZ"/>
              </w:rPr>
              <w:t xml:space="preserve">its purchase price of </w:t>
            </w:r>
            <w:r w:rsidR="001F623F" w:rsidRPr="001D4DC1">
              <w:rPr>
                <w:sz w:val="20"/>
                <w:lang w:eastAsia="en-NZ"/>
              </w:rPr>
              <w:t xml:space="preserve">$1,500.  </w:t>
            </w:r>
          </w:p>
          <w:p w14:paraId="36E0407E" w14:textId="77777777" w:rsidR="009745DF" w:rsidRPr="001D4DC1" w:rsidRDefault="009745DF" w:rsidP="001D4DC1">
            <w:pPr>
              <w:pBdr>
                <w:top w:val="single" w:sz="4" w:space="1" w:color="auto"/>
                <w:left w:val="single" w:sz="4" w:space="4" w:color="auto"/>
                <w:bottom w:val="single" w:sz="4" w:space="1" w:color="auto"/>
                <w:right w:val="single" w:sz="4" w:space="4" w:color="auto"/>
              </w:pBdr>
              <w:spacing w:after="0" w:line="276" w:lineRule="auto"/>
              <w:jc w:val="both"/>
              <w:rPr>
                <w:sz w:val="20"/>
                <w:lang w:eastAsia="en-NZ"/>
              </w:rPr>
            </w:pPr>
          </w:p>
          <w:p w14:paraId="411FF8FA" w14:textId="77777777" w:rsidR="00C17DD9" w:rsidRDefault="001F623F">
            <w:pPr>
              <w:pBdr>
                <w:top w:val="single" w:sz="4" w:space="1" w:color="auto"/>
                <w:left w:val="single" w:sz="4" w:space="4" w:color="auto"/>
                <w:bottom w:val="single" w:sz="4" w:space="1" w:color="auto"/>
                <w:right w:val="single" w:sz="4" w:space="4" w:color="auto"/>
              </w:pBdr>
              <w:spacing w:after="0" w:line="276" w:lineRule="auto"/>
              <w:jc w:val="both"/>
              <w:rPr>
                <w:sz w:val="20"/>
                <w:lang w:eastAsia="en-NZ"/>
              </w:rPr>
            </w:pPr>
            <w:r w:rsidRPr="001D4DC1">
              <w:rPr>
                <w:sz w:val="20"/>
                <w:lang w:eastAsia="en-NZ"/>
              </w:rPr>
              <w:t xml:space="preserve">Cow B remains in the herd for five years </w:t>
            </w:r>
            <w:r w:rsidR="009745DF" w:rsidRPr="001D4DC1">
              <w:rPr>
                <w:sz w:val="20"/>
                <w:lang w:eastAsia="en-NZ"/>
              </w:rPr>
              <w:t xml:space="preserve">before being slaughtered </w:t>
            </w:r>
            <w:r w:rsidRPr="001D4DC1">
              <w:rPr>
                <w:sz w:val="20"/>
                <w:lang w:eastAsia="en-NZ"/>
              </w:rPr>
              <w:t>and is replaced by a cow bred up through the herd (cow C)</w:t>
            </w:r>
            <w:r w:rsidR="007170DB">
              <w:rPr>
                <w:sz w:val="20"/>
                <w:lang w:eastAsia="en-NZ"/>
              </w:rPr>
              <w:t xml:space="preserve"> which has </w:t>
            </w:r>
            <w:proofErr w:type="gramStart"/>
            <w:r w:rsidR="007170DB">
              <w:rPr>
                <w:sz w:val="20"/>
                <w:lang w:eastAsia="en-NZ"/>
              </w:rPr>
              <w:t>a</w:t>
            </w:r>
            <w:proofErr w:type="gramEnd"/>
            <w:r w:rsidR="007170DB">
              <w:rPr>
                <w:sz w:val="20"/>
                <w:lang w:eastAsia="en-NZ"/>
              </w:rPr>
              <w:t xml:space="preserve"> NSC of $700 </w:t>
            </w:r>
            <w:r w:rsidR="007170DB" w:rsidRPr="0020525D">
              <w:rPr>
                <w:sz w:val="20"/>
                <w:lang w:eastAsia="en-NZ"/>
              </w:rPr>
              <w:t>(its homebred cost)</w:t>
            </w:r>
            <w:r w:rsidRPr="001D4DC1">
              <w:rPr>
                <w:sz w:val="20"/>
                <w:lang w:eastAsia="en-NZ"/>
              </w:rPr>
              <w:t xml:space="preserve">.  </w:t>
            </w:r>
            <w:r w:rsidR="007170DB" w:rsidRPr="001D4DC1">
              <w:rPr>
                <w:sz w:val="20"/>
                <w:lang w:eastAsia="en-NZ"/>
              </w:rPr>
              <w:t>There is a tax deduction of $800 at that poin</w:t>
            </w:r>
            <w:r w:rsidR="007170DB">
              <w:rPr>
                <w:sz w:val="20"/>
                <w:lang w:eastAsia="en-NZ"/>
              </w:rPr>
              <w:t xml:space="preserve">t, being the difference between the cost of cow B and the cost of </w:t>
            </w:r>
            <w:r w:rsidR="007170DB" w:rsidRPr="001D4DC1">
              <w:rPr>
                <w:sz w:val="20"/>
                <w:lang w:eastAsia="en-NZ"/>
              </w:rPr>
              <w:t>c</w:t>
            </w:r>
            <w:r w:rsidRPr="001D4DC1">
              <w:rPr>
                <w:sz w:val="20"/>
                <w:lang w:eastAsia="en-NZ"/>
              </w:rPr>
              <w:t>ow C</w:t>
            </w:r>
            <w:r w:rsidR="007170DB">
              <w:rPr>
                <w:sz w:val="20"/>
                <w:lang w:eastAsia="en-NZ"/>
              </w:rPr>
              <w:t>.</w:t>
            </w:r>
          </w:p>
          <w:p w14:paraId="3936E4CA" w14:textId="77777777" w:rsidR="00C17DD9" w:rsidRDefault="00C17DD9">
            <w:pPr>
              <w:pBdr>
                <w:top w:val="single" w:sz="4" w:space="1" w:color="auto"/>
                <w:left w:val="single" w:sz="4" w:space="4" w:color="auto"/>
                <w:bottom w:val="single" w:sz="4" w:space="1" w:color="auto"/>
                <w:right w:val="single" w:sz="4" w:space="4" w:color="auto"/>
              </w:pBdr>
              <w:spacing w:after="0" w:line="276" w:lineRule="auto"/>
              <w:jc w:val="both"/>
              <w:rPr>
                <w:sz w:val="20"/>
                <w:lang w:eastAsia="en-NZ"/>
              </w:rPr>
            </w:pPr>
          </w:p>
          <w:p w14:paraId="78BA4DB7" w14:textId="5F0EBF05" w:rsidR="00A21153" w:rsidRDefault="00C17DD9" w:rsidP="001D4DC1">
            <w:pPr>
              <w:pBdr>
                <w:top w:val="single" w:sz="4" w:space="1" w:color="auto"/>
                <w:left w:val="single" w:sz="4" w:space="4" w:color="auto"/>
                <w:bottom w:val="single" w:sz="4" w:space="1" w:color="auto"/>
                <w:right w:val="single" w:sz="4" w:space="4" w:color="auto"/>
              </w:pBdr>
              <w:spacing w:after="0" w:line="276" w:lineRule="auto"/>
              <w:jc w:val="both"/>
              <w:rPr>
                <w:sz w:val="20"/>
                <w:lang w:eastAsia="en-NZ"/>
              </w:rPr>
            </w:pPr>
            <w:r w:rsidRPr="00C17DD9">
              <w:rPr>
                <w:sz w:val="20"/>
                <w:lang w:eastAsia="en-NZ"/>
              </w:rPr>
              <w:t xml:space="preserve">If there had been no Mycoplasma </w:t>
            </w:r>
            <w:proofErr w:type="spellStart"/>
            <w:r w:rsidRPr="00C17DD9">
              <w:rPr>
                <w:sz w:val="20"/>
                <w:lang w:eastAsia="en-NZ"/>
              </w:rPr>
              <w:t>bovis</w:t>
            </w:r>
            <w:proofErr w:type="spellEnd"/>
            <w:r w:rsidRPr="00C17DD9">
              <w:rPr>
                <w:sz w:val="20"/>
                <w:lang w:eastAsia="en-NZ"/>
              </w:rPr>
              <w:t xml:space="preserve"> cull, cow A would have remained in the herd and been replaced by the equivalent of cow C with no NSC implications given that both cow A and cow C have </w:t>
            </w:r>
            <w:proofErr w:type="gramStart"/>
            <w:r w:rsidRPr="00C17DD9">
              <w:rPr>
                <w:sz w:val="20"/>
                <w:lang w:eastAsia="en-NZ"/>
              </w:rPr>
              <w:t>a</w:t>
            </w:r>
            <w:proofErr w:type="gramEnd"/>
            <w:r w:rsidRPr="00C17DD9">
              <w:rPr>
                <w:sz w:val="20"/>
                <w:lang w:eastAsia="en-NZ"/>
              </w:rPr>
              <w:t xml:space="preserve"> NSC value of $700. </w:t>
            </w:r>
            <w:r w:rsidR="001F623F" w:rsidRPr="001D4DC1">
              <w:rPr>
                <w:sz w:val="20"/>
                <w:lang w:eastAsia="en-NZ"/>
              </w:rPr>
              <w:t xml:space="preserve"> </w:t>
            </w:r>
          </w:p>
          <w:p w14:paraId="53C31F1F" w14:textId="7F8DCF36" w:rsidR="00FB3557" w:rsidRDefault="00FB3557" w:rsidP="001D4DC1">
            <w:pPr>
              <w:pBdr>
                <w:top w:val="single" w:sz="4" w:space="1" w:color="auto"/>
                <w:left w:val="single" w:sz="4" w:space="4" w:color="auto"/>
                <w:bottom w:val="single" w:sz="4" w:space="1" w:color="auto"/>
                <w:right w:val="single" w:sz="4" w:space="4" w:color="auto"/>
              </w:pBdr>
              <w:spacing w:after="0" w:line="276" w:lineRule="auto"/>
              <w:jc w:val="both"/>
              <w:rPr>
                <w:sz w:val="20"/>
                <w:lang w:eastAsia="en-NZ"/>
              </w:rPr>
            </w:pPr>
          </w:p>
          <w:p w14:paraId="7E533A7B" w14:textId="25F84A5D" w:rsidR="00FB3557" w:rsidRPr="001D4DC1" w:rsidRDefault="00FB3557" w:rsidP="001D4DC1">
            <w:pPr>
              <w:pBdr>
                <w:top w:val="single" w:sz="4" w:space="1" w:color="auto"/>
                <w:left w:val="single" w:sz="4" w:space="4" w:color="auto"/>
                <w:bottom w:val="single" w:sz="4" w:space="1" w:color="auto"/>
                <w:right w:val="single" w:sz="4" w:space="4" w:color="auto"/>
              </w:pBdr>
              <w:spacing w:after="0" w:line="276" w:lineRule="auto"/>
              <w:jc w:val="both"/>
              <w:rPr>
                <w:sz w:val="20"/>
                <w:lang w:eastAsia="en-NZ"/>
              </w:rPr>
            </w:pPr>
            <w:r>
              <w:rPr>
                <w:sz w:val="20"/>
                <w:lang w:eastAsia="en-NZ"/>
              </w:rPr>
              <w:t xml:space="preserve">As farmers will have a herd made up of different age cows that will be progressively slaughtered the single $800 deduction in this example </w:t>
            </w:r>
            <w:r w:rsidR="00EF088E">
              <w:rPr>
                <w:sz w:val="20"/>
                <w:lang w:eastAsia="en-NZ"/>
              </w:rPr>
              <w:t xml:space="preserve">will result in a deduction each year when considered on </w:t>
            </w:r>
            <w:proofErr w:type="gramStart"/>
            <w:r w:rsidR="00EF088E">
              <w:rPr>
                <w:sz w:val="20"/>
                <w:lang w:eastAsia="en-NZ"/>
              </w:rPr>
              <w:t>a</w:t>
            </w:r>
            <w:proofErr w:type="gramEnd"/>
            <w:r w:rsidR="00EF088E">
              <w:rPr>
                <w:sz w:val="20"/>
                <w:lang w:eastAsia="en-NZ"/>
              </w:rPr>
              <w:t xml:space="preserve"> whole of herd basis.</w:t>
            </w:r>
          </w:p>
          <w:p w14:paraId="5662358A" w14:textId="77777777" w:rsidR="009A2624" w:rsidRDefault="009A2624" w:rsidP="009A2624">
            <w:pPr>
              <w:spacing w:after="0" w:line="276" w:lineRule="auto"/>
              <w:jc w:val="both"/>
              <w:rPr>
                <w:rFonts w:cs="Arial"/>
                <w:szCs w:val="22"/>
              </w:rPr>
            </w:pPr>
          </w:p>
          <w:p w14:paraId="5B01C994" w14:textId="129C78BA" w:rsidR="00DC23AC" w:rsidRDefault="009A2624" w:rsidP="009A2624">
            <w:pPr>
              <w:spacing w:after="0" w:line="276" w:lineRule="auto"/>
              <w:jc w:val="both"/>
              <w:rPr>
                <w:rFonts w:cs="Arial"/>
                <w:szCs w:val="22"/>
              </w:rPr>
            </w:pPr>
            <w:r w:rsidRPr="009A2624">
              <w:rPr>
                <w:rFonts w:cs="Arial"/>
                <w:szCs w:val="22"/>
              </w:rPr>
              <w:t>For fattening stock valued under the NSC scheme</w:t>
            </w:r>
            <w:r w:rsidR="00DC23AC">
              <w:rPr>
                <w:rFonts w:cs="Arial"/>
                <w:szCs w:val="22"/>
              </w:rPr>
              <w:t xml:space="preserve"> or self-assessed cost</w:t>
            </w:r>
            <w:r w:rsidR="00CC30C8">
              <w:rPr>
                <w:rFonts w:cs="Arial"/>
                <w:szCs w:val="22"/>
              </w:rPr>
              <w:t xml:space="preserve"> scheme</w:t>
            </w:r>
            <w:r w:rsidRPr="009A2624">
              <w:rPr>
                <w:rFonts w:cs="Arial"/>
                <w:szCs w:val="22"/>
              </w:rPr>
              <w:t>, the tax issue is less acute as the livestock turn-over much more regularly</w:t>
            </w:r>
            <w:r w:rsidR="00172CAE">
              <w:rPr>
                <w:rFonts w:cs="Arial"/>
                <w:szCs w:val="22"/>
              </w:rPr>
              <w:t xml:space="preserve"> so that normal tax rules should apply.  In that case, or when other valuation methods</w:t>
            </w:r>
            <w:r w:rsidR="00A448B0">
              <w:rPr>
                <w:rFonts w:cs="Arial"/>
                <w:szCs w:val="22"/>
              </w:rPr>
              <w:t xml:space="preserve"> (such as the herd scheme)</w:t>
            </w:r>
            <w:r w:rsidR="00172CAE">
              <w:rPr>
                <w:rFonts w:cs="Arial"/>
                <w:szCs w:val="22"/>
              </w:rPr>
              <w:t xml:space="preserve"> are used to value the herd</w:t>
            </w:r>
            <w:r w:rsidRPr="009A2624">
              <w:rPr>
                <w:rFonts w:cs="Arial"/>
                <w:szCs w:val="22"/>
              </w:rPr>
              <w:t>, the income equalisation deposit scheme should provide sufficient flexibility to manage any tax issues.</w:t>
            </w:r>
            <w:r w:rsidR="00DC23AC">
              <w:rPr>
                <w:rFonts w:cs="Arial"/>
                <w:szCs w:val="22"/>
              </w:rPr>
              <w:t xml:space="preserve">  </w:t>
            </w:r>
          </w:p>
          <w:p w14:paraId="699346DF" w14:textId="77777777" w:rsidR="00DC23AC" w:rsidRDefault="00DC23AC" w:rsidP="009A2624">
            <w:pPr>
              <w:spacing w:after="0" w:line="276" w:lineRule="auto"/>
              <w:jc w:val="both"/>
              <w:rPr>
                <w:rFonts w:cs="Arial"/>
                <w:szCs w:val="22"/>
              </w:rPr>
            </w:pPr>
          </w:p>
          <w:p w14:paraId="128DD047" w14:textId="5822939B" w:rsidR="00682529" w:rsidRPr="008A488F" w:rsidRDefault="00DC23AC" w:rsidP="009A2624">
            <w:pPr>
              <w:spacing w:after="0" w:line="276" w:lineRule="auto"/>
              <w:jc w:val="both"/>
              <w:rPr>
                <w:rFonts w:cs="Arial"/>
                <w:szCs w:val="22"/>
              </w:rPr>
            </w:pPr>
            <w:r>
              <w:rPr>
                <w:rFonts w:cs="Arial"/>
                <w:szCs w:val="22"/>
              </w:rPr>
              <w:t>The income equalisation scheme enables the recognition of income to be deferred by up to five years if the income is deposited into the scheme.   T</w:t>
            </w:r>
            <w:r w:rsidR="009A2624" w:rsidRPr="009A2624">
              <w:rPr>
                <w:rFonts w:cs="Arial"/>
                <w:szCs w:val="22"/>
              </w:rPr>
              <w:t xml:space="preserve">he income equalisation scheme will not provide sufficient flexibility to deal with the tax issues created by the culling of breeding </w:t>
            </w:r>
            <w:r w:rsidR="00B56AB5">
              <w:rPr>
                <w:rFonts w:cs="Arial"/>
                <w:szCs w:val="22"/>
              </w:rPr>
              <w:t>animals</w:t>
            </w:r>
            <w:r w:rsidR="009A2624" w:rsidRPr="009A2624">
              <w:rPr>
                <w:rFonts w:cs="Arial"/>
                <w:szCs w:val="22"/>
              </w:rPr>
              <w:t xml:space="preserve"> that are valued under NSC</w:t>
            </w:r>
            <w:r>
              <w:rPr>
                <w:rFonts w:cs="Arial"/>
                <w:szCs w:val="22"/>
              </w:rPr>
              <w:t xml:space="preserve"> or self-assessed cost because the deposit would need to be withdrawn to pay for replacement stock, at which </w:t>
            </w:r>
            <w:r w:rsidR="00C17DD9">
              <w:rPr>
                <w:rFonts w:cs="Arial"/>
                <w:szCs w:val="22"/>
              </w:rPr>
              <w:t>point</w:t>
            </w:r>
            <w:r>
              <w:rPr>
                <w:rFonts w:cs="Arial"/>
                <w:szCs w:val="22"/>
              </w:rPr>
              <w:t xml:space="preserve"> the income is recognised.</w:t>
            </w:r>
          </w:p>
        </w:tc>
      </w:tr>
    </w:tbl>
    <w:p w14:paraId="5D2EE621" w14:textId="77777777" w:rsidR="00F132B2" w:rsidRPr="00567434" w:rsidRDefault="00F132B2"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546F69" w:rsidRPr="0069218C" w14:paraId="7B206C42" w14:textId="77777777" w:rsidTr="00BB4EA2">
        <w:trPr>
          <w:trHeight w:val="77"/>
        </w:trPr>
        <w:tc>
          <w:tcPr>
            <w:tcW w:w="5000" w:type="pct"/>
            <w:shd w:val="clear" w:color="auto" w:fill="99CDDD"/>
          </w:tcPr>
          <w:p w14:paraId="6B3F6C08" w14:textId="77777777" w:rsidR="00546F69" w:rsidRPr="00886DFF" w:rsidRDefault="00546F69" w:rsidP="00EC6FAD">
            <w:pPr>
              <w:pStyle w:val="TableHeadings"/>
              <w:rPr>
                <w:b w:val="0"/>
                <w:color w:val="1F4E79"/>
                <w:szCs w:val="22"/>
                <w:lang w:val="en-NZ"/>
              </w:rPr>
            </w:pPr>
            <w:r w:rsidRPr="00886DFF">
              <w:rPr>
                <w:szCs w:val="22"/>
                <w:lang w:val="en-NZ"/>
              </w:rPr>
              <w:t xml:space="preserve">2.2    </w:t>
            </w:r>
            <w:r w:rsidR="00C45246" w:rsidRPr="00886DFF">
              <w:rPr>
                <w:rFonts w:eastAsia="Calibri"/>
                <w:szCs w:val="22"/>
                <w:lang w:val="en-NZ" w:eastAsia="en-US"/>
              </w:rPr>
              <w:t xml:space="preserve">Who is affected and how? </w:t>
            </w:r>
          </w:p>
        </w:tc>
      </w:tr>
      <w:tr w:rsidR="00F132B2" w:rsidRPr="0069218C" w14:paraId="1FC33663" w14:textId="77777777" w:rsidTr="00BB4EA2">
        <w:trPr>
          <w:trHeight w:val="1779"/>
        </w:trPr>
        <w:tc>
          <w:tcPr>
            <w:tcW w:w="5000" w:type="pct"/>
            <w:shd w:val="clear" w:color="auto" w:fill="auto"/>
          </w:tcPr>
          <w:p w14:paraId="67D79FF4" w14:textId="77777777" w:rsidR="00E93612" w:rsidRDefault="0065049E" w:rsidP="002159ED">
            <w:pPr>
              <w:spacing w:after="0" w:line="276" w:lineRule="auto"/>
              <w:jc w:val="both"/>
              <w:rPr>
                <w:rFonts w:cs="Arial"/>
                <w:szCs w:val="22"/>
              </w:rPr>
            </w:pPr>
            <w:r>
              <w:t>The affected parties are farmers that use the</w:t>
            </w:r>
            <w:r w:rsidR="00EE40BF">
              <w:t xml:space="preserve"> </w:t>
            </w:r>
            <w:r>
              <w:t>NSC scheme</w:t>
            </w:r>
            <w:r w:rsidR="00EE40BF">
              <w:t xml:space="preserve"> or the self-assessed cost scheme</w:t>
            </w:r>
            <w:r>
              <w:t xml:space="preserve"> to value their breeding stock on hand for tax purposes and have had their herds culled and replaced because of Mycoplasma </w:t>
            </w:r>
            <w:proofErr w:type="spellStart"/>
            <w:r>
              <w:t>bovis</w:t>
            </w:r>
            <w:proofErr w:type="spellEnd"/>
            <w:r>
              <w:t>.</w:t>
            </w:r>
            <w:r w:rsidR="009A2624">
              <w:t xml:space="preserve"> </w:t>
            </w:r>
            <w:r w:rsidR="002159ED" w:rsidRPr="009A2624">
              <w:rPr>
                <w:rFonts w:cs="Arial"/>
                <w:szCs w:val="22"/>
              </w:rPr>
              <w:t>Overall, possibly up to 50 farmers</w:t>
            </w:r>
            <w:r w:rsidR="002159ED">
              <w:rPr>
                <w:rFonts w:cs="Arial"/>
                <w:szCs w:val="22"/>
              </w:rPr>
              <w:t xml:space="preserve"> to date</w:t>
            </w:r>
            <w:r w:rsidR="002159ED" w:rsidRPr="009A2624">
              <w:rPr>
                <w:rFonts w:cs="Arial"/>
                <w:szCs w:val="22"/>
              </w:rPr>
              <w:t xml:space="preserve"> could have unexpected tax liabilities because they value their dairy and/or beef breeding animals under the NSC </w:t>
            </w:r>
            <w:r w:rsidR="002159ED">
              <w:rPr>
                <w:rFonts w:cs="Arial"/>
                <w:szCs w:val="22"/>
              </w:rPr>
              <w:t xml:space="preserve">or self-assessed cost </w:t>
            </w:r>
            <w:r w:rsidR="002159ED" w:rsidRPr="009A2624">
              <w:rPr>
                <w:rFonts w:cs="Arial"/>
                <w:szCs w:val="22"/>
              </w:rPr>
              <w:t>scheme</w:t>
            </w:r>
            <w:r w:rsidR="002159ED">
              <w:rPr>
                <w:rFonts w:cs="Arial"/>
                <w:szCs w:val="22"/>
              </w:rPr>
              <w:t>s</w:t>
            </w:r>
            <w:r w:rsidR="002159ED" w:rsidRPr="009A2624">
              <w:rPr>
                <w:rFonts w:cs="Arial"/>
                <w:szCs w:val="22"/>
              </w:rPr>
              <w:t>. The impact is most severe for those with a high proportion of mixed-age cows as, under normal circumstances, they would be relying on holding those animals for several years and on using them to breed replacement stock.</w:t>
            </w:r>
            <w:r w:rsidR="002159ED">
              <w:rPr>
                <w:rFonts w:cs="Arial"/>
                <w:szCs w:val="22"/>
              </w:rPr>
              <w:t xml:space="preserve"> </w:t>
            </w:r>
            <w:proofErr w:type="spellStart"/>
            <w:r w:rsidR="002159ED" w:rsidRPr="009A2624">
              <w:rPr>
                <w:rFonts w:cs="Arial"/>
                <w:szCs w:val="22"/>
              </w:rPr>
              <w:t>Sharemilkers</w:t>
            </w:r>
            <w:proofErr w:type="spellEnd"/>
            <w:r w:rsidR="002159ED" w:rsidRPr="009A2624">
              <w:rPr>
                <w:rFonts w:cs="Arial"/>
                <w:szCs w:val="22"/>
              </w:rPr>
              <w:t xml:space="preserve"> would be particularly </w:t>
            </w:r>
            <w:r w:rsidR="002159ED">
              <w:rPr>
                <w:rFonts w:cs="Arial"/>
                <w:szCs w:val="22"/>
              </w:rPr>
              <w:t>affected</w:t>
            </w:r>
            <w:r w:rsidR="002159ED" w:rsidRPr="009A2624">
              <w:rPr>
                <w:rFonts w:cs="Arial"/>
                <w:szCs w:val="22"/>
              </w:rPr>
              <w:t xml:space="preserve"> as their main asset is livestock.</w:t>
            </w:r>
          </w:p>
          <w:p w14:paraId="2D43C4EC" w14:textId="77777777" w:rsidR="00E93612" w:rsidRDefault="00E93612" w:rsidP="002159ED">
            <w:pPr>
              <w:spacing w:after="0" w:line="276" w:lineRule="auto"/>
              <w:jc w:val="both"/>
              <w:rPr>
                <w:rFonts w:cs="Arial"/>
                <w:szCs w:val="22"/>
              </w:rPr>
            </w:pPr>
          </w:p>
          <w:p w14:paraId="6BB00968" w14:textId="56203951" w:rsidR="00E93612" w:rsidRDefault="00E93612" w:rsidP="002159ED">
            <w:pPr>
              <w:spacing w:after="0" w:line="276" w:lineRule="auto"/>
              <w:jc w:val="both"/>
              <w:rPr>
                <w:rFonts w:cs="Arial"/>
                <w:szCs w:val="22"/>
              </w:rPr>
            </w:pPr>
            <w:r w:rsidRPr="00E93612">
              <w:rPr>
                <w:rFonts w:cs="Arial"/>
                <w:szCs w:val="22"/>
              </w:rPr>
              <w:t xml:space="preserve">Since very few farmers use the self-assessed cost scheme, because of its complexity, it may be that none of the farmers affected by Mycoplasma </w:t>
            </w:r>
            <w:proofErr w:type="spellStart"/>
            <w:r w:rsidRPr="00E93612">
              <w:rPr>
                <w:rFonts w:cs="Arial"/>
                <w:szCs w:val="22"/>
              </w:rPr>
              <w:t>bovis</w:t>
            </w:r>
            <w:proofErr w:type="spellEnd"/>
            <w:r w:rsidRPr="00E93612">
              <w:rPr>
                <w:rFonts w:cs="Arial"/>
                <w:szCs w:val="22"/>
              </w:rPr>
              <w:t xml:space="preserve"> are using it.  However, if they have there would be a sizeable tax liability as a result of the cull.</w:t>
            </w:r>
          </w:p>
          <w:p w14:paraId="6A86AA36" w14:textId="77777777" w:rsidR="00E93612" w:rsidRDefault="00E93612" w:rsidP="002159ED">
            <w:pPr>
              <w:spacing w:after="0" w:line="276" w:lineRule="auto"/>
              <w:jc w:val="both"/>
              <w:rPr>
                <w:rFonts w:cs="Arial"/>
                <w:szCs w:val="22"/>
              </w:rPr>
            </w:pPr>
          </w:p>
          <w:p w14:paraId="39B60AA1" w14:textId="695F5ECE" w:rsidR="00F132B2" w:rsidRPr="0069218C" w:rsidRDefault="0065049E" w:rsidP="00E6054D">
            <w:r>
              <w:t xml:space="preserve">Federated Farmers </w:t>
            </w:r>
            <w:r w:rsidR="00717CE2">
              <w:t>wrote</w:t>
            </w:r>
            <w:r>
              <w:t xml:space="preserve"> to the Minister of Revenue in December 2019 asking for this issue to be addressed.</w:t>
            </w:r>
            <w:r w:rsidR="00000C29">
              <w:t xml:space="preserve"> </w:t>
            </w:r>
            <w:r w:rsidR="00CC30C8">
              <w:t>Chartered Accountants Australia and New Zealand (</w:t>
            </w:r>
            <w:r w:rsidR="00000C29">
              <w:t>CA ANZ</w:t>
            </w:r>
            <w:r w:rsidR="00CC30C8">
              <w:t>)</w:t>
            </w:r>
            <w:r w:rsidR="00000C29">
              <w:t xml:space="preserve"> also supports the </w:t>
            </w:r>
            <w:r w:rsidR="00EF088E">
              <w:t>proposals</w:t>
            </w:r>
            <w:r w:rsidR="00000C29">
              <w:t>.</w:t>
            </w:r>
          </w:p>
          <w:p w14:paraId="17C29B0E" w14:textId="77777777" w:rsidR="00F132B2" w:rsidRPr="0069218C" w:rsidRDefault="00F132B2" w:rsidP="00C7655A">
            <w:pPr>
              <w:spacing w:after="0" w:line="276" w:lineRule="auto"/>
              <w:jc w:val="both"/>
              <w:rPr>
                <w:rFonts w:cs="Arial"/>
                <w:szCs w:val="22"/>
              </w:rPr>
            </w:pPr>
          </w:p>
        </w:tc>
      </w:tr>
    </w:tbl>
    <w:p w14:paraId="1F0A46B0" w14:textId="77777777" w:rsidR="000C3197" w:rsidRPr="00567434" w:rsidRDefault="000C3197"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304CE4" w:rsidRPr="0069218C" w14:paraId="76ED6E00" w14:textId="77777777" w:rsidTr="00BB4EA2">
        <w:trPr>
          <w:trHeight w:val="77"/>
        </w:trPr>
        <w:tc>
          <w:tcPr>
            <w:tcW w:w="5000" w:type="pct"/>
            <w:shd w:val="clear" w:color="auto" w:fill="99CDDD"/>
          </w:tcPr>
          <w:p w14:paraId="684695CB" w14:textId="1CFD94F7" w:rsidR="00304CE4" w:rsidRPr="00886DFF" w:rsidRDefault="00651B5A" w:rsidP="00EC6FAD">
            <w:pPr>
              <w:pStyle w:val="TableHeadings"/>
              <w:rPr>
                <w:szCs w:val="22"/>
              </w:rPr>
            </w:pPr>
            <w:r>
              <w:rPr>
                <w:szCs w:val="22"/>
              </w:rPr>
              <w:t xml:space="preserve">2.3 </w:t>
            </w:r>
            <w:r w:rsidR="000917DB">
              <w:rPr>
                <w:szCs w:val="22"/>
              </w:rPr>
              <w:t xml:space="preserve">   </w:t>
            </w:r>
            <w:r>
              <w:rPr>
                <w:szCs w:val="22"/>
              </w:rPr>
              <w:t>What are the objectives sought in relation to the identified problem?</w:t>
            </w:r>
          </w:p>
        </w:tc>
      </w:tr>
      <w:tr w:rsidR="00F132B2" w:rsidRPr="0069218C" w14:paraId="465AC71A" w14:textId="77777777" w:rsidTr="00BB4EA2">
        <w:trPr>
          <w:trHeight w:val="1780"/>
        </w:trPr>
        <w:tc>
          <w:tcPr>
            <w:tcW w:w="5000" w:type="pct"/>
            <w:shd w:val="clear" w:color="auto" w:fill="auto"/>
          </w:tcPr>
          <w:p w14:paraId="1FF3F36D" w14:textId="43175101" w:rsidR="00F132B2" w:rsidRDefault="00331DDB" w:rsidP="00E6054D">
            <w:r>
              <w:t xml:space="preserve">A core principle of the Biosecurity Act 1993 is that no person should be any better or worse off because of the Crown’s use of its powers under that Act. The objective of </w:t>
            </w:r>
            <w:r w:rsidR="0065049E">
              <w:t>the proposal is</w:t>
            </w:r>
            <w:r w:rsidR="00210D90">
              <w:t xml:space="preserve"> to</w:t>
            </w:r>
            <w:r w:rsidR="0065049E">
              <w:t xml:space="preserve"> ensur</w:t>
            </w:r>
            <w:r w:rsidR="00210D90">
              <w:t>e</w:t>
            </w:r>
            <w:r>
              <w:t xml:space="preserve"> that farmers are not made worse off because of a tax </w:t>
            </w:r>
            <w:r w:rsidR="00EF4B3A">
              <w:t xml:space="preserve">liability </w:t>
            </w:r>
            <w:r w:rsidR="0065049E">
              <w:t xml:space="preserve">arising from the culling of Mycoplasma </w:t>
            </w:r>
            <w:proofErr w:type="spellStart"/>
            <w:r w:rsidR="0065049E">
              <w:t>bovis</w:t>
            </w:r>
            <w:proofErr w:type="spellEnd"/>
            <w:r w:rsidR="0065049E">
              <w:t xml:space="preserve"> infected livestock.</w:t>
            </w:r>
          </w:p>
          <w:p w14:paraId="6CCE6DE4" w14:textId="77777777" w:rsidR="00F132B2" w:rsidRPr="0069218C" w:rsidRDefault="00F132B2" w:rsidP="00C7655A">
            <w:pPr>
              <w:spacing w:after="0" w:line="276" w:lineRule="auto"/>
              <w:jc w:val="both"/>
              <w:rPr>
                <w:rFonts w:cs="Arial"/>
                <w:szCs w:val="22"/>
              </w:rPr>
            </w:pPr>
          </w:p>
        </w:tc>
      </w:tr>
    </w:tbl>
    <w:p w14:paraId="23951347" w14:textId="014101A8" w:rsidR="00E92509" w:rsidRDefault="00A552DC" w:rsidP="001B4792">
      <w:pPr>
        <w:pStyle w:val="Heading2"/>
      </w:pPr>
      <w:r w:rsidRPr="0069218C">
        <w:rPr>
          <w:lang w:val="en-NZ"/>
        </w:rPr>
        <w:br w:type="page"/>
      </w:r>
      <w:r w:rsidR="00BE62EB" w:rsidRPr="002D5734">
        <w:lastRenderedPageBreak/>
        <w:t xml:space="preserve">Section </w:t>
      </w:r>
      <w:r w:rsidR="00051A88">
        <w:t>3</w:t>
      </w:r>
      <w:r w:rsidR="00BE62EB" w:rsidRPr="002D5734">
        <w:t xml:space="preserve">: </w:t>
      </w:r>
      <w:r w:rsidR="00304CE4" w:rsidRPr="002D5734">
        <w:t xml:space="preserve">Options </w:t>
      </w:r>
      <w:r w:rsidR="00BE4A62" w:rsidRPr="002D5734">
        <w:t>identific</w:t>
      </w:r>
      <w:r w:rsidR="00304CE4" w:rsidRPr="002D5734">
        <w:t>ation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051A88" w:rsidRPr="0069218C" w14:paraId="18EA2813" w14:textId="77777777" w:rsidTr="00BB4EA2">
        <w:trPr>
          <w:trHeight w:val="77"/>
        </w:trPr>
        <w:tc>
          <w:tcPr>
            <w:tcW w:w="5000" w:type="pct"/>
            <w:shd w:val="clear" w:color="auto" w:fill="99CDDD"/>
          </w:tcPr>
          <w:p w14:paraId="291154AD" w14:textId="77777777" w:rsidR="00051A88" w:rsidRPr="00886DFF" w:rsidRDefault="00B23E8A" w:rsidP="00380585">
            <w:pPr>
              <w:pStyle w:val="TableHeadings"/>
              <w:keepNext/>
              <w:rPr>
                <w:szCs w:val="22"/>
                <w:lang w:val="en-NZ"/>
              </w:rPr>
            </w:pPr>
            <w:r w:rsidRPr="00886DFF">
              <w:rPr>
                <w:szCs w:val="22"/>
                <w:lang w:val="en-NZ"/>
              </w:rPr>
              <w:t>3</w:t>
            </w:r>
            <w:r w:rsidR="00051A88" w:rsidRPr="00886DFF">
              <w:rPr>
                <w:szCs w:val="22"/>
                <w:lang w:val="en-NZ"/>
              </w:rPr>
              <w:t xml:space="preserve">.1   What options have been considered? </w:t>
            </w:r>
          </w:p>
        </w:tc>
      </w:tr>
      <w:tr w:rsidR="00F132B2" w:rsidRPr="0069218C" w14:paraId="482F9B2B" w14:textId="77777777" w:rsidTr="00BB4EA2">
        <w:trPr>
          <w:trHeight w:val="3161"/>
        </w:trPr>
        <w:tc>
          <w:tcPr>
            <w:tcW w:w="5000" w:type="pct"/>
            <w:shd w:val="clear" w:color="auto" w:fill="auto"/>
          </w:tcPr>
          <w:p w14:paraId="3871735C" w14:textId="2C0CF67D" w:rsidR="00F132B2" w:rsidRDefault="009A2624" w:rsidP="00C7655A">
            <w:r>
              <w:t>The following criteria ha</w:t>
            </w:r>
            <w:r w:rsidR="00EE40BF">
              <w:t>ve</w:t>
            </w:r>
            <w:r>
              <w:t xml:space="preserve"> been used to assess the options:</w:t>
            </w:r>
          </w:p>
          <w:p w14:paraId="349AC55C" w14:textId="457BA16A" w:rsidR="009A2624" w:rsidRDefault="009A2624" w:rsidP="009A2624">
            <w:pPr>
              <w:pStyle w:val="ListParagraph"/>
              <w:numPr>
                <w:ilvl w:val="0"/>
                <w:numId w:val="38"/>
              </w:numPr>
            </w:pPr>
            <w:r>
              <w:t>Equity</w:t>
            </w:r>
            <w:r w:rsidR="008E2E39">
              <w:t xml:space="preserve"> – the option should result in farmers</w:t>
            </w:r>
            <w:r w:rsidR="004A51B7">
              <w:t xml:space="preserve"> using the NSC </w:t>
            </w:r>
            <w:r w:rsidR="00FE399B">
              <w:t xml:space="preserve">or self-assessed cost </w:t>
            </w:r>
            <w:r w:rsidR="004A51B7">
              <w:t>scheme</w:t>
            </w:r>
            <w:r w:rsidR="008E2E39">
              <w:t xml:space="preserve"> not being made worse</w:t>
            </w:r>
            <w:r w:rsidR="004A51B7">
              <w:t xml:space="preserve"> off</w:t>
            </w:r>
            <w:r w:rsidR="008E2E39">
              <w:t xml:space="preserve"> as a result of their herds being culled</w:t>
            </w:r>
            <w:r w:rsidR="004A51B7">
              <w:t xml:space="preserve"> or better off than farmers </w:t>
            </w:r>
            <w:r w:rsidR="00FE0D8D">
              <w:t>who have used other valuation methods.</w:t>
            </w:r>
          </w:p>
          <w:p w14:paraId="1AE04F7D" w14:textId="186CE0AB" w:rsidR="009A2624" w:rsidRDefault="008E2E39" w:rsidP="009A2624">
            <w:pPr>
              <w:pStyle w:val="ListParagraph"/>
              <w:numPr>
                <w:ilvl w:val="0"/>
                <w:numId w:val="38"/>
              </w:numPr>
            </w:pPr>
            <w:r>
              <w:t>Timeliness – the option should be able to be enacted as soon as possible to provide certainty to farmers with culled</w:t>
            </w:r>
            <w:r w:rsidR="00FE0D8D">
              <w:t xml:space="preserve"> and replaced</w:t>
            </w:r>
            <w:r>
              <w:t xml:space="preserve"> herds</w:t>
            </w:r>
          </w:p>
          <w:p w14:paraId="5CB125B8" w14:textId="708B58AB" w:rsidR="009A2624" w:rsidRDefault="00EE40BF" w:rsidP="009A2624">
            <w:pPr>
              <w:pStyle w:val="ListParagraph"/>
              <w:numPr>
                <w:ilvl w:val="0"/>
                <w:numId w:val="38"/>
              </w:numPr>
            </w:pPr>
            <w:r>
              <w:t>C</w:t>
            </w:r>
            <w:r w:rsidR="009A2624">
              <w:t>ompliance and administration costs</w:t>
            </w:r>
            <w:r>
              <w:t xml:space="preserve"> – the</w:t>
            </w:r>
            <w:r w:rsidR="00246CD4">
              <w:t xml:space="preserve"> option</w:t>
            </w:r>
            <w:r>
              <w:t xml:space="preserve"> should be</w:t>
            </w:r>
            <w:r w:rsidR="00246CD4">
              <w:t xml:space="preserve"> as simple as possible.</w:t>
            </w:r>
          </w:p>
          <w:p w14:paraId="1C71C755" w14:textId="77777777" w:rsidR="009A2624" w:rsidRDefault="009A2624" w:rsidP="009A2624">
            <w:pPr>
              <w:pStyle w:val="ListParagraph"/>
            </w:pPr>
          </w:p>
          <w:p w14:paraId="05E88269" w14:textId="42FEB9FB" w:rsidR="00C7655A" w:rsidRPr="009C43AE" w:rsidRDefault="009C43AE" w:rsidP="00C7655A">
            <w:pPr>
              <w:rPr>
                <w:b/>
                <w:bCs/>
              </w:rPr>
            </w:pPr>
            <w:r w:rsidRPr="009C43AE">
              <w:rPr>
                <w:b/>
                <w:bCs/>
              </w:rPr>
              <w:t>Option 1: No law change (Status quo)</w:t>
            </w:r>
          </w:p>
          <w:p w14:paraId="41319E89" w14:textId="2CD59900" w:rsidR="009C43AE" w:rsidRDefault="008E2E39" w:rsidP="00C7655A">
            <w:r>
              <w:t xml:space="preserve">The status quo would not be an equitable option as farmers using the NSC scheme would face a significant and unexpected tax </w:t>
            </w:r>
            <w:r w:rsidR="00EF4B3A">
              <w:t xml:space="preserve">liability </w:t>
            </w:r>
            <w:r>
              <w:t xml:space="preserve">owing to their herds being culled because of the presence of Mycoplasma </w:t>
            </w:r>
            <w:proofErr w:type="spellStart"/>
            <w:r>
              <w:t>bovis</w:t>
            </w:r>
            <w:proofErr w:type="spellEnd"/>
            <w:r>
              <w:t>. This is contrary to the principle of the Biosecurity Act 1993 that no person should be made better or worse off owing to the Crown’s use of its powers under that act.</w:t>
            </w:r>
          </w:p>
          <w:p w14:paraId="08F9F93D" w14:textId="29D3E339" w:rsidR="009C43AE" w:rsidRPr="009C43AE" w:rsidRDefault="009C43AE" w:rsidP="00C7655A">
            <w:pPr>
              <w:rPr>
                <w:b/>
                <w:bCs/>
              </w:rPr>
            </w:pPr>
            <w:r w:rsidRPr="009C43AE">
              <w:rPr>
                <w:b/>
                <w:bCs/>
              </w:rPr>
              <w:t>Option 2: Spreading the additional income (preferred option)</w:t>
            </w:r>
          </w:p>
          <w:p w14:paraId="49906C1C" w14:textId="77777777" w:rsidR="008E2E39" w:rsidRDefault="008E2E39" w:rsidP="00C7655A">
            <w:r>
              <w:t>Under this option, the additional taxable income arising from culling and replacing a herd would be able to be spread evenly over subsequent income years. This would allow the income to be offset each year by the increased deductions arising from the reducing cost of the stock on hand.</w:t>
            </w:r>
          </w:p>
          <w:p w14:paraId="1ECC9745" w14:textId="387BFC4D" w:rsidR="009C43AE" w:rsidRDefault="008E2E39" w:rsidP="00C7655A">
            <w:r>
              <w:t xml:space="preserve">The ideal length of this spread for farmers would be between 5 and 7 years depending on the profile of their herds. </w:t>
            </w:r>
            <w:r w:rsidR="003D3FCE">
              <w:t>Therefore,</w:t>
            </w:r>
            <w:r>
              <w:t xml:space="preserve"> for simplicity the length of the spread would be 6 years</w:t>
            </w:r>
            <w:r w:rsidR="006228D4">
              <w:t xml:space="preserve">, starting from the </w:t>
            </w:r>
            <w:r w:rsidR="004F79FF">
              <w:t xml:space="preserve">income </w:t>
            </w:r>
            <w:r w:rsidR="006228D4">
              <w:t xml:space="preserve">year after the </w:t>
            </w:r>
            <w:r w:rsidR="004F79FF">
              <w:t xml:space="preserve">income </w:t>
            </w:r>
            <w:r w:rsidR="00495EC6">
              <w:t>originally ar</w:t>
            </w:r>
            <w:r w:rsidR="00601C43">
              <w:t>ose</w:t>
            </w:r>
            <w:r>
              <w:t>.</w:t>
            </w:r>
          </w:p>
          <w:p w14:paraId="3E6223BB" w14:textId="20ADACB2" w:rsidR="008E2E39" w:rsidRDefault="008E2E39" w:rsidP="008E2E39">
            <w:r>
              <w:t>Certain requirements would need to be met for the income to be spread:</w:t>
            </w:r>
          </w:p>
          <w:p w14:paraId="003E0C85" w14:textId="195B58AA" w:rsidR="008E2E39" w:rsidRDefault="008E2E39" w:rsidP="008E2E39">
            <w:pPr>
              <w:pStyle w:val="ListParagraph"/>
              <w:numPr>
                <w:ilvl w:val="0"/>
                <w:numId w:val="39"/>
              </w:numPr>
            </w:pPr>
            <w:r>
              <w:t xml:space="preserve">The </w:t>
            </w:r>
            <w:r w:rsidR="00F62E4B">
              <w:t xml:space="preserve">business </w:t>
            </w:r>
            <w:r>
              <w:t xml:space="preserve">would need to be subject to Biosecurity Security New Zealand requiring a cull of Mycoplasma </w:t>
            </w:r>
            <w:proofErr w:type="spellStart"/>
            <w:r>
              <w:t>bovis</w:t>
            </w:r>
            <w:proofErr w:type="spellEnd"/>
            <w:r>
              <w:t xml:space="preserve"> affected stock.</w:t>
            </w:r>
          </w:p>
          <w:p w14:paraId="41F7E0FD" w14:textId="77777777" w:rsidR="008E2E39" w:rsidRDefault="008E2E39" w:rsidP="008E2E39">
            <w:pPr>
              <w:pStyle w:val="ListParagraph"/>
            </w:pPr>
          </w:p>
          <w:p w14:paraId="0D2A4C6A" w14:textId="41A022B2" w:rsidR="008E2E39" w:rsidRDefault="008E2E39" w:rsidP="008E2E39">
            <w:pPr>
              <w:pStyle w:val="ListParagraph"/>
              <w:numPr>
                <w:ilvl w:val="0"/>
                <w:numId w:val="39"/>
              </w:numPr>
            </w:pPr>
            <w:r>
              <w:t>Stock would need to be substantially replaced with equivalent stock within a reasonable timeframe</w:t>
            </w:r>
            <w:r w:rsidR="00E91337">
              <w:t>, say twelve months</w:t>
            </w:r>
            <w:r>
              <w:t>.</w:t>
            </w:r>
            <w:r w:rsidR="00060ABF">
              <w:t xml:space="preserve"> Farmers that choose not to replace their stock after a cull are in a similar position to a farmer that sells their stock to exit the industry.</w:t>
            </w:r>
          </w:p>
          <w:p w14:paraId="2AC242B2" w14:textId="77777777" w:rsidR="008E2E39" w:rsidRDefault="008E2E39" w:rsidP="008E2E39">
            <w:pPr>
              <w:pStyle w:val="ListParagraph"/>
            </w:pPr>
          </w:p>
          <w:p w14:paraId="64DD297B" w14:textId="6065260E" w:rsidR="008E2E39" w:rsidRDefault="008E2E39" w:rsidP="008E2E39">
            <w:pPr>
              <w:pStyle w:val="ListParagraph"/>
              <w:numPr>
                <w:ilvl w:val="0"/>
                <w:numId w:val="39"/>
              </w:numPr>
            </w:pPr>
            <w:r>
              <w:t xml:space="preserve">The </w:t>
            </w:r>
            <w:r w:rsidR="000B6413">
              <w:t xml:space="preserve">business </w:t>
            </w:r>
            <w:r>
              <w:t xml:space="preserve">would need to be a dairy or a beef breeding operation, with the breeding stock valued under </w:t>
            </w:r>
            <w:r w:rsidR="00A448B0">
              <w:t xml:space="preserve">the </w:t>
            </w:r>
            <w:r>
              <w:t>NSC</w:t>
            </w:r>
            <w:r w:rsidR="00A448B0">
              <w:t xml:space="preserve"> or self-assessed cost schemes</w:t>
            </w:r>
            <w:r>
              <w:t>.</w:t>
            </w:r>
          </w:p>
          <w:p w14:paraId="138D31DF" w14:textId="77777777" w:rsidR="008E2E39" w:rsidRDefault="008E2E39" w:rsidP="008E2E39">
            <w:pPr>
              <w:pStyle w:val="ListParagraph"/>
            </w:pPr>
          </w:p>
          <w:p w14:paraId="4DBF992E" w14:textId="02E616A2" w:rsidR="008E2E39" w:rsidRDefault="008E2E39" w:rsidP="008E2E39">
            <w:pPr>
              <w:pStyle w:val="ListParagraph"/>
              <w:numPr>
                <w:ilvl w:val="0"/>
                <w:numId w:val="39"/>
              </w:numPr>
            </w:pPr>
            <w:r>
              <w:t xml:space="preserve">Only the income derived from the culling of the </w:t>
            </w:r>
            <w:r w:rsidR="00FE399B">
              <w:t xml:space="preserve">breeding </w:t>
            </w:r>
            <w:r>
              <w:t xml:space="preserve">stock valued under </w:t>
            </w:r>
            <w:r w:rsidR="00A448B0">
              <w:t xml:space="preserve">the </w:t>
            </w:r>
            <w:r>
              <w:t>NSC or the self-assessed cost scheme</w:t>
            </w:r>
            <w:r w:rsidR="00A448B0">
              <w:t>s</w:t>
            </w:r>
            <w:r>
              <w:t xml:space="preserve"> could be spread.</w:t>
            </w:r>
            <w:r w:rsidR="00C17DD9">
              <w:t xml:space="preserve"> Income derived from culling fattening stock would not be able to be spread as the tax issue is less acute owing to the more frequent turnover of stock.</w:t>
            </w:r>
          </w:p>
          <w:p w14:paraId="4A646289" w14:textId="77777777" w:rsidR="008E2E39" w:rsidRDefault="008E2E39" w:rsidP="008E2E39">
            <w:pPr>
              <w:pStyle w:val="ListParagraph"/>
            </w:pPr>
          </w:p>
          <w:p w14:paraId="2D0535BF" w14:textId="7F922061" w:rsidR="008E2E39" w:rsidRDefault="008E2E39" w:rsidP="008E2E39">
            <w:pPr>
              <w:pStyle w:val="ListParagraph"/>
              <w:numPr>
                <w:ilvl w:val="0"/>
                <w:numId w:val="39"/>
              </w:numPr>
            </w:pPr>
            <w:r>
              <w:lastRenderedPageBreak/>
              <w:t>The replacement stock must continue to be valued using, as relevant, NSC or self-assess</w:t>
            </w:r>
            <w:r w:rsidR="00E91337">
              <w:t>ed</w:t>
            </w:r>
            <w:r>
              <w:t xml:space="preserve"> cost</w:t>
            </w:r>
            <w:r w:rsidR="00C17DD9">
              <w:t>.</w:t>
            </w:r>
            <w:r>
              <w:t xml:space="preserve"> This is to ensure that farmers cannot enter the herd scheme on more advantageous terms than those not affected by Mycoplasma </w:t>
            </w:r>
            <w:proofErr w:type="spellStart"/>
            <w:r>
              <w:t>bovis</w:t>
            </w:r>
            <w:proofErr w:type="spellEnd"/>
            <w:r>
              <w:t>.</w:t>
            </w:r>
          </w:p>
          <w:p w14:paraId="74A4CA2C" w14:textId="77777777" w:rsidR="00EF088E" w:rsidRDefault="00EF088E" w:rsidP="00EF088E">
            <w:pPr>
              <w:pStyle w:val="ListParagraph"/>
            </w:pPr>
          </w:p>
          <w:p w14:paraId="0270F343" w14:textId="6460179A" w:rsidR="008E2E39" w:rsidRPr="008E2E39" w:rsidRDefault="008E2E39" w:rsidP="008E2E39">
            <w:pPr>
              <w:rPr>
                <w:i/>
                <w:iCs/>
              </w:rPr>
            </w:pPr>
            <w:r w:rsidRPr="008E2E39">
              <w:rPr>
                <w:i/>
                <w:iCs/>
              </w:rPr>
              <w:t>Analysis of option</w:t>
            </w:r>
          </w:p>
          <w:p w14:paraId="7CDF599C" w14:textId="7B8AEF92" w:rsidR="00455045" w:rsidRDefault="008E2E39" w:rsidP="008E2E39">
            <w:r>
              <w:t xml:space="preserve">This option </w:t>
            </w:r>
            <w:r w:rsidR="00EE40BF">
              <w:t>increases equity</w:t>
            </w:r>
            <w:r>
              <w:t xml:space="preserve"> as it would ensure affected farmers do not suffer from an unexpected tax burden and associated cash flow issues. This is consistent with the core principle of the Biosecurity Act 1993 that no person should be made better or worse off owing to the Crown’s use of its powers under that act.</w:t>
            </w:r>
          </w:p>
          <w:p w14:paraId="5DFD25CF" w14:textId="74AA0CD1" w:rsidR="008E2E39" w:rsidRDefault="008E2E39" w:rsidP="008E2E39">
            <w:r>
              <w:t xml:space="preserve">This option would also be </w:t>
            </w:r>
            <w:r w:rsidR="001E6AF4">
              <w:t>a</w:t>
            </w:r>
            <w:r w:rsidR="00F24072">
              <w:t xml:space="preserve"> </w:t>
            </w:r>
            <w:proofErr w:type="gramStart"/>
            <w:r>
              <w:t>mo</w:t>
            </w:r>
            <w:r w:rsidR="001E6AF4">
              <w:t>re</w:t>
            </w:r>
            <w:r>
              <w:t xml:space="preserve"> timely</w:t>
            </w:r>
            <w:proofErr w:type="gramEnd"/>
            <w:r>
              <w:t xml:space="preserve"> solution to the problem as it could be announced by the Minister of Revenue prior to the 31 March 2020 due date for 2018/19 income tax returns</w:t>
            </w:r>
            <w:r w:rsidR="00EE40BF">
              <w:t xml:space="preserve"> for clients of tax agents with a valid extension of time</w:t>
            </w:r>
            <w:r>
              <w:t>. This will help to provide certainty to farmers and their tax advisers.</w:t>
            </w:r>
          </w:p>
          <w:p w14:paraId="14FC8F41" w14:textId="5B9B4841" w:rsidR="008E2E39" w:rsidRDefault="008E2E39" w:rsidP="008E2E39">
            <w:r>
              <w:t xml:space="preserve">This option is not expected to have a significant impact on compliance costs for affected farmers. </w:t>
            </w:r>
            <w:r w:rsidRPr="008E2E39">
              <w:t>Farmers intending to spread the additional income will be required to advise Inland Revenue when filing their returns so that their files can be manually adjusted.</w:t>
            </w:r>
          </w:p>
          <w:p w14:paraId="6F2FD913" w14:textId="67EEBB86" w:rsidR="008E2E39" w:rsidRDefault="008E2E39" w:rsidP="008E2E39">
            <w:r>
              <w:t xml:space="preserve">Given the relatively low number of affected farmers, the costs associated with administering this option for Inland Revenue should be minimal and </w:t>
            </w:r>
            <w:r w:rsidR="00EE40BF">
              <w:t xml:space="preserve">could </w:t>
            </w:r>
            <w:r>
              <w:t>be absorbed within existing baselines.</w:t>
            </w:r>
          </w:p>
          <w:p w14:paraId="464C9239" w14:textId="61D43892" w:rsidR="00EC6144" w:rsidRPr="002624B4" w:rsidRDefault="00EC6144" w:rsidP="00EC6144">
            <w:pPr>
              <w:rPr>
                <w:b/>
                <w:bCs/>
              </w:rPr>
            </w:pPr>
            <w:r w:rsidRPr="002624B4">
              <w:rPr>
                <w:b/>
                <w:bCs/>
              </w:rPr>
              <w:t xml:space="preserve">Option </w:t>
            </w:r>
            <w:r>
              <w:rPr>
                <w:b/>
                <w:bCs/>
              </w:rPr>
              <w:t>3</w:t>
            </w:r>
            <w:r w:rsidRPr="002624B4">
              <w:rPr>
                <w:b/>
                <w:bCs/>
              </w:rPr>
              <w:t xml:space="preserve">: </w:t>
            </w:r>
            <w:r w:rsidR="00C63E70">
              <w:rPr>
                <w:b/>
                <w:bCs/>
              </w:rPr>
              <w:t>Offset the taxable income against the cost of replacement stock</w:t>
            </w:r>
          </w:p>
          <w:p w14:paraId="6073ED06" w14:textId="77777777" w:rsidR="00C63E70" w:rsidRDefault="00C63E70" w:rsidP="008E2E39">
            <w:r>
              <w:t xml:space="preserve">This option would involve offsetting the taxable income against the cost of the replacement livestock, which would essentially write down the purchase price to what the NSC would have been had the incident not occurred.   </w:t>
            </w:r>
          </w:p>
          <w:p w14:paraId="16022132" w14:textId="4C9CEDA1" w:rsidR="00EC6144" w:rsidRDefault="00C63E70" w:rsidP="008E2E39">
            <w:r>
              <w:t>While this option would conceptually achieve the desired outcome, it would be complex to achieve in practice as it would require an exact matching of the culled stock with the replacement stock</w:t>
            </w:r>
            <w:r w:rsidR="001E6AF4">
              <w:t>,</w:t>
            </w:r>
            <w:r w:rsidR="00246CD4">
              <w:t xml:space="preserve"> and </w:t>
            </w:r>
            <w:r w:rsidR="00BE4D65">
              <w:t>rules about adjustments where that did not arise.</w:t>
            </w:r>
            <w:r>
              <w:t xml:space="preserve"> </w:t>
            </w:r>
            <w:r w:rsidR="00BE4D65">
              <w:t xml:space="preserve">Therefore, this option was </w:t>
            </w:r>
            <w:r w:rsidR="00FE399B">
              <w:t>not preferred as the</w:t>
            </w:r>
            <w:r w:rsidR="00BE4D65">
              <w:t xml:space="preserve"> option of spreading the income </w:t>
            </w:r>
            <w:r w:rsidR="00FE399B">
              <w:t xml:space="preserve">evenly </w:t>
            </w:r>
            <w:r w:rsidR="00BE4D65">
              <w:t>over a number of income years</w:t>
            </w:r>
            <w:r w:rsidR="00FE399B">
              <w:t xml:space="preserve"> is simpler</w:t>
            </w:r>
            <w:r w:rsidR="00BE4D65">
              <w:t>.</w:t>
            </w:r>
            <w:r>
              <w:t xml:space="preserve"> </w:t>
            </w:r>
          </w:p>
          <w:p w14:paraId="38771AB8" w14:textId="4584EEFE" w:rsidR="00C940EC" w:rsidRPr="002624B4" w:rsidRDefault="00C940EC" w:rsidP="008E2E39">
            <w:pPr>
              <w:rPr>
                <w:b/>
                <w:bCs/>
              </w:rPr>
            </w:pPr>
            <w:r w:rsidRPr="002624B4">
              <w:rPr>
                <w:b/>
                <w:bCs/>
              </w:rPr>
              <w:t xml:space="preserve">Option </w:t>
            </w:r>
            <w:r w:rsidR="00EC6144">
              <w:rPr>
                <w:b/>
                <w:bCs/>
              </w:rPr>
              <w:t>4</w:t>
            </w:r>
            <w:r w:rsidRPr="002624B4">
              <w:rPr>
                <w:b/>
                <w:bCs/>
              </w:rPr>
              <w:t xml:space="preserve">: </w:t>
            </w:r>
            <w:r w:rsidR="002624B4" w:rsidRPr="002624B4">
              <w:rPr>
                <w:b/>
                <w:bCs/>
              </w:rPr>
              <w:t>Amending the income equalisation scheme</w:t>
            </w:r>
          </w:p>
          <w:p w14:paraId="15C7161B" w14:textId="3B550D2F" w:rsidR="002624B4" w:rsidRDefault="004E3194" w:rsidP="008E2E39">
            <w:r>
              <w:t>Th</w:t>
            </w:r>
            <w:r w:rsidR="0012654D">
              <w:t xml:space="preserve">is option would involve enabling </w:t>
            </w:r>
            <w:r w:rsidR="00D24A05">
              <w:t xml:space="preserve">deposits made in relation to Mycoplasma </w:t>
            </w:r>
            <w:proofErr w:type="spellStart"/>
            <w:r w:rsidR="00D24A05">
              <w:t>bov</w:t>
            </w:r>
            <w:r w:rsidR="00E120E2">
              <w:t>is</w:t>
            </w:r>
            <w:proofErr w:type="spellEnd"/>
            <w:r w:rsidR="00E120E2">
              <w:t xml:space="preserve"> to be withdrawn from the income equalisation scheme without being treated as income. </w:t>
            </w:r>
            <w:r w:rsidR="000503F4">
              <w:t xml:space="preserve">This option would compromise the integrity of the scheme and </w:t>
            </w:r>
            <w:r w:rsidR="00FE399B">
              <w:t>is, therefore, not preferred.</w:t>
            </w:r>
          </w:p>
          <w:p w14:paraId="73636BE8" w14:textId="4623B706" w:rsidR="009C43AE" w:rsidRPr="0069218C" w:rsidRDefault="009C43AE" w:rsidP="00C7655A"/>
        </w:tc>
      </w:tr>
    </w:tbl>
    <w:p w14:paraId="65608C12" w14:textId="77777777" w:rsidR="00F132B2" w:rsidRPr="00567434" w:rsidRDefault="00F132B2" w:rsidP="00567434">
      <w:pPr>
        <w:pStyle w:val="spacer"/>
      </w:pPr>
    </w:p>
    <w:p w14:paraId="04300AC6" w14:textId="77777777" w:rsidR="00096726" w:rsidRDefault="00096726">
      <w:r>
        <w:rPr>
          <w:b/>
        </w:rPr>
        <w:br w:type="page"/>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2D5734" w:rsidRPr="0069218C" w14:paraId="17F18685" w14:textId="77777777" w:rsidTr="00BB4EA2">
        <w:trPr>
          <w:trHeight w:val="84"/>
        </w:trPr>
        <w:tc>
          <w:tcPr>
            <w:tcW w:w="5000" w:type="pct"/>
            <w:shd w:val="clear" w:color="auto" w:fill="99CDDD"/>
          </w:tcPr>
          <w:p w14:paraId="43EA8B5F" w14:textId="37925768" w:rsidR="00E92509" w:rsidRPr="00886DFF" w:rsidRDefault="00B23E8A" w:rsidP="00EC6FAD">
            <w:pPr>
              <w:pStyle w:val="TableHeadings"/>
              <w:rPr>
                <w:szCs w:val="22"/>
                <w:lang w:val="en-NZ"/>
              </w:rPr>
            </w:pPr>
            <w:r w:rsidRPr="00886DFF">
              <w:rPr>
                <w:szCs w:val="22"/>
                <w:lang w:val="en-NZ"/>
              </w:rPr>
              <w:lastRenderedPageBreak/>
              <w:t>3</w:t>
            </w:r>
            <w:r w:rsidR="002A56F0" w:rsidRPr="00886DFF">
              <w:rPr>
                <w:szCs w:val="22"/>
                <w:lang w:val="en-NZ"/>
              </w:rPr>
              <w:t>.</w:t>
            </w:r>
            <w:r w:rsidR="00051A88" w:rsidRPr="00886DFF">
              <w:rPr>
                <w:szCs w:val="22"/>
                <w:lang w:val="en-NZ"/>
              </w:rPr>
              <w:t>2</w:t>
            </w:r>
            <w:r w:rsidR="002A56F0" w:rsidRPr="00886DFF">
              <w:rPr>
                <w:szCs w:val="22"/>
                <w:lang w:val="en-NZ"/>
              </w:rPr>
              <w:t xml:space="preserve">  </w:t>
            </w:r>
            <w:r w:rsidR="00962209" w:rsidRPr="00886DFF">
              <w:rPr>
                <w:szCs w:val="22"/>
                <w:lang w:val="en-NZ"/>
              </w:rPr>
              <w:t xml:space="preserve"> </w:t>
            </w:r>
            <w:r w:rsidR="00D019CB" w:rsidRPr="00886DFF">
              <w:rPr>
                <w:szCs w:val="22"/>
                <w:lang w:val="en-NZ"/>
              </w:rPr>
              <w:t>Which of these options is</w:t>
            </w:r>
            <w:r w:rsidR="00962209" w:rsidRPr="00886DFF">
              <w:rPr>
                <w:szCs w:val="22"/>
                <w:lang w:val="en-NZ"/>
              </w:rPr>
              <w:t xml:space="preserve"> the </w:t>
            </w:r>
            <w:r w:rsidR="00051A88" w:rsidRPr="00886DFF">
              <w:rPr>
                <w:szCs w:val="22"/>
                <w:lang w:val="en-NZ"/>
              </w:rPr>
              <w:t>proposed approach</w:t>
            </w:r>
            <w:r w:rsidR="00962209" w:rsidRPr="00886DFF">
              <w:rPr>
                <w:szCs w:val="22"/>
                <w:lang w:val="en-NZ"/>
              </w:rPr>
              <w:t xml:space="preserve">?  </w:t>
            </w:r>
          </w:p>
        </w:tc>
      </w:tr>
      <w:tr w:rsidR="00F132B2" w:rsidRPr="0069218C" w14:paraId="66B87503" w14:textId="77777777" w:rsidTr="00096726">
        <w:trPr>
          <w:trHeight w:val="3454"/>
        </w:trPr>
        <w:tc>
          <w:tcPr>
            <w:tcW w:w="5000" w:type="pct"/>
            <w:shd w:val="clear" w:color="auto" w:fill="auto"/>
          </w:tcPr>
          <w:p w14:paraId="04E56358" w14:textId="475A77DF" w:rsidR="005F7B27" w:rsidRDefault="009C43AE" w:rsidP="00E6054D">
            <w:r>
              <w:t>The p</w:t>
            </w:r>
            <w:r w:rsidR="008E2E39">
              <w:t>roposed</w:t>
            </w:r>
            <w:r>
              <w:t xml:space="preserve"> approach is spreading the additional income arising from </w:t>
            </w:r>
            <w:r w:rsidR="008E2E39">
              <w:t xml:space="preserve">culling and replacing a herd affected by Mycoplasma </w:t>
            </w:r>
            <w:proofErr w:type="spellStart"/>
            <w:r w:rsidR="008E2E39">
              <w:t>bovis</w:t>
            </w:r>
            <w:proofErr w:type="spellEnd"/>
            <w:r w:rsidR="008E2E39">
              <w:t>.</w:t>
            </w:r>
            <w:r w:rsidR="005F7B27">
              <w:t xml:space="preserve"> Spreading the income over the six subsequent income years offsets the income against the expected increased deductio</w:t>
            </w:r>
            <w:r w:rsidR="00C15C01">
              <w:t>ns,</w:t>
            </w:r>
            <w:r w:rsidR="00176E0B">
              <w:t xml:space="preserve"> in effect leaving the farmer in a similar position to if no</w:t>
            </w:r>
            <w:r w:rsidR="00EA6F93">
              <w:t xml:space="preserve"> unexpected income had arisen.</w:t>
            </w:r>
          </w:p>
          <w:p w14:paraId="4FC591D9" w14:textId="1B595A4C" w:rsidR="00F132B2" w:rsidRDefault="008E2E39" w:rsidP="00E6054D">
            <w:r>
              <w:t>This is the pr</w:t>
            </w:r>
            <w:r w:rsidR="00EA6F93">
              <w:t>oposed</w:t>
            </w:r>
            <w:r>
              <w:t xml:space="preserve"> </w:t>
            </w:r>
            <w:r w:rsidR="00EA6F93">
              <w:t>approach</w:t>
            </w:r>
            <w:r>
              <w:t xml:space="preserve"> as it is the only option that can be implemented in a timely manner and is consistent with the principle of the Biosecurity Act 1993 that no one is made better or worse off owing to the Crown’s use of its powers under that Act.</w:t>
            </w:r>
          </w:p>
          <w:p w14:paraId="73611034" w14:textId="51AD2384" w:rsidR="008E2E39" w:rsidRPr="0069218C" w:rsidRDefault="008E2E39" w:rsidP="00E6054D">
            <w:r>
              <w:t>The proposed approach is compatible with the Government’s “Expectations for the design of regulatory systems”.</w:t>
            </w:r>
          </w:p>
          <w:p w14:paraId="69791F73" w14:textId="77777777" w:rsidR="00F132B2" w:rsidRPr="0069218C" w:rsidRDefault="00F132B2" w:rsidP="00C7655A">
            <w:pPr>
              <w:spacing w:after="0" w:line="276" w:lineRule="auto"/>
              <w:jc w:val="both"/>
              <w:rPr>
                <w:rFonts w:cs="Arial"/>
                <w:szCs w:val="22"/>
              </w:rPr>
            </w:pPr>
          </w:p>
        </w:tc>
      </w:tr>
    </w:tbl>
    <w:p w14:paraId="4D6DE60E" w14:textId="40ECB482" w:rsidR="00BE4A62" w:rsidRPr="00030EC1" w:rsidRDefault="00D9793F" w:rsidP="00414D0D">
      <w:pPr>
        <w:pStyle w:val="Heading2"/>
      </w:pPr>
      <w:r w:rsidRPr="0069218C">
        <w:rPr>
          <w:rFonts w:cs="Arial"/>
          <w:sz w:val="22"/>
          <w:lang w:val="en-NZ"/>
        </w:rPr>
        <w:br w:type="page"/>
      </w:r>
      <w:bookmarkStart w:id="6" w:name="_Hlk33605242"/>
      <w:r w:rsidR="00E92509" w:rsidRPr="002D5734">
        <w:lastRenderedPageBreak/>
        <w:t xml:space="preserve">Section </w:t>
      </w:r>
      <w:r w:rsidR="00C77099">
        <w:t>4</w:t>
      </w:r>
      <w:r w:rsidR="00E92509" w:rsidRPr="002D5734">
        <w:t xml:space="preserve">: </w:t>
      </w:r>
      <w:r w:rsidR="00A33BA0" w:rsidRPr="002D5734">
        <w:t>Impact Analysis</w:t>
      </w:r>
      <w:r w:rsidR="005D5BF0" w:rsidRPr="002D5734">
        <w:t xml:space="preserve"> (</w:t>
      </w:r>
      <w:r w:rsidR="00C77099">
        <w:t>Proposed approach</w:t>
      </w:r>
      <w:r w:rsidR="005D5BF0" w:rsidRPr="002D5734">
        <w:t>)</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5D5BF0" w:rsidRPr="0069218C" w14:paraId="31372389" w14:textId="77777777" w:rsidTr="00BB4EA2">
        <w:trPr>
          <w:trHeight w:val="77"/>
        </w:trPr>
        <w:tc>
          <w:tcPr>
            <w:tcW w:w="5000" w:type="pct"/>
            <w:shd w:val="clear" w:color="auto" w:fill="99CDDD"/>
            <w:hideMark/>
          </w:tcPr>
          <w:p w14:paraId="0C1F8B7E" w14:textId="77777777" w:rsidR="005D5BF0" w:rsidRPr="0069218C" w:rsidRDefault="00D9793F" w:rsidP="00800DEC">
            <w:pPr>
              <w:pStyle w:val="TableHeadings"/>
              <w:rPr>
                <w:color w:val="002469"/>
                <w:szCs w:val="22"/>
                <w:lang w:val="en-NZ"/>
              </w:rPr>
            </w:pPr>
            <w:r w:rsidRPr="00886DFF">
              <w:rPr>
                <w:szCs w:val="22"/>
                <w:lang w:val="en-NZ"/>
              </w:rPr>
              <w:t>4</w:t>
            </w:r>
            <w:r w:rsidR="005D5BF0" w:rsidRPr="00886DFF">
              <w:rPr>
                <w:szCs w:val="22"/>
                <w:lang w:val="en-NZ"/>
              </w:rPr>
              <w:t>.</w:t>
            </w:r>
            <w:r w:rsidR="00C77099" w:rsidRPr="00886DFF">
              <w:rPr>
                <w:szCs w:val="22"/>
                <w:lang w:val="en-NZ"/>
              </w:rPr>
              <w:t>1</w:t>
            </w:r>
            <w:r w:rsidR="005D5BF0" w:rsidRPr="00886DFF">
              <w:rPr>
                <w:szCs w:val="22"/>
                <w:lang w:val="en-NZ"/>
              </w:rPr>
              <w:t xml:space="preserve">   Summary </w:t>
            </w:r>
            <w:r w:rsidR="005D5BF0" w:rsidRPr="00886DFF">
              <w:rPr>
                <w:szCs w:val="22"/>
              </w:rPr>
              <w:t>table</w:t>
            </w:r>
            <w:r w:rsidR="005D5BF0" w:rsidRPr="00886DFF">
              <w:rPr>
                <w:szCs w:val="22"/>
                <w:lang w:val="en-NZ"/>
              </w:rPr>
              <w:t xml:space="preserve"> of costs and benefits</w:t>
            </w:r>
          </w:p>
        </w:tc>
      </w:tr>
    </w:tbl>
    <w:p w14:paraId="1536052C" w14:textId="77777777" w:rsidR="00D9793F" w:rsidRPr="0069218C" w:rsidRDefault="00D9793F" w:rsidP="00567434">
      <w:pPr>
        <w:pStyle w:val="spacer"/>
      </w:pPr>
    </w:p>
    <w:tbl>
      <w:tblPr>
        <w:tblpPr w:leftFromText="180" w:rightFromText="180" w:vertAnchor="text" w:tblpX="114" w:tblpY="1"/>
        <w:tblOverlap w:val="never"/>
        <w:tblW w:w="907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093"/>
        <w:gridCol w:w="4394"/>
        <w:gridCol w:w="2585"/>
      </w:tblGrid>
      <w:tr w:rsidR="00380585" w:rsidRPr="0069218C" w14:paraId="575E4657" w14:textId="77777777" w:rsidTr="00E6054D">
        <w:trPr>
          <w:trHeight w:val="732"/>
        </w:trPr>
        <w:tc>
          <w:tcPr>
            <w:tcW w:w="2093" w:type="dxa"/>
            <w:shd w:val="clear" w:color="auto" w:fill="99CDDD"/>
          </w:tcPr>
          <w:p w14:paraId="54712201" w14:textId="77777777" w:rsidR="00380585" w:rsidRPr="00886DFF" w:rsidRDefault="00380585" w:rsidP="002127DC">
            <w:pPr>
              <w:pStyle w:val="TableText"/>
              <w:keepNext/>
              <w:rPr>
                <w:rFonts w:eastAsia="Calibri"/>
                <w:color w:val="000000"/>
                <w:sz w:val="22"/>
              </w:rPr>
            </w:pPr>
            <w:r w:rsidRPr="00886DFF">
              <w:rPr>
                <w:rFonts w:eastAsia="Calibri"/>
                <w:b/>
                <w:color w:val="000000"/>
                <w:sz w:val="22"/>
              </w:rPr>
              <w:t>Affected parties</w:t>
            </w:r>
            <w:r w:rsidRPr="00886DFF">
              <w:rPr>
                <w:rFonts w:eastAsia="Calibri"/>
                <w:color w:val="000000"/>
                <w:sz w:val="22"/>
              </w:rPr>
              <w:t xml:space="preserve"> </w:t>
            </w:r>
            <w:r w:rsidRPr="00886DFF">
              <w:rPr>
                <w:rFonts w:eastAsia="Calibri"/>
                <w:i/>
                <w:color w:val="000000"/>
                <w:sz w:val="22"/>
              </w:rPr>
              <w:t>(identify)</w:t>
            </w:r>
          </w:p>
        </w:tc>
        <w:tc>
          <w:tcPr>
            <w:tcW w:w="4394" w:type="dxa"/>
            <w:shd w:val="clear" w:color="auto" w:fill="99CDDD"/>
          </w:tcPr>
          <w:p w14:paraId="133262F9" w14:textId="588A2CA6" w:rsidR="00380585" w:rsidRPr="00886DFF" w:rsidRDefault="00380585" w:rsidP="00E6054D">
            <w:pPr>
              <w:pStyle w:val="TableText"/>
              <w:keepNext/>
              <w:rPr>
                <w:rFonts w:eastAsia="Calibri"/>
                <w:color w:val="000000"/>
                <w:sz w:val="22"/>
              </w:rPr>
            </w:pPr>
            <w:r w:rsidRPr="00886DFF">
              <w:rPr>
                <w:rFonts w:eastAsia="Calibri"/>
                <w:b/>
                <w:color w:val="000000"/>
                <w:sz w:val="22"/>
              </w:rPr>
              <w:t>Comment</w:t>
            </w:r>
            <w:r w:rsidRPr="00886DFF">
              <w:rPr>
                <w:rFonts w:eastAsia="Calibri"/>
                <w:color w:val="000000"/>
                <w:sz w:val="22"/>
              </w:rPr>
              <w:t>: nature of cost or benefit (</w:t>
            </w:r>
            <w:proofErr w:type="spellStart"/>
            <w:r w:rsidRPr="00886DFF">
              <w:rPr>
                <w:rFonts w:eastAsia="Calibri"/>
                <w:color w:val="000000"/>
                <w:sz w:val="22"/>
              </w:rPr>
              <w:t>eg</w:t>
            </w:r>
            <w:proofErr w:type="spellEnd"/>
            <w:r w:rsidR="00E6054D">
              <w:rPr>
                <w:rFonts w:eastAsia="Calibri"/>
                <w:color w:val="000000"/>
                <w:sz w:val="22"/>
              </w:rPr>
              <w:t>,</w:t>
            </w:r>
            <w:r w:rsidRPr="00886DFF">
              <w:rPr>
                <w:rFonts w:eastAsia="Calibri"/>
                <w:color w:val="000000"/>
                <w:sz w:val="22"/>
              </w:rPr>
              <w:t xml:space="preserve"> ongoing, one-off), evidence and assumption (</w:t>
            </w:r>
            <w:proofErr w:type="spellStart"/>
            <w:r w:rsidRPr="00886DFF">
              <w:rPr>
                <w:rFonts w:eastAsia="Calibri"/>
                <w:color w:val="000000"/>
                <w:sz w:val="22"/>
              </w:rPr>
              <w:t>eg</w:t>
            </w:r>
            <w:proofErr w:type="spellEnd"/>
            <w:r w:rsidR="00E6054D">
              <w:rPr>
                <w:rFonts w:eastAsia="Calibri"/>
                <w:color w:val="000000"/>
                <w:sz w:val="22"/>
              </w:rPr>
              <w:t>,</w:t>
            </w:r>
            <w:r w:rsidRPr="00886DFF">
              <w:rPr>
                <w:rFonts w:eastAsia="Calibri"/>
                <w:color w:val="000000"/>
                <w:sz w:val="22"/>
              </w:rPr>
              <w:t xml:space="preserve"> compliance rates), risks</w:t>
            </w:r>
          </w:p>
        </w:tc>
        <w:tc>
          <w:tcPr>
            <w:tcW w:w="2585" w:type="dxa"/>
            <w:shd w:val="clear" w:color="auto" w:fill="99CDDD"/>
          </w:tcPr>
          <w:p w14:paraId="0F0B9F6F" w14:textId="77777777" w:rsidR="00380585" w:rsidRPr="00886DFF" w:rsidRDefault="00380585" w:rsidP="002127DC">
            <w:pPr>
              <w:pStyle w:val="TableText"/>
              <w:keepNext/>
              <w:rPr>
                <w:rFonts w:eastAsia="Calibri"/>
                <w:b/>
                <w:color w:val="000000"/>
                <w:sz w:val="22"/>
              </w:rPr>
            </w:pPr>
            <w:r w:rsidRPr="00886DFF">
              <w:rPr>
                <w:rFonts w:eastAsia="Calibri"/>
                <w:b/>
                <w:color w:val="000000"/>
                <w:sz w:val="22"/>
              </w:rPr>
              <w:t>Impact</w:t>
            </w:r>
          </w:p>
          <w:p w14:paraId="4BF028E9" w14:textId="72B90A3F" w:rsidR="00380585" w:rsidRPr="00886DFF" w:rsidRDefault="00380585" w:rsidP="002127DC">
            <w:pPr>
              <w:pStyle w:val="TableText"/>
              <w:keepNext/>
              <w:rPr>
                <w:rFonts w:eastAsia="Calibri"/>
                <w:i/>
                <w:color w:val="000000"/>
                <w:sz w:val="22"/>
              </w:rPr>
            </w:pPr>
            <w:r w:rsidRPr="00886DFF">
              <w:rPr>
                <w:rFonts w:eastAsia="Calibri"/>
                <w:i/>
                <w:color w:val="000000"/>
                <w:sz w:val="22"/>
              </w:rPr>
              <w:t>$m present value</w:t>
            </w:r>
            <w:r w:rsidR="00D45133">
              <w:rPr>
                <w:rFonts w:eastAsia="Calibri"/>
                <w:i/>
                <w:color w:val="000000"/>
                <w:sz w:val="22"/>
              </w:rPr>
              <w:t xml:space="preserve"> where appropriate</w:t>
            </w:r>
            <w:r w:rsidRPr="00886DFF">
              <w:rPr>
                <w:rFonts w:eastAsia="Calibri"/>
                <w:i/>
                <w:color w:val="000000"/>
                <w:sz w:val="22"/>
              </w:rPr>
              <w:t xml:space="preserve">, for monetised impacts; high, </w:t>
            </w:r>
            <w:proofErr w:type="gramStart"/>
            <w:r w:rsidRPr="00886DFF">
              <w:rPr>
                <w:rFonts w:eastAsia="Calibri"/>
                <w:i/>
                <w:color w:val="000000"/>
                <w:sz w:val="22"/>
              </w:rPr>
              <w:t>medium</w:t>
            </w:r>
            <w:proofErr w:type="gramEnd"/>
            <w:r w:rsidRPr="00886DFF">
              <w:rPr>
                <w:rFonts w:eastAsia="Calibri"/>
                <w:i/>
                <w:color w:val="000000"/>
                <w:sz w:val="22"/>
              </w:rPr>
              <w:t xml:space="preserve"> or low for non-monetised impacts  </w:t>
            </w:r>
          </w:p>
        </w:tc>
      </w:tr>
      <w:tr w:rsidR="00380585" w:rsidRPr="0069218C" w14:paraId="374C3B33" w14:textId="77777777" w:rsidTr="00E6054D">
        <w:trPr>
          <w:trHeight w:val="197"/>
        </w:trPr>
        <w:tc>
          <w:tcPr>
            <w:tcW w:w="9072" w:type="dxa"/>
            <w:gridSpan w:val="3"/>
            <w:tcBorders>
              <w:bottom w:val="single" w:sz="4" w:space="0" w:color="DDDDDD"/>
            </w:tcBorders>
          </w:tcPr>
          <w:p w14:paraId="56BD4D53" w14:textId="77777777" w:rsidR="00380585" w:rsidRPr="00567434" w:rsidRDefault="00380585" w:rsidP="002127DC">
            <w:pPr>
              <w:pStyle w:val="spacer"/>
              <w:rPr>
                <w:rFonts w:eastAsia="Calibri"/>
              </w:rPr>
            </w:pPr>
          </w:p>
        </w:tc>
      </w:tr>
      <w:tr w:rsidR="00380585" w:rsidRPr="0069218C" w14:paraId="3311A7AD" w14:textId="77777777" w:rsidTr="00E6054D">
        <w:trPr>
          <w:trHeight w:val="253"/>
        </w:trPr>
        <w:tc>
          <w:tcPr>
            <w:tcW w:w="9072" w:type="dxa"/>
            <w:gridSpan w:val="3"/>
            <w:shd w:val="clear" w:color="auto" w:fill="99CDDD"/>
          </w:tcPr>
          <w:p w14:paraId="0287E966" w14:textId="77777777" w:rsidR="00380585" w:rsidRPr="0069218C" w:rsidRDefault="00380585" w:rsidP="002127DC">
            <w:pPr>
              <w:keepNext/>
              <w:spacing w:before="40" w:after="20" w:line="240" w:lineRule="auto"/>
              <w:rPr>
                <w:rFonts w:ascii="Arial Narrow" w:eastAsia="Calibri" w:hAnsi="Arial Narrow"/>
                <w:szCs w:val="22"/>
              </w:rPr>
            </w:pPr>
            <w:r w:rsidRPr="00886DFF">
              <w:rPr>
                <w:rFonts w:eastAsia="Calibri"/>
                <w:color w:val="000000"/>
                <w:szCs w:val="22"/>
              </w:rPr>
              <w:t>Additional costs of proposed approach, compared to taking no action</w:t>
            </w:r>
          </w:p>
        </w:tc>
      </w:tr>
      <w:tr w:rsidR="00380585" w:rsidRPr="0069218C" w14:paraId="7CACDF7E" w14:textId="77777777" w:rsidTr="00BB4EA2">
        <w:trPr>
          <w:trHeight w:val="253"/>
        </w:trPr>
        <w:tc>
          <w:tcPr>
            <w:tcW w:w="2093" w:type="dxa"/>
            <w:shd w:val="clear" w:color="auto" w:fill="auto"/>
          </w:tcPr>
          <w:p w14:paraId="475A657A" w14:textId="6E0A6820" w:rsidR="00380585" w:rsidRPr="0069218C" w:rsidRDefault="00380585" w:rsidP="002127DC">
            <w:pPr>
              <w:pStyle w:val="TableText"/>
              <w:keepNext/>
              <w:rPr>
                <w:rFonts w:eastAsia="Calibri"/>
                <w:sz w:val="22"/>
              </w:rPr>
            </w:pPr>
            <w:r w:rsidRPr="0069218C">
              <w:rPr>
                <w:rFonts w:eastAsia="Calibri"/>
                <w:sz w:val="22"/>
              </w:rPr>
              <w:t>Regulated parties</w:t>
            </w:r>
            <w:r w:rsidR="009C43AE">
              <w:rPr>
                <w:rFonts w:eastAsia="Calibri"/>
                <w:sz w:val="22"/>
              </w:rPr>
              <w:t xml:space="preserve"> (Farmers)</w:t>
            </w:r>
          </w:p>
        </w:tc>
        <w:tc>
          <w:tcPr>
            <w:tcW w:w="4394" w:type="dxa"/>
            <w:shd w:val="clear" w:color="auto" w:fill="auto"/>
          </w:tcPr>
          <w:p w14:paraId="71F3CAB1" w14:textId="3BA7583A" w:rsidR="00380585" w:rsidRPr="0069218C" w:rsidRDefault="009C43AE" w:rsidP="002127DC">
            <w:pPr>
              <w:pStyle w:val="TableText"/>
              <w:keepNext/>
              <w:rPr>
                <w:rFonts w:eastAsia="Calibri"/>
                <w:sz w:val="22"/>
              </w:rPr>
            </w:pPr>
            <w:r>
              <w:rPr>
                <w:rFonts w:eastAsia="Calibri"/>
                <w:sz w:val="22"/>
              </w:rPr>
              <w:t xml:space="preserve">Additional compliance costs from informing </w:t>
            </w:r>
            <w:r w:rsidR="008E2E39">
              <w:rPr>
                <w:rFonts w:eastAsia="Calibri"/>
                <w:sz w:val="22"/>
              </w:rPr>
              <w:t>Inland Revenue that they are spreading the additional income</w:t>
            </w:r>
          </w:p>
        </w:tc>
        <w:tc>
          <w:tcPr>
            <w:tcW w:w="2585" w:type="dxa"/>
            <w:shd w:val="clear" w:color="auto" w:fill="auto"/>
          </w:tcPr>
          <w:p w14:paraId="30B3CC2E" w14:textId="5345A7DB" w:rsidR="00380585" w:rsidRPr="0069218C" w:rsidRDefault="009C43AE" w:rsidP="002127DC">
            <w:pPr>
              <w:pStyle w:val="TableText"/>
              <w:keepNext/>
              <w:rPr>
                <w:rFonts w:eastAsia="Calibri"/>
                <w:sz w:val="22"/>
              </w:rPr>
            </w:pPr>
            <w:r>
              <w:rPr>
                <w:rFonts w:eastAsia="Calibri"/>
                <w:sz w:val="22"/>
              </w:rPr>
              <w:t>Low</w:t>
            </w:r>
          </w:p>
        </w:tc>
      </w:tr>
      <w:tr w:rsidR="00380585" w:rsidRPr="0069218C" w14:paraId="7AF8FD29" w14:textId="77777777" w:rsidTr="00BB4EA2">
        <w:trPr>
          <w:trHeight w:val="253"/>
        </w:trPr>
        <w:tc>
          <w:tcPr>
            <w:tcW w:w="2093" w:type="dxa"/>
            <w:shd w:val="clear" w:color="auto" w:fill="auto"/>
          </w:tcPr>
          <w:p w14:paraId="0F06DC5D" w14:textId="5D1D74A1" w:rsidR="00380585" w:rsidRPr="0069218C" w:rsidRDefault="00380585" w:rsidP="002127DC">
            <w:pPr>
              <w:pStyle w:val="TableText"/>
              <w:keepNext/>
              <w:rPr>
                <w:rFonts w:eastAsia="Calibri" w:cs="Arial"/>
                <w:color w:val="000000"/>
                <w:sz w:val="22"/>
              </w:rPr>
            </w:pPr>
            <w:r w:rsidRPr="0069218C">
              <w:rPr>
                <w:rFonts w:eastAsia="Calibri"/>
                <w:color w:val="000000"/>
                <w:sz w:val="22"/>
              </w:rPr>
              <w:t>Regulators</w:t>
            </w:r>
            <w:r w:rsidR="009C43AE">
              <w:rPr>
                <w:rFonts w:eastAsia="Calibri"/>
                <w:color w:val="000000"/>
                <w:sz w:val="22"/>
              </w:rPr>
              <w:t xml:space="preserve"> (Inland Revenue)</w:t>
            </w:r>
          </w:p>
        </w:tc>
        <w:tc>
          <w:tcPr>
            <w:tcW w:w="4394" w:type="dxa"/>
            <w:shd w:val="clear" w:color="auto" w:fill="auto"/>
          </w:tcPr>
          <w:p w14:paraId="15408B5E" w14:textId="1EA554EB" w:rsidR="00380585" w:rsidRPr="0069218C" w:rsidRDefault="009C43AE" w:rsidP="002127DC">
            <w:pPr>
              <w:pStyle w:val="TableText"/>
              <w:keepNext/>
              <w:rPr>
                <w:rFonts w:eastAsia="Calibri"/>
                <w:sz w:val="22"/>
              </w:rPr>
            </w:pPr>
            <w:r>
              <w:rPr>
                <w:rFonts w:eastAsia="Calibri"/>
                <w:sz w:val="22"/>
              </w:rPr>
              <w:t>Minimal administration costs that will be absorbed within existing baselines.</w:t>
            </w:r>
          </w:p>
        </w:tc>
        <w:tc>
          <w:tcPr>
            <w:tcW w:w="2585" w:type="dxa"/>
            <w:shd w:val="clear" w:color="auto" w:fill="auto"/>
          </w:tcPr>
          <w:p w14:paraId="682F55BC" w14:textId="647BF2E7" w:rsidR="00380585" w:rsidRPr="0069218C" w:rsidRDefault="009C43AE" w:rsidP="002127DC">
            <w:pPr>
              <w:pStyle w:val="TableText"/>
              <w:keepNext/>
              <w:rPr>
                <w:rFonts w:eastAsia="Calibri"/>
                <w:sz w:val="22"/>
              </w:rPr>
            </w:pPr>
            <w:r>
              <w:rPr>
                <w:rFonts w:eastAsia="Calibri"/>
                <w:sz w:val="22"/>
              </w:rPr>
              <w:t>Low</w:t>
            </w:r>
          </w:p>
        </w:tc>
      </w:tr>
      <w:tr w:rsidR="00380585" w:rsidRPr="0069218C" w14:paraId="051F6DE9" w14:textId="77777777" w:rsidTr="00BB4EA2">
        <w:trPr>
          <w:trHeight w:val="253"/>
        </w:trPr>
        <w:tc>
          <w:tcPr>
            <w:tcW w:w="2093" w:type="dxa"/>
            <w:shd w:val="clear" w:color="auto" w:fill="auto"/>
          </w:tcPr>
          <w:p w14:paraId="3D15155E" w14:textId="77777777" w:rsidR="00380585" w:rsidRPr="0069218C" w:rsidRDefault="00380585" w:rsidP="002127DC">
            <w:pPr>
              <w:pStyle w:val="TableText"/>
              <w:keepNext/>
              <w:rPr>
                <w:rFonts w:eastAsia="Calibri"/>
                <w:color w:val="000000"/>
                <w:sz w:val="22"/>
              </w:rPr>
            </w:pPr>
            <w:r w:rsidRPr="0069218C">
              <w:rPr>
                <w:rFonts w:eastAsia="Calibri"/>
                <w:color w:val="000000"/>
                <w:sz w:val="22"/>
              </w:rPr>
              <w:t>Wider government</w:t>
            </w:r>
          </w:p>
        </w:tc>
        <w:tc>
          <w:tcPr>
            <w:tcW w:w="4394" w:type="dxa"/>
            <w:shd w:val="clear" w:color="auto" w:fill="auto"/>
          </w:tcPr>
          <w:p w14:paraId="1E0C1E6E" w14:textId="77777777" w:rsidR="00380585" w:rsidRDefault="009C43AE" w:rsidP="002127DC">
            <w:pPr>
              <w:pStyle w:val="TableText"/>
              <w:keepNext/>
              <w:rPr>
                <w:rFonts w:eastAsia="Calibri"/>
                <w:sz w:val="22"/>
              </w:rPr>
            </w:pPr>
            <w:r>
              <w:rPr>
                <w:rFonts w:eastAsia="Calibri"/>
                <w:sz w:val="22"/>
              </w:rPr>
              <w:t>Upfront fiscal cost of $1.5 million offset by fiscal gains over the following years</w:t>
            </w:r>
            <w:r w:rsidR="00D029B5">
              <w:rPr>
                <w:rFonts w:eastAsia="Calibri"/>
                <w:sz w:val="22"/>
              </w:rPr>
              <w:t xml:space="preserve"> from </w:t>
            </w:r>
            <w:r w:rsidR="00B47667">
              <w:rPr>
                <w:rFonts w:eastAsia="Calibri"/>
                <w:sz w:val="22"/>
              </w:rPr>
              <w:t>already filed returns being adjusted.</w:t>
            </w:r>
          </w:p>
          <w:p w14:paraId="72E9B299" w14:textId="77777777" w:rsidR="00B47667" w:rsidRDefault="00B47667" w:rsidP="002127DC">
            <w:pPr>
              <w:pStyle w:val="TableText"/>
              <w:keepNext/>
              <w:rPr>
                <w:rFonts w:eastAsia="Calibri"/>
                <w:sz w:val="22"/>
              </w:rPr>
            </w:pPr>
          </w:p>
          <w:p w14:paraId="6CE17A35" w14:textId="677E50B0" w:rsidR="00B47667" w:rsidRPr="0069218C" w:rsidRDefault="00C83C6C" w:rsidP="002127DC">
            <w:pPr>
              <w:pStyle w:val="TableText"/>
              <w:keepNext/>
              <w:rPr>
                <w:rFonts w:eastAsia="Calibri"/>
                <w:sz w:val="22"/>
              </w:rPr>
            </w:pPr>
            <w:r>
              <w:rPr>
                <w:rFonts w:eastAsia="Calibri"/>
                <w:sz w:val="22"/>
              </w:rPr>
              <w:t>There will also be a small but unquantifi</w:t>
            </w:r>
            <w:r w:rsidR="00BB43F5">
              <w:rPr>
                <w:rFonts w:eastAsia="Calibri"/>
                <w:sz w:val="22"/>
              </w:rPr>
              <w:t>ed</w:t>
            </w:r>
            <w:r>
              <w:rPr>
                <w:rFonts w:eastAsia="Calibri"/>
                <w:sz w:val="22"/>
              </w:rPr>
              <w:t xml:space="preserve"> </w:t>
            </w:r>
            <w:r w:rsidR="00B47667">
              <w:rPr>
                <w:rFonts w:eastAsia="Calibri"/>
                <w:sz w:val="22"/>
              </w:rPr>
              <w:t xml:space="preserve">fiscal cost </w:t>
            </w:r>
            <w:r>
              <w:rPr>
                <w:rFonts w:eastAsia="Calibri"/>
                <w:sz w:val="22"/>
              </w:rPr>
              <w:t xml:space="preserve">arising from </w:t>
            </w:r>
            <w:r w:rsidR="009618F4">
              <w:rPr>
                <w:rFonts w:eastAsia="Calibri"/>
                <w:sz w:val="22"/>
              </w:rPr>
              <w:t>affected taxpayers that have not yet filed returns for the tax year in which the cull occurred,</w:t>
            </w:r>
            <w:r w:rsidR="002A3F01">
              <w:rPr>
                <w:rFonts w:eastAsia="Calibri"/>
                <w:sz w:val="22"/>
              </w:rPr>
              <w:t xml:space="preserve"> </w:t>
            </w:r>
            <w:r w:rsidR="00897F50">
              <w:rPr>
                <w:rFonts w:eastAsia="Calibri"/>
                <w:sz w:val="22"/>
              </w:rPr>
              <w:t>spreading the</w:t>
            </w:r>
            <w:r w:rsidR="009618F4">
              <w:rPr>
                <w:rFonts w:eastAsia="Calibri"/>
                <w:sz w:val="22"/>
              </w:rPr>
              <w:t xml:space="preserve"> additional income</w:t>
            </w:r>
            <w:r w:rsidR="00897F50">
              <w:rPr>
                <w:rFonts w:eastAsia="Calibri"/>
                <w:sz w:val="22"/>
              </w:rPr>
              <w:t>.</w:t>
            </w:r>
            <w:r w:rsidR="00397A53">
              <w:rPr>
                <w:rFonts w:eastAsia="Calibri"/>
                <w:sz w:val="22"/>
              </w:rPr>
              <w:t xml:space="preserve"> </w:t>
            </w:r>
            <w:r w:rsidR="009E1CEF">
              <w:t xml:space="preserve"> </w:t>
            </w:r>
            <w:r w:rsidR="009E1CEF" w:rsidRPr="009E1CEF">
              <w:rPr>
                <w:rFonts w:eastAsia="Calibri"/>
                <w:sz w:val="22"/>
              </w:rPr>
              <w:t>This fiscal cost is already included in forecast baselines</w:t>
            </w:r>
            <w:r w:rsidR="009E1CEF">
              <w:rPr>
                <w:rFonts w:eastAsia="Calibri"/>
                <w:sz w:val="22"/>
              </w:rPr>
              <w:t>.</w:t>
            </w:r>
          </w:p>
        </w:tc>
        <w:tc>
          <w:tcPr>
            <w:tcW w:w="2585" w:type="dxa"/>
            <w:shd w:val="clear" w:color="auto" w:fill="auto"/>
          </w:tcPr>
          <w:p w14:paraId="3F61D036" w14:textId="77777777" w:rsidR="00380585" w:rsidRDefault="008705BB" w:rsidP="002127DC">
            <w:pPr>
              <w:pStyle w:val="TableText"/>
              <w:keepNext/>
              <w:rPr>
                <w:rFonts w:eastAsia="Calibri"/>
                <w:sz w:val="22"/>
              </w:rPr>
            </w:pPr>
            <w:r>
              <w:rPr>
                <w:rFonts w:eastAsia="Calibri"/>
                <w:sz w:val="22"/>
              </w:rPr>
              <w:t xml:space="preserve">Already filed returns: </w:t>
            </w:r>
            <w:r w:rsidR="008E2E39">
              <w:rPr>
                <w:rFonts w:eastAsia="Calibri"/>
                <w:sz w:val="22"/>
              </w:rPr>
              <w:t>PV</w:t>
            </w:r>
            <w:r w:rsidR="008E2E39">
              <w:rPr>
                <w:rFonts w:eastAsia="Calibri"/>
                <w:sz w:val="22"/>
                <w:vertAlign w:val="subscript"/>
              </w:rPr>
              <w:t>2021</w:t>
            </w:r>
            <w:r w:rsidR="008E2E39">
              <w:rPr>
                <w:rFonts w:eastAsia="Calibri"/>
                <w:sz w:val="22"/>
              </w:rPr>
              <w:t xml:space="preserve"> = $0.236 million</w:t>
            </w:r>
          </w:p>
          <w:p w14:paraId="39FE5E9B" w14:textId="77777777" w:rsidR="008705BB" w:rsidRDefault="008705BB" w:rsidP="002127DC">
            <w:pPr>
              <w:pStyle w:val="TableText"/>
              <w:keepNext/>
              <w:rPr>
                <w:rFonts w:eastAsia="Calibri"/>
                <w:sz w:val="22"/>
              </w:rPr>
            </w:pPr>
          </w:p>
          <w:p w14:paraId="5F629F07" w14:textId="77777777" w:rsidR="008705BB" w:rsidRDefault="00BB43F5" w:rsidP="002127DC">
            <w:pPr>
              <w:pStyle w:val="TableText"/>
              <w:keepNext/>
              <w:rPr>
                <w:rFonts w:eastAsia="Calibri"/>
                <w:sz w:val="22"/>
              </w:rPr>
            </w:pPr>
            <w:r>
              <w:rPr>
                <w:rFonts w:eastAsia="Calibri"/>
                <w:sz w:val="22"/>
              </w:rPr>
              <w:t>Returns not yet filed:</w:t>
            </w:r>
          </w:p>
          <w:p w14:paraId="211A32E6" w14:textId="3452D969" w:rsidR="00BB43F5" w:rsidRPr="0069218C" w:rsidRDefault="00BB43F5" w:rsidP="002127DC">
            <w:pPr>
              <w:pStyle w:val="TableText"/>
              <w:keepNext/>
              <w:rPr>
                <w:rFonts w:eastAsia="Calibri"/>
                <w:sz w:val="22"/>
              </w:rPr>
            </w:pPr>
            <w:r>
              <w:rPr>
                <w:rFonts w:eastAsia="Calibri"/>
                <w:sz w:val="22"/>
              </w:rPr>
              <w:t>Low but unquantified</w:t>
            </w:r>
          </w:p>
        </w:tc>
      </w:tr>
      <w:tr w:rsidR="00380585" w:rsidRPr="0069218C" w14:paraId="36C00356" w14:textId="77777777" w:rsidTr="00BB4EA2">
        <w:trPr>
          <w:trHeight w:val="253"/>
        </w:trPr>
        <w:tc>
          <w:tcPr>
            <w:tcW w:w="2093" w:type="dxa"/>
            <w:shd w:val="clear" w:color="auto" w:fill="auto"/>
          </w:tcPr>
          <w:p w14:paraId="55DE5259" w14:textId="77777777" w:rsidR="00380585" w:rsidRPr="0069218C" w:rsidRDefault="00380585" w:rsidP="002127DC">
            <w:pPr>
              <w:pStyle w:val="TableText"/>
              <w:keepNext/>
              <w:rPr>
                <w:rFonts w:eastAsia="Calibri"/>
                <w:b/>
                <w:sz w:val="22"/>
              </w:rPr>
            </w:pPr>
            <w:r w:rsidRPr="0069218C">
              <w:rPr>
                <w:rFonts w:eastAsia="Calibri"/>
                <w:b/>
                <w:sz w:val="22"/>
              </w:rPr>
              <w:t>Total Monetised Cost</w:t>
            </w:r>
          </w:p>
        </w:tc>
        <w:tc>
          <w:tcPr>
            <w:tcW w:w="4394" w:type="dxa"/>
            <w:shd w:val="clear" w:color="auto" w:fill="auto"/>
          </w:tcPr>
          <w:p w14:paraId="4D0A094E" w14:textId="77777777" w:rsidR="00380585" w:rsidRPr="0069218C" w:rsidRDefault="00380585" w:rsidP="002127DC">
            <w:pPr>
              <w:pStyle w:val="TableText"/>
              <w:keepNext/>
              <w:rPr>
                <w:rFonts w:eastAsia="Calibri"/>
                <w:i/>
                <w:sz w:val="22"/>
              </w:rPr>
            </w:pPr>
          </w:p>
        </w:tc>
        <w:tc>
          <w:tcPr>
            <w:tcW w:w="2585" w:type="dxa"/>
            <w:shd w:val="clear" w:color="auto" w:fill="auto"/>
          </w:tcPr>
          <w:p w14:paraId="1513E189" w14:textId="12B3ED57" w:rsidR="00380585" w:rsidRPr="0069218C" w:rsidRDefault="008E2E39" w:rsidP="002127DC">
            <w:pPr>
              <w:pStyle w:val="TableText"/>
              <w:keepNext/>
              <w:rPr>
                <w:rFonts w:eastAsia="Calibri"/>
                <w:sz w:val="22"/>
              </w:rPr>
            </w:pPr>
            <w:r>
              <w:rPr>
                <w:rFonts w:eastAsia="Calibri"/>
                <w:sz w:val="22"/>
              </w:rPr>
              <w:t>PV</w:t>
            </w:r>
            <w:r>
              <w:rPr>
                <w:rFonts w:eastAsia="Calibri"/>
                <w:sz w:val="22"/>
                <w:vertAlign w:val="subscript"/>
              </w:rPr>
              <w:t>2021</w:t>
            </w:r>
            <w:r>
              <w:rPr>
                <w:rFonts w:eastAsia="Calibri"/>
                <w:sz w:val="22"/>
              </w:rPr>
              <w:t xml:space="preserve"> = $0.236 million</w:t>
            </w:r>
          </w:p>
        </w:tc>
      </w:tr>
      <w:tr w:rsidR="00380585" w:rsidRPr="0069218C" w14:paraId="744EB59C" w14:textId="77777777" w:rsidTr="00BB4EA2">
        <w:trPr>
          <w:trHeight w:val="253"/>
        </w:trPr>
        <w:tc>
          <w:tcPr>
            <w:tcW w:w="2093" w:type="dxa"/>
            <w:shd w:val="clear" w:color="auto" w:fill="auto"/>
          </w:tcPr>
          <w:p w14:paraId="7F4CC76A" w14:textId="77777777" w:rsidR="00380585" w:rsidRPr="0069218C" w:rsidRDefault="00380585" w:rsidP="002127DC">
            <w:pPr>
              <w:pStyle w:val="TableText"/>
              <w:keepNext/>
              <w:rPr>
                <w:rFonts w:eastAsia="Calibri"/>
                <w:b/>
                <w:sz w:val="22"/>
              </w:rPr>
            </w:pPr>
            <w:r w:rsidRPr="0069218C">
              <w:rPr>
                <w:rFonts w:eastAsia="Calibri"/>
                <w:b/>
                <w:sz w:val="22"/>
              </w:rPr>
              <w:t xml:space="preserve">Non-monetised costs </w:t>
            </w:r>
          </w:p>
        </w:tc>
        <w:tc>
          <w:tcPr>
            <w:tcW w:w="4394" w:type="dxa"/>
            <w:shd w:val="clear" w:color="auto" w:fill="auto"/>
          </w:tcPr>
          <w:p w14:paraId="3F8B3128" w14:textId="77777777" w:rsidR="00380585" w:rsidRPr="0069218C" w:rsidRDefault="00380585" w:rsidP="002127DC">
            <w:pPr>
              <w:pStyle w:val="TableText"/>
              <w:keepNext/>
              <w:rPr>
                <w:rFonts w:eastAsia="Calibri"/>
                <w:i/>
                <w:sz w:val="22"/>
              </w:rPr>
            </w:pPr>
          </w:p>
        </w:tc>
        <w:tc>
          <w:tcPr>
            <w:tcW w:w="2585" w:type="dxa"/>
            <w:shd w:val="clear" w:color="auto" w:fill="auto"/>
          </w:tcPr>
          <w:p w14:paraId="59E9AAEA" w14:textId="21B38ADC" w:rsidR="00380585" w:rsidRPr="00E62373" w:rsidRDefault="008E2E39" w:rsidP="002127DC">
            <w:pPr>
              <w:pStyle w:val="TableText"/>
              <w:keepNext/>
              <w:rPr>
                <w:rFonts w:eastAsia="Calibri"/>
                <w:i/>
                <w:sz w:val="22"/>
              </w:rPr>
            </w:pPr>
            <w:r>
              <w:rPr>
                <w:rFonts w:eastAsia="Calibri"/>
                <w:i/>
                <w:sz w:val="22"/>
              </w:rPr>
              <w:t>Low</w:t>
            </w:r>
          </w:p>
        </w:tc>
      </w:tr>
    </w:tbl>
    <w:p w14:paraId="0A9A2360" w14:textId="77777777" w:rsidR="00380585" w:rsidRPr="0069218C" w:rsidRDefault="00380585" w:rsidP="00567434">
      <w:pPr>
        <w:pStyle w:val="spacer"/>
      </w:pPr>
    </w:p>
    <w:tbl>
      <w:tblPr>
        <w:tblpPr w:leftFromText="180" w:rightFromText="180" w:vertAnchor="text" w:tblpX="114" w:tblpY="1"/>
        <w:tblOverlap w:val="never"/>
        <w:tblW w:w="907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093"/>
        <w:gridCol w:w="4394"/>
        <w:gridCol w:w="2585"/>
      </w:tblGrid>
      <w:tr w:rsidR="00380585" w:rsidRPr="0069218C" w14:paraId="377EAB6F" w14:textId="77777777" w:rsidTr="00E6054D">
        <w:trPr>
          <w:trHeight w:val="253"/>
        </w:trPr>
        <w:tc>
          <w:tcPr>
            <w:tcW w:w="9072" w:type="dxa"/>
            <w:gridSpan w:val="3"/>
            <w:shd w:val="clear" w:color="auto" w:fill="99CDDD"/>
          </w:tcPr>
          <w:p w14:paraId="564BDD89" w14:textId="77777777" w:rsidR="00380585" w:rsidRPr="000535CE" w:rsidRDefault="00380585" w:rsidP="002127DC">
            <w:pPr>
              <w:spacing w:before="40" w:after="20" w:line="240" w:lineRule="auto"/>
              <w:rPr>
                <w:rFonts w:ascii="Arial Narrow" w:eastAsia="Calibri" w:hAnsi="Arial Narrow"/>
                <w:szCs w:val="22"/>
              </w:rPr>
            </w:pPr>
            <w:r w:rsidRPr="00886DFF">
              <w:rPr>
                <w:rFonts w:eastAsia="Calibri"/>
                <w:color w:val="000000"/>
                <w:szCs w:val="22"/>
              </w:rPr>
              <w:t>Expected benefits of proposed approach, compared to taking no action</w:t>
            </w:r>
          </w:p>
        </w:tc>
      </w:tr>
      <w:tr w:rsidR="00380585" w:rsidRPr="0069218C" w14:paraId="6FCB9D30" w14:textId="77777777" w:rsidTr="00BB4EA2">
        <w:trPr>
          <w:trHeight w:val="253"/>
        </w:trPr>
        <w:tc>
          <w:tcPr>
            <w:tcW w:w="2093" w:type="dxa"/>
            <w:shd w:val="clear" w:color="auto" w:fill="auto"/>
          </w:tcPr>
          <w:p w14:paraId="118392ED" w14:textId="23F230B8" w:rsidR="00380585" w:rsidRPr="0069218C" w:rsidRDefault="00380585" w:rsidP="002127DC">
            <w:pPr>
              <w:pStyle w:val="TableText"/>
              <w:rPr>
                <w:rFonts w:eastAsia="Calibri"/>
                <w:sz w:val="22"/>
              </w:rPr>
            </w:pPr>
            <w:r w:rsidRPr="0069218C">
              <w:rPr>
                <w:rFonts w:eastAsia="Calibri"/>
                <w:sz w:val="22"/>
              </w:rPr>
              <w:t>Regulated parties</w:t>
            </w:r>
            <w:r w:rsidR="009C43AE">
              <w:rPr>
                <w:rFonts w:eastAsia="Calibri"/>
                <w:sz w:val="22"/>
              </w:rPr>
              <w:t xml:space="preserve"> (Farmers)</w:t>
            </w:r>
          </w:p>
        </w:tc>
        <w:tc>
          <w:tcPr>
            <w:tcW w:w="4394" w:type="dxa"/>
            <w:shd w:val="clear" w:color="auto" w:fill="auto"/>
          </w:tcPr>
          <w:p w14:paraId="7FA83A27" w14:textId="306ED122" w:rsidR="00380585" w:rsidRPr="0069218C" w:rsidRDefault="009C43AE" w:rsidP="002127DC">
            <w:pPr>
              <w:pStyle w:val="TableText"/>
              <w:rPr>
                <w:rFonts w:eastAsia="Calibri"/>
                <w:sz w:val="22"/>
              </w:rPr>
            </w:pPr>
            <w:r>
              <w:rPr>
                <w:rFonts w:eastAsia="Calibri"/>
                <w:sz w:val="22"/>
              </w:rPr>
              <w:t xml:space="preserve">Cash flow benefit from spreading </w:t>
            </w:r>
            <w:r w:rsidR="008E2E39">
              <w:rPr>
                <w:rFonts w:eastAsia="Calibri"/>
                <w:sz w:val="22"/>
              </w:rPr>
              <w:t>taxable income over 6 years</w:t>
            </w:r>
          </w:p>
        </w:tc>
        <w:tc>
          <w:tcPr>
            <w:tcW w:w="2585" w:type="dxa"/>
            <w:shd w:val="clear" w:color="auto" w:fill="auto"/>
          </w:tcPr>
          <w:p w14:paraId="1F8C0E0F" w14:textId="77777777" w:rsidR="00380585" w:rsidRDefault="005B5F30" w:rsidP="002127DC">
            <w:pPr>
              <w:pStyle w:val="TableText"/>
              <w:rPr>
                <w:rFonts w:eastAsia="Calibri"/>
                <w:sz w:val="22"/>
              </w:rPr>
            </w:pPr>
            <w:r>
              <w:rPr>
                <w:rFonts w:eastAsia="Calibri"/>
                <w:sz w:val="22"/>
              </w:rPr>
              <w:t xml:space="preserve">Already filed returns: </w:t>
            </w:r>
            <w:r w:rsidR="008E2E39">
              <w:rPr>
                <w:rFonts w:eastAsia="Calibri"/>
                <w:sz w:val="22"/>
              </w:rPr>
              <w:t>PV</w:t>
            </w:r>
            <w:r w:rsidR="008E2E39">
              <w:rPr>
                <w:rFonts w:eastAsia="Calibri"/>
                <w:sz w:val="22"/>
                <w:vertAlign w:val="subscript"/>
              </w:rPr>
              <w:t>2021</w:t>
            </w:r>
            <w:r w:rsidR="008E2E39">
              <w:rPr>
                <w:rFonts w:eastAsia="Calibri"/>
                <w:sz w:val="22"/>
              </w:rPr>
              <w:t xml:space="preserve"> = $0.236 million</w:t>
            </w:r>
          </w:p>
          <w:p w14:paraId="73CBE2E0" w14:textId="38733152" w:rsidR="005B5F30" w:rsidRPr="0069218C" w:rsidRDefault="005B5F30" w:rsidP="002127DC">
            <w:pPr>
              <w:pStyle w:val="TableText"/>
              <w:rPr>
                <w:rFonts w:eastAsia="Calibri"/>
                <w:sz w:val="22"/>
              </w:rPr>
            </w:pPr>
            <w:r>
              <w:rPr>
                <w:rFonts w:eastAsia="Calibri"/>
                <w:sz w:val="22"/>
              </w:rPr>
              <w:t xml:space="preserve">Returns not yet filed: </w:t>
            </w:r>
            <w:r w:rsidR="00BB43F5">
              <w:rPr>
                <w:rFonts w:eastAsia="Calibri"/>
                <w:sz w:val="22"/>
              </w:rPr>
              <w:t>Low but unquantified</w:t>
            </w:r>
          </w:p>
        </w:tc>
      </w:tr>
      <w:tr w:rsidR="00380585" w:rsidRPr="0069218C" w14:paraId="7DFE3740" w14:textId="77777777" w:rsidTr="00BB4EA2">
        <w:trPr>
          <w:trHeight w:val="253"/>
        </w:trPr>
        <w:tc>
          <w:tcPr>
            <w:tcW w:w="2093" w:type="dxa"/>
            <w:shd w:val="clear" w:color="auto" w:fill="auto"/>
          </w:tcPr>
          <w:p w14:paraId="5AE97A8A" w14:textId="77777777" w:rsidR="00380585" w:rsidRPr="0069218C" w:rsidRDefault="00380585" w:rsidP="002127DC">
            <w:pPr>
              <w:pStyle w:val="TableText"/>
              <w:rPr>
                <w:rFonts w:eastAsia="Calibri"/>
                <w:b/>
                <w:sz w:val="22"/>
              </w:rPr>
            </w:pPr>
            <w:r w:rsidRPr="0069218C">
              <w:rPr>
                <w:rFonts w:eastAsia="Calibri"/>
                <w:b/>
                <w:sz w:val="22"/>
              </w:rPr>
              <w:t>Total Monetised  Benefit</w:t>
            </w:r>
          </w:p>
        </w:tc>
        <w:tc>
          <w:tcPr>
            <w:tcW w:w="4394" w:type="dxa"/>
            <w:shd w:val="clear" w:color="auto" w:fill="auto"/>
          </w:tcPr>
          <w:p w14:paraId="4A0ED95F" w14:textId="77777777" w:rsidR="00380585" w:rsidRPr="0069218C" w:rsidRDefault="00380585" w:rsidP="002127DC">
            <w:pPr>
              <w:pStyle w:val="TableText"/>
              <w:rPr>
                <w:rFonts w:eastAsia="Calibri"/>
                <w:sz w:val="22"/>
              </w:rPr>
            </w:pPr>
          </w:p>
        </w:tc>
        <w:tc>
          <w:tcPr>
            <w:tcW w:w="2585" w:type="dxa"/>
            <w:shd w:val="clear" w:color="auto" w:fill="auto"/>
          </w:tcPr>
          <w:p w14:paraId="36B5F82A" w14:textId="5B03579E" w:rsidR="00380585" w:rsidRPr="0069218C" w:rsidRDefault="008E2E39" w:rsidP="002127DC">
            <w:pPr>
              <w:pStyle w:val="TableText"/>
              <w:rPr>
                <w:rFonts w:eastAsia="Calibri"/>
                <w:sz w:val="22"/>
              </w:rPr>
            </w:pPr>
            <w:r>
              <w:rPr>
                <w:rFonts w:eastAsia="Calibri"/>
                <w:sz w:val="22"/>
              </w:rPr>
              <w:t>PV</w:t>
            </w:r>
            <w:r>
              <w:rPr>
                <w:rFonts w:eastAsia="Calibri"/>
                <w:sz w:val="22"/>
                <w:vertAlign w:val="subscript"/>
              </w:rPr>
              <w:t>2021</w:t>
            </w:r>
            <w:r>
              <w:rPr>
                <w:rFonts w:eastAsia="Calibri"/>
                <w:sz w:val="22"/>
              </w:rPr>
              <w:t xml:space="preserve"> = $0.236 million</w:t>
            </w:r>
          </w:p>
        </w:tc>
      </w:tr>
      <w:tr w:rsidR="00380585" w:rsidRPr="0069218C" w14:paraId="4A17A07A" w14:textId="77777777" w:rsidTr="00BB4EA2">
        <w:trPr>
          <w:trHeight w:val="253"/>
        </w:trPr>
        <w:tc>
          <w:tcPr>
            <w:tcW w:w="2093" w:type="dxa"/>
            <w:shd w:val="clear" w:color="auto" w:fill="auto"/>
          </w:tcPr>
          <w:p w14:paraId="1C9A83D8" w14:textId="77777777" w:rsidR="00380585" w:rsidRPr="0069218C" w:rsidRDefault="00380585" w:rsidP="002127DC">
            <w:pPr>
              <w:pStyle w:val="TableText"/>
              <w:rPr>
                <w:rFonts w:eastAsia="Calibri"/>
                <w:b/>
                <w:sz w:val="22"/>
              </w:rPr>
            </w:pPr>
            <w:r w:rsidRPr="0069218C">
              <w:rPr>
                <w:rFonts w:eastAsia="Calibri"/>
                <w:b/>
                <w:sz w:val="22"/>
              </w:rPr>
              <w:t>Non-monetised benefits</w:t>
            </w:r>
          </w:p>
        </w:tc>
        <w:tc>
          <w:tcPr>
            <w:tcW w:w="4394" w:type="dxa"/>
            <w:shd w:val="clear" w:color="auto" w:fill="auto"/>
          </w:tcPr>
          <w:p w14:paraId="6EC0B707" w14:textId="77777777" w:rsidR="00380585" w:rsidRPr="0069218C" w:rsidRDefault="00380585" w:rsidP="002127DC">
            <w:pPr>
              <w:pStyle w:val="TableText"/>
              <w:rPr>
                <w:rFonts w:eastAsia="Calibri"/>
                <w:sz w:val="22"/>
              </w:rPr>
            </w:pPr>
          </w:p>
        </w:tc>
        <w:tc>
          <w:tcPr>
            <w:tcW w:w="2585" w:type="dxa"/>
            <w:shd w:val="clear" w:color="auto" w:fill="auto"/>
          </w:tcPr>
          <w:p w14:paraId="723A8545" w14:textId="2371DF0C" w:rsidR="00380585" w:rsidRPr="00E62373" w:rsidRDefault="00BB43F5" w:rsidP="002127DC">
            <w:pPr>
              <w:pStyle w:val="TableText"/>
              <w:rPr>
                <w:rFonts w:eastAsia="Calibri"/>
                <w:i/>
                <w:sz w:val="22"/>
              </w:rPr>
            </w:pPr>
            <w:r>
              <w:rPr>
                <w:rFonts w:eastAsia="Calibri"/>
                <w:i/>
                <w:sz w:val="22"/>
              </w:rPr>
              <w:t>Low</w:t>
            </w:r>
          </w:p>
        </w:tc>
      </w:tr>
    </w:tbl>
    <w:p w14:paraId="1185774B" w14:textId="0D039726" w:rsidR="00C77099" w:rsidRPr="008E2E39" w:rsidRDefault="008E2E39" w:rsidP="005744B1">
      <w:pPr>
        <w:rPr>
          <w:rFonts w:cs="Arial"/>
          <w:i/>
          <w:iCs/>
          <w:color w:val="000000"/>
          <w:szCs w:val="22"/>
          <w:lang w:eastAsia="en-AU"/>
        </w:rPr>
      </w:pPr>
      <w:r>
        <w:rPr>
          <w:i/>
          <w:iCs/>
          <w:sz w:val="18"/>
          <w:szCs w:val="16"/>
        </w:rPr>
        <w:t xml:space="preserve">NB. </w:t>
      </w:r>
      <w:r w:rsidRPr="008E2E39">
        <w:rPr>
          <w:i/>
          <w:iCs/>
          <w:sz w:val="18"/>
          <w:szCs w:val="16"/>
        </w:rPr>
        <w:t xml:space="preserve">Monetary impacts are calculated by assuming the proposal will result in a </w:t>
      </w:r>
      <w:r>
        <w:rPr>
          <w:i/>
          <w:iCs/>
          <w:sz w:val="18"/>
          <w:szCs w:val="16"/>
        </w:rPr>
        <w:t>fiscal loss</w:t>
      </w:r>
      <w:r w:rsidRPr="008E2E39">
        <w:rPr>
          <w:i/>
          <w:iCs/>
          <w:sz w:val="18"/>
          <w:szCs w:val="16"/>
        </w:rPr>
        <w:t xml:space="preserve"> of $1.5 million in 2020/21 offset by </w:t>
      </w:r>
      <w:r>
        <w:rPr>
          <w:i/>
          <w:iCs/>
          <w:sz w:val="18"/>
          <w:szCs w:val="16"/>
        </w:rPr>
        <w:t>a gain</w:t>
      </w:r>
      <w:r w:rsidRPr="008E2E39">
        <w:rPr>
          <w:i/>
          <w:iCs/>
          <w:sz w:val="18"/>
          <w:szCs w:val="16"/>
        </w:rPr>
        <w:t xml:space="preserve"> of $300,000 in each of the following 5 years</w:t>
      </w:r>
      <w:r w:rsidR="00BB43F5">
        <w:rPr>
          <w:i/>
          <w:iCs/>
          <w:sz w:val="18"/>
          <w:szCs w:val="16"/>
        </w:rPr>
        <w:t xml:space="preserve"> (as returns are being adjusted the fiscal loss and first year of income being spread will occur in the same fiscal year)</w:t>
      </w:r>
      <w:r w:rsidRPr="008E2E39">
        <w:rPr>
          <w:i/>
          <w:iCs/>
          <w:sz w:val="18"/>
          <w:szCs w:val="16"/>
        </w:rPr>
        <w:t xml:space="preserve">. A </w:t>
      </w:r>
      <w:r>
        <w:rPr>
          <w:i/>
          <w:iCs/>
          <w:sz w:val="18"/>
          <w:szCs w:val="16"/>
        </w:rPr>
        <w:t xml:space="preserve">6% </w:t>
      </w:r>
      <w:r w:rsidRPr="008E2E39">
        <w:rPr>
          <w:i/>
          <w:iCs/>
          <w:sz w:val="18"/>
          <w:szCs w:val="16"/>
        </w:rPr>
        <w:t>discount rate</w:t>
      </w:r>
      <w:r>
        <w:rPr>
          <w:i/>
          <w:iCs/>
          <w:sz w:val="18"/>
          <w:szCs w:val="16"/>
        </w:rPr>
        <w:t xml:space="preserve"> </w:t>
      </w:r>
      <w:r w:rsidRPr="008E2E39">
        <w:rPr>
          <w:i/>
          <w:iCs/>
          <w:sz w:val="18"/>
          <w:szCs w:val="16"/>
        </w:rPr>
        <w:t>has been used.</w:t>
      </w:r>
      <w:bookmarkEnd w:id="6"/>
      <w:r w:rsidR="005744B1" w:rsidRPr="008E2E39">
        <w:rPr>
          <w:i/>
          <w:iCs/>
        </w:rPr>
        <w:br w:type="page"/>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C77099" w:rsidRPr="0069218C" w14:paraId="176D43DC" w14:textId="77777777" w:rsidTr="00BB4EA2">
        <w:trPr>
          <w:trHeight w:val="77"/>
        </w:trPr>
        <w:tc>
          <w:tcPr>
            <w:tcW w:w="5000" w:type="pct"/>
            <w:shd w:val="clear" w:color="auto" w:fill="99CDDD"/>
            <w:hideMark/>
          </w:tcPr>
          <w:p w14:paraId="483E41C0" w14:textId="77777777" w:rsidR="00C77099" w:rsidRPr="00886DFF" w:rsidRDefault="00D9793F" w:rsidP="00EC6FAD">
            <w:pPr>
              <w:pStyle w:val="TableHeadings"/>
              <w:rPr>
                <w:szCs w:val="22"/>
                <w:lang w:val="en-NZ"/>
              </w:rPr>
            </w:pPr>
            <w:r w:rsidRPr="00886DFF">
              <w:rPr>
                <w:szCs w:val="22"/>
                <w:lang w:val="en-NZ"/>
              </w:rPr>
              <w:lastRenderedPageBreak/>
              <w:t>4</w:t>
            </w:r>
            <w:r w:rsidR="00C77099" w:rsidRPr="00886DFF">
              <w:rPr>
                <w:szCs w:val="22"/>
                <w:lang w:val="en-NZ"/>
              </w:rPr>
              <w:t xml:space="preserve">.2   What other impacts is this </w:t>
            </w:r>
            <w:r w:rsidR="002D63C9" w:rsidRPr="00886DFF">
              <w:rPr>
                <w:szCs w:val="22"/>
                <w:lang w:val="en-NZ"/>
              </w:rPr>
              <w:t>approach</w:t>
            </w:r>
            <w:r w:rsidR="00C77099" w:rsidRPr="00886DFF">
              <w:rPr>
                <w:szCs w:val="22"/>
                <w:lang w:val="en-NZ"/>
              </w:rPr>
              <w:t xml:space="preserve"> likely to have?</w:t>
            </w:r>
          </w:p>
        </w:tc>
      </w:tr>
      <w:tr w:rsidR="00A552DC" w:rsidRPr="0069218C" w14:paraId="280871FA" w14:textId="77777777" w:rsidTr="00BB4EA2">
        <w:trPr>
          <w:trHeight w:val="2811"/>
        </w:trPr>
        <w:tc>
          <w:tcPr>
            <w:tcW w:w="5000" w:type="pct"/>
            <w:shd w:val="clear" w:color="auto" w:fill="auto"/>
          </w:tcPr>
          <w:p w14:paraId="3D3521C5" w14:textId="427700CA" w:rsidR="000535CE" w:rsidRPr="0069218C" w:rsidRDefault="009C43AE" w:rsidP="00E6054D">
            <w:r>
              <w:t>No other impacts have been identified from the proposed option. Federated Farmers and Chartered Accountants Australia and New Zealand</w:t>
            </w:r>
            <w:r w:rsidR="008E2E39">
              <w:t xml:space="preserve"> (CA ANZ)</w:t>
            </w:r>
            <w:r>
              <w:t xml:space="preserve"> will continue to be consulted on the detailed design of the proposal to ensure there are no unintended impacts.</w:t>
            </w:r>
          </w:p>
          <w:p w14:paraId="3A5D4AB9" w14:textId="77777777" w:rsidR="000535CE" w:rsidRPr="0069218C" w:rsidRDefault="000535CE" w:rsidP="0069218C">
            <w:pPr>
              <w:spacing w:after="0" w:line="276" w:lineRule="auto"/>
              <w:jc w:val="both"/>
              <w:rPr>
                <w:rFonts w:cs="Arial"/>
                <w:szCs w:val="22"/>
              </w:rPr>
            </w:pPr>
          </w:p>
        </w:tc>
      </w:tr>
    </w:tbl>
    <w:p w14:paraId="67094455" w14:textId="77777777" w:rsidR="00B15F56" w:rsidRPr="00886DFF" w:rsidRDefault="00B15F56" w:rsidP="00B15F56">
      <w:pPr>
        <w:spacing w:after="0"/>
        <w:rPr>
          <w:rFonts w:cs="Arial"/>
          <w:i/>
          <w:color w:val="000000"/>
          <w:szCs w:val="22"/>
          <w:lang w:eastAsia="en-AU"/>
        </w:rPr>
      </w:pPr>
    </w:p>
    <w:p w14:paraId="698F59C7" w14:textId="31375EB7" w:rsidR="00051A88" w:rsidRDefault="00051A88" w:rsidP="001B4792">
      <w:pPr>
        <w:pStyle w:val="Heading2"/>
      </w:pPr>
      <w:r w:rsidRPr="002D5734">
        <w:t xml:space="preserve">Section </w:t>
      </w:r>
      <w:r w:rsidR="00C77099">
        <w:t>5</w:t>
      </w:r>
      <w:r w:rsidRPr="002D5734">
        <w:t xml:space="preserve">: Stakeholder views </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051A88" w:rsidRPr="0069218C" w14:paraId="6E11335D" w14:textId="77777777" w:rsidTr="00BB4EA2">
        <w:trPr>
          <w:trHeight w:val="77"/>
        </w:trPr>
        <w:tc>
          <w:tcPr>
            <w:tcW w:w="5000" w:type="pct"/>
            <w:shd w:val="clear" w:color="auto" w:fill="99CDDD"/>
          </w:tcPr>
          <w:p w14:paraId="3B740C86" w14:textId="77777777" w:rsidR="00051A88" w:rsidRPr="00886DFF" w:rsidRDefault="00D9793F" w:rsidP="00EC6FAD">
            <w:pPr>
              <w:pStyle w:val="TableHeadings"/>
              <w:rPr>
                <w:szCs w:val="22"/>
              </w:rPr>
            </w:pPr>
            <w:r w:rsidRPr="00886DFF">
              <w:rPr>
                <w:szCs w:val="22"/>
              </w:rPr>
              <w:t>5</w:t>
            </w:r>
            <w:r w:rsidR="00051A88" w:rsidRPr="00886DFF">
              <w:rPr>
                <w:szCs w:val="22"/>
              </w:rPr>
              <w:t xml:space="preserve">.1   What do stakeholders think about the problem and the proposed solution? </w:t>
            </w:r>
          </w:p>
        </w:tc>
      </w:tr>
      <w:tr w:rsidR="00F132B2" w:rsidRPr="0069218C" w14:paraId="69C0C9E6" w14:textId="77777777" w:rsidTr="00BB4EA2">
        <w:trPr>
          <w:trHeight w:val="5298"/>
        </w:trPr>
        <w:tc>
          <w:tcPr>
            <w:tcW w:w="5000" w:type="pct"/>
            <w:shd w:val="clear" w:color="auto" w:fill="auto"/>
          </w:tcPr>
          <w:p w14:paraId="7554DEFB" w14:textId="63312E3E" w:rsidR="00B47208" w:rsidRDefault="008E2E39" w:rsidP="00E6054D">
            <w:r>
              <w:t>This issue was raised by Federated Farmers in a letter sent to the Minister of Revenue in December 201</w:t>
            </w:r>
            <w:r w:rsidR="00413096">
              <w:t>9</w:t>
            </w:r>
            <w:r>
              <w:t>. Since then officials have worked with Federated Farmers and CA ANZ on developing a solution to the issue.</w:t>
            </w:r>
          </w:p>
          <w:p w14:paraId="75315A27" w14:textId="55C33922" w:rsidR="008E2E39" w:rsidRDefault="008E2E39" w:rsidP="00E6054D">
            <w:r>
              <w:t>Federated Farmers and CA ANZ both consider that an immediate solution is required and support the proposed income spreading option.</w:t>
            </w:r>
          </w:p>
          <w:p w14:paraId="3D739E6D" w14:textId="1634CFEF" w:rsidR="008E2E39" w:rsidRDefault="008E2E39" w:rsidP="00E6054D">
            <w:r w:rsidRPr="008E2E39">
              <w:t xml:space="preserve">Officials, CA ANZ and Federated Farmers have established a working team to work through the </w:t>
            </w:r>
            <w:r>
              <w:t xml:space="preserve">detailed </w:t>
            </w:r>
            <w:r w:rsidRPr="008E2E39">
              <w:t>detail of the</w:t>
            </w:r>
            <w:r>
              <w:t xml:space="preserve"> proposed</w:t>
            </w:r>
            <w:r w:rsidRPr="008E2E39">
              <w:t xml:space="preserve"> spreading option.</w:t>
            </w:r>
          </w:p>
          <w:p w14:paraId="0319C863" w14:textId="57495E10" w:rsidR="004242AB" w:rsidRPr="0069218C" w:rsidRDefault="004242AB" w:rsidP="00E6054D">
            <w:r>
              <w:t xml:space="preserve">Given the urgent timeline for addressing this issue the focus has been on consulting with Federated Farmers and CA ANZ. However, </w:t>
            </w:r>
            <w:r w:rsidR="002159ED">
              <w:t>officials</w:t>
            </w:r>
            <w:r>
              <w:t xml:space="preserve"> will consider whether other groups should </w:t>
            </w:r>
            <w:r w:rsidR="002159ED">
              <w:t xml:space="preserve">also </w:t>
            </w:r>
            <w:r>
              <w:t>be consulted as we work through the detailed design before legislation is introduced and at the select committee stage.</w:t>
            </w:r>
          </w:p>
          <w:p w14:paraId="53FB4632" w14:textId="77777777" w:rsidR="00F132B2" w:rsidRPr="0069218C" w:rsidRDefault="00F132B2" w:rsidP="0069218C">
            <w:pPr>
              <w:spacing w:after="0" w:line="276" w:lineRule="auto"/>
              <w:jc w:val="both"/>
              <w:rPr>
                <w:rFonts w:cs="Arial"/>
                <w:szCs w:val="22"/>
              </w:rPr>
            </w:pPr>
          </w:p>
        </w:tc>
      </w:tr>
    </w:tbl>
    <w:p w14:paraId="240E5F50" w14:textId="508C638A" w:rsidR="00EE4E3B" w:rsidRPr="008A6442" w:rsidRDefault="00D9793F" w:rsidP="001B4792">
      <w:pPr>
        <w:pStyle w:val="Heading2"/>
      </w:pPr>
      <w:r w:rsidRPr="0069218C">
        <w:rPr>
          <w:lang w:val="en-NZ"/>
        </w:rPr>
        <w:br w:type="page"/>
      </w:r>
      <w:r w:rsidR="00EE4E3B" w:rsidRPr="002D5734">
        <w:lastRenderedPageBreak/>
        <w:t xml:space="preserve">Section </w:t>
      </w:r>
      <w:r w:rsidR="0033708B" w:rsidRPr="002D5734">
        <w:t>6</w:t>
      </w:r>
      <w:r w:rsidR="00EE4E3B" w:rsidRPr="002D5734">
        <w:t xml:space="preserve">: </w:t>
      </w:r>
      <w:r w:rsidR="0033708B" w:rsidRPr="002D5734">
        <w:t>Implementation and o</w:t>
      </w:r>
      <w:r w:rsidR="005D5BF0" w:rsidRPr="002D5734">
        <w:t xml:space="preserve">peration </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2D5734" w:rsidRPr="0069218C" w14:paraId="6BF52C29" w14:textId="77777777" w:rsidTr="00BB4EA2">
        <w:trPr>
          <w:trHeight w:val="197"/>
        </w:trPr>
        <w:tc>
          <w:tcPr>
            <w:tcW w:w="9072" w:type="dxa"/>
            <w:shd w:val="clear" w:color="auto" w:fill="99CDDD"/>
            <w:hideMark/>
          </w:tcPr>
          <w:p w14:paraId="566B42F9" w14:textId="77777777" w:rsidR="00EE4E3B" w:rsidRPr="00886DFF" w:rsidRDefault="00EE4E3B" w:rsidP="00B952B7">
            <w:pPr>
              <w:pStyle w:val="TableHeadings"/>
              <w:rPr>
                <w:szCs w:val="22"/>
                <w:lang w:eastAsia="en-AU"/>
              </w:rPr>
            </w:pPr>
            <w:r w:rsidRPr="00886DFF">
              <w:rPr>
                <w:szCs w:val="22"/>
                <w:lang w:eastAsia="en-AU"/>
              </w:rPr>
              <w:br w:type="page"/>
            </w:r>
            <w:r w:rsidR="0033708B" w:rsidRPr="00886DFF">
              <w:rPr>
                <w:szCs w:val="22"/>
                <w:lang w:eastAsia="en-AU"/>
              </w:rPr>
              <w:t>6</w:t>
            </w:r>
            <w:r w:rsidR="002A56F0" w:rsidRPr="00886DFF">
              <w:rPr>
                <w:szCs w:val="22"/>
                <w:lang w:eastAsia="en-AU"/>
              </w:rPr>
              <w:t xml:space="preserve">.1   </w:t>
            </w:r>
            <w:r w:rsidRPr="00886DFF">
              <w:rPr>
                <w:szCs w:val="22"/>
                <w:lang w:eastAsia="en-AU"/>
              </w:rPr>
              <w:t xml:space="preserve">How will the new arrangements </w:t>
            </w:r>
            <w:r w:rsidR="00217894" w:rsidRPr="00886DFF">
              <w:rPr>
                <w:szCs w:val="22"/>
                <w:lang w:eastAsia="en-AU"/>
              </w:rPr>
              <w:t>be given effect</w:t>
            </w:r>
            <w:r w:rsidRPr="00886DFF">
              <w:rPr>
                <w:szCs w:val="22"/>
                <w:lang w:eastAsia="en-AU"/>
              </w:rPr>
              <w:t>?</w:t>
            </w:r>
          </w:p>
        </w:tc>
      </w:tr>
      <w:tr w:rsidR="00F132B2" w:rsidRPr="0069218C" w14:paraId="2D716B3F" w14:textId="77777777" w:rsidTr="00096726">
        <w:trPr>
          <w:trHeight w:val="6240"/>
        </w:trPr>
        <w:tc>
          <w:tcPr>
            <w:tcW w:w="9072" w:type="dxa"/>
            <w:shd w:val="clear" w:color="auto" w:fill="auto"/>
          </w:tcPr>
          <w:p w14:paraId="25453D5B" w14:textId="6286A1C7" w:rsidR="00F132B2" w:rsidRDefault="00BD5C9F" w:rsidP="0069218C">
            <w:pPr>
              <w:spacing w:after="0" w:line="276" w:lineRule="auto"/>
              <w:jc w:val="both"/>
              <w:rPr>
                <w:rFonts w:cs="Arial"/>
                <w:szCs w:val="22"/>
              </w:rPr>
            </w:pPr>
            <w:r>
              <w:rPr>
                <w:rFonts w:cs="Arial"/>
                <w:szCs w:val="22"/>
              </w:rPr>
              <w:t>The proposal will require amendments to the Income Tax Act 2007. These amendments would be included in a Supplementary Order Paper</w:t>
            </w:r>
            <w:r w:rsidR="00B24118">
              <w:rPr>
                <w:rFonts w:cs="Arial"/>
                <w:szCs w:val="22"/>
              </w:rPr>
              <w:t xml:space="preserve"> (SOP)</w:t>
            </w:r>
            <w:r>
              <w:rPr>
                <w:rFonts w:cs="Arial"/>
                <w:szCs w:val="22"/>
              </w:rPr>
              <w:t xml:space="preserve"> to an omnibus taxation Bill scheduled to be introduced in April 2020</w:t>
            </w:r>
            <w:r w:rsidR="00D23068">
              <w:rPr>
                <w:rFonts w:cs="Arial"/>
                <w:szCs w:val="22"/>
              </w:rPr>
              <w:t xml:space="preserve">.  The SOP would be </w:t>
            </w:r>
            <w:r w:rsidR="002159ED">
              <w:rPr>
                <w:rFonts w:cs="Arial"/>
                <w:szCs w:val="22"/>
              </w:rPr>
              <w:t xml:space="preserve">released </w:t>
            </w:r>
            <w:r w:rsidR="001E559F">
              <w:rPr>
                <w:rFonts w:cs="Arial"/>
                <w:szCs w:val="22"/>
              </w:rPr>
              <w:t>at the F</w:t>
            </w:r>
            <w:r w:rsidR="00EE40BF">
              <w:rPr>
                <w:rFonts w:cs="Arial"/>
                <w:szCs w:val="22"/>
              </w:rPr>
              <w:t xml:space="preserve">inance and </w:t>
            </w:r>
            <w:r w:rsidR="001E559F">
              <w:rPr>
                <w:rFonts w:cs="Arial"/>
                <w:szCs w:val="22"/>
              </w:rPr>
              <w:t>E</w:t>
            </w:r>
            <w:r w:rsidR="00EE40BF">
              <w:rPr>
                <w:rFonts w:cs="Arial"/>
                <w:szCs w:val="22"/>
              </w:rPr>
              <w:t xml:space="preserve">xpenditure </w:t>
            </w:r>
            <w:r w:rsidR="001E559F">
              <w:rPr>
                <w:rFonts w:cs="Arial"/>
                <w:szCs w:val="22"/>
              </w:rPr>
              <w:t>C</w:t>
            </w:r>
            <w:r w:rsidR="000A3857">
              <w:rPr>
                <w:rFonts w:cs="Arial"/>
                <w:szCs w:val="22"/>
              </w:rPr>
              <w:t>ommittee</w:t>
            </w:r>
            <w:r w:rsidR="001E559F">
              <w:rPr>
                <w:rFonts w:cs="Arial"/>
                <w:szCs w:val="22"/>
              </w:rPr>
              <w:t xml:space="preserve"> stage </w:t>
            </w:r>
            <w:r w:rsidR="003564A8">
              <w:rPr>
                <w:rFonts w:cs="Arial"/>
                <w:szCs w:val="22"/>
              </w:rPr>
              <w:t>in time for submissions</w:t>
            </w:r>
            <w:r w:rsidR="00B24118">
              <w:rPr>
                <w:rFonts w:cs="Arial"/>
                <w:szCs w:val="22"/>
              </w:rPr>
              <w:t xml:space="preserve"> to be made on the proposed amendments</w:t>
            </w:r>
            <w:r>
              <w:rPr>
                <w:rFonts w:cs="Arial"/>
                <w:szCs w:val="22"/>
              </w:rPr>
              <w:t>.</w:t>
            </w:r>
            <w:r w:rsidR="008E2E39">
              <w:rPr>
                <w:rFonts w:cs="Arial"/>
                <w:szCs w:val="22"/>
              </w:rPr>
              <w:t xml:space="preserve"> </w:t>
            </w:r>
            <w:r w:rsidR="00331DDB">
              <w:rPr>
                <w:rFonts w:cs="Arial"/>
                <w:szCs w:val="22"/>
              </w:rPr>
              <w:t>Guidance material will be published on the amendments following the Bill’s enactment.</w:t>
            </w:r>
          </w:p>
          <w:p w14:paraId="43E1B9A7" w14:textId="47681433" w:rsidR="00BD5C9F" w:rsidRDefault="00BD5C9F" w:rsidP="0069218C">
            <w:pPr>
              <w:spacing w:after="0" w:line="276" w:lineRule="auto"/>
              <w:jc w:val="both"/>
              <w:rPr>
                <w:rFonts w:cs="Arial"/>
                <w:szCs w:val="22"/>
              </w:rPr>
            </w:pPr>
          </w:p>
          <w:p w14:paraId="7EDBB57A" w14:textId="6932655C" w:rsidR="00BD5C9F" w:rsidRDefault="00BD5C9F" w:rsidP="0069218C">
            <w:pPr>
              <w:spacing w:after="0" w:line="276" w:lineRule="auto"/>
              <w:jc w:val="both"/>
              <w:rPr>
                <w:rFonts w:cs="Arial"/>
                <w:szCs w:val="22"/>
              </w:rPr>
            </w:pPr>
            <w:r>
              <w:rPr>
                <w:rFonts w:cs="Arial"/>
                <w:szCs w:val="22"/>
              </w:rPr>
              <w:t xml:space="preserve">Following </w:t>
            </w:r>
            <w:r w:rsidR="00331DDB">
              <w:rPr>
                <w:rFonts w:cs="Arial"/>
                <w:szCs w:val="22"/>
              </w:rPr>
              <w:t xml:space="preserve">Cabinet approving the proposed option the Minister of Revenue will issue a press release advising of Cabinet’s decision and the process for affected 2018/19 returns due by 31 March 2020. </w:t>
            </w:r>
            <w:r w:rsidR="008E2E39" w:rsidRPr="00473E0F">
              <w:rPr>
                <w:szCs w:val="23"/>
                <w:lang w:eastAsia="en-NZ"/>
              </w:rPr>
              <w:t xml:space="preserve">This will help to provide </w:t>
            </w:r>
            <w:r w:rsidR="00EF088E">
              <w:rPr>
                <w:szCs w:val="23"/>
                <w:lang w:eastAsia="en-NZ"/>
              </w:rPr>
              <w:t xml:space="preserve">certainty for </w:t>
            </w:r>
            <w:r w:rsidR="008E2E39" w:rsidRPr="00473E0F">
              <w:rPr>
                <w:szCs w:val="23"/>
                <w:lang w:eastAsia="en-NZ"/>
              </w:rPr>
              <w:t>farmers and their tax advisers.</w:t>
            </w:r>
            <w:r w:rsidR="008E2E39">
              <w:rPr>
                <w:szCs w:val="23"/>
                <w:lang w:eastAsia="en-NZ"/>
              </w:rPr>
              <w:t xml:space="preserve"> </w:t>
            </w:r>
          </w:p>
          <w:p w14:paraId="13A4383F" w14:textId="77777777" w:rsidR="00EE40BF" w:rsidRPr="008E2E39" w:rsidRDefault="00EE40BF" w:rsidP="00EE40BF">
            <w:pPr>
              <w:spacing w:before="240"/>
              <w:rPr>
                <w:i/>
                <w:iCs/>
              </w:rPr>
            </w:pPr>
            <w:r w:rsidRPr="008E2E39">
              <w:rPr>
                <w:i/>
                <w:iCs/>
              </w:rPr>
              <w:t>Already filed returns</w:t>
            </w:r>
          </w:p>
          <w:p w14:paraId="1E0E92EB" w14:textId="77777777" w:rsidR="00EE40BF" w:rsidRDefault="00EE40BF" w:rsidP="00EE40BF">
            <w:pPr>
              <w:spacing w:before="240"/>
            </w:pPr>
            <w:r w:rsidRPr="008E2E39">
              <w:t xml:space="preserve">Although the bulk of the impact to date will be in relation to 2018/19 income tax, </w:t>
            </w:r>
            <w:r>
              <w:t xml:space="preserve">as the culls began in late 2017, this option would </w:t>
            </w:r>
            <w:r w:rsidRPr="008E2E39">
              <w:t xml:space="preserve">be backdated to include the effects </w:t>
            </w:r>
            <w:r>
              <w:t>of the cull in</w:t>
            </w:r>
            <w:r w:rsidRPr="008E2E39">
              <w:t xml:space="preserve"> the 2017/18 income year</w:t>
            </w:r>
            <w:r>
              <w:t xml:space="preserve">. Affected farmers who have already filed returns for 2017/18 or 2018/19 would have the option of applying the spread retrospectively and having their returns reassessed. However, some may instead choose to </w:t>
            </w:r>
            <w:r w:rsidRPr="008E2E39">
              <w:t>leav</w:t>
            </w:r>
            <w:r>
              <w:t>e</w:t>
            </w:r>
            <w:r w:rsidRPr="008E2E39">
              <w:t xml:space="preserve"> the</w:t>
            </w:r>
            <w:r>
              <w:t>ir returns</w:t>
            </w:r>
            <w:r w:rsidRPr="008E2E39">
              <w:t xml:space="preserve"> as is as there may be some impact on farmers social assistance entitlements and liabilities if the additional income is now spread.</w:t>
            </w:r>
            <w:r>
              <w:t xml:space="preserve">  For this to be effective, the Commissioner of Inland Revenue will have to be allowed to make associated adjustments to the farmers’ tax positions.   </w:t>
            </w:r>
          </w:p>
          <w:p w14:paraId="21A0B5F6" w14:textId="45FA56E9" w:rsidR="00EE40BF" w:rsidRPr="0069218C" w:rsidRDefault="00EE40BF" w:rsidP="0069218C">
            <w:pPr>
              <w:spacing w:after="0" w:line="276" w:lineRule="auto"/>
              <w:jc w:val="both"/>
              <w:rPr>
                <w:rFonts w:cs="Arial"/>
                <w:szCs w:val="22"/>
              </w:rPr>
            </w:pPr>
          </w:p>
        </w:tc>
      </w:tr>
    </w:tbl>
    <w:p w14:paraId="2F641A92" w14:textId="77777777" w:rsidR="00096726" w:rsidRDefault="00096726" w:rsidP="001B4792">
      <w:pPr>
        <w:pStyle w:val="Heading2"/>
      </w:pPr>
    </w:p>
    <w:p w14:paraId="732C114C" w14:textId="1CEF9CEE" w:rsidR="00F132B2" w:rsidRPr="008A6442" w:rsidRDefault="00F132B2" w:rsidP="001B4792">
      <w:pPr>
        <w:pStyle w:val="Heading2"/>
      </w:pPr>
      <w:r w:rsidRPr="00B952B7">
        <w:t xml:space="preserve">Section 7: Monitoring, </w:t>
      </w:r>
      <w:proofErr w:type="gramStart"/>
      <w:r w:rsidRPr="00030EC1">
        <w:t>evalu</w:t>
      </w:r>
      <w:r w:rsidRPr="00B952B7">
        <w:t>ation</w:t>
      </w:r>
      <w:proofErr w:type="gramEnd"/>
      <w:r w:rsidRPr="00B952B7">
        <w:t xml:space="preserve"> and review</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F132B2" w:rsidRPr="0069218C" w14:paraId="346AC98F" w14:textId="77777777" w:rsidTr="00BB4EA2">
        <w:trPr>
          <w:trHeight w:val="77"/>
        </w:trPr>
        <w:tc>
          <w:tcPr>
            <w:tcW w:w="9072" w:type="dxa"/>
            <w:shd w:val="clear" w:color="auto" w:fill="99CDDD"/>
          </w:tcPr>
          <w:p w14:paraId="7CA08066" w14:textId="77777777" w:rsidR="00F132B2" w:rsidRPr="00886DFF" w:rsidRDefault="00F132B2" w:rsidP="00B952B7">
            <w:pPr>
              <w:pStyle w:val="TableHeadings"/>
              <w:rPr>
                <w:szCs w:val="22"/>
                <w:lang w:eastAsia="en-AU"/>
              </w:rPr>
            </w:pPr>
            <w:r w:rsidRPr="00886DFF">
              <w:rPr>
                <w:szCs w:val="22"/>
                <w:lang w:eastAsia="en-AU"/>
              </w:rPr>
              <w:br w:type="page"/>
              <w:t>7.1   How will the impact of the new arrangements be monitored?</w:t>
            </w:r>
          </w:p>
        </w:tc>
      </w:tr>
      <w:tr w:rsidR="00F132B2" w:rsidRPr="0069218C" w14:paraId="36694C7F" w14:textId="77777777" w:rsidTr="00BB4EA2">
        <w:trPr>
          <w:trHeight w:val="2936"/>
        </w:trPr>
        <w:tc>
          <w:tcPr>
            <w:tcW w:w="9072" w:type="dxa"/>
            <w:shd w:val="clear" w:color="auto" w:fill="auto"/>
          </w:tcPr>
          <w:p w14:paraId="0953A4CE" w14:textId="70C7E693" w:rsidR="008E2E39" w:rsidRDefault="008E2E39" w:rsidP="00E6054D">
            <w:r>
              <w:t xml:space="preserve">Inland Revenue will monitor the outcomes to confirm that they match the policy objectives. </w:t>
            </w:r>
            <w:r w:rsidR="00AE0E41">
              <w:t xml:space="preserve">This will be facilitated by farmers </w:t>
            </w:r>
            <w:r w:rsidR="000A3857">
              <w:t xml:space="preserve">who </w:t>
            </w:r>
            <w:r w:rsidR="00304F1A">
              <w:t>choose to spread their additional income being required to advise Inland Revenue of their intention to do so.</w:t>
            </w:r>
          </w:p>
          <w:p w14:paraId="640C4539" w14:textId="4C110BDF" w:rsidR="00F132B2" w:rsidRPr="0069218C" w:rsidRDefault="008E2E39" w:rsidP="00E6054D">
            <w:r>
              <w:t>The proposed option has been developed alongside Federated Farmers and CA ANZ. Officials expect that, once the proposals are enacted, these two groups will raise any concerns affected farmers are having with the rules in practice. Any necessary changes identified as a result would be recommended for addition to the Government’s tax policy work programme.</w:t>
            </w:r>
          </w:p>
          <w:p w14:paraId="45C87625" w14:textId="77777777" w:rsidR="00F132B2" w:rsidRPr="0069218C" w:rsidRDefault="00F132B2" w:rsidP="00B47208">
            <w:pPr>
              <w:spacing w:after="0" w:line="276" w:lineRule="auto"/>
              <w:jc w:val="both"/>
              <w:rPr>
                <w:rFonts w:cs="Arial"/>
                <w:szCs w:val="22"/>
              </w:rPr>
            </w:pPr>
          </w:p>
        </w:tc>
      </w:tr>
    </w:tbl>
    <w:p w14:paraId="00A882ED" w14:textId="77777777" w:rsidR="00F132B2" w:rsidRPr="00567434" w:rsidRDefault="00F132B2" w:rsidP="00567434">
      <w:pPr>
        <w:pStyle w:val="space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F132B2" w:rsidRPr="0069218C" w14:paraId="0CCE54F4" w14:textId="77777777" w:rsidTr="00BB4EA2">
        <w:trPr>
          <w:trHeight w:val="77"/>
        </w:trPr>
        <w:tc>
          <w:tcPr>
            <w:tcW w:w="9072" w:type="dxa"/>
            <w:shd w:val="clear" w:color="auto" w:fill="99CDDD"/>
          </w:tcPr>
          <w:p w14:paraId="5BB368F5" w14:textId="77777777" w:rsidR="00F132B2" w:rsidRPr="00886DFF" w:rsidRDefault="00F132B2" w:rsidP="00EC3D8D">
            <w:pPr>
              <w:pStyle w:val="TableHeadings"/>
              <w:keepNext/>
              <w:rPr>
                <w:szCs w:val="22"/>
                <w:lang w:eastAsia="en-AU"/>
              </w:rPr>
            </w:pPr>
            <w:r w:rsidRPr="00886DFF">
              <w:rPr>
                <w:szCs w:val="22"/>
                <w:lang w:eastAsia="en-AU"/>
              </w:rPr>
              <w:br w:type="page"/>
              <w:t xml:space="preserve">7.2   When and how will the new arrangements be reviewed? </w:t>
            </w:r>
          </w:p>
        </w:tc>
      </w:tr>
      <w:tr w:rsidR="00F132B2" w:rsidRPr="0069218C" w14:paraId="687FE238" w14:textId="77777777" w:rsidTr="00096726">
        <w:trPr>
          <w:trHeight w:val="903"/>
        </w:trPr>
        <w:tc>
          <w:tcPr>
            <w:tcW w:w="9072" w:type="dxa"/>
            <w:shd w:val="clear" w:color="auto" w:fill="auto"/>
          </w:tcPr>
          <w:p w14:paraId="3DCDF54C" w14:textId="6779D89F" w:rsidR="00F132B2" w:rsidRPr="0069218C" w:rsidRDefault="008E2E39" w:rsidP="00E6054D">
            <w:r>
              <w:t>The review will be the monitoring described in section 7.1 above.</w:t>
            </w:r>
          </w:p>
          <w:p w14:paraId="214829FF" w14:textId="77777777" w:rsidR="00F132B2" w:rsidRPr="0069218C" w:rsidRDefault="00F132B2" w:rsidP="0069218C">
            <w:pPr>
              <w:spacing w:after="0" w:line="276" w:lineRule="auto"/>
              <w:jc w:val="both"/>
              <w:rPr>
                <w:rFonts w:cs="Arial"/>
                <w:szCs w:val="22"/>
              </w:rPr>
            </w:pPr>
          </w:p>
        </w:tc>
      </w:tr>
    </w:tbl>
    <w:p w14:paraId="0D165C3B" w14:textId="77777777" w:rsidR="00C2708A" w:rsidRPr="00B47208" w:rsidRDefault="00C2708A" w:rsidP="00B47208">
      <w:pPr>
        <w:pStyle w:val="spacer"/>
      </w:pPr>
    </w:p>
    <w:sectPr w:rsidR="00C2708A" w:rsidRPr="00B47208" w:rsidSect="00B952B7">
      <w:headerReference w:type="default" r:id="rId7"/>
      <w:footerReference w:type="default" r:id="rId8"/>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3D833" w14:textId="77777777" w:rsidR="0067241E" w:rsidRDefault="0067241E">
      <w:pPr>
        <w:spacing w:after="0" w:line="240" w:lineRule="auto"/>
      </w:pPr>
      <w:r>
        <w:separator/>
      </w:r>
    </w:p>
  </w:endnote>
  <w:endnote w:type="continuationSeparator" w:id="0">
    <w:p w14:paraId="649AB0D1" w14:textId="77777777" w:rsidR="0067241E" w:rsidRDefault="0067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9442" w14:textId="622E1525" w:rsidR="00784C66" w:rsidRPr="00957BC2" w:rsidRDefault="009A2624" w:rsidP="002127DC">
    <w:pPr>
      <w:pStyle w:val="Footer"/>
    </w:pPr>
    <w:r>
      <w:rPr>
        <w:sz w:val="14"/>
      </w:rPr>
      <mc:AlternateContent>
        <mc:Choice Requires="wps">
          <w:drawing>
            <wp:anchor distT="0" distB="0" distL="114300" distR="114300" simplePos="0" relativeHeight="251659264" behindDoc="0" locked="0" layoutInCell="0" allowOverlap="1" wp14:anchorId="7025B5B4" wp14:editId="227A11DF">
              <wp:simplePos x="0" y="0"/>
              <wp:positionH relativeFrom="page">
                <wp:posOffset>0</wp:posOffset>
              </wp:positionH>
              <wp:positionV relativeFrom="page">
                <wp:posOffset>10234930</wp:posOffset>
              </wp:positionV>
              <wp:extent cx="7560310" cy="266700"/>
              <wp:effectExtent l="0" t="0" r="0" b="0"/>
              <wp:wrapNone/>
              <wp:docPr id="1" name="MSIPCM934d43f88345ed85bf67d7cd"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F33B7A" w14:textId="0DF1A348" w:rsidR="009A2624" w:rsidRPr="009A2624" w:rsidRDefault="009A2624" w:rsidP="009A2624">
                          <w:pPr>
                            <w:spacing w:after="0"/>
                            <w:jc w:val="center"/>
                            <w:rPr>
                              <w:rFonts w:ascii="Verdana" w:hAnsi="Verdana"/>
                              <w:color w:val="000000"/>
                              <w:sz w:val="20"/>
                            </w:rPr>
                          </w:pPr>
                          <w:r w:rsidRPr="009A2624">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25B5B4" id="_x0000_t202" coordsize="21600,21600" o:spt="202" path="m,l,21600r21600,l21600,xe">
              <v:stroke joinstyle="miter"/>
              <v:path gradientshapeok="t" o:connecttype="rect"/>
            </v:shapetype>
            <v:shape id="MSIPCM934d43f88345ed85bf67d7cd"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PyFoO4ZAwAANQYAAA4AAAAAAAAAAAAA&#10;AAAALgIAAGRycy9lMm9Eb2MueG1sUEsBAi0AFAAGAAgAAAAhAIOyjyvfAAAACwEAAA8AAAAAAAAA&#10;AAAAAAAAcwUAAGRycy9kb3ducmV2LnhtbFBLBQYAAAAABAAEAPMAAAB/BgAAAAA=&#10;" o:allowincell="f" filled="f" stroked="f" strokeweight=".5pt">
              <v:textbox inset=",0,,0">
                <w:txbxContent>
                  <w:p w14:paraId="65F33B7A" w14:textId="0DF1A348" w:rsidR="009A2624" w:rsidRPr="009A2624" w:rsidRDefault="009A2624" w:rsidP="009A2624">
                    <w:pPr>
                      <w:spacing w:after="0"/>
                      <w:jc w:val="center"/>
                      <w:rPr>
                        <w:rFonts w:ascii="Verdana" w:hAnsi="Verdana"/>
                        <w:color w:val="000000"/>
                        <w:sz w:val="20"/>
                      </w:rPr>
                    </w:pPr>
                    <w:r w:rsidRPr="009A2624">
                      <w:rPr>
                        <w:rFonts w:ascii="Verdana" w:hAnsi="Verdana"/>
                        <w:color w:val="000000"/>
                        <w:sz w:val="20"/>
                      </w:rPr>
                      <w:t>IN CONFIDENCE</w:t>
                    </w:r>
                  </w:p>
                </w:txbxContent>
              </v:textbox>
              <w10:wrap anchorx="page" anchory="page"/>
            </v:shape>
          </w:pict>
        </mc:Fallback>
      </mc:AlternateContent>
    </w:r>
    <w:r w:rsidR="002127DC">
      <w:rPr>
        <w:sz w:val="14"/>
      </w:rPr>
      <w:tab/>
    </w:r>
    <w:r w:rsidR="00957BC2" w:rsidRPr="00957BC2">
      <w:t xml:space="preserve">  Impact Summary</w:t>
    </w:r>
    <w:r w:rsidR="00786508">
      <w:t>: Mycoplasma bovis tax issue</w:t>
    </w:r>
    <w:r w:rsidR="00957BC2" w:rsidRPr="00957BC2">
      <w:t xml:space="preserve">  </w:t>
    </w:r>
    <w:r w:rsidR="00380585" w:rsidRPr="00957BC2">
      <w:t xml:space="preserve">|   </w:t>
    </w:r>
    <w:r w:rsidR="00380585" w:rsidRPr="00957BC2">
      <w:fldChar w:fldCharType="begin"/>
    </w:r>
    <w:r w:rsidR="00380585" w:rsidRPr="00957BC2">
      <w:instrText xml:space="preserve"> PAGE </w:instrText>
    </w:r>
    <w:r w:rsidR="00380585" w:rsidRPr="00957BC2">
      <w:fldChar w:fldCharType="separate"/>
    </w:r>
    <w:r w:rsidR="008A44AF">
      <w:t>1</w:t>
    </w:r>
    <w:r w:rsidR="00380585" w:rsidRPr="00957B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8AE03" w14:textId="77777777" w:rsidR="0067241E" w:rsidRDefault="0067241E">
      <w:pPr>
        <w:spacing w:after="0" w:line="240" w:lineRule="auto"/>
      </w:pPr>
      <w:r>
        <w:separator/>
      </w:r>
    </w:p>
  </w:footnote>
  <w:footnote w:type="continuationSeparator" w:id="0">
    <w:p w14:paraId="2F93E1A5" w14:textId="77777777" w:rsidR="0067241E" w:rsidRDefault="0067241E">
      <w:pPr>
        <w:spacing w:after="0" w:line="240" w:lineRule="auto"/>
      </w:pPr>
      <w:r>
        <w:continuationSeparator/>
      </w:r>
    </w:p>
  </w:footnote>
  <w:footnote w:id="1">
    <w:p w14:paraId="5682F7E1" w14:textId="3ABBDEAB" w:rsidR="0084487A" w:rsidRPr="00096726" w:rsidRDefault="0084487A">
      <w:pPr>
        <w:pStyle w:val="FootnoteText"/>
        <w:rPr>
          <w:lang w:val="en-NZ"/>
        </w:rPr>
      </w:pPr>
      <w:r>
        <w:rPr>
          <w:rStyle w:val="FootnoteReference"/>
        </w:rPr>
        <w:footnoteRef/>
      </w:r>
      <w:r>
        <w:t xml:space="preserve"> </w:t>
      </w:r>
      <w:r>
        <w:rPr>
          <w:lang w:val="en-NZ"/>
        </w:rPr>
        <w:t>Fattening operations involve the growing of animals for meat. Such operations have much quicker turnover of stock than breeding operations as the stock will be slaughtered within 1-2 years. Conversely, breeding operations involve the rearing of animals for the ultimate replacement of existing herd animals and the sale of any excess. The quicker turnover of stock for fattening operations means the tax issue discussed in this impact summary is less significant for fattening operations.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C9DBC" w14:textId="77777777" w:rsidR="00784C66" w:rsidRPr="00EB1B21" w:rsidRDefault="002F57C1" w:rsidP="00784C66">
    <w:pPr>
      <w:tabs>
        <w:tab w:val="center" w:pos="4253"/>
      </w:tabs>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4CF5"/>
    <w:multiLevelType w:val="hybridMultilevel"/>
    <w:tmpl w:val="0E46E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003E76"/>
    <w:multiLevelType w:val="hybridMultilevel"/>
    <w:tmpl w:val="DC3686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547D14"/>
    <w:multiLevelType w:val="hybridMultilevel"/>
    <w:tmpl w:val="7AC2E76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15:restartNumberingAfterBreak="0">
    <w:nsid w:val="12602368"/>
    <w:multiLevelType w:val="multilevel"/>
    <w:tmpl w:val="FD844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C65AC"/>
    <w:multiLevelType w:val="multilevel"/>
    <w:tmpl w:val="70C24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AC192D"/>
    <w:multiLevelType w:val="hybridMultilevel"/>
    <w:tmpl w:val="2062B30A"/>
    <w:lvl w:ilvl="0" w:tplc="14090009">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2AB3A99"/>
    <w:multiLevelType w:val="multilevel"/>
    <w:tmpl w:val="6C8A7E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4FB71AB"/>
    <w:multiLevelType w:val="hybridMultilevel"/>
    <w:tmpl w:val="020833A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8" w15:restartNumberingAfterBreak="0">
    <w:nsid w:val="25684844"/>
    <w:multiLevelType w:val="multilevel"/>
    <w:tmpl w:val="4F90C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4922E4"/>
    <w:multiLevelType w:val="hybridMultilevel"/>
    <w:tmpl w:val="C526F7AE"/>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0917202"/>
    <w:multiLevelType w:val="hybridMultilevel"/>
    <w:tmpl w:val="F6DC1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0EB632A"/>
    <w:multiLevelType w:val="hybridMultilevel"/>
    <w:tmpl w:val="A3686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33DF230B"/>
    <w:multiLevelType w:val="hybridMultilevel"/>
    <w:tmpl w:val="466C1FA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8DE5A8D"/>
    <w:multiLevelType w:val="hybridMultilevel"/>
    <w:tmpl w:val="474CBF86"/>
    <w:lvl w:ilvl="0" w:tplc="0EBA6BEA">
      <w:start w:val="1"/>
      <w:numFmt w:val="bullet"/>
      <w:pStyle w:val="Bullet-list"/>
      <w:lvlText w:val=""/>
      <w:lvlJc w:val="left"/>
      <w:pPr>
        <w:ind w:left="360" w:hanging="360"/>
      </w:pPr>
      <w:rPr>
        <w:rFonts w:ascii="Symbol" w:hAnsi="Symbol" w:hint="default"/>
      </w:rPr>
    </w:lvl>
    <w:lvl w:ilvl="1" w:tplc="1409000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9DA29B4"/>
    <w:multiLevelType w:val="hybridMultilevel"/>
    <w:tmpl w:val="14F0B1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84670BC"/>
    <w:multiLevelType w:val="hybridMultilevel"/>
    <w:tmpl w:val="38E07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493D677C"/>
    <w:multiLevelType w:val="multilevel"/>
    <w:tmpl w:val="EB76AB1A"/>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26367A"/>
    <w:multiLevelType w:val="hybridMultilevel"/>
    <w:tmpl w:val="54B63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B8A3236"/>
    <w:multiLevelType w:val="hybridMultilevel"/>
    <w:tmpl w:val="03D66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CA63506"/>
    <w:multiLevelType w:val="multilevel"/>
    <w:tmpl w:val="BEE28C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0CD02AE"/>
    <w:multiLevelType w:val="hybridMultilevel"/>
    <w:tmpl w:val="11568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3" w15:restartNumberingAfterBreak="0">
    <w:nsid w:val="55295F22"/>
    <w:multiLevelType w:val="hybridMultilevel"/>
    <w:tmpl w:val="E610A99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4"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8B54D4"/>
    <w:multiLevelType w:val="multilevel"/>
    <w:tmpl w:val="186C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6E6A59"/>
    <w:multiLevelType w:val="hybridMultilevel"/>
    <w:tmpl w:val="711A8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1717CA6"/>
    <w:multiLevelType w:val="hybridMultilevel"/>
    <w:tmpl w:val="A240DEF8"/>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3993153"/>
    <w:multiLevelType w:val="multilevel"/>
    <w:tmpl w:val="494697A6"/>
    <w:lvl w:ilvl="0">
      <w:start w:val="1"/>
      <w:numFmt w:val="decimal"/>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29" w15:restartNumberingAfterBreak="0">
    <w:nsid w:val="66517777"/>
    <w:multiLevelType w:val="hybridMultilevel"/>
    <w:tmpl w:val="D5189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8A373D6"/>
    <w:multiLevelType w:val="hybridMultilevel"/>
    <w:tmpl w:val="7998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92E48CD"/>
    <w:multiLevelType w:val="hybridMultilevel"/>
    <w:tmpl w:val="6524A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A6E501E"/>
    <w:multiLevelType w:val="hybridMultilevel"/>
    <w:tmpl w:val="89DA14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2F9179D"/>
    <w:multiLevelType w:val="hybridMultilevel"/>
    <w:tmpl w:val="0E5067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32"/>
  </w:num>
  <w:num w:numId="4">
    <w:abstractNumId w:val="11"/>
  </w:num>
  <w:num w:numId="5">
    <w:abstractNumId w:val="33"/>
  </w:num>
  <w:num w:numId="6">
    <w:abstractNumId w:val="27"/>
  </w:num>
  <w:num w:numId="7">
    <w:abstractNumId w:val="9"/>
  </w:num>
  <w:num w:numId="8">
    <w:abstractNumId w:val="14"/>
  </w:num>
  <w:num w:numId="9">
    <w:abstractNumId w:val="6"/>
  </w:num>
  <w:num w:numId="10">
    <w:abstractNumId w:val="20"/>
  </w:num>
  <w:num w:numId="11">
    <w:abstractNumId w:val="25"/>
  </w:num>
  <w:num w:numId="12">
    <w:abstractNumId w:val="4"/>
  </w:num>
  <w:num w:numId="13">
    <w:abstractNumId w:val="8"/>
  </w:num>
  <w:num w:numId="14">
    <w:abstractNumId w:val="15"/>
  </w:num>
  <w:num w:numId="15">
    <w:abstractNumId w:val="12"/>
  </w:num>
  <w:num w:numId="16">
    <w:abstractNumId w:val="5"/>
  </w:num>
  <w:num w:numId="17">
    <w:abstractNumId w:val="31"/>
  </w:num>
  <w:num w:numId="18">
    <w:abstractNumId w:val="2"/>
  </w:num>
  <w:num w:numId="19">
    <w:abstractNumId w:val="16"/>
  </w:num>
  <w:num w:numId="20">
    <w:abstractNumId w:val="30"/>
  </w:num>
  <w:num w:numId="21">
    <w:abstractNumId w:val="23"/>
  </w:num>
  <w:num w:numId="22">
    <w:abstractNumId w:val="7"/>
  </w:num>
  <w:num w:numId="23">
    <w:abstractNumId w:val="29"/>
  </w:num>
  <w:num w:numId="24">
    <w:abstractNumId w:val="26"/>
  </w:num>
  <w:num w:numId="25">
    <w:abstractNumId w:val="0"/>
  </w:num>
  <w:num w:numId="26">
    <w:abstractNumId w:val="17"/>
  </w:num>
  <w:num w:numId="27">
    <w:abstractNumId w:val="21"/>
  </w:num>
  <w:num w:numId="28">
    <w:abstractNumId w:val="2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22"/>
  </w:num>
  <w:num w:numId="36">
    <w:abstractNumId w:val="13"/>
  </w:num>
  <w:num w:numId="37">
    <w:abstractNumId w:val="3"/>
  </w:num>
  <w:num w:numId="38">
    <w:abstractNumId w:val="10"/>
  </w:num>
  <w:num w:numId="39">
    <w:abstractNumId w:val="1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A5"/>
    <w:rsid w:val="00000C29"/>
    <w:rsid w:val="00012718"/>
    <w:rsid w:val="0001610A"/>
    <w:rsid w:val="000265B4"/>
    <w:rsid w:val="00030EC1"/>
    <w:rsid w:val="0003500F"/>
    <w:rsid w:val="00035A36"/>
    <w:rsid w:val="0004466B"/>
    <w:rsid w:val="000463AD"/>
    <w:rsid w:val="000503F4"/>
    <w:rsid w:val="00051A88"/>
    <w:rsid w:val="00052619"/>
    <w:rsid w:val="000535CE"/>
    <w:rsid w:val="00056353"/>
    <w:rsid w:val="00060ABF"/>
    <w:rsid w:val="00067CD1"/>
    <w:rsid w:val="00082B07"/>
    <w:rsid w:val="0009009A"/>
    <w:rsid w:val="000917DB"/>
    <w:rsid w:val="0009467F"/>
    <w:rsid w:val="00096726"/>
    <w:rsid w:val="00097307"/>
    <w:rsid w:val="000A3146"/>
    <w:rsid w:val="000A3857"/>
    <w:rsid w:val="000A4841"/>
    <w:rsid w:val="000B6413"/>
    <w:rsid w:val="000C3197"/>
    <w:rsid w:val="000C529D"/>
    <w:rsid w:val="000D13AA"/>
    <w:rsid w:val="000E180F"/>
    <w:rsid w:val="000F2317"/>
    <w:rsid w:val="00100007"/>
    <w:rsid w:val="001041AA"/>
    <w:rsid w:val="0012654D"/>
    <w:rsid w:val="0012656A"/>
    <w:rsid w:val="001342B2"/>
    <w:rsid w:val="0014120C"/>
    <w:rsid w:val="00144191"/>
    <w:rsid w:val="001624D2"/>
    <w:rsid w:val="00172CAE"/>
    <w:rsid w:val="001737A0"/>
    <w:rsid w:val="00176E0B"/>
    <w:rsid w:val="00183A2B"/>
    <w:rsid w:val="00190453"/>
    <w:rsid w:val="00194798"/>
    <w:rsid w:val="001B3E1F"/>
    <w:rsid w:val="001B4792"/>
    <w:rsid w:val="001D200F"/>
    <w:rsid w:val="001D42AA"/>
    <w:rsid w:val="001D4DC1"/>
    <w:rsid w:val="001E0D43"/>
    <w:rsid w:val="001E559F"/>
    <w:rsid w:val="001E6AF4"/>
    <w:rsid w:val="001F3C00"/>
    <w:rsid w:val="001F623F"/>
    <w:rsid w:val="00207CEA"/>
    <w:rsid w:val="002106CB"/>
    <w:rsid w:val="00210D90"/>
    <w:rsid w:val="002127DC"/>
    <w:rsid w:val="002138C9"/>
    <w:rsid w:val="002159ED"/>
    <w:rsid w:val="00217894"/>
    <w:rsid w:val="00223E66"/>
    <w:rsid w:val="0024289C"/>
    <w:rsid w:val="00246CD4"/>
    <w:rsid w:val="00251D22"/>
    <w:rsid w:val="002624B4"/>
    <w:rsid w:val="002717B4"/>
    <w:rsid w:val="00273A42"/>
    <w:rsid w:val="00275D0D"/>
    <w:rsid w:val="00293FDC"/>
    <w:rsid w:val="00297506"/>
    <w:rsid w:val="002A3F01"/>
    <w:rsid w:val="002A56F0"/>
    <w:rsid w:val="002A6A33"/>
    <w:rsid w:val="002D54C0"/>
    <w:rsid w:val="002D5734"/>
    <w:rsid w:val="002D63C9"/>
    <w:rsid w:val="002F57C1"/>
    <w:rsid w:val="0030117A"/>
    <w:rsid w:val="00302D75"/>
    <w:rsid w:val="00304CE4"/>
    <w:rsid w:val="00304F1A"/>
    <w:rsid w:val="00310B9B"/>
    <w:rsid w:val="00314E6F"/>
    <w:rsid w:val="00316701"/>
    <w:rsid w:val="0032262A"/>
    <w:rsid w:val="00322E33"/>
    <w:rsid w:val="003234CB"/>
    <w:rsid w:val="00324230"/>
    <w:rsid w:val="0032503F"/>
    <w:rsid w:val="00331DDB"/>
    <w:rsid w:val="00336018"/>
    <w:rsid w:val="0033708B"/>
    <w:rsid w:val="00345FC3"/>
    <w:rsid w:val="003564A8"/>
    <w:rsid w:val="003730F0"/>
    <w:rsid w:val="00376334"/>
    <w:rsid w:val="00380585"/>
    <w:rsid w:val="00397A53"/>
    <w:rsid w:val="003B29A3"/>
    <w:rsid w:val="003C12FA"/>
    <w:rsid w:val="003C21D2"/>
    <w:rsid w:val="003D2B86"/>
    <w:rsid w:val="003D3FCE"/>
    <w:rsid w:val="003F0D60"/>
    <w:rsid w:val="003F0DF3"/>
    <w:rsid w:val="003F7A95"/>
    <w:rsid w:val="00403FCA"/>
    <w:rsid w:val="00413096"/>
    <w:rsid w:val="004142E2"/>
    <w:rsid w:val="00414D0D"/>
    <w:rsid w:val="004242AB"/>
    <w:rsid w:val="004347CA"/>
    <w:rsid w:val="00441C7C"/>
    <w:rsid w:val="00455045"/>
    <w:rsid w:val="00456ED6"/>
    <w:rsid w:val="00470D09"/>
    <w:rsid w:val="00472D95"/>
    <w:rsid w:val="00482470"/>
    <w:rsid w:val="004933E0"/>
    <w:rsid w:val="004949B0"/>
    <w:rsid w:val="00495EC6"/>
    <w:rsid w:val="004976C6"/>
    <w:rsid w:val="004A192D"/>
    <w:rsid w:val="004A51B7"/>
    <w:rsid w:val="004B26AC"/>
    <w:rsid w:val="004B731F"/>
    <w:rsid w:val="004B7902"/>
    <w:rsid w:val="004B7D66"/>
    <w:rsid w:val="004D4BA6"/>
    <w:rsid w:val="004E3194"/>
    <w:rsid w:val="004F075A"/>
    <w:rsid w:val="004F79FF"/>
    <w:rsid w:val="0051258C"/>
    <w:rsid w:val="00521BDE"/>
    <w:rsid w:val="0053213E"/>
    <w:rsid w:val="00532D64"/>
    <w:rsid w:val="005429F8"/>
    <w:rsid w:val="00546F69"/>
    <w:rsid w:val="00562BE6"/>
    <w:rsid w:val="00564647"/>
    <w:rsid w:val="00567434"/>
    <w:rsid w:val="005744B1"/>
    <w:rsid w:val="00575A6C"/>
    <w:rsid w:val="00580BDE"/>
    <w:rsid w:val="00580FEA"/>
    <w:rsid w:val="00585F37"/>
    <w:rsid w:val="005876C7"/>
    <w:rsid w:val="005876FF"/>
    <w:rsid w:val="005A3981"/>
    <w:rsid w:val="005B0875"/>
    <w:rsid w:val="005B5159"/>
    <w:rsid w:val="005B5F30"/>
    <w:rsid w:val="005C35F6"/>
    <w:rsid w:val="005D0F5F"/>
    <w:rsid w:val="005D5BF0"/>
    <w:rsid w:val="005D6980"/>
    <w:rsid w:val="005E7C43"/>
    <w:rsid w:val="005F7B27"/>
    <w:rsid w:val="00601C43"/>
    <w:rsid w:val="00601E26"/>
    <w:rsid w:val="00615ABF"/>
    <w:rsid w:val="006228D4"/>
    <w:rsid w:val="006262C0"/>
    <w:rsid w:val="006476FA"/>
    <w:rsid w:val="0065049E"/>
    <w:rsid w:val="00650F1C"/>
    <w:rsid w:val="00651AC8"/>
    <w:rsid w:val="00651B5A"/>
    <w:rsid w:val="00655924"/>
    <w:rsid w:val="0067241E"/>
    <w:rsid w:val="0067537D"/>
    <w:rsid w:val="00676708"/>
    <w:rsid w:val="006804DD"/>
    <w:rsid w:val="00681B2A"/>
    <w:rsid w:val="00682529"/>
    <w:rsid w:val="00686B28"/>
    <w:rsid w:val="0069218C"/>
    <w:rsid w:val="00695DAC"/>
    <w:rsid w:val="006A70C4"/>
    <w:rsid w:val="006B1547"/>
    <w:rsid w:val="006B4D2D"/>
    <w:rsid w:val="006C40C2"/>
    <w:rsid w:val="006D3130"/>
    <w:rsid w:val="006D5192"/>
    <w:rsid w:val="006D72B1"/>
    <w:rsid w:val="006F1B00"/>
    <w:rsid w:val="006F4195"/>
    <w:rsid w:val="006F5CEE"/>
    <w:rsid w:val="00704377"/>
    <w:rsid w:val="00705DEE"/>
    <w:rsid w:val="007164F6"/>
    <w:rsid w:val="007170DB"/>
    <w:rsid w:val="00717CE2"/>
    <w:rsid w:val="00727B7C"/>
    <w:rsid w:val="00733BF0"/>
    <w:rsid w:val="00736E02"/>
    <w:rsid w:val="00745BC0"/>
    <w:rsid w:val="007577DA"/>
    <w:rsid w:val="00771958"/>
    <w:rsid w:val="0077529C"/>
    <w:rsid w:val="00783846"/>
    <w:rsid w:val="00784C66"/>
    <w:rsid w:val="00786508"/>
    <w:rsid w:val="00795A6F"/>
    <w:rsid w:val="007A484F"/>
    <w:rsid w:val="007C77B1"/>
    <w:rsid w:val="00800A3B"/>
    <w:rsid w:val="00800DEC"/>
    <w:rsid w:val="008017B8"/>
    <w:rsid w:val="00826BE8"/>
    <w:rsid w:val="0084487A"/>
    <w:rsid w:val="008542FE"/>
    <w:rsid w:val="008558EA"/>
    <w:rsid w:val="00864EBC"/>
    <w:rsid w:val="00865B0F"/>
    <w:rsid w:val="00865E1C"/>
    <w:rsid w:val="008705BB"/>
    <w:rsid w:val="00870D10"/>
    <w:rsid w:val="00872D60"/>
    <w:rsid w:val="00886DFF"/>
    <w:rsid w:val="00897F50"/>
    <w:rsid w:val="008A124E"/>
    <w:rsid w:val="008A44AF"/>
    <w:rsid w:val="008A488F"/>
    <w:rsid w:val="008A56EB"/>
    <w:rsid w:val="008A6442"/>
    <w:rsid w:val="008C16A4"/>
    <w:rsid w:val="008D523E"/>
    <w:rsid w:val="008E0F12"/>
    <w:rsid w:val="008E2E39"/>
    <w:rsid w:val="00901DB9"/>
    <w:rsid w:val="00913F6D"/>
    <w:rsid w:val="00917A22"/>
    <w:rsid w:val="009277B8"/>
    <w:rsid w:val="00951ABE"/>
    <w:rsid w:val="00956FB1"/>
    <w:rsid w:val="00957BC2"/>
    <w:rsid w:val="0096111D"/>
    <w:rsid w:val="009618F4"/>
    <w:rsid w:val="00962209"/>
    <w:rsid w:val="00967EF2"/>
    <w:rsid w:val="009708E3"/>
    <w:rsid w:val="009745DF"/>
    <w:rsid w:val="00986DCD"/>
    <w:rsid w:val="009932EE"/>
    <w:rsid w:val="009A2624"/>
    <w:rsid w:val="009A7A20"/>
    <w:rsid w:val="009B4532"/>
    <w:rsid w:val="009C3DF5"/>
    <w:rsid w:val="009C43AE"/>
    <w:rsid w:val="009E0C15"/>
    <w:rsid w:val="009E1CEF"/>
    <w:rsid w:val="009E44E4"/>
    <w:rsid w:val="009F3371"/>
    <w:rsid w:val="009F3C23"/>
    <w:rsid w:val="009F3D80"/>
    <w:rsid w:val="00A063B5"/>
    <w:rsid w:val="00A12C6C"/>
    <w:rsid w:val="00A146CA"/>
    <w:rsid w:val="00A16AD4"/>
    <w:rsid w:val="00A21153"/>
    <w:rsid w:val="00A33BA0"/>
    <w:rsid w:val="00A358C8"/>
    <w:rsid w:val="00A375F7"/>
    <w:rsid w:val="00A441F1"/>
    <w:rsid w:val="00A448B0"/>
    <w:rsid w:val="00A47562"/>
    <w:rsid w:val="00A552DC"/>
    <w:rsid w:val="00A66590"/>
    <w:rsid w:val="00A67121"/>
    <w:rsid w:val="00A67C66"/>
    <w:rsid w:val="00A92BE3"/>
    <w:rsid w:val="00A92D41"/>
    <w:rsid w:val="00AB73B3"/>
    <w:rsid w:val="00AE0B9D"/>
    <w:rsid w:val="00AE0E41"/>
    <w:rsid w:val="00AE4238"/>
    <w:rsid w:val="00AE4D46"/>
    <w:rsid w:val="00AE74DD"/>
    <w:rsid w:val="00AF3223"/>
    <w:rsid w:val="00AF3A37"/>
    <w:rsid w:val="00AF7A5B"/>
    <w:rsid w:val="00B037EF"/>
    <w:rsid w:val="00B15F56"/>
    <w:rsid w:val="00B17B3C"/>
    <w:rsid w:val="00B20765"/>
    <w:rsid w:val="00B23E8A"/>
    <w:rsid w:val="00B24118"/>
    <w:rsid w:val="00B274E5"/>
    <w:rsid w:val="00B4041D"/>
    <w:rsid w:val="00B47208"/>
    <w:rsid w:val="00B47667"/>
    <w:rsid w:val="00B478FE"/>
    <w:rsid w:val="00B51411"/>
    <w:rsid w:val="00B51B48"/>
    <w:rsid w:val="00B56AB5"/>
    <w:rsid w:val="00B84503"/>
    <w:rsid w:val="00B93C24"/>
    <w:rsid w:val="00B952B7"/>
    <w:rsid w:val="00BA08C7"/>
    <w:rsid w:val="00BA18C4"/>
    <w:rsid w:val="00BB43F5"/>
    <w:rsid w:val="00BB4EA2"/>
    <w:rsid w:val="00BC2351"/>
    <w:rsid w:val="00BC51B1"/>
    <w:rsid w:val="00BD5C9F"/>
    <w:rsid w:val="00BE4A62"/>
    <w:rsid w:val="00BE4D65"/>
    <w:rsid w:val="00BE62EB"/>
    <w:rsid w:val="00BF7965"/>
    <w:rsid w:val="00C05A4B"/>
    <w:rsid w:val="00C15C01"/>
    <w:rsid w:val="00C16186"/>
    <w:rsid w:val="00C17DD9"/>
    <w:rsid w:val="00C2708A"/>
    <w:rsid w:val="00C2784D"/>
    <w:rsid w:val="00C32909"/>
    <w:rsid w:val="00C33D79"/>
    <w:rsid w:val="00C45246"/>
    <w:rsid w:val="00C57E98"/>
    <w:rsid w:val="00C63E70"/>
    <w:rsid w:val="00C75739"/>
    <w:rsid w:val="00C7655A"/>
    <w:rsid w:val="00C77099"/>
    <w:rsid w:val="00C810D9"/>
    <w:rsid w:val="00C823A1"/>
    <w:rsid w:val="00C83C6C"/>
    <w:rsid w:val="00C93AA5"/>
    <w:rsid w:val="00C940EC"/>
    <w:rsid w:val="00CB1E07"/>
    <w:rsid w:val="00CB7FF9"/>
    <w:rsid w:val="00CC30C8"/>
    <w:rsid w:val="00CD24DC"/>
    <w:rsid w:val="00CD4059"/>
    <w:rsid w:val="00CE0F5F"/>
    <w:rsid w:val="00CF0C99"/>
    <w:rsid w:val="00CF1EDB"/>
    <w:rsid w:val="00D019CB"/>
    <w:rsid w:val="00D029B5"/>
    <w:rsid w:val="00D23068"/>
    <w:rsid w:val="00D236C4"/>
    <w:rsid w:val="00D24298"/>
    <w:rsid w:val="00D24A05"/>
    <w:rsid w:val="00D26A33"/>
    <w:rsid w:val="00D45133"/>
    <w:rsid w:val="00D52650"/>
    <w:rsid w:val="00D86B1C"/>
    <w:rsid w:val="00D87282"/>
    <w:rsid w:val="00D90032"/>
    <w:rsid w:val="00D90E91"/>
    <w:rsid w:val="00D9793F"/>
    <w:rsid w:val="00DA06D7"/>
    <w:rsid w:val="00DA39FD"/>
    <w:rsid w:val="00DB6584"/>
    <w:rsid w:val="00DC23AC"/>
    <w:rsid w:val="00DD28F3"/>
    <w:rsid w:val="00E01A35"/>
    <w:rsid w:val="00E120E2"/>
    <w:rsid w:val="00E144D3"/>
    <w:rsid w:val="00E42E9F"/>
    <w:rsid w:val="00E44B8D"/>
    <w:rsid w:val="00E464B9"/>
    <w:rsid w:val="00E57521"/>
    <w:rsid w:val="00E6054D"/>
    <w:rsid w:val="00E62373"/>
    <w:rsid w:val="00E666F3"/>
    <w:rsid w:val="00E66CC0"/>
    <w:rsid w:val="00E91337"/>
    <w:rsid w:val="00E92509"/>
    <w:rsid w:val="00E93612"/>
    <w:rsid w:val="00E95647"/>
    <w:rsid w:val="00E96043"/>
    <w:rsid w:val="00E9759E"/>
    <w:rsid w:val="00EA2449"/>
    <w:rsid w:val="00EA6F93"/>
    <w:rsid w:val="00EB0E8C"/>
    <w:rsid w:val="00EB7B64"/>
    <w:rsid w:val="00EC15E3"/>
    <w:rsid w:val="00EC3D8D"/>
    <w:rsid w:val="00EC6144"/>
    <w:rsid w:val="00EC6FAD"/>
    <w:rsid w:val="00ED1D6B"/>
    <w:rsid w:val="00ED7749"/>
    <w:rsid w:val="00EE09B9"/>
    <w:rsid w:val="00EE40BF"/>
    <w:rsid w:val="00EE447B"/>
    <w:rsid w:val="00EE4E3B"/>
    <w:rsid w:val="00EF088E"/>
    <w:rsid w:val="00EF4B3A"/>
    <w:rsid w:val="00F132B2"/>
    <w:rsid w:val="00F14105"/>
    <w:rsid w:val="00F170F8"/>
    <w:rsid w:val="00F17DCE"/>
    <w:rsid w:val="00F22605"/>
    <w:rsid w:val="00F24072"/>
    <w:rsid w:val="00F43A01"/>
    <w:rsid w:val="00F44166"/>
    <w:rsid w:val="00F62E4B"/>
    <w:rsid w:val="00F63B99"/>
    <w:rsid w:val="00F72C9B"/>
    <w:rsid w:val="00F7345E"/>
    <w:rsid w:val="00F81C1E"/>
    <w:rsid w:val="00FB3557"/>
    <w:rsid w:val="00FC551E"/>
    <w:rsid w:val="00FD0D35"/>
    <w:rsid w:val="00FD5F1F"/>
    <w:rsid w:val="00FE0D8D"/>
    <w:rsid w:val="00FE399B"/>
    <w:rsid w:val="00FE691D"/>
    <w:rsid w:val="00FF595C"/>
    <w:rsid w:val="00FF5D8C"/>
    <w:rsid w:val="00FF61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42720"/>
  <w15:chartTrackingRefBased/>
  <w15:docId w15:val="{B1F0A770-ADE2-40B8-BEF3-044F0E8D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AD"/>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6D3130"/>
    <w:pPr>
      <w:spacing w:before="120" w:line="240" w:lineRule="auto"/>
      <w:outlineLvl w:val="0"/>
    </w:pPr>
    <w:rPr>
      <w:b/>
      <w:color w:val="0082AB"/>
      <w:spacing w:val="20"/>
      <w:w w:val="90"/>
      <w:sz w:val="44"/>
      <w:szCs w:val="44"/>
      <w:lang w:val="en-NZ"/>
    </w:rPr>
  </w:style>
  <w:style w:type="paragraph" w:styleId="Heading2">
    <w:name w:val="heading 2"/>
    <w:basedOn w:val="Normal"/>
    <w:next w:val="Normal"/>
    <w:link w:val="Heading2Char"/>
    <w:autoRedefine/>
    <w:qFormat/>
    <w:rsid w:val="00414D0D"/>
    <w:pPr>
      <w:keepNext/>
      <w:spacing w:after="120" w:line="240" w:lineRule="auto"/>
      <w:outlineLvl w:val="1"/>
    </w:pPr>
    <w:rPr>
      <w:b/>
      <w:color w:val="0082AB"/>
      <w:spacing w:val="20"/>
      <w:w w:val="90"/>
      <w:sz w:val="32"/>
      <w:szCs w:val="24"/>
    </w:rPr>
  </w:style>
  <w:style w:type="paragraph" w:styleId="Heading3">
    <w:name w:val="heading 3"/>
    <w:basedOn w:val="Heading2"/>
    <w:next w:val="Normal"/>
    <w:link w:val="Heading3Char"/>
    <w:qFormat/>
    <w:rsid w:val="00EC6FAD"/>
    <w:pPr>
      <w:spacing w:before="200"/>
      <w:outlineLvl w:val="2"/>
    </w:pPr>
    <w:rPr>
      <w:sz w:val="24"/>
      <w:szCs w:val="22"/>
    </w:rPr>
  </w:style>
  <w:style w:type="paragraph" w:styleId="Heading4">
    <w:name w:val="heading 4"/>
    <w:basedOn w:val="Normal"/>
    <w:next w:val="Normal"/>
    <w:link w:val="Heading4Char"/>
    <w:qFormat/>
    <w:rsid w:val="00EC6FAD"/>
    <w:pPr>
      <w:spacing w:before="120" w:after="200" w:line="240" w:lineRule="auto"/>
      <w:outlineLvl w:val="3"/>
    </w:pPr>
    <w:rPr>
      <w:b/>
      <w:bCs/>
      <w:color w:val="335087"/>
      <w:sz w:val="20"/>
    </w:rPr>
  </w:style>
  <w:style w:type="paragraph" w:styleId="Heading5">
    <w:name w:val="heading 5"/>
    <w:basedOn w:val="Normal"/>
    <w:next w:val="Normal"/>
    <w:link w:val="Heading5Char"/>
    <w:rsid w:val="00EC6FAD"/>
    <w:pPr>
      <w:keepNext/>
      <w:widowControl w:val="0"/>
      <w:spacing w:before="80" w:after="120"/>
      <w:outlineLvl w:val="4"/>
    </w:pPr>
    <w:rPr>
      <w:color w:val="000000"/>
      <w:szCs w:val="22"/>
    </w:rPr>
  </w:style>
  <w:style w:type="paragraph" w:styleId="Heading6">
    <w:name w:val="heading 6"/>
    <w:basedOn w:val="Normal"/>
    <w:next w:val="Normal"/>
    <w:link w:val="Heading6Char"/>
    <w:rsid w:val="00EC6FAD"/>
    <w:pPr>
      <w:spacing w:before="240"/>
      <w:outlineLvl w:val="5"/>
    </w:pPr>
    <w:rPr>
      <w:i/>
      <w:sz w:val="20"/>
    </w:rPr>
  </w:style>
  <w:style w:type="paragraph" w:styleId="Heading7">
    <w:name w:val="heading 7"/>
    <w:basedOn w:val="Normal"/>
    <w:next w:val="Normal"/>
    <w:link w:val="Heading7Char"/>
    <w:rsid w:val="00EC6FAD"/>
    <w:pPr>
      <w:spacing w:before="240"/>
      <w:outlineLvl w:val="6"/>
    </w:pPr>
    <w:rPr>
      <w:sz w:val="20"/>
    </w:rPr>
  </w:style>
  <w:style w:type="paragraph" w:styleId="Heading8">
    <w:name w:val="heading 8"/>
    <w:basedOn w:val="Normal"/>
    <w:next w:val="Normal"/>
    <w:link w:val="Heading8Char"/>
    <w:rsid w:val="00EC6FAD"/>
    <w:pPr>
      <w:spacing w:before="80" w:after="80"/>
      <w:outlineLvl w:val="7"/>
    </w:pPr>
    <w:rPr>
      <w:sz w:val="20"/>
    </w:rPr>
  </w:style>
  <w:style w:type="paragraph" w:styleId="Heading9">
    <w:name w:val="heading 9"/>
    <w:next w:val="Normal"/>
    <w:link w:val="Heading9Char"/>
    <w:rsid w:val="00EC6FAD"/>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FAD"/>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3E66"/>
    <w:pPr>
      <w:spacing w:after="0"/>
      <w:ind w:left="720"/>
      <w:contextualSpacing/>
    </w:pPr>
    <w:rPr>
      <w:rFonts w:cs="Arial"/>
    </w:rPr>
  </w:style>
  <w:style w:type="character" w:customStyle="1" w:styleId="ListParagraphChar">
    <w:name w:val="List Paragraph Char"/>
    <w:link w:val="ListParagraph"/>
    <w:uiPriority w:val="34"/>
    <w:locked/>
    <w:rsid w:val="00223E66"/>
    <w:rPr>
      <w:rFonts w:ascii="Arial" w:eastAsia="Times New Roman" w:hAnsi="Arial" w:cs="Arial"/>
    </w:rPr>
  </w:style>
  <w:style w:type="character" w:customStyle="1" w:styleId="Heading1Char">
    <w:name w:val="Heading 1 Char"/>
    <w:link w:val="Heading1"/>
    <w:rsid w:val="006D3130"/>
    <w:rPr>
      <w:rFonts w:ascii="Arial" w:eastAsia="Times New Roman" w:hAnsi="Arial" w:cs="Times New Roman"/>
      <w:b/>
      <w:color w:val="0082AB"/>
      <w:spacing w:val="20"/>
      <w:w w:val="90"/>
      <w:sz w:val="44"/>
      <w:szCs w:val="44"/>
      <w:lang w:eastAsia="en-GB"/>
    </w:rPr>
  </w:style>
  <w:style w:type="paragraph" w:styleId="Footer">
    <w:name w:val="footer"/>
    <w:basedOn w:val="Normal"/>
    <w:link w:val="FooterChar"/>
    <w:autoRedefine/>
    <w:rsid w:val="002127DC"/>
    <w:pPr>
      <w:tabs>
        <w:tab w:val="right" w:pos="9070"/>
      </w:tabs>
      <w:spacing w:after="0" w:line="240" w:lineRule="auto"/>
      <w:jc w:val="right"/>
    </w:pPr>
    <w:rPr>
      <w:noProof/>
      <w:color w:val="0082AB"/>
      <w:spacing w:val="6"/>
      <w:sz w:val="16"/>
      <w:szCs w:val="16"/>
    </w:rPr>
  </w:style>
  <w:style w:type="character" w:customStyle="1" w:styleId="FooterChar">
    <w:name w:val="Footer Char"/>
    <w:link w:val="Footer"/>
    <w:rsid w:val="002127DC"/>
    <w:rPr>
      <w:rFonts w:ascii="Arial" w:eastAsia="Times New Roman" w:hAnsi="Arial"/>
      <w:noProof/>
      <w:color w:val="0082AB"/>
      <w:spacing w:val="6"/>
      <w:sz w:val="16"/>
      <w:szCs w:val="16"/>
      <w:lang w:val="en-GB" w:eastAsia="en-GB"/>
    </w:rPr>
  </w:style>
  <w:style w:type="paragraph" w:styleId="Header">
    <w:name w:val="header"/>
    <w:basedOn w:val="Normal"/>
    <w:link w:val="HeaderChar"/>
    <w:rsid w:val="00EC6FAD"/>
    <w:pPr>
      <w:tabs>
        <w:tab w:val="center" w:pos="4153"/>
        <w:tab w:val="right" w:pos="8306"/>
      </w:tabs>
    </w:pPr>
  </w:style>
  <w:style w:type="character" w:customStyle="1" w:styleId="HeaderChar">
    <w:name w:val="Header Char"/>
    <w:link w:val="Header"/>
    <w:rsid w:val="00E92509"/>
    <w:rPr>
      <w:rFonts w:ascii="Arial" w:eastAsia="Times New Roman" w:hAnsi="Arial" w:cs="Times New Roman"/>
      <w:szCs w:val="20"/>
      <w:lang w:val="en-GB" w:eastAsia="en-GB"/>
    </w:rPr>
  </w:style>
  <w:style w:type="paragraph" w:customStyle="1" w:styleId="Boxtext">
    <w:name w:val="Box text"/>
    <w:basedOn w:val="Normal"/>
    <w:rsid w:val="00957BC2"/>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color w:val="000000"/>
      <w:szCs w:val="22"/>
    </w:rPr>
  </w:style>
  <w:style w:type="paragraph" w:customStyle="1" w:styleId="spacer">
    <w:name w:val="spacer"/>
    <w:basedOn w:val="Normal"/>
    <w:qFormat/>
    <w:rsid w:val="00EC6FAD"/>
    <w:pPr>
      <w:spacing w:after="0" w:line="240" w:lineRule="auto"/>
    </w:pPr>
    <w:rPr>
      <w:sz w:val="16"/>
      <w:szCs w:val="22"/>
      <w:lang w:eastAsia="en-AU"/>
    </w:rPr>
  </w:style>
  <w:style w:type="paragraph" w:customStyle="1" w:styleId="Bullet-list">
    <w:name w:val="Bullet-list"/>
    <w:qFormat/>
    <w:rsid w:val="007A484F"/>
    <w:pPr>
      <w:numPr>
        <w:numId w:val="29"/>
      </w:numPr>
      <w:spacing w:after="120" w:line="280" w:lineRule="exact"/>
      <w:ind w:left="284" w:hanging="284"/>
    </w:pPr>
    <w:rPr>
      <w:rFonts w:ascii="Arial" w:eastAsia="Times New Roman" w:hAnsi="Arial"/>
      <w:i/>
      <w:sz w:val="22"/>
      <w:szCs w:val="22"/>
      <w:lang w:val="en-AU" w:eastAsia="en-US"/>
    </w:rPr>
  </w:style>
  <w:style w:type="paragraph" w:styleId="BalloonText">
    <w:name w:val="Balloon Text"/>
    <w:basedOn w:val="Normal"/>
    <w:link w:val="BalloonTextChar"/>
    <w:semiHidden/>
    <w:rsid w:val="00EC6FAD"/>
    <w:rPr>
      <w:rFonts w:ascii="Tahoma" w:hAnsi="Tahoma" w:cs="Tahoma"/>
      <w:sz w:val="16"/>
      <w:szCs w:val="16"/>
    </w:rPr>
  </w:style>
  <w:style w:type="character" w:customStyle="1" w:styleId="BalloonTextChar">
    <w:name w:val="Balloon Text Char"/>
    <w:link w:val="BalloonText"/>
    <w:semiHidden/>
    <w:rsid w:val="0032262A"/>
    <w:rPr>
      <w:rFonts w:ascii="Tahoma" w:eastAsia="Times New Roman" w:hAnsi="Tahoma" w:cs="Tahoma"/>
      <w:sz w:val="16"/>
      <w:szCs w:val="16"/>
      <w:lang w:val="en-GB" w:eastAsia="en-GB"/>
    </w:rPr>
  </w:style>
  <w:style w:type="character" w:styleId="Hyperlink">
    <w:name w:val="Hyperlink"/>
    <w:uiPriority w:val="99"/>
    <w:rsid w:val="00030EC1"/>
    <w:rPr>
      <w:color w:val="0082AB"/>
      <w:u w:val="single"/>
    </w:rPr>
  </w:style>
  <w:style w:type="character" w:styleId="CommentReference">
    <w:name w:val="annotation reference"/>
    <w:semiHidden/>
    <w:rsid w:val="00EC6FAD"/>
    <w:rPr>
      <w:sz w:val="16"/>
      <w:szCs w:val="16"/>
    </w:rPr>
  </w:style>
  <w:style w:type="paragraph" w:styleId="CommentText">
    <w:name w:val="annotation text"/>
    <w:basedOn w:val="Normal"/>
    <w:link w:val="CommentTextChar"/>
    <w:semiHidden/>
    <w:rsid w:val="00EC6FAD"/>
    <w:rPr>
      <w:sz w:val="20"/>
    </w:rPr>
  </w:style>
  <w:style w:type="character" w:customStyle="1" w:styleId="CommentTextChar">
    <w:name w:val="Comment Text Char"/>
    <w:link w:val="CommentText"/>
    <w:semiHidden/>
    <w:rsid w:val="00956FB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semiHidden/>
    <w:rsid w:val="00EC6FAD"/>
    <w:rPr>
      <w:b/>
      <w:bCs/>
    </w:rPr>
  </w:style>
  <w:style w:type="character" w:customStyle="1" w:styleId="CommentSubjectChar">
    <w:name w:val="Comment Subject Char"/>
    <w:link w:val="CommentSubject"/>
    <w:semiHidden/>
    <w:rsid w:val="00956FB1"/>
    <w:rPr>
      <w:rFonts w:ascii="Arial" w:eastAsia="Times New Roman" w:hAnsi="Arial" w:cs="Times New Roman"/>
      <w:b/>
      <w:bCs/>
      <w:sz w:val="20"/>
      <w:szCs w:val="20"/>
      <w:lang w:val="en-GB" w:eastAsia="en-GB"/>
    </w:rPr>
  </w:style>
  <w:style w:type="paragraph" w:customStyle="1" w:styleId="Author">
    <w:name w:val="Author"/>
    <w:basedOn w:val="Normal"/>
    <w:semiHidden/>
    <w:rsid w:val="00EC6FAD"/>
    <w:pPr>
      <w:spacing w:before="240" w:after="1200"/>
      <w:ind w:left="-181"/>
      <w:jc w:val="right"/>
    </w:pPr>
    <w:rPr>
      <w:rFonts w:cs="Arial"/>
      <w:i/>
      <w:sz w:val="40"/>
      <w:szCs w:val="22"/>
    </w:rPr>
  </w:style>
  <w:style w:type="paragraph" w:customStyle="1" w:styleId="Boxbullet">
    <w:name w:val="Box bullet"/>
    <w:basedOn w:val="Boxtext"/>
    <w:rsid w:val="00EC6FAD"/>
    <w:pPr>
      <w:numPr>
        <w:numId w:val="28"/>
      </w:numPr>
      <w:tabs>
        <w:tab w:val="clear" w:pos="644"/>
        <w:tab w:val="num" w:pos="426"/>
      </w:tabs>
      <w:spacing w:before="80"/>
    </w:pPr>
  </w:style>
  <w:style w:type="paragraph" w:customStyle="1" w:styleId="Boxheading">
    <w:name w:val="Box heading"/>
    <w:basedOn w:val="Normal"/>
    <w:next w:val="Boxtext"/>
    <w:autoRedefine/>
    <w:rsid w:val="00EC6FAD"/>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EC6FAD"/>
    <w:pPr>
      <w:tabs>
        <w:tab w:val="left" w:pos="426"/>
      </w:tabs>
      <w:ind w:left="426" w:hanging="284"/>
    </w:pPr>
  </w:style>
  <w:style w:type="paragraph" w:styleId="Caption">
    <w:name w:val="caption"/>
    <w:basedOn w:val="Normal"/>
    <w:next w:val="Normal"/>
    <w:rsid w:val="00EC6FAD"/>
    <w:rPr>
      <w:b/>
      <w:bCs/>
      <w:sz w:val="20"/>
    </w:rPr>
  </w:style>
  <w:style w:type="paragraph" w:styleId="DocumentMap">
    <w:name w:val="Document Map"/>
    <w:basedOn w:val="Normal"/>
    <w:link w:val="DocumentMapChar"/>
    <w:semiHidden/>
    <w:rsid w:val="00EC6FAD"/>
    <w:pPr>
      <w:shd w:val="clear" w:color="auto" w:fill="000080"/>
    </w:pPr>
    <w:rPr>
      <w:rFonts w:ascii="Tahoma" w:hAnsi="Tahoma" w:cs="Tahoma"/>
      <w:sz w:val="20"/>
    </w:rPr>
  </w:style>
  <w:style w:type="character" w:customStyle="1" w:styleId="DocumentMapChar">
    <w:name w:val="Document Map Char"/>
    <w:link w:val="DocumentMap"/>
    <w:semiHidden/>
    <w:rsid w:val="00EC6FAD"/>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EC6FAD"/>
    <w:pPr>
      <w:jc w:val="left"/>
    </w:pPr>
  </w:style>
  <w:style w:type="paragraph" w:customStyle="1" w:styleId="Evenfooter-wide">
    <w:name w:val="Even footer-wide"/>
    <w:basedOn w:val="EvenFooter"/>
    <w:rsid w:val="00EC6FAD"/>
  </w:style>
  <w:style w:type="character" w:styleId="FollowedHyperlink">
    <w:name w:val="FollowedHyperlink"/>
    <w:rsid w:val="00EC6FAD"/>
    <w:rPr>
      <w:color w:val="800080"/>
      <w:u w:val="single"/>
    </w:rPr>
  </w:style>
  <w:style w:type="character" w:styleId="FootnoteReference">
    <w:name w:val="footnote reference"/>
    <w:semiHidden/>
    <w:rsid w:val="00EC6FAD"/>
    <w:rPr>
      <w:rFonts w:ascii="Arial" w:hAnsi="Arial"/>
      <w:color w:val="auto"/>
      <w:position w:val="8"/>
      <w:sz w:val="16"/>
    </w:rPr>
  </w:style>
  <w:style w:type="paragraph" w:styleId="FootnoteText">
    <w:name w:val="footnote text"/>
    <w:basedOn w:val="Normal"/>
    <w:link w:val="FootnoteTextChar"/>
    <w:semiHidden/>
    <w:rsid w:val="00EC6FAD"/>
    <w:pPr>
      <w:tabs>
        <w:tab w:val="left" w:pos="425"/>
      </w:tabs>
      <w:spacing w:after="60" w:line="240" w:lineRule="auto"/>
      <w:ind w:left="425" w:hanging="425"/>
    </w:pPr>
    <w:rPr>
      <w:sz w:val="18"/>
    </w:rPr>
  </w:style>
  <w:style w:type="character" w:customStyle="1" w:styleId="FootnoteTextChar">
    <w:name w:val="Footnote Text Char"/>
    <w:link w:val="FootnoteText"/>
    <w:semiHidden/>
    <w:rsid w:val="00EC6FAD"/>
    <w:rPr>
      <w:rFonts w:ascii="Arial" w:eastAsia="Times New Roman" w:hAnsi="Arial" w:cs="Times New Roman"/>
      <w:sz w:val="18"/>
      <w:szCs w:val="20"/>
      <w:lang w:val="en-GB" w:eastAsia="en-GB"/>
    </w:rPr>
  </w:style>
  <w:style w:type="character" w:customStyle="1" w:styleId="Heading2Char">
    <w:name w:val="Heading 2 Char"/>
    <w:link w:val="Heading2"/>
    <w:rsid w:val="00414D0D"/>
    <w:rPr>
      <w:rFonts w:ascii="Arial" w:eastAsia="Times New Roman" w:hAnsi="Arial"/>
      <w:b/>
      <w:color w:val="0082AB"/>
      <w:spacing w:val="20"/>
      <w:w w:val="90"/>
      <w:sz w:val="32"/>
      <w:szCs w:val="24"/>
      <w:lang w:val="en-GB" w:eastAsia="en-GB"/>
    </w:rPr>
  </w:style>
  <w:style w:type="character" w:customStyle="1" w:styleId="Heading3Char">
    <w:name w:val="Heading 3 Char"/>
    <w:link w:val="Heading3"/>
    <w:rsid w:val="00EC6FAD"/>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EC6FAD"/>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EC6FAD"/>
    <w:rPr>
      <w:rFonts w:ascii="Arial" w:eastAsia="Times New Roman" w:hAnsi="Arial" w:cs="Times New Roman"/>
      <w:color w:val="000000"/>
      <w:lang w:val="en-GB" w:eastAsia="en-GB"/>
    </w:rPr>
  </w:style>
  <w:style w:type="character" w:customStyle="1" w:styleId="Heading6Char">
    <w:name w:val="Heading 6 Char"/>
    <w:link w:val="Heading6"/>
    <w:rsid w:val="00EC6FAD"/>
    <w:rPr>
      <w:rFonts w:ascii="Arial" w:eastAsia="Times New Roman" w:hAnsi="Arial" w:cs="Times New Roman"/>
      <w:i/>
      <w:sz w:val="20"/>
      <w:szCs w:val="20"/>
      <w:lang w:val="en-GB" w:eastAsia="en-GB"/>
    </w:rPr>
  </w:style>
  <w:style w:type="character" w:customStyle="1" w:styleId="Heading7Char">
    <w:name w:val="Heading 7 Char"/>
    <w:link w:val="Heading7"/>
    <w:rsid w:val="00EC6FAD"/>
    <w:rPr>
      <w:rFonts w:ascii="Arial" w:eastAsia="Times New Roman" w:hAnsi="Arial" w:cs="Times New Roman"/>
      <w:sz w:val="20"/>
      <w:szCs w:val="20"/>
      <w:lang w:val="en-GB" w:eastAsia="en-GB"/>
    </w:rPr>
  </w:style>
  <w:style w:type="character" w:customStyle="1" w:styleId="Heading8Char">
    <w:name w:val="Heading 8 Char"/>
    <w:link w:val="Heading8"/>
    <w:rsid w:val="00EC6FAD"/>
    <w:rPr>
      <w:rFonts w:ascii="Arial" w:eastAsia="Times New Roman" w:hAnsi="Arial" w:cs="Times New Roman"/>
      <w:sz w:val="20"/>
      <w:szCs w:val="20"/>
      <w:lang w:val="en-GB" w:eastAsia="en-GB"/>
    </w:rPr>
  </w:style>
  <w:style w:type="character" w:customStyle="1" w:styleId="Heading9Char">
    <w:name w:val="Heading 9 Char"/>
    <w:link w:val="Heading9"/>
    <w:rsid w:val="00EC6FAD"/>
    <w:rPr>
      <w:rFonts w:ascii="Arial" w:eastAsia="Times New Roman" w:hAnsi="Arial" w:cs="Times New Roman"/>
      <w:b/>
      <w:i/>
      <w:sz w:val="20"/>
      <w:szCs w:val="20"/>
      <w:lang w:val="en-AU"/>
    </w:rPr>
  </w:style>
  <w:style w:type="paragraph" w:styleId="List">
    <w:name w:val="List"/>
    <w:basedOn w:val="Normal"/>
    <w:rsid w:val="00EC6FAD"/>
    <w:pPr>
      <w:ind w:left="283" w:hanging="283"/>
    </w:pPr>
  </w:style>
  <w:style w:type="paragraph" w:styleId="Title">
    <w:name w:val="Title"/>
    <w:basedOn w:val="Normal"/>
    <w:link w:val="TitleChar"/>
    <w:rsid w:val="00EC6FAD"/>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EC6FAD"/>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EC6FAD"/>
    <w:pPr>
      <w:spacing w:before="360" w:line="600" w:lineRule="atLeast"/>
    </w:pPr>
    <w:rPr>
      <w:sz w:val="36"/>
      <w:szCs w:val="36"/>
    </w:rPr>
  </w:style>
  <w:style w:type="character" w:customStyle="1" w:styleId="SubtitleChar">
    <w:name w:val="Subtitle Char"/>
    <w:link w:val="Subtitle"/>
    <w:rsid w:val="00EC6FAD"/>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EC6FAD"/>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EC6FAD"/>
    <w:pPr>
      <w:keepNext/>
      <w:spacing w:after="0" w:line="240" w:lineRule="auto"/>
    </w:pPr>
    <w:rPr>
      <w:sz w:val="20"/>
    </w:rPr>
  </w:style>
  <w:style w:type="paragraph" w:styleId="TOC1">
    <w:name w:val="toc 1"/>
    <w:basedOn w:val="Normal"/>
    <w:next w:val="Normal"/>
    <w:uiPriority w:val="39"/>
    <w:rsid w:val="00EC6FAD"/>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EC6FAD"/>
    <w:pPr>
      <w:tabs>
        <w:tab w:val="right" w:leader="dot" w:pos="9214"/>
      </w:tabs>
      <w:spacing w:before="100" w:after="100"/>
      <w:ind w:left="709" w:right="284"/>
    </w:pPr>
    <w:rPr>
      <w:noProof/>
      <w:sz w:val="24"/>
    </w:rPr>
  </w:style>
  <w:style w:type="paragraph" w:styleId="TOC3">
    <w:name w:val="toc 3"/>
    <w:basedOn w:val="Normal"/>
    <w:next w:val="Normal"/>
    <w:semiHidden/>
    <w:rsid w:val="00EC6FAD"/>
    <w:pPr>
      <w:tabs>
        <w:tab w:val="left" w:leader="dot" w:pos="8646"/>
        <w:tab w:val="right" w:pos="9072"/>
      </w:tabs>
      <w:ind w:left="1418" w:right="850"/>
    </w:pPr>
  </w:style>
  <w:style w:type="paragraph" w:customStyle="1" w:styleId="TableHeadings">
    <w:name w:val="Table Headings"/>
    <w:basedOn w:val="Normal"/>
    <w:qFormat/>
    <w:rsid w:val="00EC6FAD"/>
    <w:pPr>
      <w:spacing w:before="60" w:after="60"/>
    </w:pPr>
    <w:rPr>
      <w:rFonts w:cs="Arial"/>
      <w:b/>
      <w:color w:val="000000"/>
    </w:rPr>
  </w:style>
  <w:style w:type="paragraph" w:customStyle="1" w:styleId="Bulletlistlevel2">
    <w:name w:val="Bullet list level 2"/>
    <w:basedOn w:val="Normal"/>
    <w:qFormat/>
    <w:rsid w:val="00800DEC"/>
    <w:pPr>
      <w:numPr>
        <w:ilvl w:val="1"/>
        <w:numId w:val="26"/>
      </w:numPr>
      <w:spacing w:after="180" w:line="280" w:lineRule="exact"/>
      <w:ind w:left="568" w:hanging="284"/>
    </w:pPr>
    <w:rPr>
      <w:rFonts w:cs="Arial"/>
      <w:lang w:eastAsia="en-AU"/>
    </w:rPr>
  </w:style>
  <w:style w:type="paragraph" w:customStyle="1" w:styleId="BodyText-Numbered">
    <w:name w:val="Body Text - Numbered"/>
    <w:basedOn w:val="BodyText"/>
    <w:link w:val="BodyText-NumberedChar"/>
    <w:qFormat/>
    <w:rsid w:val="008A56EB"/>
    <w:pPr>
      <w:keepNext/>
      <w:numPr>
        <w:numId w:val="35"/>
      </w:numPr>
      <w:spacing w:before="60" w:line="240" w:lineRule="auto"/>
    </w:pPr>
    <w:rPr>
      <w:rFonts w:cs="Arial"/>
    </w:rPr>
  </w:style>
  <w:style w:type="character" w:customStyle="1" w:styleId="BodyText-NumberedChar">
    <w:name w:val="Body Text - Numbered Char"/>
    <w:link w:val="BodyText-Numbered"/>
    <w:rsid w:val="008A56EB"/>
    <w:rPr>
      <w:rFonts w:ascii="Arial" w:eastAsia="Times New Roman" w:hAnsi="Arial" w:cs="Arial"/>
      <w:sz w:val="22"/>
      <w:lang w:val="en-GB" w:eastAsia="en-GB"/>
    </w:rPr>
  </w:style>
  <w:style w:type="paragraph" w:customStyle="1" w:styleId="Tablebullet">
    <w:name w:val="Table bullet"/>
    <w:basedOn w:val="Normal"/>
    <w:qFormat/>
    <w:rsid w:val="008A56EB"/>
    <w:pPr>
      <w:numPr>
        <w:numId w:val="36"/>
      </w:numPr>
      <w:autoSpaceDE w:val="0"/>
      <w:autoSpaceDN w:val="0"/>
      <w:adjustRightInd w:val="0"/>
      <w:spacing w:before="60" w:after="60"/>
    </w:pPr>
    <w:rPr>
      <w:rFonts w:cs="GillSans"/>
      <w:szCs w:val="22"/>
      <w:lang w:eastAsia="en-AU"/>
    </w:rPr>
  </w:style>
  <w:style w:type="paragraph" w:styleId="BodyText">
    <w:name w:val="Body Text"/>
    <w:basedOn w:val="Normal"/>
    <w:link w:val="BodyTextChar"/>
    <w:uiPriority w:val="99"/>
    <w:semiHidden/>
    <w:unhideWhenUsed/>
    <w:rsid w:val="008A56EB"/>
    <w:pPr>
      <w:spacing w:after="120"/>
    </w:pPr>
  </w:style>
  <w:style w:type="character" w:customStyle="1" w:styleId="BodyTextChar">
    <w:name w:val="Body Text Char"/>
    <w:link w:val="BodyText"/>
    <w:uiPriority w:val="99"/>
    <w:semiHidden/>
    <w:rsid w:val="008A56EB"/>
    <w:rPr>
      <w:rFonts w:ascii="Arial" w:eastAsia="Times New Roman"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741077">
      <w:bodyDiv w:val="1"/>
      <w:marLeft w:val="0"/>
      <w:marRight w:val="0"/>
      <w:marTop w:val="0"/>
      <w:marBottom w:val="0"/>
      <w:divBdr>
        <w:top w:val="none" w:sz="0" w:space="0" w:color="auto"/>
        <w:left w:val="none" w:sz="0" w:space="0" w:color="auto"/>
        <w:bottom w:val="none" w:sz="0" w:space="0" w:color="auto"/>
        <w:right w:val="none" w:sz="0" w:space="0" w:color="auto"/>
      </w:divBdr>
    </w:div>
    <w:div w:id="1413430114">
      <w:bodyDiv w:val="1"/>
      <w:marLeft w:val="0"/>
      <w:marRight w:val="0"/>
      <w:marTop w:val="0"/>
      <w:marBottom w:val="0"/>
      <w:divBdr>
        <w:top w:val="none" w:sz="0" w:space="0" w:color="auto"/>
        <w:left w:val="none" w:sz="0" w:space="0" w:color="auto"/>
        <w:bottom w:val="none" w:sz="0" w:space="0" w:color="auto"/>
        <w:right w:val="none" w:sz="0" w:space="0" w:color="auto"/>
      </w:divBdr>
    </w:div>
    <w:div w:id="1423720364">
      <w:bodyDiv w:val="1"/>
      <w:marLeft w:val="0"/>
      <w:marRight w:val="0"/>
      <w:marTop w:val="0"/>
      <w:marBottom w:val="0"/>
      <w:divBdr>
        <w:top w:val="none" w:sz="0" w:space="0" w:color="auto"/>
        <w:left w:val="none" w:sz="0" w:space="0" w:color="auto"/>
        <w:bottom w:val="none" w:sz="0" w:space="0" w:color="auto"/>
        <w:right w:val="none" w:sz="0" w:space="0" w:color="auto"/>
      </w:divBdr>
    </w:div>
    <w:div w:id="1554655926">
      <w:bodyDiv w:val="1"/>
      <w:marLeft w:val="0"/>
      <w:marRight w:val="0"/>
      <w:marTop w:val="0"/>
      <w:marBottom w:val="0"/>
      <w:divBdr>
        <w:top w:val="none" w:sz="0" w:space="0" w:color="auto"/>
        <w:left w:val="none" w:sz="0" w:space="0" w:color="auto"/>
        <w:bottom w:val="none" w:sz="0" w:space="0" w:color="auto"/>
        <w:right w:val="none" w:sz="0" w:space="0" w:color="auto"/>
      </w:divBdr>
    </w:div>
    <w:div w:id="1900089793">
      <w:bodyDiv w:val="1"/>
      <w:marLeft w:val="0"/>
      <w:marRight w:val="0"/>
      <w:marTop w:val="0"/>
      <w:marBottom w:val="0"/>
      <w:divBdr>
        <w:top w:val="none" w:sz="0" w:space="0" w:color="auto"/>
        <w:left w:val="none" w:sz="0" w:space="0" w:color="auto"/>
        <w:bottom w:val="none" w:sz="0" w:space="0" w:color="auto"/>
        <w:right w:val="none" w:sz="0" w:space="0" w:color="auto"/>
      </w:divBdr>
    </w:div>
    <w:div w:id="20423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5" ma:contentTypeDescription="Create a new document." ma:contentTypeScope="" ma:versionID="e9a7485cbd385d8c34370ba02bfcefbe">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d9981558763dda40a860034b19259762"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9dc1bb-5b0e-47fe-abe2-b7e0ea38cbdb"/>
    <TaxKeywordTaxHTField xmlns="a59dc1bb-5b0e-47fe-abe2-b7e0ea38cbdb">
      <Terms xmlns="http://schemas.microsoft.com/office/infopath/2007/PartnerControls"/>
    </TaxKeywordTaxHTField>
  </documentManagement>
</p:properties>
</file>

<file path=customXml/itemProps1.xml><?xml version="1.0" encoding="utf-8"?>
<ds:datastoreItem xmlns:ds="http://schemas.openxmlformats.org/officeDocument/2006/customXml" ds:itemID="{75EF2EAC-FB24-4ED9-A587-7E7BDD878724}"/>
</file>

<file path=customXml/itemProps2.xml><?xml version="1.0" encoding="utf-8"?>
<ds:datastoreItem xmlns:ds="http://schemas.openxmlformats.org/officeDocument/2006/customXml" ds:itemID="{B17FB812-BEED-443F-86F1-986AE80C4815}"/>
</file>

<file path=customXml/itemProps3.xml><?xml version="1.0" encoding="utf-8"?>
<ds:datastoreItem xmlns:ds="http://schemas.openxmlformats.org/officeDocument/2006/customXml" ds:itemID="{5D4C8A24-BA51-4CDE-A809-CF4940980290}"/>
</file>

<file path=docProps/app.xml><?xml version="1.0" encoding="utf-8"?>
<Properties xmlns="http://schemas.openxmlformats.org/officeDocument/2006/extended-properties" xmlns:vt="http://schemas.openxmlformats.org/officeDocument/2006/docPropsVTypes">
  <Template>Normal.dotm</Template>
  <TotalTime>2</TotalTime>
  <Pages>11</Pages>
  <Words>3350</Words>
  <Characters>17052</Characters>
  <Application>Microsoft Office Word</Application>
  <DocSecurity>0</DocSecurity>
  <Lines>396</Lines>
  <Paragraphs>163</Paragraphs>
  <ScaleCrop>false</ScaleCrop>
  <HeadingPairs>
    <vt:vector size="2" baseType="variant">
      <vt:variant>
        <vt:lpstr>Title</vt:lpstr>
      </vt:variant>
      <vt:variant>
        <vt:i4>1</vt:i4>
      </vt:variant>
    </vt:vector>
  </HeadingPairs>
  <TitlesOfParts>
    <vt:vector size="1" baseType="lpstr">
      <vt:lpstr>Regulatory impact assessment – Mycoplasma bovis: tax issue (26 February 2020)</vt:lpstr>
    </vt:vector>
  </TitlesOfParts>
  <Company>Inland Revenue</Company>
  <LinksUpToDate>false</LinksUpToDate>
  <CharactersWithSpaces>20239</CharactersWithSpaces>
  <SharedDoc>false</SharedDoc>
  <HLinks>
    <vt:vector size="36" baseType="variant">
      <vt:variant>
        <vt:i4>8257662</vt:i4>
      </vt:variant>
      <vt:variant>
        <vt:i4>15</vt:i4>
      </vt:variant>
      <vt:variant>
        <vt:i4>0</vt:i4>
      </vt:variant>
      <vt:variant>
        <vt:i4>5</vt:i4>
      </vt:variant>
      <vt:variant>
        <vt:lpwstr>http://www.treasury.govt.nz/publications/guidance/planning/costbenefitanalysis</vt:lpwstr>
      </vt:variant>
      <vt:variant>
        <vt:lpwstr/>
      </vt:variant>
      <vt:variant>
        <vt:i4>2949239</vt:i4>
      </vt:variant>
      <vt:variant>
        <vt:i4>12</vt:i4>
      </vt:variant>
      <vt:variant>
        <vt:i4>0</vt:i4>
      </vt:variant>
      <vt:variant>
        <vt:i4>5</vt:i4>
      </vt:variant>
      <vt:variant>
        <vt:lpwstr>http://www.treasury.govt.nz/publications/guidance/planning/costbenefitanalysis/x/x-guide-oct15.pdf</vt:lpwstr>
      </vt:variant>
      <vt:variant>
        <vt:lpwstr/>
      </vt:variant>
      <vt:variant>
        <vt:i4>2687029</vt:i4>
      </vt:variant>
      <vt:variant>
        <vt:i4>9</vt:i4>
      </vt:variant>
      <vt:variant>
        <vt:i4>0</vt:i4>
      </vt:variant>
      <vt:variant>
        <vt:i4>5</vt:i4>
      </vt:variant>
      <vt:variant>
        <vt:lpwstr>http://www.treasury.govt.nz/regulation/expectations</vt:lpwstr>
      </vt:variant>
      <vt:variant>
        <vt:lpwstr/>
      </vt:variant>
      <vt:variant>
        <vt:i4>2687029</vt:i4>
      </vt:variant>
      <vt:variant>
        <vt:i4>6</vt:i4>
      </vt:variant>
      <vt:variant>
        <vt:i4>0</vt:i4>
      </vt:variant>
      <vt:variant>
        <vt:i4>5</vt:i4>
      </vt:variant>
      <vt:variant>
        <vt:lpwstr>http://www.treasury.govt.nz/regulation/expectations</vt:lpwstr>
      </vt:variant>
      <vt:variant>
        <vt:lpwstr/>
      </vt:variant>
      <vt:variant>
        <vt:i4>4128805</vt:i4>
      </vt:variant>
      <vt:variant>
        <vt:i4>3</vt:i4>
      </vt:variant>
      <vt:variant>
        <vt:i4>0</vt:i4>
      </vt:variant>
      <vt:variant>
        <vt:i4>5</vt:i4>
      </vt:variant>
      <vt:variant>
        <vt:lpwstr>http://www.treasury.govt.nz/regulation/regulatoryproposal/ria/handbook</vt:lpwstr>
      </vt:variant>
      <vt:variant>
        <vt:lpwstr/>
      </vt:variant>
      <vt:variant>
        <vt:i4>3801155</vt:i4>
      </vt:variant>
      <vt:variant>
        <vt:i4>0</vt:i4>
      </vt:variant>
      <vt:variant>
        <vt:i4>0</vt:i4>
      </vt:variant>
      <vt:variant>
        <vt:i4>5</vt:i4>
      </vt:variant>
      <vt:variant>
        <vt:lpwstr>mailto:ria@treasury.govt.nz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 – Mycoplasma bovis: tax issue (26 February 2020)</dc:title>
  <dc:subject/>
  <dc:creator>Policy and Strategy</dc:creator>
  <cp:keywords/>
  <dc:description/>
  <dcterms:created xsi:type="dcterms:W3CDTF">2020-06-02T03:48:00Z</dcterms:created>
  <dcterms:modified xsi:type="dcterms:W3CDTF">2020-06-02T04:03:00Z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0x01010051FB5A4D8CB3714A90B797AC39F80CD6</vt:lpwstr>
  </property>
  <property fmtid="{D5CDD505-2E9C-101B-9397-08002B2CF9AE}" pid="4" name="TaxKeyword">
    <vt:lpwstr/>
  </property>
</Properties>
</file>