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ABC2" w14:textId="77777777" w:rsidR="00E00C21" w:rsidRDefault="00E00C21" w:rsidP="00E00C21">
      <w:pPr>
        <w:tabs>
          <w:tab w:val="center" w:pos="5670"/>
        </w:tabs>
      </w:pPr>
      <w:r w:rsidRPr="00A768F4">
        <w:rPr>
          <w:noProof/>
          <w:lang w:eastAsia="en-NZ"/>
        </w:rPr>
        <w:drawing>
          <wp:inline distT="0" distB="0" distL="0" distR="0" wp14:anchorId="75F99E0A" wp14:editId="0430D5F4">
            <wp:extent cx="2383200" cy="666000"/>
            <wp:effectExtent l="0" t="0" r="0" b="1270"/>
            <wp:docPr id="2" name="Picture 2"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200" cy="666000"/>
                    </a:xfrm>
                    <a:prstGeom prst="rect">
                      <a:avLst/>
                    </a:prstGeom>
                    <a:noFill/>
                    <a:ln>
                      <a:noFill/>
                    </a:ln>
                  </pic:spPr>
                </pic:pic>
              </a:graphicData>
            </a:graphic>
          </wp:inline>
        </w:drawing>
      </w:r>
      <w:r>
        <w:rPr>
          <w:noProof/>
          <w:lang w:eastAsia="en-NZ"/>
        </w:rPr>
        <w:drawing>
          <wp:anchor distT="0" distB="0" distL="114300" distR="114300" simplePos="0" relativeHeight="251658240" behindDoc="1" locked="0" layoutInCell="1" allowOverlap="1" wp14:anchorId="608CAFE8" wp14:editId="10452EF3">
            <wp:simplePos x="0" y="0"/>
            <wp:positionH relativeFrom="column">
              <wp:posOffset>4880610</wp:posOffset>
            </wp:positionH>
            <wp:positionV relativeFrom="paragraph">
              <wp:posOffset>3810</wp:posOffset>
            </wp:positionV>
            <wp:extent cx="1233805" cy="1216025"/>
            <wp:effectExtent l="0" t="0" r="4445" b="3175"/>
            <wp:wrapTight wrapText="bothSides">
              <wp:wrapPolygon edited="0">
                <wp:start x="0" y="0"/>
                <wp:lineTo x="0" y="21318"/>
                <wp:lineTo x="21344" y="21318"/>
                <wp:lineTo x="21344" y="0"/>
                <wp:lineTo x="0" y="0"/>
              </wp:wrapPolygon>
            </wp:wrapTight>
            <wp:docPr id="7" name="Picture 7"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anchor>
        </w:drawing>
      </w:r>
    </w:p>
    <w:p w14:paraId="42E6F4FD" w14:textId="77777777" w:rsidR="00E00C21" w:rsidRDefault="00E00C21" w:rsidP="00E00C21">
      <w:pPr>
        <w:pStyle w:val="PAS-Groupname-Joint"/>
      </w:pPr>
      <w:r w:rsidRPr="00B73500">
        <w:t>POLICY AND STRATEGY</w:t>
      </w:r>
    </w:p>
    <w:p w14:paraId="31515AA3" w14:textId="77777777" w:rsidR="00DD623A" w:rsidRPr="00A57D84" w:rsidRDefault="00DD623A" w:rsidP="001D0013">
      <w:pPr>
        <w:pStyle w:val="ReportCover-Title"/>
        <w:rPr>
          <w:sz w:val="20"/>
        </w:rPr>
      </w:pPr>
      <w:r w:rsidRPr="00A57D84">
        <w:rPr>
          <w:sz w:val="20"/>
        </w:rPr>
        <w:t xml:space="preserve">Tax policy report: </w:t>
      </w:r>
      <w:r w:rsidRPr="001D0013">
        <w:tab/>
      </w:r>
      <w:bookmarkStart w:id="0" w:name="Subject"/>
      <w:bookmarkEnd w:id="0"/>
      <w:r w:rsidR="00095561" w:rsidRPr="00A57D84">
        <w:rPr>
          <w:sz w:val="20"/>
        </w:rPr>
        <w:t>Purchase price allocation</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52E938DB" w14:textId="77777777" w:rsidTr="414AB266">
        <w:tc>
          <w:tcPr>
            <w:tcW w:w="2689" w:type="dxa"/>
          </w:tcPr>
          <w:p w14:paraId="190EF90E" w14:textId="77777777" w:rsidR="00DD623A" w:rsidRPr="000B2ED1" w:rsidRDefault="00DD623A" w:rsidP="000B2ED1">
            <w:pPr>
              <w:pStyle w:val="Table-Heading"/>
            </w:pPr>
            <w:r w:rsidRPr="000B2ED1">
              <w:t>Date:</w:t>
            </w:r>
          </w:p>
        </w:tc>
        <w:tc>
          <w:tcPr>
            <w:tcW w:w="2551" w:type="dxa"/>
          </w:tcPr>
          <w:p w14:paraId="6E755FC1" w14:textId="77777777" w:rsidR="00DD623A" w:rsidRPr="0036209D" w:rsidRDefault="00622226" w:rsidP="00705DC2">
            <w:pPr>
              <w:pStyle w:val="Table-Text"/>
            </w:pPr>
            <w:bookmarkStart w:id="1" w:name="Date"/>
            <w:bookmarkEnd w:id="1"/>
            <w:r>
              <w:t>13</w:t>
            </w:r>
            <w:r w:rsidR="0036209D" w:rsidRPr="0036209D">
              <w:t xml:space="preserve"> November</w:t>
            </w:r>
            <w:r w:rsidR="00705DC2" w:rsidRPr="0036209D">
              <w:t xml:space="preserve"> 20</w:t>
            </w:r>
            <w:r w:rsidR="00095561" w:rsidRPr="0036209D">
              <w:t>19</w:t>
            </w:r>
          </w:p>
        </w:tc>
        <w:tc>
          <w:tcPr>
            <w:tcW w:w="1985" w:type="dxa"/>
          </w:tcPr>
          <w:p w14:paraId="27E76EDE" w14:textId="77777777" w:rsidR="00DD623A" w:rsidRPr="000B2ED1" w:rsidRDefault="00DD623A" w:rsidP="000B2ED1">
            <w:pPr>
              <w:pStyle w:val="Table-Heading"/>
            </w:pPr>
            <w:r w:rsidRPr="000B2ED1">
              <w:t>Priority:</w:t>
            </w:r>
          </w:p>
        </w:tc>
        <w:tc>
          <w:tcPr>
            <w:tcW w:w="2485" w:type="dxa"/>
          </w:tcPr>
          <w:sdt>
            <w:sdtPr>
              <w:alias w:val="Report Priority"/>
              <w:tag w:val="Report Priority"/>
              <w:id w:val="1654637243"/>
              <w:placeholder>
                <w:docPart w:val="3BB8F6E6455940139871E0716645285B"/>
              </w:placeholder>
              <w:dropDownList>
                <w:listItem w:value="[Choose a report priority]"/>
                <w:listItem w:displayText="Low" w:value="Low"/>
                <w:listItem w:displayText="Medium" w:value="Medium"/>
                <w:listItem w:displayText="High" w:value="High"/>
              </w:dropDownList>
            </w:sdtPr>
            <w:sdtEndPr/>
            <w:sdtContent>
              <w:p w14:paraId="749508F2" w14:textId="77777777" w:rsidR="00DD623A" w:rsidRPr="00705DC2" w:rsidRDefault="00095561">
                <w:pPr>
                  <w:pStyle w:val="Table-Text"/>
                </w:pPr>
                <w:r>
                  <w:t>Medium</w:t>
                </w:r>
              </w:p>
            </w:sdtContent>
          </w:sdt>
          <w:p w14:paraId="14852500" w14:textId="77777777" w:rsidR="00727E23" w:rsidRDefault="00727E23">
            <w:pPr>
              <w:pStyle w:val="Table-Text"/>
            </w:pPr>
          </w:p>
        </w:tc>
        <w:bookmarkStart w:id="2" w:name="Priority"/>
        <w:bookmarkEnd w:id="2"/>
      </w:tr>
      <w:tr w:rsidR="00DD623A" w:rsidRPr="00DD623A" w14:paraId="078F6881" w14:textId="77777777" w:rsidTr="000B2ED1">
        <w:tc>
          <w:tcPr>
            <w:tcW w:w="2689" w:type="dxa"/>
          </w:tcPr>
          <w:p w14:paraId="58370AD0" w14:textId="77777777" w:rsidR="00DD623A" w:rsidRPr="000B2ED1" w:rsidRDefault="00DD623A" w:rsidP="000B2ED1">
            <w:pPr>
              <w:pStyle w:val="Table-Heading"/>
            </w:pPr>
            <w:r w:rsidRPr="000B2ED1">
              <w:t>Security level:</w:t>
            </w:r>
          </w:p>
        </w:tc>
        <w:bookmarkStart w:id="3" w:name="Security"/>
        <w:bookmarkEnd w:id="3"/>
        <w:tc>
          <w:tcPr>
            <w:tcW w:w="2551" w:type="dxa"/>
          </w:tcPr>
          <w:p w14:paraId="52A6C4EC" w14:textId="77777777" w:rsidR="009B5A86" w:rsidRPr="00DD623A" w:rsidRDefault="00D16046" w:rsidP="00C44EDE">
            <w:pPr>
              <w:pStyle w:val="Table-Text"/>
            </w:pPr>
            <w:sdt>
              <w:sdtPr>
                <w:alias w:val="Security Classification"/>
                <w:tag w:val="Security Classification"/>
                <w:id w:val="1617165177"/>
                <w:placeholder>
                  <w:docPart w:val="18656744DC2A439994216F4F3C6A0D5E"/>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1E01E2">
                  <w:t>Sensitive</w:t>
                </w:r>
              </w:sdtContent>
            </w:sdt>
            <w:r w:rsidR="00E80F77">
              <w:t xml:space="preserve"> </w:t>
            </w:r>
          </w:p>
        </w:tc>
        <w:tc>
          <w:tcPr>
            <w:tcW w:w="1985" w:type="dxa"/>
          </w:tcPr>
          <w:p w14:paraId="62DD7922" w14:textId="77777777" w:rsidR="00DD623A" w:rsidRPr="000B2ED1" w:rsidRDefault="00DD623A" w:rsidP="000B2ED1">
            <w:pPr>
              <w:pStyle w:val="Table-Heading"/>
            </w:pPr>
            <w:r w:rsidRPr="000B2ED1">
              <w:t>Report number:</w:t>
            </w:r>
          </w:p>
        </w:tc>
        <w:tc>
          <w:tcPr>
            <w:tcW w:w="2485" w:type="dxa"/>
          </w:tcPr>
          <w:p w14:paraId="657D00AA" w14:textId="77777777" w:rsidR="00B3357D" w:rsidRPr="00705DC2" w:rsidRDefault="00271C1F" w:rsidP="00BE7D17">
            <w:pPr>
              <w:pStyle w:val="Table-Text"/>
            </w:pPr>
            <w:bookmarkStart w:id="4" w:name="ReportPad"/>
            <w:bookmarkEnd w:id="4"/>
            <w:r>
              <w:t xml:space="preserve">IR2019/554 </w:t>
            </w:r>
            <w:r w:rsidR="00BE7D17">
              <w:br/>
              <w:t>T2019/3648</w:t>
            </w:r>
          </w:p>
        </w:tc>
      </w:tr>
    </w:tbl>
    <w:p w14:paraId="23A8E22D" w14:textId="77777777" w:rsidR="00DD623A" w:rsidRPr="0076431E"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30E1A08C" w14:textId="77777777" w:rsidTr="00A57D84">
        <w:tc>
          <w:tcPr>
            <w:tcW w:w="2694" w:type="dxa"/>
          </w:tcPr>
          <w:p w14:paraId="20F98C80" w14:textId="77777777" w:rsidR="00DD623A" w:rsidRPr="000B2ED1" w:rsidRDefault="00DD623A" w:rsidP="000B2ED1">
            <w:pPr>
              <w:pStyle w:val="Table-Heading"/>
            </w:pPr>
          </w:p>
        </w:tc>
        <w:tc>
          <w:tcPr>
            <w:tcW w:w="4536" w:type="dxa"/>
            <w:tcBorders>
              <w:left w:val="nil"/>
            </w:tcBorders>
          </w:tcPr>
          <w:p w14:paraId="208FCE2A" w14:textId="77777777" w:rsidR="00DD623A" w:rsidRPr="000B2ED1" w:rsidRDefault="00DD623A" w:rsidP="000B2ED1">
            <w:pPr>
              <w:pStyle w:val="Table-Heading"/>
            </w:pPr>
            <w:r w:rsidRPr="000B2ED1">
              <w:t>Action sought</w:t>
            </w:r>
          </w:p>
        </w:tc>
        <w:tc>
          <w:tcPr>
            <w:tcW w:w="2480" w:type="dxa"/>
          </w:tcPr>
          <w:p w14:paraId="47E4D58F" w14:textId="77777777" w:rsidR="00DD623A" w:rsidRPr="000B2ED1" w:rsidRDefault="00DD623A" w:rsidP="000B2ED1">
            <w:pPr>
              <w:pStyle w:val="Table-Heading"/>
            </w:pPr>
            <w:r w:rsidRPr="000B2ED1">
              <w:t>Deadline</w:t>
            </w:r>
          </w:p>
        </w:tc>
      </w:tr>
      <w:tr w:rsidR="008331C2" w:rsidRPr="00D6363A" w14:paraId="110812FC" w14:textId="77777777" w:rsidTr="00A57D84">
        <w:tc>
          <w:tcPr>
            <w:tcW w:w="26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AD8ED47" w14:textId="77777777" w:rsidR="008331C2" w:rsidRPr="00D6363A" w:rsidRDefault="008331C2" w:rsidP="00425E5D">
            <w:pPr>
              <w:pStyle w:val="Table-Text"/>
            </w:pPr>
            <w:r w:rsidRPr="00D6363A">
              <w:t xml:space="preserve">Minister of </w:t>
            </w:r>
            <w:r>
              <w:t>Finance</w:t>
            </w:r>
          </w:p>
        </w:tc>
        <w:tc>
          <w:tcPr>
            <w:tcW w:w="453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F13B580" w14:textId="77777777" w:rsidR="008331C2" w:rsidRPr="00D6363A" w:rsidRDefault="008331C2" w:rsidP="00425E5D">
            <w:pPr>
              <w:pStyle w:val="Table-Text"/>
            </w:pPr>
            <w:r w:rsidRPr="00705DC2">
              <w:rPr>
                <w:rStyle w:val="Strong"/>
              </w:rPr>
              <w:t>Agree</w:t>
            </w:r>
            <w:r w:rsidRPr="00D6363A">
              <w:t xml:space="preserve"> to recommendations</w:t>
            </w:r>
          </w:p>
          <w:p w14:paraId="4226E13E" w14:textId="77777777" w:rsidR="008331C2" w:rsidRPr="00D6363A" w:rsidRDefault="008331C2" w:rsidP="00425E5D">
            <w:pPr>
              <w:pStyle w:val="Table-Text"/>
            </w:pPr>
            <w:r w:rsidRPr="00705DC2">
              <w:rPr>
                <w:rStyle w:val="Strong"/>
              </w:rPr>
              <w:t>Note</w:t>
            </w:r>
            <w:r w:rsidRPr="00D6363A">
              <w:t xml:space="preserve"> the contents of this report</w:t>
            </w:r>
          </w:p>
          <w:p w14:paraId="689BD705" w14:textId="77777777" w:rsidR="008331C2" w:rsidRPr="00D6363A" w:rsidRDefault="008331C2" w:rsidP="00425E5D">
            <w:pPr>
              <w:pStyle w:val="Table-Text"/>
            </w:pPr>
          </w:p>
        </w:tc>
        <w:tc>
          <w:tcPr>
            <w:tcW w:w="248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D94D04E" w14:textId="77777777" w:rsidR="008331C2" w:rsidRPr="00D6363A" w:rsidRDefault="00045B3F" w:rsidP="00425E5D">
            <w:pPr>
              <w:pStyle w:val="Table-Text"/>
            </w:pPr>
            <w:r>
              <w:t>28</w:t>
            </w:r>
            <w:r w:rsidR="008331C2">
              <w:t xml:space="preserve"> </w:t>
            </w:r>
            <w:r w:rsidR="00DC72D5">
              <w:t>November</w:t>
            </w:r>
            <w:r w:rsidR="008331C2">
              <w:t xml:space="preserve"> 20</w:t>
            </w:r>
            <w:r w:rsidR="00095561">
              <w:t>19</w:t>
            </w:r>
          </w:p>
        </w:tc>
      </w:tr>
      <w:tr w:rsidR="00DD623A" w:rsidRPr="00D6363A" w14:paraId="14988F8A" w14:textId="77777777" w:rsidTr="00A57D84">
        <w:tc>
          <w:tcPr>
            <w:tcW w:w="26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DCD0E6E" w14:textId="77777777" w:rsidR="00DD623A" w:rsidRPr="00D6363A" w:rsidRDefault="00DD623A" w:rsidP="00D6363A">
            <w:pPr>
              <w:pStyle w:val="Table-Text"/>
            </w:pPr>
            <w:r w:rsidRPr="00D6363A">
              <w:t>Minister of Revenue</w:t>
            </w:r>
          </w:p>
        </w:tc>
        <w:tc>
          <w:tcPr>
            <w:tcW w:w="453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EAF9DB4" w14:textId="77777777" w:rsidR="00705DC2" w:rsidRPr="0036209D" w:rsidRDefault="00705DC2" w:rsidP="00705DC2">
            <w:pPr>
              <w:pStyle w:val="Table-Text"/>
            </w:pPr>
            <w:r w:rsidRPr="0036209D">
              <w:rPr>
                <w:rStyle w:val="Strong"/>
              </w:rPr>
              <w:t>Agree</w:t>
            </w:r>
            <w:r w:rsidRPr="0036209D">
              <w:t xml:space="preserve"> to recommendations</w:t>
            </w:r>
            <w:r w:rsidR="00B959E4" w:rsidRPr="0036209D">
              <w:t xml:space="preserve"> and </w:t>
            </w:r>
            <w:r w:rsidR="00B959E4" w:rsidRPr="0036209D">
              <w:rPr>
                <w:b/>
              </w:rPr>
              <w:t>submit</w:t>
            </w:r>
            <w:r w:rsidR="00B959E4" w:rsidRPr="0036209D">
              <w:t xml:space="preserve"> Cabinet paper to Cabinet Office by 10am </w:t>
            </w:r>
            <w:r w:rsidR="00315EBB" w:rsidRPr="0036209D">
              <w:t>28 November</w:t>
            </w:r>
            <w:r w:rsidR="00F33AB1" w:rsidRPr="0036209D">
              <w:t xml:space="preserve"> 2019</w:t>
            </w:r>
            <w:r w:rsidR="00B959E4" w:rsidRPr="0036209D">
              <w:t xml:space="preserve">, </w:t>
            </w:r>
            <w:r w:rsidR="00C72443" w:rsidRPr="0036209D">
              <w:t>for discussion at the Economic Development Committee’s meeting</w:t>
            </w:r>
            <w:r w:rsidR="00C108BB" w:rsidRPr="0036209D">
              <w:t xml:space="preserve"> on </w:t>
            </w:r>
            <w:r w:rsidR="00F33AB1" w:rsidRPr="0036209D">
              <w:t>4 December 2019.</w:t>
            </w:r>
          </w:p>
          <w:p w14:paraId="7241D316" w14:textId="77777777" w:rsidR="00DD623A" w:rsidRPr="0036209D" w:rsidRDefault="00DD623A" w:rsidP="00B959E4">
            <w:pPr>
              <w:pStyle w:val="Table-Text"/>
            </w:pPr>
          </w:p>
        </w:tc>
        <w:tc>
          <w:tcPr>
            <w:tcW w:w="248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24BE4E2" w14:textId="77777777" w:rsidR="00DD623A" w:rsidRPr="00D6363A" w:rsidRDefault="00045B3F" w:rsidP="00D6363A">
            <w:pPr>
              <w:pStyle w:val="Table-Text"/>
            </w:pPr>
            <w:r>
              <w:t>28</w:t>
            </w:r>
            <w:r w:rsidR="009B5A86">
              <w:t xml:space="preserve"> </w:t>
            </w:r>
            <w:r w:rsidR="00DC72D5">
              <w:t>November</w:t>
            </w:r>
            <w:r w:rsidR="009B5A86">
              <w:t xml:space="preserve"> 20</w:t>
            </w:r>
            <w:r w:rsidR="00095561">
              <w:t>19</w:t>
            </w:r>
          </w:p>
        </w:tc>
      </w:tr>
    </w:tbl>
    <w:p w14:paraId="3BC76804" w14:textId="77777777" w:rsidR="00DD623A" w:rsidRPr="0076431E"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57550AA0" w14:textId="77777777" w:rsidTr="00014D7E">
        <w:trPr>
          <w:cantSplit/>
        </w:trPr>
        <w:tc>
          <w:tcPr>
            <w:tcW w:w="2694" w:type="dxa"/>
            <w:tcBorders>
              <w:top w:val="nil"/>
              <w:left w:val="nil"/>
              <w:bottom w:val="nil"/>
              <w:right w:val="nil"/>
            </w:tcBorders>
          </w:tcPr>
          <w:p w14:paraId="6BEE34D9"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2C6E490B"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themeColor="text1" w:themeTint="7F"/>
              <w:right w:val="nil"/>
            </w:tcBorders>
          </w:tcPr>
          <w:p w14:paraId="1DF4E72A" w14:textId="77777777" w:rsidR="00DD623A" w:rsidRPr="000B2ED1" w:rsidRDefault="00DD623A" w:rsidP="000B2ED1">
            <w:pPr>
              <w:pStyle w:val="Table-Heading"/>
            </w:pPr>
            <w:r w:rsidRPr="000B2ED1">
              <w:t>Telephone</w:t>
            </w:r>
          </w:p>
        </w:tc>
      </w:tr>
      <w:tr w:rsidR="00DD623A" w:rsidRPr="009B5A86" w14:paraId="53C32421" w14:textId="77777777" w:rsidTr="00014D7E">
        <w:tc>
          <w:tcPr>
            <w:tcW w:w="26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4858A31" w14:textId="77777777" w:rsidR="00DD623A" w:rsidRPr="0036209D" w:rsidRDefault="002869C1" w:rsidP="009B5A86">
            <w:pPr>
              <w:pStyle w:val="Table-Text"/>
              <w:rPr>
                <w:color w:val="000000" w:themeColor="text1"/>
              </w:rPr>
            </w:pPr>
            <w:bookmarkStart w:id="5" w:name="Name1"/>
            <w:bookmarkEnd w:id="5"/>
            <w:r>
              <w:rPr>
                <w:color w:val="000000" w:themeColor="text1"/>
              </w:rPr>
              <w:t>Jessica Rowe</w:t>
            </w:r>
          </w:p>
        </w:tc>
        <w:tc>
          <w:tcPr>
            <w:tcW w:w="326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213737C" w14:textId="77777777" w:rsidR="00DD623A" w:rsidRPr="0036209D" w:rsidRDefault="002869C1" w:rsidP="009B5A86">
            <w:pPr>
              <w:pStyle w:val="Table-Text"/>
              <w:rPr>
                <w:color w:val="000000" w:themeColor="text1"/>
              </w:rPr>
            </w:pPr>
            <w:bookmarkStart w:id="6" w:name="Pos1"/>
            <w:bookmarkEnd w:id="6"/>
            <w:r>
              <w:rPr>
                <w:color w:val="000000" w:themeColor="text1"/>
              </w:rPr>
              <w:t xml:space="preserve">Principal </w:t>
            </w:r>
            <w:r w:rsidR="00AF34F1">
              <w:rPr>
                <w:color w:val="000000" w:themeColor="text1"/>
              </w:rPr>
              <w:t>Advisor</w:t>
            </w:r>
          </w:p>
        </w:tc>
        <w:tc>
          <w:tcPr>
            <w:tcW w:w="3756"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BFBFBF" w:themeFill="background1" w:themeFillShade="BF"/>
          </w:tcPr>
          <w:p w14:paraId="04F4802A" w14:textId="77777777" w:rsidR="00DD623A" w:rsidRDefault="00190B1E" w:rsidP="009B5A86">
            <w:pPr>
              <w:pStyle w:val="Table-Text"/>
            </w:pPr>
            <w:bookmarkStart w:id="7" w:name="Direct1"/>
            <w:bookmarkStart w:id="8" w:name="Mobile1"/>
            <w:bookmarkEnd w:id="7"/>
            <w:bookmarkEnd w:id="8"/>
            <w:r w:rsidRPr="00190B1E">
              <w:t>s 9(2)(a)</w:t>
            </w:r>
          </w:p>
          <w:p w14:paraId="2A03182C" w14:textId="6C25E5F9" w:rsidR="00014D7E" w:rsidRPr="009B5A86" w:rsidRDefault="00014D7E" w:rsidP="009B5A86">
            <w:pPr>
              <w:pStyle w:val="Table-Text"/>
            </w:pPr>
          </w:p>
        </w:tc>
      </w:tr>
      <w:tr w:rsidR="00445D19" w:rsidRPr="009B5A86" w14:paraId="3FF6ABA0" w14:textId="77777777" w:rsidTr="00014D7E">
        <w:tc>
          <w:tcPr>
            <w:tcW w:w="26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04DDF28" w14:textId="77777777" w:rsidR="00445D19" w:rsidRPr="009B5A86" w:rsidRDefault="007C11CE" w:rsidP="00445D19">
            <w:pPr>
              <w:pStyle w:val="Table-Text"/>
            </w:pPr>
            <w:bookmarkStart w:id="9" w:name="Name2"/>
            <w:bookmarkEnd w:id="9"/>
            <w:r>
              <w:t>Casey Plunket</w:t>
            </w:r>
          </w:p>
        </w:tc>
        <w:tc>
          <w:tcPr>
            <w:tcW w:w="326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676BADA" w14:textId="77777777" w:rsidR="00445D19" w:rsidRPr="009B5A86" w:rsidRDefault="007C11CE" w:rsidP="00445D19">
            <w:pPr>
              <w:pStyle w:val="Table-Text"/>
            </w:pPr>
            <w:bookmarkStart w:id="10" w:name="Pos2"/>
            <w:bookmarkEnd w:id="10"/>
            <w:r>
              <w:t xml:space="preserve">Special </w:t>
            </w:r>
            <w:r w:rsidR="00095561">
              <w:t>Policy Advisor</w:t>
            </w:r>
          </w:p>
        </w:tc>
        <w:tc>
          <w:tcPr>
            <w:tcW w:w="3756"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BFBFBF" w:themeFill="background1" w:themeFillShade="BF"/>
          </w:tcPr>
          <w:p w14:paraId="0EE19AEB" w14:textId="77777777" w:rsidR="00445D19" w:rsidRDefault="00445D19" w:rsidP="00445D19">
            <w:pPr>
              <w:pStyle w:val="Table-Text"/>
            </w:pPr>
            <w:bookmarkStart w:id="11" w:name="Direct2"/>
            <w:bookmarkEnd w:id="11"/>
          </w:p>
          <w:p w14:paraId="7C9D774C" w14:textId="150C2B30" w:rsidR="00694F6C" w:rsidRPr="009B5A86" w:rsidRDefault="00694F6C" w:rsidP="00445D19">
            <w:pPr>
              <w:pStyle w:val="Table-Text"/>
            </w:pPr>
          </w:p>
        </w:tc>
      </w:tr>
    </w:tbl>
    <w:p w14:paraId="7522ED44" w14:textId="77777777" w:rsidR="00D6363A" w:rsidRPr="00891517" w:rsidRDefault="00D6363A" w:rsidP="00891517">
      <w:pPr>
        <w:sectPr w:rsidR="00D6363A" w:rsidRPr="00891517" w:rsidSect="00A364AA">
          <w:footerReference w:type="default" r:id="rId9"/>
          <w:pgSz w:w="11906" w:h="16838"/>
          <w:pgMar w:top="1134" w:right="1134" w:bottom="1134" w:left="1134" w:header="709" w:footer="709" w:gutter="0"/>
          <w:cols w:space="708"/>
          <w:docGrid w:linePitch="360"/>
        </w:sectPr>
      </w:pPr>
    </w:p>
    <w:p w14:paraId="57F5493B" w14:textId="77777777" w:rsidR="005B202F" w:rsidRDefault="00622226">
      <w:r>
        <w:lastRenderedPageBreak/>
        <w:t>13</w:t>
      </w:r>
      <w:r w:rsidR="0036209D">
        <w:t xml:space="preserve"> No</w:t>
      </w:r>
      <w:r w:rsidR="00F716C1">
        <w:t>vem</w:t>
      </w:r>
      <w:r w:rsidR="00095561">
        <w:t>ber</w:t>
      </w:r>
      <w:r w:rsidR="00811AC6">
        <w:t xml:space="preserve"> 20</w:t>
      </w:r>
      <w:r w:rsidR="00095561">
        <w:t>19</w:t>
      </w:r>
    </w:p>
    <w:p w14:paraId="78073C44" w14:textId="77777777" w:rsidR="00811AC6" w:rsidRDefault="00811AC6"/>
    <w:p w14:paraId="489FE2C1" w14:textId="77777777" w:rsidR="00811AC6" w:rsidRDefault="00811AC6">
      <w:r>
        <w:t>Minister of Finance</w:t>
      </w:r>
    </w:p>
    <w:p w14:paraId="38CAEF3D" w14:textId="77777777" w:rsidR="00811AC6" w:rsidRDefault="00811AC6">
      <w:r>
        <w:t>Minister of Revenue</w:t>
      </w:r>
    </w:p>
    <w:p w14:paraId="5C48CAEE" w14:textId="77777777" w:rsidR="00811AC6" w:rsidRPr="00A57D84" w:rsidRDefault="00095561" w:rsidP="006742B5">
      <w:pPr>
        <w:pStyle w:val="Report-Title"/>
        <w:rPr>
          <w:sz w:val="20"/>
        </w:rPr>
      </w:pPr>
      <w:r w:rsidRPr="00A57D84">
        <w:rPr>
          <w:sz w:val="20"/>
        </w:rPr>
        <w:t>Purchase price allocation</w:t>
      </w:r>
    </w:p>
    <w:p w14:paraId="6F9DE925" w14:textId="77777777" w:rsidR="00811AC6" w:rsidRPr="003C2FA4" w:rsidRDefault="00811AC6" w:rsidP="003C2FA4">
      <w:pPr>
        <w:pStyle w:val="Heading1"/>
      </w:pPr>
      <w:r w:rsidRPr="003C2FA4">
        <w:t>Executive summary</w:t>
      </w:r>
    </w:p>
    <w:p w14:paraId="180624BC" w14:textId="77777777" w:rsidR="00F30EA5" w:rsidRDefault="00A874A4" w:rsidP="001605D2">
      <w:pPr>
        <w:pStyle w:val="NumberedParagraph"/>
        <w:rPr>
          <w:szCs w:val="20"/>
        </w:rPr>
      </w:pPr>
      <w:r w:rsidRPr="0076431E">
        <w:rPr>
          <w:szCs w:val="20"/>
        </w:rPr>
        <w:t>This report seeks your approval to undertake public consultation, via an officials’ issues paper, on p</w:t>
      </w:r>
      <w:r w:rsidR="004C60A4">
        <w:rPr>
          <w:szCs w:val="20"/>
        </w:rPr>
        <w:t xml:space="preserve">ossible </w:t>
      </w:r>
      <w:r w:rsidR="00214D86">
        <w:rPr>
          <w:szCs w:val="20"/>
        </w:rPr>
        <w:t>changes</w:t>
      </w:r>
      <w:r w:rsidRPr="0076431E">
        <w:rPr>
          <w:szCs w:val="20"/>
        </w:rPr>
        <w:t xml:space="preserve"> </w:t>
      </w:r>
      <w:r w:rsidR="00811E00">
        <w:rPr>
          <w:szCs w:val="20"/>
        </w:rPr>
        <w:t xml:space="preserve">to </w:t>
      </w:r>
      <w:r w:rsidR="00253871">
        <w:rPr>
          <w:szCs w:val="20"/>
        </w:rPr>
        <w:t xml:space="preserve">the </w:t>
      </w:r>
      <w:r w:rsidR="00811E00">
        <w:rPr>
          <w:szCs w:val="20"/>
        </w:rPr>
        <w:t xml:space="preserve">tax legislation </w:t>
      </w:r>
      <w:r w:rsidRPr="0076431E">
        <w:rPr>
          <w:szCs w:val="20"/>
        </w:rPr>
        <w:t xml:space="preserve">relating to how </w:t>
      </w:r>
      <w:r w:rsidR="00BA1C56" w:rsidRPr="00824E21">
        <w:rPr>
          <w:szCs w:val="20"/>
        </w:rPr>
        <w:t>parties</w:t>
      </w:r>
      <w:r w:rsidR="00BC5120" w:rsidRPr="00824E21">
        <w:rPr>
          <w:szCs w:val="20"/>
        </w:rPr>
        <w:t xml:space="preserve"> to a sale</w:t>
      </w:r>
      <w:r w:rsidR="00831A9C" w:rsidRPr="00824E21">
        <w:rPr>
          <w:szCs w:val="20"/>
        </w:rPr>
        <w:t xml:space="preserve"> allocate </w:t>
      </w:r>
      <w:r w:rsidR="005A511F" w:rsidRPr="00A57D84">
        <w:rPr>
          <w:szCs w:val="20"/>
        </w:rPr>
        <w:t>the</w:t>
      </w:r>
      <w:r w:rsidR="00831A9C" w:rsidRPr="00A57D84">
        <w:rPr>
          <w:szCs w:val="20"/>
        </w:rPr>
        <w:t xml:space="preserve"> global price</w:t>
      </w:r>
      <w:r w:rsidR="00C15425">
        <w:rPr>
          <w:szCs w:val="20"/>
        </w:rPr>
        <w:t>, for tax purposes,</w:t>
      </w:r>
      <w:r w:rsidR="00831A9C" w:rsidRPr="00A57D84">
        <w:rPr>
          <w:szCs w:val="20"/>
        </w:rPr>
        <w:t xml:space="preserve"> a</w:t>
      </w:r>
      <w:r w:rsidR="00D0230C" w:rsidRPr="00A57D84">
        <w:rPr>
          <w:szCs w:val="20"/>
        </w:rPr>
        <w:t>mong the</w:t>
      </w:r>
      <w:r w:rsidR="004A5B4D" w:rsidRPr="00A57D84">
        <w:rPr>
          <w:szCs w:val="20"/>
        </w:rPr>
        <w:t xml:space="preserve"> different assets </w:t>
      </w:r>
      <w:r w:rsidR="00533700" w:rsidRPr="00A57D84">
        <w:rPr>
          <w:szCs w:val="20"/>
        </w:rPr>
        <w:t>being sold</w:t>
      </w:r>
      <w:r w:rsidR="00193C98" w:rsidRPr="00A57D84">
        <w:rPr>
          <w:szCs w:val="20"/>
        </w:rPr>
        <w:t>.</w:t>
      </w:r>
      <w:r w:rsidR="00D619F3" w:rsidRPr="00A57D84">
        <w:rPr>
          <w:szCs w:val="20"/>
        </w:rPr>
        <w:t xml:space="preserve"> </w:t>
      </w:r>
    </w:p>
    <w:p w14:paraId="3EBBF02D" w14:textId="32F45E3A" w:rsidR="004D0F39" w:rsidRPr="000E7351" w:rsidRDefault="00E02677" w:rsidP="000F7255">
      <w:pPr>
        <w:pStyle w:val="NumberedParagraph"/>
        <w:rPr>
          <w:szCs w:val="20"/>
        </w:rPr>
      </w:pPr>
      <w:r>
        <w:t xml:space="preserve">These changes </w:t>
      </w:r>
      <w:r w:rsidR="00610A74">
        <w:t>are</w:t>
      </w:r>
      <w:r w:rsidR="007312AF">
        <w:t xml:space="preserve"> one of the revenue</w:t>
      </w:r>
      <w:r w:rsidR="0060233B">
        <w:t>-</w:t>
      </w:r>
      <w:r w:rsidR="007312AF">
        <w:t xml:space="preserve">raising </w:t>
      </w:r>
      <w:r w:rsidR="00EF310F">
        <w:t xml:space="preserve">measures </w:t>
      </w:r>
      <w:r w:rsidR="00610A74">
        <w:t xml:space="preserve">that </w:t>
      </w:r>
      <w:r w:rsidR="002E4B5E">
        <w:t xml:space="preserve">form </w:t>
      </w:r>
      <w:r w:rsidR="0015662A">
        <w:t xml:space="preserve">part </w:t>
      </w:r>
      <w:r w:rsidR="00DD2BC7">
        <w:t>of a package of business-related tax initiatives</w:t>
      </w:r>
      <w:r w:rsidR="00BE33F9">
        <w:t xml:space="preserve"> in the Government’s Tax </w:t>
      </w:r>
      <w:r w:rsidR="00CA5F3C">
        <w:t>P</w:t>
      </w:r>
      <w:r w:rsidR="00BE33F9">
        <w:t>olicy Work Programme</w:t>
      </w:r>
      <w:r w:rsidR="00AD4BE9">
        <w:t>. The package was</w:t>
      </w:r>
      <w:r w:rsidR="007655DA">
        <w:t xml:space="preserve"> discussed </w:t>
      </w:r>
      <w:r w:rsidR="000E7351">
        <w:t>at the joint Ministers</w:t>
      </w:r>
      <w:r w:rsidR="00344467">
        <w:t>’</w:t>
      </w:r>
      <w:r w:rsidR="000E7351">
        <w:t xml:space="preserve"> meeting on 5 November 2019</w:t>
      </w:r>
      <w:r w:rsidR="007655DA">
        <w:t>.</w:t>
      </w:r>
      <w:r w:rsidR="000E7351" w:rsidRPr="00A57D84">
        <w:t xml:space="preserve"> </w:t>
      </w:r>
      <w:r w:rsidR="00FC7F4B" w:rsidRPr="000E7351">
        <w:rPr>
          <w:szCs w:val="20"/>
        </w:rPr>
        <w:t xml:space="preserve">  </w:t>
      </w:r>
      <w:r w:rsidR="00AC6713" w:rsidRPr="000E7351">
        <w:rPr>
          <w:szCs w:val="20"/>
        </w:rPr>
        <w:t xml:space="preserve">  </w:t>
      </w:r>
    </w:p>
    <w:p w14:paraId="4AF9CACF" w14:textId="77777777" w:rsidR="00A7277D" w:rsidRDefault="00DD67F6" w:rsidP="005531B0">
      <w:pPr>
        <w:pStyle w:val="NumberedParagraph"/>
        <w:rPr>
          <w:szCs w:val="20"/>
        </w:rPr>
      </w:pPr>
      <w:r>
        <w:rPr>
          <w:szCs w:val="20"/>
        </w:rPr>
        <w:t>Th</w:t>
      </w:r>
      <w:r w:rsidR="00E85A02">
        <w:rPr>
          <w:szCs w:val="20"/>
        </w:rPr>
        <w:t xml:space="preserve">e changes are </w:t>
      </w:r>
      <w:r w:rsidR="00187B1E">
        <w:rPr>
          <w:szCs w:val="20"/>
        </w:rPr>
        <w:t xml:space="preserve">aimed at increasing </w:t>
      </w:r>
      <w:r w:rsidR="008B18B0">
        <w:rPr>
          <w:szCs w:val="20"/>
        </w:rPr>
        <w:t xml:space="preserve">the efficiency of the tax system and ensuring that sales of businesses </w:t>
      </w:r>
      <w:r w:rsidR="004C1B14">
        <w:rPr>
          <w:szCs w:val="20"/>
        </w:rPr>
        <w:t xml:space="preserve">and commercial property (in particular) do not </w:t>
      </w:r>
      <w:r w:rsidR="005A2FEF">
        <w:rPr>
          <w:szCs w:val="20"/>
        </w:rPr>
        <w:t xml:space="preserve">lead to an inappropriate </w:t>
      </w:r>
      <w:r w:rsidR="00722240">
        <w:rPr>
          <w:szCs w:val="20"/>
        </w:rPr>
        <w:t xml:space="preserve">income tax </w:t>
      </w:r>
      <w:r w:rsidR="000B5B3A">
        <w:rPr>
          <w:szCs w:val="20"/>
        </w:rPr>
        <w:t>r</w:t>
      </w:r>
      <w:r w:rsidR="00722240">
        <w:rPr>
          <w:szCs w:val="20"/>
        </w:rPr>
        <w:t xml:space="preserve">eduction.  </w:t>
      </w:r>
    </w:p>
    <w:p w14:paraId="6BE64695" w14:textId="22223724" w:rsidR="00E62B19" w:rsidRDefault="000B5B3A" w:rsidP="005531B0">
      <w:pPr>
        <w:pStyle w:val="NumberedParagraph"/>
        <w:rPr>
          <w:szCs w:val="20"/>
        </w:rPr>
      </w:pPr>
      <w:r>
        <w:rPr>
          <w:szCs w:val="20"/>
        </w:rPr>
        <w:t xml:space="preserve">The Government is currently missing out on an estimated </w:t>
      </w:r>
      <w:r w:rsidR="005C5BAA" w:rsidRPr="002B08FB">
        <w:rPr>
          <w:shd w:val="clear" w:color="auto" w:fill="BFBFBF" w:themeFill="background1" w:themeFillShade="BF"/>
        </w:rPr>
        <w:t>s 9(2)(f)(iv)</w:t>
      </w:r>
      <w:r>
        <w:rPr>
          <w:szCs w:val="20"/>
        </w:rPr>
        <w:t xml:space="preserve"> </w:t>
      </w:r>
      <w:r w:rsidR="00DD44E5">
        <w:rPr>
          <w:szCs w:val="20"/>
        </w:rPr>
        <w:t xml:space="preserve">of tax revenue per annum </w:t>
      </w:r>
      <w:r w:rsidR="005B55CA">
        <w:rPr>
          <w:szCs w:val="20"/>
        </w:rPr>
        <w:t xml:space="preserve">as a result of a gap in the law that allows the buyer and seller to adopt different asset </w:t>
      </w:r>
      <w:r w:rsidR="00930721">
        <w:rPr>
          <w:szCs w:val="20"/>
        </w:rPr>
        <w:t>valuations for tax purposes in respect of the same sale</w:t>
      </w:r>
      <w:r w:rsidR="00E62B19">
        <w:rPr>
          <w:szCs w:val="20"/>
        </w:rPr>
        <w:t xml:space="preserve"> transaction. This</w:t>
      </w:r>
      <w:r w:rsidR="006867B6">
        <w:rPr>
          <w:szCs w:val="20"/>
        </w:rPr>
        <w:t xml:space="preserve"> </w:t>
      </w:r>
      <w:r w:rsidR="00E62B19">
        <w:rPr>
          <w:szCs w:val="20"/>
        </w:rPr>
        <w:t xml:space="preserve">arbitrage </w:t>
      </w:r>
      <w:r w:rsidR="006867B6">
        <w:rPr>
          <w:szCs w:val="20"/>
        </w:rPr>
        <w:t xml:space="preserve">can result in the seller </w:t>
      </w:r>
      <w:r w:rsidR="00BB006C">
        <w:rPr>
          <w:szCs w:val="20"/>
        </w:rPr>
        <w:t>treating th</w:t>
      </w:r>
      <w:r w:rsidR="00755518">
        <w:rPr>
          <w:szCs w:val="20"/>
        </w:rPr>
        <w:t xml:space="preserve">e sale </w:t>
      </w:r>
      <w:r w:rsidR="006867B6">
        <w:rPr>
          <w:szCs w:val="20"/>
        </w:rPr>
        <w:t xml:space="preserve">proceeds </w:t>
      </w:r>
      <w:r w:rsidR="00BB006C">
        <w:rPr>
          <w:szCs w:val="20"/>
        </w:rPr>
        <w:t>as</w:t>
      </w:r>
      <w:r w:rsidR="00164B23">
        <w:rPr>
          <w:szCs w:val="20"/>
        </w:rPr>
        <w:t xml:space="preserve"> </w:t>
      </w:r>
      <w:r w:rsidR="003E5A8F">
        <w:rPr>
          <w:szCs w:val="20"/>
        </w:rPr>
        <w:t xml:space="preserve">largely </w:t>
      </w:r>
      <w:r w:rsidR="006867B6">
        <w:rPr>
          <w:szCs w:val="20"/>
        </w:rPr>
        <w:t>non-taxable</w:t>
      </w:r>
      <w:r w:rsidR="00C95108">
        <w:rPr>
          <w:szCs w:val="20"/>
        </w:rPr>
        <w:t xml:space="preserve"> </w:t>
      </w:r>
      <w:r w:rsidR="006867B6">
        <w:rPr>
          <w:szCs w:val="20"/>
        </w:rPr>
        <w:t>and</w:t>
      </w:r>
      <w:r w:rsidR="003E5A8F">
        <w:rPr>
          <w:szCs w:val="20"/>
        </w:rPr>
        <w:t xml:space="preserve"> the purchaser </w:t>
      </w:r>
      <w:r w:rsidR="004552B0">
        <w:rPr>
          <w:szCs w:val="20"/>
        </w:rPr>
        <w:t xml:space="preserve">increasing the amount </w:t>
      </w:r>
      <w:r w:rsidR="007A13C5">
        <w:rPr>
          <w:szCs w:val="20"/>
        </w:rPr>
        <w:t xml:space="preserve">they </w:t>
      </w:r>
      <w:r w:rsidR="009818E7">
        <w:rPr>
          <w:szCs w:val="20"/>
        </w:rPr>
        <w:t>treat as depreciable</w:t>
      </w:r>
      <w:r w:rsidR="00240E68">
        <w:rPr>
          <w:szCs w:val="20"/>
        </w:rPr>
        <w:t xml:space="preserve"> (or otherwise deductible)</w:t>
      </w:r>
      <w:r w:rsidR="009818E7">
        <w:rPr>
          <w:szCs w:val="20"/>
        </w:rPr>
        <w:t xml:space="preserve">.  </w:t>
      </w:r>
      <w:r w:rsidR="006867B6">
        <w:rPr>
          <w:szCs w:val="20"/>
        </w:rPr>
        <w:t xml:space="preserve"> </w:t>
      </w:r>
    </w:p>
    <w:p w14:paraId="7C2EA4BB" w14:textId="77777777" w:rsidR="00F527DF" w:rsidRDefault="206928AB" w:rsidP="00A57D84">
      <w:pPr>
        <w:pStyle w:val="NumberedParagraph"/>
      </w:pPr>
      <w:r w:rsidRPr="00824E21">
        <w:t xml:space="preserve">The </w:t>
      </w:r>
      <w:r w:rsidR="0ECE16A7" w:rsidRPr="00824E21">
        <w:t xml:space="preserve">issues paper </w:t>
      </w:r>
      <w:r w:rsidR="004122E0">
        <w:t xml:space="preserve">seeks feedback on </w:t>
      </w:r>
      <w:r w:rsidR="00240E68">
        <w:t xml:space="preserve">this issue, and in particular, on </w:t>
      </w:r>
      <w:r w:rsidR="004122E0">
        <w:t>a</w:t>
      </w:r>
      <w:r w:rsidR="007A5A4B">
        <w:t xml:space="preserve"> solution </w:t>
      </w:r>
      <w:r w:rsidR="0ECE16A7" w:rsidRPr="00824E21">
        <w:t>that</w:t>
      </w:r>
      <w:r w:rsidR="004804D4">
        <w:t>,</w:t>
      </w:r>
      <w:r w:rsidR="0ECE16A7" w:rsidRPr="00824E21">
        <w:t xml:space="preserve"> </w:t>
      </w:r>
      <w:r w:rsidR="004804D4">
        <w:t xml:space="preserve">in broad terms, </w:t>
      </w:r>
      <w:r w:rsidR="00095FBB">
        <w:t xml:space="preserve">would require the </w:t>
      </w:r>
      <w:r w:rsidR="0ECE16A7" w:rsidRPr="00824E21">
        <w:t>vendor and purchaser to use the same allocation</w:t>
      </w:r>
      <w:r w:rsidR="000475F5">
        <w:t>, based on market values</w:t>
      </w:r>
      <w:r w:rsidR="004804D4">
        <w:t>.</w:t>
      </w:r>
      <w:r w:rsidR="00DF7C65">
        <w:t xml:space="preserve">  </w:t>
      </w:r>
      <w:r w:rsidR="005A47BE">
        <w:t>The</w:t>
      </w:r>
      <w:r w:rsidR="00240E68">
        <w:t xml:space="preserve"> paper proposes the idea of </w:t>
      </w:r>
      <w:r w:rsidR="00C15E73">
        <w:t xml:space="preserve">a </w:t>
      </w:r>
      <w:r w:rsidR="00DF7C65">
        <w:t>de minimis</w:t>
      </w:r>
      <w:r w:rsidR="00240E68">
        <w:t xml:space="preserve"> threshold</w:t>
      </w:r>
      <w:r w:rsidR="008E5C98">
        <w:t>, to reduce compliance costs.</w:t>
      </w:r>
    </w:p>
    <w:p w14:paraId="24729BA3" w14:textId="77777777" w:rsidR="53563BFB" w:rsidRPr="00A57D84" w:rsidDel="735F4AD9" w:rsidRDefault="00240E68" w:rsidP="00A57D84">
      <w:pPr>
        <w:pStyle w:val="NumberedParagraph"/>
      </w:pPr>
      <w:r>
        <w:t>Under the proposal in the issues paper, i</w:t>
      </w:r>
      <w:r w:rsidR="6EA74DE5" w:rsidRPr="00824E21">
        <w:rPr>
          <w:szCs w:val="20"/>
        </w:rPr>
        <w:t xml:space="preserve">f </w:t>
      </w:r>
      <w:r w:rsidR="735F4AD9" w:rsidRPr="00824E21">
        <w:rPr>
          <w:szCs w:val="20"/>
        </w:rPr>
        <w:t xml:space="preserve">the two parties cannot agree on an allocation, the purchaser </w:t>
      </w:r>
      <w:r w:rsidR="581D576E" w:rsidRPr="00A57D84">
        <w:rPr>
          <w:szCs w:val="20"/>
        </w:rPr>
        <w:t xml:space="preserve">would be </w:t>
      </w:r>
      <w:r w:rsidR="57F30CC3" w:rsidRPr="00A57D84">
        <w:rPr>
          <w:szCs w:val="20"/>
        </w:rPr>
        <w:t>required to</w:t>
      </w:r>
      <w:r w:rsidR="735F4AD9" w:rsidRPr="00A57D84">
        <w:rPr>
          <w:szCs w:val="20"/>
        </w:rPr>
        <w:t xml:space="preserve"> use the vendor’s allocation. </w:t>
      </w:r>
      <w:r w:rsidR="000A24FE">
        <w:rPr>
          <w:szCs w:val="20"/>
        </w:rPr>
        <w:t xml:space="preserve"> </w:t>
      </w:r>
      <w:r w:rsidR="005B15D3">
        <w:rPr>
          <w:szCs w:val="20"/>
        </w:rPr>
        <w:t>T</w:t>
      </w:r>
      <w:r w:rsidR="00341BB0">
        <w:rPr>
          <w:szCs w:val="20"/>
        </w:rPr>
        <w:t xml:space="preserve">he vendor </w:t>
      </w:r>
      <w:r>
        <w:rPr>
          <w:szCs w:val="20"/>
        </w:rPr>
        <w:t>would be required to</w:t>
      </w:r>
      <w:r w:rsidR="7D4EC5B2" w:rsidRPr="00A57D84">
        <w:rPr>
          <w:szCs w:val="20"/>
        </w:rPr>
        <w:t xml:space="preserve"> </w:t>
      </w:r>
      <w:r w:rsidR="735F4AD9" w:rsidRPr="00A57D84">
        <w:rPr>
          <w:szCs w:val="20"/>
        </w:rPr>
        <w:t>disclose their allocation to the purchaser</w:t>
      </w:r>
      <w:r w:rsidR="00341BB0">
        <w:rPr>
          <w:szCs w:val="20"/>
        </w:rPr>
        <w:t xml:space="preserve">, and </w:t>
      </w:r>
      <w:r w:rsidR="005B15D3">
        <w:rPr>
          <w:szCs w:val="20"/>
        </w:rPr>
        <w:t>if they d</w:t>
      </w:r>
      <w:r>
        <w:rPr>
          <w:szCs w:val="20"/>
        </w:rPr>
        <w:t>id</w:t>
      </w:r>
      <w:r w:rsidR="005B15D3">
        <w:rPr>
          <w:szCs w:val="20"/>
        </w:rPr>
        <w:t xml:space="preserve"> not</w:t>
      </w:r>
      <w:r w:rsidR="00E8482E">
        <w:rPr>
          <w:szCs w:val="20"/>
        </w:rPr>
        <w:t xml:space="preserve"> do so on a timely basis, they </w:t>
      </w:r>
      <w:r>
        <w:rPr>
          <w:szCs w:val="20"/>
        </w:rPr>
        <w:t>would have to</w:t>
      </w:r>
      <w:r w:rsidR="00855733">
        <w:rPr>
          <w:szCs w:val="20"/>
        </w:rPr>
        <w:t xml:space="preserve"> use the purchaser’s allocation</w:t>
      </w:r>
      <w:r w:rsidR="00376649">
        <w:rPr>
          <w:szCs w:val="20"/>
        </w:rPr>
        <w:t>.</w:t>
      </w:r>
      <w:r w:rsidR="5B18134B" w:rsidRPr="00A57D84">
        <w:rPr>
          <w:szCs w:val="20"/>
        </w:rPr>
        <w:t xml:space="preserve"> </w:t>
      </w:r>
    </w:p>
    <w:p w14:paraId="5BC97FE0" w14:textId="77777777" w:rsidR="664AF6D5" w:rsidRPr="00A57D84" w:rsidRDefault="00032F91" w:rsidP="008A7897">
      <w:pPr>
        <w:pStyle w:val="NumberedParagraph"/>
      </w:pPr>
      <w:r>
        <w:rPr>
          <w:szCs w:val="20"/>
        </w:rPr>
        <w:t>W</w:t>
      </w:r>
      <w:r w:rsidRPr="00824E21">
        <w:rPr>
          <w:szCs w:val="20"/>
        </w:rPr>
        <w:t xml:space="preserve">e have engaged with </w:t>
      </w:r>
      <w:r w:rsidRPr="00A57D84">
        <w:rPr>
          <w:szCs w:val="20"/>
        </w:rPr>
        <w:t>a variety of private sector stakeholders over the past 18 months</w:t>
      </w:r>
      <w:r>
        <w:t xml:space="preserve"> with respect to this issue.  </w:t>
      </w:r>
      <w:r w:rsidR="00B23A72">
        <w:t>We plan to meet again with t</w:t>
      </w:r>
      <w:r w:rsidR="54859DBD" w:rsidRPr="00A57D84">
        <w:t>he Corporate Taxpayers Group</w:t>
      </w:r>
      <w:r w:rsidR="00B23A72">
        <w:t xml:space="preserve">, </w:t>
      </w:r>
      <w:r w:rsidR="54859DBD" w:rsidRPr="00A57D84">
        <w:t>Chartered Accountants Australia and New Zealand</w:t>
      </w:r>
      <w:r w:rsidR="00B23A72">
        <w:t xml:space="preserve">, and New Zealand Law Society </w:t>
      </w:r>
      <w:r w:rsidR="002574E9">
        <w:t>prior to the issues paper’s release</w:t>
      </w:r>
      <w:r w:rsidR="007C50C2">
        <w:t xml:space="preserve"> to update them on progress</w:t>
      </w:r>
      <w:r w:rsidR="54859DBD" w:rsidRPr="00A57D84">
        <w:t xml:space="preserve">. </w:t>
      </w:r>
    </w:p>
    <w:p w14:paraId="5C3B8F09" w14:textId="73480F90" w:rsidR="00024462" w:rsidRPr="00645817" w:rsidRDefault="001801E7" w:rsidP="0051152A">
      <w:pPr>
        <w:pStyle w:val="NumberedParagraph"/>
      </w:pPr>
      <w:r>
        <w:t>If</w:t>
      </w:r>
      <w:r w:rsidR="007A5167">
        <w:t xml:space="preserve"> th</w:t>
      </w:r>
      <w:r w:rsidR="005D1A1A">
        <w:t>ese changes</w:t>
      </w:r>
      <w:r w:rsidR="00A310CF">
        <w:t xml:space="preserve"> are</w:t>
      </w:r>
      <w:r w:rsidR="005D1A1A">
        <w:t xml:space="preserve"> implemented </w:t>
      </w:r>
      <w:r w:rsidR="00240E68">
        <w:t xml:space="preserve">as proposed in the issues paper, applying to </w:t>
      </w:r>
      <w:r w:rsidR="005D1A1A">
        <w:t xml:space="preserve">transactions occurring </w:t>
      </w:r>
      <w:r w:rsidR="00240E68">
        <w:t xml:space="preserve">on or after </w:t>
      </w:r>
      <w:r w:rsidR="005D1A1A">
        <w:t xml:space="preserve">1 April 2021, </w:t>
      </w:r>
      <w:r w:rsidR="00D22252">
        <w:t xml:space="preserve">we estimate </w:t>
      </w:r>
      <w:r w:rsidR="00F5665E">
        <w:t xml:space="preserve">they </w:t>
      </w:r>
      <w:r w:rsidR="00A310CF">
        <w:t>will</w:t>
      </w:r>
      <w:r w:rsidR="00F5665E">
        <w:t xml:space="preserve"> </w:t>
      </w:r>
      <w:r w:rsidR="00D22252">
        <w:t>raise approximately</w:t>
      </w:r>
      <w:r w:rsidR="00F5665E">
        <w:t xml:space="preserve"> </w:t>
      </w:r>
      <w:r w:rsidR="00236749" w:rsidRPr="002B08FB">
        <w:rPr>
          <w:shd w:val="clear" w:color="auto" w:fill="BFBFBF" w:themeFill="background1" w:themeFillShade="BF"/>
        </w:rPr>
        <w:t xml:space="preserve">s 9(2)(f)(iv) </w:t>
      </w:r>
      <w:r w:rsidR="006D6EB0">
        <w:t xml:space="preserve"> </w:t>
      </w:r>
      <w:r w:rsidR="00032F56">
        <w:t xml:space="preserve">over the forecast period. </w:t>
      </w:r>
      <w:r w:rsidR="00D22252">
        <w:t xml:space="preserve"> </w:t>
      </w:r>
      <w:r w:rsidR="00272D00" w:rsidRPr="001C1A44">
        <w:rPr>
          <w:szCs w:val="20"/>
        </w:rPr>
        <w:t>Th</w:t>
      </w:r>
      <w:r w:rsidR="00E258EC" w:rsidRPr="001C1A44">
        <w:rPr>
          <w:szCs w:val="20"/>
        </w:rPr>
        <w:t>is</w:t>
      </w:r>
      <w:r w:rsidR="00272D00" w:rsidRPr="001C1A44">
        <w:rPr>
          <w:szCs w:val="20"/>
        </w:rPr>
        <w:t xml:space="preserve"> revenue </w:t>
      </w:r>
      <w:r w:rsidR="00E258EC" w:rsidRPr="001C1A44">
        <w:rPr>
          <w:szCs w:val="20"/>
        </w:rPr>
        <w:t>could</w:t>
      </w:r>
      <w:r w:rsidR="007521D7">
        <w:rPr>
          <w:szCs w:val="20"/>
        </w:rPr>
        <w:t xml:space="preserve"> be used to</w:t>
      </w:r>
      <w:r w:rsidR="00F43F9D">
        <w:rPr>
          <w:szCs w:val="20"/>
        </w:rPr>
        <w:t xml:space="preserve"> increase gross spending in</w:t>
      </w:r>
      <w:r w:rsidR="00272D00" w:rsidRPr="001C1A44">
        <w:rPr>
          <w:szCs w:val="20"/>
        </w:rPr>
        <w:t xml:space="preserve"> Budget 2020</w:t>
      </w:r>
      <w:r w:rsidR="00E258EC" w:rsidRPr="001C1A44">
        <w:rPr>
          <w:szCs w:val="20"/>
        </w:rPr>
        <w:t xml:space="preserve"> if final </w:t>
      </w:r>
      <w:r w:rsidR="00A33EB6">
        <w:rPr>
          <w:szCs w:val="20"/>
        </w:rPr>
        <w:t xml:space="preserve">policy </w:t>
      </w:r>
      <w:r w:rsidR="00E258EC" w:rsidRPr="001C1A44">
        <w:rPr>
          <w:szCs w:val="20"/>
        </w:rPr>
        <w:t xml:space="preserve">decisions </w:t>
      </w:r>
      <w:r w:rsidR="00175844">
        <w:rPr>
          <w:szCs w:val="20"/>
        </w:rPr>
        <w:t xml:space="preserve">to proceed </w:t>
      </w:r>
      <w:r w:rsidR="00E258EC" w:rsidRPr="001C1A44">
        <w:rPr>
          <w:szCs w:val="20"/>
        </w:rPr>
        <w:t xml:space="preserve">are made by </w:t>
      </w:r>
      <w:r w:rsidR="00240E68">
        <w:rPr>
          <w:szCs w:val="20"/>
        </w:rPr>
        <w:t>mid to late</w:t>
      </w:r>
      <w:r w:rsidR="00E258EC" w:rsidRPr="001C1A44">
        <w:rPr>
          <w:szCs w:val="20"/>
        </w:rPr>
        <w:t xml:space="preserve"> March 2020.</w:t>
      </w:r>
      <w:r w:rsidR="00272D00" w:rsidRPr="001C1A44">
        <w:rPr>
          <w:szCs w:val="20"/>
        </w:rPr>
        <w:t xml:space="preserve"> </w:t>
      </w:r>
      <w:r w:rsidR="001C1A44">
        <w:rPr>
          <w:szCs w:val="20"/>
        </w:rPr>
        <w:t xml:space="preserve"> </w:t>
      </w:r>
    </w:p>
    <w:p w14:paraId="73EB443A" w14:textId="2B51EA34" w:rsidR="00240E68" w:rsidRDefault="00205DC1" w:rsidP="00A867F8">
      <w:pPr>
        <w:pStyle w:val="NumberedParagraph"/>
      </w:pPr>
      <w:r w:rsidRPr="00824E21">
        <w:t xml:space="preserve">To meet </w:t>
      </w:r>
      <w:r w:rsidR="00641754">
        <w:t xml:space="preserve">this </w:t>
      </w:r>
      <w:r w:rsidR="0064339D">
        <w:t>t</w:t>
      </w:r>
      <w:r w:rsidR="00177CC7">
        <w:t>imeframe, we</w:t>
      </w:r>
      <w:r w:rsidRPr="00824E21">
        <w:t xml:space="preserve"> recommend that you obtain Cabinet’s approval to release</w:t>
      </w:r>
      <w:r w:rsidR="002229C5" w:rsidRPr="00824E21">
        <w:t xml:space="preserve"> the issues paper </w:t>
      </w:r>
      <w:r w:rsidR="00DF6247" w:rsidRPr="00824E21">
        <w:t xml:space="preserve">in </w:t>
      </w:r>
      <w:r w:rsidR="00DB2904" w:rsidRPr="006E25EF">
        <w:t>mid-December 2019</w:t>
      </w:r>
      <w:r w:rsidR="00240E68">
        <w:t xml:space="preserve"> (before HYEFU on 11 December)</w:t>
      </w:r>
      <w:r w:rsidR="00CA0A44" w:rsidRPr="00A57D84">
        <w:t xml:space="preserve">. We have attached a </w:t>
      </w:r>
      <w:r w:rsidR="00AB7FC3" w:rsidRPr="00A57D84">
        <w:t>suggested draft</w:t>
      </w:r>
      <w:r w:rsidR="002229C5" w:rsidRPr="00A57D84">
        <w:t xml:space="preserve"> </w:t>
      </w:r>
      <w:r w:rsidR="00DB6597" w:rsidRPr="00A57D84">
        <w:t>Cabinet paper</w:t>
      </w:r>
      <w:r w:rsidR="002229C5" w:rsidRPr="00A57D84">
        <w:t xml:space="preserve"> </w:t>
      </w:r>
      <w:r w:rsidR="00AB7FC3" w:rsidRPr="00A57D84">
        <w:t>for</w:t>
      </w:r>
      <w:r w:rsidR="002229C5" w:rsidRPr="00A57D84">
        <w:t xml:space="preserve"> Cabinet’s Economic Development Committee</w:t>
      </w:r>
      <w:r w:rsidR="00047AD2">
        <w:t>’s</w:t>
      </w:r>
      <w:r w:rsidR="002229C5" w:rsidRPr="00A57D84">
        <w:t xml:space="preserve"> meeting on </w:t>
      </w:r>
      <w:r w:rsidR="00C93795" w:rsidRPr="006E25EF">
        <w:t>4 December 2019</w:t>
      </w:r>
      <w:r w:rsidR="001326C9">
        <w:t>, which would need to be</w:t>
      </w:r>
      <w:r w:rsidR="00F2415A" w:rsidRPr="00A57D84">
        <w:t xml:space="preserve"> submitted to Cabinet Office by 10am on </w:t>
      </w:r>
      <w:r w:rsidR="00990461" w:rsidRPr="006E25EF">
        <w:t>Thursday 28 November 2019.</w:t>
      </w:r>
      <w:r w:rsidR="00187B78">
        <w:t xml:space="preserve"> </w:t>
      </w:r>
      <w:r w:rsidR="00240E68">
        <w:t>This would allow the issues paper to be released before HYEFU</w:t>
      </w:r>
      <w:r w:rsidR="00BF3C85">
        <w:t xml:space="preserve"> – there is currently </w:t>
      </w:r>
      <w:r w:rsidR="00240E68">
        <w:t xml:space="preserve">a specific fiscal risk </w:t>
      </w:r>
      <w:r w:rsidR="00BF3C85">
        <w:t>for</w:t>
      </w:r>
      <w:r w:rsidR="00240E68">
        <w:t xml:space="preserve"> this proposal</w:t>
      </w:r>
      <w:r w:rsidR="00BF3C85">
        <w:t>.</w:t>
      </w:r>
      <w:r w:rsidR="00240E68">
        <w:t xml:space="preserve"> </w:t>
      </w:r>
      <w:r w:rsidR="00BF3C85">
        <w:t>I</w:t>
      </w:r>
      <w:r w:rsidR="00240E68">
        <w:t xml:space="preserve">f the issues paper were released after HYEFU, then the </w:t>
      </w:r>
      <w:r w:rsidR="00BF3C85">
        <w:lastRenderedPageBreak/>
        <w:t>disclosure of</w:t>
      </w:r>
      <w:r w:rsidR="00240E68">
        <w:t xml:space="preserve"> the specific fiscal risk </w:t>
      </w:r>
      <w:r w:rsidR="00BF3C85">
        <w:t xml:space="preserve">at HYEFU </w:t>
      </w:r>
      <w:r w:rsidR="00240E68">
        <w:t xml:space="preserve">would pre-empt </w:t>
      </w:r>
      <w:r w:rsidR="00BF3C85">
        <w:t>the release of the issues paper</w:t>
      </w:r>
      <w:r w:rsidR="00240E68">
        <w:t xml:space="preserve">. </w:t>
      </w:r>
    </w:p>
    <w:p w14:paraId="23A55DDB" w14:textId="77777777" w:rsidR="00A867F8" w:rsidRPr="00645817" w:rsidRDefault="00153ECE" w:rsidP="00A867F8">
      <w:pPr>
        <w:pStyle w:val="NumberedParagraph"/>
      </w:pPr>
      <w:r>
        <w:t xml:space="preserve">Given the tight timeframe for </w:t>
      </w:r>
      <w:r w:rsidR="00107E20">
        <w:t>achieving final decisions by the end of March, th</w:t>
      </w:r>
      <w:r w:rsidR="00187B78">
        <w:t>e draft</w:t>
      </w:r>
      <w:r w:rsidR="00107E20">
        <w:t xml:space="preserve"> Cabinet paper</w:t>
      </w:r>
      <w:r w:rsidR="00187B78">
        <w:t xml:space="preserve"> </w:t>
      </w:r>
      <w:r w:rsidR="002A66CF">
        <w:t xml:space="preserve">also seeks Cabinet’s approval to delegate to you the </w:t>
      </w:r>
      <w:r w:rsidR="00D72219">
        <w:t xml:space="preserve">ability to make final decisions on this issue once feedback </w:t>
      </w:r>
      <w:r w:rsidR="009105B4">
        <w:t>has been</w:t>
      </w:r>
      <w:r w:rsidR="00D72219">
        <w:t xml:space="preserve"> received. </w:t>
      </w:r>
    </w:p>
    <w:p w14:paraId="1A0E6CE8" w14:textId="77777777" w:rsidR="00811AC6" w:rsidRDefault="00811AC6" w:rsidP="00A2547F">
      <w:pPr>
        <w:pStyle w:val="Heading1"/>
      </w:pPr>
      <w:r>
        <w:t>Recommended action</w:t>
      </w:r>
    </w:p>
    <w:p w14:paraId="3674CBA9" w14:textId="77777777" w:rsidR="00DB59D8" w:rsidRPr="00A57D84" w:rsidRDefault="00DB59D8" w:rsidP="00DB59D8">
      <w:pPr>
        <w:pStyle w:val="NumberedParagraph"/>
      </w:pPr>
      <w:r>
        <w:t>We recommend that you:</w:t>
      </w:r>
    </w:p>
    <w:p w14:paraId="39B5E1E5" w14:textId="313A170B" w:rsidR="00BF3C85" w:rsidRPr="00824E21" w:rsidRDefault="00086360" w:rsidP="00BF3C85">
      <w:pPr>
        <w:spacing w:line="240" w:lineRule="auto"/>
        <w:ind w:left="720" w:hanging="720"/>
        <w:rPr>
          <w:color w:val="FF0000"/>
        </w:rPr>
      </w:pPr>
      <w:r>
        <w:t>(a)</w:t>
      </w:r>
      <w:r>
        <w:tab/>
      </w:r>
      <w:r w:rsidR="00BF3C85" w:rsidRPr="00824E21">
        <w:rPr>
          <w:b/>
        </w:rPr>
        <w:t>agree</w:t>
      </w:r>
      <w:r w:rsidR="00BF3C85">
        <w:t xml:space="preserve"> to submit the attached draft Cabinet paper seeking Cabinet’s approval to release the issues paper</w:t>
      </w:r>
      <w:r w:rsidR="007F718D">
        <w:t xml:space="preserve"> on 10 December</w:t>
      </w:r>
      <w:r w:rsidR="00BF3C85">
        <w:t xml:space="preserve"> to Cabinet’s Economic Development Committee in time for its meeting on </w:t>
      </w:r>
      <w:r w:rsidR="00BF3C85" w:rsidRPr="00C75CEF">
        <w:t>4 December 2019</w:t>
      </w:r>
      <w:r w:rsidR="007F718D">
        <w:t>;</w:t>
      </w:r>
    </w:p>
    <w:p w14:paraId="11A7DD52" w14:textId="77777777" w:rsidR="00BF3C85" w:rsidRDefault="00BF3C85" w:rsidP="00BF3C85">
      <w:pPr>
        <w:ind w:left="720" w:hanging="720"/>
      </w:pPr>
    </w:p>
    <w:p w14:paraId="29F16735" w14:textId="0C8C4911" w:rsidR="009A75DB" w:rsidRDefault="00BF3C85">
      <w:pPr>
        <w:ind w:left="720" w:hanging="720"/>
      </w:pPr>
      <w:r>
        <w:tab/>
        <w:t>Agreed/Not agreed</w:t>
      </w:r>
      <w:r>
        <w:tab/>
      </w:r>
      <w:r>
        <w:tab/>
      </w:r>
      <w:r>
        <w:tab/>
      </w:r>
      <w:r>
        <w:tab/>
        <w:t>Agreed/Not agreed</w:t>
      </w:r>
    </w:p>
    <w:p w14:paraId="2D111893" w14:textId="77777777" w:rsidR="002F2D90" w:rsidRDefault="002F2D90" w:rsidP="009A75DB">
      <w:pPr>
        <w:ind w:left="720" w:hanging="720"/>
      </w:pPr>
    </w:p>
    <w:p w14:paraId="03E87B59" w14:textId="128BCBCE" w:rsidR="002F2D90" w:rsidRDefault="002F2D90" w:rsidP="00E53D00">
      <w:pPr>
        <w:spacing w:line="240" w:lineRule="auto"/>
        <w:ind w:left="720" w:hanging="720"/>
      </w:pPr>
      <w:r>
        <w:t>(b)</w:t>
      </w:r>
      <w:r>
        <w:tab/>
      </w:r>
      <w:r w:rsidRPr="00824E21">
        <w:rPr>
          <w:b/>
        </w:rPr>
        <w:t>note</w:t>
      </w:r>
      <w:r>
        <w:t xml:space="preserve"> that </w:t>
      </w:r>
      <w:r w:rsidR="00524CA8">
        <w:t xml:space="preserve">if </w:t>
      </w:r>
      <w:r w:rsidR="00E53D00">
        <w:t xml:space="preserve">these changes were implemented for transactions occurring </w:t>
      </w:r>
      <w:r w:rsidR="00812501">
        <w:t>from</w:t>
      </w:r>
      <w:r w:rsidR="00E53D00">
        <w:t xml:space="preserve"> 1 April 2021, they would raise approximately </w:t>
      </w:r>
      <w:r w:rsidR="002B08FB" w:rsidRPr="002B08FB">
        <w:rPr>
          <w:shd w:val="clear" w:color="auto" w:fill="BFBFBF" w:themeFill="background1" w:themeFillShade="BF"/>
        </w:rPr>
        <w:t xml:space="preserve">s 9(2)(f)(iv) </w:t>
      </w:r>
      <w:r w:rsidR="00E53D00">
        <w:t xml:space="preserve"> over the forecast </w:t>
      </w:r>
      <w:proofErr w:type="gramStart"/>
      <w:r w:rsidR="00E53D00">
        <w:t>perio</w:t>
      </w:r>
      <w:r w:rsidR="0044398D">
        <w:t>d</w:t>
      </w:r>
      <w:r>
        <w:t>;</w:t>
      </w:r>
      <w:proofErr w:type="gramEnd"/>
    </w:p>
    <w:p w14:paraId="08D0C4CD" w14:textId="77777777" w:rsidR="00195F77" w:rsidRDefault="00195F77" w:rsidP="009A75DB">
      <w:pPr>
        <w:ind w:left="720" w:hanging="720"/>
      </w:pPr>
    </w:p>
    <w:p w14:paraId="4C1A9A2E" w14:textId="77777777" w:rsidR="00195F77" w:rsidRDefault="00195F77" w:rsidP="009A75DB">
      <w:pPr>
        <w:ind w:left="720" w:hanging="720"/>
      </w:pPr>
      <w:r>
        <w:tab/>
        <w:t>Noted</w:t>
      </w:r>
      <w:r>
        <w:tab/>
      </w:r>
      <w:r>
        <w:tab/>
      </w:r>
      <w:r>
        <w:tab/>
      </w:r>
      <w:r>
        <w:tab/>
      </w:r>
      <w:r>
        <w:tab/>
      </w:r>
      <w:r>
        <w:tab/>
      </w:r>
      <w:proofErr w:type="spellStart"/>
      <w:r>
        <w:t>Noted</w:t>
      </w:r>
      <w:proofErr w:type="spellEnd"/>
    </w:p>
    <w:p w14:paraId="3399A8E9" w14:textId="77777777" w:rsidR="001748E0" w:rsidRDefault="001748E0" w:rsidP="009A75DB">
      <w:pPr>
        <w:ind w:left="720" w:hanging="720"/>
      </w:pPr>
    </w:p>
    <w:p w14:paraId="28F1B016" w14:textId="1975456A" w:rsidR="006D7B1E" w:rsidRDefault="006D7B1E" w:rsidP="006D7B1E">
      <w:pPr>
        <w:spacing w:line="240" w:lineRule="auto"/>
        <w:ind w:left="720" w:hanging="720"/>
      </w:pPr>
      <w:r>
        <w:t>(c)</w:t>
      </w:r>
      <w:r>
        <w:tab/>
      </w:r>
      <w:r w:rsidRPr="00824E21">
        <w:rPr>
          <w:b/>
        </w:rPr>
        <w:t>note</w:t>
      </w:r>
      <w:r>
        <w:t xml:space="preserve"> that final </w:t>
      </w:r>
      <w:r w:rsidR="00E9289D">
        <w:t xml:space="preserve">policy </w:t>
      </w:r>
      <w:r>
        <w:t xml:space="preserve">decisions would need to be made by the end </w:t>
      </w:r>
      <w:r w:rsidR="00F95BA6">
        <w:t xml:space="preserve">of </w:t>
      </w:r>
      <w:r>
        <w:t xml:space="preserve">March 2020 </w:t>
      </w:r>
      <w:r w:rsidR="008615C5">
        <w:t>for the estimated additional revenue to be</w:t>
      </w:r>
      <w:r w:rsidR="007521D7">
        <w:t xml:space="preserve"> able to be used to increase gross spending in</w:t>
      </w:r>
      <w:r w:rsidR="007521D7" w:rsidRPr="001C1A44">
        <w:t xml:space="preserve"> Budget 2020</w:t>
      </w:r>
      <w:r w:rsidR="007F718D">
        <w:t>.</w:t>
      </w:r>
      <w:r w:rsidR="007F718D" w:rsidRPr="001C1A44">
        <w:t xml:space="preserve"> </w:t>
      </w:r>
    </w:p>
    <w:p w14:paraId="5AFD13BB" w14:textId="77777777" w:rsidR="006D7B1E" w:rsidRDefault="006D7B1E" w:rsidP="006D7B1E">
      <w:pPr>
        <w:ind w:left="720" w:hanging="720"/>
      </w:pPr>
    </w:p>
    <w:p w14:paraId="76485CD1" w14:textId="025604FC" w:rsidR="00BB0BD5" w:rsidRDefault="006D7B1E">
      <w:pPr>
        <w:ind w:left="720" w:hanging="720"/>
      </w:pPr>
      <w:r>
        <w:tab/>
        <w:t>Noted</w:t>
      </w:r>
      <w:r>
        <w:tab/>
      </w:r>
      <w:r>
        <w:tab/>
      </w:r>
      <w:r>
        <w:tab/>
      </w:r>
      <w:r>
        <w:tab/>
      </w:r>
      <w:r>
        <w:tab/>
      </w:r>
      <w:r>
        <w:tab/>
      </w:r>
      <w:proofErr w:type="spellStart"/>
      <w:r>
        <w:t>Noted</w:t>
      </w:r>
      <w:proofErr w:type="spellEnd"/>
    </w:p>
    <w:p w14:paraId="511DAE05" w14:textId="77777777" w:rsidR="0065244F" w:rsidRDefault="0065244F" w:rsidP="009A75DB">
      <w:pPr>
        <w:ind w:left="720" w:hanging="720"/>
      </w:pPr>
    </w:p>
    <w:p w14:paraId="7AA9C576" w14:textId="77777777" w:rsidR="001748E0" w:rsidRPr="00195F77" w:rsidRDefault="001748E0" w:rsidP="009A75DB">
      <w:pPr>
        <w:ind w:left="720" w:hanging="720"/>
      </w:pPr>
    </w:p>
    <w:p w14:paraId="5E09434A" w14:textId="77777777" w:rsidR="006222B9" w:rsidRPr="008331C2" w:rsidRDefault="006222B9" w:rsidP="008331C2"/>
    <w:p w14:paraId="24675ECD" w14:textId="77777777" w:rsidR="006222B9" w:rsidRPr="008331C2" w:rsidRDefault="006222B9" w:rsidP="008331C2"/>
    <w:p w14:paraId="2CACAE0C" w14:textId="77777777" w:rsidR="00811AC6" w:rsidRDefault="00811AC6" w:rsidP="008331C2"/>
    <w:p w14:paraId="779DD873" w14:textId="77777777" w:rsidR="008331C2" w:rsidRDefault="008331C2" w:rsidP="008331C2"/>
    <w:p w14:paraId="7D85A8A9" w14:textId="77777777" w:rsidR="008331C2" w:rsidRPr="008331C2" w:rsidRDefault="008331C2" w:rsidP="008331C2"/>
    <w:p w14:paraId="0BA46963" w14:textId="77777777" w:rsidR="00E41EAB" w:rsidRDefault="00E41EAB" w:rsidP="006222B9">
      <w:pPr>
        <w:tabs>
          <w:tab w:val="left" w:pos="4536"/>
        </w:tabs>
        <w:rPr>
          <w:rStyle w:val="Strong"/>
        </w:rPr>
      </w:pPr>
    </w:p>
    <w:p w14:paraId="3D6BB689" w14:textId="77777777" w:rsidR="007954DC" w:rsidRDefault="00340D57" w:rsidP="00C15E73">
      <w:pPr>
        <w:tabs>
          <w:tab w:val="left" w:pos="4536"/>
        </w:tabs>
        <w:ind w:left="720"/>
        <w:rPr>
          <w:rStyle w:val="Strong"/>
        </w:rPr>
      </w:pPr>
      <w:r>
        <w:rPr>
          <w:rStyle w:val="Strong"/>
        </w:rPr>
        <w:t>Mark Vink</w:t>
      </w:r>
      <w:r w:rsidR="00811AC6">
        <w:tab/>
      </w:r>
      <w:r w:rsidR="00524CA8">
        <w:tab/>
      </w:r>
      <w:r w:rsidR="00D5359F">
        <w:rPr>
          <w:rStyle w:val="Strong"/>
        </w:rPr>
        <w:t xml:space="preserve">Casey </w:t>
      </w:r>
      <w:r w:rsidR="007954DC">
        <w:rPr>
          <w:rStyle w:val="Strong"/>
        </w:rPr>
        <w:t>Plunket</w:t>
      </w:r>
    </w:p>
    <w:p w14:paraId="684668C1" w14:textId="77777777" w:rsidR="00811AC6" w:rsidRDefault="00340D57" w:rsidP="00C15E73">
      <w:pPr>
        <w:tabs>
          <w:tab w:val="left" w:pos="4536"/>
        </w:tabs>
        <w:ind w:left="720"/>
      </w:pPr>
      <w:r>
        <w:t>Manager</w:t>
      </w:r>
      <w:r w:rsidR="00811AC6">
        <w:tab/>
      </w:r>
      <w:r w:rsidR="00524CA8">
        <w:tab/>
      </w:r>
      <w:r w:rsidR="002C5FA8">
        <w:t>Special Advisor</w:t>
      </w:r>
    </w:p>
    <w:p w14:paraId="702D9CC9" w14:textId="77777777" w:rsidR="00811AC6" w:rsidRDefault="00811AC6" w:rsidP="00C15E73">
      <w:pPr>
        <w:tabs>
          <w:tab w:val="left" w:pos="4536"/>
        </w:tabs>
        <w:ind w:left="720"/>
      </w:pPr>
      <w:r>
        <w:t>The Treasury</w:t>
      </w:r>
      <w:r>
        <w:tab/>
      </w:r>
      <w:r w:rsidR="00524CA8">
        <w:tab/>
      </w:r>
      <w:r>
        <w:t>Policy and Strategy</w:t>
      </w:r>
      <w:r w:rsidR="008331C2">
        <w:t xml:space="preserve">, </w:t>
      </w:r>
      <w:r>
        <w:t>Inland Revenue</w:t>
      </w:r>
    </w:p>
    <w:p w14:paraId="20E4C1B5" w14:textId="77777777" w:rsidR="00811AC6" w:rsidRDefault="00811AC6" w:rsidP="00C15E73">
      <w:pPr>
        <w:ind w:left="720"/>
      </w:pPr>
    </w:p>
    <w:p w14:paraId="02E80BCF" w14:textId="77777777" w:rsidR="00811AC6" w:rsidRDefault="00811AC6" w:rsidP="00C15E73">
      <w:pPr>
        <w:ind w:left="720"/>
      </w:pPr>
    </w:p>
    <w:p w14:paraId="1B19A984" w14:textId="77777777" w:rsidR="008331C2" w:rsidRDefault="008331C2" w:rsidP="00C15E73">
      <w:pPr>
        <w:ind w:left="720"/>
      </w:pPr>
    </w:p>
    <w:p w14:paraId="4288F1F7" w14:textId="77777777" w:rsidR="008331C2" w:rsidRDefault="008331C2" w:rsidP="00C15E73">
      <w:pPr>
        <w:ind w:left="720"/>
      </w:pPr>
    </w:p>
    <w:p w14:paraId="1AB76660" w14:textId="77777777" w:rsidR="008331C2" w:rsidRDefault="008331C2" w:rsidP="00C15E73">
      <w:pPr>
        <w:ind w:left="720"/>
      </w:pPr>
    </w:p>
    <w:p w14:paraId="08DF3BF5" w14:textId="77777777" w:rsidR="00811AC6" w:rsidRPr="00A57D84" w:rsidRDefault="00811AC6" w:rsidP="00C15E73">
      <w:pPr>
        <w:tabs>
          <w:tab w:val="left" w:pos="4536"/>
        </w:tabs>
        <w:ind w:left="720"/>
        <w:rPr>
          <w:rStyle w:val="Strong"/>
        </w:rPr>
      </w:pPr>
      <w:r w:rsidRPr="008331C2">
        <w:rPr>
          <w:rStyle w:val="Strong"/>
        </w:rPr>
        <w:t>Hon Grant Robertson</w:t>
      </w:r>
      <w:r>
        <w:tab/>
      </w:r>
      <w:r w:rsidR="00524CA8">
        <w:tab/>
      </w:r>
      <w:r w:rsidRPr="008331C2">
        <w:rPr>
          <w:rStyle w:val="Strong"/>
        </w:rPr>
        <w:t>Hon Stuart Nash</w:t>
      </w:r>
    </w:p>
    <w:p w14:paraId="770BD9A0" w14:textId="77777777" w:rsidR="00811AC6" w:rsidRDefault="00811AC6" w:rsidP="00C15E73">
      <w:pPr>
        <w:tabs>
          <w:tab w:val="left" w:pos="4536"/>
        </w:tabs>
        <w:ind w:left="720"/>
      </w:pPr>
      <w:r>
        <w:t>Minister of Finance</w:t>
      </w:r>
      <w:r>
        <w:tab/>
      </w:r>
      <w:r w:rsidR="00524CA8">
        <w:tab/>
      </w:r>
      <w:r>
        <w:t>Minister of Revenue</w:t>
      </w:r>
    </w:p>
    <w:p w14:paraId="1CA8D519" w14:textId="77777777" w:rsidR="00811AC6" w:rsidRDefault="00811AC6" w:rsidP="00C15E73">
      <w:pPr>
        <w:tabs>
          <w:tab w:val="left" w:pos="4536"/>
        </w:tabs>
        <w:ind w:left="720"/>
      </w:pPr>
      <w:r>
        <w:t xml:space="preserve">       /       /20</w:t>
      </w:r>
      <w:r w:rsidR="00234CE3">
        <w:t>19</w:t>
      </w:r>
      <w:r w:rsidR="008331C2">
        <w:tab/>
        <w:t xml:space="preserve">       </w:t>
      </w:r>
      <w:r w:rsidR="00524CA8">
        <w:tab/>
      </w:r>
      <w:r w:rsidR="00524CA8">
        <w:tab/>
      </w:r>
      <w:r>
        <w:t>/       /20</w:t>
      </w:r>
      <w:r w:rsidR="00234CE3">
        <w:t>19</w:t>
      </w:r>
    </w:p>
    <w:p w14:paraId="1403F13B" w14:textId="77777777" w:rsidR="008331C2" w:rsidRPr="008331C2" w:rsidRDefault="008331C2" w:rsidP="008331C2">
      <w:r w:rsidRPr="008331C2">
        <w:br w:type="page"/>
      </w:r>
    </w:p>
    <w:p w14:paraId="764A3368" w14:textId="77777777" w:rsidR="00811AC6" w:rsidRDefault="00811AC6" w:rsidP="00A2547F">
      <w:pPr>
        <w:pStyle w:val="Heading1"/>
      </w:pPr>
      <w:r>
        <w:lastRenderedPageBreak/>
        <w:t>Background</w:t>
      </w:r>
    </w:p>
    <w:p w14:paraId="17A307DB" w14:textId="77777777" w:rsidR="002C2B08" w:rsidRDefault="008336ED" w:rsidP="002C2B08">
      <w:pPr>
        <w:pStyle w:val="NumberedParagraph"/>
        <w:rPr>
          <w:szCs w:val="20"/>
        </w:rPr>
      </w:pPr>
      <w:r w:rsidRPr="00824E21">
        <w:rPr>
          <w:szCs w:val="20"/>
        </w:rPr>
        <w:t>When</w:t>
      </w:r>
      <w:r w:rsidR="00A25EA9" w:rsidRPr="00824E21">
        <w:rPr>
          <w:szCs w:val="20"/>
        </w:rPr>
        <w:t xml:space="preserve"> a bundle of assets with different tax treatments</w:t>
      </w:r>
      <w:r w:rsidR="002A698E" w:rsidRPr="00824E21">
        <w:rPr>
          <w:szCs w:val="20"/>
        </w:rPr>
        <w:t xml:space="preserve"> is sold</w:t>
      </w:r>
      <w:r w:rsidR="00A25EA9" w:rsidRPr="00A57D84">
        <w:rPr>
          <w:szCs w:val="20"/>
        </w:rPr>
        <w:t xml:space="preserve">, </w:t>
      </w:r>
      <w:r w:rsidR="002A698E" w:rsidRPr="00A57D84">
        <w:rPr>
          <w:szCs w:val="20"/>
        </w:rPr>
        <w:t>both the vendor and the purchaser need to</w:t>
      </w:r>
      <w:r w:rsidR="00A25EA9" w:rsidRPr="00A57D84">
        <w:rPr>
          <w:szCs w:val="20"/>
        </w:rPr>
        <w:t xml:space="preserve"> </w:t>
      </w:r>
      <w:r w:rsidR="002A698E" w:rsidRPr="00A57D84">
        <w:rPr>
          <w:szCs w:val="20"/>
        </w:rPr>
        <w:t>allocate the global price</w:t>
      </w:r>
      <w:r w:rsidR="00A25EA9" w:rsidRPr="00A57D84">
        <w:rPr>
          <w:szCs w:val="20"/>
        </w:rPr>
        <w:t xml:space="preserve"> between th</w:t>
      </w:r>
      <w:r w:rsidR="00137633" w:rsidRPr="00A57D84">
        <w:rPr>
          <w:szCs w:val="20"/>
        </w:rPr>
        <w:t>e different</w:t>
      </w:r>
      <w:r w:rsidR="00A25EA9" w:rsidRPr="00A57D84">
        <w:rPr>
          <w:szCs w:val="20"/>
        </w:rPr>
        <w:t xml:space="preserve"> assets </w:t>
      </w:r>
      <w:r w:rsidR="00137633" w:rsidRPr="00A57D84">
        <w:rPr>
          <w:szCs w:val="20"/>
        </w:rPr>
        <w:t xml:space="preserve">to determine their tax </w:t>
      </w:r>
      <w:r w:rsidR="00F9514F" w:rsidRPr="00A57D84">
        <w:rPr>
          <w:szCs w:val="20"/>
        </w:rPr>
        <w:t>results</w:t>
      </w:r>
      <w:r w:rsidR="00A25EA9" w:rsidRPr="00A57D84">
        <w:rPr>
          <w:szCs w:val="20"/>
        </w:rPr>
        <w:t xml:space="preserve">. Sales of businesses and commercial properties (land, buildings and fit out) </w:t>
      </w:r>
      <w:r w:rsidR="00341EF8" w:rsidRPr="00A57D84">
        <w:rPr>
          <w:szCs w:val="20"/>
        </w:rPr>
        <w:t>tend to be the largest transactions of this kind</w:t>
      </w:r>
      <w:r w:rsidR="00A25EA9" w:rsidRPr="00A57D84">
        <w:rPr>
          <w:szCs w:val="20"/>
        </w:rPr>
        <w:t xml:space="preserve">. The allocation is important </w:t>
      </w:r>
      <w:r w:rsidR="00F3447E" w:rsidRPr="00A57D84">
        <w:rPr>
          <w:szCs w:val="20"/>
        </w:rPr>
        <w:t>in determining the vendo</w:t>
      </w:r>
      <w:r w:rsidR="008133FB" w:rsidRPr="00A57D84">
        <w:rPr>
          <w:szCs w:val="20"/>
        </w:rPr>
        <w:t>r’s tax liability from the sale</w:t>
      </w:r>
      <w:r w:rsidR="00BB757D" w:rsidRPr="00A57D84">
        <w:rPr>
          <w:szCs w:val="20"/>
        </w:rPr>
        <w:t>,</w:t>
      </w:r>
      <w:r w:rsidR="00A25EA9" w:rsidRPr="00A57D84">
        <w:rPr>
          <w:szCs w:val="20"/>
        </w:rPr>
        <w:t xml:space="preserve"> </w:t>
      </w:r>
      <w:r w:rsidR="008133FB" w:rsidRPr="00A57D84">
        <w:rPr>
          <w:szCs w:val="20"/>
        </w:rPr>
        <w:t>and the purchaser’s cost base</w:t>
      </w:r>
      <w:r w:rsidR="00A25EA9" w:rsidRPr="00A57D84">
        <w:rPr>
          <w:szCs w:val="20"/>
        </w:rPr>
        <w:t xml:space="preserve"> for calculating depreciation and any taxable gains when they</w:t>
      </w:r>
      <w:r w:rsidR="00CE26C0" w:rsidRPr="00A57D84">
        <w:rPr>
          <w:szCs w:val="20"/>
        </w:rPr>
        <w:t>,</w:t>
      </w:r>
      <w:r w:rsidR="00BA6EB6" w:rsidRPr="00A57D84">
        <w:rPr>
          <w:szCs w:val="20"/>
        </w:rPr>
        <w:t xml:space="preserve"> in turn</w:t>
      </w:r>
      <w:r w:rsidR="00CE26C0" w:rsidRPr="00A57D84">
        <w:rPr>
          <w:szCs w:val="20"/>
        </w:rPr>
        <w:t>,</w:t>
      </w:r>
      <w:r w:rsidR="00A25EA9" w:rsidRPr="00A57D84">
        <w:rPr>
          <w:szCs w:val="20"/>
        </w:rPr>
        <w:t xml:space="preserve"> come to sell the property.</w:t>
      </w:r>
    </w:p>
    <w:p w14:paraId="647125C3" w14:textId="77777777" w:rsidR="002C2B08" w:rsidRDefault="00A25EA9" w:rsidP="002C2B08">
      <w:pPr>
        <w:pStyle w:val="NumberedParagraph"/>
        <w:rPr>
          <w:szCs w:val="20"/>
        </w:rPr>
      </w:pPr>
      <w:r w:rsidRPr="00824E21">
        <w:rPr>
          <w:szCs w:val="20"/>
        </w:rPr>
        <w:t>Generally, the allocation must be based on market values, and there is case law that reinforces this</w:t>
      </w:r>
      <w:r w:rsidR="00E270FD" w:rsidRPr="00824E21">
        <w:rPr>
          <w:szCs w:val="20"/>
        </w:rPr>
        <w:t>, but there</w:t>
      </w:r>
      <w:r w:rsidRPr="00824E21">
        <w:rPr>
          <w:szCs w:val="20"/>
        </w:rPr>
        <w:t xml:space="preserve"> is no </w:t>
      </w:r>
      <w:r w:rsidRPr="00A57D84">
        <w:rPr>
          <w:szCs w:val="20"/>
        </w:rPr>
        <w:t>explicit requirement in tax law for the vendor and purchaser to use the same market values</w:t>
      </w:r>
      <w:r w:rsidR="00F57F7B" w:rsidRPr="00A57D84">
        <w:rPr>
          <w:szCs w:val="20"/>
        </w:rPr>
        <w:t>, except</w:t>
      </w:r>
      <w:r w:rsidRPr="00A57D84">
        <w:rPr>
          <w:szCs w:val="20"/>
        </w:rPr>
        <w:t xml:space="preserve"> in relation to the trading stock component of a transaction. When trading stock is sold along with other assets, the vendor is required to apportion </w:t>
      </w:r>
      <w:r w:rsidR="00FD50BB" w:rsidRPr="00A57D84">
        <w:rPr>
          <w:szCs w:val="20"/>
        </w:rPr>
        <w:t>an amount to the trading stock that</w:t>
      </w:r>
      <w:r w:rsidRPr="00A57D84">
        <w:rPr>
          <w:szCs w:val="20"/>
        </w:rPr>
        <w:t xml:space="preserve"> reflects </w:t>
      </w:r>
      <w:r w:rsidR="00FD50BB" w:rsidRPr="00A57D84">
        <w:rPr>
          <w:szCs w:val="20"/>
        </w:rPr>
        <w:t>its</w:t>
      </w:r>
      <w:r w:rsidRPr="00A57D84">
        <w:rPr>
          <w:szCs w:val="20"/>
        </w:rPr>
        <w:t xml:space="preserve"> market price</w:t>
      </w:r>
      <w:r w:rsidR="00A44E13" w:rsidRPr="00A57D84">
        <w:rPr>
          <w:szCs w:val="20"/>
        </w:rPr>
        <w:t xml:space="preserve">, and </w:t>
      </w:r>
      <w:r w:rsidRPr="00A57D84">
        <w:rPr>
          <w:szCs w:val="20"/>
        </w:rPr>
        <w:t xml:space="preserve">the purchaser is required to use </w:t>
      </w:r>
      <w:r w:rsidR="00341346" w:rsidRPr="00A57D84">
        <w:rPr>
          <w:szCs w:val="20"/>
        </w:rPr>
        <w:t>that same apportionment</w:t>
      </w:r>
      <w:r w:rsidRPr="00A57D84">
        <w:rPr>
          <w:szCs w:val="20"/>
        </w:rPr>
        <w:t>. Trading stock is widely defined for this purpose, including anything produced</w:t>
      </w:r>
      <w:r w:rsidR="004736A6" w:rsidRPr="00A57D84">
        <w:rPr>
          <w:szCs w:val="20"/>
        </w:rPr>
        <w:t>, manu</w:t>
      </w:r>
      <w:r w:rsidR="00224E3F" w:rsidRPr="00A57D84">
        <w:rPr>
          <w:szCs w:val="20"/>
        </w:rPr>
        <w:t xml:space="preserve">factured </w:t>
      </w:r>
      <w:r w:rsidRPr="00A57D84">
        <w:rPr>
          <w:szCs w:val="20"/>
        </w:rPr>
        <w:t>or acquired for the purpose of disposal,</w:t>
      </w:r>
      <w:r w:rsidR="00BC5886" w:rsidRPr="00A57D84">
        <w:rPr>
          <w:szCs w:val="20"/>
        </w:rPr>
        <w:t xml:space="preserve"> as well as</w:t>
      </w:r>
      <w:r w:rsidRPr="00A57D84">
        <w:rPr>
          <w:szCs w:val="20"/>
        </w:rPr>
        <w:t xml:space="preserve"> livestock, timber, and land whose disposal would produce income.</w:t>
      </w:r>
    </w:p>
    <w:p w14:paraId="63C2956F" w14:textId="77777777" w:rsidR="00F43F9D" w:rsidRDefault="00FB72CD" w:rsidP="00254D3C">
      <w:pPr>
        <w:pStyle w:val="NumberedParagraph"/>
        <w:rPr>
          <w:szCs w:val="20"/>
        </w:rPr>
      </w:pPr>
      <w:r w:rsidRPr="00DD6C13">
        <w:rPr>
          <w:szCs w:val="20"/>
        </w:rPr>
        <w:t xml:space="preserve">While many purchasers and sellers agree an allocation, many do not as the vendor and purchaser have different incentives when trying to minimise their tax liabilities and benefits.  </w:t>
      </w:r>
      <w:r w:rsidR="00E53E09">
        <w:rPr>
          <w:szCs w:val="20"/>
        </w:rPr>
        <w:t>I</w:t>
      </w:r>
      <w:r w:rsidR="00570665">
        <w:rPr>
          <w:szCs w:val="20"/>
        </w:rPr>
        <w:t xml:space="preserve">f the parties adopt different allocations, </w:t>
      </w:r>
      <w:r w:rsidR="003C5937">
        <w:rPr>
          <w:szCs w:val="20"/>
        </w:rPr>
        <w:t>there</w:t>
      </w:r>
      <w:r w:rsidR="009E0039">
        <w:rPr>
          <w:szCs w:val="20"/>
        </w:rPr>
        <w:t xml:space="preserve"> is generally foregone </w:t>
      </w:r>
      <w:r w:rsidR="00A25EA9" w:rsidRPr="00DD6C13">
        <w:rPr>
          <w:szCs w:val="20"/>
        </w:rPr>
        <w:t xml:space="preserve">tax revenue. </w:t>
      </w:r>
      <w:r w:rsidR="00AA1826">
        <w:rPr>
          <w:szCs w:val="20"/>
        </w:rPr>
        <w:t xml:space="preserve"> </w:t>
      </w:r>
      <w:r w:rsidR="00A25EA9" w:rsidRPr="00DD6C13">
        <w:rPr>
          <w:szCs w:val="20"/>
        </w:rPr>
        <w:t>This issue</w:t>
      </w:r>
      <w:r w:rsidR="00AA1826">
        <w:rPr>
          <w:szCs w:val="20"/>
        </w:rPr>
        <w:t>,</w:t>
      </w:r>
      <w:r w:rsidR="00A25EA9" w:rsidRPr="00DD6C13">
        <w:rPr>
          <w:szCs w:val="20"/>
        </w:rPr>
        <w:t xml:space="preserve"> </w:t>
      </w:r>
      <w:r w:rsidR="00AA1826">
        <w:rPr>
          <w:szCs w:val="20"/>
        </w:rPr>
        <w:t xml:space="preserve">therefore, </w:t>
      </w:r>
      <w:r w:rsidR="00186BF4">
        <w:rPr>
          <w:szCs w:val="20"/>
        </w:rPr>
        <w:t xml:space="preserve">has </w:t>
      </w:r>
      <w:r w:rsidR="00A25EA9" w:rsidRPr="00DD6C13">
        <w:rPr>
          <w:szCs w:val="20"/>
        </w:rPr>
        <w:t xml:space="preserve">been identified as a </w:t>
      </w:r>
      <w:r w:rsidR="00B1510C" w:rsidRPr="00DD6C13">
        <w:rPr>
          <w:szCs w:val="20"/>
        </w:rPr>
        <w:t xml:space="preserve">revenue integrity </w:t>
      </w:r>
      <w:r w:rsidR="00192C2C" w:rsidRPr="00DD6C13">
        <w:rPr>
          <w:szCs w:val="20"/>
        </w:rPr>
        <w:t xml:space="preserve">matter </w:t>
      </w:r>
      <w:r w:rsidR="00A25EA9" w:rsidRPr="00DD6C13">
        <w:rPr>
          <w:szCs w:val="20"/>
        </w:rPr>
        <w:t xml:space="preserve">and the project is on the tax policy work programme. We have undertaken </w:t>
      </w:r>
      <w:r w:rsidR="007A4D90" w:rsidRPr="00DD6C13">
        <w:rPr>
          <w:szCs w:val="20"/>
        </w:rPr>
        <w:t>targeted</w:t>
      </w:r>
      <w:r w:rsidR="00A25EA9" w:rsidRPr="00DD6C13">
        <w:rPr>
          <w:szCs w:val="20"/>
        </w:rPr>
        <w:t xml:space="preserve"> engagement with key stakeholders on how to </w:t>
      </w:r>
      <w:r w:rsidR="00F43F9D">
        <w:rPr>
          <w:szCs w:val="20"/>
        </w:rPr>
        <w:t>address this issue</w:t>
      </w:r>
      <w:r w:rsidR="00A25EA9" w:rsidRPr="00DD6C13">
        <w:rPr>
          <w:szCs w:val="20"/>
        </w:rPr>
        <w:t xml:space="preserve">. </w:t>
      </w:r>
    </w:p>
    <w:p w14:paraId="3AEBBD3C" w14:textId="77777777" w:rsidR="00A25EA9" w:rsidRPr="00DD6C13" w:rsidRDefault="00A25EA9" w:rsidP="00254D3C">
      <w:pPr>
        <w:pStyle w:val="NumberedParagraph"/>
        <w:rPr>
          <w:szCs w:val="20"/>
        </w:rPr>
      </w:pPr>
      <w:r w:rsidRPr="00DD6C13">
        <w:rPr>
          <w:szCs w:val="20"/>
        </w:rPr>
        <w:t xml:space="preserve">You have indicated </w:t>
      </w:r>
      <w:r w:rsidR="00F43F9D">
        <w:rPr>
          <w:szCs w:val="20"/>
        </w:rPr>
        <w:t xml:space="preserve">a preference for this work to be progressed so that, if the Government decides to proceed with law reform in this area, the revenue raised could be </w:t>
      </w:r>
      <w:r w:rsidR="007521D7">
        <w:rPr>
          <w:szCs w:val="20"/>
        </w:rPr>
        <w:t>used to increase gross spending in</w:t>
      </w:r>
      <w:r w:rsidR="007521D7" w:rsidRPr="001C1A44">
        <w:rPr>
          <w:szCs w:val="20"/>
        </w:rPr>
        <w:t xml:space="preserve"> Budget 2020</w:t>
      </w:r>
      <w:r w:rsidR="00CC2822" w:rsidRPr="00DD6C13">
        <w:rPr>
          <w:szCs w:val="20"/>
        </w:rPr>
        <w:t>.</w:t>
      </w:r>
    </w:p>
    <w:p w14:paraId="00C76E95" w14:textId="77777777" w:rsidR="41B152CE" w:rsidRPr="009A7A9B" w:rsidRDefault="41B152CE" w:rsidP="00A57D84">
      <w:pPr>
        <w:pStyle w:val="NumberedParagraph"/>
      </w:pPr>
      <w:r w:rsidRPr="00824E21">
        <w:rPr>
          <w:szCs w:val="20"/>
        </w:rPr>
        <w:t>Officials reported to you on this issue in November 2018 (</w:t>
      </w:r>
      <w:r w:rsidR="003F425A">
        <w:rPr>
          <w:szCs w:val="20"/>
        </w:rPr>
        <w:t>T2018/3398</w:t>
      </w:r>
      <w:r w:rsidR="00381B4B">
        <w:rPr>
          <w:szCs w:val="20"/>
        </w:rPr>
        <w:t xml:space="preserve">; </w:t>
      </w:r>
      <w:r w:rsidRPr="00824E21">
        <w:rPr>
          <w:szCs w:val="20"/>
        </w:rPr>
        <w:t>IR2018/</w:t>
      </w:r>
      <w:r w:rsidR="003F425A">
        <w:rPr>
          <w:szCs w:val="20"/>
        </w:rPr>
        <w:t>755</w:t>
      </w:r>
      <w:r w:rsidRPr="00824E21">
        <w:rPr>
          <w:szCs w:val="20"/>
        </w:rPr>
        <w:t xml:space="preserve"> refers) but the project was put on hold at that time due to uncertainty around whether or not the taxation of capital gains would be extended. A comprehensive capital gains tax would have removed most of the opportunity for arbitrage between different tax treatments in the allocation of the purchase </w:t>
      </w:r>
      <w:r w:rsidRPr="00A57D84">
        <w:rPr>
          <w:szCs w:val="20"/>
        </w:rPr>
        <w:t xml:space="preserve">price and would have made the benefits of this project marginal. </w:t>
      </w:r>
    </w:p>
    <w:p w14:paraId="7DE9FE0D" w14:textId="77777777" w:rsidR="009A7A9B" w:rsidRDefault="009A7A9B" w:rsidP="009A7A9B">
      <w:pPr>
        <w:pStyle w:val="NumberedParagraph"/>
      </w:pPr>
      <w:r w:rsidRPr="00824E21">
        <w:t xml:space="preserve">Other countries have a variety of specific rules in </w:t>
      </w:r>
      <w:r w:rsidRPr="00A57D84">
        <w:t>the area of allocation, based on parties using market values, and requiring varying degrees of consistency.</w:t>
      </w:r>
    </w:p>
    <w:p w14:paraId="14C43435" w14:textId="77777777" w:rsidR="00BE449A" w:rsidRPr="00BE449A" w:rsidRDefault="00A25EA9" w:rsidP="00BE449A">
      <w:pPr>
        <w:pStyle w:val="Heading1"/>
      </w:pPr>
      <w:r w:rsidRPr="00BE449A">
        <w:t xml:space="preserve">Problem definition </w:t>
      </w:r>
      <w:r w:rsidR="00486808">
        <w:t xml:space="preserve"> </w:t>
      </w:r>
    </w:p>
    <w:p w14:paraId="4613A175" w14:textId="77777777" w:rsidR="00BE6EC4" w:rsidRDefault="00A25EA9" w:rsidP="0059267C">
      <w:pPr>
        <w:pStyle w:val="NumberedParagraph"/>
        <w:rPr>
          <w:szCs w:val="20"/>
        </w:rPr>
      </w:pPr>
      <w:r w:rsidRPr="00824E21">
        <w:rPr>
          <w:szCs w:val="20"/>
        </w:rPr>
        <w:t xml:space="preserve">Our starting policy framework is that, for revenue integrity reasons, the parties should be </w:t>
      </w:r>
      <w:r w:rsidR="00874894" w:rsidRPr="00A57D84">
        <w:rPr>
          <w:szCs w:val="20"/>
        </w:rPr>
        <w:t>adopting the same allocation,</w:t>
      </w:r>
      <w:r w:rsidRPr="00A57D84">
        <w:rPr>
          <w:szCs w:val="20"/>
        </w:rPr>
        <w:t xml:space="preserve"> based on market values. </w:t>
      </w:r>
      <w:proofErr w:type="gramStart"/>
      <w:r w:rsidRPr="00A57D84">
        <w:rPr>
          <w:szCs w:val="20"/>
        </w:rPr>
        <w:t>Generally</w:t>
      </w:r>
      <w:proofErr w:type="gramEnd"/>
      <w:r w:rsidRPr="00A57D84">
        <w:rPr>
          <w:szCs w:val="20"/>
        </w:rPr>
        <w:t xml:space="preserve"> throughout the Income Tax Act</w:t>
      </w:r>
      <w:r w:rsidR="00BE57FB" w:rsidRPr="00A57D84">
        <w:rPr>
          <w:szCs w:val="20"/>
        </w:rPr>
        <w:t>,</w:t>
      </w:r>
      <w:r w:rsidRPr="00A57D84">
        <w:rPr>
          <w:szCs w:val="20"/>
        </w:rPr>
        <w:t xml:space="preserve"> sales are assumed to be at market value so that there is no transfer of value between the parties which could lead to a reduction in tax revenue.</w:t>
      </w:r>
      <w:r w:rsidR="0059267C" w:rsidRPr="00A57D84">
        <w:rPr>
          <w:szCs w:val="20"/>
        </w:rPr>
        <w:t xml:space="preserve"> </w:t>
      </w:r>
      <w:r w:rsidRPr="00A57D84">
        <w:rPr>
          <w:szCs w:val="20"/>
        </w:rPr>
        <w:t xml:space="preserve">However, the law </w:t>
      </w:r>
      <w:r w:rsidR="00F43F9D">
        <w:rPr>
          <w:szCs w:val="20"/>
        </w:rPr>
        <w:t>is currently</w:t>
      </w:r>
      <w:r w:rsidRPr="00A57D84">
        <w:rPr>
          <w:szCs w:val="20"/>
        </w:rPr>
        <w:t xml:space="preserve"> deficient</w:t>
      </w:r>
      <w:r w:rsidR="00F43F9D">
        <w:rPr>
          <w:szCs w:val="20"/>
        </w:rPr>
        <w:t xml:space="preserve"> because</w:t>
      </w:r>
      <w:r w:rsidR="00CA0880">
        <w:rPr>
          <w:szCs w:val="20"/>
        </w:rPr>
        <w:t>,</w:t>
      </w:r>
      <w:r w:rsidR="008B22F7" w:rsidRPr="00A57D84">
        <w:rPr>
          <w:szCs w:val="20"/>
        </w:rPr>
        <w:t xml:space="preserve"> </w:t>
      </w:r>
      <w:r w:rsidRPr="00A57D84">
        <w:rPr>
          <w:szCs w:val="20"/>
        </w:rPr>
        <w:t>with the exception of trading stock, there is no explicit requirement for the parties to use the same valuation.</w:t>
      </w:r>
    </w:p>
    <w:p w14:paraId="7A25D4ED" w14:textId="082327E5" w:rsidR="00C72A0E" w:rsidRDefault="000B34CA" w:rsidP="001853BE">
      <w:pPr>
        <w:pStyle w:val="NumberedParagraph"/>
        <w:rPr>
          <w:szCs w:val="20"/>
        </w:rPr>
      </w:pPr>
      <w:r w:rsidRPr="00824E21">
        <w:rPr>
          <w:szCs w:val="20"/>
        </w:rPr>
        <w:t>Since</w:t>
      </w:r>
      <w:r w:rsidR="00A25EA9" w:rsidRPr="00824E21">
        <w:rPr>
          <w:szCs w:val="20"/>
        </w:rPr>
        <w:t xml:space="preserve"> </w:t>
      </w:r>
      <w:r w:rsidR="00EC44A2">
        <w:rPr>
          <w:szCs w:val="20"/>
        </w:rPr>
        <w:t>‘</w:t>
      </w:r>
      <w:r w:rsidR="00A25EA9" w:rsidRPr="00824E21">
        <w:rPr>
          <w:szCs w:val="20"/>
        </w:rPr>
        <w:t>market value</w:t>
      </w:r>
      <w:r w:rsidR="00EC44A2">
        <w:rPr>
          <w:szCs w:val="20"/>
        </w:rPr>
        <w:t>’</w:t>
      </w:r>
      <w:r w:rsidR="00A25EA9" w:rsidRPr="00824E21">
        <w:rPr>
          <w:szCs w:val="20"/>
        </w:rPr>
        <w:t xml:space="preserve"> is a range</w:t>
      </w:r>
      <w:r w:rsidR="00802CC9">
        <w:rPr>
          <w:szCs w:val="20"/>
        </w:rPr>
        <w:t xml:space="preserve"> of values</w:t>
      </w:r>
      <w:r w:rsidR="00A25EA9" w:rsidRPr="00824E21">
        <w:rPr>
          <w:szCs w:val="20"/>
        </w:rPr>
        <w:t xml:space="preserve">, </w:t>
      </w:r>
      <w:r w:rsidR="00935E24">
        <w:rPr>
          <w:szCs w:val="20"/>
        </w:rPr>
        <w:t xml:space="preserve">both </w:t>
      </w:r>
      <w:r w:rsidR="00A25EA9" w:rsidRPr="00824E21">
        <w:rPr>
          <w:szCs w:val="20"/>
        </w:rPr>
        <w:t xml:space="preserve">parties </w:t>
      </w:r>
      <w:r w:rsidR="004B4005">
        <w:rPr>
          <w:szCs w:val="20"/>
        </w:rPr>
        <w:t>can</w:t>
      </w:r>
      <w:r w:rsidR="00A25EA9" w:rsidRPr="00824E21">
        <w:rPr>
          <w:szCs w:val="20"/>
        </w:rPr>
        <w:t xml:space="preserve"> adopt allocations </w:t>
      </w:r>
      <w:r w:rsidR="00A6439E">
        <w:rPr>
          <w:szCs w:val="20"/>
        </w:rPr>
        <w:t>that</w:t>
      </w:r>
      <w:r w:rsidR="00A25EA9" w:rsidRPr="00824E21">
        <w:rPr>
          <w:szCs w:val="20"/>
        </w:rPr>
        <w:t xml:space="preserve"> are quite different while claiming </w:t>
      </w:r>
      <w:r w:rsidR="00AB3E76" w:rsidRPr="00A57D84">
        <w:rPr>
          <w:szCs w:val="20"/>
        </w:rPr>
        <w:t xml:space="preserve">that their </w:t>
      </w:r>
      <w:r w:rsidR="00A65959">
        <w:rPr>
          <w:szCs w:val="20"/>
        </w:rPr>
        <w:t xml:space="preserve">respective </w:t>
      </w:r>
      <w:r w:rsidR="00AB3E76" w:rsidRPr="00A57D84">
        <w:rPr>
          <w:szCs w:val="20"/>
        </w:rPr>
        <w:t>allocations are tethered to commercial prices</w:t>
      </w:r>
      <w:r w:rsidR="00A25EA9" w:rsidRPr="00A57D84">
        <w:rPr>
          <w:szCs w:val="20"/>
        </w:rPr>
        <w:t xml:space="preserve">. In </w:t>
      </w:r>
      <w:r w:rsidR="00FC1EF2" w:rsidRPr="00A57D84">
        <w:rPr>
          <w:szCs w:val="20"/>
        </w:rPr>
        <w:t>many</w:t>
      </w:r>
      <w:r w:rsidR="00A25EA9" w:rsidRPr="00A57D84">
        <w:rPr>
          <w:szCs w:val="20"/>
        </w:rPr>
        <w:t xml:space="preserve"> cases, the seller uses depreciated tax book values, arguing that </w:t>
      </w:r>
      <w:r w:rsidR="00486A4B" w:rsidRPr="00A57D84">
        <w:rPr>
          <w:szCs w:val="20"/>
        </w:rPr>
        <w:t xml:space="preserve">they </w:t>
      </w:r>
      <w:r w:rsidR="005D58B5" w:rsidRPr="00A57D84">
        <w:rPr>
          <w:szCs w:val="20"/>
        </w:rPr>
        <w:t>are</w:t>
      </w:r>
      <w:r w:rsidR="00A25EA9" w:rsidRPr="00A57D84">
        <w:rPr>
          <w:szCs w:val="20"/>
        </w:rPr>
        <w:t xml:space="preserve"> reflective of market value</w:t>
      </w:r>
      <w:r w:rsidR="00486A4B" w:rsidRPr="00A57D84">
        <w:rPr>
          <w:szCs w:val="20"/>
        </w:rPr>
        <w:t>s</w:t>
      </w:r>
      <w:r w:rsidR="000B6A48" w:rsidRPr="00A57D84">
        <w:rPr>
          <w:szCs w:val="20"/>
        </w:rPr>
        <w:t>,</w:t>
      </w:r>
      <w:r w:rsidR="00A25EA9" w:rsidRPr="00A57D84">
        <w:rPr>
          <w:szCs w:val="20"/>
        </w:rPr>
        <w:t xml:space="preserve"> but </w:t>
      </w:r>
      <w:r w:rsidR="001E2B73" w:rsidRPr="00A57D84">
        <w:rPr>
          <w:szCs w:val="20"/>
        </w:rPr>
        <w:t>avoiding</w:t>
      </w:r>
      <w:r w:rsidR="00A25EA9" w:rsidRPr="00A57D84">
        <w:rPr>
          <w:szCs w:val="20"/>
        </w:rPr>
        <w:t xml:space="preserve"> any depreciation clawback</w:t>
      </w:r>
      <w:r w:rsidR="00F43F9D">
        <w:rPr>
          <w:szCs w:val="20"/>
        </w:rPr>
        <w:t xml:space="preserve"> </w:t>
      </w:r>
      <w:r w:rsidR="00F43F9D" w:rsidRPr="00B904E8">
        <w:rPr>
          <w:color w:val="000000" w:themeColor="text1"/>
        </w:rPr>
        <w:t>(that is, the requirement to pay back depreciation deductions claimed in respect of an asset that has not, in fact, depreciated as fast as expected)</w:t>
      </w:r>
      <w:r w:rsidR="00A25EA9" w:rsidRPr="00A57D84">
        <w:rPr>
          <w:szCs w:val="20"/>
        </w:rPr>
        <w:t>.</w:t>
      </w:r>
      <w:r w:rsidR="00ED4162" w:rsidRPr="00A57D84">
        <w:rPr>
          <w:szCs w:val="20"/>
        </w:rPr>
        <w:t xml:space="preserve"> The purchaser</w:t>
      </w:r>
      <w:r w:rsidR="00C55EB8" w:rsidRPr="00A57D84">
        <w:rPr>
          <w:szCs w:val="20"/>
        </w:rPr>
        <w:t xml:space="preserve"> on the other hand often </w:t>
      </w:r>
      <w:r w:rsidR="00BC0AA3" w:rsidRPr="00A57D84">
        <w:rPr>
          <w:szCs w:val="20"/>
        </w:rPr>
        <w:t>allocate</w:t>
      </w:r>
      <w:r w:rsidR="000C7857" w:rsidRPr="00A57D84">
        <w:rPr>
          <w:szCs w:val="20"/>
        </w:rPr>
        <w:t>s</w:t>
      </w:r>
      <w:r w:rsidR="00BC0AA3" w:rsidRPr="00A57D84">
        <w:rPr>
          <w:szCs w:val="20"/>
        </w:rPr>
        <w:t xml:space="preserve"> </w:t>
      </w:r>
      <w:r w:rsidR="00C55EB8" w:rsidRPr="00A57D84">
        <w:rPr>
          <w:szCs w:val="20"/>
        </w:rPr>
        <w:t>a higher cost</w:t>
      </w:r>
      <w:r w:rsidR="001B705F" w:rsidRPr="00A57D84">
        <w:rPr>
          <w:szCs w:val="20"/>
        </w:rPr>
        <w:t>, to increase depreciation deductions.</w:t>
      </w:r>
      <w:r w:rsidR="00A25EA9" w:rsidRPr="00A57D84">
        <w:rPr>
          <w:szCs w:val="20"/>
        </w:rPr>
        <w:t xml:space="preserve"> </w:t>
      </w:r>
    </w:p>
    <w:p w14:paraId="1866769F" w14:textId="47BE4386" w:rsidR="00BE6EC4" w:rsidRDefault="00A25EA9" w:rsidP="60A9AFB1">
      <w:pPr>
        <w:pStyle w:val="NumberedParagraph"/>
        <w:rPr>
          <w:szCs w:val="20"/>
        </w:rPr>
      </w:pPr>
      <w:r w:rsidRPr="00824E21">
        <w:rPr>
          <w:szCs w:val="20"/>
        </w:rPr>
        <w:lastRenderedPageBreak/>
        <w:t>Th</w:t>
      </w:r>
      <w:r w:rsidR="009E31DF" w:rsidRPr="00824E21">
        <w:rPr>
          <w:szCs w:val="20"/>
        </w:rPr>
        <w:t>e</w:t>
      </w:r>
      <w:r w:rsidRPr="00824E21">
        <w:rPr>
          <w:szCs w:val="20"/>
        </w:rPr>
        <w:t xml:space="preserve"> flexibility</w:t>
      </w:r>
      <w:r w:rsidR="009E31DF" w:rsidRPr="00A57D84">
        <w:rPr>
          <w:szCs w:val="20"/>
        </w:rPr>
        <w:t xml:space="preserve"> around what </w:t>
      </w:r>
      <w:r w:rsidR="003D09E6">
        <w:rPr>
          <w:szCs w:val="20"/>
        </w:rPr>
        <w:t>is</w:t>
      </w:r>
      <w:r w:rsidR="009E31DF" w:rsidRPr="00A57D84">
        <w:rPr>
          <w:szCs w:val="20"/>
        </w:rPr>
        <w:t xml:space="preserve"> </w:t>
      </w:r>
      <w:r w:rsidR="000717B9">
        <w:rPr>
          <w:szCs w:val="20"/>
        </w:rPr>
        <w:t xml:space="preserve">a </w:t>
      </w:r>
      <w:r w:rsidR="009E31DF" w:rsidRPr="00A57D84">
        <w:rPr>
          <w:szCs w:val="20"/>
        </w:rPr>
        <w:t>‘market value’</w:t>
      </w:r>
      <w:r w:rsidRPr="00A57D84">
        <w:rPr>
          <w:szCs w:val="20"/>
        </w:rPr>
        <w:t xml:space="preserve"> enables the adoption of inconsistent allocations that minimise each party’s tax </w:t>
      </w:r>
      <w:r w:rsidR="00420499" w:rsidRPr="00A57D84">
        <w:rPr>
          <w:szCs w:val="20"/>
        </w:rPr>
        <w:t>liabilit</w:t>
      </w:r>
      <w:r w:rsidR="00420499">
        <w:rPr>
          <w:szCs w:val="20"/>
        </w:rPr>
        <w:t>y</w:t>
      </w:r>
      <w:r w:rsidR="00420499" w:rsidRPr="00A57D84">
        <w:rPr>
          <w:szCs w:val="20"/>
        </w:rPr>
        <w:t xml:space="preserve"> </w:t>
      </w:r>
      <w:r w:rsidRPr="00A57D84">
        <w:rPr>
          <w:szCs w:val="20"/>
        </w:rPr>
        <w:t xml:space="preserve">and </w:t>
      </w:r>
      <w:r w:rsidR="00E320A9" w:rsidRPr="00A57D84">
        <w:rPr>
          <w:szCs w:val="20"/>
        </w:rPr>
        <w:t xml:space="preserve">can only be challenged with </w:t>
      </w:r>
      <w:r w:rsidR="00816358" w:rsidRPr="00A57D84">
        <w:rPr>
          <w:szCs w:val="20"/>
        </w:rPr>
        <w:t>considerable</w:t>
      </w:r>
      <w:r w:rsidRPr="00A57D84">
        <w:rPr>
          <w:szCs w:val="20"/>
        </w:rPr>
        <w:t xml:space="preserve"> resource</w:t>
      </w:r>
      <w:r w:rsidR="00E320A9" w:rsidRPr="00A57D84">
        <w:rPr>
          <w:szCs w:val="20"/>
        </w:rPr>
        <w:t xml:space="preserve"> commitment</w:t>
      </w:r>
      <w:r w:rsidRPr="00A57D84">
        <w:rPr>
          <w:szCs w:val="20"/>
        </w:rPr>
        <w:t xml:space="preserve"> from Inland Revenue</w:t>
      </w:r>
      <w:r w:rsidR="00031509" w:rsidRPr="00A57D84">
        <w:rPr>
          <w:szCs w:val="20"/>
        </w:rPr>
        <w:t>.</w:t>
      </w:r>
      <w:r w:rsidR="001853BE" w:rsidRPr="00A57D84">
        <w:rPr>
          <w:szCs w:val="20"/>
        </w:rPr>
        <w:t xml:space="preserve"> </w:t>
      </w:r>
      <w:r w:rsidRPr="00A57D84">
        <w:rPr>
          <w:szCs w:val="20"/>
        </w:rPr>
        <w:t>Inland Revenue incurs significant costs trying to match buyers and sellers</w:t>
      </w:r>
      <w:r w:rsidR="00441B5D" w:rsidRPr="00A57D84">
        <w:rPr>
          <w:szCs w:val="20"/>
        </w:rPr>
        <w:t>,</w:t>
      </w:r>
      <w:r w:rsidRPr="00A57D84">
        <w:rPr>
          <w:szCs w:val="20"/>
        </w:rPr>
        <w:t xml:space="preserve"> investigate their allocations</w:t>
      </w:r>
      <w:r w:rsidR="00441B5D" w:rsidRPr="00A57D84">
        <w:rPr>
          <w:szCs w:val="20"/>
        </w:rPr>
        <w:t>, and</w:t>
      </w:r>
      <w:r w:rsidRPr="00A57D84">
        <w:rPr>
          <w:szCs w:val="20"/>
        </w:rPr>
        <w:t xml:space="preserve"> obtain valuations to determine whether the parties’ allocations can be challenged as </w:t>
      </w:r>
      <w:r w:rsidR="00205596" w:rsidRPr="00A57D84">
        <w:rPr>
          <w:szCs w:val="20"/>
        </w:rPr>
        <w:t>not being</w:t>
      </w:r>
      <w:r w:rsidRPr="00A57D84">
        <w:rPr>
          <w:szCs w:val="20"/>
        </w:rPr>
        <w:t xml:space="preserve"> in accordance with market valu</w:t>
      </w:r>
      <w:r w:rsidR="5FD1AAF0" w:rsidRPr="00A57D84">
        <w:rPr>
          <w:szCs w:val="20"/>
        </w:rPr>
        <w:t>es.  Experience has shown that it can be very difficult</w:t>
      </w:r>
      <w:r w:rsidR="60A9AFB1" w:rsidRPr="00A57D84">
        <w:rPr>
          <w:szCs w:val="20"/>
        </w:rPr>
        <w:t xml:space="preserve"> to challenge even widely divergent allocations.</w:t>
      </w:r>
    </w:p>
    <w:p w14:paraId="2DE1623E" w14:textId="77777777" w:rsidR="00A25EA9" w:rsidRPr="00EB5399" w:rsidRDefault="00A25EA9" w:rsidP="00A25EA9">
      <w:pPr>
        <w:pStyle w:val="NumberedParagraph"/>
        <w:rPr>
          <w:szCs w:val="20"/>
        </w:rPr>
      </w:pPr>
      <w:r w:rsidRPr="00824E21">
        <w:rPr>
          <w:szCs w:val="20"/>
        </w:rPr>
        <w:t xml:space="preserve">Inland Revenue’s compliance work has uncovered a number of sizeable transactions, particularly in relation to commercial property, where there have been differences between the seller’s and purchaser’s valuations sometimes in the tens of millions of dollars. Differences were </w:t>
      </w:r>
      <w:r w:rsidRPr="00A57D84">
        <w:rPr>
          <w:szCs w:val="20"/>
        </w:rPr>
        <w:t xml:space="preserve">identified in nearly fifty percent of the investigated cases, amounting in total to around $170 million. </w:t>
      </w:r>
      <w:r w:rsidR="00AD6277">
        <w:rPr>
          <w:szCs w:val="20"/>
        </w:rPr>
        <w:t xml:space="preserve">In some of these cases, settlements have been agreed.  </w:t>
      </w:r>
      <w:r w:rsidR="00A276E6">
        <w:rPr>
          <w:szCs w:val="20"/>
        </w:rPr>
        <w:t xml:space="preserve">The remainder are either </w:t>
      </w:r>
      <w:r w:rsidR="00AD6277">
        <w:rPr>
          <w:szCs w:val="20"/>
        </w:rPr>
        <w:t>in dispute</w:t>
      </w:r>
      <w:r w:rsidR="00A276E6">
        <w:rPr>
          <w:szCs w:val="20"/>
        </w:rPr>
        <w:t xml:space="preserve"> or </w:t>
      </w:r>
      <w:r w:rsidR="00AD6277">
        <w:rPr>
          <w:szCs w:val="20"/>
        </w:rPr>
        <w:t>have not yet been dealt with</w:t>
      </w:r>
      <w:r w:rsidR="004714EF">
        <w:rPr>
          <w:szCs w:val="20"/>
        </w:rPr>
        <w:t xml:space="preserve"> given resource constraints</w:t>
      </w:r>
      <w:r w:rsidR="00AD6277">
        <w:rPr>
          <w:szCs w:val="20"/>
        </w:rPr>
        <w:t>.  There is no doubt that under current law, many of these discrepancies will not be able to be resolved.</w:t>
      </w:r>
    </w:p>
    <w:p w14:paraId="3A82AC01" w14:textId="77777777" w:rsidR="00A25EA9" w:rsidRPr="00EB5399" w:rsidRDefault="00557F69" w:rsidP="00EB5399">
      <w:pPr>
        <w:pStyle w:val="Heading1"/>
      </w:pPr>
      <w:bookmarkStart w:id="12" w:name="_Hlk22911911"/>
      <w:r>
        <w:t xml:space="preserve">Recommended </w:t>
      </w:r>
      <w:r w:rsidR="00A25EA9" w:rsidRPr="00EB5399">
        <w:t xml:space="preserve">solution </w:t>
      </w:r>
    </w:p>
    <w:bookmarkEnd w:id="12"/>
    <w:p w14:paraId="420D8724" w14:textId="77777777" w:rsidR="00EB5399" w:rsidRPr="00FF09BA" w:rsidRDefault="00B5081E" w:rsidP="00D554ED">
      <w:pPr>
        <w:pStyle w:val="NumberedParagraph"/>
        <w:rPr>
          <w:szCs w:val="20"/>
        </w:rPr>
      </w:pPr>
      <w:r w:rsidRPr="00824E21">
        <w:t xml:space="preserve">The issues paper </w:t>
      </w:r>
      <w:r>
        <w:t xml:space="preserve">seeks feedback on a </w:t>
      </w:r>
      <w:r w:rsidR="00A25EA9" w:rsidRPr="00FF09BA">
        <w:rPr>
          <w:szCs w:val="20"/>
        </w:rPr>
        <w:t>rule that</w:t>
      </w:r>
      <w:r w:rsidR="00BA40F6" w:rsidRPr="00FF09BA">
        <w:rPr>
          <w:szCs w:val="20"/>
        </w:rPr>
        <w:t xml:space="preserve"> </w:t>
      </w:r>
      <w:r w:rsidR="00C62E6F">
        <w:rPr>
          <w:szCs w:val="20"/>
        </w:rPr>
        <w:t xml:space="preserve">would </w:t>
      </w:r>
      <w:r w:rsidR="00FF09BA" w:rsidRPr="00FF09BA">
        <w:rPr>
          <w:szCs w:val="20"/>
        </w:rPr>
        <w:t xml:space="preserve">require </w:t>
      </w:r>
      <w:r w:rsidR="00A25EA9" w:rsidRPr="00FF09BA">
        <w:rPr>
          <w:szCs w:val="20"/>
        </w:rPr>
        <w:t>the parties’ allocations to be consistent</w:t>
      </w:r>
      <w:r w:rsidR="002F20AF">
        <w:rPr>
          <w:szCs w:val="20"/>
        </w:rPr>
        <w:t>.  I</w:t>
      </w:r>
      <w:r w:rsidR="00A25EA9" w:rsidRPr="00FF09BA">
        <w:rPr>
          <w:szCs w:val="20"/>
        </w:rPr>
        <w:t xml:space="preserve">f that consistency cannot be achieved through the parties reaching agreement, the purchaser </w:t>
      </w:r>
      <w:r w:rsidR="001F0C45">
        <w:rPr>
          <w:szCs w:val="20"/>
        </w:rPr>
        <w:t>would be required to</w:t>
      </w:r>
      <w:r w:rsidR="00BA30B3" w:rsidRPr="00FF09BA">
        <w:rPr>
          <w:szCs w:val="20"/>
        </w:rPr>
        <w:t xml:space="preserve"> use the vendor’s allocation</w:t>
      </w:r>
      <w:r w:rsidR="00D9240B" w:rsidRPr="00FF09BA">
        <w:rPr>
          <w:szCs w:val="20"/>
        </w:rPr>
        <w:t xml:space="preserve"> – or vice versa</w:t>
      </w:r>
      <w:r w:rsidR="009A3488" w:rsidRPr="00FF09BA">
        <w:rPr>
          <w:szCs w:val="20"/>
        </w:rPr>
        <w:t xml:space="preserve"> if the vendor does not notify the purchaser of their allocation</w:t>
      </w:r>
      <w:r w:rsidR="0093523C" w:rsidRPr="00FF09BA">
        <w:rPr>
          <w:szCs w:val="20"/>
        </w:rPr>
        <w:t xml:space="preserve"> within a reasonable period of time.</w:t>
      </w:r>
    </w:p>
    <w:p w14:paraId="1C0655AF" w14:textId="77777777" w:rsidR="00F73096" w:rsidRDefault="00DE465C" w:rsidP="00EB5399">
      <w:pPr>
        <w:pStyle w:val="NumberedParagraph"/>
        <w:rPr>
          <w:szCs w:val="20"/>
        </w:rPr>
      </w:pPr>
      <w:r w:rsidRPr="00824E21">
        <w:rPr>
          <w:szCs w:val="20"/>
        </w:rPr>
        <w:t>The allocations</w:t>
      </w:r>
      <w:r w:rsidR="00A25EA9" w:rsidRPr="00824E21">
        <w:rPr>
          <w:szCs w:val="20"/>
        </w:rPr>
        <w:t xml:space="preserve"> should </w:t>
      </w:r>
      <w:r w:rsidRPr="00824E21">
        <w:rPr>
          <w:szCs w:val="20"/>
        </w:rPr>
        <w:t xml:space="preserve">also </w:t>
      </w:r>
      <w:r w:rsidR="00A25EA9" w:rsidRPr="00A57D84">
        <w:rPr>
          <w:szCs w:val="20"/>
        </w:rPr>
        <w:t xml:space="preserve">be based on market values. There is case law in this area which reinforces the </w:t>
      </w:r>
      <w:r w:rsidR="007A3A85">
        <w:rPr>
          <w:szCs w:val="20"/>
        </w:rPr>
        <w:t>requirement</w:t>
      </w:r>
      <w:r w:rsidR="00A25EA9" w:rsidRPr="00A57D84">
        <w:rPr>
          <w:szCs w:val="20"/>
        </w:rPr>
        <w:t xml:space="preserve"> that market values should be used. Otherwise, there is an opportunity for one party to reduce its tax liability, and there may be no or inadequate compensating increase in the other party’s tax liability given its tax status (for example, exempt or in loss), or because of differences in the (marginal) tax rates of the parties. Where a party obtain</w:t>
      </w:r>
      <w:r w:rsidR="001F4B66" w:rsidRPr="00A57D84">
        <w:rPr>
          <w:szCs w:val="20"/>
        </w:rPr>
        <w:t>s</w:t>
      </w:r>
      <w:r w:rsidR="00A25EA9" w:rsidRPr="00A57D84">
        <w:rPr>
          <w:szCs w:val="20"/>
        </w:rPr>
        <w:t xml:space="preserve"> assets at a genuine bargain price then their relative market value is what is important.</w:t>
      </w:r>
    </w:p>
    <w:p w14:paraId="3A11D9BD" w14:textId="77777777" w:rsidR="00F73096" w:rsidRPr="002C1043" w:rsidRDefault="00A25EA9" w:rsidP="00EB5399">
      <w:pPr>
        <w:pStyle w:val="NumberedParagraph"/>
        <w:rPr>
          <w:szCs w:val="20"/>
        </w:rPr>
      </w:pPr>
      <w:r w:rsidRPr="00824E21">
        <w:rPr>
          <w:szCs w:val="20"/>
        </w:rPr>
        <w:t>Given the breadth of coverage (</w:t>
      </w:r>
      <w:r w:rsidR="00B91228">
        <w:rPr>
          <w:szCs w:val="20"/>
        </w:rPr>
        <w:t xml:space="preserve">residential </w:t>
      </w:r>
      <w:r w:rsidRPr="00824E21">
        <w:rPr>
          <w:szCs w:val="20"/>
        </w:rPr>
        <w:t xml:space="preserve">rental properties </w:t>
      </w:r>
      <w:r w:rsidR="00B91228">
        <w:rPr>
          <w:szCs w:val="20"/>
        </w:rPr>
        <w:t xml:space="preserve">with chattels </w:t>
      </w:r>
      <w:r w:rsidRPr="00824E21">
        <w:rPr>
          <w:szCs w:val="20"/>
        </w:rPr>
        <w:t xml:space="preserve">would be covered, for example), and to reduce compliance costs, </w:t>
      </w:r>
      <w:r w:rsidR="007521D7">
        <w:rPr>
          <w:szCs w:val="20"/>
        </w:rPr>
        <w:t>the issues paper explores</w:t>
      </w:r>
      <w:r w:rsidRPr="00824E21">
        <w:rPr>
          <w:szCs w:val="20"/>
        </w:rPr>
        <w:t xml:space="preserve"> some options for a de minimis below which</w:t>
      </w:r>
      <w:r w:rsidRPr="00A57D84">
        <w:rPr>
          <w:szCs w:val="20"/>
        </w:rPr>
        <w:t xml:space="preserve"> the new rules would not apply. </w:t>
      </w:r>
      <w:r w:rsidRPr="002C1043">
        <w:rPr>
          <w:szCs w:val="20"/>
        </w:rPr>
        <w:t>The issues paper suggests</w:t>
      </w:r>
      <w:r w:rsidR="002E7CE9" w:rsidRPr="002C1043">
        <w:rPr>
          <w:szCs w:val="20"/>
        </w:rPr>
        <w:t>, for example,</w:t>
      </w:r>
      <w:r w:rsidRPr="002C1043">
        <w:rPr>
          <w:szCs w:val="20"/>
        </w:rPr>
        <w:t xml:space="preserve"> </w:t>
      </w:r>
      <w:r w:rsidR="00EE78FA" w:rsidRPr="002C1043">
        <w:rPr>
          <w:szCs w:val="20"/>
        </w:rPr>
        <w:t xml:space="preserve">that </w:t>
      </w:r>
      <w:r w:rsidR="00282855" w:rsidRPr="002C1043">
        <w:rPr>
          <w:szCs w:val="20"/>
        </w:rPr>
        <w:t xml:space="preserve">sales in which </w:t>
      </w:r>
      <w:r w:rsidR="00100585" w:rsidRPr="002C1043">
        <w:rPr>
          <w:szCs w:val="20"/>
        </w:rPr>
        <w:t>the total amount allocated by the purchaser to deductible or depreciable items is less than $100,000</w:t>
      </w:r>
      <w:r w:rsidR="005F5E71" w:rsidRPr="002C1043">
        <w:rPr>
          <w:szCs w:val="20"/>
        </w:rPr>
        <w:t>, the transaction</w:t>
      </w:r>
      <w:r w:rsidR="00100585" w:rsidRPr="002C1043">
        <w:rPr>
          <w:szCs w:val="20"/>
        </w:rPr>
        <w:t xml:space="preserve"> could be excluded from the consistency requirement.</w:t>
      </w:r>
    </w:p>
    <w:p w14:paraId="59DB0638" w14:textId="77777777" w:rsidR="00CF6161" w:rsidRDefault="00CF6161" w:rsidP="00CF6161">
      <w:pPr>
        <w:pStyle w:val="NumberedParagraph"/>
        <w:rPr>
          <w:szCs w:val="20"/>
        </w:rPr>
      </w:pPr>
      <w:r w:rsidRPr="00824E21">
        <w:rPr>
          <w:szCs w:val="20"/>
        </w:rPr>
        <w:t>For parties involved in</w:t>
      </w:r>
      <w:r w:rsidRPr="00A57D84">
        <w:rPr>
          <w:szCs w:val="20"/>
        </w:rPr>
        <w:t xml:space="preserve"> transactions of significant value, implementing this approach should involve almost no additional cost, as they are already required to undertake an allocation. It should encourage them to agree on an allocation</w:t>
      </w:r>
      <w:r w:rsidR="00D76C72" w:rsidRPr="00A57D84">
        <w:rPr>
          <w:szCs w:val="20"/>
        </w:rPr>
        <w:t xml:space="preserve"> beforehand,</w:t>
      </w:r>
      <w:r w:rsidRPr="00A57D84">
        <w:rPr>
          <w:szCs w:val="20"/>
        </w:rPr>
        <w:t xml:space="preserve"> in the sale and purchase agreement</w:t>
      </w:r>
      <w:r w:rsidR="0093561D">
        <w:rPr>
          <w:szCs w:val="20"/>
        </w:rPr>
        <w:t xml:space="preserve"> or otherwise</w:t>
      </w:r>
      <w:r w:rsidRPr="00A57D84">
        <w:rPr>
          <w:szCs w:val="20"/>
        </w:rPr>
        <w:t>.</w:t>
      </w:r>
    </w:p>
    <w:p w14:paraId="428A7506" w14:textId="77777777" w:rsidR="00B46573" w:rsidRDefault="00B46573" w:rsidP="00B46573">
      <w:pPr>
        <w:pStyle w:val="NumberedParagraph"/>
        <w:rPr>
          <w:szCs w:val="20"/>
        </w:rPr>
      </w:pPr>
      <w:r w:rsidRPr="00824E21">
        <w:rPr>
          <w:szCs w:val="20"/>
        </w:rPr>
        <w:t>When the assets involved are relatively minor, it seems that vendors have often been using the written down book value in their allocations, often to reduce compliance costs. The de minimis should</w:t>
      </w:r>
      <w:r w:rsidR="00A9103E">
        <w:rPr>
          <w:szCs w:val="20"/>
        </w:rPr>
        <w:t xml:space="preserve"> allow that to continue where the revenue at stake is less significant</w:t>
      </w:r>
      <w:r w:rsidRPr="00824E21">
        <w:rPr>
          <w:szCs w:val="20"/>
        </w:rPr>
        <w:t xml:space="preserve">. </w:t>
      </w:r>
    </w:p>
    <w:p w14:paraId="54B8497C" w14:textId="77777777" w:rsidR="00752026" w:rsidRPr="00EB5399" w:rsidRDefault="00B0578C" w:rsidP="00752026">
      <w:pPr>
        <w:pStyle w:val="Heading1"/>
      </w:pPr>
      <w:r>
        <w:t xml:space="preserve">Fiscal implications </w:t>
      </w:r>
    </w:p>
    <w:p w14:paraId="3CE7FFE0" w14:textId="4481CE1D" w:rsidR="00F7702E" w:rsidRDefault="00521AEE" w:rsidP="00EB5399">
      <w:pPr>
        <w:pStyle w:val="NumberedParagraph"/>
        <w:rPr>
          <w:szCs w:val="20"/>
        </w:rPr>
      </w:pPr>
      <w:r>
        <w:rPr>
          <w:szCs w:val="20"/>
        </w:rPr>
        <w:t xml:space="preserve">If the </w:t>
      </w:r>
      <w:r w:rsidR="00CA0389">
        <w:rPr>
          <w:szCs w:val="20"/>
        </w:rPr>
        <w:t>proposals outlined in the issues paper were to be implemented exactly as proposed</w:t>
      </w:r>
      <w:r w:rsidR="00935C9C">
        <w:rPr>
          <w:szCs w:val="20"/>
        </w:rPr>
        <w:t xml:space="preserve">, </w:t>
      </w:r>
      <w:r w:rsidR="001F2280">
        <w:rPr>
          <w:szCs w:val="20"/>
        </w:rPr>
        <w:t>we estim</w:t>
      </w:r>
      <w:r w:rsidR="00567332">
        <w:rPr>
          <w:szCs w:val="20"/>
        </w:rPr>
        <w:t xml:space="preserve">ate that </w:t>
      </w:r>
      <w:r w:rsidR="00180F6D">
        <w:rPr>
          <w:szCs w:val="20"/>
        </w:rPr>
        <w:t xml:space="preserve">tax revenue </w:t>
      </w:r>
      <w:r w:rsidR="00CD2F5A">
        <w:rPr>
          <w:szCs w:val="20"/>
        </w:rPr>
        <w:t xml:space="preserve">would increase by </w:t>
      </w:r>
      <w:r w:rsidR="004421F9">
        <w:rPr>
          <w:szCs w:val="20"/>
        </w:rPr>
        <w:t>approximately</w:t>
      </w:r>
      <w:r w:rsidR="004A6997" w:rsidRPr="00A07D3F">
        <w:rPr>
          <w:color w:val="BFBFBF" w:themeColor="background1" w:themeShade="BF"/>
          <w:szCs w:val="20"/>
          <w:shd w:val="clear" w:color="auto" w:fill="BFBFBF" w:themeFill="background1" w:themeFillShade="BF"/>
        </w:rPr>
        <w:t>………</w:t>
      </w:r>
      <w:r w:rsidR="000E065A">
        <w:rPr>
          <w:szCs w:val="20"/>
        </w:rPr>
        <w:t xml:space="preserve"> </w:t>
      </w:r>
      <w:r w:rsidR="00D163E1" w:rsidRPr="003941C4">
        <w:rPr>
          <w:sz w:val="12"/>
          <w:szCs w:val="12"/>
          <w:shd w:val="clear" w:color="auto" w:fill="BFBFBF" w:themeFill="background1" w:themeFillShade="BF"/>
        </w:rPr>
        <w:t>s</w:t>
      </w:r>
      <w:r w:rsidR="001D042E" w:rsidRPr="003941C4">
        <w:rPr>
          <w:sz w:val="12"/>
          <w:szCs w:val="12"/>
          <w:shd w:val="clear" w:color="auto" w:fill="BFBFBF" w:themeFill="background1" w:themeFillShade="BF"/>
        </w:rPr>
        <w:t> </w:t>
      </w:r>
      <w:r w:rsidR="002B08FB" w:rsidRPr="003941C4">
        <w:rPr>
          <w:sz w:val="12"/>
          <w:szCs w:val="12"/>
          <w:shd w:val="clear" w:color="auto" w:fill="BFBFBF" w:themeFill="background1" w:themeFillShade="BF"/>
        </w:rPr>
        <w:t>9(2)(f)(iv)</w:t>
      </w:r>
      <w:r w:rsidR="00180F6D">
        <w:rPr>
          <w:szCs w:val="20"/>
        </w:rPr>
        <w:t xml:space="preserve"> over the forecast period. </w:t>
      </w:r>
      <w:r w:rsidR="009205D8">
        <w:rPr>
          <w:szCs w:val="20"/>
        </w:rPr>
        <w:t>T</w:t>
      </w:r>
      <w:r w:rsidR="00752026" w:rsidRPr="002C1043">
        <w:rPr>
          <w:szCs w:val="20"/>
        </w:rPr>
        <w:t xml:space="preserve">his estimate is </w:t>
      </w:r>
      <w:r w:rsidR="009205D8">
        <w:rPr>
          <w:szCs w:val="20"/>
        </w:rPr>
        <w:t xml:space="preserve">based </w:t>
      </w:r>
      <w:r w:rsidR="00752026" w:rsidRPr="002C1043">
        <w:rPr>
          <w:szCs w:val="20"/>
        </w:rPr>
        <w:t xml:space="preserve">on </w:t>
      </w:r>
      <w:r w:rsidR="009205D8">
        <w:rPr>
          <w:szCs w:val="20"/>
        </w:rPr>
        <w:t xml:space="preserve">a sample of </w:t>
      </w:r>
      <w:r w:rsidR="005F79D0">
        <w:rPr>
          <w:szCs w:val="20"/>
        </w:rPr>
        <w:t xml:space="preserve">known cases, extrapolated out to the total estimated </w:t>
      </w:r>
      <w:r w:rsidR="009A3FDE">
        <w:rPr>
          <w:szCs w:val="20"/>
        </w:rPr>
        <w:t>base of deprecia</w:t>
      </w:r>
      <w:r w:rsidR="00AB736F">
        <w:rPr>
          <w:szCs w:val="20"/>
        </w:rPr>
        <w:t>b</w:t>
      </w:r>
      <w:r w:rsidR="009A3FDE">
        <w:rPr>
          <w:szCs w:val="20"/>
        </w:rPr>
        <w:t xml:space="preserve">le property sold with other assets.  As it does not include financial arrangements </w:t>
      </w:r>
      <w:r w:rsidR="00AB736F">
        <w:rPr>
          <w:szCs w:val="20"/>
        </w:rPr>
        <w:t xml:space="preserve">or revenue from </w:t>
      </w:r>
      <w:r w:rsidR="00114F7F">
        <w:rPr>
          <w:szCs w:val="20"/>
        </w:rPr>
        <w:t xml:space="preserve">improved compliance with the trading stock rules, it is potentially conservative.  </w:t>
      </w:r>
      <w:r w:rsidR="009F79C1">
        <w:rPr>
          <w:szCs w:val="20"/>
        </w:rPr>
        <w:t xml:space="preserve">However, it </w:t>
      </w:r>
      <w:r w:rsidR="009F79C1">
        <w:rPr>
          <w:szCs w:val="20"/>
        </w:rPr>
        <w:lastRenderedPageBreak/>
        <w:t>should also be noted that the methodology to reach this number is comp</w:t>
      </w:r>
      <w:r w:rsidR="00845C25">
        <w:rPr>
          <w:szCs w:val="20"/>
        </w:rPr>
        <w:t>l</w:t>
      </w:r>
      <w:r w:rsidR="009F79C1">
        <w:rPr>
          <w:szCs w:val="20"/>
        </w:rPr>
        <w:t>ex</w:t>
      </w:r>
      <w:r w:rsidR="00845C25">
        <w:rPr>
          <w:szCs w:val="20"/>
        </w:rPr>
        <w:t xml:space="preserve"> </w:t>
      </w:r>
      <w:r w:rsidR="009F79C1">
        <w:rPr>
          <w:szCs w:val="20"/>
        </w:rPr>
        <w:t xml:space="preserve">and relies on a </w:t>
      </w:r>
      <w:r w:rsidR="00024B7F">
        <w:rPr>
          <w:szCs w:val="20"/>
        </w:rPr>
        <w:t>n</w:t>
      </w:r>
      <w:r w:rsidR="009F79C1">
        <w:rPr>
          <w:szCs w:val="20"/>
        </w:rPr>
        <w:t>umber of assumptions.</w:t>
      </w:r>
      <w:r w:rsidR="00752026">
        <w:rPr>
          <w:szCs w:val="20"/>
        </w:rPr>
        <w:t xml:space="preserve"> </w:t>
      </w:r>
    </w:p>
    <w:p w14:paraId="2B500872" w14:textId="77777777" w:rsidR="00845C25" w:rsidRDefault="00845C25" w:rsidP="00EB5399">
      <w:pPr>
        <w:pStyle w:val="NumberedParagraph"/>
        <w:rPr>
          <w:szCs w:val="20"/>
        </w:rPr>
      </w:pPr>
      <w:r>
        <w:rPr>
          <w:szCs w:val="20"/>
        </w:rPr>
        <w:t xml:space="preserve">Any change to the design of the measure following consultation is likely to change these estimates. </w:t>
      </w:r>
    </w:p>
    <w:p w14:paraId="3860CF9C" w14:textId="77777777" w:rsidR="00B0578C" w:rsidRPr="00EB5399" w:rsidRDefault="00B0578C" w:rsidP="00B0578C">
      <w:pPr>
        <w:pStyle w:val="Heading1"/>
      </w:pPr>
      <w:r>
        <w:t>Systems or technology impacts</w:t>
      </w:r>
    </w:p>
    <w:p w14:paraId="75097779" w14:textId="77777777" w:rsidR="00A736C5" w:rsidRPr="00F73096" w:rsidRDefault="00A736C5" w:rsidP="00A736C5">
      <w:pPr>
        <w:pStyle w:val="NumberedParagraph"/>
      </w:pPr>
      <w:r>
        <w:t xml:space="preserve">The </w:t>
      </w:r>
      <w:r w:rsidRPr="00824E21">
        <w:t xml:space="preserve">proposal does not give rise to significant operational or systems changes, and we consider that it would have low administrative costs for Inland Revenue. </w:t>
      </w:r>
    </w:p>
    <w:p w14:paraId="07395B11" w14:textId="77777777" w:rsidR="006D0858" w:rsidRPr="00EB5399" w:rsidRDefault="00AB2266" w:rsidP="006D0858">
      <w:pPr>
        <w:pStyle w:val="Heading1"/>
      </w:pPr>
      <w:r>
        <w:t>Consultation</w:t>
      </w:r>
    </w:p>
    <w:p w14:paraId="3E674343" w14:textId="77777777" w:rsidR="008E12D0" w:rsidRDefault="00A25EA9" w:rsidP="00F73096">
      <w:pPr>
        <w:pStyle w:val="NumberedParagraph"/>
        <w:rPr>
          <w:szCs w:val="20"/>
        </w:rPr>
      </w:pPr>
      <w:r w:rsidRPr="00824E21">
        <w:rPr>
          <w:szCs w:val="20"/>
        </w:rPr>
        <w:t>To test out the problem and possible solutions, we</w:t>
      </w:r>
      <w:r w:rsidR="00A26B8C" w:rsidRPr="00824E21">
        <w:rPr>
          <w:szCs w:val="20"/>
        </w:rPr>
        <w:t xml:space="preserve"> have</w:t>
      </w:r>
      <w:r w:rsidRPr="00824E21">
        <w:rPr>
          <w:szCs w:val="20"/>
        </w:rPr>
        <w:t xml:space="preserve"> engaged with </w:t>
      </w:r>
      <w:r w:rsidR="003134A9" w:rsidRPr="00A57D84">
        <w:rPr>
          <w:szCs w:val="20"/>
        </w:rPr>
        <w:t xml:space="preserve">a </w:t>
      </w:r>
      <w:r w:rsidR="00BD0CBF" w:rsidRPr="00A57D84">
        <w:rPr>
          <w:szCs w:val="20"/>
        </w:rPr>
        <w:t>variety</w:t>
      </w:r>
      <w:r w:rsidR="003134A9" w:rsidRPr="00A57D84">
        <w:rPr>
          <w:szCs w:val="20"/>
        </w:rPr>
        <w:t xml:space="preserve"> of private sector stakeholders</w:t>
      </w:r>
      <w:r w:rsidR="00BD0CBF" w:rsidRPr="00A57D84">
        <w:rPr>
          <w:szCs w:val="20"/>
        </w:rPr>
        <w:t xml:space="preserve"> over the past 18 months</w:t>
      </w:r>
      <w:r w:rsidRPr="00A57D84">
        <w:rPr>
          <w:szCs w:val="20"/>
        </w:rPr>
        <w:t>. Their involvement and cooperation will be important to the success of any policy change given their clients and members are those most likely to be affected.</w:t>
      </w:r>
    </w:p>
    <w:p w14:paraId="1A8C4200" w14:textId="77777777" w:rsidR="00A25EA9" w:rsidRPr="0025080E" w:rsidRDefault="00A25EA9" w:rsidP="00F73096">
      <w:pPr>
        <w:pStyle w:val="NumberedParagraph"/>
        <w:rPr>
          <w:szCs w:val="20"/>
        </w:rPr>
      </w:pPr>
      <w:r w:rsidRPr="00824E21">
        <w:rPr>
          <w:szCs w:val="20"/>
        </w:rPr>
        <w:t xml:space="preserve">We have advised </w:t>
      </w:r>
      <w:r w:rsidR="00360B33" w:rsidRPr="00824E21">
        <w:rPr>
          <w:szCs w:val="20"/>
        </w:rPr>
        <w:t>stakeholders</w:t>
      </w:r>
      <w:r w:rsidRPr="00824E21">
        <w:rPr>
          <w:szCs w:val="20"/>
        </w:rPr>
        <w:t xml:space="preserve"> that their </w:t>
      </w:r>
      <w:r w:rsidR="0073303A" w:rsidRPr="00A57D84">
        <w:rPr>
          <w:szCs w:val="20"/>
        </w:rPr>
        <w:t xml:space="preserve">initial </w:t>
      </w:r>
      <w:r w:rsidRPr="00A57D84">
        <w:rPr>
          <w:szCs w:val="20"/>
        </w:rPr>
        <w:t xml:space="preserve">suggestion of an operational solution is not </w:t>
      </w:r>
      <w:r w:rsidR="65A6F051" w:rsidRPr="00A57D84">
        <w:rPr>
          <w:szCs w:val="20"/>
        </w:rPr>
        <w:t>likely to be effective</w:t>
      </w:r>
      <w:r w:rsidR="00EF2324" w:rsidRPr="00A57D84">
        <w:rPr>
          <w:szCs w:val="20"/>
        </w:rPr>
        <w:t>,</w:t>
      </w:r>
      <w:r w:rsidRPr="00A57D84">
        <w:rPr>
          <w:szCs w:val="20"/>
        </w:rPr>
        <w:t xml:space="preserve"> which means that a legislative change seems necessary</w:t>
      </w:r>
      <w:r w:rsidR="00D67D4D" w:rsidRPr="00A57D84">
        <w:rPr>
          <w:szCs w:val="20"/>
        </w:rPr>
        <w:t>.</w:t>
      </w:r>
      <w:r w:rsidRPr="00A57D84">
        <w:rPr>
          <w:szCs w:val="20"/>
        </w:rPr>
        <w:t xml:space="preserve"> </w:t>
      </w:r>
      <w:r w:rsidR="001930BF" w:rsidRPr="00A57D84">
        <w:t>Chartered Accountants Australia and New Zealand</w:t>
      </w:r>
      <w:r w:rsidR="001930BF">
        <w:rPr>
          <w:szCs w:val="20"/>
        </w:rPr>
        <w:t xml:space="preserve"> </w:t>
      </w:r>
      <w:r w:rsidRPr="00A57D84">
        <w:rPr>
          <w:szCs w:val="20"/>
        </w:rPr>
        <w:t xml:space="preserve">has </w:t>
      </w:r>
      <w:r w:rsidR="00B67E58" w:rsidRPr="00A57D84">
        <w:rPr>
          <w:szCs w:val="20"/>
        </w:rPr>
        <w:t>acknowledged</w:t>
      </w:r>
      <w:r w:rsidRPr="00A57D84">
        <w:rPr>
          <w:szCs w:val="20"/>
        </w:rPr>
        <w:t xml:space="preserve"> that </w:t>
      </w:r>
      <w:r w:rsidR="00D03112" w:rsidRPr="00A57D84">
        <w:rPr>
          <w:szCs w:val="20"/>
        </w:rPr>
        <w:t>the</w:t>
      </w:r>
      <w:r w:rsidRPr="00A57D84">
        <w:rPr>
          <w:szCs w:val="20"/>
        </w:rPr>
        <w:t xml:space="preserve"> current law </w:t>
      </w:r>
      <w:r w:rsidR="00D03112" w:rsidRPr="00A57D84">
        <w:rPr>
          <w:szCs w:val="20"/>
        </w:rPr>
        <w:t xml:space="preserve">generally does not </w:t>
      </w:r>
      <w:r w:rsidRPr="00A57D84">
        <w:rPr>
          <w:szCs w:val="20"/>
        </w:rPr>
        <w:t>require consistency</w:t>
      </w:r>
      <w:r w:rsidR="00EC2C16" w:rsidRPr="00A57D84">
        <w:rPr>
          <w:szCs w:val="20"/>
        </w:rPr>
        <w:t xml:space="preserve"> in allocations.</w:t>
      </w:r>
      <w:r w:rsidR="00E84AD1" w:rsidRPr="00A57D84">
        <w:rPr>
          <w:szCs w:val="20"/>
        </w:rPr>
        <w:t xml:space="preserve"> A key</w:t>
      </w:r>
      <w:r w:rsidR="003B06EC" w:rsidRPr="00A57D84">
        <w:rPr>
          <w:szCs w:val="20"/>
        </w:rPr>
        <w:t xml:space="preserve"> private sector concern </w:t>
      </w:r>
      <w:r w:rsidR="00D65838" w:rsidRPr="00A57D84">
        <w:rPr>
          <w:szCs w:val="20"/>
        </w:rPr>
        <w:t xml:space="preserve">with any legislative change </w:t>
      </w:r>
      <w:r w:rsidR="003B06EC" w:rsidRPr="00A57D84">
        <w:rPr>
          <w:szCs w:val="20"/>
        </w:rPr>
        <w:t>is</w:t>
      </w:r>
      <w:r w:rsidR="009B7C72" w:rsidRPr="00A57D84">
        <w:rPr>
          <w:szCs w:val="20"/>
        </w:rPr>
        <w:t xml:space="preserve"> </w:t>
      </w:r>
      <w:r w:rsidR="002156AC" w:rsidRPr="00A57D84">
        <w:rPr>
          <w:szCs w:val="20"/>
        </w:rPr>
        <w:t>that either</w:t>
      </w:r>
      <w:r w:rsidR="00B06575" w:rsidRPr="00A57D84">
        <w:rPr>
          <w:szCs w:val="20"/>
        </w:rPr>
        <w:t xml:space="preserve"> the vendor or the purchaser </w:t>
      </w:r>
      <w:r w:rsidR="002156AC" w:rsidRPr="00A57D84">
        <w:rPr>
          <w:szCs w:val="20"/>
        </w:rPr>
        <w:t>might be</w:t>
      </w:r>
      <w:r w:rsidR="00D65838" w:rsidRPr="00A57D84">
        <w:rPr>
          <w:szCs w:val="20"/>
        </w:rPr>
        <w:t xml:space="preserve"> given </w:t>
      </w:r>
      <w:r w:rsidR="00B06575" w:rsidRPr="00A57D84">
        <w:rPr>
          <w:szCs w:val="20"/>
        </w:rPr>
        <w:t>undue power</w:t>
      </w:r>
      <w:r w:rsidR="007C7B4D" w:rsidRPr="00A57D84">
        <w:rPr>
          <w:szCs w:val="20"/>
        </w:rPr>
        <w:t>,</w:t>
      </w:r>
      <w:r w:rsidR="00AF3231" w:rsidRPr="00A57D84">
        <w:rPr>
          <w:szCs w:val="20"/>
        </w:rPr>
        <w:t xml:space="preserve"> and </w:t>
      </w:r>
      <w:r w:rsidR="00DA59D4" w:rsidRPr="00A57D84">
        <w:rPr>
          <w:szCs w:val="20"/>
        </w:rPr>
        <w:t xml:space="preserve">that there </w:t>
      </w:r>
      <w:r w:rsidR="00582016" w:rsidRPr="00A57D84">
        <w:rPr>
          <w:szCs w:val="20"/>
        </w:rPr>
        <w:t>would</w:t>
      </w:r>
      <w:r w:rsidR="00DA59D4" w:rsidRPr="00A57D84">
        <w:rPr>
          <w:szCs w:val="20"/>
        </w:rPr>
        <w:t xml:space="preserve"> therefore </w:t>
      </w:r>
      <w:r w:rsidR="00582016" w:rsidRPr="00A57D84">
        <w:rPr>
          <w:szCs w:val="20"/>
        </w:rPr>
        <w:t>be a negative impact on</w:t>
      </w:r>
      <w:r w:rsidR="00AF3231" w:rsidRPr="00A57D84">
        <w:rPr>
          <w:szCs w:val="20"/>
        </w:rPr>
        <w:t xml:space="preserve"> commercial transactions.</w:t>
      </w:r>
      <w:r w:rsidR="00736C08" w:rsidRPr="00A57D84">
        <w:rPr>
          <w:szCs w:val="20"/>
        </w:rPr>
        <w:t xml:space="preserve"> </w:t>
      </w:r>
      <w:r w:rsidR="0040550E">
        <w:rPr>
          <w:szCs w:val="20"/>
        </w:rPr>
        <w:t xml:space="preserve"> </w:t>
      </w:r>
      <w:r w:rsidR="00736C08" w:rsidRPr="0025080E">
        <w:rPr>
          <w:szCs w:val="20"/>
        </w:rPr>
        <w:t>Therefore, this issue</w:t>
      </w:r>
      <w:r w:rsidR="007521D7">
        <w:rPr>
          <w:szCs w:val="20"/>
        </w:rPr>
        <w:t>,</w:t>
      </w:r>
      <w:r w:rsidR="00AD1A0B" w:rsidRPr="0025080E">
        <w:rPr>
          <w:szCs w:val="20"/>
        </w:rPr>
        <w:t xml:space="preserve"> among others</w:t>
      </w:r>
      <w:r w:rsidR="007521D7">
        <w:rPr>
          <w:szCs w:val="20"/>
        </w:rPr>
        <w:t>,</w:t>
      </w:r>
      <w:r w:rsidR="00736C08" w:rsidRPr="0025080E">
        <w:rPr>
          <w:szCs w:val="20"/>
        </w:rPr>
        <w:t xml:space="preserve"> is discussed</w:t>
      </w:r>
      <w:r w:rsidR="0027694E" w:rsidRPr="0025080E">
        <w:rPr>
          <w:szCs w:val="20"/>
        </w:rPr>
        <w:t xml:space="preserve"> in</w:t>
      </w:r>
      <w:r w:rsidR="00CB7E4C" w:rsidRPr="0025080E">
        <w:rPr>
          <w:szCs w:val="20"/>
        </w:rPr>
        <w:t xml:space="preserve"> depth </w:t>
      </w:r>
      <w:r w:rsidR="00AD1A0B" w:rsidRPr="0025080E">
        <w:rPr>
          <w:szCs w:val="20"/>
        </w:rPr>
        <w:t>in the officials’ issues paper.</w:t>
      </w:r>
      <w:r w:rsidR="00B22292" w:rsidRPr="0025080E">
        <w:rPr>
          <w:szCs w:val="20"/>
        </w:rPr>
        <w:t xml:space="preserve">  The recommended </w:t>
      </w:r>
      <w:r w:rsidR="00AE2016" w:rsidRPr="0025080E">
        <w:rPr>
          <w:szCs w:val="20"/>
        </w:rPr>
        <w:t xml:space="preserve">solution has </w:t>
      </w:r>
      <w:r w:rsidR="00C51388">
        <w:rPr>
          <w:szCs w:val="20"/>
        </w:rPr>
        <w:t>included some safeguards</w:t>
      </w:r>
      <w:r w:rsidR="00AE2016" w:rsidRPr="0025080E">
        <w:rPr>
          <w:szCs w:val="20"/>
        </w:rPr>
        <w:t xml:space="preserve"> to try to reduce these concerns.</w:t>
      </w:r>
    </w:p>
    <w:p w14:paraId="11CCB99E" w14:textId="77777777" w:rsidR="00A25EA9" w:rsidRDefault="00A25EA9" w:rsidP="00A2547F">
      <w:pPr>
        <w:pStyle w:val="Heading2"/>
      </w:pPr>
    </w:p>
    <w:sectPr w:rsidR="00A25EA9" w:rsidSect="0076431E">
      <w:headerReference w:type="default" r:id="rId10"/>
      <w:footerReference w:type="default" r:id="rId11"/>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296C6" w14:textId="77777777" w:rsidR="00B3209E" w:rsidRDefault="00B3209E" w:rsidP="002F43C5">
      <w:pPr>
        <w:spacing w:line="240" w:lineRule="auto"/>
      </w:pPr>
      <w:r>
        <w:separator/>
      </w:r>
    </w:p>
  </w:endnote>
  <w:endnote w:type="continuationSeparator" w:id="0">
    <w:p w14:paraId="07F8FD4D" w14:textId="77777777" w:rsidR="00B3209E" w:rsidRDefault="00B3209E" w:rsidP="002F43C5">
      <w:pPr>
        <w:spacing w:line="240" w:lineRule="auto"/>
      </w:pPr>
      <w:r>
        <w:continuationSeparator/>
      </w:r>
    </w:p>
  </w:endnote>
  <w:endnote w:type="continuationNotice" w:id="1">
    <w:p w14:paraId="63C64102" w14:textId="77777777" w:rsidR="00B3209E" w:rsidRDefault="00B320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34F3F" w14:textId="77777777" w:rsidR="00095561" w:rsidRDefault="00095561">
    <w:pPr>
      <w:pStyle w:val="Footer"/>
    </w:pPr>
    <w:r>
      <w:rPr>
        <w:noProof/>
        <w:lang w:eastAsia="en-NZ"/>
      </w:rPr>
      <mc:AlternateContent>
        <mc:Choice Requires="wps">
          <w:drawing>
            <wp:anchor distT="0" distB="0" distL="114300" distR="114300" simplePos="0" relativeHeight="251658240" behindDoc="0" locked="0" layoutInCell="0" allowOverlap="1" wp14:anchorId="2E8A45B6" wp14:editId="09A113AA">
              <wp:simplePos x="0" y="0"/>
              <wp:positionH relativeFrom="page">
                <wp:posOffset>0</wp:posOffset>
              </wp:positionH>
              <wp:positionV relativeFrom="page">
                <wp:posOffset>10234930</wp:posOffset>
              </wp:positionV>
              <wp:extent cx="7560310" cy="266700"/>
              <wp:effectExtent l="0" t="0" r="0" b="0"/>
              <wp:wrapNone/>
              <wp:docPr id="1" name="MSIPCM4b1840028754809f05e3c408" descr="{&quot;HashCode&quot;:-6821140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3191B" w14:textId="77777777" w:rsidR="00095561" w:rsidRPr="00095561" w:rsidRDefault="00095561" w:rsidP="00095561">
                          <w:pPr>
                            <w:jc w:val="center"/>
                            <w:rPr>
                              <w:color w:val="000000"/>
                            </w:rPr>
                          </w:pPr>
                          <w:r w:rsidRPr="00095561">
                            <w:rPr>
                              <w:color w:val="00000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8A45B6" id="_x0000_t202" coordsize="21600,21600" o:spt="202" path="m,l,21600r21600,l21600,xe">
              <v:stroke joinstyle="miter"/>
              <v:path gradientshapeok="t" o:connecttype="rect"/>
            </v:shapetype>
            <v:shape id="MSIPCM4b1840028754809f05e3c408" o:spid="_x0000_s1026" type="#_x0000_t202" alt="{&quot;HashCode&quot;:-682114031,&quot;Height&quot;:841.0,&quot;Width&quot;:595.0,&quot;Placement&quot;:&quot;Footer&quot;,&quot;Index&quot;:&quot;Primary&quot;,&quot;Section&quot;:1,&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BAE9jkrgIAAEYFAAAOAAAA&#10;AAAAAAAAAAAAAC4CAABkcnMvZTJvRG9jLnhtbFBLAQItABQABgAIAAAAIQCDso8r3wAAAAsBAAAP&#10;AAAAAAAAAAAAAAAAAAgFAABkcnMvZG93bnJldi54bWxQSwUGAAAAAAQABADzAAAAFAYAAAAA&#10;" o:allowincell="f" filled="f" stroked="f" strokeweight=".5pt">
              <v:textbox inset=",0,,0">
                <w:txbxContent>
                  <w:p w14:paraId="40F3191B" w14:textId="77777777" w:rsidR="00095561" w:rsidRPr="00095561" w:rsidRDefault="00095561" w:rsidP="00095561">
                    <w:pPr>
                      <w:jc w:val="center"/>
                      <w:rPr>
                        <w:color w:val="000000"/>
                      </w:rPr>
                    </w:pPr>
                    <w:r w:rsidRPr="00095561">
                      <w:rPr>
                        <w:color w:val="000000"/>
                      </w:rPr>
                      <w:t>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74E5" w14:textId="411DE156" w:rsidR="00E331E1" w:rsidRPr="00E331E1" w:rsidRDefault="00095561" w:rsidP="00E331E1">
    <w:pPr>
      <w:pStyle w:val="Footer"/>
      <w:tabs>
        <w:tab w:val="clear" w:pos="4513"/>
      </w:tabs>
    </w:pPr>
    <w:r>
      <w:rPr>
        <w:noProof/>
        <w:lang w:eastAsia="en-NZ"/>
      </w:rPr>
      <mc:AlternateContent>
        <mc:Choice Requires="wps">
          <w:drawing>
            <wp:anchor distT="0" distB="0" distL="114300" distR="114300" simplePos="0" relativeHeight="251658241" behindDoc="0" locked="0" layoutInCell="0" allowOverlap="1" wp14:anchorId="037C0B3F" wp14:editId="48C822FD">
              <wp:simplePos x="0" y="0"/>
              <wp:positionH relativeFrom="page">
                <wp:posOffset>0</wp:posOffset>
              </wp:positionH>
              <wp:positionV relativeFrom="page">
                <wp:posOffset>10234930</wp:posOffset>
              </wp:positionV>
              <wp:extent cx="7560310" cy="266700"/>
              <wp:effectExtent l="0" t="0" r="0" b="0"/>
              <wp:wrapNone/>
              <wp:docPr id="3" name="MSIPCM55094890ab4210190afc7692" descr="{&quot;HashCode&quot;:-68211403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E00368" w14:textId="77777777" w:rsidR="00095561" w:rsidRPr="00095561" w:rsidRDefault="00095561" w:rsidP="00095561">
                          <w:pPr>
                            <w:jc w:val="center"/>
                            <w:rPr>
                              <w:color w:val="000000"/>
                            </w:rPr>
                          </w:pPr>
                          <w:r w:rsidRPr="00095561">
                            <w:rPr>
                              <w:color w:val="00000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7C0B3F" id="_x0000_t202" coordsize="21600,21600" o:spt="202" path="m,l,21600r21600,l21600,xe">
              <v:stroke joinstyle="miter"/>
              <v:path gradientshapeok="t" o:connecttype="rect"/>
            </v:shapetype>
            <v:shape id="MSIPCM55094890ab4210190afc7692" o:spid="_x0000_s1027" type="#_x0000_t202" alt="{&quot;HashCode&quot;:-682114031,&quot;Height&quot;:841.0,&quot;Width&quot;:595.0,&quot;Placement&quot;:&quot;Footer&quot;,&quot;Index&quot;:&quot;Primary&quot;,&quot;Section&quot;:2,&quot;Top&quot;:0.0,&quot;Left&quot;:0.0}" style="position:absolute;left:0;text-align:left;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knc6568CAABNBQAADgAA&#10;AAAAAAAAAAAAAAAuAgAAZHJzL2Uyb0RvYy54bWxQSwECLQAUAAYACAAAACEAg7KPK98AAAALAQAA&#10;DwAAAAAAAAAAAAAAAAAJBQAAZHJzL2Rvd25yZXYueG1sUEsFBgAAAAAEAAQA8wAAABUGAAAAAA==&#10;" o:allowincell="f" filled="f" stroked="f" strokeweight=".5pt">
              <v:textbox inset=",0,,0">
                <w:txbxContent>
                  <w:p w14:paraId="0EE00368" w14:textId="77777777" w:rsidR="00095561" w:rsidRPr="00095561" w:rsidRDefault="00095561" w:rsidP="00095561">
                    <w:pPr>
                      <w:jc w:val="center"/>
                      <w:rPr>
                        <w:color w:val="000000"/>
                      </w:rPr>
                    </w:pPr>
                    <w:r w:rsidRPr="00095561">
                      <w:rPr>
                        <w:color w:val="000000"/>
                      </w:rPr>
                      <w:t>SENSITIVE</w:t>
                    </w:r>
                  </w:p>
                </w:txbxContent>
              </v:textbox>
              <w10:wrap anchorx="page" anchory="page"/>
            </v:shape>
          </w:pict>
        </mc:Fallback>
      </mc:AlternateContent>
    </w:r>
    <w:r w:rsidR="00E331E1">
      <w:rPr>
        <w:lang w:val="mi-NZ"/>
      </w:rPr>
      <w:t>IR20</w:t>
    </w:r>
    <w:r w:rsidR="009329A1">
      <w:rPr>
        <w:lang w:val="mi-NZ"/>
      </w:rPr>
      <w:t>19</w:t>
    </w:r>
    <w:r w:rsidR="00E331E1">
      <w:rPr>
        <w:lang w:val="mi-NZ"/>
      </w:rPr>
      <w:t>/</w:t>
    </w:r>
    <w:r w:rsidR="009329A1">
      <w:rPr>
        <w:lang w:val="mi-NZ"/>
      </w:rPr>
      <w:t>554</w:t>
    </w:r>
    <w:r w:rsidR="00E331E1">
      <w:rPr>
        <w:lang w:val="mi-NZ"/>
      </w:rPr>
      <w:t xml:space="preserve">; </w:t>
    </w:r>
    <w:r w:rsidR="00BE7D17">
      <w:rPr>
        <w:lang w:val="mi-NZ"/>
      </w:rPr>
      <w:t>T2019</w:t>
    </w:r>
    <w:r w:rsidR="00E331E1">
      <w:rPr>
        <w:lang w:val="mi-NZ"/>
      </w:rPr>
      <w:t>/</w:t>
    </w:r>
    <w:r w:rsidR="00BE7D17">
      <w:rPr>
        <w:lang w:val="mi-NZ"/>
      </w:rPr>
      <w:t>3648</w:t>
    </w:r>
    <w:r w:rsidR="00E331E1">
      <w:rPr>
        <w:lang w:val="mi-NZ"/>
      </w:rPr>
      <w:t xml:space="preserve">: </w:t>
    </w:r>
    <w:r w:rsidR="00CC5AF3">
      <w:rPr>
        <w:lang w:val="mi-NZ"/>
      </w:rPr>
      <w:t>Purchase price allocation</w:t>
    </w:r>
    <w:r w:rsidR="00E331E1">
      <w:rPr>
        <w:lang w:val="mi-NZ"/>
      </w:rPr>
      <w:tab/>
    </w:r>
    <w:sdt>
      <w:sdtPr>
        <w:id w:val="98381352"/>
        <w:docPartObj>
          <w:docPartGallery w:val="Page Numbers (Top of Page)"/>
          <w:docPartUnique/>
        </w:docPartObj>
      </w:sdtPr>
      <w:sdtEndPr/>
      <w:sdtContent>
        <w:r w:rsidR="00E331E1" w:rsidRPr="00E331E1">
          <w:t xml:space="preserve">Page </w:t>
        </w:r>
        <w:r w:rsidR="00E331E1" w:rsidRPr="00E331E1">
          <w:rPr>
            <w:b/>
            <w:bCs/>
          </w:rPr>
          <w:fldChar w:fldCharType="begin"/>
        </w:r>
        <w:r w:rsidR="00E331E1" w:rsidRPr="00E331E1">
          <w:rPr>
            <w:b/>
            <w:bCs/>
          </w:rPr>
          <w:instrText xml:space="preserve"> PAGE </w:instrText>
        </w:r>
        <w:r w:rsidR="00E331E1" w:rsidRPr="00E331E1">
          <w:rPr>
            <w:b/>
            <w:bCs/>
          </w:rPr>
          <w:fldChar w:fldCharType="separate"/>
        </w:r>
        <w:r w:rsidR="007F718D">
          <w:rPr>
            <w:b/>
            <w:bCs/>
            <w:noProof/>
          </w:rPr>
          <w:t>1</w:t>
        </w:r>
        <w:r w:rsidR="00E331E1" w:rsidRPr="00E331E1">
          <w:rPr>
            <w:lang w:val="mi-NZ"/>
          </w:rPr>
          <w:fldChar w:fldCharType="end"/>
        </w:r>
        <w:r w:rsidR="00E331E1" w:rsidRPr="00E331E1">
          <w:t xml:space="preserve"> of </w:t>
        </w:r>
        <w:r w:rsidR="00E331E1" w:rsidRPr="00E331E1">
          <w:rPr>
            <w:b/>
            <w:bCs/>
          </w:rPr>
          <w:fldChar w:fldCharType="begin"/>
        </w:r>
        <w:r w:rsidR="00E331E1" w:rsidRPr="00E331E1">
          <w:rPr>
            <w:b/>
            <w:bCs/>
          </w:rPr>
          <w:instrText xml:space="preserve"> </w:instrText>
        </w:r>
        <w:r w:rsidR="00E80F77">
          <w:rPr>
            <w:b/>
            <w:bCs/>
          </w:rPr>
          <w:instrText>SECTIONPAGES</w:instrText>
        </w:r>
        <w:r w:rsidR="00E331E1" w:rsidRPr="00E331E1">
          <w:rPr>
            <w:b/>
            <w:bCs/>
          </w:rPr>
          <w:instrText xml:space="preserve"> </w:instrText>
        </w:r>
        <w:r w:rsidR="00D16046">
          <w:rPr>
            <w:b/>
            <w:bCs/>
          </w:rPr>
          <w:fldChar w:fldCharType="separate"/>
        </w:r>
        <w:r w:rsidR="00D16046">
          <w:rPr>
            <w:b/>
            <w:bCs/>
            <w:noProof/>
          </w:rPr>
          <w:t>5</w:t>
        </w:r>
        <w:r w:rsidR="00E331E1"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461FB" w14:textId="77777777" w:rsidR="00B3209E" w:rsidRDefault="00B3209E" w:rsidP="002F43C5">
      <w:pPr>
        <w:spacing w:line="240" w:lineRule="auto"/>
      </w:pPr>
      <w:r>
        <w:separator/>
      </w:r>
    </w:p>
  </w:footnote>
  <w:footnote w:type="continuationSeparator" w:id="0">
    <w:p w14:paraId="0662DAC0" w14:textId="77777777" w:rsidR="00B3209E" w:rsidRDefault="00B3209E" w:rsidP="002F43C5">
      <w:pPr>
        <w:spacing w:line="240" w:lineRule="auto"/>
      </w:pPr>
      <w:r>
        <w:continuationSeparator/>
      </w:r>
    </w:p>
  </w:footnote>
  <w:footnote w:type="continuationNotice" w:id="1">
    <w:p w14:paraId="45D6BFCD" w14:textId="77777777" w:rsidR="00B3209E" w:rsidRDefault="00B320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ecurity Classification"/>
      <w:tag w:val="Security Classification"/>
      <w:id w:val="-603806425"/>
      <w:placeholder>
        <w:docPart w:val="F4920823A47D493CA1CF2D8E5E543976"/>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10C4AC91" w14:textId="77777777" w:rsidR="007C0037" w:rsidRDefault="007C0037" w:rsidP="007C0037">
        <w:pPr>
          <w:pStyle w:val="Header"/>
          <w:jc w:val="right"/>
        </w:pPr>
        <w:r>
          <w:t>In Confidence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11845"/>
    <w:multiLevelType w:val="hybridMultilevel"/>
    <w:tmpl w:val="95AC907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15:restartNumberingAfterBreak="0">
    <w:nsid w:val="1C605067"/>
    <w:multiLevelType w:val="hybridMultilevel"/>
    <w:tmpl w:val="FFFFFFFF"/>
    <w:lvl w:ilvl="0" w:tplc="6A466442">
      <w:start w:val="1"/>
      <w:numFmt w:val="decimal"/>
      <w:lvlText w:val="%1."/>
      <w:lvlJc w:val="left"/>
      <w:pPr>
        <w:ind w:left="720" w:hanging="360"/>
      </w:pPr>
    </w:lvl>
    <w:lvl w:ilvl="1" w:tplc="BFE68AF4">
      <w:start w:val="1"/>
      <w:numFmt w:val="lowerLetter"/>
      <w:lvlText w:val="%2."/>
      <w:lvlJc w:val="left"/>
      <w:pPr>
        <w:ind w:left="1440" w:hanging="360"/>
      </w:pPr>
    </w:lvl>
    <w:lvl w:ilvl="2" w:tplc="40068F94">
      <w:start w:val="1"/>
      <w:numFmt w:val="lowerRoman"/>
      <w:lvlText w:val="%3."/>
      <w:lvlJc w:val="right"/>
      <w:pPr>
        <w:ind w:left="2160" w:hanging="180"/>
      </w:pPr>
    </w:lvl>
    <w:lvl w:ilvl="3" w:tplc="A4AAB534">
      <w:start w:val="1"/>
      <w:numFmt w:val="decimal"/>
      <w:lvlText w:val="%4."/>
      <w:lvlJc w:val="left"/>
      <w:pPr>
        <w:ind w:left="2880" w:hanging="360"/>
      </w:pPr>
    </w:lvl>
    <w:lvl w:ilvl="4" w:tplc="F9BC66C2">
      <w:start w:val="1"/>
      <w:numFmt w:val="lowerLetter"/>
      <w:lvlText w:val="%5."/>
      <w:lvlJc w:val="left"/>
      <w:pPr>
        <w:ind w:left="3600" w:hanging="360"/>
      </w:pPr>
    </w:lvl>
    <w:lvl w:ilvl="5" w:tplc="B9406C2A">
      <w:start w:val="1"/>
      <w:numFmt w:val="lowerRoman"/>
      <w:lvlText w:val="%6."/>
      <w:lvlJc w:val="right"/>
      <w:pPr>
        <w:ind w:left="4320" w:hanging="180"/>
      </w:pPr>
    </w:lvl>
    <w:lvl w:ilvl="6" w:tplc="29A8686E">
      <w:start w:val="1"/>
      <w:numFmt w:val="decimal"/>
      <w:lvlText w:val="%7."/>
      <w:lvlJc w:val="left"/>
      <w:pPr>
        <w:ind w:left="5040" w:hanging="360"/>
      </w:pPr>
    </w:lvl>
    <w:lvl w:ilvl="7" w:tplc="E4A0904E">
      <w:start w:val="1"/>
      <w:numFmt w:val="lowerLetter"/>
      <w:lvlText w:val="%8."/>
      <w:lvlJc w:val="left"/>
      <w:pPr>
        <w:ind w:left="5760" w:hanging="360"/>
      </w:pPr>
    </w:lvl>
    <w:lvl w:ilvl="8" w:tplc="7A601A16">
      <w:start w:val="1"/>
      <w:numFmt w:val="lowerRoman"/>
      <w:lvlText w:val="%9."/>
      <w:lvlJc w:val="right"/>
      <w:pPr>
        <w:ind w:left="6480" w:hanging="180"/>
      </w:pPr>
    </w:lvl>
  </w:abstractNum>
  <w:abstractNum w:abstractNumId="12"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4" w15:restartNumberingAfterBreak="0">
    <w:nsid w:val="54F33D7B"/>
    <w:multiLevelType w:val="hybridMultilevel"/>
    <w:tmpl w:val="9C28102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5" w15:restartNumberingAfterBreak="0">
    <w:nsid w:val="5DD62B16"/>
    <w:multiLevelType w:val="hybridMultilevel"/>
    <w:tmpl w:val="FFFFFFFF"/>
    <w:lvl w:ilvl="0" w:tplc="5F5A8168">
      <w:start w:val="1"/>
      <w:numFmt w:val="decimal"/>
      <w:lvlText w:val="%1."/>
      <w:lvlJc w:val="left"/>
      <w:pPr>
        <w:ind w:left="720" w:hanging="360"/>
      </w:pPr>
    </w:lvl>
    <w:lvl w:ilvl="1" w:tplc="EC4CD554">
      <w:start w:val="1"/>
      <w:numFmt w:val="lowerLetter"/>
      <w:lvlText w:val="%2."/>
      <w:lvlJc w:val="left"/>
      <w:pPr>
        <w:ind w:left="1440" w:hanging="360"/>
      </w:pPr>
    </w:lvl>
    <w:lvl w:ilvl="2" w:tplc="A0F2044A">
      <w:start w:val="1"/>
      <w:numFmt w:val="lowerRoman"/>
      <w:lvlText w:val="%3."/>
      <w:lvlJc w:val="right"/>
      <w:pPr>
        <w:ind w:left="2160" w:hanging="180"/>
      </w:pPr>
    </w:lvl>
    <w:lvl w:ilvl="3" w:tplc="C710514C">
      <w:start w:val="1"/>
      <w:numFmt w:val="decimal"/>
      <w:lvlText w:val="%4."/>
      <w:lvlJc w:val="left"/>
      <w:pPr>
        <w:ind w:left="2880" w:hanging="360"/>
      </w:pPr>
    </w:lvl>
    <w:lvl w:ilvl="4" w:tplc="5E929AF6">
      <w:start w:val="1"/>
      <w:numFmt w:val="lowerLetter"/>
      <w:lvlText w:val="%5."/>
      <w:lvlJc w:val="left"/>
      <w:pPr>
        <w:ind w:left="3600" w:hanging="360"/>
      </w:pPr>
    </w:lvl>
    <w:lvl w:ilvl="5" w:tplc="58A04FB0">
      <w:start w:val="1"/>
      <w:numFmt w:val="lowerRoman"/>
      <w:lvlText w:val="%6."/>
      <w:lvlJc w:val="right"/>
      <w:pPr>
        <w:ind w:left="4320" w:hanging="180"/>
      </w:pPr>
    </w:lvl>
    <w:lvl w:ilvl="6" w:tplc="9DE2530C">
      <w:start w:val="1"/>
      <w:numFmt w:val="decimal"/>
      <w:lvlText w:val="%7."/>
      <w:lvlJc w:val="left"/>
      <w:pPr>
        <w:ind w:left="5040" w:hanging="360"/>
      </w:pPr>
    </w:lvl>
    <w:lvl w:ilvl="7" w:tplc="60806FF0">
      <w:start w:val="1"/>
      <w:numFmt w:val="lowerLetter"/>
      <w:lvlText w:val="%8."/>
      <w:lvlJc w:val="left"/>
      <w:pPr>
        <w:ind w:left="5760" w:hanging="360"/>
      </w:pPr>
    </w:lvl>
    <w:lvl w:ilvl="8" w:tplc="E9D66AD8">
      <w:start w:val="1"/>
      <w:numFmt w:val="lowerRoman"/>
      <w:lvlText w:val="%9."/>
      <w:lvlJc w:val="right"/>
      <w:pPr>
        <w:ind w:left="6480" w:hanging="180"/>
      </w:pPr>
    </w:lvl>
  </w:abstractNum>
  <w:abstractNum w:abstractNumId="16"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7"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8" w15:restartNumberingAfterBreak="0">
    <w:nsid w:val="78AE0DB7"/>
    <w:multiLevelType w:val="hybridMultilevel"/>
    <w:tmpl w:val="B6764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7"/>
  </w:num>
  <w:num w:numId="16">
    <w:abstractNumId w:val="10"/>
  </w:num>
  <w:num w:numId="17">
    <w:abstractNumId w:val="18"/>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61"/>
    <w:rsid w:val="00001540"/>
    <w:rsid w:val="000029FE"/>
    <w:rsid w:val="00004CA5"/>
    <w:rsid w:val="00014D7E"/>
    <w:rsid w:val="00022EB4"/>
    <w:rsid w:val="00024462"/>
    <w:rsid w:val="00024B7F"/>
    <w:rsid w:val="00027FE5"/>
    <w:rsid w:val="00031509"/>
    <w:rsid w:val="00032F56"/>
    <w:rsid w:val="00032F91"/>
    <w:rsid w:val="000455BC"/>
    <w:rsid w:val="00045B3F"/>
    <w:rsid w:val="000475F5"/>
    <w:rsid w:val="00047AD2"/>
    <w:rsid w:val="0005144C"/>
    <w:rsid w:val="00052000"/>
    <w:rsid w:val="000539EB"/>
    <w:rsid w:val="0005523F"/>
    <w:rsid w:val="0005600F"/>
    <w:rsid w:val="00066125"/>
    <w:rsid w:val="000668F0"/>
    <w:rsid w:val="00066DFD"/>
    <w:rsid w:val="0006744A"/>
    <w:rsid w:val="000703F7"/>
    <w:rsid w:val="00070F63"/>
    <w:rsid w:val="000717B9"/>
    <w:rsid w:val="000733B6"/>
    <w:rsid w:val="00073712"/>
    <w:rsid w:val="000754CC"/>
    <w:rsid w:val="00075E1B"/>
    <w:rsid w:val="00082BEF"/>
    <w:rsid w:val="00083D1C"/>
    <w:rsid w:val="00086360"/>
    <w:rsid w:val="00086A50"/>
    <w:rsid w:val="00095561"/>
    <w:rsid w:val="00095FBB"/>
    <w:rsid w:val="000A012D"/>
    <w:rsid w:val="000A1306"/>
    <w:rsid w:val="000A16E7"/>
    <w:rsid w:val="000A19EB"/>
    <w:rsid w:val="000A24FE"/>
    <w:rsid w:val="000A3CEF"/>
    <w:rsid w:val="000A43D4"/>
    <w:rsid w:val="000B2ED1"/>
    <w:rsid w:val="000B34CA"/>
    <w:rsid w:val="000B5B3A"/>
    <w:rsid w:val="000B6A48"/>
    <w:rsid w:val="000C2388"/>
    <w:rsid w:val="000C3661"/>
    <w:rsid w:val="000C60D6"/>
    <w:rsid w:val="000C6809"/>
    <w:rsid w:val="000C7857"/>
    <w:rsid w:val="000D1081"/>
    <w:rsid w:val="000D4BD9"/>
    <w:rsid w:val="000D7C3E"/>
    <w:rsid w:val="000E065A"/>
    <w:rsid w:val="000E0F70"/>
    <w:rsid w:val="000E2D28"/>
    <w:rsid w:val="000E3058"/>
    <w:rsid w:val="000E692E"/>
    <w:rsid w:val="000E7351"/>
    <w:rsid w:val="000F5720"/>
    <w:rsid w:val="000F73AB"/>
    <w:rsid w:val="00100585"/>
    <w:rsid w:val="0010286F"/>
    <w:rsid w:val="001033A8"/>
    <w:rsid w:val="00105E1E"/>
    <w:rsid w:val="00107E20"/>
    <w:rsid w:val="00111FDC"/>
    <w:rsid w:val="00111FE6"/>
    <w:rsid w:val="00113CB9"/>
    <w:rsid w:val="00114F7F"/>
    <w:rsid w:val="0012346E"/>
    <w:rsid w:val="0012356C"/>
    <w:rsid w:val="001275A0"/>
    <w:rsid w:val="0013147D"/>
    <w:rsid w:val="00131909"/>
    <w:rsid w:val="001326C9"/>
    <w:rsid w:val="00133ADF"/>
    <w:rsid w:val="0013411A"/>
    <w:rsid w:val="00134929"/>
    <w:rsid w:val="00137633"/>
    <w:rsid w:val="001418DB"/>
    <w:rsid w:val="00142D7E"/>
    <w:rsid w:val="00150333"/>
    <w:rsid w:val="00150E19"/>
    <w:rsid w:val="00151E7F"/>
    <w:rsid w:val="00153ECE"/>
    <w:rsid w:val="00154BDC"/>
    <w:rsid w:val="0015662A"/>
    <w:rsid w:val="001567C2"/>
    <w:rsid w:val="00160242"/>
    <w:rsid w:val="001605D2"/>
    <w:rsid w:val="00164B23"/>
    <w:rsid w:val="00166A0F"/>
    <w:rsid w:val="00170950"/>
    <w:rsid w:val="00171BF4"/>
    <w:rsid w:val="001748E0"/>
    <w:rsid w:val="00175844"/>
    <w:rsid w:val="001778F9"/>
    <w:rsid w:val="00177CC7"/>
    <w:rsid w:val="001801E7"/>
    <w:rsid w:val="00180F6D"/>
    <w:rsid w:val="001853BE"/>
    <w:rsid w:val="00185D3F"/>
    <w:rsid w:val="00186BF4"/>
    <w:rsid w:val="00186E79"/>
    <w:rsid w:val="00187B1E"/>
    <w:rsid w:val="00187B78"/>
    <w:rsid w:val="00190B1E"/>
    <w:rsid w:val="00192135"/>
    <w:rsid w:val="00192C2C"/>
    <w:rsid w:val="001930BF"/>
    <w:rsid w:val="0019343B"/>
    <w:rsid w:val="00193C98"/>
    <w:rsid w:val="00195F77"/>
    <w:rsid w:val="0019711E"/>
    <w:rsid w:val="001A4BBF"/>
    <w:rsid w:val="001A4EE3"/>
    <w:rsid w:val="001A59DC"/>
    <w:rsid w:val="001A6E36"/>
    <w:rsid w:val="001B0E05"/>
    <w:rsid w:val="001B41DE"/>
    <w:rsid w:val="001B705F"/>
    <w:rsid w:val="001B7FC7"/>
    <w:rsid w:val="001C06BE"/>
    <w:rsid w:val="001C1742"/>
    <w:rsid w:val="001C1A44"/>
    <w:rsid w:val="001C361D"/>
    <w:rsid w:val="001C37F9"/>
    <w:rsid w:val="001C7A97"/>
    <w:rsid w:val="001D0013"/>
    <w:rsid w:val="001D042E"/>
    <w:rsid w:val="001D5258"/>
    <w:rsid w:val="001D75BB"/>
    <w:rsid w:val="001D7ADB"/>
    <w:rsid w:val="001E01E2"/>
    <w:rsid w:val="001E02DA"/>
    <w:rsid w:val="001E2B73"/>
    <w:rsid w:val="001E2EEE"/>
    <w:rsid w:val="001E4296"/>
    <w:rsid w:val="001F0C45"/>
    <w:rsid w:val="001F1F6C"/>
    <w:rsid w:val="001F2280"/>
    <w:rsid w:val="001F4B66"/>
    <w:rsid w:val="0020313D"/>
    <w:rsid w:val="00203E19"/>
    <w:rsid w:val="00203F1B"/>
    <w:rsid w:val="00204CBA"/>
    <w:rsid w:val="00205262"/>
    <w:rsid w:val="00205596"/>
    <w:rsid w:val="00205DC1"/>
    <w:rsid w:val="00206526"/>
    <w:rsid w:val="00211847"/>
    <w:rsid w:val="00214D86"/>
    <w:rsid w:val="002156AC"/>
    <w:rsid w:val="00216E3F"/>
    <w:rsid w:val="0022103D"/>
    <w:rsid w:val="00221AAE"/>
    <w:rsid w:val="002229C5"/>
    <w:rsid w:val="00224E3F"/>
    <w:rsid w:val="002271D9"/>
    <w:rsid w:val="00227C2B"/>
    <w:rsid w:val="0023037A"/>
    <w:rsid w:val="002306ED"/>
    <w:rsid w:val="00231DD9"/>
    <w:rsid w:val="00233663"/>
    <w:rsid w:val="00234CE3"/>
    <w:rsid w:val="00236749"/>
    <w:rsid w:val="00240E68"/>
    <w:rsid w:val="00243B5F"/>
    <w:rsid w:val="00247909"/>
    <w:rsid w:val="0025080E"/>
    <w:rsid w:val="00252894"/>
    <w:rsid w:val="00253871"/>
    <w:rsid w:val="002574E9"/>
    <w:rsid w:val="00261187"/>
    <w:rsid w:val="002626BD"/>
    <w:rsid w:val="002648E4"/>
    <w:rsid w:val="00266EE7"/>
    <w:rsid w:val="00271C1F"/>
    <w:rsid w:val="00272D00"/>
    <w:rsid w:val="0027694E"/>
    <w:rsid w:val="00280CD2"/>
    <w:rsid w:val="00280EA5"/>
    <w:rsid w:val="00282855"/>
    <w:rsid w:val="002869C1"/>
    <w:rsid w:val="00290A19"/>
    <w:rsid w:val="0029511E"/>
    <w:rsid w:val="00296A51"/>
    <w:rsid w:val="002977F2"/>
    <w:rsid w:val="002A1499"/>
    <w:rsid w:val="002A3F70"/>
    <w:rsid w:val="002A5730"/>
    <w:rsid w:val="002A66CF"/>
    <w:rsid w:val="002A698E"/>
    <w:rsid w:val="002B000B"/>
    <w:rsid w:val="002B08FB"/>
    <w:rsid w:val="002B1871"/>
    <w:rsid w:val="002B311F"/>
    <w:rsid w:val="002B444B"/>
    <w:rsid w:val="002C1043"/>
    <w:rsid w:val="002C2B08"/>
    <w:rsid w:val="002C3174"/>
    <w:rsid w:val="002C5FA8"/>
    <w:rsid w:val="002D08DD"/>
    <w:rsid w:val="002D0E53"/>
    <w:rsid w:val="002D4593"/>
    <w:rsid w:val="002D5A40"/>
    <w:rsid w:val="002E0178"/>
    <w:rsid w:val="002E1613"/>
    <w:rsid w:val="002E1DDA"/>
    <w:rsid w:val="002E1E35"/>
    <w:rsid w:val="002E1F9A"/>
    <w:rsid w:val="002E36AB"/>
    <w:rsid w:val="002E4B5E"/>
    <w:rsid w:val="002E7B4A"/>
    <w:rsid w:val="002E7CE9"/>
    <w:rsid w:val="002F20AF"/>
    <w:rsid w:val="002F2D90"/>
    <w:rsid w:val="002F43C5"/>
    <w:rsid w:val="002F5F1D"/>
    <w:rsid w:val="002F68E8"/>
    <w:rsid w:val="00300BA8"/>
    <w:rsid w:val="0030671B"/>
    <w:rsid w:val="003075E1"/>
    <w:rsid w:val="00307620"/>
    <w:rsid w:val="003113D3"/>
    <w:rsid w:val="00313354"/>
    <w:rsid w:val="003134A9"/>
    <w:rsid w:val="00314B54"/>
    <w:rsid w:val="00315EBB"/>
    <w:rsid w:val="00316647"/>
    <w:rsid w:val="00317DAE"/>
    <w:rsid w:val="00321C0F"/>
    <w:rsid w:val="00323D96"/>
    <w:rsid w:val="003260BF"/>
    <w:rsid w:val="00326FE1"/>
    <w:rsid w:val="003308DE"/>
    <w:rsid w:val="0033463F"/>
    <w:rsid w:val="00337654"/>
    <w:rsid w:val="00340D57"/>
    <w:rsid w:val="00341346"/>
    <w:rsid w:val="00341BB0"/>
    <w:rsid w:val="00341EF8"/>
    <w:rsid w:val="00344467"/>
    <w:rsid w:val="00345294"/>
    <w:rsid w:val="00345E74"/>
    <w:rsid w:val="00351C81"/>
    <w:rsid w:val="003530D6"/>
    <w:rsid w:val="0035696C"/>
    <w:rsid w:val="00360B33"/>
    <w:rsid w:val="003614D2"/>
    <w:rsid w:val="0036209D"/>
    <w:rsid w:val="00366BBB"/>
    <w:rsid w:val="0037137D"/>
    <w:rsid w:val="003726CB"/>
    <w:rsid w:val="00372919"/>
    <w:rsid w:val="003741BE"/>
    <w:rsid w:val="00376649"/>
    <w:rsid w:val="0037743A"/>
    <w:rsid w:val="00381B4B"/>
    <w:rsid w:val="00382AF8"/>
    <w:rsid w:val="00387AEA"/>
    <w:rsid w:val="003941C4"/>
    <w:rsid w:val="0039485E"/>
    <w:rsid w:val="00394BFB"/>
    <w:rsid w:val="003A2351"/>
    <w:rsid w:val="003A280C"/>
    <w:rsid w:val="003B06EC"/>
    <w:rsid w:val="003B08C5"/>
    <w:rsid w:val="003B0FCF"/>
    <w:rsid w:val="003B2155"/>
    <w:rsid w:val="003B4BCA"/>
    <w:rsid w:val="003B6AB5"/>
    <w:rsid w:val="003B7BC2"/>
    <w:rsid w:val="003C036E"/>
    <w:rsid w:val="003C0B2F"/>
    <w:rsid w:val="003C1B2F"/>
    <w:rsid w:val="003C1CC9"/>
    <w:rsid w:val="003C29F3"/>
    <w:rsid w:val="003C2FA4"/>
    <w:rsid w:val="003C5106"/>
    <w:rsid w:val="003C5937"/>
    <w:rsid w:val="003D09E6"/>
    <w:rsid w:val="003D2F74"/>
    <w:rsid w:val="003D3A70"/>
    <w:rsid w:val="003D64BA"/>
    <w:rsid w:val="003E29B9"/>
    <w:rsid w:val="003E4513"/>
    <w:rsid w:val="003E5A8F"/>
    <w:rsid w:val="003E639D"/>
    <w:rsid w:val="003E7D4C"/>
    <w:rsid w:val="003F2040"/>
    <w:rsid w:val="003F425A"/>
    <w:rsid w:val="003F6463"/>
    <w:rsid w:val="0040550E"/>
    <w:rsid w:val="00407712"/>
    <w:rsid w:val="0041218F"/>
    <w:rsid w:val="004122E0"/>
    <w:rsid w:val="00413FE0"/>
    <w:rsid w:val="0041688E"/>
    <w:rsid w:val="00416CC1"/>
    <w:rsid w:val="00417722"/>
    <w:rsid w:val="00417CD1"/>
    <w:rsid w:val="00420121"/>
    <w:rsid w:val="00420499"/>
    <w:rsid w:val="00425E5D"/>
    <w:rsid w:val="00425F00"/>
    <w:rsid w:val="00432979"/>
    <w:rsid w:val="00433633"/>
    <w:rsid w:val="00441B5D"/>
    <w:rsid w:val="004421F9"/>
    <w:rsid w:val="0044398D"/>
    <w:rsid w:val="004441EA"/>
    <w:rsid w:val="00445D19"/>
    <w:rsid w:val="0045233D"/>
    <w:rsid w:val="00453305"/>
    <w:rsid w:val="004552B0"/>
    <w:rsid w:val="00463488"/>
    <w:rsid w:val="00464535"/>
    <w:rsid w:val="00465D76"/>
    <w:rsid w:val="004714EF"/>
    <w:rsid w:val="00472830"/>
    <w:rsid w:val="004736A6"/>
    <w:rsid w:val="004804D4"/>
    <w:rsid w:val="00480D5A"/>
    <w:rsid w:val="0048184C"/>
    <w:rsid w:val="00481B78"/>
    <w:rsid w:val="00484122"/>
    <w:rsid w:val="0048435B"/>
    <w:rsid w:val="00486808"/>
    <w:rsid w:val="00486A4B"/>
    <w:rsid w:val="00494AD8"/>
    <w:rsid w:val="0049746E"/>
    <w:rsid w:val="0049771C"/>
    <w:rsid w:val="004A07BE"/>
    <w:rsid w:val="004A558A"/>
    <w:rsid w:val="004A5B4D"/>
    <w:rsid w:val="004A6997"/>
    <w:rsid w:val="004B0AD4"/>
    <w:rsid w:val="004B0DA1"/>
    <w:rsid w:val="004B0DAD"/>
    <w:rsid w:val="004B125A"/>
    <w:rsid w:val="004B4005"/>
    <w:rsid w:val="004B5475"/>
    <w:rsid w:val="004C1B14"/>
    <w:rsid w:val="004C2F72"/>
    <w:rsid w:val="004C39FE"/>
    <w:rsid w:val="004C3E29"/>
    <w:rsid w:val="004C4CD8"/>
    <w:rsid w:val="004C60A4"/>
    <w:rsid w:val="004D0F39"/>
    <w:rsid w:val="004D1D03"/>
    <w:rsid w:val="004D7FA1"/>
    <w:rsid w:val="004E2397"/>
    <w:rsid w:val="004E373C"/>
    <w:rsid w:val="0050666D"/>
    <w:rsid w:val="00510405"/>
    <w:rsid w:val="00512496"/>
    <w:rsid w:val="00516E10"/>
    <w:rsid w:val="00521AEE"/>
    <w:rsid w:val="00521F8D"/>
    <w:rsid w:val="00524CA8"/>
    <w:rsid w:val="00530727"/>
    <w:rsid w:val="00531267"/>
    <w:rsid w:val="00533700"/>
    <w:rsid w:val="00533F5B"/>
    <w:rsid w:val="0053422D"/>
    <w:rsid w:val="00537F17"/>
    <w:rsid w:val="00544CA4"/>
    <w:rsid w:val="00545E84"/>
    <w:rsid w:val="005500FC"/>
    <w:rsid w:val="00551F8F"/>
    <w:rsid w:val="005531B0"/>
    <w:rsid w:val="0055369B"/>
    <w:rsid w:val="00557F69"/>
    <w:rsid w:val="00561796"/>
    <w:rsid w:val="00561EF1"/>
    <w:rsid w:val="005665DB"/>
    <w:rsid w:val="00567332"/>
    <w:rsid w:val="00567591"/>
    <w:rsid w:val="00570665"/>
    <w:rsid w:val="005757EE"/>
    <w:rsid w:val="005808AF"/>
    <w:rsid w:val="00581329"/>
    <w:rsid w:val="00582016"/>
    <w:rsid w:val="00583DF6"/>
    <w:rsid w:val="005878EA"/>
    <w:rsid w:val="00590655"/>
    <w:rsid w:val="00590825"/>
    <w:rsid w:val="0059267C"/>
    <w:rsid w:val="0059420C"/>
    <w:rsid w:val="005A2FEF"/>
    <w:rsid w:val="005A385A"/>
    <w:rsid w:val="005A47BE"/>
    <w:rsid w:val="005A511F"/>
    <w:rsid w:val="005A760E"/>
    <w:rsid w:val="005B0297"/>
    <w:rsid w:val="005B1540"/>
    <w:rsid w:val="005B15D3"/>
    <w:rsid w:val="005B202F"/>
    <w:rsid w:val="005B3A5C"/>
    <w:rsid w:val="005B4240"/>
    <w:rsid w:val="005B55CA"/>
    <w:rsid w:val="005C50C4"/>
    <w:rsid w:val="005C5BAA"/>
    <w:rsid w:val="005C6B70"/>
    <w:rsid w:val="005C6DE1"/>
    <w:rsid w:val="005D1A1A"/>
    <w:rsid w:val="005D4FBF"/>
    <w:rsid w:val="005D58B5"/>
    <w:rsid w:val="005E2705"/>
    <w:rsid w:val="005E64A7"/>
    <w:rsid w:val="005F39A2"/>
    <w:rsid w:val="005F5E71"/>
    <w:rsid w:val="005F7133"/>
    <w:rsid w:val="005F79D0"/>
    <w:rsid w:val="00600B4C"/>
    <w:rsid w:val="00600BBD"/>
    <w:rsid w:val="0060233B"/>
    <w:rsid w:val="0060524E"/>
    <w:rsid w:val="00607F64"/>
    <w:rsid w:val="00610A74"/>
    <w:rsid w:val="00611E87"/>
    <w:rsid w:val="00622226"/>
    <w:rsid w:val="006222B9"/>
    <w:rsid w:val="006223C0"/>
    <w:rsid w:val="00622942"/>
    <w:rsid w:val="006241B1"/>
    <w:rsid w:val="006306A0"/>
    <w:rsid w:val="006371A7"/>
    <w:rsid w:val="00641754"/>
    <w:rsid w:val="0064339D"/>
    <w:rsid w:val="00645817"/>
    <w:rsid w:val="00647DF2"/>
    <w:rsid w:val="0065244F"/>
    <w:rsid w:val="006524FF"/>
    <w:rsid w:val="006557AC"/>
    <w:rsid w:val="00660F5C"/>
    <w:rsid w:val="00670CF2"/>
    <w:rsid w:val="00672F4B"/>
    <w:rsid w:val="00673CCA"/>
    <w:rsid w:val="006742B5"/>
    <w:rsid w:val="006759DE"/>
    <w:rsid w:val="00676FF7"/>
    <w:rsid w:val="0068652F"/>
    <w:rsid w:val="006867B6"/>
    <w:rsid w:val="00691F6F"/>
    <w:rsid w:val="00694B56"/>
    <w:rsid w:val="00694F6C"/>
    <w:rsid w:val="006A2577"/>
    <w:rsid w:val="006A296F"/>
    <w:rsid w:val="006A2E13"/>
    <w:rsid w:val="006A333B"/>
    <w:rsid w:val="006A3CE3"/>
    <w:rsid w:val="006A69FA"/>
    <w:rsid w:val="006B0ABE"/>
    <w:rsid w:val="006B2B6B"/>
    <w:rsid w:val="006B6E93"/>
    <w:rsid w:val="006C53EB"/>
    <w:rsid w:val="006C5B15"/>
    <w:rsid w:val="006C5E3F"/>
    <w:rsid w:val="006D0812"/>
    <w:rsid w:val="006D0858"/>
    <w:rsid w:val="006D0898"/>
    <w:rsid w:val="006D148F"/>
    <w:rsid w:val="006D53AB"/>
    <w:rsid w:val="006D6EB0"/>
    <w:rsid w:val="006D7B1E"/>
    <w:rsid w:val="006E25EF"/>
    <w:rsid w:val="006E31E0"/>
    <w:rsid w:val="006E4517"/>
    <w:rsid w:val="006F1230"/>
    <w:rsid w:val="006F2AD0"/>
    <w:rsid w:val="006F40DD"/>
    <w:rsid w:val="006F7725"/>
    <w:rsid w:val="007027C8"/>
    <w:rsid w:val="00705C2B"/>
    <w:rsid w:val="00705DC2"/>
    <w:rsid w:val="0070630A"/>
    <w:rsid w:val="007103F0"/>
    <w:rsid w:val="0071248C"/>
    <w:rsid w:val="00713B57"/>
    <w:rsid w:val="00722240"/>
    <w:rsid w:val="007227DB"/>
    <w:rsid w:val="0072502C"/>
    <w:rsid w:val="007276F3"/>
    <w:rsid w:val="00727E23"/>
    <w:rsid w:val="00727ED8"/>
    <w:rsid w:val="00730FFE"/>
    <w:rsid w:val="007312AF"/>
    <w:rsid w:val="00732882"/>
    <w:rsid w:val="0073303A"/>
    <w:rsid w:val="00736C08"/>
    <w:rsid w:val="00741490"/>
    <w:rsid w:val="00741DCE"/>
    <w:rsid w:val="007451CB"/>
    <w:rsid w:val="00752026"/>
    <w:rsid w:val="007521D7"/>
    <w:rsid w:val="00755518"/>
    <w:rsid w:val="00755CE9"/>
    <w:rsid w:val="00761695"/>
    <w:rsid w:val="0076431E"/>
    <w:rsid w:val="007651DA"/>
    <w:rsid w:val="007655DA"/>
    <w:rsid w:val="00766765"/>
    <w:rsid w:val="0078133B"/>
    <w:rsid w:val="00782D4A"/>
    <w:rsid w:val="00783C55"/>
    <w:rsid w:val="007954DC"/>
    <w:rsid w:val="00795F3E"/>
    <w:rsid w:val="0079762F"/>
    <w:rsid w:val="007A0554"/>
    <w:rsid w:val="007A13C5"/>
    <w:rsid w:val="007A3A85"/>
    <w:rsid w:val="007A40D1"/>
    <w:rsid w:val="007A4D90"/>
    <w:rsid w:val="007A5167"/>
    <w:rsid w:val="007A5A4B"/>
    <w:rsid w:val="007A5F06"/>
    <w:rsid w:val="007B1AF8"/>
    <w:rsid w:val="007B328D"/>
    <w:rsid w:val="007C0037"/>
    <w:rsid w:val="007C11CE"/>
    <w:rsid w:val="007C4DBA"/>
    <w:rsid w:val="007C50C2"/>
    <w:rsid w:val="007C54C6"/>
    <w:rsid w:val="007C7B4D"/>
    <w:rsid w:val="007D326D"/>
    <w:rsid w:val="007E053C"/>
    <w:rsid w:val="007E34C4"/>
    <w:rsid w:val="007E4F42"/>
    <w:rsid w:val="007E6B2B"/>
    <w:rsid w:val="007F187F"/>
    <w:rsid w:val="007F1AF0"/>
    <w:rsid w:val="007F6409"/>
    <w:rsid w:val="007F718D"/>
    <w:rsid w:val="00802CC9"/>
    <w:rsid w:val="0080482C"/>
    <w:rsid w:val="0080514E"/>
    <w:rsid w:val="00806707"/>
    <w:rsid w:val="00811AC6"/>
    <w:rsid w:val="00811E00"/>
    <w:rsid w:val="00812501"/>
    <w:rsid w:val="00812918"/>
    <w:rsid w:val="00813342"/>
    <w:rsid w:val="008133FB"/>
    <w:rsid w:val="00816358"/>
    <w:rsid w:val="0081688B"/>
    <w:rsid w:val="00821468"/>
    <w:rsid w:val="00824E21"/>
    <w:rsid w:val="00825AF7"/>
    <w:rsid w:val="00825D9D"/>
    <w:rsid w:val="00831A9C"/>
    <w:rsid w:val="00832743"/>
    <w:rsid w:val="00832B29"/>
    <w:rsid w:val="008331C2"/>
    <w:rsid w:val="008336ED"/>
    <w:rsid w:val="00834714"/>
    <w:rsid w:val="00842C06"/>
    <w:rsid w:val="00845C25"/>
    <w:rsid w:val="00851ECF"/>
    <w:rsid w:val="00853994"/>
    <w:rsid w:val="0085534E"/>
    <w:rsid w:val="008553EB"/>
    <w:rsid w:val="00855733"/>
    <w:rsid w:val="00860EC6"/>
    <w:rsid w:val="008615C5"/>
    <w:rsid w:val="00871046"/>
    <w:rsid w:val="0087107D"/>
    <w:rsid w:val="00874894"/>
    <w:rsid w:val="008760B3"/>
    <w:rsid w:val="0088027B"/>
    <w:rsid w:val="00885F81"/>
    <w:rsid w:val="00891517"/>
    <w:rsid w:val="00893460"/>
    <w:rsid w:val="00894F4E"/>
    <w:rsid w:val="008959A1"/>
    <w:rsid w:val="008A05D5"/>
    <w:rsid w:val="008A134E"/>
    <w:rsid w:val="008A76A8"/>
    <w:rsid w:val="008B13EE"/>
    <w:rsid w:val="008B18B0"/>
    <w:rsid w:val="008B22F7"/>
    <w:rsid w:val="008B32DB"/>
    <w:rsid w:val="008B6EF1"/>
    <w:rsid w:val="008C202E"/>
    <w:rsid w:val="008C3832"/>
    <w:rsid w:val="008D3698"/>
    <w:rsid w:val="008D4529"/>
    <w:rsid w:val="008D52E5"/>
    <w:rsid w:val="008D66E1"/>
    <w:rsid w:val="008D73D1"/>
    <w:rsid w:val="008E11EA"/>
    <w:rsid w:val="008E12D0"/>
    <w:rsid w:val="008E159C"/>
    <w:rsid w:val="008E2A7C"/>
    <w:rsid w:val="008E5C98"/>
    <w:rsid w:val="008E63E5"/>
    <w:rsid w:val="008F04EB"/>
    <w:rsid w:val="008F1F83"/>
    <w:rsid w:val="008F2398"/>
    <w:rsid w:val="008F395A"/>
    <w:rsid w:val="008F6678"/>
    <w:rsid w:val="00901BF8"/>
    <w:rsid w:val="009105B4"/>
    <w:rsid w:val="00911AA3"/>
    <w:rsid w:val="00913966"/>
    <w:rsid w:val="00913EF8"/>
    <w:rsid w:val="00915B1A"/>
    <w:rsid w:val="00916F03"/>
    <w:rsid w:val="009205D8"/>
    <w:rsid w:val="00922A17"/>
    <w:rsid w:val="00923583"/>
    <w:rsid w:val="00926016"/>
    <w:rsid w:val="00926C4C"/>
    <w:rsid w:val="00930721"/>
    <w:rsid w:val="00931F2B"/>
    <w:rsid w:val="0093245C"/>
    <w:rsid w:val="009329A1"/>
    <w:rsid w:val="0093523C"/>
    <w:rsid w:val="0093561D"/>
    <w:rsid w:val="00935C9C"/>
    <w:rsid w:val="00935E24"/>
    <w:rsid w:val="00936801"/>
    <w:rsid w:val="00936CA6"/>
    <w:rsid w:val="00937D3A"/>
    <w:rsid w:val="00937F11"/>
    <w:rsid w:val="00944DE6"/>
    <w:rsid w:val="00946713"/>
    <w:rsid w:val="009557FC"/>
    <w:rsid w:val="009600C1"/>
    <w:rsid w:val="00966477"/>
    <w:rsid w:val="00966A54"/>
    <w:rsid w:val="00973A70"/>
    <w:rsid w:val="00977E3F"/>
    <w:rsid w:val="009818E7"/>
    <w:rsid w:val="009828E7"/>
    <w:rsid w:val="00984513"/>
    <w:rsid w:val="00985AA7"/>
    <w:rsid w:val="00987A2D"/>
    <w:rsid w:val="00990461"/>
    <w:rsid w:val="009905CC"/>
    <w:rsid w:val="00990759"/>
    <w:rsid w:val="00991EE4"/>
    <w:rsid w:val="00993C5A"/>
    <w:rsid w:val="009979A4"/>
    <w:rsid w:val="009A0A30"/>
    <w:rsid w:val="009A3488"/>
    <w:rsid w:val="009A3711"/>
    <w:rsid w:val="009A3FDE"/>
    <w:rsid w:val="009A6FD5"/>
    <w:rsid w:val="009A75DB"/>
    <w:rsid w:val="009A7A9B"/>
    <w:rsid w:val="009B44AC"/>
    <w:rsid w:val="009B5A86"/>
    <w:rsid w:val="009B5CFB"/>
    <w:rsid w:val="009B63A5"/>
    <w:rsid w:val="009B7170"/>
    <w:rsid w:val="009B7C38"/>
    <w:rsid w:val="009B7C72"/>
    <w:rsid w:val="009C00FD"/>
    <w:rsid w:val="009C1C0A"/>
    <w:rsid w:val="009D0E86"/>
    <w:rsid w:val="009D235D"/>
    <w:rsid w:val="009D3D77"/>
    <w:rsid w:val="009E0039"/>
    <w:rsid w:val="009E2615"/>
    <w:rsid w:val="009E29AE"/>
    <w:rsid w:val="009E31DF"/>
    <w:rsid w:val="009E3DB6"/>
    <w:rsid w:val="009E47F7"/>
    <w:rsid w:val="009E49B2"/>
    <w:rsid w:val="009E4A37"/>
    <w:rsid w:val="009E519A"/>
    <w:rsid w:val="009F0252"/>
    <w:rsid w:val="009F0AC3"/>
    <w:rsid w:val="009F2A61"/>
    <w:rsid w:val="009F79C1"/>
    <w:rsid w:val="00A05316"/>
    <w:rsid w:val="00A06461"/>
    <w:rsid w:val="00A069B0"/>
    <w:rsid w:val="00A079F6"/>
    <w:rsid w:val="00A07D3F"/>
    <w:rsid w:val="00A11777"/>
    <w:rsid w:val="00A17971"/>
    <w:rsid w:val="00A21C9D"/>
    <w:rsid w:val="00A2547F"/>
    <w:rsid w:val="00A25EA9"/>
    <w:rsid w:val="00A26B8C"/>
    <w:rsid w:val="00A275DD"/>
    <w:rsid w:val="00A276E6"/>
    <w:rsid w:val="00A27ADC"/>
    <w:rsid w:val="00A309A7"/>
    <w:rsid w:val="00A310CF"/>
    <w:rsid w:val="00A33EB6"/>
    <w:rsid w:val="00A3459E"/>
    <w:rsid w:val="00A364AA"/>
    <w:rsid w:val="00A44E13"/>
    <w:rsid w:val="00A47B8C"/>
    <w:rsid w:val="00A56F63"/>
    <w:rsid w:val="00A57D84"/>
    <w:rsid w:val="00A60D57"/>
    <w:rsid w:val="00A62C89"/>
    <w:rsid w:val="00A62D32"/>
    <w:rsid w:val="00A6439E"/>
    <w:rsid w:val="00A65959"/>
    <w:rsid w:val="00A71AC0"/>
    <w:rsid w:val="00A7277D"/>
    <w:rsid w:val="00A736C5"/>
    <w:rsid w:val="00A74E26"/>
    <w:rsid w:val="00A759BF"/>
    <w:rsid w:val="00A77A5C"/>
    <w:rsid w:val="00A858ED"/>
    <w:rsid w:val="00A86037"/>
    <w:rsid w:val="00A867F8"/>
    <w:rsid w:val="00A874A4"/>
    <w:rsid w:val="00A9103E"/>
    <w:rsid w:val="00A93C53"/>
    <w:rsid w:val="00A9665E"/>
    <w:rsid w:val="00A96E34"/>
    <w:rsid w:val="00A97CFC"/>
    <w:rsid w:val="00AA1522"/>
    <w:rsid w:val="00AA1826"/>
    <w:rsid w:val="00AA3601"/>
    <w:rsid w:val="00AB06F8"/>
    <w:rsid w:val="00AB0A89"/>
    <w:rsid w:val="00AB2266"/>
    <w:rsid w:val="00AB3E76"/>
    <w:rsid w:val="00AB5682"/>
    <w:rsid w:val="00AB736F"/>
    <w:rsid w:val="00AB7FC3"/>
    <w:rsid w:val="00AC01A9"/>
    <w:rsid w:val="00AC527D"/>
    <w:rsid w:val="00AC60E6"/>
    <w:rsid w:val="00AC6713"/>
    <w:rsid w:val="00AC69C8"/>
    <w:rsid w:val="00AD1A0B"/>
    <w:rsid w:val="00AD1BA3"/>
    <w:rsid w:val="00AD4BE9"/>
    <w:rsid w:val="00AD6277"/>
    <w:rsid w:val="00AE2016"/>
    <w:rsid w:val="00AE4719"/>
    <w:rsid w:val="00AE6387"/>
    <w:rsid w:val="00AF3231"/>
    <w:rsid w:val="00AF34F1"/>
    <w:rsid w:val="00AF55E6"/>
    <w:rsid w:val="00AF7247"/>
    <w:rsid w:val="00B0578C"/>
    <w:rsid w:val="00B059CA"/>
    <w:rsid w:val="00B06575"/>
    <w:rsid w:val="00B06D7A"/>
    <w:rsid w:val="00B147D4"/>
    <w:rsid w:val="00B1510C"/>
    <w:rsid w:val="00B1634D"/>
    <w:rsid w:val="00B16423"/>
    <w:rsid w:val="00B22292"/>
    <w:rsid w:val="00B23A72"/>
    <w:rsid w:val="00B2642B"/>
    <w:rsid w:val="00B31153"/>
    <w:rsid w:val="00B3209E"/>
    <w:rsid w:val="00B3357D"/>
    <w:rsid w:val="00B34A0E"/>
    <w:rsid w:val="00B411DA"/>
    <w:rsid w:val="00B43017"/>
    <w:rsid w:val="00B43E1B"/>
    <w:rsid w:val="00B43F84"/>
    <w:rsid w:val="00B46573"/>
    <w:rsid w:val="00B501CD"/>
    <w:rsid w:val="00B5081E"/>
    <w:rsid w:val="00B52FBE"/>
    <w:rsid w:val="00B536C7"/>
    <w:rsid w:val="00B53D83"/>
    <w:rsid w:val="00B60B4F"/>
    <w:rsid w:val="00B62F41"/>
    <w:rsid w:val="00B67E58"/>
    <w:rsid w:val="00B70D6E"/>
    <w:rsid w:val="00B73500"/>
    <w:rsid w:val="00B741FA"/>
    <w:rsid w:val="00B74D19"/>
    <w:rsid w:val="00B824FE"/>
    <w:rsid w:val="00B82FC2"/>
    <w:rsid w:val="00B86FE4"/>
    <w:rsid w:val="00B87389"/>
    <w:rsid w:val="00B9041D"/>
    <w:rsid w:val="00B91228"/>
    <w:rsid w:val="00B91743"/>
    <w:rsid w:val="00B9404E"/>
    <w:rsid w:val="00B959E4"/>
    <w:rsid w:val="00BA1C56"/>
    <w:rsid w:val="00BA30B3"/>
    <w:rsid w:val="00BA3754"/>
    <w:rsid w:val="00BA40F6"/>
    <w:rsid w:val="00BA45BD"/>
    <w:rsid w:val="00BA5EAA"/>
    <w:rsid w:val="00BA6794"/>
    <w:rsid w:val="00BA6EB6"/>
    <w:rsid w:val="00BB006C"/>
    <w:rsid w:val="00BB0BAC"/>
    <w:rsid w:val="00BB0BD5"/>
    <w:rsid w:val="00BB5FEA"/>
    <w:rsid w:val="00BB6F9B"/>
    <w:rsid w:val="00BB757D"/>
    <w:rsid w:val="00BC0AA3"/>
    <w:rsid w:val="00BC16D4"/>
    <w:rsid w:val="00BC2AEF"/>
    <w:rsid w:val="00BC3841"/>
    <w:rsid w:val="00BC5120"/>
    <w:rsid w:val="00BC5886"/>
    <w:rsid w:val="00BC736D"/>
    <w:rsid w:val="00BD0CBF"/>
    <w:rsid w:val="00BD7D88"/>
    <w:rsid w:val="00BE04AF"/>
    <w:rsid w:val="00BE04F8"/>
    <w:rsid w:val="00BE1F9E"/>
    <w:rsid w:val="00BE33F9"/>
    <w:rsid w:val="00BE449A"/>
    <w:rsid w:val="00BE46EA"/>
    <w:rsid w:val="00BE57FB"/>
    <w:rsid w:val="00BE6EC4"/>
    <w:rsid w:val="00BE7532"/>
    <w:rsid w:val="00BE7D17"/>
    <w:rsid w:val="00BE7E3F"/>
    <w:rsid w:val="00BF37D7"/>
    <w:rsid w:val="00BF3C85"/>
    <w:rsid w:val="00BF4A02"/>
    <w:rsid w:val="00C009FD"/>
    <w:rsid w:val="00C018DC"/>
    <w:rsid w:val="00C0246D"/>
    <w:rsid w:val="00C05D54"/>
    <w:rsid w:val="00C05FE0"/>
    <w:rsid w:val="00C072BD"/>
    <w:rsid w:val="00C108BB"/>
    <w:rsid w:val="00C10E92"/>
    <w:rsid w:val="00C11B15"/>
    <w:rsid w:val="00C11E9D"/>
    <w:rsid w:val="00C12531"/>
    <w:rsid w:val="00C1358A"/>
    <w:rsid w:val="00C1394F"/>
    <w:rsid w:val="00C13A98"/>
    <w:rsid w:val="00C15425"/>
    <w:rsid w:val="00C15E73"/>
    <w:rsid w:val="00C1792F"/>
    <w:rsid w:val="00C22A0D"/>
    <w:rsid w:val="00C248F9"/>
    <w:rsid w:val="00C2749F"/>
    <w:rsid w:val="00C30BBE"/>
    <w:rsid w:val="00C30DC6"/>
    <w:rsid w:val="00C310C0"/>
    <w:rsid w:val="00C3245F"/>
    <w:rsid w:val="00C32866"/>
    <w:rsid w:val="00C35537"/>
    <w:rsid w:val="00C41D3A"/>
    <w:rsid w:val="00C4410F"/>
    <w:rsid w:val="00C44EDE"/>
    <w:rsid w:val="00C44F50"/>
    <w:rsid w:val="00C45CBB"/>
    <w:rsid w:val="00C4745D"/>
    <w:rsid w:val="00C478D6"/>
    <w:rsid w:val="00C50271"/>
    <w:rsid w:val="00C51072"/>
    <w:rsid w:val="00C51388"/>
    <w:rsid w:val="00C523D5"/>
    <w:rsid w:val="00C54EBF"/>
    <w:rsid w:val="00C55EB8"/>
    <w:rsid w:val="00C62E6F"/>
    <w:rsid w:val="00C645CF"/>
    <w:rsid w:val="00C6748D"/>
    <w:rsid w:val="00C72443"/>
    <w:rsid w:val="00C72A0E"/>
    <w:rsid w:val="00C73BC5"/>
    <w:rsid w:val="00C7435C"/>
    <w:rsid w:val="00C75CEF"/>
    <w:rsid w:val="00C80393"/>
    <w:rsid w:val="00C80404"/>
    <w:rsid w:val="00C85645"/>
    <w:rsid w:val="00C90250"/>
    <w:rsid w:val="00C93795"/>
    <w:rsid w:val="00C95108"/>
    <w:rsid w:val="00C95F76"/>
    <w:rsid w:val="00C96B89"/>
    <w:rsid w:val="00C977B5"/>
    <w:rsid w:val="00CA0389"/>
    <w:rsid w:val="00CA0880"/>
    <w:rsid w:val="00CA0A44"/>
    <w:rsid w:val="00CA5F3C"/>
    <w:rsid w:val="00CB32A3"/>
    <w:rsid w:val="00CB5044"/>
    <w:rsid w:val="00CB7E4C"/>
    <w:rsid w:val="00CC1B8D"/>
    <w:rsid w:val="00CC2822"/>
    <w:rsid w:val="00CC36AE"/>
    <w:rsid w:val="00CC36B2"/>
    <w:rsid w:val="00CC586B"/>
    <w:rsid w:val="00CC5AF3"/>
    <w:rsid w:val="00CC5B1F"/>
    <w:rsid w:val="00CC72DE"/>
    <w:rsid w:val="00CC7D80"/>
    <w:rsid w:val="00CD2F5A"/>
    <w:rsid w:val="00CD3E2A"/>
    <w:rsid w:val="00CD5FFC"/>
    <w:rsid w:val="00CD70A4"/>
    <w:rsid w:val="00CE26C0"/>
    <w:rsid w:val="00CE47E0"/>
    <w:rsid w:val="00CE4F14"/>
    <w:rsid w:val="00CE519F"/>
    <w:rsid w:val="00CE51DE"/>
    <w:rsid w:val="00CE653B"/>
    <w:rsid w:val="00CF0063"/>
    <w:rsid w:val="00CF27AB"/>
    <w:rsid w:val="00CF6161"/>
    <w:rsid w:val="00D00D12"/>
    <w:rsid w:val="00D0230C"/>
    <w:rsid w:val="00D03112"/>
    <w:rsid w:val="00D06C41"/>
    <w:rsid w:val="00D07822"/>
    <w:rsid w:val="00D126EB"/>
    <w:rsid w:val="00D129E8"/>
    <w:rsid w:val="00D15E75"/>
    <w:rsid w:val="00D16046"/>
    <w:rsid w:val="00D163E1"/>
    <w:rsid w:val="00D22252"/>
    <w:rsid w:val="00D26747"/>
    <w:rsid w:val="00D3277C"/>
    <w:rsid w:val="00D331E2"/>
    <w:rsid w:val="00D34E47"/>
    <w:rsid w:val="00D36438"/>
    <w:rsid w:val="00D45AD1"/>
    <w:rsid w:val="00D51272"/>
    <w:rsid w:val="00D5359F"/>
    <w:rsid w:val="00D619F3"/>
    <w:rsid w:val="00D621F0"/>
    <w:rsid w:val="00D6363A"/>
    <w:rsid w:val="00D65512"/>
    <w:rsid w:val="00D65838"/>
    <w:rsid w:val="00D65F8F"/>
    <w:rsid w:val="00D67D4D"/>
    <w:rsid w:val="00D70564"/>
    <w:rsid w:val="00D7176C"/>
    <w:rsid w:val="00D72219"/>
    <w:rsid w:val="00D73EBD"/>
    <w:rsid w:val="00D7628E"/>
    <w:rsid w:val="00D76C72"/>
    <w:rsid w:val="00D84C22"/>
    <w:rsid w:val="00D84C76"/>
    <w:rsid w:val="00D84CFA"/>
    <w:rsid w:val="00D86F3A"/>
    <w:rsid w:val="00D9240B"/>
    <w:rsid w:val="00DA0183"/>
    <w:rsid w:val="00DA59D4"/>
    <w:rsid w:val="00DB2501"/>
    <w:rsid w:val="00DB2904"/>
    <w:rsid w:val="00DB42A2"/>
    <w:rsid w:val="00DB59D8"/>
    <w:rsid w:val="00DB6597"/>
    <w:rsid w:val="00DC527B"/>
    <w:rsid w:val="00DC72D5"/>
    <w:rsid w:val="00DD2BC7"/>
    <w:rsid w:val="00DD44E5"/>
    <w:rsid w:val="00DD4F04"/>
    <w:rsid w:val="00DD56A0"/>
    <w:rsid w:val="00DD623A"/>
    <w:rsid w:val="00DD67F6"/>
    <w:rsid w:val="00DD6C13"/>
    <w:rsid w:val="00DE458F"/>
    <w:rsid w:val="00DE465C"/>
    <w:rsid w:val="00DE551B"/>
    <w:rsid w:val="00DE71E1"/>
    <w:rsid w:val="00DE7251"/>
    <w:rsid w:val="00DF53E8"/>
    <w:rsid w:val="00DF6247"/>
    <w:rsid w:val="00DF6C1D"/>
    <w:rsid w:val="00DF7C65"/>
    <w:rsid w:val="00E00AAC"/>
    <w:rsid w:val="00E00C21"/>
    <w:rsid w:val="00E0138C"/>
    <w:rsid w:val="00E02677"/>
    <w:rsid w:val="00E047D5"/>
    <w:rsid w:val="00E0509C"/>
    <w:rsid w:val="00E06CD1"/>
    <w:rsid w:val="00E151DB"/>
    <w:rsid w:val="00E22490"/>
    <w:rsid w:val="00E258EC"/>
    <w:rsid w:val="00E270FD"/>
    <w:rsid w:val="00E27DC0"/>
    <w:rsid w:val="00E320A9"/>
    <w:rsid w:val="00E331E1"/>
    <w:rsid w:val="00E33960"/>
    <w:rsid w:val="00E33BD8"/>
    <w:rsid w:val="00E361BD"/>
    <w:rsid w:val="00E36E8C"/>
    <w:rsid w:val="00E415D6"/>
    <w:rsid w:val="00E41EAB"/>
    <w:rsid w:val="00E4238F"/>
    <w:rsid w:val="00E431E1"/>
    <w:rsid w:val="00E45628"/>
    <w:rsid w:val="00E46375"/>
    <w:rsid w:val="00E5254C"/>
    <w:rsid w:val="00E53D00"/>
    <w:rsid w:val="00E53E09"/>
    <w:rsid w:val="00E5420B"/>
    <w:rsid w:val="00E553E9"/>
    <w:rsid w:val="00E555EC"/>
    <w:rsid w:val="00E57B19"/>
    <w:rsid w:val="00E605AF"/>
    <w:rsid w:val="00E61218"/>
    <w:rsid w:val="00E62B19"/>
    <w:rsid w:val="00E63A8B"/>
    <w:rsid w:val="00E63CF3"/>
    <w:rsid w:val="00E65984"/>
    <w:rsid w:val="00E71613"/>
    <w:rsid w:val="00E71FA8"/>
    <w:rsid w:val="00E736BE"/>
    <w:rsid w:val="00E7594B"/>
    <w:rsid w:val="00E765F3"/>
    <w:rsid w:val="00E80F77"/>
    <w:rsid w:val="00E82C65"/>
    <w:rsid w:val="00E8422C"/>
    <w:rsid w:val="00E8482E"/>
    <w:rsid w:val="00E84AD1"/>
    <w:rsid w:val="00E85A02"/>
    <w:rsid w:val="00E85F64"/>
    <w:rsid w:val="00E91930"/>
    <w:rsid w:val="00E9289D"/>
    <w:rsid w:val="00E96115"/>
    <w:rsid w:val="00E9691F"/>
    <w:rsid w:val="00E96974"/>
    <w:rsid w:val="00EA22AF"/>
    <w:rsid w:val="00EA44E0"/>
    <w:rsid w:val="00EA5BFE"/>
    <w:rsid w:val="00EA79E5"/>
    <w:rsid w:val="00EB332C"/>
    <w:rsid w:val="00EB3883"/>
    <w:rsid w:val="00EB47F9"/>
    <w:rsid w:val="00EB489D"/>
    <w:rsid w:val="00EB5399"/>
    <w:rsid w:val="00EB696F"/>
    <w:rsid w:val="00EC0F9E"/>
    <w:rsid w:val="00EC2C16"/>
    <w:rsid w:val="00EC3BFD"/>
    <w:rsid w:val="00EC44A2"/>
    <w:rsid w:val="00ED318E"/>
    <w:rsid w:val="00ED4162"/>
    <w:rsid w:val="00ED5D33"/>
    <w:rsid w:val="00EE3E25"/>
    <w:rsid w:val="00EE5126"/>
    <w:rsid w:val="00EE78C8"/>
    <w:rsid w:val="00EE78FA"/>
    <w:rsid w:val="00EF2324"/>
    <w:rsid w:val="00EF29AB"/>
    <w:rsid w:val="00EF310F"/>
    <w:rsid w:val="00EF355D"/>
    <w:rsid w:val="00EF6A9E"/>
    <w:rsid w:val="00F03B1D"/>
    <w:rsid w:val="00F03ED2"/>
    <w:rsid w:val="00F04A50"/>
    <w:rsid w:val="00F05C78"/>
    <w:rsid w:val="00F119C9"/>
    <w:rsid w:val="00F14441"/>
    <w:rsid w:val="00F16C09"/>
    <w:rsid w:val="00F20E27"/>
    <w:rsid w:val="00F2415A"/>
    <w:rsid w:val="00F25CCA"/>
    <w:rsid w:val="00F26CAC"/>
    <w:rsid w:val="00F26F76"/>
    <w:rsid w:val="00F30EA5"/>
    <w:rsid w:val="00F32EB6"/>
    <w:rsid w:val="00F33AB1"/>
    <w:rsid w:val="00F3447E"/>
    <w:rsid w:val="00F43F9D"/>
    <w:rsid w:val="00F51651"/>
    <w:rsid w:val="00F527DF"/>
    <w:rsid w:val="00F5665E"/>
    <w:rsid w:val="00F574FA"/>
    <w:rsid w:val="00F57F7B"/>
    <w:rsid w:val="00F70145"/>
    <w:rsid w:val="00F7156B"/>
    <w:rsid w:val="00F716C1"/>
    <w:rsid w:val="00F718EB"/>
    <w:rsid w:val="00F73096"/>
    <w:rsid w:val="00F769F5"/>
    <w:rsid w:val="00F7702E"/>
    <w:rsid w:val="00F77AFD"/>
    <w:rsid w:val="00F80A64"/>
    <w:rsid w:val="00F80B84"/>
    <w:rsid w:val="00F82215"/>
    <w:rsid w:val="00F828D0"/>
    <w:rsid w:val="00F857D2"/>
    <w:rsid w:val="00F86575"/>
    <w:rsid w:val="00F92437"/>
    <w:rsid w:val="00F9514F"/>
    <w:rsid w:val="00F95BA6"/>
    <w:rsid w:val="00F96CF2"/>
    <w:rsid w:val="00FA5173"/>
    <w:rsid w:val="00FA585F"/>
    <w:rsid w:val="00FA67EE"/>
    <w:rsid w:val="00FA6BDF"/>
    <w:rsid w:val="00FB416D"/>
    <w:rsid w:val="00FB72CD"/>
    <w:rsid w:val="00FC1EF2"/>
    <w:rsid w:val="00FC3E80"/>
    <w:rsid w:val="00FC5A35"/>
    <w:rsid w:val="00FC6A2F"/>
    <w:rsid w:val="00FC7470"/>
    <w:rsid w:val="00FC7F4B"/>
    <w:rsid w:val="00FD1EEF"/>
    <w:rsid w:val="00FD50BB"/>
    <w:rsid w:val="00FD7F06"/>
    <w:rsid w:val="00FE0969"/>
    <w:rsid w:val="00FE12CB"/>
    <w:rsid w:val="00FE256A"/>
    <w:rsid w:val="00FF09BA"/>
    <w:rsid w:val="00FF49B2"/>
    <w:rsid w:val="00FF7CBD"/>
    <w:rsid w:val="0155AFE9"/>
    <w:rsid w:val="017AC4FD"/>
    <w:rsid w:val="02E2A0F5"/>
    <w:rsid w:val="033C1014"/>
    <w:rsid w:val="03BB7080"/>
    <w:rsid w:val="04189272"/>
    <w:rsid w:val="05309B1A"/>
    <w:rsid w:val="05678BB2"/>
    <w:rsid w:val="0609B871"/>
    <w:rsid w:val="07D8C78D"/>
    <w:rsid w:val="0827379D"/>
    <w:rsid w:val="08A6EDFE"/>
    <w:rsid w:val="0A246011"/>
    <w:rsid w:val="0AA4BE1D"/>
    <w:rsid w:val="0B267377"/>
    <w:rsid w:val="0BBC06AA"/>
    <w:rsid w:val="0BD38962"/>
    <w:rsid w:val="0D29528C"/>
    <w:rsid w:val="0D93CE2A"/>
    <w:rsid w:val="0DDE82D4"/>
    <w:rsid w:val="0ECE16A7"/>
    <w:rsid w:val="0F2A78A4"/>
    <w:rsid w:val="0F607B76"/>
    <w:rsid w:val="11D2331E"/>
    <w:rsid w:val="120615D5"/>
    <w:rsid w:val="127C3926"/>
    <w:rsid w:val="1CD03611"/>
    <w:rsid w:val="1D67CD3C"/>
    <w:rsid w:val="1F3A1DB8"/>
    <w:rsid w:val="1F6EE0CA"/>
    <w:rsid w:val="1FBD29C6"/>
    <w:rsid w:val="206928AB"/>
    <w:rsid w:val="20DB813D"/>
    <w:rsid w:val="2140E255"/>
    <w:rsid w:val="233829C3"/>
    <w:rsid w:val="2362DB73"/>
    <w:rsid w:val="23F63348"/>
    <w:rsid w:val="245456B1"/>
    <w:rsid w:val="259B3C26"/>
    <w:rsid w:val="2790BD2C"/>
    <w:rsid w:val="27DC67BD"/>
    <w:rsid w:val="296C7623"/>
    <w:rsid w:val="29AB74A8"/>
    <w:rsid w:val="2A3CA62A"/>
    <w:rsid w:val="2A4200A1"/>
    <w:rsid w:val="2AE450B0"/>
    <w:rsid w:val="2B42EBC7"/>
    <w:rsid w:val="2B955B34"/>
    <w:rsid w:val="2BFA8792"/>
    <w:rsid w:val="2C1A555D"/>
    <w:rsid w:val="2DE07DFE"/>
    <w:rsid w:val="303E1FEF"/>
    <w:rsid w:val="304DF3D6"/>
    <w:rsid w:val="34B546B3"/>
    <w:rsid w:val="359A4ED5"/>
    <w:rsid w:val="35C1B477"/>
    <w:rsid w:val="377EE05E"/>
    <w:rsid w:val="38A04541"/>
    <w:rsid w:val="3A286D97"/>
    <w:rsid w:val="3AB4043C"/>
    <w:rsid w:val="3B69996E"/>
    <w:rsid w:val="3B994864"/>
    <w:rsid w:val="3D70DB54"/>
    <w:rsid w:val="3F0A7A2B"/>
    <w:rsid w:val="4014A552"/>
    <w:rsid w:val="40F32C47"/>
    <w:rsid w:val="41137BFE"/>
    <w:rsid w:val="41253E9D"/>
    <w:rsid w:val="4130CD28"/>
    <w:rsid w:val="413CA8CC"/>
    <w:rsid w:val="414AB266"/>
    <w:rsid w:val="416770A7"/>
    <w:rsid w:val="41711FD9"/>
    <w:rsid w:val="419D0F2E"/>
    <w:rsid w:val="41B152CE"/>
    <w:rsid w:val="425B1DCB"/>
    <w:rsid w:val="428BED64"/>
    <w:rsid w:val="43B2D9B3"/>
    <w:rsid w:val="4482C537"/>
    <w:rsid w:val="4586EBC2"/>
    <w:rsid w:val="45A132C0"/>
    <w:rsid w:val="465421B5"/>
    <w:rsid w:val="469E0A57"/>
    <w:rsid w:val="46D610FA"/>
    <w:rsid w:val="484492FF"/>
    <w:rsid w:val="48CC9E6E"/>
    <w:rsid w:val="48EABBA0"/>
    <w:rsid w:val="49B01931"/>
    <w:rsid w:val="4A8BC86F"/>
    <w:rsid w:val="4AB8F99F"/>
    <w:rsid w:val="4AE46251"/>
    <w:rsid w:val="4CA7E270"/>
    <w:rsid w:val="4DE7102D"/>
    <w:rsid w:val="4E59227D"/>
    <w:rsid w:val="4EAF7C07"/>
    <w:rsid w:val="4F192363"/>
    <w:rsid w:val="4FFA641F"/>
    <w:rsid w:val="50EBC6FE"/>
    <w:rsid w:val="50F474F9"/>
    <w:rsid w:val="51644BDD"/>
    <w:rsid w:val="5203FC56"/>
    <w:rsid w:val="523053AB"/>
    <w:rsid w:val="53563BFB"/>
    <w:rsid w:val="53F2C89A"/>
    <w:rsid w:val="540E269E"/>
    <w:rsid w:val="543751DD"/>
    <w:rsid w:val="5471EEDD"/>
    <w:rsid w:val="54859DBD"/>
    <w:rsid w:val="54AAFCD6"/>
    <w:rsid w:val="55C7D9F2"/>
    <w:rsid w:val="5658D257"/>
    <w:rsid w:val="56758EC3"/>
    <w:rsid w:val="56F36E2C"/>
    <w:rsid w:val="57596AAF"/>
    <w:rsid w:val="57609209"/>
    <w:rsid w:val="57626928"/>
    <w:rsid w:val="57BC19CD"/>
    <w:rsid w:val="57F30CC3"/>
    <w:rsid w:val="581D576E"/>
    <w:rsid w:val="5858DCF0"/>
    <w:rsid w:val="58664E49"/>
    <w:rsid w:val="595A710B"/>
    <w:rsid w:val="5B18134B"/>
    <w:rsid w:val="5D96DB63"/>
    <w:rsid w:val="5E05063A"/>
    <w:rsid w:val="5F95A9EC"/>
    <w:rsid w:val="5FCD17F2"/>
    <w:rsid w:val="5FD1AAF0"/>
    <w:rsid w:val="60A9AFB1"/>
    <w:rsid w:val="60CB372F"/>
    <w:rsid w:val="611A9651"/>
    <w:rsid w:val="6323E442"/>
    <w:rsid w:val="6461B917"/>
    <w:rsid w:val="658070FF"/>
    <w:rsid w:val="65A6F051"/>
    <w:rsid w:val="664AF6D5"/>
    <w:rsid w:val="668273F1"/>
    <w:rsid w:val="668282A6"/>
    <w:rsid w:val="6950D4B8"/>
    <w:rsid w:val="6BA935EE"/>
    <w:rsid w:val="6C468913"/>
    <w:rsid w:val="6D06803E"/>
    <w:rsid w:val="6D7B9020"/>
    <w:rsid w:val="6DB37BE1"/>
    <w:rsid w:val="6EA74DE5"/>
    <w:rsid w:val="6FAE75C3"/>
    <w:rsid w:val="701E348D"/>
    <w:rsid w:val="72151956"/>
    <w:rsid w:val="72D510DD"/>
    <w:rsid w:val="735F4AD9"/>
    <w:rsid w:val="73E0E68A"/>
    <w:rsid w:val="740FB9C8"/>
    <w:rsid w:val="7418840D"/>
    <w:rsid w:val="74BC5EDA"/>
    <w:rsid w:val="74DE638A"/>
    <w:rsid w:val="74EAB127"/>
    <w:rsid w:val="752237E0"/>
    <w:rsid w:val="7577301E"/>
    <w:rsid w:val="76B3D6E8"/>
    <w:rsid w:val="77735BED"/>
    <w:rsid w:val="7790C43D"/>
    <w:rsid w:val="77F48EDA"/>
    <w:rsid w:val="7A954CB6"/>
    <w:rsid w:val="7BE3952F"/>
    <w:rsid w:val="7D4EC5B2"/>
    <w:rsid w:val="7D55A928"/>
    <w:rsid w:val="7F0E4188"/>
    <w:rsid w:val="7FDED17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76666C"/>
  <w15:chartTrackingRefBased/>
  <w15:docId w15:val="{C80B3067-F453-48A5-906A-39C472FD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BA"/>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2"/>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4"/>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5"/>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204CBA"/>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customStyle="1" w:styleId="UnresolvedMention1">
    <w:name w:val="Unresolved Mention1"/>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6742B5"/>
    <w:pPr>
      <w:ind w:left="0" w:firstLine="0"/>
    </w:pPr>
  </w:style>
  <w:style w:type="character" w:styleId="FollowedHyperlink">
    <w:name w:val="FollowedHyperlink"/>
    <w:basedOn w:val="DefaultParagraphFont"/>
    <w:uiPriority w:val="99"/>
    <w:semiHidden/>
    <w:unhideWhenUsed/>
    <w:rsid w:val="00C80404"/>
    <w:rPr>
      <w:color w:val="954F72" w:themeColor="followedHyperlink"/>
      <w:u w:val="single"/>
    </w:rPr>
  </w:style>
  <w:style w:type="paragraph" w:customStyle="1" w:styleId="NumberedParagraphCabStandard">
    <w:name w:val="Numbered Paragraph (CabStandard)"/>
    <w:basedOn w:val="Normal"/>
    <w:qFormat/>
    <w:rsid w:val="006A69FA"/>
    <w:pPr>
      <w:tabs>
        <w:tab w:val="num" w:pos="709"/>
      </w:tabs>
      <w:spacing w:after="240" w:line="240" w:lineRule="auto"/>
      <w:ind w:left="709" w:hanging="709"/>
    </w:pPr>
    <w:rPr>
      <w:rFonts w:ascii="Arial" w:hAnsi="Arial"/>
      <w:sz w:val="24"/>
      <w:szCs w:val="23"/>
      <w:lang w:eastAsia="en-NZ"/>
    </w:rPr>
  </w:style>
  <w:style w:type="paragraph" w:styleId="CommentSubject">
    <w:name w:val="annotation subject"/>
    <w:basedOn w:val="CommentText"/>
    <w:next w:val="CommentText"/>
    <w:link w:val="CommentSubjectChar"/>
    <w:uiPriority w:val="99"/>
    <w:semiHidden/>
    <w:unhideWhenUsed/>
    <w:rsid w:val="004A558A"/>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4A558A"/>
    <w:rPr>
      <w:rFonts w:ascii="Times New Roman" w:eastAsia="Times New Roman" w:hAnsi="Times New Roman" w:cs="Times New Roman"/>
      <w:b/>
      <w:bCs/>
      <w:szCs w:val="20"/>
      <w:lang w:eastAsia="en-AU"/>
    </w:rPr>
  </w:style>
  <w:style w:type="paragraph" w:styleId="ListParagraph">
    <w:name w:val="List Paragraph"/>
    <w:basedOn w:val="Normal"/>
    <w:uiPriority w:val="34"/>
    <w:rsid w:val="006D0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6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656744DC2A439994216F4F3C6A0D5E"/>
        <w:category>
          <w:name w:val="General"/>
          <w:gallery w:val="placeholder"/>
        </w:category>
        <w:types>
          <w:type w:val="bbPlcHdr"/>
        </w:types>
        <w:behaviors>
          <w:behavior w:val="content"/>
        </w:behaviors>
        <w:guid w:val="{FB80D70B-71B8-4307-BBC5-7A11DADEAF08}"/>
      </w:docPartPr>
      <w:docPartBody>
        <w:p w:rsidR="009D5EF6" w:rsidRDefault="0076360E">
          <w:pPr>
            <w:pStyle w:val="18656744DC2A439994216F4F3C6A0D5E"/>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F4920823A47D493CA1CF2D8E5E543976"/>
        <w:category>
          <w:name w:val="General"/>
          <w:gallery w:val="placeholder"/>
        </w:category>
        <w:types>
          <w:type w:val="bbPlcHdr"/>
        </w:types>
        <w:behaviors>
          <w:behavior w:val="content"/>
        </w:behaviors>
        <w:guid w:val="{FFE4A062-3926-45B9-893E-4B46A44F5934}"/>
      </w:docPartPr>
      <w:docPartBody>
        <w:p w:rsidR="009D5EF6" w:rsidRDefault="0076360E">
          <w:pPr>
            <w:pStyle w:val="F4920823A47D493CA1CF2D8E5E543976"/>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
      <w:docPartPr>
        <w:name w:val="3BB8F6E6455940139871E0716645285B"/>
        <w:category>
          <w:name w:val="General"/>
          <w:gallery w:val="placeholder"/>
        </w:category>
        <w:types>
          <w:type w:val="bbPlcHdr"/>
        </w:types>
        <w:behaviors>
          <w:behavior w:val="content"/>
        </w:behaviors>
        <w:guid w:val="{08DC0BE2-0997-4E7B-B14F-D3C47AEA10C3}"/>
      </w:docPartPr>
      <w:docPartBody>
        <w:p w:rsidR="009E496A" w:rsidRDefault="0076360E">
          <w:pPr>
            <w:pStyle w:val="3BB8F6E6455940139871E0716645285B"/>
          </w:pPr>
          <w:r w:rsidRPr="00733356">
            <w:rPr>
              <w:rStyle w:val="PlaceholderText"/>
            </w:rPr>
            <w:t>[</w:t>
          </w:r>
          <w:r>
            <w:rPr>
              <w:rStyle w:val="PlaceholderText"/>
            </w:rPr>
            <w:t>Choose a report priority</w:t>
          </w:r>
          <w:r w:rsidRPr="007333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0E"/>
    <w:rsid w:val="000C1AAC"/>
    <w:rsid w:val="000C7A7C"/>
    <w:rsid w:val="001911A5"/>
    <w:rsid w:val="001E0DD1"/>
    <w:rsid w:val="002B5E3A"/>
    <w:rsid w:val="00402C81"/>
    <w:rsid w:val="005B20E2"/>
    <w:rsid w:val="0076360E"/>
    <w:rsid w:val="008F2493"/>
    <w:rsid w:val="00936A70"/>
    <w:rsid w:val="009D5EF6"/>
    <w:rsid w:val="009E496A"/>
    <w:rsid w:val="00AD166C"/>
    <w:rsid w:val="00B43247"/>
    <w:rsid w:val="00B51240"/>
    <w:rsid w:val="00BF1C34"/>
    <w:rsid w:val="00D575C0"/>
    <w:rsid w:val="00E07285"/>
    <w:rsid w:val="00E97F3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A3861730DC4C9399EBCCBD2C164662">
    <w:name w:val="96A3861730DC4C9399EBCCBD2C164662"/>
  </w:style>
  <w:style w:type="paragraph" w:customStyle="1" w:styleId="18656744DC2A439994216F4F3C6A0D5E">
    <w:name w:val="18656744DC2A439994216F4F3C6A0D5E"/>
  </w:style>
  <w:style w:type="paragraph" w:customStyle="1" w:styleId="F4920823A47D493CA1CF2D8E5E543976">
    <w:name w:val="F4920823A47D493CA1CF2D8E5E543976"/>
  </w:style>
  <w:style w:type="paragraph" w:customStyle="1" w:styleId="975886503C014E3686956C85022AB05D">
    <w:name w:val="975886503C014E3686956C85022AB05D"/>
  </w:style>
  <w:style w:type="paragraph" w:customStyle="1" w:styleId="7B5A3ADC97C94E0EAD6928DD1235936A">
    <w:name w:val="7B5A3ADC97C94E0EAD6928DD1235936A"/>
  </w:style>
  <w:style w:type="paragraph" w:customStyle="1" w:styleId="3BB8F6E6455940139871E0716645285B">
    <w:name w:val="3BB8F6E6455940139871E07166452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IR2019/554 T2019/3648 – Tax policy report: Purchase price allocation (13 November 2019)</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IR2019/554 T2019/3648 – Tax policy report: Purchase price allocation (13 November 2019)</dc:title>
  <dc:subject/>
  <dc:creator>Inland Revenue + The Treasury</dc:creator>
  <cp:keywords/>
  <dc:description/>
  <dcterms:created xsi:type="dcterms:W3CDTF">2020-09-07T08:06:00Z</dcterms:created>
  <dcterms:modified xsi:type="dcterms:W3CDTF">2020-09-07T08:07:00Z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