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26CA" w14:textId="77777777" w:rsidR="00E94525" w:rsidRDefault="00E94525" w:rsidP="00DD623A">
      <w:pPr>
        <w:jc w:val="center"/>
      </w:pPr>
      <w:r w:rsidRPr="00A768F4">
        <w:rPr>
          <w:noProof/>
        </w:rPr>
        <w:drawing>
          <wp:inline distT="0" distB="0" distL="0" distR="0" wp14:anchorId="0491A42C" wp14:editId="6253D724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_smal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F65D" w14:textId="77777777" w:rsidR="00E94525" w:rsidRPr="00221AAE" w:rsidRDefault="00E94525" w:rsidP="00B73500">
      <w:pPr>
        <w:pStyle w:val="PAS-Groupname"/>
      </w:pPr>
      <w:r w:rsidRPr="00221AAE">
        <w:t>POLICY AND STRATEGY</w:t>
      </w:r>
    </w:p>
    <w:p w14:paraId="2E6C259A" w14:textId="1B7D5C14" w:rsidR="00DD623A" w:rsidRPr="001D0013" w:rsidRDefault="00DD623A" w:rsidP="001D0013">
      <w:pPr>
        <w:pStyle w:val="ReportCover-Title"/>
      </w:pPr>
      <w:r w:rsidRPr="001D0013">
        <w:t>Tax policy report:</w:t>
      </w:r>
      <w:r w:rsidRPr="001D0013">
        <w:tab/>
      </w:r>
      <w:bookmarkStart w:id="0" w:name="Subject"/>
      <w:bookmarkEnd w:id="0"/>
      <w:r w:rsidR="00076746">
        <w:t xml:space="preserve">Cabinet paper: </w:t>
      </w:r>
      <w:r w:rsidR="00FF7FF3">
        <w:t>Use of money interest</w:t>
      </w:r>
      <w:r w:rsidR="000A20D1">
        <w:t xml:space="preserve"> rates review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308D15A8" w14:textId="77777777" w:rsidTr="000B2ED1">
        <w:tc>
          <w:tcPr>
            <w:tcW w:w="2689" w:type="dxa"/>
          </w:tcPr>
          <w:p w14:paraId="05EB5A4B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30F39E74" w14:textId="0BE07DEE" w:rsidR="00DD623A" w:rsidRPr="000E1CEA" w:rsidRDefault="00DE655B" w:rsidP="00705DC2">
            <w:pPr>
              <w:pStyle w:val="Table-Text"/>
            </w:pPr>
            <w:bookmarkStart w:id="1" w:name="Date"/>
            <w:bookmarkEnd w:id="1"/>
            <w:r w:rsidRPr="000E1CEA">
              <w:t>24 April 2020</w:t>
            </w:r>
          </w:p>
        </w:tc>
        <w:tc>
          <w:tcPr>
            <w:tcW w:w="1985" w:type="dxa"/>
          </w:tcPr>
          <w:p w14:paraId="0D128C41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bookmarkStart w:id="2" w:name="Priority" w:displacedByCustomXml="next"/>
          <w:bookmarkEnd w:id="2" w:displacedByCustomXml="next"/>
          <w:sdt>
            <w:sdtPr>
              <w:alias w:val="Report Priority"/>
              <w:tag w:val="Report Priority"/>
              <w:id w:val="-277869482"/>
              <w:placeholder>
                <w:docPart w:val="D8D18DFA4A9E48178B13A00925D0D377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1B9B515D" w14:textId="2A6C5FDA" w:rsidR="00DD623A" w:rsidRPr="00705DC2" w:rsidRDefault="000A20D1" w:rsidP="00C44EDE">
                <w:pPr>
                  <w:pStyle w:val="Table-Text"/>
                </w:pPr>
                <w:r>
                  <w:t>High</w:t>
                </w:r>
              </w:p>
            </w:sdtContent>
          </w:sdt>
        </w:tc>
      </w:tr>
      <w:tr w:rsidR="00DD623A" w:rsidRPr="00DD623A" w14:paraId="5532085F" w14:textId="77777777" w:rsidTr="000B2ED1">
        <w:tc>
          <w:tcPr>
            <w:tcW w:w="2689" w:type="dxa"/>
          </w:tcPr>
          <w:p w14:paraId="2F84A2B4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0E62909C" w14:textId="6D4C5853" w:rsidR="009B5A86" w:rsidRPr="00DD623A" w:rsidRDefault="00045F98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C8987C9976094830B8542903C40DA987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0A20D1">
                  <w:t>In Confidence</w:t>
                </w:r>
              </w:sdtContent>
            </w:sdt>
          </w:p>
        </w:tc>
        <w:tc>
          <w:tcPr>
            <w:tcW w:w="1985" w:type="dxa"/>
          </w:tcPr>
          <w:p w14:paraId="76527381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54261CF7" w14:textId="02D48FCF" w:rsidR="00B3357D" w:rsidRPr="00705DC2" w:rsidRDefault="00DD623A" w:rsidP="0098280F">
            <w:pPr>
              <w:pStyle w:val="Table-Text"/>
            </w:pPr>
            <w:bookmarkStart w:id="4" w:name="ReportPad"/>
            <w:bookmarkEnd w:id="4"/>
            <w:r w:rsidRPr="00705DC2">
              <w:t>IR20</w:t>
            </w:r>
            <w:r w:rsidR="000A20D1">
              <w:t>20</w:t>
            </w:r>
            <w:r w:rsidRPr="00705DC2">
              <w:t>/</w:t>
            </w:r>
            <w:r w:rsidR="000A20D1">
              <w:t>223</w:t>
            </w:r>
          </w:p>
        </w:tc>
      </w:tr>
    </w:tbl>
    <w:p w14:paraId="7B77F9C7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76D4448E" w14:textId="77777777" w:rsidTr="000B2ED1">
        <w:tc>
          <w:tcPr>
            <w:tcW w:w="2694" w:type="dxa"/>
          </w:tcPr>
          <w:p w14:paraId="44B63C42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1E327849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113D46DD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DD623A" w:rsidRPr="00D6363A" w14:paraId="111F4AC9" w14:textId="77777777" w:rsidTr="000B2ED1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6E53C" w14:textId="77777777" w:rsidR="00DD623A" w:rsidRPr="00D6363A" w:rsidRDefault="00DD623A" w:rsidP="00D6363A">
            <w:pPr>
              <w:pStyle w:val="Table-Text"/>
            </w:pPr>
            <w:r w:rsidRPr="00D6363A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50D22" w14:textId="6CABB6CA" w:rsidR="00705DC2" w:rsidRPr="000E1CEA" w:rsidRDefault="00705DC2" w:rsidP="00705DC2">
            <w:pPr>
              <w:pStyle w:val="Table-Text"/>
            </w:pPr>
            <w:r w:rsidRPr="000E1CEA">
              <w:rPr>
                <w:rStyle w:val="Strong"/>
              </w:rPr>
              <w:t>Agree</w:t>
            </w:r>
            <w:r w:rsidRPr="000E1CEA">
              <w:t xml:space="preserve"> to recommendations</w:t>
            </w:r>
          </w:p>
          <w:p w14:paraId="12905966" w14:textId="01962EEA" w:rsidR="00D5689B" w:rsidRPr="000E1CEA" w:rsidRDefault="00D5689B" w:rsidP="00705DC2">
            <w:pPr>
              <w:pStyle w:val="Table-Text"/>
            </w:pPr>
            <w:r w:rsidRPr="000E1CEA">
              <w:rPr>
                <w:b/>
                <w:bCs/>
              </w:rPr>
              <w:t>Note</w:t>
            </w:r>
            <w:r w:rsidRPr="000E1CEA">
              <w:t xml:space="preserve"> the fiscal impacts</w:t>
            </w:r>
          </w:p>
          <w:p w14:paraId="7EF59F20" w14:textId="507AFED4" w:rsidR="00DD623A" w:rsidRPr="000E1CEA" w:rsidRDefault="001B132B" w:rsidP="00D6363A">
            <w:pPr>
              <w:pStyle w:val="Table-Text"/>
            </w:pPr>
            <w:r w:rsidRPr="000E1CEA">
              <w:rPr>
                <w:rStyle w:val="Strong"/>
              </w:rPr>
              <w:t>Sign and refer</w:t>
            </w:r>
            <w:r w:rsidR="00DD623A" w:rsidRPr="000E1CEA">
              <w:t xml:space="preserve"> the </w:t>
            </w:r>
            <w:r w:rsidR="0098321F" w:rsidRPr="000E1CEA">
              <w:t>attached paper to Cabinet Office for consideration at Cabinet on 4 May</w:t>
            </w:r>
            <w:r w:rsidR="008D72CA" w:rsidRPr="000E1CEA">
              <w:t xml:space="preserve"> 20</w:t>
            </w:r>
            <w:r w:rsidR="00541705" w:rsidRPr="000E1CEA">
              <w:t>20</w:t>
            </w:r>
          </w:p>
          <w:p w14:paraId="2FE67D4C" w14:textId="15E4A529" w:rsidR="00DD623A" w:rsidRPr="000E1CEA" w:rsidRDefault="00D04DAE" w:rsidP="00D6363A">
            <w:pPr>
              <w:pStyle w:val="Table-Text"/>
            </w:pPr>
            <w:r w:rsidRPr="000E1CEA">
              <w:rPr>
                <w:rStyle w:val="Strong"/>
              </w:rPr>
              <w:t>Refer</w:t>
            </w:r>
            <w:r w:rsidR="00DD623A" w:rsidRPr="000E1CEA">
              <w:t xml:space="preserve"> </w:t>
            </w:r>
            <w:r w:rsidRPr="000E1CEA">
              <w:t>a copy of this report to the Minister of Finance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18B07" w14:textId="361E9331" w:rsidR="00DD623A" w:rsidRPr="00D6363A" w:rsidRDefault="00190543" w:rsidP="00D6363A">
            <w:pPr>
              <w:pStyle w:val="Table-Text"/>
            </w:pPr>
            <w:r>
              <w:t>10am, Thursday 30</w:t>
            </w:r>
            <w:r w:rsidR="00A7780A">
              <w:t xml:space="preserve"> April 2020</w:t>
            </w:r>
          </w:p>
        </w:tc>
      </w:tr>
    </w:tbl>
    <w:p w14:paraId="7884C02E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756"/>
      </w:tblGrid>
      <w:tr w:rsidR="00DD623A" w:rsidRPr="000B2ED1" w14:paraId="073AD4BB" w14:textId="77777777" w:rsidTr="005B289E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7CDA9A3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47F18EAF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8FB9975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67581E" w:rsidRPr="009B5A86" w14:paraId="18213C97" w14:textId="77777777" w:rsidTr="005B289E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FB863" w14:textId="7D8F255C" w:rsidR="0067581E" w:rsidRPr="009B5A86" w:rsidRDefault="0067581E" w:rsidP="0067581E">
            <w:pPr>
              <w:pStyle w:val="Table-Text"/>
            </w:pPr>
            <w:bookmarkStart w:id="5" w:name="Name1"/>
            <w:bookmarkEnd w:id="5"/>
            <w:r>
              <w:t>Paul Fulton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19F7B" w14:textId="376F500A" w:rsidR="0067581E" w:rsidRPr="009B5A86" w:rsidRDefault="0067581E" w:rsidP="0067581E">
            <w:pPr>
              <w:pStyle w:val="Table-Text"/>
            </w:pPr>
            <w:bookmarkStart w:id="6" w:name="Pos1"/>
            <w:bookmarkEnd w:id="6"/>
            <w:r>
              <w:t>Principal Policy Advisor</w:t>
            </w:r>
          </w:p>
        </w:tc>
        <w:tc>
          <w:tcPr>
            <w:tcW w:w="375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14:paraId="2D51AABC" w14:textId="1C6501A8" w:rsidR="0067581E" w:rsidRPr="00252D84" w:rsidRDefault="005B289E" w:rsidP="0067581E">
            <w:pPr>
              <w:pStyle w:val="Table-Text"/>
              <w:rPr>
                <w:sz w:val="18"/>
                <w:szCs w:val="18"/>
              </w:rPr>
            </w:pPr>
            <w:r w:rsidRPr="00252D84">
              <w:rPr>
                <w:sz w:val="18"/>
                <w:szCs w:val="18"/>
              </w:rPr>
              <w:t>s 9(2)(a)</w:t>
            </w:r>
          </w:p>
          <w:p w14:paraId="21BAD8F0" w14:textId="1C31608C" w:rsidR="005B289E" w:rsidRPr="009B5A86" w:rsidRDefault="005B289E" w:rsidP="0067581E">
            <w:pPr>
              <w:pStyle w:val="Table-Text"/>
            </w:pPr>
          </w:p>
        </w:tc>
      </w:tr>
      <w:tr w:rsidR="0067581E" w:rsidRPr="009B5A86" w14:paraId="1D4611C2" w14:textId="77777777" w:rsidTr="005B289E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4E1E38AF" w14:textId="5D9C3807" w:rsidR="0067581E" w:rsidRPr="005B289E" w:rsidRDefault="005B289E" w:rsidP="0067581E">
            <w:pPr>
              <w:pStyle w:val="Table-Text"/>
              <w:rPr>
                <w:sz w:val="18"/>
                <w:szCs w:val="18"/>
              </w:rPr>
            </w:pPr>
            <w:bookmarkStart w:id="7" w:name="Name2"/>
            <w:bookmarkEnd w:id="7"/>
            <w:r w:rsidRPr="005B289E">
              <w:rPr>
                <w:sz w:val="18"/>
                <w:szCs w:val="18"/>
              </w:rPr>
              <w:t>s 9(2)(a)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16484" w14:textId="67ADD489" w:rsidR="0067581E" w:rsidRPr="009B5A86" w:rsidRDefault="0067581E" w:rsidP="0067581E">
            <w:pPr>
              <w:pStyle w:val="Table-Text"/>
            </w:pPr>
            <w:bookmarkStart w:id="8" w:name="Pos2"/>
            <w:bookmarkEnd w:id="8"/>
            <w:r>
              <w:t>Policy Advisor</w:t>
            </w:r>
          </w:p>
        </w:tc>
        <w:tc>
          <w:tcPr>
            <w:tcW w:w="375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608D0F01" w14:textId="77777777" w:rsidR="0067581E" w:rsidRDefault="0067581E" w:rsidP="0067581E">
            <w:pPr>
              <w:pStyle w:val="Table-Text"/>
            </w:pPr>
            <w:bookmarkStart w:id="9" w:name="Direct2"/>
            <w:bookmarkEnd w:id="9"/>
          </w:p>
          <w:p w14:paraId="37F7174F" w14:textId="759E9A29" w:rsidR="005B289E" w:rsidRPr="009B5A86" w:rsidRDefault="005B289E" w:rsidP="0067581E">
            <w:pPr>
              <w:pStyle w:val="Table-Text"/>
            </w:pPr>
          </w:p>
        </w:tc>
      </w:tr>
    </w:tbl>
    <w:p w14:paraId="24241413" w14:textId="77777777" w:rsidR="00D6363A" w:rsidRPr="00891517" w:rsidRDefault="00D6363A" w:rsidP="00891517">
      <w:pPr>
        <w:sectPr w:rsidR="00D6363A" w:rsidRPr="00891517" w:rsidSect="00A364AA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22D327" w14:textId="57C296CC" w:rsidR="005B202F" w:rsidRDefault="009E657F">
      <w:r w:rsidRPr="000E1CEA">
        <w:lastRenderedPageBreak/>
        <w:t>24 April 2020</w:t>
      </w:r>
    </w:p>
    <w:p w14:paraId="2E0B4620" w14:textId="77777777" w:rsidR="00811AC6" w:rsidRDefault="00811AC6"/>
    <w:p w14:paraId="42A1ACFF" w14:textId="77777777" w:rsidR="00811AC6" w:rsidRDefault="00811AC6">
      <w:r>
        <w:t>Minister of Revenue</w:t>
      </w:r>
    </w:p>
    <w:p w14:paraId="4F76958B" w14:textId="31814BA3" w:rsidR="00811AC6" w:rsidRPr="00526C06" w:rsidRDefault="009E657F" w:rsidP="00526C06">
      <w:pPr>
        <w:pStyle w:val="Report-Title"/>
      </w:pPr>
      <w:r>
        <w:t>Cabinet paper: Use of money interest rates review</w:t>
      </w:r>
    </w:p>
    <w:p w14:paraId="58134056" w14:textId="77777777" w:rsidR="00811AC6" w:rsidRPr="003C2FA4" w:rsidRDefault="00811AC6" w:rsidP="003C2FA4">
      <w:pPr>
        <w:pStyle w:val="Heading1"/>
      </w:pPr>
      <w:r w:rsidRPr="003C2FA4">
        <w:t>Executive summary</w:t>
      </w:r>
    </w:p>
    <w:p w14:paraId="1606F2F6" w14:textId="7C0DE04E" w:rsidR="00FD2B36" w:rsidRDefault="00FB52E0" w:rsidP="004417BF">
      <w:pPr>
        <w:pStyle w:val="NumberedParagraph"/>
      </w:pPr>
      <w:r>
        <w:t>This report seeks your agreement to adjust the use of money interest (UOMI) rates</w:t>
      </w:r>
      <w:r w:rsidR="00356DC3">
        <w:t>.</w:t>
      </w:r>
      <w:r w:rsidR="00FD2B36">
        <w:t xml:space="preserve"> UOMI rate</w:t>
      </w:r>
      <w:r w:rsidR="004417BF">
        <w:t>s</w:t>
      </w:r>
      <w:r w:rsidR="00356DC3">
        <w:t xml:space="preserve"> are reviewed regularly</w:t>
      </w:r>
      <w:r w:rsidR="004417BF">
        <w:t xml:space="preserve"> based on</w:t>
      </w:r>
      <w:r w:rsidR="00004965">
        <w:t xml:space="preserve"> formulae set down in regulations. </w:t>
      </w:r>
    </w:p>
    <w:p w14:paraId="024A0A51" w14:textId="09A93508" w:rsidR="00004965" w:rsidRDefault="00F719AF" w:rsidP="00326D55">
      <w:pPr>
        <w:pStyle w:val="NumberedParagraph"/>
      </w:pPr>
      <w:r>
        <w:t xml:space="preserve">The current rate of UOMI on underpayments of tax is 8.35% </w:t>
      </w:r>
      <w:r w:rsidR="00170A73">
        <w:t xml:space="preserve">and the rate of UOMI on overpayments of tax is 0.81%. </w:t>
      </w:r>
      <w:r w:rsidR="00F75A81">
        <w:t>We recommend that the underpayment rate be decreased to 7.00%, and that the overpayment rate be decreased to 0.00%</w:t>
      </w:r>
      <w:r w:rsidR="003032DD">
        <w:t xml:space="preserve">, in line with movements in market rates. </w:t>
      </w:r>
      <w:r w:rsidR="00C9582F">
        <w:t xml:space="preserve">Your approval is sought to make these rate changes and for </w:t>
      </w:r>
      <w:r w:rsidR="004D4387">
        <w:t xml:space="preserve">the Parliamentary Counsel Office to draft </w:t>
      </w:r>
      <w:r w:rsidR="008A7971">
        <w:t xml:space="preserve">an Order in Council </w:t>
      </w:r>
      <w:r w:rsidR="00AD2F18">
        <w:t>to set the new rates.</w:t>
      </w:r>
    </w:p>
    <w:p w14:paraId="0B6EC50E" w14:textId="7F4E5A6D" w:rsidR="00134D15" w:rsidRDefault="00134D15" w:rsidP="00744EB4">
      <w:pPr>
        <w:pStyle w:val="NumberedParagraph"/>
      </w:pPr>
      <w:r>
        <w:t xml:space="preserve">There are two options for </w:t>
      </w:r>
      <w:r w:rsidR="00E372D4">
        <w:t>commencement</w:t>
      </w:r>
      <w:r>
        <w:t xml:space="preserve"> that officials seek your decision on. The new rates can only come into effect on the day </w:t>
      </w:r>
      <w:r w:rsidR="009C09FD">
        <w:t xml:space="preserve">immediately </w:t>
      </w:r>
      <w:r>
        <w:t>following the</w:t>
      </w:r>
      <w:r w:rsidR="009C09FD">
        <w:t xml:space="preserve"> due date for</w:t>
      </w:r>
      <w:r>
        <w:t xml:space="preserve"> </w:t>
      </w:r>
      <w:r w:rsidR="00672EAD">
        <w:t>a standard instalment of provisional tax</w:t>
      </w:r>
      <w:r>
        <w:t>. The options</w:t>
      </w:r>
      <w:r w:rsidR="00672EAD">
        <w:t xml:space="preserve"> for date of </w:t>
      </w:r>
      <w:r w:rsidR="00375099">
        <w:t>commencement</w:t>
      </w:r>
      <w:r>
        <w:t xml:space="preserve"> are either</w:t>
      </w:r>
      <w:r w:rsidR="00744EB4">
        <w:t xml:space="preserve"> </w:t>
      </w:r>
      <w:r>
        <w:t>8 May 2020</w:t>
      </w:r>
      <w:r w:rsidR="00744EB4">
        <w:t xml:space="preserve"> or </w:t>
      </w:r>
      <w:r>
        <w:t>29 August 2020.</w:t>
      </w:r>
    </w:p>
    <w:p w14:paraId="463039BE" w14:textId="65F697F7" w:rsidR="00134D15" w:rsidRDefault="00594617" w:rsidP="00134D15">
      <w:pPr>
        <w:pStyle w:val="NumberedParagraph"/>
      </w:pPr>
      <w:r>
        <w:t xml:space="preserve">Officials </w:t>
      </w:r>
      <w:r w:rsidR="00D6287B">
        <w:t xml:space="preserve">strongly </w:t>
      </w:r>
      <w:r>
        <w:t>recommend that</w:t>
      </w:r>
      <w:r w:rsidR="00DC75F7">
        <w:t>,</w:t>
      </w:r>
      <w:r>
        <w:t xml:space="preserve"> </w:t>
      </w:r>
      <w:r w:rsidR="00D6287B">
        <w:t>given the current COVID-19 situation</w:t>
      </w:r>
      <w:r w:rsidR="00DC75F7">
        <w:t>,</w:t>
      </w:r>
      <w:r w:rsidR="00D6287B">
        <w:t xml:space="preserve"> </w:t>
      </w:r>
      <w:r>
        <w:t>the new rates come into force on 8 May 2020. The significant decrease in the underpayment rate from 8.35% to 7.00% will be beneficial for taxpayers that are liable for UOMI but not eligible for the UOMI remission assistance that was recently i</w:t>
      </w:r>
      <w:r w:rsidR="00731DF1">
        <w:t>mplemented</w:t>
      </w:r>
      <w:r w:rsidR="003C2DEB">
        <w:t xml:space="preserve"> as a response to COVID-19</w:t>
      </w:r>
      <w:r w:rsidR="00731DF1">
        <w:t xml:space="preserve">. </w:t>
      </w:r>
    </w:p>
    <w:p w14:paraId="4030DB30" w14:textId="1EE06D5E" w:rsidR="00D42D6D" w:rsidRDefault="00AD2B11" w:rsidP="00134D15">
      <w:pPr>
        <w:pStyle w:val="NumberedParagraph"/>
      </w:pPr>
      <w:r>
        <w:t>If these rate changes occur on 8 May 2020, th</w:t>
      </w:r>
      <w:r w:rsidR="004A7718">
        <w:t xml:space="preserve">ere will be a positive net fiscal impact of $83 million. This comprises </w:t>
      </w:r>
      <w:r w:rsidR="00AC6A79">
        <w:t>a decrease in revenue of $79 million resulting from the changes in</w:t>
      </w:r>
      <w:r w:rsidR="00B95DAF">
        <w:t xml:space="preserve"> interest charges and payment</w:t>
      </w:r>
      <w:r w:rsidR="00084B54">
        <w:t>s</w:t>
      </w:r>
      <w:r w:rsidR="00B95DAF">
        <w:t xml:space="preserve"> due to the rate changes, and a decrease in impairment expenditure of $162 million </w:t>
      </w:r>
      <w:r w:rsidR="00DA7E0E">
        <w:t xml:space="preserve">due to less UOMI debt being written off with a lower underpayment rate. </w:t>
      </w:r>
    </w:p>
    <w:p w14:paraId="2833857B" w14:textId="427AB30C" w:rsidR="00731DF1" w:rsidRDefault="00731DF1" w:rsidP="00134D15">
      <w:pPr>
        <w:pStyle w:val="NumberedParagraph"/>
      </w:pPr>
      <w:r>
        <w:t xml:space="preserve">For the </w:t>
      </w:r>
      <w:r w:rsidR="00375099">
        <w:t>commencement</w:t>
      </w:r>
      <w:r>
        <w:t xml:space="preserve"> date to be 8 May 2020, a </w:t>
      </w:r>
      <w:r w:rsidR="009E5259">
        <w:t xml:space="preserve">Cabinet paper will need to be taken directly to Cabinet on </w:t>
      </w:r>
      <w:r w:rsidR="00106F81">
        <w:t xml:space="preserve">Monday </w:t>
      </w:r>
      <w:r w:rsidR="009E5259">
        <w:t>4 May</w:t>
      </w:r>
      <w:r w:rsidR="00DB4BDC">
        <w:t xml:space="preserve"> 2020</w:t>
      </w:r>
      <w:r w:rsidR="009E5259">
        <w:t>. A draft of this paper is attached</w:t>
      </w:r>
      <w:r w:rsidR="009A6415">
        <w:t xml:space="preserve"> i</w:t>
      </w:r>
      <w:r w:rsidR="00227403">
        <w:t>n case you</w:t>
      </w:r>
      <w:r w:rsidR="009A6415">
        <w:t xml:space="preserve"> want to </w:t>
      </w:r>
      <w:r w:rsidR="00227403">
        <w:t>progress the UOMI rate changes quickly</w:t>
      </w:r>
      <w:r w:rsidR="009E5259">
        <w:t>.</w:t>
      </w:r>
      <w:r w:rsidR="00A56913">
        <w:t xml:space="preserve"> It recommends that Cabinet </w:t>
      </w:r>
      <w:r w:rsidR="003D711E">
        <w:t xml:space="preserve">approve the </w:t>
      </w:r>
      <w:r w:rsidR="008A7971">
        <w:t>Order in Council</w:t>
      </w:r>
      <w:r w:rsidR="009C21CF">
        <w:t xml:space="preserve"> </w:t>
      </w:r>
      <w:r w:rsidR="003D711E">
        <w:t xml:space="preserve">and authorise </w:t>
      </w:r>
      <w:r w:rsidR="00C764A4">
        <w:t>its</w:t>
      </w:r>
      <w:r w:rsidR="003D711E">
        <w:t xml:space="preserve"> submission to the Executive Council.</w:t>
      </w:r>
      <w:r w:rsidR="00512721">
        <w:t xml:space="preserve"> </w:t>
      </w:r>
      <w:r w:rsidR="003D711E">
        <w:t>The paper</w:t>
      </w:r>
      <w:r w:rsidR="00512721">
        <w:t xml:space="preserve"> </w:t>
      </w:r>
      <w:r w:rsidR="000D5A0A">
        <w:t>recommends</w:t>
      </w:r>
      <w:r w:rsidR="00512721">
        <w:t xml:space="preserve"> a waiver of the 28-day rule</w:t>
      </w:r>
      <w:r w:rsidR="0030110E">
        <w:t xml:space="preserve">, which officials </w:t>
      </w:r>
      <w:r w:rsidR="000D5A0A">
        <w:t>consider</w:t>
      </w:r>
      <w:r w:rsidR="0030110E">
        <w:t xml:space="preserve"> to be appropriate for progressing the changes quickly</w:t>
      </w:r>
      <w:r w:rsidR="0045747E">
        <w:t xml:space="preserve"> with regard to COVID-19</w:t>
      </w:r>
      <w:r w:rsidR="0030110E">
        <w:t>.</w:t>
      </w:r>
    </w:p>
    <w:p w14:paraId="67EE2436" w14:textId="4AD11A2A" w:rsidR="00061756" w:rsidRDefault="00061756" w:rsidP="00134D15">
      <w:pPr>
        <w:pStyle w:val="NumberedParagraph"/>
      </w:pPr>
      <w:r>
        <w:t>For the paper to be considered by Cabinet</w:t>
      </w:r>
      <w:r w:rsidR="008D08F1">
        <w:t xml:space="preserve"> at its meeting on</w:t>
      </w:r>
      <w:r w:rsidR="00DB4BDC">
        <w:t xml:space="preserve"> Monday</w:t>
      </w:r>
      <w:r w:rsidR="008D08F1">
        <w:t xml:space="preserve"> 4 May</w:t>
      </w:r>
      <w:r w:rsidR="00DB4BDC">
        <w:t xml:space="preserve"> 2020</w:t>
      </w:r>
      <w:r>
        <w:t xml:space="preserve">, it needs to be lodged </w:t>
      </w:r>
      <w:r w:rsidR="008D08F1">
        <w:t>by 10am</w:t>
      </w:r>
      <w:r w:rsidR="00DB4BDC">
        <w:t>,</w:t>
      </w:r>
      <w:r w:rsidR="008D08F1">
        <w:t xml:space="preserve"> Thursday </w:t>
      </w:r>
      <w:r w:rsidR="00D32352">
        <w:t>30 April</w:t>
      </w:r>
      <w:r w:rsidR="00DB4BDC">
        <w:t xml:space="preserve"> 2020</w:t>
      </w:r>
      <w:r w:rsidR="00D32352">
        <w:t xml:space="preserve">. </w:t>
      </w:r>
    </w:p>
    <w:p w14:paraId="244B7C30" w14:textId="76251A4C" w:rsidR="009E5259" w:rsidRDefault="009E5259" w:rsidP="00134D15">
      <w:pPr>
        <w:pStyle w:val="NumberedParagraph"/>
      </w:pPr>
      <w:r>
        <w:t>If you do not wish to take a paper to Cabinet on 4 May for</w:t>
      </w:r>
      <w:r w:rsidR="00152A42">
        <w:t xml:space="preserve"> </w:t>
      </w:r>
      <w:r w:rsidR="00375099">
        <w:t>commencement</w:t>
      </w:r>
      <w:r w:rsidR="00152A42">
        <w:t xml:space="preserve"> of the </w:t>
      </w:r>
      <w:r w:rsidR="00D10EAD">
        <w:t xml:space="preserve">UOMI rate </w:t>
      </w:r>
      <w:r w:rsidR="00152A42">
        <w:t>changes on 8 May, then we will provide you with a re-drafted Cabinet paper relevant to a</w:t>
      </w:r>
      <w:r w:rsidR="00375099">
        <w:t xml:space="preserve"> commencement</w:t>
      </w:r>
      <w:r w:rsidR="00152A42">
        <w:t xml:space="preserve"> date of 29 August</w:t>
      </w:r>
      <w:r w:rsidR="00434527">
        <w:t xml:space="preserve"> 2020</w:t>
      </w:r>
      <w:r w:rsidR="00152A42">
        <w:t xml:space="preserve"> </w:t>
      </w:r>
      <w:r w:rsidR="003F1FD5">
        <w:t xml:space="preserve">at a later </w:t>
      </w:r>
      <w:r w:rsidR="00F064FE">
        <w:t>point in time</w:t>
      </w:r>
      <w:r w:rsidR="003F1FD5">
        <w:t xml:space="preserve">. </w:t>
      </w:r>
    </w:p>
    <w:p w14:paraId="416027C1" w14:textId="1AD6D367" w:rsidR="00D56A14" w:rsidRDefault="00AC14EE" w:rsidP="00134D15">
      <w:pPr>
        <w:pStyle w:val="NumberedParagraph"/>
      </w:pPr>
      <w:r>
        <w:t>Officials have contact</w:t>
      </w:r>
      <w:r w:rsidR="00873448">
        <w:t>ed the Parliamentary Counsel Office</w:t>
      </w:r>
      <w:r w:rsidR="00BC6B01">
        <w:t xml:space="preserve"> to advise that </w:t>
      </w:r>
      <w:r w:rsidR="00E01420">
        <w:t xml:space="preserve">draft regulations </w:t>
      </w:r>
      <w:r w:rsidR="00BC6B01">
        <w:t>will need to be prepared</w:t>
      </w:r>
      <w:r w:rsidR="00873448">
        <w:t xml:space="preserve"> in case </w:t>
      </w:r>
      <w:r w:rsidR="00662475">
        <w:t>you wish to proceed with taking a paper to Cabinet on 4 May</w:t>
      </w:r>
      <w:r w:rsidR="00BC6B01">
        <w:t xml:space="preserve"> to change the rates of UOMI</w:t>
      </w:r>
      <w:r w:rsidR="00662475">
        <w:t>.</w:t>
      </w:r>
    </w:p>
    <w:p w14:paraId="481315D7" w14:textId="5BB2539E" w:rsidR="00AC14EE" w:rsidRPr="004B3076" w:rsidRDefault="00D32E79" w:rsidP="00134D15">
      <w:pPr>
        <w:pStyle w:val="NumberedParagraph"/>
      </w:pPr>
      <w:r w:rsidRPr="004B3076">
        <w:t>The Treasury has been consulted and agrees with the recommendations in this report, including that a paper changing the rates of UOMI should be taken to Cabinet on 4 May 2020.</w:t>
      </w:r>
    </w:p>
    <w:p w14:paraId="084B74C6" w14:textId="5C6F9CD9" w:rsidR="001D7A9F" w:rsidRPr="00D32E79" w:rsidRDefault="001D7A9F" w:rsidP="001D7A9F">
      <w:pPr>
        <w:pStyle w:val="NumberedParagraph"/>
      </w:pPr>
      <w:r>
        <w:t xml:space="preserve">Officials will liaise with your office regarding a press statement if desired. </w:t>
      </w:r>
    </w:p>
    <w:p w14:paraId="3133D389" w14:textId="5D29A95D" w:rsidR="00E16FCD" w:rsidRDefault="00536B7C" w:rsidP="00134D15">
      <w:pPr>
        <w:pStyle w:val="NumberedParagraph"/>
      </w:pPr>
      <w:r>
        <w:t xml:space="preserve">The Cabinet paper, associated minutes, and key advice papers should be </w:t>
      </w:r>
      <w:r w:rsidR="005C61C5">
        <w:t xml:space="preserve">proactively released with appropriate redactions </w:t>
      </w:r>
      <w:r w:rsidR="00A36CFF">
        <w:t xml:space="preserve">within 30 working days of Cabinet making final decisions. </w:t>
      </w:r>
    </w:p>
    <w:p w14:paraId="06A8D868" w14:textId="63C25495" w:rsidR="00D32E79" w:rsidRDefault="003C2DEB" w:rsidP="00134D15">
      <w:pPr>
        <w:pStyle w:val="NumberedParagraph"/>
      </w:pPr>
      <w:r>
        <w:t xml:space="preserve">A copy of this report should be referred to the Minister of Finance for his information. </w:t>
      </w:r>
    </w:p>
    <w:p w14:paraId="35B70179" w14:textId="77777777" w:rsidR="00811AC6" w:rsidRDefault="00811AC6" w:rsidP="00A2547F">
      <w:pPr>
        <w:pStyle w:val="Heading1"/>
      </w:pPr>
      <w:r>
        <w:t>Recommended action</w:t>
      </w:r>
    </w:p>
    <w:p w14:paraId="5B25845E" w14:textId="77777777" w:rsidR="00811AC6" w:rsidRDefault="00811AC6" w:rsidP="005C6B70">
      <w:r>
        <w:t>We recommend that you:</w:t>
      </w:r>
    </w:p>
    <w:p w14:paraId="4953FDB0" w14:textId="77777777" w:rsidR="00CC36B2" w:rsidRDefault="00CC36B2" w:rsidP="005C6B70"/>
    <w:p w14:paraId="1ABA1035" w14:textId="424A5F18" w:rsidR="00BD13EE" w:rsidRDefault="00BD13EE" w:rsidP="00BD13EE">
      <w:pPr>
        <w:pStyle w:val="NumberedParagraph"/>
      </w:pPr>
      <w:r w:rsidRPr="00CC36B2">
        <w:rPr>
          <w:rStyle w:val="Strong"/>
        </w:rPr>
        <w:t>agree</w:t>
      </w:r>
      <w:r>
        <w:t xml:space="preserve"> t</w:t>
      </w:r>
      <w:r w:rsidR="00174AB4">
        <w:t>hat the rate of UOMI on underpayments of tax be decreased to 7.00% (from 8.35%);</w:t>
      </w:r>
    </w:p>
    <w:p w14:paraId="3A2EED51" w14:textId="79420D7F" w:rsidR="00AB37E0" w:rsidRPr="00AB37E0" w:rsidRDefault="00AB37E0" w:rsidP="00AB37E0">
      <w:pPr>
        <w:pStyle w:val="NumberedParagraph"/>
        <w:numPr>
          <w:ilvl w:val="0"/>
          <w:numId w:val="0"/>
        </w:numPr>
        <w:ind w:left="709"/>
      </w:pPr>
      <w:r>
        <w:rPr>
          <w:rStyle w:val="Strong"/>
          <w:b w:val="0"/>
          <w:bCs w:val="0"/>
        </w:rPr>
        <w:t>Agreed/Not agreed</w:t>
      </w:r>
    </w:p>
    <w:p w14:paraId="1014074F" w14:textId="6354FEA3" w:rsidR="00174AB4" w:rsidRDefault="00174AB4" w:rsidP="00174AB4">
      <w:pPr>
        <w:pStyle w:val="NumberedParagraph"/>
      </w:pPr>
      <w:r w:rsidRPr="00CC36B2">
        <w:rPr>
          <w:rStyle w:val="Strong"/>
        </w:rPr>
        <w:t>agree</w:t>
      </w:r>
      <w:r>
        <w:t xml:space="preserve"> that the rate of UOMI on overpayments of tax be decreased to 0.00% (from 0.81%);</w:t>
      </w:r>
    </w:p>
    <w:p w14:paraId="79DCE9DB" w14:textId="51AC78B7" w:rsidR="00174AB4" w:rsidRPr="00BD13EE" w:rsidRDefault="00AB37E0" w:rsidP="00E53134">
      <w:pPr>
        <w:pStyle w:val="NumberedParagraph"/>
        <w:numPr>
          <w:ilvl w:val="0"/>
          <w:numId w:val="0"/>
        </w:numPr>
        <w:ind w:left="709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Agreed/Not agreed</w:t>
      </w:r>
    </w:p>
    <w:p w14:paraId="36382639" w14:textId="48FADC2B" w:rsidR="00811AC6" w:rsidRDefault="00CC36B2" w:rsidP="00CC36B2">
      <w:pPr>
        <w:pStyle w:val="NumberedParagraph"/>
      </w:pPr>
      <w:r w:rsidRPr="00CC36B2">
        <w:rPr>
          <w:rStyle w:val="Strong"/>
        </w:rPr>
        <w:t>a</w:t>
      </w:r>
      <w:r w:rsidR="00811AC6" w:rsidRPr="00CC36B2">
        <w:rPr>
          <w:rStyle w:val="Strong"/>
        </w:rPr>
        <w:t>gree</w:t>
      </w:r>
      <w:r w:rsidR="00811AC6">
        <w:t xml:space="preserve"> to adopt one of </w:t>
      </w:r>
      <w:r w:rsidR="00B770D9">
        <w:t xml:space="preserve">the following </w:t>
      </w:r>
      <w:r w:rsidR="00375099">
        <w:t>commencement</w:t>
      </w:r>
      <w:r w:rsidR="00B770D9">
        <w:t xml:space="preserve"> dates</w:t>
      </w:r>
      <w:r w:rsidR="00E53134">
        <w:t xml:space="preserve"> for changes to the UOMI rates</w:t>
      </w:r>
      <w:r w:rsidR="00811AC6">
        <w:t>:</w:t>
      </w:r>
    </w:p>
    <w:p w14:paraId="231F3805" w14:textId="5F0869FE" w:rsidR="00811AC6" w:rsidRDefault="00B770D9" w:rsidP="00CC36B2">
      <w:pPr>
        <w:pStyle w:val="NumberedParagraph"/>
        <w:numPr>
          <w:ilvl w:val="1"/>
          <w:numId w:val="11"/>
        </w:numPr>
      </w:pPr>
      <w:r>
        <w:t>8 May 2020</w:t>
      </w:r>
      <w:r w:rsidR="00811AC6">
        <w:t xml:space="preserve"> </w:t>
      </w:r>
      <w:r w:rsidR="00731047">
        <w:t>(Inland Revenue</w:t>
      </w:r>
      <w:r w:rsidR="00811168">
        <w:t>/</w:t>
      </w:r>
      <w:r w:rsidR="00731047">
        <w:t xml:space="preserve">Treasury’s preferred </w:t>
      </w:r>
      <w:r w:rsidR="00375099">
        <w:t>commencement</w:t>
      </w:r>
      <w:r w:rsidR="00731047">
        <w:t xml:space="preserve"> date</w:t>
      </w:r>
      <w:r w:rsidR="00811AC6">
        <w:t xml:space="preserve">); </w:t>
      </w:r>
    </w:p>
    <w:p w14:paraId="7FB4CD16" w14:textId="5DD97E3F" w:rsidR="00811AC6" w:rsidRDefault="00811AC6" w:rsidP="006E31E0">
      <w:pPr>
        <w:pStyle w:val="Decision"/>
      </w:pPr>
      <w:r w:rsidRPr="006E31E0">
        <w:t>Agreed/Not agreed</w:t>
      </w:r>
    </w:p>
    <w:p w14:paraId="25B0C9C6" w14:textId="717D2F14" w:rsidR="0058660D" w:rsidRPr="006E31E0" w:rsidRDefault="0058660D" w:rsidP="006E31E0">
      <w:pPr>
        <w:pStyle w:val="Decision"/>
      </w:pPr>
      <w:r>
        <w:t>OR</w:t>
      </w:r>
    </w:p>
    <w:p w14:paraId="562CCAD0" w14:textId="429012C0" w:rsidR="00811AC6" w:rsidRDefault="00731047" w:rsidP="00CC36B2">
      <w:pPr>
        <w:pStyle w:val="NumberedParagraph"/>
        <w:numPr>
          <w:ilvl w:val="1"/>
          <w:numId w:val="11"/>
        </w:numPr>
      </w:pPr>
      <w:r>
        <w:t>29 August</w:t>
      </w:r>
      <w:r w:rsidR="00811AC6">
        <w:t xml:space="preserve"> 2</w:t>
      </w:r>
      <w:r>
        <w:t>020</w:t>
      </w:r>
      <w:r w:rsidR="00735981">
        <w:t>.</w:t>
      </w:r>
    </w:p>
    <w:p w14:paraId="0F6D774A" w14:textId="77777777" w:rsidR="00811AC6" w:rsidRDefault="00811AC6" w:rsidP="006E31E0">
      <w:pPr>
        <w:pStyle w:val="Decision"/>
      </w:pPr>
      <w:r>
        <w:t>Agreed/Not agreed</w:t>
      </w:r>
    </w:p>
    <w:p w14:paraId="653023AC" w14:textId="49F598A1" w:rsidR="00811AC6" w:rsidRDefault="00CE2CA6" w:rsidP="00CC36B2">
      <w:pPr>
        <w:pStyle w:val="NumberedParagraph"/>
      </w:pPr>
      <w:r>
        <w:rPr>
          <w:rStyle w:val="Strong"/>
        </w:rPr>
        <w:t>note</w:t>
      </w:r>
      <w:r w:rsidR="00811AC6">
        <w:t xml:space="preserve"> </w:t>
      </w:r>
      <w:r>
        <w:t xml:space="preserve">that agreeing to a </w:t>
      </w:r>
      <w:r w:rsidR="00800EC5">
        <w:t>commencement</w:t>
      </w:r>
      <w:r>
        <w:t xml:space="preserve"> date of 8 May 2020 will require you to take a paper to Cabinet on 4 May 2020 </w:t>
      </w:r>
      <w:r w:rsidR="00C47AF6">
        <w:t>that recommends changing the rates of UOMI</w:t>
      </w:r>
      <w:r w:rsidR="00247909">
        <w:t>;</w:t>
      </w:r>
    </w:p>
    <w:p w14:paraId="02D564E4" w14:textId="7DA53456" w:rsidR="00811AC6" w:rsidRDefault="00C47AF6" w:rsidP="006E31E0">
      <w:pPr>
        <w:pStyle w:val="Decision"/>
      </w:pPr>
      <w:r>
        <w:t>Noted</w:t>
      </w:r>
    </w:p>
    <w:p w14:paraId="51CAB16D" w14:textId="2AC416F8" w:rsidR="00B23C9D" w:rsidRPr="002C4BC7" w:rsidRDefault="00415663" w:rsidP="00B23C9D">
      <w:pPr>
        <w:pStyle w:val="NumberedParagraph"/>
        <w:rPr>
          <w:rStyle w:val="Strong"/>
          <w:b w:val="0"/>
          <w:bCs w:val="0"/>
        </w:rPr>
      </w:pPr>
      <w:r>
        <w:rPr>
          <w:rStyle w:val="Strong"/>
        </w:rPr>
        <w:t>note</w:t>
      </w:r>
      <w:r w:rsidR="00B23C9D">
        <w:rPr>
          <w:rStyle w:val="Strong"/>
          <w:b w:val="0"/>
          <w:bCs w:val="0"/>
        </w:rPr>
        <w:t xml:space="preserve"> t</w:t>
      </w:r>
      <w:r w:rsidR="00862D83">
        <w:rPr>
          <w:rStyle w:val="Strong"/>
          <w:b w:val="0"/>
          <w:bCs w:val="0"/>
        </w:rPr>
        <w:t xml:space="preserve">hat agreeing to a </w:t>
      </w:r>
      <w:r w:rsidR="00800EC5">
        <w:rPr>
          <w:rStyle w:val="Strong"/>
          <w:b w:val="0"/>
          <w:bCs w:val="0"/>
        </w:rPr>
        <w:t>commencement</w:t>
      </w:r>
      <w:r w:rsidR="00862D83">
        <w:rPr>
          <w:rStyle w:val="Strong"/>
          <w:b w:val="0"/>
          <w:bCs w:val="0"/>
        </w:rPr>
        <w:t xml:space="preserve"> date of 8 May 2020 will require you to seek a waiver of the 28-day rule </w:t>
      </w:r>
      <w:r w:rsidR="00451A0E">
        <w:rPr>
          <w:rStyle w:val="Strong"/>
          <w:b w:val="0"/>
          <w:bCs w:val="0"/>
        </w:rPr>
        <w:t>in the paper to be taken to Cabinet on 4 May 2020</w:t>
      </w:r>
      <w:r w:rsidR="00B23C9D">
        <w:rPr>
          <w:rStyle w:val="Strong"/>
          <w:b w:val="0"/>
          <w:bCs w:val="0"/>
        </w:rPr>
        <w:t>;</w:t>
      </w:r>
    </w:p>
    <w:p w14:paraId="45D5CFD6" w14:textId="29A19B5A" w:rsidR="00B23C9D" w:rsidRDefault="00C12C09" w:rsidP="00B23C9D">
      <w:pPr>
        <w:pStyle w:val="NumberedParagraph"/>
        <w:numPr>
          <w:ilvl w:val="0"/>
          <w:numId w:val="0"/>
        </w:numPr>
        <w:ind w:left="709"/>
      </w:pPr>
      <w:r>
        <w:rPr>
          <w:rStyle w:val="Strong"/>
          <w:b w:val="0"/>
          <w:bCs w:val="0"/>
        </w:rPr>
        <w:t>Noted</w:t>
      </w:r>
    </w:p>
    <w:p w14:paraId="4F8C256A" w14:textId="5BC3151E" w:rsidR="00811AC6" w:rsidRDefault="00247909" w:rsidP="00CC36B2">
      <w:pPr>
        <w:pStyle w:val="NumberedParagraph"/>
      </w:pPr>
      <w:r w:rsidRPr="00247909">
        <w:rPr>
          <w:rStyle w:val="Strong"/>
        </w:rPr>
        <w:t>n</w:t>
      </w:r>
      <w:r w:rsidR="00811AC6" w:rsidRPr="00247909">
        <w:rPr>
          <w:rStyle w:val="Strong"/>
        </w:rPr>
        <w:t>ote</w:t>
      </w:r>
      <w:r w:rsidR="00811AC6">
        <w:t xml:space="preserve"> that </w:t>
      </w:r>
      <w:r w:rsidR="00985760">
        <w:t xml:space="preserve">agreeing to recommendations </w:t>
      </w:r>
      <w:r w:rsidR="00985760" w:rsidRPr="004B3076">
        <w:t>1</w:t>
      </w:r>
      <w:r w:rsidR="004D2F7F">
        <w:t>4</w:t>
      </w:r>
      <w:r w:rsidR="00985760" w:rsidRPr="004B3076">
        <w:t>, 1</w:t>
      </w:r>
      <w:r w:rsidR="004D2F7F">
        <w:t>5</w:t>
      </w:r>
      <w:r w:rsidR="00985760" w:rsidRPr="004B3076">
        <w:t>, and 1</w:t>
      </w:r>
      <w:r w:rsidR="004D2F7F">
        <w:t>6</w:t>
      </w:r>
      <w:r w:rsidR="00985760" w:rsidRPr="004B3076">
        <w:t>.1</w:t>
      </w:r>
      <w:r w:rsidR="00985760">
        <w:t xml:space="preserve"> </w:t>
      </w:r>
      <w:r w:rsidR="00CC5756">
        <w:t xml:space="preserve">(for an effective date of 8 May 2020) </w:t>
      </w:r>
      <w:r w:rsidR="00C54459">
        <w:t>is expected to have the following impact on tax revenue</w:t>
      </w:r>
      <w:r w:rsidR="00330515">
        <w:t xml:space="preserve"> </w:t>
      </w:r>
      <w:r w:rsidR="00330515" w:rsidRPr="0098405F">
        <w:t>and impairment expenditure</w:t>
      </w:r>
      <w:r w:rsidR="005A20D3">
        <w:t>,</w:t>
      </w:r>
      <w:r w:rsidR="00330515">
        <w:t xml:space="preserve"> </w:t>
      </w:r>
      <w:r w:rsidR="00D16102">
        <w:t xml:space="preserve">with a </w:t>
      </w:r>
      <w:r w:rsidR="00EE1B89">
        <w:t xml:space="preserve">positive </w:t>
      </w:r>
      <w:r w:rsidR="00D16102">
        <w:t xml:space="preserve">net </w:t>
      </w:r>
      <w:r w:rsidR="00EE1B89">
        <w:t>revenue impact of $83 million over the forecast period,</w:t>
      </w:r>
      <w:r w:rsidR="00D16102">
        <w:t xml:space="preserve"> </w:t>
      </w:r>
      <w:r w:rsidR="00B65648">
        <w:t>comprising a decrease in revenue of $79 million (first table) and a decrease in impairment expenditure of $162 million (second table)</w:t>
      </w:r>
      <w:r w:rsidR="002B3290">
        <w:t>:</w:t>
      </w:r>
    </w:p>
    <w:tbl>
      <w:tblPr>
        <w:tblStyle w:val="TableGrid1"/>
        <w:tblW w:w="8505" w:type="dxa"/>
        <w:tblInd w:w="567" w:type="dxa"/>
        <w:tblLook w:val="04A0" w:firstRow="1" w:lastRow="0" w:firstColumn="1" w:lastColumn="0" w:noHBand="0" w:noVBand="1"/>
      </w:tblPr>
      <w:tblGrid>
        <w:gridCol w:w="1829"/>
        <w:gridCol w:w="1230"/>
        <w:gridCol w:w="1336"/>
        <w:gridCol w:w="1275"/>
        <w:gridCol w:w="1276"/>
        <w:gridCol w:w="1559"/>
      </w:tblGrid>
      <w:tr w:rsidR="004F169F" w:rsidRPr="00E63639" w14:paraId="1D6B6F77" w14:textId="77777777" w:rsidTr="00A13070">
        <w:tc>
          <w:tcPr>
            <w:tcW w:w="1829" w:type="dxa"/>
            <w:tcBorders>
              <w:top w:val="nil"/>
              <w:left w:val="nil"/>
            </w:tcBorders>
          </w:tcPr>
          <w:p w14:paraId="42B2DD7F" w14:textId="77777777" w:rsidR="004F169F" w:rsidRPr="00E27349" w:rsidRDefault="004F169F" w:rsidP="004F169F">
            <w:pPr>
              <w:pStyle w:val="NumberedParagraph"/>
              <w:numPr>
                <w:ilvl w:val="0"/>
                <w:numId w:val="0"/>
              </w:numPr>
              <w:ind w:left="709"/>
            </w:pPr>
          </w:p>
        </w:tc>
        <w:tc>
          <w:tcPr>
            <w:tcW w:w="1230" w:type="dxa"/>
          </w:tcPr>
          <w:p w14:paraId="62E82FC5" w14:textId="77777777" w:rsidR="004F169F" w:rsidRPr="00E27349" w:rsidRDefault="004F169F" w:rsidP="001815D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87" w:type="dxa"/>
            <w:gridSpan w:val="3"/>
          </w:tcPr>
          <w:p w14:paraId="007D8238" w14:textId="22E9291F" w:rsidR="004F169F" w:rsidRPr="00E27349" w:rsidRDefault="004F169F" w:rsidP="001815D8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$ millions increase (decrease)</w:t>
            </w:r>
          </w:p>
        </w:tc>
        <w:tc>
          <w:tcPr>
            <w:tcW w:w="1559" w:type="dxa"/>
          </w:tcPr>
          <w:p w14:paraId="69F9562A" w14:textId="77777777" w:rsidR="004F169F" w:rsidRPr="00E27349" w:rsidRDefault="004F169F" w:rsidP="001815D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4F169F" w:rsidRPr="00E63639" w14:paraId="1520A507" w14:textId="77777777" w:rsidTr="00A13070">
        <w:tc>
          <w:tcPr>
            <w:tcW w:w="1829" w:type="dxa"/>
          </w:tcPr>
          <w:p w14:paraId="3D9FDDE1" w14:textId="77777777" w:rsidR="004F169F" w:rsidRPr="00E27349" w:rsidRDefault="004F169F" w:rsidP="001815D8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Vote Revenue</w:t>
            </w:r>
          </w:p>
          <w:p w14:paraId="390FDCAD" w14:textId="77777777" w:rsidR="004F169F" w:rsidRPr="00E27349" w:rsidRDefault="004F169F" w:rsidP="001815D8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Minister of Revenue</w:t>
            </w:r>
          </w:p>
        </w:tc>
        <w:tc>
          <w:tcPr>
            <w:tcW w:w="1230" w:type="dxa"/>
          </w:tcPr>
          <w:p w14:paraId="3091ADD1" w14:textId="4CDA79CB" w:rsidR="004F169F" w:rsidRPr="00A13070" w:rsidRDefault="004F169F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201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9</w:t>
            </w:r>
            <w:r w:rsidRPr="00A13070">
              <w:rPr>
                <w:rFonts w:ascii="Verdana" w:hAnsi="Verdana"/>
                <w:b/>
                <w:bCs/>
                <w:sz w:val="20"/>
              </w:rPr>
              <w:t>/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20</w:t>
            </w:r>
          </w:p>
        </w:tc>
        <w:tc>
          <w:tcPr>
            <w:tcW w:w="1336" w:type="dxa"/>
          </w:tcPr>
          <w:p w14:paraId="5FC60404" w14:textId="13FB16A1" w:rsidR="004F169F" w:rsidRPr="00A13070" w:rsidRDefault="004F169F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20</w:t>
            </w:r>
            <w:r w:rsidRPr="00A13070">
              <w:rPr>
                <w:rFonts w:ascii="Verdana" w:hAnsi="Verdana"/>
                <w:b/>
                <w:bCs/>
                <w:sz w:val="20"/>
              </w:rPr>
              <w:t>/2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1275" w:type="dxa"/>
          </w:tcPr>
          <w:p w14:paraId="4A94E62B" w14:textId="3D934BF8" w:rsidR="004F169F" w:rsidRPr="00A13070" w:rsidRDefault="004F169F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1</w:t>
            </w:r>
            <w:r w:rsidRPr="00A13070">
              <w:rPr>
                <w:rFonts w:ascii="Verdana" w:hAnsi="Verdana"/>
                <w:b/>
                <w:bCs/>
                <w:sz w:val="20"/>
              </w:rPr>
              <w:t>/2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1276" w:type="dxa"/>
          </w:tcPr>
          <w:p w14:paraId="4D4EDBDB" w14:textId="1213F292" w:rsidR="004F169F" w:rsidRPr="00A13070" w:rsidRDefault="004F169F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2</w:t>
            </w:r>
            <w:r w:rsidRPr="00A13070">
              <w:rPr>
                <w:rFonts w:ascii="Verdana" w:hAnsi="Verdana"/>
                <w:b/>
                <w:bCs/>
                <w:sz w:val="20"/>
              </w:rPr>
              <w:t>/2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1559" w:type="dxa"/>
          </w:tcPr>
          <w:p w14:paraId="65555166" w14:textId="2E34B444" w:rsidR="004F169F" w:rsidRPr="00A13070" w:rsidRDefault="004F169F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3</w:t>
            </w:r>
            <w:r w:rsidRPr="00A13070">
              <w:rPr>
                <w:rFonts w:ascii="Verdana" w:hAnsi="Verdana"/>
                <w:b/>
                <w:bCs/>
                <w:sz w:val="20"/>
              </w:rPr>
              <w:t>/2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4</w:t>
            </w:r>
            <w:r w:rsidRPr="00A13070">
              <w:rPr>
                <w:rFonts w:ascii="Verdana" w:hAnsi="Verdana"/>
                <w:b/>
                <w:bCs/>
                <w:sz w:val="20"/>
              </w:rPr>
              <w:t xml:space="preserve"> &amp; </w:t>
            </w:r>
            <w:r w:rsidR="0002025E" w:rsidRPr="00A13070">
              <w:rPr>
                <w:rFonts w:ascii="Verdana" w:hAnsi="Verdana"/>
                <w:b/>
                <w:bCs/>
                <w:sz w:val="20"/>
              </w:rPr>
              <w:t>o</w:t>
            </w:r>
            <w:r w:rsidRPr="00A13070">
              <w:rPr>
                <w:rFonts w:ascii="Verdana" w:hAnsi="Verdana"/>
                <w:b/>
                <w:bCs/>
                <w:sz w:val="20"/>
              </w:rPr>
              <w:t>utyears</w:t>
            </w:r>
          </w:p>
        </w:tc>
      </w:tr>
      <w:tr w:rsidR="004F169F" w:rsidRPr="00E63639" w14:paraId="48E09E6E" w14:textId="77777777" w:rsidTr="00A13070">
        <w:tc>
          <w:tcPr>
            <w:tcW w:w="1829" w:type="dxa"/>
          </w:tcPr>
          <w:p w14:paraId="2067B165" w14:textId="77777777" w:rsidR="004F169F" w:rsidRPr="00E27349" w:rsidRDefault="004F169F" w:rsidP="001815D8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sz w:val="20"/>
              </w:rPr>
              <w:t xml:space="preserve">Crown Revenue and Receipts: </w:t>
            </w:r>
          </w:p>
          <w:p w14:paraId="450D3DD7" w14:textId="77777777" w:rsidR="004F169F" w:rsidRPr="00E27349" w:rsidRDefault="004F169F" w:rsidP="001815D8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sz w:val="20"/>
              </w:rPr>
              <w:t>Tax Revenue</w:t>
            </w:r>
          </w:p>
        </w:tc>
        <w:tc>
          <w:tcPr>
            <w:tcW w:w="1230" w:type="dxa"/>
          </w:tcPr>
          <w:p w14:paraId="280A4C41" w14:textId="46612B72" w:rsidR="004F169F" w:rsidRPr="00DC6E45" w:rsidRDefault="0028577E" w:rsidP="001815D8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 w:rsidR="00DC6E45">
              <w:rPr>
                <w:rFonts w:ascii="Verdana" w:hAnsi="Verdana"/>
                <w:sz w:val="20"/>
              </w:rPr>
              <w:t>3.000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36" w:type="dxa"/>
          </w:tcPr>
          <w:p w14:paraId="2E1C29B7" w14:textId="0B2C7CAC" w:rsidR="004F169F" w:rsidRPr="00DC6E45" w:rsidRDefault="0028577E" w:rsidP="001815D8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 w:rsidR="00DC6E45"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5" w:type="dxa"/>
          </w:tcPr>
          <w:p w14:paraId="09790BA1" w14:textId="22985EE4" w:rsidR="004F169F" w:rsidRPr="00DC6E45" w:rsidRDefault="0028577E" w:rsidP="001815D8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 w:rsidR="00DC6E45"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6" w:type="dxa"/>
          </w:tcPr>
          <w:p w14:paraId="03BFD12B" w14:textId="1770B739" w:rsidR="004F169F" w:rsidRPr="00DC6E45" w:rsidRDefault="0028577E" w:rsidP="001815D8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 w:rsidR="00DC6E45"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59" w:type="dxa"/>
          </w:tcPr>
          <w:p w14:paraId="70C82281" w14:textId="0202DF60" w:rsidR="004F169F" w:rsidRPr="00DC6E45" w:rsidRDefault="0028577E" w:rsidP="001815D8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 w:rsidR="00DC6E45"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</w:tr>
      <w:tr w:rsidR="004F169F" w:rsidRPr="00E63639" w14:paraId="2BEE67CF" w14:textId="77777777" w:rsidTr="00A13070">
        <w:tc>
          <w:tcPr>
            <w:tcW w:w="1829" w:type="dxa"/>
          </w:tcPr>
          <w:p w14:paraId="6C2ACDA1" w14:textId="77777777" w:rsidR="004F169F" w:rsidRPr="00E27349" w:rsidRDefault="004F169F" w:rsidP="001815D8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Total Operating</w:t>
            </w:r>
          </w:p>
        </w:tc>
        <w:tc>
          <w:tcPr>
            <w:tcW w:w="1230" w:type="dxa"/>
          </w:tcPr>
          <w:p w14:paraId="411F9A5D" w14:textId="52948B1B" w:rsidR="004F169F" w:rsidRPr="00DC6E45" w:rsidRDefault="00DC6E45" w:rsidP="001815D8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3.000</w:t>
            </w:r>
          </w:p>
        </w:tc>
        <w:tc>
          <w:tcPr>
            <w:tcW w:w="1336" w:type="dxa"/>
          </w:tcPr>
          <w:p w14:paraId="7471CBCE" w14:textId="7DDC4F5C" w:rsidR="004F169F" w:rsidRPr="00E27349" w:rsidRDefault="00DC6E45" w:rsidP="001815D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275" w:type="dxa"/>
          </w:tcPr>
          <w:p w14:paraId="4CA49EDD" w14:textId="0C116287" w:rsidR="004F169F" w:rsidRPr="00E27349" w:rsidRDefault="00DC6E45" w:rsidP="001815D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276" w:type="dxa"/>
          </w:tcPr>
          <w:p w14:paraId="626F5608" w14:textId="26AFC2B8" w:rsidR="004F169F" w:rsidRPr="00E27349" w:rsidRDefault="00DC6E45" w:rsidP="001815D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559" w:type="dxa"/>
          </w:tcPr>
          <w:p w14:paraId="64445143" w14:textId="75828490" w:rsidR="004F169F" w:rsidRPr="00E27349" w:rsidRDefault="00DC6E45" w:rsidP="001815D8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</w:tr>
    </w:tbl>
    <w:p w14:paraId="74113C53" w14:textId="77777777" w:rsidR="004F169F" w:rsidRDefault="004F169F" w:rsidP="004F169F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75"/>
        <w:gridCol w:w="1208"/>
        <w:gridCol w:w="1334"/>
        <w:gridCol w:w="1261"/>
        <w:gridCol w:w="1268"/>
        <w:gridCol w:w="1552"/>
      </w:tblGrid>
      <w:tr w:rsidR="0002025E" w:rsidRPr="00E63639" w14:paraId="22BB5497" w14:textId="77777777" w:rsidTr="00A13070">
        <w:tc>
          <w:tcPr>
            <w:tcW w:w="1875" w:type="dxa"/>
            <w:tcBorders>
              <w:top w:val="nil"/>
              <w:left w:val="nil"/>
            </w:tcBorders>
          </w:tcPr>
          <w:p w14:paraId="54442AF8" w14:textId="77777777" w:rsidR="004F169F" w:rsidRPr="00E63639" w:rsidRDefault="004F169F" w:rsidP="001815D8">
            <w:pPr>
              <w:rPr>
                <w:sz w:val="20"/>
              </w:rPr>
            </w:pPr>
          </w:p>
        </w:tc>
        <w:tc>
          <w:tcPr>
            <w:tcW w:w="1208" w:type="dxa"/>
          </w:tcPr>
          <w:p w14:paraId="56315ECF" w14:textId="77777777" w:rsidR="004F169F" w:rsidRPr="00E63639" w:rsidRDefault="004F169F" w:rsidP="001815D8">
            <w:pPr>
              <w:rPr>
                <w:b/>
                <w:sz w:val="20"/>
              </w:rPr>
            </w:pPr>
          </w:p>
        </w:tc>
        <w:tc>
          <w:tcPr>
            <w:tcW w:w="3863" w:type="dxa"/>
            <w:gridSpan w:val="3"/>
          </w:tcPr>
          <w:p w14:paraId="3F0F088F" w14:textId="618CCA43" w:rsidR="004F169F" w:rsidRPr="00E63639" w:rsidRDefault="004F169F" w:rsidP="001815D8">
            <w:pPr>
              <w:rPr>
                <w:b/>
                <w:sz w:val="20"/>
              </w:rPr>
            </w:pPr>
            <w:r w:rsidRPr="00E63639">
              <w:rPr>
                <w:b/>
                <w:sz w:val="20"/>
              </w:rPr>
              <w:t>$ millions increase</w:t>
            </w:r>
            <w:r w:rsidR="00664CAF">
              <w:rPr>
                <w:b/>
                <w:sz w:val="20"/>
              </w:rPr>
              <w:t xml:space="preserve"> </w:t>
            </w:r>
            <w:r w:rsidRPr="00E63639">
              <w:rPr>
                <w:b/>
                <w:sz w:val="20"/>
              </w:rPr>
              <w:t>(decrease)</w:t>
            </w:r>
          </w:p>
        </w:tc>
        <w:tc>
          <w:tcPr>
            <w:tcW w:w="1552" w:type="dxa"/>
          </w:tcPr>
          <w:p w14:paraId="3EC83C3A" w14:textId="77777777" w:rsidR="004F169F" w:rsidRPr="00E63639" w:rsidRDefault="004F169F" w:rsidP="001815D8">
            <w:pPr>
              <w:rPr>
                <w:b/>
                <w:sz w:val="20"/>
              </w:rPr>
            </w:pPr>
          </w:p>
        </w:tc>
      </w:tr>
      <w:tr w:rsidR="0002025E" w:rsidRPr="00E63639" w14:paraId="58930898" w14:textId="77777777" w:rsidTr="00A13070">
        <w:tc>
          <w:tcPr>
            <w:tcW w:w="1875" w:type="dxa"/>
          </w:tcPr>
          <w:p w14:paraId="07A8DE54" w14:textId="77777777" w:rsidR="004F169F" w:rsidRPr="00E63639" w:rsidRDefault="004F169F" w:rsidP="001815D8">
            <w:pPr>
              <w:rPr>
                <w:b/>
                <w:sz w:val="20"/>
              </w:rPr>
            </w:pPr>
            <w:r w:rsidRPr="00E63639">
              <w:rPr>
                <w:b/>
                <w:sz w:val="20"/>
              </w:rPr>
              <w:t>Vote Revenue</w:t>
            </w:r>
          </w:p>
          <w:p w14:paraId="7465FC34" w14:textId="77777777" w:rsidR="004F169F" w:rsidRPr="00E63639" w:rsidRDefault="004F169F" w:rsidP="001815D8">
            <w:pPr>
              <w:rPr>
                <w:sz w:val="20"/>
              </w:rPr>
            </w:pPr>
            <w:r w:rsidRPr="00E63639">
              <w:rPr>
                <w:b/>
                <w:sz w:val="20"/>
              </w:rPr>
              <w:t>Minister of Revenue</w:t>
            </w:r>
          </w:p>
        </w:tc>
        <w:tc>
          <w:tcPr>
            <w:tcW w:w="1208" w:type="dxa"/>
          </w:tcPr>
          <w:p w14:paraId="07893FDE" w14:textId="372C34AA" w:rsidR="004F169F" w:rsidRPr="00A13070" w:rsidRDefault="004F169F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201</w:t>
            </w:r>
            <w:r w:rsidR="0002025E" w:rsidRPr="00A13070">
              <w:rPr>
                <w:b/>
                <w:bCs/>
                <w:sz w:val="20"/>
              </w:rPr>
              <w:t>9</w:t>
            </w:r>
            <w:r w:rsidRPr="00A13070">
              <w:rPr>
                <w:b/>
                <w:bCs/>
                <w:sz w:val="20"/>
              </w:rPr>
              <w:t>/</w:t>
            </w:r>
            <w:r w:rsidR="0002025E" w:rsidRPr="00A13070">
              <w:rPr>
                <w:b/>
                <w:bCs/>
                <w:sz w:val="20"/>
              </w:rPr>
              <w:t>20</w:t>
            </w:r>
          </w:p>
        </w:tc>
        <w:tc>
          <w:tcPr>
            <w:tcW w:w="1334" w:type="dxa"/>
          </w:tcPr>
          <w:p w14:paraId="3763ED8F" w14:textId="7D73B185" w:rsidR="004F169F" w:rsidRPr="00A13070" w:rsidRDefault="004F169F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</w:t>
            </w:r>
            <w:r w:rsidR="0002025E" w:rsidRPr="00A13070">
              <w:rPr>
                <w:b/>
                <w:bCs/>
                <w:sz w:val="20"/>
              </w:rPr>
              <w:t>20</w:t>
            </w:r>
            <w:r w:rsidRPr="00A13070">
              <w:rPr>
                <w:b/>
                <w:bCs/>
                <w:sz w:val="20"/>
              </w:rPr>
              <w:t>/2</w:t>
            </w:r>
            <w:r w:rsidR="0002025E" w:rsidRPr="00A13070">
              <w:rPr>
                <w:b/>
                <w:bCs/>
                <w:sz w:val="20"/>
              </w:rPr>
              <w:t>1</w:t>
            </w:r>
          </w:p>
        </w:tc>
        <w:tc>
          <w:tcPr>
            <w:tcW w:w="1261" w:type="dxa"/>
          </w:tcPr>
          <w:p w14:paraId="0F9D4C7C" w14:textId="11F705A8" w:rsidR="004F169F" w:rsidRPr="00A13070" w:rsidRDefault="004F169F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</w:t>
            </w:r>
            <w:r w:rsidR="0002025E" w:rsidRPr="00A13070">
              <w:rPr>
                <w:b/>
                <w:bCs/>
                <w:sz w:val="20"/>
              </w:rPr>
              <w:t>1</w:t>
            </w:r>
            <w:r w:rsidRPr="00A13070">
              <w:rPr>
                <w:b/>
                <w:bCs/>
                <w:sz w:val="20"/>
              </w:rPr>
              <w:t>/2</w:t>
            </w:r>
            <w:r w:rsidR="0002025E" w:rsidRPr="00A13070">
              <w:rPr>
                <w:b/>
                <w:bCs/>
                <w:sz w:val="20"/>
              </w:rPr>
              <w:t>2</w:t>
            </w:r>
          </w:p>
        </w:tc>
        <w:tc>
          <w:tcPr>
            <w:tcW w:w="1268" w:type="dxa"/>
          </w:tcPr>
          <w:p w14:paraId="208BFA1B" w14:textId="0DD6D728" w:rsidR="004F169F" w:rsidRPr="00A13070" w:rsidRDefault="004F169F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</w:t>
            </w:r>
            <w:r w:rsidR="0002025E" w:rsidRPr="00A13070">
              <w:rPr>
                <w:b/>
                <w:bCs/>
                <w:sz w:val="20"/>
              </w:rPr>
              <w:t>2</w:t>
            </w:r>
            <w:r w:rsidRPr="00A13070">
              <w:rPr>
                <w:b/>
                <w:bCs/>
                <w:sz w:val="20"/>
              </w:rPr>
              <w:t>/2</w:t>
            </w:r>
            <w:r w:rsidR="0002025E" w:rsidRPr="00A13070">
              <w:rPr>
                <w:b/>
                <w:bCs/>
                <w:sz w:val="20"/>
              </w:rPr>
              <w:t>3</w:t>
            </w:r>
            <w:r w:rsidRPr="00A1307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52" w:type="dxa"/>
          </w:tcPr>
          <w:p w14:paraId="3506951B" w14:textId="1E561624" w:rsidR="004F169F" w:rsidRPr="00A13070" w:rsidRDefault="004F169F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</w:t>
            </w:r>
            <w:r w:rsidR="0002025E" w:rsidRPr="00A13070">
              <w:rPr>
                <w:b/>
                <w:bCs/>
                <w:sz w:val="20"/>
              </w:rPr>
              <w:t>3</w:t>
            </w:r>
            <w:r w:rsidRPr="00A13070">
              <w:rPr>
                <w:b/>
                <w:bCs/>
                <w:sz w:val="20"/>
              </w:rPr>
              <w:t>/2</w:t>
            </w:r>
            <w:r w:rsidR="0002025E" w:rsidRPr="00A13070">
              <w:rPr>
                <w:b/>
                <w:bCs/>
                <w:sz w:val="20"/>
              </w:rPr>
              <w:t>4</w:t>
            </w:r>
            <w:r w:rsidRPr="00A13070">
              <w:rPr>
                <w:b/>
                <w:bCs/>
                <w:sz w:val="20"/>
              </w:rPr>
              <w:t xml:space="preserve"> &amp; </w:t>
            </w:r>
            <w:r w:rsidR="0002025E" w:rsidRPr="00A13070">
              <w:rPr>
                <w:b/>
                <w:bCs/>
                <w:sz w:val="20"/>
              </w:rPr>
              <w:t>o</w:t>
            </w:r>
            <w:r w:rsidRPr="00A13070">
              <w:rPr>
                <w:b/>
                <w:bCs/>
                <w:sz w:val="20"/>
              </w:rPr>
              <w:t>utyears</w:t>
            </w:r>
          </w:p>
        </w:tc>
      </w:tr>
      <w:tr w:rsidR="0002025E" w:rsidRPr="00E63639" w14:paraId="05A48307" w14:textId="77777777" w:rsidTr="00A13070">
        <w:tc>
          <w:tcPr>
            <w:tcW w:w="1875" w:type="dxa"/>
          </w:tcPr>
          <w:p w14:paraId="1BBD9C9E" w14:textId="77777777" w:rsidR="004F169F" w:rsidRPr="00E63639" w:rsidRDefault="004F169F" w:rsidP="001815D8">
            <w:pPr>
              <w:rPr>
                <w:sz w:val="20"/>
              </w:rPr>
            </w:pPr>
            <w:r w:rsidRPr="00E63639">
              <w:rPr>
                <w:sz w:val="20"/>
              </w:rPr>
              <w:t>Non-Departmental Other Expense: Impairment of debt and debt write-offs</w:t>
            </w:r>
            <w:r>
              <w:rPr>
                <w:sz w:val="20"/>
              </w:rPr>
              <w:t xml:space="preserve"> (funded by Revenue Crown)</w:t>
            </w:r>
          </w:p>
        </w:tc>
        <w:tc>
          <w:tcPr>
            <w:tcW w:w="1208" w:type="dxa"/>
          </w:tcPr>
          <w:p w14:paraId="542E145E" w14:textId="70D62F5F" w:rsidR="004F169F" w:rsidRPr="003C6504" w:rsidRDefault="003C6504" w:rsidP="001815D8">
            <w:pPr>
              <w:rPr>
                <w:sz w:val="20"/>
              </w:rPr>
            </w:pPr>
            <w:r w:rsidRPr="003C6504">
              <w:rPr>
                <w:sz w:val="20"/>
              </w:rPr>
              <w:t>(6.000)</w:t>
            </w:r>
          </w:p>
        </w:tc>
        <w:tc>
          <w:tcPr>
            <w:tcW w:w="1334" w:type="dxa"/>
          </w:tcPr>
          <w:p w14:paraId="06D0321E" w14:textId="063E3866" w:rsidR="004F169F" w:rsidRPr="003C6504" w:rsidRDefault="003C6504" w:rsidP="001815D8">
            <w:pPr>
              <w:rPr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261" w:type="dxa"/>
          </w:tcPr>
          <w:p w14:paraId="7C1F65D0" w14:textId="4839124D" w:rsidR="004F169F" w:rsidRPr="003C6504" w:rsidRDefault="003C6504" w:rsidP="001815D8">
            <w:pPr>
              <w:rPr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268" w:type="dxa"/>
          </w:tcPr>
          <w:p w14:paraId="5B91D040" w14:textId="661AFC50" w:rsidR="004F169F" w:rsidRPr="003C6504" w:rsidRDefault="003C6504" w:rsidP="001815D8">
            <w:pPr>
              <w:rPr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552" w:type="dxa"/>
          </w:tcPr>
          <w:p w14:paraId="03EF127A" w14:textId="2EA12A7D" w:rsidR="004F169F" w:rsidRPr="003C6504" w:rsidRDefault="003C6504" w:rsidP="001815D8">
            <w:pPr>
              <w:rPr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</w:tr>
      <w:tr w:rsidR="003C6504" w:rsidRPr="00E63639" w14:paraId="4E751CFC" w14:textId="77777777" w:rsidTr="00A13070">
        <w:tc>
          <w:tcPr>
            <w:tcW w:w="1875" w:type="dxa"/>
          </w:tcPr>
          <w:p w14:paraId="13435992" w14:textId="77777777" w:rsidR="003C6504" w:rsidRPr="00E103D4" w:rsidRDefault="003C6504" w:rsidP="003C65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Operating</w:t>
            </w:r>
          </w:p>
        </w:tc>
        <w:tc>
          <w:tcPr>
            <w:tcW w:w="1208" w:type="dxa"/>
          </w:tcPr>
          <w:p w14:paraId="19CFE818" w14:textId="66C1E228" w:rsidR="003C6504" w:rsidRPr="003C6504" w:rsidRDefault="003C6504" w:rsidP="003C6504">
            <w:pPr>
              <w:rPr>
                <w:b/>
                <w:bCs/>
                <w:sz w:val="20"/>
              </w:rPr>
            </w:pPr>
            <w:r w:rsidRPr="003C6504">
              <w:rPr>
                <w:b/>
                <w:bCs/>
                <w:sz w:val="20"/>
              </w:rPr>
              <w:t>(6.000)</w:t>
            </w:r>
          </w:p>
        </w:tc>
        <w:tc>
          <w:tcPr>
            <w:tcW w:w="1334" w:type="dxa"/>
          </w:tcPr>
          <w:p w14:paraId="5807A115" w14:textId="370E00FB" w:rsidR="003C6504" w:rsidRPr="003C6504" w:rsidRDefault="003C6504" w:rsidP="003C6504">
            <w:pPr>
              <w:rPr>
                <w:b/>
                <w:bCs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261" w:type="dxa"/>
          </w:tcPr>
          <w:p w14:paraId="37BB7D98" w14:textId="2F487EF7" w:rsidR="003C6504" w:rsidRPr="003C6504" w:rsidRDefault="003C6504" w:rsidP="003C6504">
            <w:pPr>
              <w:rPr>
                <w:b/>
                <w:bCs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268" w:type="dxa"/>
          </w:tcPr>
          <w:p w14:paraId="2ECDF754" w14:textId="0B3BA526" w:rsidR="003C6504" w:rsidRPr="003C6504" w:rsidRDefault="003C6504" w:rsidP="003C6504">
            <w:pPr>
              <w:rPr>
                <w:b/>
                <w:bCs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552" w:type="dxa"/>
          </w:tcPr>
          <w:p w14:paraId="2E961374" w14:textId="0A3B4700" w:rsidR="003C6504" w:rsidRPr="003C6504" w:rsidRDefault="003C6504" w:rsidP="003C6504">
            <w:pPr>
              <w:rPr>
                <w:b/>
                <w:bCs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</w:tr>
    </w:tbl>
    <w:p w14:paraId="2CBAC870" w14:textId="77777777" w:rsidR="004F169F" w:rsidRDefault="004F169F" w:rsidP="004F169F">
      <w:pPr>
        <w:pStyle w:val="NumberedParagraph"/>
        <w:numPr>
          <w:ilvl w:val="0"/>
          <w:numId w:val="0"/>
        </w:numPr>
        <w:ind w:left="709"/>
      </w:pPr>
    </w:p>
    <w:p w14:paraId="28B60606" w14:textId="30538BE9" w:rsidR="002C4BC7" w:rsidRDefault="00811AC6" w:rsidP="002C4BC7">
      <w:pPr>
        <w:pStyle w:val="Decision"/>
        <w:rPr>
          <w:rStyle w:val="Strong"/>
          <w:b w:val="0"/>
          <w:bCs w:val="0"/>
        </w:rPr>
      </w:pPr>
      <w:r>
        <w:t>Noted</w:t>
      </w:r>
    </w:p>
    <w:p w14:paraId="76FFEFDE" w14:textId="41EF46C3" w:rsidR="00806ED9" w:rsidRDefault="00806ED9" w:rsidP="00806ED9">
      <w:pPr>
        <w:pStyle w:val="NumberedParagraph"/>
      </w:pPr>
      <w:r>
        <w:rPr>
          <w:rStyle w:val="Strong"/>
        </w:rPr>
        <w:t>agree</w:t>
      </w:r>
      <w:r>
        <w:t xml:space="preserve"> that the Parliamentary Counsel Office draft </w:t>
      </w:r>
      <w:r w:rsidR="002A3924">
        <w:t>an Order in Council</w:t>
      </w:r>
      <w:r w:rsidR="00E01420">
        <w:t xml:space="preserve"> </w:t>
      </w:r>
      <w:r>
        <w:t>to adjust the UOMI rates;</w:t>
      </w:r>
    </w:p>
    <w:p w14:paraId="40CECED6" w14:textId="53A210CE" w:rsidR="00806ED9" w:rsidRDefault="00806ED9" w:rsidP="00806ED9">
      <w:pPr>
        <w:pStyle w:val="NumberedParagraph"/>
        <w:numPr>
          <w:ilvl w:val="0"/>
          <w:numId w:val="0"/>
        </w:numPr>
        <w:ind w:left="709"/>
        <w:rPr>
          <w:rStyle w:val="Strong"/>
          <w:b w:val="0"/>
          <w:bCs w:val="0"/>
        </w:rPr>
      </w:pPr>
      <w:r>
        <w:t>Agreed/Not agreed</w:t>
      </w:r>
    </w:p>
    <w:p w14:paraId="32F5569C" w14:textId="5F19E4AA" w:rsidR="002C4BC7" w:rsidRPr="002C4BC7" w:rsidRDefault="004B1425" w:rsidP="001D7761">
      <w:pPr>
        <w:pStyle w:val="NumberedParagrap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if the </w:t>
      </w:r>
      <w:r w:rsidR="001D7FF2">
        <w:rPr>
          <w:rStyle w:val="Strong"/>
          <w:b w:val="0"/>
          <w:bCs w:val="0"/>
        </w:rPr>
        <w:t xml:space="preserve">8 </w:t>
      </w:r>
      <w:r>
        <w:rPr>
          <w:rStyle w:val="Strong"/>
          <w:b w:val="0"/>
          <w:bCs w:val="0"/>
        </w:rPr>
        <w:t xml:space="preserve">May 2020 </w:t>
      </w:r>
      <w:r w:rsidR="00800EC5">
        <w:rPr>
          <w:rStyle w:val="Strong"/>
          <w:b w:val="0"/>
          <w:bCs w:val="0"/>
        </w:rPr>
        <w:t>commencement</w:t>
      </w:r>
      <w:r>
        <w:rPr>
          <w:rStyle w:val="Strong"/>
          <w:b w:val="0"/>
          <w:bCs w:val="0"/>
        </w:rPr>
        <w:t xml:space="preserve"> date is agreed to, </w:t>
      </w:r>
      <w:r w:rsidR="00BD5B69">
        <w:rPr>
          <w:rStyle w:val="Strong"/>
        </w:rPr>
        <w:t>sign</w:t>
      </w:r>
      <w:r w:rsidR="00BD5B69">
        <w:rPr>
          <w:rStyle w:val="Strong"/>
          <w:b w:val="0"/>
          <w:bCs w:val="0"/>
        </w:rPr>
        <w:t xml:space="preserve"> and </w:t>
      </w:r>
      <w:r w:rsidR="00BD5B69">
        <w:rPr>
          <w:rStyle w:val="Strong"/>
        </w:rPr>
        <w:t>refer</w:t>
      </w:r>
      <w:r w:rsidR="00BD5B69">
        <w:rPr>
          <w:rStyle w:val="Strong"/>
          <w:b w:val="0"/>
          <w:bCs w:val="0"/>
        </w:rPr>
        <w:t xml:space="preserve"> the attached Cabinet paper </w:t>
      </w:r>
      <w:r>
        <w:rPr>
          <w:rStyle w:val="Strong"/>
          <w:b w:val="0"/>
          <w:bCs w:val="0"/>
        </w:rPr>
        <w:t>to the Cabinet Office</w:t>
      </w:r>
      <w:r w:rsidR="0030187A">
        <w:rPr>
          <w:rStyle w:val="Strong"/>
          <w:b w:val="0"/>
          <w:bCs w:val="0"/>
        </w:rPr>
        <w:t xml:space="preserve"> by 10am, Thursday 30 April</w:t>
      </w:r>
      <w:r w:rsidR="007320CF">
        <w:rPr>
          <w:rStyle w:val="Strong"/>
          <w:b w:val="0"/>
          <w:bCs w:val="0"/>
        </w:rPr>
        <w:t>;</w:t>
      </w:r>
    </w:p>
    <w:p w14:paraId="648DCDAC" w14:textId="791A18FC" w:rsidR="001D7761" w:rsidRDefault="007320CF" w:rsidP="001D7761">
      <w:pPr>
        <w:pStyle w:val="NumberedParagraph"/>
        <w:numPr>
          <w:ilvl w:val="0"/>
          <w:numId w:val="0"/>
        </w:numPr>
        <w:ind w:left="709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Signed and referred</w:t>
      </w:r>
      <w:r w:rsidR="001D7FF2">
        <w:rPr>
          <w:rStyle w:val="Strong"/>
          <w:b w:val="0"/>
          <w:bCs w:val="0"/>
        </w:rPr>
        <w:t>/Not signed and referred</w:t>
      </w:r>
    </w:p>
    <w:p w14:paraId="2736048C" w14:textId="72F57EAC" w:rsidR="00B02751" w:rsidRDefault="008152F6" w:rsidP="00B02751">
      <w:pPr>
        <w:pStyle w:val="NumberedParagraph"/>
      </w:pPr>
      <w:r>
        <w:rPr>
          <w:rStyle w:val="Strong"/>
        </w:rPr>
        <w:t>agree</w:t>
      </w:r>
      <w:r w:rsidR="00B02751">
        <w:t xml:space="preserve"> </w:t>
      </w:r>
      <w:r>
        <w:t xml:space="preserve">to the release of </w:t>
      </w:r>
      <w:r w:rsidR="00963B1A">
        <w:t>the attached Cabinet paper, associated minutes, and key advice papers</w:t>
      </w:r>
      <w:r w:rsidR="00843E13">
        <w:t xml:space="preserve"> with appropriate redactions </w:t>
      </w:r>
      <w:r w:rsidR="00963B1A">
        <w:t>within 30 working days of Cabinet making final decisions;</w:t>
      </w:r>
    </w:p>
    <w:p w14:paraId="1D1CBBE8" w14:textId="678F8D3B" w:rsidR="00B02751" w:rsidRPr="00B02751" w:rsidRDefault="00963B1A" w:rsidP="00B02751">
      <w:pPr>
        <w:pStyle w:val="Decision"/>
        <w:rPr>
          <w:rStyle w:val="Strong"/>
          <w:b w:val="0"/>
          <w:bCs w:val="0"/>
        </w:rPr>
      </w:pPr>
      <w:r>
        <w:t>Agree</w:t>
      </w:r>
      <w:r w:rsidR="00B02751">
        <w:t xml:space="preserve">d/Not </w:t>
      </w:r>
      <w:r>
        <w:t>agreed</w:t>
      </w:r>
    </w:p>
    <w:p w14:paraId="6A3E41AB" w14:textId="392D6231" w:rsidR="00811AC6" w:rsidRDefault="00247909" w:rsidP="00247909">
      <w:pPr>
        <w:pStyle w:val="NumberedParagraph"/>
      </w:pPr>
      <w:r w:rsidRPr="00247909">
        <w:rPr>
          <w:rStyle w:val="Strong"/>
        </w:rPr>
        <w:t>r</w:t>
      </w:r>
      <w:r w:rsidR="00811AC6" w:rsidRPr="00247909">
        <w:rPr>
          <w:rStyle w:val="Strong"/>
        </w:rPr>
        <w:t>efer</w:t>
      </w:r>
      <w:r w:rsidR="00811AC6">
        <w:t xml:space="preserve"> a copy of this report to the Minister of </w:t>
      </w:r>
      <w:r w:rsidR="00BD13EE">
        <w:t>Finance</w:t>
      </w:r>
      <w:r w:rsidR="00811AC6">
        <w:t xml:space="preserve"> for </w:t>
      </w:r>
      <w:r w:rsidR="00BD13EE">
        <w:t>his</w:t>
      </w:r>
      <w:r>
        <w:t xml:space="preserve"> information</w:t>
      </w:r>
      <w:r w:rsidR="00155688">
        <w:t>.</w:t>
      </w:r>
    </w:p>
    <w:p w14:paraId="716A3262" w14:textId="77777777" w:rsidR="00811AC6" w:rsidRDefault="00811AC6" w:rsidP="006E31E0">
      <w:pPr>
        <w:pStyle w:val="Decision"/>
      </w:pPr>
      <w:r>
        <w:t>Referred</w:t>
      </w:r>
      <w:r w:rsidR="00247909">
        <w:t>/Not referred</w:t>
      </w:r>
    </w:p>
    <w:p w14:paraId="0B0579FF" w14:textId="77777777" w:rsidR="006222B9" w:rsidRPr="008331C2" w:rsidRDefault="006222B9" w:rsidP="008331C2"/>
    <w:p w14:paraId="6C25D512" w14:textId="77777777" w:rsidR="00811AC6" w:rsidRDefault="00811AC6" w:rsidP="008331C2"/>
    <w:p w14:paraId="026BFE8A" w14:textId="77777777" w:rsidR="008331C2" w:rsidRDefault="008331C2" w:rsidP="008331C2"/>
    <w:p w14:paraId="0410B64C" w14:textId="77777777" w:rsidR="008331C2" w:rsidRPr="008331C2" w:rsidRDefault="008331C2" w:rsidP="008331C2"/>
    <w:p w14:paraId="102E4400" w14:textId="022CEA2C" w:rsidR="00811AC6" w:rsidRDefault="00CB1BB7" w:rsidP="006222B9">
      <w:pPr>
        <w:tabs>
          <w:tab w:val="left" w:pos="4536"/>
        </w:tabs>
      </w:pPr>
      <w:r>
        <w:rPr>
          <w:rStyle w:val="Strong"/>
        </w:rPr>
        <w:t>Paul Fulton</w:t>
      </w:r>
    </w:p>
    <w:p w14:paraId="59F37BEC" w14:textId="4E013E41" w:rsidR="00811AC6" w:rsidRDefault="00CB1BB7" w:rsidP="006222B9">
      <w:pPr>
        <w:tabs>
          <w:tab w:val="left" w:pos="4536"/>
        </w:tabs>
      </w:pPr>
      <w:r>
        <w:t>Principal Policy Advisor</w:t>
      </w:r>
    </w:p>
    <w:p w14:paraId="6CE5E5B6" w14:textId="77777777" w:rsidR="00811AC6" w:rsidRDefault="00811AC6" w:rsidP="00E94525">
      <w:pPr>
        <w:tabs>
          <w:tab w:val="left" w:pos="4536"/>
        </w:tabs>
      </w:pPr>
      <w:r>
        <w:t>Policy and Strategy</w:t>
      </w:r>
    </w:p>
    <w:p w14:paraId="4AAA5886" w14:textId="77777777" w:rsidR="00E94525" w:rsidRDefault="00E94525" w:rsidP="00E94525">
      <w:pPr>
        <w:tabs>
          <w:tab w:val="left" w:pos="4536"/>
        </w:tabs>
      </w:pPr>
    </w:p>
    <w:p w14:paraId="0412EB9E" w14:textId="77777777" w:rsidR="00E94525" w:rsidRDefault="00E94525" w:rsidP="00E94525">
      <w:pPr>
        <w:tabs>
          <w:tab w:val="left" w:pos="4536"/>
        </w:tabs>
      </w:pPr>
    </w:p>
    <w:p w14:paraId="64E5C531" w14:textId="77777777" w:rsidR="008331C2" w:rsidRDefault="008331C2" w:rsidP="00811AC6"/>
    <w:p w14:paraId="5DCADCDD" w14:textId="77777777" w:rsidR="008331C2" w:rsidRDefault="008331C2" w:rsidP="00811AC6"/>
    <w:p w14:paraId="4A87F1FC" w14:textId="77777777" w:rsidR="008331C2" w:rsidRDefault="008331C2" w:rsidP="00811AC6"/>
    <w:p w14:paraId="5C5B395F" w14:textId="77777777" w:rsidR="00811AC6" w:rsidRDefault="00811AC6" w:rsidP="008331C2">
      <w:pPr>
        <w:tabs>
          <w:tab w:val="left" w:pos="4536"/>
        </w:tabs>
      </w:pPr>
      <w:r w:rsidRPr="008331C2">
        <w:rPr>
          <w:rStyle w:val="Strong"/>
        </w:rPr>
        <w:t>Hon Stuart Nash</w:t>
      </w:r>
    </w:p>
    <w:p w14:paraId="32B4CFC6" w14:textId="77777777" w:rsidR="00811AC6" w:rsidRDefault="00811AC6" w:rsidP="008331C2">
      <w:pPr>
        <w:tabs>
          <w:tab w:val="left" w:pos="4536"/>
        </w:tabs>
      </w:pPr>
      <w:r>
        <w:t>Minister of Revenue</w:t>
      </w:r>
    </w:p>
    <w:p w14:paraId="5D93A5BC" w14:textId="2AEB41CF" w:rsidR="00811AC6" w:rsidRDefault="008331C2" w:rsidP="008331C2">
      <w:pPr>
        <w:tabs>
          <w:tab w:val="left" w:pos="4536"/>
        </w:tabs>
      </w:pPr>
      <w:r>
        <w:t xml:space="preserve">       </w:t>
      </w:r>
      <w:r w:rsidR="00811AC6">
        <w:t>/       /20</w:t>
      </w:r>
      <w:r w:rsidR="00CB1BB7">
        <w:t>20</w:t>
      </w:r>
    </w:p>
    <w:p w14:paraId="044A1017" w14:textId="77777777" w:rsidR="008331C2" w:rsidRPr="008331C2" w:rsidRDefault="008331C2" w:rsidP="008331C2">
      <w:r w:rsidRPr="008331C2">
        <w:br w:type="page"/>
      </w:r>
    </w:p>
    <w:p w14:paraId="28580053" w14:textId="77777777" w:rsidR="00811AC6" w:rsidRDefault="00811AC6" w:rsidP="00A2547F">
      <w:pPr>
        <w:pStyle w:val="Heading1"/>
      </w:pPr>
      <w:r>
        <w:t>Background</w:t>
      </w:r>
    </w:p>
    <w:p w14:paraId="7550F218" w14:textId="7B203551" w:rsidR="00215E04" w:rsidRDefault="00745BC7" w:rsidP="00215E04">
      <w:pPr>
        <w:pStyle w:val="NumberedParagraph"/>
      </w:pPr>
      <w:r>
        <w:t xml:space="preserve">The </w:t>
      </w:r>
      <w:r w:rsidR="009C2BD5">
        <w:t>use of money interest (</w:t>
      </w:r>
      <w:r>
        <w:t>UOMI</w:t>
      </w:r>
      <w:r w:rsidR="009C2BD5">
        <w:t>)</w:t>
      </w:r>
      <w:r>
        <w:t xml:space="preserve"> rates are an important component of the tax compliance rules. </w:t>
      </w:r>
      <w:r w:rsidR="00A66576">
        <w:t xml:space="preserve">By changing in line with underlying market rates, the UOMI rates </w:t>
      </w:r>
      <w:r w:rsidR="00245511">
        <w:t xml:space="preserve">provide taxpayers with the incentive to pay the right amount of tax </w:t>
      </w:r>
      <w:r w:rsidR="00B62814">
        <w:t xml:space="preserve">at the right time. They apply to all revenue and duties. </w:t>
      </w:r>
      <w:r w:rsidR="005F0BDA">
        <w:t>The UOMI rates are set according to the Taxation (Use of Money Interest Rates</w:t>
      </w:r>
      <w:r w:rsidR="00437929">
        <w:t xml:space="preserve"> Setting Process</w:t>
      </w:r>
      <w:r w:rsidR="005F0BDA">
        <w:t>)</w:t>
      </w:r>
      <w:r w:rsidR="00437929">
        <w:t xml:space="preserve"> Regulations 1997. </w:t>
      </w:r>
    </w:p>
    <w:p w14:paraId="56F30BEA" w14:textId="188825DF" w:rsidR="00B62814" w:rsidRDefault="00BA39E7" w:rsidP="00215E04">
      <w:pPr>
        <w:pStyle w:val="NumberedParagraph"/>
      </w:pPr>
      <w:r>
        <w:t>Th</w:t>
      </w:r>
      <w:r w:rsidR="000E2FA7">
        <w:t>e</w:t>
      </w:r>
      <w:r w:rsidR="00C37532">
        <w:t xml:space="preserve"> rate</w:t>
      </w:r>
      <w:r w:rsidR="006A06D5">
        <w:t xml:space="preserve"> setting</w:t>
      </w:r>
      <w:r>
        <w:t xml:space="preserve"> </w:t>
      </w:r>
      <w:r w:rsidR="000E2FA7">
        <w:t>r</w:t>
      </w:r>
      <w:r>
        <w:t>egulations provide that the method</w:t>
      </w:r>
      <w:r w:rsidR="00CF7CF9">
        <w:t xml:space="preserve"> for setting the interest rate for underpaid tax is </w:t>
      </w:r>
      <w:r w:rsidR="009C2BD5">
        <w:t>the latest Reserve Bank of New Zealand (RBNZ)</w:t>
      </w:r>
      <w:r w:rsidR="00302F4F">
        <w:t xml:space="preserve"> floating first mortgage new customer housing rate </w:t>
      </w:r>
      <w:r w:rsidR="00B16D15">
        <w:t xml:space="preserve">plus 250 basis points. </w:t>
      </w:r>
      <w:r w:rsidR="000D2258">
        <w:t xml:space="preserve">The floating first mortgage new customer housing rate series </w:t>
      </w:r>
      <w:r w:rsidR="00F6560E">
        <w:t xml:space="preserve">reflects the variable interest rate offered </w:t>
      </w:r>
      <w:r w:rsidR="00382FFE">
        <w:t>by surveyed institutions to new borrowers</w:t>
      </w:r>
      <w:r w:rsidR="00EE74FB">
        <w:t xml:space="preserve"> for residential property, weighted by </w:t>
      </w:r>
      <w:r w:rsidR="00E51956">
        <w:t>each surveyed institution’s total</w:t>
      </w:r>
      <w:r w:rsidR="00E511DC">
        <w:t xml:space="preserve"> lending outstanding for housing purposes.</w:t>
      </w:r>
    </w:p>
    <w:p w14:paraId="4E9E150A" w14:textId="5E6013B8" w:rsidR="00E511DC" w:rsidRDefault="001A73EC" w:rsidP="00215E04">
      <w:pPr>
        <w:pStyle w:val="NumberedParagraph"/>
      </w:pPr>
      <w:r>
        <w:t xml:space="preserve">The floating first mortgage new customer housing rate series is a proxy for </w:t>
      </w:r>
      <w:r w:rsidR="009A3D72">
        <w:t xml:space="preserve">a debt that a taxpayer might prioritise over their tax obligations. </w:t>
      </w:r>
      <w:r w:rsidR="00845BED">
        <w:t xml:space="preserve">In the absence of a UOMI charge, a taxpayer </w:t>
      </w:r>
      <w:r w:rsidR="00045D21">
        <w:t xml:space="preserve">wanting to borrow money could simply </w:t>
      </w:r>
      <w:r w:rsidR="00EF0C39">
        <w:t>underpay their tax and effectively use Inland Revenue as a bank</w:t>
      </w:r>
      <w:r w:rsidR="00D03444">
        <w:t xml:space="preserve"> </w:t>
      </w:r>
      <w:r w:rsidR="00582C94">
        <w:t xml:space="preserve">rather than borrow from a bank at a commercial interest rate. </w:t>
      </w:r>
      <w:r w:rsidR="00187917">
        <w:t>A conservative margin of 250 basis points is added to the mortgage rate</w:t>
      </w:r>
      <w:r w:rsidR="007C518B">
        <w:t xml:space="preserve"> in calculating the UOMI rate on underpayments because </w:t>
      </w:r>
      <w:r w:rsidR="006B5424">
        <w:t xml:space="preserve">the Commissioner does not have information about the </w:t>
      </w:r>
      <w:r w:rsidR="00550344">
        <w:t>likelihood of any individual taxpayer paying the UOMI charge</w:t>
      </w:r>
      <w:r w:rsidR="007E2ED0">
        <w:t xml:space="preserve">d to them (i.e. the taxpayer’s </w:t>
      </w:r>
      <w:r w:rsidR="00683DCF">
        <w:t>creditworthiness</w:t>
      </w:r>
      <w:r w:rsidR="007E2ED0">
        <w:t>).</w:t>
      </w:r>
    </w:p>
    <w:p w14:paraId="742A4F3E" w14:textId="1829EFFF" w:rsidR="007E2ED0" w:rsidRDefault="00700EC6" w:rsidP="00215E04">
      <w:pPr>
        <w:pStyle w:val="NumberedParagraph"/>
      </w:pPr>
      <w:r>
        <w:t xml:space="preserve">The </w:t>
      </w:r>
      <w:r w:rsidR="006A06D5">
        <w:t>rate setting r</w:t>
      </w:r>
      <w:r>
        <w:t>egulations provide that the method for setting the interest rate for overpaid tax is the</w:t>
      </w:r>
      <w:r w:rsidR="008206DD">
        <w:t xml:space="preserve"> higher of 0% and the</w:t>
      </w:r>
      <w:r>
        <w:t xml:space="preserve"> latest RBNZ </w:t>
      </w:r>
      <w:r w:rsidR="003039CA">
        <w:t>90-day bank bill rate less 100 basis points</w:t>
      </w:r>
      <w:r w:rsidR="00D633DC">
        <w:t xml:space="preserve">. The 90-day bank bill rate is the monthly average </w:t>
      </w:r>
      <w:r w:rsidR="002B685D">
        <w:t>of the daily standard rates</w:t>
      </w:r>
      <w:r w:rsidR="00A84457">
        <w:t xml:space="preserve"> and approximates the return a taxpayer might expect</w:t>
      </w:r>
      <w:r w:rsidR="00FA59CE">
        <w:t xml:space="preserve"> on a low-risk investment in the New Zealand Government. </w:t>
      </w:r>
      <w:r w:rsidR="004A1705">
        <w:t xml:space="preserve">Ensuring that the Commissioner pays less interest to the taxpayer </w:t>
      </w:r>
      <w:r w:rsidR="009C7B21">
        <w:t xml:space="preserve">on overpaid tax than the taxpayer would receive as a return from </w:t>
      </w:r>
      <w:r w:rsidR="00612BD0">
        <w:t xml:space="preserve">a low-risk bond aims to </w:t>
      </w:r>
      <w:r w:rsidR="00757845">
        <w:t xml:space="preserve">prevent Inland Revenue being used as an investment. </w:t>
      </w:r>
    </w:p>
    <w:p w14:paraId="61B5B249" w14:textId="4AA924D8" w:rsidR="002D2041" w:rsidRDefault="004F73CA" w:rsidP="00215E04">
      <w:pPr>
        <w:pStyle w:val="NumberedParagraph"/>
      </w:pPr>
      <w:r>
        <w:t xml:space="preserve">The UOMI rates were last changed by </w:t>
      </w:r>
      <w:r w:rsidR="00E95DE6">
        <w:t>Order in Council</w:t>
      </w:r>
      <w:r w:rsidR="00183574">
        <w:t xml:space="preserve"> </w:t>
      </w:r>
      <w:r>
        <w:t xml:space="preserve">with effect from 29 August 2019. </w:t>
      </w:r>
      <w:r w:rsidR="000B648E">
        <w:t>The current rate of UOMI on underpayments is 8.35% and the current rate of UOMI on overpayments is 0.81%.</w:t>
      </w:r>
    </w:p>
    <w:p w14:paraId="65388154" w14:textId="507714C5" w:rsidR="00EA3FE7" w:rsidRDefault="00EA3FE7" w:rsidP="00EA3FE7">
      <w:pPr>
        <w:pStyle w:val="Heading1"/>
      </w:pPr>
      <w:r>
        <w:t>Principles to be applied in resetting UOMI rates</w:t>
      </w:r>
    </w:p>
    <w:p w14:paraId="59E26BFE" w14:textId="65A78A0C" w:rsidR="00EA3FE7" w:rsidRDefault="000B69C1" w:rsidP="00215E04">
      <w:pPr>
        <w:pStyle w:val="NumberedParagraph"/>
      </w:pPr>
      <w:r>
        <w:t>In 2010, the Minister of Revenue</w:t>
      </w:r>
      <w:r w:rsidR="003F7723">
        <w:t xml:space="preserve"> agreed</w:t>
      </w:r>
      <w:r>
        <w:t xml:space="preserve"> </w:t>
      </w:r>
      <w:r w:rsidR="00FD6A45">
        <w:t xml:space="preserve">that the following principles be applied in setting </w:t>
      </w:r>
      <w:r w:rsidR="00B9693B">
        <w:t>new UOMI rates (PAD2010/287 refers):</w:t>
      </w:r>
    </w:p>
    <w:p w14:paraId="7DFC1C5C" w14:textId="0CBB45A4" w:rsidR="00B9693B" w:rsidRDefault="002F0B41" w:rsidP="00B9693B">
      <w:pPr>
        <w:pStyle w:val="NumberedParagraph"/>
        <w:numPr>
          <w:ilvl w:val="1"/>
          <w:numId w:val="11"/>
        </w:numPr>
      </w:pPr>
      <w:r>
        <w:t>Adjust both UOMI rates whe</w:t>
      </w:r>
      <w:r w:rsidR="00430CD5">
        <w:t>n</w:t>
      </w:r>
      <w:r>
        <w:t xml:space="preserve"> there has been a</w:t>
      </w:r>
      <w:r w:rsidR="00896EA6">
        <w:t>n</w:t>
      </w:r>
      <w:r>
        <w:t xml:space="preserve"> increase or decrease </w:t>
      </w:r>
      <w:r w:rsidR="00E24684">
        <w:t xml:space="preserve">of 100 basis points in either the RBNZ floating first mortgage new customer housing rate or the RBNZ 90-day bank bill rate </w:t>
      </w:r>
      <w:r w:rsidR="00674C39">
        <w:t>(</w:t>
      </w:r>
      <w:r w:rsidR="00A8775E">
        <w:t>since the last time the rates were set</w:t>
      </w:r>
      <w:r w:rsidR="00674C39">
        <w:t>)</w:t>
      </w:r>
      <w:r w:rsidR="00A8775E">
        <w:t>;</w:t>
      </w:r>
    </w:p>
    <w:p w14:paraId="2F57E2D1" w14:textId="24DE1FC1" w:rsidR="00A8775E" w:rsidRDefault="00181D21" w:rsidP="00B9693B">
      <w:pPr>
        <w:pStyle w:val="NumberedParagraph"/>
        <w:numPr>
          <w:ilvl w:val="1"/>
          <w:numId w:val="11"/>
        </w:numPr>
      </w:pPr>
      <w:r>
        <w:t xml:space="preserve">Adjust both UOMI rates every 12 months </w:t>
      </w:r>
      <w:r w:rsidR="001F5336">
        <w:t>whe</w:t>
      </w:r>
      <w:r w:rsidR="00430CD5">
        <w:t>n</w:t>
      </w:r>
      <w:r w:rsidR="001F5336">
        <w:t xml:space="preserve"> there has been an increase o</w:t>
      </w:r>
      <w:r w:rsidR="00033A1A">
        <w:t>r</w:t>
      </w:r>
      <w:r w:rsidR="001F5336">
        <w:t xml:space="preserve"> decrease of 20 basis points </w:t>
      </w:r>
      <w:r w:rsidR="00A16EF6">
        <w:t xml:space="preserve">in either the RBNZ floating first mortgage new customer housing rate or the RBNZ 90-day bank bill rate </w:t>
      </w:r>
      <w:r w:rsidR="00674C39">
        <w:t>(</w:t>
      </w:r>
      <w:r w:rsidR="00F06CD2">
        <w:t>since the last time the rates were set</w:t>
      </w:r>
      <w:r w:rsidR="00674C39">
        <w:t>) if the</w:t>
      </w:r>
      <w:r w:rsidR="001E75A2">
        <w:t>re has been no change in the previous 12 months</w:t>
      </w:r>
      <w:r w:rsidR="00995367">
        <w:t>, in order to avoid long-term misalignment of the rates; and</w:t>
      </w:r>
    </w:p>
    <w:p w14:paraId="3356EC6F" w14:textId="0D2499C2" w:rsidR="00995367" w:rsidRDefault="00FA087B" w:rsidP="00B9693B">
      <w:pPr>
        <w:pStyle w:val="NumberedParagraph"/>
        <w:numPr>
          <w:ilvl w:val="1"/>
          <w:numId w:val="11"/>
        </w:numPr>
      </w:pPr>
      <w:r>
        <w:t>Apply the adjustment from the next standard provisional tax payment date.</w:t>
      </w:r>
    </w:p>
    <w:p w14:paraId="5C3CC927" w14:textId="32C47619" w:rsidR="004F0FE2" w:rsidRDefault="00255D75" w:rsidP="006E7ECA">
      <w:pPr>
        <w:pStyle w:val="NumberedParagraph"/>
      </w:pPr>
      <w:r>
        <w:t>Inland Revenue officials are responsible for monitoring the RBNZ floating first mortgage new customer housing rate series and the RBNZ 90-day bank bill rate series</w:t>
      </w:r>
      <w:r w:rsidR="004F0FE2">
        <w:t xml:space="preserve"> throughout the year.</w:t>
      </w:r>
    </w:p>
    <w:p w14:paraId="67121560" w14:textId="561D83BE" w:rsidR="00811AC6" w:rsidRDefault="003E4BA4" w:rsidP="00A2547F">
      <w:pPr>
        <w:pStyle w:val="Heading1"/>
      </w:pPr>
      <w:r>
        <w:t>Annual review of UOMI rates</w:t>
      </w:r>
    </w:p>
    <w:p w14:paraId="3BCAFE76" w14:textId="574AE87B" w:rsidR="00811AC6" w:rsidRDefault="00F82719" w:rsidP="00946713">
      <w:pPr>
        <w:pStyle w:val="NumberedParagraph"/>
      </w:pPr>
      <w:r>
        <w:t xml:space="preserve">The RBNZ’s </w:t>
      </w:r>
      <w:r w:rsidR="003C3F39">
        <w:t xml:space="preserve">survey results for the relevant market interest rates </w:t>
      </w:r>
      <w:r w:rsidR="00DF0EBE">
        <w:t xml:space="preserve">in April 2019 (the month </w:t>
      </w:r>
      <w:r w:rsidR="00707196">
        <w:t>that</w:t>
      </w:r>
      <w:r w:rsidR="00DF0EBE">
        <w:t xml:space="preserve"> the rates </w:t>
      </w:r>
      <w:r w:rsidR="00707196">
        <w:t>are currently based on</w:t>
      </w:r>
      <w:r w:rsidR="00DF0EBE">
        <w:t>) and March 2020</w:t>
      </w:r>
      <w:r w:rsidR="00707196">
        <w:t xml:space="preserve"> are as follows</w:t>
      </w:r>
      <w:r w:rsidR="001A4408">
        <w:t>:</w:t>
      </w:r>
    </w:p>
    <w:tbl>
      <w:tblPr>
        <w:tblStyle w:val="TableGrid"/>
        <w:tblW w:w="91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3127"/>
        <w:gridCol w:w="3027"/>
      </w:tblGrid>
      <w:tr w:rsidR="00463425" w:rsidRPr="00162C4F" w14:paraId="328D8AB8" w14:textId="77777777" w:rsidTr="00733DAF">
        <w:trPr>
          <w:trHeight w:val="733"/>
          <w:jc w:val="center"/>
        </w:trPr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14:paraId="6CAE9AB0" w14:textId="77777777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162C4F">
              <w:rPr>
                <w:rFonts w:ascii="Verdana" w:hAnsi="Verdana"/>
                <w:b/>
                <w:sz w:val="20"/>
              </w:rPr>
              <w:t>Month ended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bottom"/>
          </w:tcPr>
          <w:p w14:paraId="01713C6A" w14:textId="77777777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162C4F">
              <w:rPr>
                <w:rFonts w:ascii="Verdana" w:hAnsi="Verdana"/>
                <w:b/>
                <w:sz w:val="20"/>
              </w:rPr>
              <w:t>Floating first mortgage new customer housing rate (%)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14:paraId="70276654" w14:textId="77777777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b/>
                <w:sz w:val="20"/>
              </w:rPr>
            </w:pPr>
            <w:r w:rsidRPr="00162C4F">
              <w:rPr>
                <w:rFonts w:ascii="Verdana" w:hAnsi="Verdana"/>
                <w:b/>
                <w:sz w:val="20"/>
              </w:rPr>
              <w:t>90-day bank bill rate (%)</w:t>
            </w:r>
          </w:p>
        </w:tc>
      </w:tr>
      <w:tr w:rsidR="00463425" w:rsidRPr="00162C4F" w14:paraId="1622231B" w14:textId="77777777" w:rsidTr="00733DAF">
        <w:trPr>
          <w:trHeight w:val="93"/>
          <w:jc w:val="center"/>
        </w:trPr>
        <w:tc>
          <w:tcPr>
            <w:tcW w:w="295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0F90ED" w14:textId="16D91461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April 2019</w:t>
            </w:r>
          </w:p>
        </w:tc>
        <w:tc>
          <w:tcPr>
            <w:tcW w:w="31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7DD5E" w14:textId="5B1CEFED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 w:rsidRPr="00162C4F">
              <w:rPr>
                <w:rFonts w:ascii="Verdana" w:hAnsi="Verdana"/>
                <w:sz w:val="20"/>
              </w:rPr>
              <w:t>5.</w:t>
            </w:r>
            <w:r>
              <w:rPr>
                <w:rFonts w:ascii="Verdana" w:hAnsi="Verdana"/>
                <w:sz w:val="20"/>
              </w:rPr>
              <w:t>85</w:t>
            </w:r>
          </w:p>
        </w:tc>
        <w:tc>
          <w:tcPr>
            <w:tcW w:w="30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342FFF" w14:textId="52803E01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1.81</w:t>
            </w:r>
          </w:p>
        </w:tc>
      </w:tr>
      <w:tr w:rsidR="00463425" w:rsidRPr="00162C4F" w14:paraId="69952674" w14:textId="77777777" w:rsidTr="00733DAF">
        <w:trPr>
          <w:trHeight w:val="230"/>
          <w:jc w:val="center"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14:paraId="36A971A4" w14:textId="203A0251" w:rsidR="00463425" w:rsidRPr="00162C4F" w:rsidRDefault="00463425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March 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vAlign w:val="center"/>
          </w:tcPr>
          <w:p w14:paraId="1D796836" w14:textId="128FB9B8" w:rsidR="00463425" w:rsidRPr="00162C4F" w:rsidRDefault="00C82DA7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4.50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14:paraId="559FABF8" w14:textId="64684585" w:rsidR="00463425" w:rsidRPr="00162C4F" w:rsidRDefault="00B01931" w:rsidP="001815D8">
            <w:pPr>
              <w:pStyle w:val="TRListBullet"/>
              <w:numPr>
                <w:ilvl w:val="0"/>
                <w:numId w:val="0"/>
              </w:numPr>
              <w:tabs>
                <w:tab w:val="left" w:pos="567"/>
              </w:tabs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0.71</w:t>
            </w:r>
          </w:p>
        </w:tc>
      </w:tr>
    </w:tbl>
    <w:p w14:paraId="2095E232" w14:textId="77777777" w:rsidR="00290F98" w:rsidRDefault="00290F98" w:rsidP="00290F98">
      <w:pPr>
        <w:pStyle w:val="NumberedParagraph"/>
        <w:numPr>
          <w:ilvl w:val="0"/>
          <w:numId w:val="0"/>
        </w:numPr>
      </w:pPr>
    </w:p>
    <w:p w14:paraId="00D08D68" w14:textId="76816DF1" w:rsidR="00C82DA7" w:rsidRDefault="00DA2C08" w:rsidP="000E1483">
      <w:pPr>
        <w:pStyle w:val="NumberedParagraph"/>
      </w:pPr>
      <w:r>
        <w:t>Both sets of</w:t>
      </w:r>
      <w:r w:rsidR="00E067F4">
        <w:t xml:space="preserve"> results for March 2020</w:t>
      </w:r>
      <w:r w:rsidR="00BC3D30">
        <w:t xml:space="preserve"> </w:t>
      </w:r>
      <w:r>
        <w:t>were publicly available by 7 April 2020</w:t>
      </w:r>
      <w:r w:rsidR="00875232">
        <w:t>.</w:t>
      </w:r>
      <w:r>
        <w:t xml:space="preserve"> </w:t>
      </w:r>
      <w:r w:rsidR="00875232">
        <w:t>They</w:t>
      </w:r>
      <w:r w:rsidR="00E067F4">
        <w:t xml:space="preserve"> </w:t>
      </w:r>
      <w:r w:rsidR="0076116E">
        <w:t xml:space="preserve">indicate that, since the rates were last set, </w:t>
      </w:r>
      <w:r w:rsidR="00224F91">
        <w:t>the floating first mortgage new customer housing rate has decreased</w:t>
      </w:r>
      <w:r w:rsidR="00574F1D">
        <w:t xml:space="preserve"> by 135 basis points and the </w:t>
      </w:r>
      <w:r w:rsidR="003B3CB1">
        <w:t xml:space="preserve">90-day bank bill rate has decreased by 110 basis points. </w:t>
      </w:r>
      <w:r w:rsidR="0093349B">
        <w:t xml:space="preserve">As per the administrative principles set out in paragraph </w:t>
      </w:r>
      <w:r w:rsidR="003D2255">
        <w:t>29</w:t>
      </w:r>
      <w:r w:rsidR="0093349B" w:rsidRPr="004B3076">
        <w:t>.1</w:t>
      </w:r>
      <w:r w:rsidR="0093349B">
        <w:t>, adjustment</w:t>
      </w:r>
      <w:r w:rsidR="00290F98">
        <w:t>s</w:t>
      </w:r>
      <w:r w:rsidR="0093349B">
        <w:t xml:space="preserve"> to the rates of UOMI </w:t>
      </w:r>
      <w:r w:rsidR="00290F98">
        <w:t xml:space="preserve">are required since </w:t>
      </w:r>
      <w:r w:rsidR="00C060C5">
        <w:t>either of the series has moved by at least 100 basis points (both series in this case)</w:t>
      </w:r>
      <w:r w:rsidR="00290F98">
        <w:t>.</w:t>
      </w:r>
      <w:r w:rsidR="00224F91">
        <w:t xml:space="preserve"> </w:t>
      </w:r>
    </w:p>
    <w:p w14:paraId="5090E6A9" w14:textId="30E2BB56" w:rsidR="00D102AF" w:rsidRDefault="00D102AF" w:rsidP="000E1483">
      <w:pPr>
        <w:pStyle w:val="NumberedParagraph"/>
      </w:pPr>
      <w:r>
        <w:t>Officials recommend that the underpayment rate be decreased to 7.00%</w:t>
      </w:r>
      <w:r w:rsidR="00AC683E">
        <w:t>, which is the</w:t>
      </w:r>
      <w:r w:rsidR="00AE50EB">
        <w:t xml:space="preserve"> March 2020</w:t>
      </w:r>
      <w:r w:rsidR="00AC683E">
        <w:t xml:space="preserve"> floating first mortgage new customer housing rate of 4.50% plus 250 basis points. </w:t>
      </w:r>
    </w:p>
    <w:p w14:paraId="26380B5B" w14:textId="7980FC14" w:rsidR="006F0ACB" w:rsidRDefault="006F0ACB" w:rsidP="000E1483">
      <w:pPr>
        <w:pStyle w:val="NumberedParagraph"/>
      </w:pPr>
      <w:r>
        <w:t>Officials recommend that the overpayment rate be decreased to 0.00%. The</w:t>
      </w:r>
      <w:r w:rsidR="007E178C">
        <w:t xml:space="preserve"> March 2020</w:t>
      </w:r>
      <w:r>
        <w:t xml:space="preserve"> 90-day bank bill rate of 0.71% less 100 basis points is -0.29%. However, </w:t>
      </w:r>
      <w:r w:rsidR="002374A9">
        <w:t>the Taxation (Use of Money Interest Rates Setting Process) Amendment Regulation</w:t>
      </w:r>
      <w:r w:rsidR="00F40B9A">
        <w:t>s</w:t>
      </w:r>
      <w:r w:rsidR="002374A9">
        <w:t xml:space="preserve"> 2020 </w:t>
      </w:r>
      <w:r w:rsidR="00563500">
        <w:t xml:space="preserve">came into force on 9 April </w:t>
      </w:r>
      <w:r w:rsidR="004C0F03">
        <w:t xml:space="preserve">2020 </w:t>
      </w:r>
      <w:r w:rsidR="00563500">
        <w:t>in response to the current low</w:t>
      </w:r>
      <w:r w:rsidR="00972286">
        <w:t xml:space="preserve"> </w:t>
      </w:r>
      <w:r w:rsidR="00563500">
        <w:t>interest rate environment. The amendments prevent the rate of UOMI on overpayments from going negative, effectively setting a zero</w:t>
      </w:r>
      <w:r w:rsidR="004B17F4">
        <w:t>-rate</w:t>
      </w:r>
      <w:r w:rsidR="00563500">
        <w:t xml:space="preserve"> floor. </w:t>
      </w:r>
      <w:r w:rsidR="004C0F03">
        <w:t xml:space="preserve">Hence, officials recommend that the overpayment rate be decreased to 0.00% rather than -0.29%. </w:t>
      </w:r>
    </w:p>
    <w:p w14:paraId="168BED53" w14:textId="419FBE72" w:rsidR="003E5945" w:rsidRDefault="003E5945" w:rsidP="003E5945">
      <w:pPr>
        <w:pStyle w:val="Heading1"/>
      </w:pPr>
      <w:r>
        <w:t>Relationship with COVID-19</w:t>
      </w:r>
    </w:p>
    <w:p w14:paraId="212B77DC" w14:textId="13D45512" w:rsidR="003E5945" w:rsidRDefault="00354882" w:rsidP="003E5945">
      <w:pPr>
        <w:pStyle w:val="NumberedParagraph"/>
      </w:pPr>
      <w:r>
        <w:t xml:space="preserve">Inland Revenue has already implemented </w:t>
      </w:r>
      <w:r w:rsidR="000C697B">
        <w:t xml:space="preserve">UOMI-based relief for taxpayers in response to COVID-19 through allowing remission of UOMI for taxpayers that are significantly adversely affected by COVID-19. </w:t>
      </w:r>
    </w:p>
    <w:p w14:paraId="53D04417" w14:textId="225CCF5B" w:rsidR="000C697B" w:rsidRDefault="0020175F" w:rsidP="003E5945">
      <w:pPr>
        <w:pStyle w:val="NumberedParagraph"/>
      </w:pPr>
      <w:r>
        <w:t>Some taxpayers may not</w:t>
      </w:r>
      <w:r w:rsidR="000C697B">
        <w:t xml:space="preserve"> be able to access this remission </w:t>
      </w:r>
      <w:r>
        <w:t xml:space="preserve">and will still be liable for UOMI. The decrease in the underpayment rate </w:t>
      </w:r>
      <w:r w:rsidR="00D41001">
        <w:t>from 8.35% to 7.00% constitutes some form of tax relief for taxpayers not eligible for full UOMI remission</w:t>
      </w:r>
      <w:r w:rsidR="003F5940">
        <w:t xml:space="preserve">. </w:t>
      </w:r>
    </w:p>
    <w:p w14:paraId="5D8BA914" w14:textId="21172E2D" w:rsidR="003F5940" w:rsidRDefault="002D7DA2" w:rsidP="003E5945">
      <w:pPr>
        <w:pStyle w:val="NumberedParagraph"/>
      </w:pPr>
      <w:r>
        <w:t>Changes</w:t>
      </w:r>
      <w:r w:rsidR="003F5940">
        <w:t xml:space="preserve"> to the rates of UOMI </w:t>
      </w:r>
      <w:r w:rsidR="003E6478">
        <w:t xml:space="preserve">are not </w:t>
      </w:r>
      <w:r>
        <w:t>normally</w:t>
      </w:r>
      <w:r w:rsidR="003E6478">
        <w:t xml:space="preserve"> legislated in a</w:t>
      </w:r>
      <w:r w:rsidR="00F25FFB">
        <w:t xml:space="preserve"> </w:t>
      </w:r>
      <w:r w:rsidR="003E6478">
        <w:t>short period of time</w:t>
      </w:r>
      <w:r w:rsidR="00B24CA2">
        <w:t xml:space="preserve"> and so</w:t>
      </w:r>
      <w:r w:rsidR="0001165F">
        <w:t xml:space="preserve"> a</w:t>
      </w:r>
      <w:r w:rsidR="00800EC5">
        <w:t xml:space="preserve"> commencement </w:t>
      </w:r>
      <w:r w:rsidR="0001165F">
        <w:t xml:space="preserve">date of 8 May 2020 would not normally be </w:t>
      </w:r>
      <w:r w:rsidR="004D4F73">
        <w:t>feasible</w:t>
      </w:r>
      <w:r w:rsidR="00B24CA2">
        <w:t>.</w:t>
      </w:r>
      <w:r w:rsidR="004F16AC">
        <w:t xml:space="preserve"> </w:t>
      </w:r>
      <w:r w:rsidR="00B24CA2">
        <w:t>T</w:t>
      </w:r>
      <w:r w:rsidR="004F16AC">
        <w:t xml:space="preserve">hese changes would </w:t>
      </w:r>
      <w:r w:rsidR="00B24CA2">
        <w:t>normally</w:t>
      </w:r>
      <w:r w:rsidR="00097A83">
        <w:t xml:space="preserve"> have</w:t>
      </w:r>
      <w:r w:rsidR="004F16AC">
        <w:t xml:space="preserve"> </w:t>
      </w:r>
      <w:r w:rsidR="00591F3D">
        <w:t>come into force</w:t>
      </w:r>
      <w:r w:rsidR="004F16AC">
        <w:t xml:space="preserve"> </w:t>
      </w:r>
      <w:r w:rsidR="00591F3D">
        <w:t>on</w:t>
      </w:r>
      <w:r w:rsidR="004F16AC">
        <w:t xml:space="preserve"> 29 August 2020</w:t>
      </w:r>
      <w:r w:rsidR="0001165F">
        <w:t xml:space="preserve">. However, </w:t>
      </w:r>
      <w:r w:rsidR="00BC1127">
        <w:t>we recommend</w:t>
      </w:r>
      <w:r w:rsidR="0001165F">
        <w:t xml:space="preserve"> </w:t>
      </w:r>
      <w:r w:rsidR="00945D87">
        <w:t>you accelerate th</w:t>
      </w:r>
      <w:r w:rsidR="008A0232">
        <w:t>is</w:t>
      </w:r>
      <w:r w:rsidR="00945D87">
        <w:t xml:space="preserve"> process </w:t>
      </w:r>
      <w:r w:rsidR="004F16AC">
        <w:t>so that the UOMI rate changes can</w:t>
      </w:r>
      <w:r w:rsidR="00800EC5">
        <w:t xml:space="preserve"> come into force </w:t>
      </w:r>
      <w:r w:rsidR="004F16AC">
        <w:t xml:space="preserve">on 8 May 2020 to provide </w:t>
      </w:r>
      <w:r w:rsidR="00420AC2">
        <w:t>faster relief for taxpayers that are still liable for UOMI on underpayments of tax</w:t>
      </w:r>
      <w:r w:rsidR="00422991">
        <w:t xml:space="preserve"> </w:t>
      </w:r>
      <w:r w:rsidR="006B2BC8">
        <w:t>during COVID-19</w:t>
      </w:r>
      <w:r w:rsidR="00420AC2">
        <w:t xml:space="preserve">. </w:t>
      </w:r>
    </w:p>
    <w:p w14:paraId="684D1160" w14:textId="62500EA2" w:rsidR="000A726F" w:rsidRDefault="000A726F" w:rsidP="003E5945">
      <w:pPr>
        <w:pStyle w:val="NumberedParagraph"/>
      </w:pPr>
      <w:r>
        <w:t xml:space="preserve">This UOMI review is therefore different from normal in that officials request a decision from you on your preferred </w:t>
      </w:r>
      <w:r w:rsidR="00800EC5">
        <w:t>commencement</w:t>
      </w:r>
      <w:r>
        <w:t xml:space="preserve"> date. Officials’ preference is to accelerate the process so that </w:t>
      </w:r>
      <w:r w:rsidR="00F44560">
        <w:t>the changes</w:t>
      </w:r>
      <w:r w:rsidR="00800EC5">
        <w:t xml:space="preserve"> come into force </w:t>
      </w:r>
      <w:r w:rsidR="00F44560">
        <w:t>on 8 May 2020. This would require you to take the attached paper to Cabinet on 4 May 2020. More details</w:t>
      </w:r>
      <w:r w:rsidR="00EC5258">
        <w:t xml:space="preserve"> on next steps</w:t>
      </w:r>
      <w:r w:rsidR="00F44560">
        <w:t xml:space="preserve"> are provided at the end of this report. </w:t>
      </w:r>
    </w:p>
    <w:p w14:paraId="3C062123" w14:textId="2A52CC75" w:rsidR="00811AC6" w:rsidRDefault="00E84D85" w:rsidP="00670CF2">
      <w:pPr>
        <w:pStyle w:val="Heading1"/>
      </w:pPr>
      <w:r>
        <w:t>Approval for drafting</w:t>
      </w:r>
    </w:p>
    <w:p w14:paraId="5D173CB7" w14:textId="6AAA9E1D" w:rsidR="00811AC6" w:rsidRDefault="00FC1C1C" w:rsidP="00E84D85">
      <w:pPr>
        <w:pStyle w:val="NumberedParagraph"/>
      </w:pPr>
      <w:r>
        <w:t xml:space="preserve">The UOMI rates are set at regular intervals by </w:t>
      </w:r>
      <w:r w:rsidR="00183574">
        <w:t xml:space="preserve">regulations </w:t>
      </w:r>
      <w:r w:rsidR="00D17BA8">
        <w:t xml:space="preserve">and it has become a routine matter to amend them. </w:t>
      </w:r>
      <w:r w:rsidR="002B5D0F">
        <w:t xml:space="preserve">Paragraph 7.91(d) of the </w:t>
      </w:r>
      <w:r w:rsidR="00E7030F">
        <w:t xml:space="preserve">Cabinet Office Manual </w:t>
      </w:r>
      <w:r w:rsidR="00E2355C">
        <w:t xml:space="preserve">provides that, where the making of </w:t>
      </w:r>
      <w:r w:rsidR="00D64F03">
        <w:t xml:space="preserve">regulations </w:t>
      </w:r>
      <w:r w:rsidR="00E2355C">
        <w:t xml:space="preserve">will not involve </w:t>
      </w:r>
      <w:r w:rsidR="00F33C3C">
        <w:t xml:space="preserve">any further policy considerations, </w:t>
      </w:r>
      <w:r w:rsidR="00D93A4C">
        <w:t>the Minister may authorise drafting without reference to Cabinet.</w:t>
      </w:r>
    </w:p>
    <w:p w14:paraId="50F44196" w14:textId="217FD272" w:rsidR="00FC2CC0" w:rsidRDefault="00FC2CC0" w:rsidP="00E84D85">
      <w:pPr>
        <w:pStyle w:val="NumberedParagraph"/>
      </w:pPr>
      <w:r>
        <w:t xml:space="preserve">Your approval is sufficient for the Parliamentary Counsel Office </w:t>
      </w:r>
      <w:r w:rsidR="006A6FC0">
        <w:t xml:space="preserve">to draft the </w:t>
      </w:r>
      <w:r w:rsidR="008A3B5F">
        <w:t>Order in Council</w:t>
      </w:r>
      <w:r w:rsidR="006A6FC0">
        <w:t xml:space="preserve">. </w:t>
      </w:r>
    </w:p>
    <w:p w14:paraId="5F811311" w14:textId="057C6BDF" w:rsidR="00811AC6" w:rsidRDefault="00E84D85" w:rsidP="00670CF2">
      <w:pPr>
        <w:pStyle w:val="Heading1"/>
      </w:pPr>
      <w:r>
        <w:t>Financial implications</w:t>
      </w:r>
    </w:p>
    <w:p w14:paraId="6289FCAD" w14:textId="1D84AC57" w:rsidR="00425E5D" w:rsidRPr="00A813ED" w:rsidRDefault="00A57014" w:rsidP="00E7275A">
      <w:pPr>
        <w:pStyle w:val="NumberedParagraph"/>
      </w:pPr>
      <w:r>
        <w:t xml:space="preserve">UOMI applies to both underpayments and overpayments of tax. </w:t>
      </w:r>
      <w:r w:rsidR="00D2007F">
        <w:t xml:space="preserve">Although more is charged by </w:t>
      </w:r>
      <w:r w:rsidR="002E5E71">
        <w:t xml:space="preserve">the Commissioner on underpayments </w:t>
      </w:r>
      <w:r w:rsidR="005F13A8">
        <w:t xml:space="preserve">than is paid to the taxpayer on overpayments, </w:t>
      </w:r>
      <w:r w:rsidR="00755F52">
        <w:t xml:space="preserve">the charges to underpayments are impaired by 80% </w:t>
      </w:r>
      <w:r w:rsidR="00F62C6C">
        <w:t xml:space="preserve">in the Crown accounts to reflect that most UOMI </w:t>
      </w:r>
      <w:r w:rsidR="009C621F">
        <w:t xml:space="preserve">charged is never paid and therefore must be written off. </w:t>
      </w:r>
      <w:r w:rsidR="00246D77" w:rsidRPr="00F16E34">
        <w:t xml:space="preserve">This means that </w:t>
      </w:r>
      <w:r w:rsidR="00BB68B5" w:rsidRPr="00F16E34">
        <w:t xml:space="preserve">a decrease in the underpayment rate </w:t>
      </w:r>
      <w:r w:rsidR="00B662CD" w:rsidRPr="00F16E34">
        <w:t xml:space="preserve">also produces a decrease in impairment expenditure. </w:t>
      </w:r>
    </w:p>
    <w:p w14:paraId="5A4F9B5B" w14:textId="01AE5521" w:rsidR="00236EE1" w:rsidRPr="0004582E" w:rsidRDefault="002535C7" w:rsidP="00E7275A">
      <w:pPr>
        <w:pStyle w:val="NumberedParagraph"/>
        <w:rPr>
          <w:szCs w:val="20"/>
        </w:rPr>
      </w:pPr>
      <w:r>
        <w:t xml:space="preserve">If the </w:t>
      </w:r>
      <w:r w:rsidR="00800EC5">
        <w:t>commencement</w:t>
      </w:r>
      <w:r>
        <w:t xml:space="preserve"> date </w:t>
      </w:r>
      <w:r w:rsidR="00765417">
        <w:t xml:space="preserve">for changes to the UOMI rates </w:t>
      </w:r>
      <w:r>
        <w:t xml:space="preserve">is </w:t>
      </w:r>
      <w:r w:rsidR="0067362B">
        <w:t>8 May 2020, then t</w:t>
      </w:r>
      <w:r w:rsidR="00A813ED">
        <w:t>he</w:t>
      </w:r>
      <w:r w:rsidR="00C92D7B">
        <w:t>re is a positive</w:t>
      </w:r>
      <w:r w:rsidR="00A813ED">
        <w:t xml:space="preserve"> net </w:t>
      </w:r>
      <w:r w:rsidR="00A62EDA">
        <w:t>fiscal</w:t>
      </w:r>
      <w:r w:rsidR="00A813ED">
        <w:t xml:space="preserve"> </w:t>
      </w:r>
      <w:r w:rsidR="008474F4">
        <w:t xml:space="preserve">impact </w:t>
      </w:r>
      <w:r w:rsidR="00C92D7B">
        <w:t>over the forecast period of $83 million</w:t>
      </w:r>
      <w:r w:rsidR="00D0486B">
        <w:t>.</w:t>
      </w:r>
      <w:r w:rsidR="00236EE1">
        <w:t xml:space="preserve"> This is because the decrease in tax revenue from changes to the underpayment and overpayment rates is outweighed by a decrease in impairment expenditure (more taxpayers will be able to repay their debt with a lower underpayment rate so less UOMI debt is </w:t>
      </w:r>
      <w:r w:rsidR="00236EE1" w:rsidRPr="0004582E">
        <w:rPr>
          <w:szCs w:val="20"/>
        </w:rPr>
        <w:t>written off).</w:t>
      </w:r>
    </w:p>
    <w:p w14:paraId="0A85A4E8" w14:textId="77777777" w:rsidR="0004582E" w:rsidRPr="0004582E" w:rsidRDefault="0004582E" w:rsidP="0004582E">
      <w:pPr>
        <w:pStyle w:val="NumberedParagraphCabStandar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04582E">
        <w:rPr>
          <w:rFonts w:ascii="Verdana" w:hAnsi="Verdana"/>
          <w:sz w:val="20"/>
          <w:szCs w:val="20"/>
        </w:rPr>
        <w:t>Over the forecast period, the fiscal saving from paying less on overpayments is $124 million, which is outweighed by the fiscal cost of charging less on underpayments of $203 million. The net effect is $79 million in lower revenue over the forecast period (comprising $3 million less revenue in the 2019/20 fiscal year and $19 million less revenue in each other year), as shown below:</w:t>
      </w:r>
    </w:p>
    <w:tbl>
      <w:tblPr>
        <w:tblStyle w:val="TableGrid1"/>
        <w:tblW w:w="8505" w:type="dxa"/>
        <w:tblInd w:w="567" w:type="dxa"/>
        <w:tblLook w:val="04A0" w:firstRow="1" w:lastRow="0" w:firstColumn="1" w:lastColumn="0" w:noHBand="0" w:noVBand="1"/>
      </w:tblPr>
      <w:tblGrid>
        <w:gridCol w:w="1829"/>
        <w:gridCol w:w="1230"/>
        <w:gridCol w:w="1336"/>
        <w:gridCol w:w="1275"/>
        <w:gridCol w:w="1276"/>
        <w:gridCol w:w="1559"/>
      </w:tblGrid>
      <w:tr w:rsidR="00DA5EF7" w:rsidRPr="00E63639" w14:paraId="4AEED697" w14:textId="77777777" w:rsidTr="00A13070">
        <w:tc>
          <w:tcPr>
            <w:tcW w:w="1829" w:type="dxa"/>
            <w:tcBorders>
              <w:top w:val="nil"/>
              <w:left w:val="nil"/>
            </w:tcBorders>
          </w:tcPr>
          <w:p w14:paraId="0092DA28" w14:textId="77777777" w:rsidR="00DA5EF7" w:rsidRPr="00E27349" w:rsidRDefault="00DA5EF7" w:rsidP="005E280D">
            <w:pPr>
              <w:pStyle w:val="NumberedParagraph"/>
              <w:numPr>
                <w:ilvl w:val="0"/>
                <w:numId w:val="0"/>
              </w:numPr>
            </w:pPr>
          </w:p>
        </w:tc>
        <w:tc>
          <w:tcPr>
            <w:tcW w:w="1230" w:type="dxa"/>
          </w:tcPr>
          <w:p w14:paraId="1CC7EDE6" w14:textId="77777777" w:rsidR="00DA5EF7" w:rsidRPr="00E27349" w:rsidRDefault="00DA5EF7" w:rsidP="001815D8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887" w:type="dxa"/>
            <w:gridSpan w:val="3"/>
          </w:tcPr>
          <w:p w14:paraId="3CFE6154" w14:textId="77777777" w:rsidR="00DA5EF7" w:rsidRPr="00E27349" w:rsidRDefault="00DA5EF7" w:rsidP="001815D8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$ millions increase (decrease)</w:t>
            </w:r>
          </w:p>
        </w:tc>
        <w:tc>
          <w:tcPr>
            <w:tcW w:w="1559" w:type="dxa"/>
          </w:tcPr>
          <w:p w14:paraId="05E8B184" w14:textId="77777777" w:rsidR="00DA5EF7" w:rsidRPr="00E27349" w:rsidRDefault="00DA5EF7" w:rsidP="001815D8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DA5EF7" w:rsidRPr="00E63639" w14:paraId="04274966" w14:textId="77777777" w:rsidTr="00A13070">
        <w:tc>
          <w:tcPr>
            <w:tcW w:w="1829" w:type="dxa"/>
          </w:tcPr>
          <w:p w14:paraId="47AB3D31" w14:textId="77777777" w:rsidR="00DA5EF7" w:rsidRPr="00E27349" w:rsidRDefault="00DA5EF7" w:rsidP="001815D8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Vote Revenue</w:t>
            </w:r>
          </w:p>
          <w:p w14:paraId="0F574E94" w14:textId="77777777" w:rsidR="00DA5EF7" w:rsidRPr="00E27349" w:rsidRDefault="00DA5EF7" w:rsidP="001815D8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Minister of Revenue</w:t>
            </w:r>
          </w:p>
        </w:tc>
        <w:tc>
          <w:tcPr>
            <w:tcW w:w="1230" w:type="dxa"/>
          </w:tcPr>
          <w:p w14:paraId="236E4C13" w14:textId="77777777" w:rsidR="00DA5EF7" w:rsidRPr="00A13070" w:rsidRDefault="00DA5EF7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2019/20</w:t>
            </w:r>
          </w:p>
        </w:tc>
        <w:tc>
          <w:tcPr>
            <w:tcW w:w="1336" w:type="dxa"/>
          </w:tcPr>
          <w:p w14:paraId="5969333E" w14:textId="77777777" w:rsidR="00DA5EF7" w:rsidRPr="00A13070" w:rsidRDefault="00DA5EF7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2020/21</w:t>
            </w:r>
          </w:p>
        </w:tc>
        <w:tc>
          <w:tcPr>
            <w:tcW w:w="1275" w:type="dxa"/>
          </w:tcPr>
          <w:p w14:paraId="33DFB029" w14:textId="77777777" w:rsidR="00DA5EF7" w:rsidRPr="00A13070" w:rsidRDefault="00DA5EF7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2021/22</w:t>
            </w:r>
          </w:p>
        </w:tc>
        <w:tc>
          <w:tcPr>
            <w:tcW w:w="1276" w:type="dxa"/>
          </w:tcPr>
          <w:p w14:paraId="2775D82F" w14:textId="77777777" w:rsidR="00DA5EF7" w:rsidRPr="00A13070" w:rsidRDefault="00DA5EF7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2022/23</w:t>
            </w:r>
          </w:p>
        </w:tc>
        <w:tc>
          <w:tcPr>
            <w:tcW w:w="1559" w:type="dxa"/>
          </w:tcPr>
          <w:p w14:paraId="6EF33AE5" w14:textId="77777777" w:rsidR="00DA5EF7" w:rsidRPr="00A13070" w:rsidRDefault="00DA5EF7" w:rsidP="001815D8">
            <w:pPr>
              <w:rPr>
                <w:rFonts w:ascii="Verdana" w:hAnsi="Verdana"/>
                <w:b/>
                <w:bCs/>
                <w:sz w:val="20"/>
              </w:rPr>
            </w:pPr>
            <w:r w:rsidRPr="00A13070">
              <w:rPr>
                <w:rFonts w:ascii="Verdana" w:hAnsi="Verdana"/>
                <w:b/>
                <w:bCs/>
                <w:sz w:val="20"/>
              </w:rPr>
              <w:t>2023/24 &amp; outyears</w:t>
            </w:r>
          </w:p>
        </w:tc>
      </w:tr>
      <w:tr w:rsidR="000D486A" w:rsidRPr="00E63639" w14:paraId="08F1F2CE" w14:textId="77777777" w:rsidTr="00A13070">
        <w:tc>
          <w:tcPr>
            <w:tcW w:w="1829" w:type="dxa"/>
          </w:tcPr>
          <w:p w14:paraId="7237783D" w14:textId="77777777" w:rsidR="000D486A" w:rsidRPr="00E27349" w:rsidRDefault="000D486A" w:rsidP="000D486A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sz w:val="20"/>
              </w:rPr>
              <w:t xml:space="preserve">Crown Revenue and Receipts: </w:t>
            </w:r>
          </w:p>
          <w:p w14:paraId="550CA01D" w14:textId="77777777" w:rsidR="000D486A" w:rsidRPr="00E27349" w:rsidRDefault="000D486A" w:rsidP="000D486A">
            <w:pPr>
              <w:rPr>
                <w:rFonts w:ascii="Verdana" w:hAnsi="Verdana"/>
                <w:sz w:val="20"/>
              </w:rPr>
            </w:pPr>
            <w:r w:rsidRPr="00E27349">
              <w:rPr>
                <w:rFonts w:ascii="Verdana" w:hAnsi="Verdana"/>
                <w:sz w:val="20"/>
              </w:rPr>
              <w:t>Tax Revenue</w:t>
            </w:r>
          </w:p>
        </w:tc>
        <w:tc>
          <w:tcPr>
            <w:tcW w:w="1230" w:type="dxa"/>
          </w:tcPr>
          <w:p w14:paraId="60675E5C" w14:textId="3F4EF2C9" w:rsidR="000D486A" w:rsidRPr="00E27349" w:rsidRDefault="000D486A" w:rsidP="000D486A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3.000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336" w:type="dxa"/>
          </w:tcPr>
          <w:p w14:paraId="789BE9DA" w14:textId="52C4E3D5" w:rsidR="000D486A" w:rsidRPr="00E27349" w:rsidRDefault="000D486A" w:rsidP="000D486A">
            <w:pPr>
              <w:rPr>
                <w:rFonts w:ascii="Verdana" w:hAnsi="Verdana"/>
                <w:color w:val="FF0000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5" w:type="dxa"/>
          </w:tcPr>
          <w:p w14:paraId="106748C2" w14:textId="666541E9" w:rsidR="000D486A" w:rsidRPr="00E27349" w:rsidRDefault="000D486A" w:rsidP="000D486A">
            <w:pPr>
              <w:rPr>
                <w:rFonts w:ascii="Verdana" w:hAnsi="Verdana"/>
                <w:color w:val="FF0000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276" w:type="dxa"/>
          </w:tcPr>
          <w:p w14:paraId="655EF7FE" w14:textId="559E7830" w:rsidR="000D486A" w:rsidRPr="00E27349" w:rsidRDefault="000D486A" w:rsidP="000D486A">
            <w:pPr>
              <w:rPr>
                <w:rFonts w:ascii="Verdana" w:hAnsi="Verdana"/>
                <w:color w:val="FF0000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559" w:type="dxa"/>
          </w:tcPr>
          <w:p w14:paraId="075CA9FD" w14:textId="3B759C89" w:rsidR="000D486A" w:rsidRPr="00E27349" w:rsidRDefault="000D486A" w:rsidP="000D486A">
            <w:pPr>
              <w:rPr>
                <w:rFonts w:ascii="Verdana" w:hAnsi="Verdana"/>
                <w:sz w:val="20"/>
              </w:rPr>
            </w:pPr>
            <w:r w:rsidRPr="00DC6E45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19.000</w:t>
            </w:r>
            <w:r w:rsidRPr="00DC6E45">
              <w:rPr>
                <w:rFonts w:ascii="Verdana" w:hAnsi="Verdana"/>
                <w:sz w:val="20"/>
              </w:rPr>
              <w:t>)</w:t>
            </w:r>
          </w:p>
        </w:tc>
      </w:tr>
      <w:tr w:rsidR="000D486A" w:rsidRPr="00E63639" w14:paraId="57BCE4D1" w14:textId="77777777" w:rsidTr="00A13070">
        <w:tc>
          <w:tcPr>
            <w:tcW w:w="1829" w:type="dxa"/>
          </w:tcPr>
          <w:p w14:paraId="44FC7C89" w14:textId="77777777" w:rsidR="000D486A" w:rsidRPr="00E27349" w:rsidRDefault="000D486A" w:rsidP="000D486A">
            <w:pPr>
              <w:rPr>
                <w:rFonts w:ascii="Verdana" w:hAnsi="Verdana"/>
                <w:b/>
                <w:sz w:val="20"/>
              </w:rPr>
            </w:pPr>
            <w:r w:rsidRPr="00E27349">
              <w:rPr>
                <w:rFonts w:ascii="Verdana" w:hAnsi="Verdana"/>
                <w:b/>
                <w:sz w:val="20"/>
              </w:rPr>
              <w:t>Total Operating</w:t>
            </w:r>
          </w:p>
        </w:tc>
        <w:tc>
          <w:tcPr>
            <w:tcW w:w="1230" w:type="dxa"/>
          </w:tcPr>
          <w:p w14:paraId="25427A59" w14:textId="4BC59FD2" w:rsidR="000D486A" w:rsidRPr="00E27349" w:rsidRDefault="000D486A" w:rsidP="000D486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3.000</w:t>
            </w:r>
          </w:p>
        </w:tc>
        <w:tc>
          <w:tcPr>
            <w:tcW w:w="1336" w:type="dxa"/>
          </w:tcPr>
          <w:p w14:paraId="025C755D" w14:textId="4E9B2F1E" w:rsidR="000D486A" w:rsidRPr="00E27349" w:rsidRDefault="000D486A" w:rsidP="000D4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275" w:type="dxa"/>
          </w:tcPr>
          <w:p w14:paraId="300F19C6" w14:textId="6AB0A583" w:rsidR="000D486A" w:rsidRPr="00E27349" w:rsidRDefault="000D486A" w:rsidP="000D4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276" w:type="dxa"/>
          </w:tcPr>
          <w:p w14:paraId="4E5C821E" w14:textId="23EA0E42" w:rsidR="000D486A" w:rsidRPr="00E27349" w:rsidRDefault="000D486A" w:rsidP="000D4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  <w:tc>
          <w:tcPr>
            <w:tcW w:w="1559" w:type="dxa"/>
          </w:tcPr>
          <w:p w14:paraId="4DF8AACA" w14:textId="3A7FCD97" w:rsidR="000D486A" w:rsidRPr="00E27349" w:rsidRDefault="000D486A" w:rsidP="000D486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19.000</w:t>
            </w:r>
          </w:p>
        </w:tc>
      </w:tr>
    </w:tbl>
    <w:p w14:paraId="04A3132D" w14:textId="09789ABE" w:rsidR="00DA5EF7" w:rsidRPr="00BE7632" w:rsidRDefault="00DA5EF7" w:rsidP="00DA5EF7"/>
    <w:p w14:paraId="72D5114F" w14:textId="3E4D9A1C" w:rsidR="00E501F3" w:rsidRPr="00BE634D" w:rsidRDefault="00BE7632" w:rsidP="00BE634D">
      <w:pPr>
        <w:pStyle w:val="NumberedParagraphCabStandard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BE7632">
        <w:rPr>
          <w:rFonts w:ascii="Verdana" w:hAnsi="Verdana"/>
          <w:sz w:val="20"/>
          <w:szCs w:val="20"/>
        </w:rPr>
        <w:t>The decrease in the underpayment rate results in a decrease in expenditure for impairment of debt and debt write-off costs. Revenue from the underpayment rate is impaired by 80% in the Crown accounts to reflect that most UOMI charged is never paid. The total reduction in impairment expenditure is $162 million over the forecast period. This impact on appropriations is shown below:</w:t>
      </w:r>
    </w:p>
    <w:p w14:paraId="386954F5" w14:textId="77777777" w:rsidR="00E501F3" w:rsidRDefault="00E501F3" w:rsidP="00DA5EF7"/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835"/>
        <w:gridCol w:w="1218"/>
        <w:gridCol w:w="1344"/>
        <w:gridCol w:w="1281"/>
        <w:gridCol w:w="1268"/>
        <w:gridCol w:w="1552"/>
      </w:tblGrid>
      <w:tr w:rsidR="00DA5EF7" w:rsidRPr="00E63639" w14:paraId="36C45E3A" w14:textId="77777777" w:rsidTr="00A13070">
        <w:tc>
          <w:tcPr>
            <w:tcW w:w="1835" w:type="dxa"/>
            <w:tcBorders>
              <w:top w:val="nil"/>
              <w:left w:val="nil"/>
            </w:tcBorders>
          </w:tcPr>
          <w:p w14:paraId="7F235260" w14:textId="77777777" w:rsidR="00DA5EF7" w:rsidRPr="00E63639" w:rsidRDefault="00DA5EF7" w:rsidP="001815D8">
            <w:pPr>
              <w:rPr>
                <w:sz w:val="20"/>
              </w:rPr>
            </w:pPr>
          </w:p>
        </w:tc>
        <w:tc>
          <w:tcPr>
            <w:tcW w:w="1218" w:type="dxa"/>
          </w:tcPr>
          <w:p w14:paraId="091C3373" w14:textId="77777777" w:rsidR="00DA5EF7" w:rsidRPr="00E63639" w:rsidRDefault="00DA5EF7" w:rsidP="001815D8">
            <w:pPr>
              <w:rPr>
                <w:b/>
                <w:sz w:val="20"/>
              </w:rPr>
            </w:pPr>
          </w:p>
        </w:tc>
        <w:tc>
          <w:tcPr>
            <w:tcW w:w="3893" w:type="dxa"/>
            <w:gridSpan w:val="3"/>
          </w:tcPr>
          <w:p w14:paraId="19EE7EF3" w14:textId="77777777" w:rsidR="00DA5EF7" w:rsidRPr="00E63639" w:rsidRDefault="00DA5EF7" w:rsidP="001815D8">
            <w:pPr>
              <w:rPr>
                <w:b/>
                <w:sz w:val="20"/>
              </w:rPr>
            </w:pPr>
            <w:r w:rsidRPr="00E63639">
              <w:rPr>
                <w:b/>
                <w:sz w:val="20"/>
              </w:rPr>
              <w:t>$ millions increase</w:t>
            </w:r>
            <w:r>
              <w:rPr>
                <w:b/>
                <w:sz w:val="20"/>
              </w:rPr>
              <w:t xml:space="preserve"> </w:t>
            </w:r>
            <w:r w:rsidRPr="00E63639">
              <w:rPr>
                <w:b/>
                <w:sz w:val="20"/>
              </w:rPr>
              <w:t>(decrease)</w:t>
            </w:r>
          </w:p>
        </w:tc>
        <w:tc>
          <w:tcPr>
            <w:tcW w:w="1552" w:type="dxa"/>
          </w:tcPr>
          <w:p w14:paraId="6D88DE48" w14:textId="77777777" w:rsidR="00DA5EF7" w:rsidRPr="00E63639" w:rsidRDefault="00DA5EF7" w:rsidP="001815D8">
            <w:pPr>
              <w:rPr>
                <w:b/>
                <w:sz w:val="20"/>
              </w:rPr>
            </w:pPr>
          </w:p>
        </w:tc>
      </w:tr>
      <w:tr w:rsidR="00DA5EF7" w:rsidRPr="00E63639" w14:paraId="03E3EA07" w14:textId="77777777" w:rsidTr="00A13070">
        <w:tc>
          <w:tcPr>
            <w:tcW w:w="1835" w:type="dxa"/>
          </w:tcPr>
          <w:p w14:paraId="265FAA78" w14:textId="77777777" w:rsidR="00DA5EF7" w:rsidRPr="00E63639" w:rsidRDefault="00DA5EF7" w:rsidP="001815D8">
            <w:pPr>
              <w:rPr>
                <w:b/>
                <w:sz w:val="20"/>
              </w:rPr>
            </w:pPr>
            <w:r w:rsidRPr="00E63639">
              <w:rPr>
                <w:b/>
                <w:sz w:val="20"/>
              </w:rPr>
              <w:t>Vote Revenue</w:t>
            </w:r>
          </w:p>
          <w:p w14:paraId="3F1B7770" w14:textId="77777777" w:rsidR="00DA5EF7" w:rsidRPr="00E63639" w:rsidRDefault="00DA5EF7" w:rsidP="001815D8">
            <w:pPr>
              <w:rPr>
                <w:sz w:val="20"/>
              </w:rPr>
            </w:pPr>
            <w:r w:rsidRPr="00E63639">
              <w:rPr>
                <w:b/>
                <w:sz w:val="20"/>
              </w:rPr>
              <w:t>Minister of Revenue</w:t>
            </w:r>
          </w:p>
        </w:tc>
        <w:tc>
          <w:tcPr>
            <w:tcW w:w="1218" w:type="dxa"/>
          </w:tcPr>
          <w:p w14:paraId="1BC1E639" w14:textId="77777777" w:rsidR="00DA5EF7" w:rsidRPr="00A13070" w:rsidRDefault="00DA5EF7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2019/20</w:t>
            </w:r>
          </w:p>
        </w:tc>
        <w:tc>
          <w:tcPr>
            <w:tcW w:w="1344" w:type="dxa"/>
          </w:tcPr>
          <w:p w14:paraId="78A9C6B6" w14:textId="77777777" w:rsidR="00DA5EF7" w:rsidRPr="00A13070" w:rsidRDefault="00DA5EF7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2020/21</w:t>
            </w:r>
          </w:p>
        </w:tc>
        <w:tc>
          <w:tcPr>
            <w:tcW w:w="1281" w:type="dxa"/>
          </w:tcPr>
          <w:p w14:paraId="24392230" w14:textId="77777777" w:rsidR="00DA5EF7" w:rsidRPr="00A13070" w:rsidRDefault="00DA5EF7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2021/22</w:t>
            </w:r>
          </w:p>
        </w:tc>
        <w:tc>
          <w:tcPr>
            <w:tcW w:w="1268" w:type="dxa"/>
          </w:tcPr>
          <w:p w14:paraId="3EE15ED5" w14:textId="77777777" w:rsidR="00DA5EF7" w:rsidRPr="00A13070" w:rsidRDefault="00DA5EF7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 xml:space="preserve">2022/23 </w:t>
            </w:r>
          </w:p>
        </w:tc>
        <w:tc>
          <w:tcPr>
            <w:tcW w:w="1552" w:type="dxa"/>
          </w:tcPr>
          <w:p w14:paraId="66FFF196" w14:textId="77777777" w:rsidR="00DA5EF7" w:rsidRPr="00A13070" w:rsidRDefault="00DA5EF7" w:rsidP="001815D8">
            <w:pPr>
              <w:rPr>
                <w:b/>
                <w:bCs/>
                <w:sz w:val="20"/>
              </w:rPr>
            </w:pPr>
            <w:r w:rsidRPr="00A13070">
              <w:rPr>
                <w:b/>
                <w:bCs/>
                <w:sz w:val="20"/>
              </w:rPr>
              <w:t>2023/24 &amp; outyears</w:t>
            </w:r>
          </w:p>
        </w:tc>
      </w:tr>
      <w:tr w:rsidR="000D486A" w:rsidRPr="00E63639" w14:paraId="48C53F75" w14:textId="77777777" w:rsidTr="00A13070">
        <w:tc>
          <w:tcPr>
            <w:tcW w:w="1835" w:type="dxa"/>
          </w:tcPr>
          <w:p w14:paraId="5995BC8C" w14:textId="77777777" w:rsidR="000D486A" w:rsidRPr="00E63639" w:rsidRDefault="000D486A" w:rsidP="000D486A">
            <w:pPr>
              <w:rPr>
                <w:sz w:val="20"/>
              </w:rPr>
            </w:pPr>
            <w:r w:rsidRPr="00E63639">
              <w:rPr>
                <w:sz w:val="20"/>
              </w:rPr>
              <w:t>Non-Departmental Other Expense: Impairment of debt and debt write-offs</w:t>
            </w:r>
            <w:r>
              <w:rPr>
                <w:sz w:val="20"/>
              </w:rPr>
              <w:t xml:space="preserve"> (funded by Revenue Crown)</w:t>
            </w:r>
          </w:p>
        </w:tc>
        <w:tc>
          <w:tcPr>
            <w:tcW w:w="1218" w:type="dxa"/>
          </w:tcPr>
          <w:p w14:paraId="606F34ED" w14:textId="412AE1A0" w:rsidR="000D486A" w:rsidRDefault="000D486A" w:rsidP="000D486A">
            <w:pPr>
              <w:rPr>
                <w:sz w:val="20"/>
              </w:rPr>
            </w:pPr>
            <w:r w:rsidRPr="003C6504">
              <w:rPr>
                <w:sz w:val="20"/>
              </w:rPr>
              <w:t>(6.000)</w:t>
            </w:r>
          </w:p>
        </w:tc>
        <w:tc>
          <w:tcPr>
            <w:tcW w:w="1344" w:type="dxa"/>
          </w:tcPr>
          <w:p w14:paraId="254E61C8" w14:textId="251E7D69" w:rsidR="000D486A" w:rsidRPr="00D80F48" w:rsidRDefault="000D486A" w:rsidP="000D486A">
            <w:pPr>
              <w:rPr>
                <w:color w:val="FF0000"/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281" w:type="dxa"/>
          </w:tcPr>
          <w:p w14:paraId="4B0A0EE5" w14:textId="1DBDE729" w:rsidR="000D486A" w:rsidRPr="00D80F48" w:rsidRDefault="000D486A" w:rsidP="000D486A">
            <w:pPr>
              <w:rPr>
                <w:color w:val="FF0000"/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268" w:type="dxa"/>
          </w:tcPr>
          <w:p w14:paraId="5BEA4DD7" w14:textId="1959C459" w:rsidR="000D486A" w:rsidRPr="00D80F48" w:rsidRDefault="000D486A" w:rsidP="000D486A">
            <w:pPr>
              <w:rPr>
                <w:color w:val="FF0000"/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  <w:tc>
          <w:tcPr>
            <w:tcW w:w="1552" w:type="dxa"/>
          </w:tcPr>
          <w:p w14:paraId="46B92B77" w14:textId="23CE4381" w:rsidR="000D486A" w:rsidRDefault="000D486A" w:rsidP="000D486A">
            <w:pPr>
              <w:rPr>
                <w:sz w:val="20"/>
              </w:rPr>
            </w:pPr>
            <w:r w:rsidRPr="003C6504">
              <w:rPr>
                <w:sz w:val="20"/>
              </w:rPr>
              <w:t>(39.000)</w:t>
            </w:r>
          </w:p>
        </w:tc>
      </w:tr>
      <w:tr w:rsidR="000D486A" w:rsidRPr="00E63639" w14:paraId="73466AE0" w14:textId="77777777" w:rsidTr="00A13070">
        <w:tc>
          <w:tcPr>
            <w:tcW w:w="1835" w:type="dxa"/>
          </w:tcPr>
          <w:p w14:paraId="5220536E" w14:textId="77777777" w:rsidR="000D486A" w:rsidRPr="00E103D4" w:rsidRDefault="000D486A" w:rsidP="000D48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Operating</w:t>
            </w:r>
          </w:p>
        </w:tc>
        <w:tc>
          <w:tcPr>
            <w:tcW w:w="1218" w:type="dxa"/>
          </w:tcPr>
          <w:p w14:paraId="3D2D7A54" w14:textId="3B00760B" w:rsidR="000D486A" w:rsidRDefault="000D486A" w:rsidP="000D486A">
            <w:pPr>
              <w:rPr>
                <w:sz w:val="20"/>
              </w:rPr>
            </w:pPr>
            <w:r w:rsidRPr="003C6504">
              <w:rPr>
                <w:b/>
                <w:bCs/>
                <w:sz w:val="20"/>
              </w:rPr>
              <w:t>(6.000)</w:t>
            </w:r>
          </w:p>
        </w:tc>
        <w:tc>
          <w:tcPr>
            <w:tcW w:w="1344" w:type="dxa"/>
          </w:tcPr>
          <w:p w14:paraId="14BABA6A" w14:textId="1BBD5718" w:rsidR="000D486A" w:rsidRPr="00E103D4" w:rsidRDefault="000D486A" w:rsidP="000D486A">
            <w:pPr>
              <w:rPr>
                <w:b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281" w:type="dxa"/>
          </w:tcPr>
          <w:p w14:paraId="5A8E3C70" w14:textId="49C2F80E" w:rsidR="000D486A" w:rsidRPr="00E103D4" w:rsidRDefault="000D486A" w:rsidP="000D486A">
            <w:pPr>
              <w:rPr>
                <w:b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268" w:type="dxa"/>
          </w:tcPr>
          <w:p w14:paraId="1DB17CEA" w14:textId="57B2FDBD" w:rsidR="000D486A" w:rsidRPr="00E103D4" w:rsidRDefault="000D486A" w:rsidP="000D486A">
            <w:pPr>
              <w:rPr>
                <w:b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  <w:tc>
          <w:tcPr>
            <w:tcW w:w="1552" w:type="dxa"/>
          </w:tcPr>
          <w:p w14:paraId="3D11E9E2" w14:textId="08BD0E89" w:rsidR="000D486A" w:rsidRPr="00E103D4" w:rsidRDefault="000D486A" w:rsidP="000D486A">
            <w:pPr>
              <w:rPr>
                <w:b/>
                <w:sz w:val="20"/>
              </w:rPr>
            </w:pPr>
            <w:r w:rsidRPr="003C6504">
              <w:rPr>
                <w:b/>
                <w:bCs/>
                <w:sz w:val="20"/>
              </w:rPr>
              <w:t>(39.000)</w:t>
            </w:r>
          </w:p>
        </w:tc>
      </w:tr>
    </w:tbl>
    <w:p w14:paraId="6ED59A40" w14:textId="48092C2D" w:rsidR="005E280D" w:rsidRDefault="005E280D" w:rsidP="005B5BC7">
      <w:pPr>
        <w:pStyle w:val="NumberedParagraph"/>
        <w:numPr>
          <w:ilvl w:val="0"/>
          <w:numId w:val="0"/>
        </w:numPr>
      </w:pPr>
    </w:p>
    <w:p w14:paraId="02BB97A6" w14:textId="5B4FC5D3" w:rsidR="00BE634D" w:rsidRDefault="00860912" w:rsidP="005B5BC7">
      <w:pPr>
        <w:pStyle w:val="NumberedParagraph"/>
      </w:pPr>
      <w:r>
        <w:t>The overall effect of the decrease in revenue of $79 million and the decrease in impairment expenditure of $162 million is a positive</w:t>
      </w:r>
      <w:r w:rsidR="006574E4">
        <w:t xml:space="preserve"> net</w:t>
      </w:r>
      <w:r>
        <w:t xml:space="preserve"> </w:t>
      </w:r>
      <w:r w:rsidR="00672A4C">
        <w:t>fiscal</w:t>
      </w:r>
      <w:r>
        <w:t xml:space="preserve"> impact of $83 million.</w:t>
      </w:r>
    </w:p>
    <w:p w14:paraId="22F0A2F3" w14:textId="592F32C5" w:rsidR="005B5BC7" w:rsidRDefault="00A01C2D" w:rsidP="005B5BC7">
      <w:pPr>
        <w:pStyle w:val="NumberedParagraph"/>
      </w:pPr>
      <w:r>
        <w:t>These revenue implications are a forecasting change only</w:t>
      </w:r>
      <w:r w:rsidR="00B22905">
        <w:t xml:space="preserve"> as they result from an existing policy</w:t>
      </w:r>
      <w:r w:rsidR="007F335F">
        <w:t xml:space="preserve">. There is no </w:t>
      </w:r>
      <w:r w:rsidR="00130E6D">
        <w:t xml:space="preserve">impact on the scorecard from the </w:t>
      </w:r>
      <w:r w:rsidR="00B560C2">
        <w:t xml:space="preserve">proposed </w:t>
      </w:r>
      <w:r w:rsidR="00130E6D">
        <w:t>adjustment</w:t>
      </w:r>
      <w:r w:rsidR="00B560C2">
        <w:t>s</w:t>
      </w:r>
      <w:r w:rsidR="00130E6D">
        <w:t xml:space="preserve"> to the UOMI rates. </w:t>
      </w:r>
    </w:p>
    <w:p w14:paraId="6E25AF2B" w14:textId="4F8C3D24" w:rsidR="00E96FE2" w:rsidRPr="00A813ED" w:rsidRDefault="00E96FE2" w:rsidP="005B5BC7">
      <w:pPr>
        <w:pStyle w:val="NumberedParagraph"/>
      </w:pPr>
      <w:r>
        <w:t xml:space="preserve">If the </w:t>
      </w:r>
      <w:r w:rsidR="0049051D">
        <w:t>commencement</w:t>
      </w:r>
      <w:r>
        <w:t xml:space="preserve"> date for changes to the UOMI rates is 29 August 2020, then it is likely that the</w:t>
      </w:r>
      <w:r w:rsidR="0049051D">
        <w:t xml:space="preserve"> new</w:t>
      </w:r>
      <w:r>
        <w:t xml:space="preserve"> rates at that time will be different from the new rates outlined in this report and the attached Cabinet paper.</w:t>
      </w:r>
      <w:r w:rsidR="00A77BC6">
        <w:t xml:space="preserve"> In that case, we will report to you at a future date with an updated Cabinet </w:t>
      </w:r>
      <w:r w:rsidR="00F97253">
        <w:t xml:space="preserve">paper detailing the new rates and their corresponding fiscal impacts. </w:t>
      </w:r>
    </w:p>
    <w:p w14:paraId="44D3B425" w14:textId="1CBA7882" w:rsidR="00811AC6" w:rsidRDefault="00B75775" w:rsidP="00FE256A">
      <w:pPr>
        <w:pStyle w:val="Heading1"/>
      </w:pPr>
      <w:r>
        <w:t>Consultation</w:t>
      </w:r>
    </w:p>
    <w:p w14:paraId="4668836B" w14:textId="62F772CC" w:rsidR="00811AC6" w:rsidRDefault="00082403" w:rsidP="00966477">
      <w:pPr>
        <w:pStyle w:val="NumberedParagraph"/>
      </w:pPr>
      <w:r w:rsidRPr="003C1D14">
        <w:t xml:space="preserve">The Treasury has been consulted in the preparation of this report and agrees </w:t>
      </w:r>
      <w:r w:rsidR="00B4586A" w:rsidRPr="003C1D14">
        <w:t>with its contents, including Inland Revenue’</w:t>
      </w:r>
      <w:r w:rsidR="0083033F" w:rsidRPr="003C1D14">
        <w:t>s</w:t>
      </w:r>
      <w:r w:rsidR="00B4586A" w:rsidRPr="003C1D14">
        <w:t xml:space="preserve"> recommendation for a</w:t>
      </w:r>
      <w:r w:rsidR="00800EC5" w:rsidRPr="003C1D14">
        <w:t xml:space="preserve"> commencement </w:t>
      </w:r>
      <w:r w:rsidR="00B4586A" w:rsidRPr="003C1D14">
        <w:t>date of 8 May 2020</w:t>
      </w:r>
      <w:r w:rsidR="00F4799E">
        <w:t>.</w:t>
      </w:r>
    </w:p>
    <w:p w14:paraId="62A4C740" w14:textId="77777777" w:rsidR="00811AC6" w:rsidRDefault="00811AC6" w:rsidP="00FE256A">
      <w:pPr>
        <w:pStyle w:val="Heading1"/>
      </w:pPr>
      <w:r>
        <w:t>Next steps</w:t>
      </w:r>
    </w:p>
    <w:p w14:paraId="5EFB1711" w14:textId="668861E1" w:rsidR="00555513" w:rsidRDefault="00B31082" w:rsidP="00555513">
      <w:pPr>
        <w:pStyle w:val="NumberedParagraph"/>
      </w:pPr>
      <w:r>
        <w:t xml:space="preserve">If you choose for the </w:t>
      </w:r>
      <w:r w:rsidR="00541705">
        <w:t xml:space="preserve">new </w:t>
      </w:r>
      <w:r>
        <w:t>UOMI rate</w:t>
      </w:r>
      <w:r w:rsidR="00541705">
        <w:t>s to come into force on 8 May 2020</w:t>
      </w:r>
      <w:r w:rsidR="00AA24C6">
        <w:t xml:space="preserve">, it is proposed that the </w:t>
      </w:r>
      <w:r w:rsidR="003513BB">
        <w:t>Order in Council</w:t>
      </w:r>
      <w:r w:rsidR="00DF4FF1">
        <w:t xml:space="preserve"> </w:t>
      </w:r>
      <w:r w:rsidR="005C1D56">
        <w:t xml:space="preserve">be submitted to the Cabinet Office by </w:t>
      </w:r>
      <w:r w:rsidR="00AE1C5A">
        <w:t>10am, Thursday 30 April 2020</w:t>
      </w:r>
      <w:r w:rsidR="005975EB">
        <w:t xml:space="preserve"> for Cabinet’s meeting</w:t>
      </w:r>
      <w:r w:rsidR="00941792">
        <w:t xml:space="preserve"> and</w:t>
      </w:r>
      <w:r w:rsidR="00DE7F29">
        <w:t xml:space="preserve"> the</w:t>
      </w:r>
      <w:r w:rsidR="00941792">
        <w:t xml:space="preserve"> Executive Council</w:t>
      </w:r>
      <w:r w:rsidR="005975EB">
        <w:t xml:space="preserve"> on Monday 4 May 2020. </w:t>
      </w:r>
      <w:r w:rsidR="007100D0">
        <w:t xml:space="preserve">Officials will prepare speaking notes for taking the attached paper directly to Cabinet if </w:t>
      </w:r>
      <w:r w:rsidR="009E4EB9">
        <w:t>you agree to this option</w:t>
      </w:r>
      <w:r w:rsidR="007100D0">
        <w:t xml:space="preserve">. </w:t>
      </w:r>
    </w:p>
    <w:p w14:paraId="2633C2D2" w14:textId="00BE3AC2" w:rsidR="00555513" w:rsidRDefault="00555513" w:rsidP="00555513">
      <w:pPr>
        <w:pStyle w:val="NumberedParagraph"/>
      </w:pPr>
      <w:r>
        <w:t xml:space="preserve">If you choose for the new UOMI rates to come into force on </w:t>
      </w:r>
      <w:r w:rsidR="00E06CF8">
        <w:t xml:space="preserve">29 August </w:t>
      </w:r>
      <w:r>
        <w:t>2020</w:t>
      </w:r>
      <w:r w:rsidR="00FF7E5E">
        <w:t>, the rates outline</w:t>
      </w:r>
      <w:r w:rsidR="001E2CEA">
        <w:t>d</w:t>
      </w:r>
      <w:r w:rsidR="00FF7E5E">
        <w:t xml:space="preserve"> in this report will still need </w:t>
      </w:r>
      <w:r w:rsidR="00022F0C">
        <w:t>to be changed</w:t>
      </w:r>
      <w:r w:rsidR="00E06CF8">
        <w:t>,</w:t>
      </w:r>
      <w:r w:rsidR="00D459EE">
        <w:t xml:space="preserve"> but it is likely that the new rates will be different from those outlined here once allowing for more up-to-date data.</w:t>
      </w:r>
      <w:r w:rsidR="00E06CF8">
        <w:t xml:space="preserve"> </w:t>
      </w:r>
      <w:r w:rsidR="00D459EE">
        <w:t>O</w:t>
      </w:r>
      <w:r w:rsidR="00E06CF8">
        <w:t xml:space="preserve">fficials will </w:t>
      </w:r>
      <w:r w:rsidR="00CD4C6D">
        <w:t>provide</w:t>
      </w:r>
      <w:r w:rsidR="00E06CF8">
        <w:t xml:space="preserve"> you with an update</w:t>
      </w:r>
      <w:r w:rsidR="001E2CEA">
        <w:t>d</w:t>
      </w:r>
      <w:r w:rsidR="00E06CF8">
        <w:t xml:space="preserve"> Cabinet paper closer to t</w:t>
      </w:r>
      <w:r w:rsidR="001E2CEA">
        <w:t xml:space="preserve">he August </w:t>
      </w:r>
      <w:r w:rsidR="00A92222">
        <w:t>commencement</w:t>
      </w:r>
      <w:r w:rsidR="001E2CEA">
        <w:t xml:space="preserve"> date.</w:t>
      </w:r>
      <w:r w:rsidR="007100D0">
        <w:t xml:space="preserve"> This option will likely not require a </w:t>
      </w:r>
      <w:r w:rsidR="008F3B94">
        <w:t>paper to be taken directly to Cabinet</w:t>
      </w:r>
      <w:r w:rsidR="00BE1623">
        <w:t xml:space="preserve"> since there will be no time pressure. Instead, a paper will likely be taken</w:t>
      </w:r>
      <w:r w:rsidR="008F3B94">
        <w:t xml:space="preserve"> to the Cabinet Legislation Committee with subsequent approval at Cabinet</w:t>
      </w:r>
      <w:r w:rsidR="00BE1623">
        <w:t xml:space="preserve"> (the normal process for changes to UOMI rates)</w:t>
      </w:r>
      <w:r w:rsidR="008F3B94">
        <w:t xml:space="preserve">. </w:t>
      </w:r>
    </w:p>
    <w:sectPr w:rsidR="00555513" w:rsidSect="00E331E1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375FE" w14:textId="77777777" w:rsidR="00535AA3" w:rsidRDefault="00535AA3" w:rsidP="002F43C5">
      <w:pPr>
        <w:spacing w:line="240" w:lineRule="auto"/>
      </w:pPr>
      <w:r>
        <w:separator/>
      </w:r>
    </w:p>
  </w:endnote>
  <w:endnote w:type="continuationSeparator" w:id="0">
    <w:p w14:paraId="00DAE8F8" w14:textId="77777777" w:rsidR="00535AA3" w:rsidRDefault="00535AA3" w:rsidP="002F4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FB70" w14:textId="77777777" w:rsidR="006265BF" w:rsidRDefault="006265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BB92B7" wp14:editId="20F8690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06e6418ca5e6776a7bbd26a3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61BAEA" w14:textId="77777777" w:rsidR="006265BF" w:rsidRPr="006265BF" w:rsidRDefault="006265BF" w:rsidP="006265B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265BF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BB92B7" id="_x0000_t202" coordsize="21600,21600" o:spt="202" path="m,l,21600r21600,l21600,xe">
              <v:stroke joinstyle="miter"/>
              <v:path gradientshapeok="t" o:connecttype="rect"/>
            </v:shapetype>
            <v:shape id="MSIPCM06e6418ca5e6776a7bbd26a3" o:spid="_x0000_s1026" type="#_x0000_t202" alt="{&quot;HashCode&quot;:4043168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gc813qwCAABF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3761BAEA" w14:textId="77777777" w:rsidR="006265BF" w:rsidRPr="006265BF" w:rsidRDefault="006265BF" w:rsidP="006265BF">
                    <w:pPr>
                      <w:jc w:val="center"/>
                      <w:rPr>
                        <w:color w:val="000000"/>
                      </w:rPr>
                    </w:pPr>
                    <w:r w:rsidRPr="006265BF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9E76" w14:textId="7F3228F6" w:rsidR="00E331E1" w:rsidRPr="00E331E1" w:rsidRDefault="006265BF" w:rsidP="00E331E1">
    <w:pPr>
      <w:pStyle w:val="Footer"/>
      <w:tabs>
        <w:tab w:val="clear" w:pos="4513"/>
      </w:tabs>
    </w:pPr>
    <w:r>
      <w:rPr>
        <w:noProof/>
        <w:lang w:val="mi-N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E2C0DB" wp14:editId="3A0D870C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f5be411da5b2c80afffb6753" descr="{&quot;HashCode&quot;:404316862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392FB1" w14:textId="77777777" w:rsidR="006265BF" w:rsidRPr="006265BF" w:rsidRDefault="006265BF" w:rsidP="006265B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6265BF">
                            <w:rPr>
                              <w:color w:val="000000"/>
                            </w:rPr>
                            <w:t>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E2C0DB" id="_x0000_t202" coordsize="21600,21600" o:spt="202" path="m,l,21600r21600,l21600,xe">
              <v:stroke joinstyle="miter"/>
              <v:path gradientshapeok="t" o:connecttype="rect"/>
            </v:shapetype>
            <v:shape id="MSIPCMf5be411da5b2c80afffb6753" o:spid="_x0000_s1027" type="#_x0000_t202" alt="{&quot;HashCode&quot;:404316862,&quot;Height&quot;:841.0,&quot;Width&quot;:595.0,&quot;Placement&quot;:&quot;Footer&quot;,&quot;Index&quot;:&quot;Primary&quot;,&quot;Section&quot;:2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fXe8TrgIAAEw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F392FB1" w14:textId="77777777" w:rsidR="006265BF" w:rsidRPr="006265BF" w:rsidRDefault="006265BF" w:rsidP="006265BF">
                    <w:pPr>
                      <w:jc w:val="center"/>
                      <w:rPr>
                        <w:color w:val="000000"/>
                      </w:rPr>
                    </w:pPr>
                    <w:r w:rsidRPr="006265BF">
                      <w:rPr>
                        <w:color w:val="000000"/>
                      </w:rPr>
                      <w:t>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31E1">
      <w:rPr>
        <w:lang w:val="mi-NZ"/>
      </w:rPr>
      <w:t>IR20</w:t>
    </w:r>
    <w:r w:rsidR="00FF7FF3">
      <w:rPr>
        <w:lang w:val="mi-NZ"/>
      </w:rPr>
      <w:t>20</w:t>
    </w:r>
    <w:r w:rsidR="00E331E1">
      <w:rPr>
        <w:lang w:val="mi-NZ"/>
      </w:rPr>
      <w:t>/</w:t>
    </w:r>
    <w:r w:rsidR="00FF7FF3">
      <w:rPr>
        <w:lang w:val="mi-NZ"/>
      </w:rPr>
      <w:t>223</w:t>
    </w:r>
    <w:r w:rsidR="00E331E1">
      <w:rPr>
        <w:lang w:val="mi-NZ"/>
      </w:rPr>
      <w:t xml:space="preserve">: </w:t>
    </w:r>
    <w:r w:rsidR="00FF7FF3">
      <w:rPr>
        <w:lang w:val="mi-NZ"/>
      </w:rPr>
      <w:t>Cabinet paper: Use of money interest rates review</w:t>
    </w:r>
    <w:r w:rsidR="00E331E1"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E331E1" w:rsidRPr="00E331E1">
          <w:t xml:space="preserve">Page </w:t>
        </w:r>
        <w:r w:rsidR="00E331E1" w:rsidRPr="00E331E1">
          <w:rPr>
            <w:b/>
            <w:bCs/>
          </w:rPr>
          <w:fldChar w:fldCharType="begin"/>
        </w:r>
        <w:r w:rsidR="00E331E1" w:rsidRPr="00E331E1">
          <w:rPr>
            <w:b/>
            <w:bCs/>
          </w:rPr>
          <w:instrText xml:space="preserve"> PAGE </w:instrText>
        </w:r>
        <w:r w:rsidR="00E331E1" w:rsidRPr="00E331E1">
          <w:rPr>
            <w:b/>
            <w:bCs/>
          </w:rPr>
          <w:fldChar w:fldCharType="separate"/>
        </w:r>
        <w:r w:rsidR="00E331E1" w:rsidRPr="00E331E1">
          <w:rPr>
            <w:b/>
            <w:bCs/>
          </w:rPr>
          <w:t>1</w:t>
        </w:r>
        <w:r w:rsidR="00E331E1" w:rsidRPr="00E331E1">
          <w:rPr>
            <w:lang w:val="mi-NZ"/>
          </w:rPr>
          <w:fldChar w:fldCharType="end"/>
        </w:r>
        <w:r w:rsidR="00E331E1" w:rsidRPr="00E331E1">
          <w:t xml:space="preserve"> of </w:t>
        </w:r>
        <w:r w:rsidR="00E331E1" w:rsidRPr="00E331E1">
          <w:rPr>
            <w:b/>
            <w:bCs/>
          </w:rPr>
          <w:fldChar w:fldCharType="begin"/>
        </w:r>
        <w:r w:rsidR="00E331E1" w:rsidRPr="00E331E1">
          <w:rPr>
            <w:b/>
            <w:bCs/>
          </w:rPr>
          <w:instrText xml:space="preserve"> </w:instrText>
        </w:r>
        <w:r w:rsidR="00257C33">
          <w:rPr>
            <w:b/>
            <w:bCs/>
          </w:rPr>
          <w:instrText>SECTIONPAGES</w:instrText>
        </w:r>
        <w:r w:rsidR="00E331E1" w:rsidRPr="00E331E1">
          <w:rPr>
            <w:b/>
            <w:bCs/>
          </w:rPr>
          <w:instrText xml:space="preserve"> </w:instrText>
        </w:r>
        <w:r w:rsidR="00EB4ABF">
          <w:rPr>
            <w:b/>
            <w:bCs/>
          </w:rPr>
          <w:fldChar w:fldCharType="separate"/>
        </w:r>
        <w:r w:rsidR="00045F98">
          <w:rPr>
            <w:b/>
            <w:bCs/>
            <w:noProof/>
          </w:rPr>
          <w:t>7</w:t>
        </w:r>
        <w:r w:rsidR="00E331E1"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05094" w14:textId="77777777" w:rsidR="00535AA3" w:rsidRDefault="00535AA3" w:rsidP="002F43C5">
      <w:pPr>
        <w:spacing w:line="240" w:lineRule="auto"/>
      </w:pPr>
      <w:r>
        <w:separator/>
      </w:r>
    </w:p>
  </w:footnote>
  <w:footnote w:type="continuationSeparator" w:id="0">
    <w:p w14:paraId="1AAF1113" w14:textId="77777777" w:rsidR="00535AA3" w:rsidRDefault="00535AA3" w:rsidP="002F4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Security Classification"/>
      <w:tag w:val="Security Classification"/>
      <w:id w:val="-603806425"/>
      <w:placeholder>
        <w:docPart w:val="CAAE5A9A24874873904A740D4E9ED6A2"/>
      </w:placeholder>
      <w:dropDownList>
        <w:listItem w:value="[Choose a security classification – minimum of In Confidence]"/>
        <w:listItem w:displayText="In Confidence" w:value="In Confidence"/>
        <w:listItem w:displayText="Sensitive" w:value="Sensitive"/>
        <w:listItem w:displayText="Sensitive - Budget" w:value="Sensitive - Budget"/>
        <w:listItem w:displayText="Restricted" w:value="Restricted"/>
      </w:dropDownList>
    </w:sdtPr>
    <w:sdtEndPr/>
    <w:sdtContent>
      <w:p w14:paraId="57790072" w14:textId="77777777" w:rsidR="007C0037" w:rsidRDefault="007C0037" w:rsidP="007C0037">
        <w:pPr>
          <w:pStyle w:val="Header"/>
          <w:jc w:val="right"/>
        </w:pPr>
        <w:r>
          <w:t>In Confidence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3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67C4449"/>
    <w:multiLevelType w:val="singleLevel"/>
    <w:tmpl w:val="08D0946E"/>
    <w:lvl w:ilvl="0">
      <w:start w:val="1"/>
      <w:numFmt w:val="bullet"/>
      <w:pStyle w:val="TR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BF"/>
    <w:rsid w:val="00004965"/>
    <w:rsid w:val="00007F8D"/>
    <w:rsid w:val="0001165F"/>
    <w:rsid w:val="0002025E"/>
    <w:rsid w:val="00022F0C"/>
    <w:rsid w:val="0002377F"/>
    <w:rsid w:val="00033A1A"/>
    <w:rsid w:val="0004582E"/>
    <w:rsid w:val="00045D21"/>
    <w:rsid w:val="00045F98"/>
    <w:rsid w:val="0005144C"/>
    <w:rsid w:val="00061756"/>
    <w:rsid w:val="00076746"/>
    <w:rsid w:val="00082403"/>
    <w:rsid w:val="00083E40"/>
    <w:rsid w:val="00084B54"/>
    <w:rsid w:val="00092776"/>
    <w:rsid w:val="000940C3"/>
    <w:rsid w:val="00097A83"/>
    <w:rsid w:val="000A20D1"/>
    <w:rsid w:val="000A525A"/>
    <w:rsid w:val="000A726F"/>
    <w:rsid w:val="000B2ED1"/>
    <w:rsid w:val="000B648E"/>
    <w:rsid w:val="000B69C1"/>
    <w:rsid w:val="000C697B"/>
    <w:rsid w:val="000D2258"/>
    <w:rsid w:val="000D486A"/>
    <w:rsid w:val="000D5A0A"/>
    <w:rsid w:val="000E1483"/>
    <w:rsid w:val="000E1CEA"/>
    <w:rsid w:val="000E1EE4"/>
    <w:rsid w:val="000E2FA7"/>
    <w:rsid w:val="000F5720"/>
    <w:rsid w:val="00106F81"/>
    <w:rsid w:val="00111E6B"/>
    <w:rsid w:val="001146ED"/>
    <w:rsid w:val="001275A0"/>
    <w:rsid w:val="00130E6D"/>
    <w:rsid w:val="00134D15"/>
    <w:rsid w:val="00152A42"/>
    <w:rsid w:val="00155688"/>
    <w:rsid w:val="00170A73"/>
    <w:rsid w:val="00171BF4"/>
    <w:rsid w:val="00174AB4"/>
    <w:rsid w:val="00175F86"/>
    <w:rsid w:val="0017730A"/>
    <w:rsid w:val="00181D21"/>
    <w:rsid w:val="00183574"/>
    <w:rsid w:val="00187917"/>
    <w:rsid w:val="00190543"/>
    <w:rsid w:val="00192135"/>
    <w:rsid w:val="001A1ECC"/>
    <w:rsid w:val="001A4408"/>
    <w:rsid w:val="001A59DC"/>
    <w:rsid w:val="001A73EC"/>
    <w:rsid w:val="001B132B"/>
    <w:rsid w:val="001C50F2"/>
    <w:rsid w:val="001D0013"/>
    <w:rsid w:val="001D2835"/>
    <w:rsid w:val="001D70E3"/>
    <w:rsid w:val="001D7761"/>
    <w:rsid w:val="001D7A9F"/>
    <w:rsid w:val="001D7ADB"/>
    <w:rsid w:val="001D7FF2"/>
    <w:rsid w:val="001E2CEA"/>
    <w:rsid w:val="001E61B1"/>
    <w:rsid w:val="001E75A2"/>
    <w:rsid w:val="001F5336"/>
    <w:rsid w:val="0020175F"/>
    <w:rsid w:val="0020313D"/>
    <w:rsid w:val="00203F1B"/>
    <w:rsid w:val="00215E04"/>
    <w:rsid w:val="00221AAE"/>
    <w:rsid w:val="00224F91"/>
    <w:rsid w:val="00227403"/>
    <w:rsid w:val="00233663"/>
    <w:rsid w:val="00236EE1"/>
    <w:rsid w:val="002374A9"/>
    <w:rsid w:val="00245511"/>
    <w:rsid w:val="00246D77"/>
    <w:rsid w:val="00247909"/>
    <w:rsid w:val="0025097E"/>
    <w:rsid w:val="00252D84"/>
    <w:rsid w:val="002535C7"/>
    <w:rsid w:val="00255D75"/>
    <w:rsid w:val="00257C33"/>
    <w:rsid w:val="0028577E"/>
    <w:rsid w:val="00285A4F"/>
    <w:rsid w:val="00290F98"/>
    <w:rsid w:val="0029413C"/>
    <w:rsid w:val="00295049"/>
    <w:rsid w:val="002A1499"/>
    <w:rsid w:val="002A3924"/>
    <w:rsid w:val="002B3290"/>
    <w:rsid w:val="002B5D0F"/>
    <w:rsid w:val="002B685D"/>
    <w:rsid w:val="002B7398"/>
    <w:rsid w:val="002C4BC7"/>
    <w:rsid w:val="002C5BA2"/>
    <w:rsid w:val="002D2041"/>
    <w:rsid w:val="002D4593"/>
    <w:rsid w:val="002D7DA2"/>
    <w:rsid w:val="002E1F9A"/>
    <w:rsid w:val="002E5E71"/>
    <w:rsid w:val="002F0B41"/>
    <w:rsid w:val="002F3655"/>
    <w:rsid w:val="002F4048"/>
    <w:rsid w:val="002F43C5"/>
    <w:rsid w:val="002F4FCC"/>
    <w:rsid w:val="0030110E"/>
    <w:rsid w:val="0030187A"/>
    <w:rsid w:val="00302F4F"/>
    <w:rsid w:val="003032DD"/>
    <w:rsid w:val="003039CA"/>
    <w:rsid w:val="003113D3"/>
    <w:rsid w:val="00322750"/>
    <w:rsid w:val="00326D55"/>
    <w:rsid w:val="00330515"/>
    <w:rsid w:val="00337654"/>
    <w:rsid w:val="003513BB"/>
    <w:rsid w:val="00354882"/>
    <w:rsid w:val="00356DC3"/>
    <w:rsid w:val="003636A3"/>
    <w:rsid w:val="00375099"/>
    <w:rsid w:val="00382AF8"/>
    <w:rsid w:val="00382FFE"/>
    <w:rsid w:val="00385ED0"/>
    <w:rsid w:val="00387AEA"/>
    <w:rsid w:val="003A280C"/>
    <w:rsid w:val="003B2333"/>
    <w:rsid w:val="003B3CB1"/>
    <w:rsid w:val="003C036E"/>
    <w:rsid w:val="003C1D14"/>
    <w:rsid w:val="003C2DEB"/>
    <w:rsid w:val="003C2FA4"/>
    <w:rsid w:val="003C3F39"/>
    <w:rsid w:val="003C4406"/>
    <w:rsid w:val="003C6504"/>
    <w:rsid w:val="003C7B29"/>
    <w:rsid w:val="003D2255"/>
    <w:rsid w:val="003D64BA"/>
    <w:rsid w:val="003D711E"/>
    <w:rsid w:val="003E4BA4"/>
    <w:rsid w:val="003E5945"/>
    <w:rsid w:val="003E5B7C"/>
    <w:rsid w:val="003E6478"/>
    <w:rsid w:val="003F1FD5"/>
    <w:rsid w:val="003F5940"/>
    <w:rsid w:val="003F7723"/>
    <w:rsid w:val="00402309"/>
    <w:rsid w:val="004037BA"/>
    <w:rsid w:val="00415663"/>
    <w:rsid w:val="00420AC2"/>
    <w:rsid w:val="00422991"/>
    <w:rsid w:val="00425E5D"/>
    <w:rsid w:val="00430CD5"/>
    <w:rsid w:val="00434527"/>
    <w:rsid w:val="00435D10"/>
    <w:rsid w:val="00437929"/>
    <w:rsid w:val="004417BF"/>
    <w:rsid w:val="004425E2"/>
    <w:rsid w:val="004456C1"/>
    <w:rsid w:val="00445D19"/>
    <w:rsid w:val="00450A0D"/>
    <w:rsid w:val="00451A0E"/>
    <w:rsid w:val="00454ECD"/>
    <w:rsid w:val="0045747E"/>
    <w:rsid w:val="00463425"/>
    <w:rsid w:val="00463488"/>
    <w:rsid w:val="0049051D"/>
    <w:rsid w:val="00496724"/>
    <w:rsid w:val="004A07BE"/>
    <w:rsid w:val="004A1705"/>
    <w:rsid w:val="004A7718"/>
    <w:rsid w:val="004B1425"/>
    <w:rsid w:val="004B17F4"/>
    <w:rsid w:val="004B3076"/>
    <w:rsid w:val="004C0F03"/>
    <w:rsid w:val="004C299D"/>
    <w:rsid w:val="004D2F7F"/>
    <w:rsid w:val="004D4387"/>
    <w:rsid w:val="004D4F73"/>
    <w:rsid w:val="004E2478"/>
    <w:rsid w:val="004F0FE2"/>
    <w:rsid w:val="004F169F"/>
    <w:rsid w:val="004F16AC"/>
    <w:rsid w:val="004F6C3B"/>
    <w:rsid w:val="004F73CA"/>
    <w:rsid w:val="00506C95"/>
    <w:rsid w:val="00512721"/>
    <w:rsid w:val="00521F8D"/>
    <w:rsid w:val="00522414"/>
    <w:rsid w:val="00526C06"/>
    <w:rsid w:val="00535AA3"/>
    <w:rsid w:val="00536B7C"/>
    <w:rsid w:val="00541705"/>
    <w:rsid w:val="00545F3C"/>
    <w:rsid w:val="005476FA"/>
    <w:rsid w:val="00550344"/>
    <w:rsid w:val="005531B0"/>
    <w:rsid w:val="00555513"/>
    <w:rsid w:val="00563500"/>
    <w:rsid w:val="00574F1D"/>
    <w:rsid w:val="00582C94"/>
    <w:rsid w:val="0058660D"/>
    <w:rsid w:val="005906FD"/>
    <w:rsid w:val="00591F3D"/>
    <w:rsid w:val="00594617"/>
    <w:rsid w:val="005975EB"/>
    <w:rsid w:val="005A20D3"/>
    <w:rsid w:val="005B0297"/>
    <w:rsid w:val="005B1540"/>
    <w:rsid w:val="005B202F"/>
    <w:rsid w:val="005B289E"/>
    <w:rsid w:val="005B5BC7"/>
    <w:rsid w:val="005B6D0E"/>
    <w:rsid w:val="005C1D56"/>
    <w:rsid w:val="005C3FC4"/>
    <w:rsid w:val="005C4A0E"/>
    <w:rsid w:val="005C61C5"/>
    <w:rsid w:val="005C6B70"/>
    <w:rsid w:val="005C6DE1"/>
    <w:rsid w:val="005D6DBE"/>
    <w:rsid w:val="005E280D"/>
    <w:rsid w:val="005E315E"/>
    <w:rsid w:val="005F0BDA"/>
    <w:rsid w:val="005F13A8"/>
    <w:rsid w:val="00600BBD"/>
    <w:rsid w:val="00612BD0"/>
    <w:rsid w:val="006222B9"/>
    <w:rsid w:val="00623422"/>
    <w:rsid w:val="006265BF"/>
    <w:rsid w:val="00634D88"/>
    <w:rsid w:val="00653F0A"/>
    <w:rsid w:val="006557C1"/>
    <w:rsid w:val="006574E4"/>
    <w:rsid w:val="00660F5C"/>
    <w:rsid w:val="00662475"/>
    <w:rsid w:val="00664CAF"/>
    <w:rsid w:val="006661E2"/>
    <w:rsid w:val="00670CF2"/>
    <w:rsid w:val="00672A4C"/>
    <w:rsid w:val="00672EAD"/>
    <w:rsid w:val="0067362B"/>
    <w:rsid w:val="00674C39"/>
    <w:rsid w:val="0067581E"/>
    <w:rsid w:val="00683DCF"/>
    <w:rsid w:val="00684A19"/>
    <w:rsid w:val="006A06D5"/>
    <w:rsid w:val="006A6FC0"/>
    <w:rsid w:val="006B2BC8"/>
    <w:rsid w:val="006B5424"/>
    <w:rsid w:val="006D2DFE"/>
    <w:rsid w:val="006E31E0"/>
    <w:rsid w:val="006E42E3"/>
    <w:rsid w:val="006E7ECA"/>
    <w:rsid w:val="006F0ACB"/>
    <w:rsid w:val="006F2AD0"/>
    <w:rsid w:val="00700EC6"/>
    <w:rsid w:val="00705DC2"/>
    <w:rsid w:val="0070630A"/>
    <w:rsid w:val="00707196"/>
    <w:rsid w:val="007100D0"/>
    <w:rsid w:val="00731047"/>
    <w:rsid w:val="00731DF1"/>
    <w:rsid w:val="007320CF"/>
    <w:rsid w:val="00733DAF"/>
    <w:rsid w:val="00735981"/>
    <w:rsid w:val="00741490"/>
    <w:rsid w:val="00744EB4"/>
    <w:rsid w:val="00745BC7"/>
    <w:rsid w:val="00755F52"/>
    <w:rsid w:val="00757845"/>
    <w:rsid w:val="0076116E"/>
    <w:rsid w:val="00765417"/>
    <w:rsid w:val="00766765"/>
    <w:rsid w:val="007805BC"/>
    <w:rsid w:val="007851E8"/>
    <w:rsid w:val="00786611"/>
    <w:rsid w:val="00786FB2"/>
    <w:rsid w:val="00791DCA"/>
    <w:rsid w:val="007A2C36"/>
    <w:rsid w:val="007B328D"/>
    <w:rsid w:val="007C0037"/>
    <w:rsid w:val="007C518B"/>
    <w:rsid w:val="007C69A6"/>
    <w:rsid w:val="007E178C"/>
    <w:rsid w:val="007E2ED0"/>
    <w:rsid w:val="007E34C4"/>
    <w:rsid w:val="007F187F"/>
    <w:rsid w:val="007F1AF0"/>
    <w:rsid w:val="007F335F"/>
    <w:rsid w:val="00800EC5"/>
    <w:rsid w:val="008046F9"/>
    <w:rsid w:val="00806ED9"/>
    <w:rsid w:val="00811168"/>
    <w:rsid w:val="00811AC6"/>
    <w:rsid w:val="008152F6"/>
    <w:rsid w:val="008206DD"/>
    <w:rsid w:val="00821E68"/>
    <w:rsid w:val="0083033F"/>
    <w:rsid w:val="008331C2"/>
    <w:rsid w:val="00833A71"/>
    <w:rsid w:val="00842C06"/>
    <w:rsid w:val="00843E13"/>
    <w:rsid w:val="00845BED"/>
    <w:rsid w:val="008474F4"/>
    <w:rsid w:val="00851573"/>
    <w:rsid w:val="00860912"/>
    <w:rsid w:val="00862D83"/>
    <w:rsid w:val="00873448"/>
    <w:rsid w:val="0087415A"/>
    <w:rsid w:val="00875232"/>
    <w:rsid w:val="00882166"/>
    <w:rsid w:val="00885F81"/>
    <w:rsid w:val="00891517"/>
    <w:rsid w:val="00896EA6"/>
    <w:rsid w:val="008A0232"/>
    <w:rsid w:val="008A05D5"/>
    <w:rsid w:val="008A134E"/>
    <w:rsid w:val="008A19B8"/>
    <w:rsid w:val="008A3B5F"/>
    <w:rsid w:val="008A7971"/>
    <w:rsid w:val="008B13EE"/>
    <w:rsid w:val="008C202E"/>
    <w:rsid w:val="008D08F1"/>
    <w:rsid w:val="008D134E"/>
    <w:rsid w:val="008D72CA"/>
    <w:rsid w:val="008E11EA"/>
    <w:rsid w:val="008F3B94"/>
    <w:rsid w:val="008F7CDE"/>
    <w:rsid w:val="00901BF8"/>
    <w:rsid w:val="00910207"/>
    <w:rsid w:val="00931BFF"/>
    <w:rsid w:val="0093349B"/>
    <w:rsid w:val="00941792"/>
    <w:rsid w:val="00945D87"/>
    <w:rsid w:val="00946713"/>
    <w:rsid w:val="00963B1A"/>
    <w:rsid w:val="00966477"/>
    <w:rsid w:val="00970148"/>
    <w:rsid w:val="00972286"/>
    <w:rsid w:val="00977E3F"/>
    <w:rsid w:val="0098280F"/>
    <w:rsid w:val="0098321F"/>
    <w:rsid w:val="0098405F"/>
    <w:rsid w:val="00985760"/>
    <w:rsid w:val="00987A2D"/>
    <w:rsid w:val="00995367"/>
    <w:rsid w:val="009A3711"/>
    <w:rsid w:val="009A3D72"/>
    <w:rsid w:val="009A460C"/>
    <w:rsid w:val="009A6415"/>
    <w:rsid w:val="009A6DF5"/>
    <w:rsid w:val="009B3137"/>
    <w:rsid w:val="009B5A86"/>
    <w:rsid w:val="009C09FD"/>
    <w:rsid w:val="009C21CF"/>
    <w:rsid w:val="009C2BD5"/>
    <w:rsid w:val="009C621F"/>
    <w:rsid w:val="009C689E"/>
    <w:rsid w:val="009C7B21"/>
    <w:rsid w:val="009D3D77"/>
    <w:rsid w:val="009E4EB9"/>
    <w:rsid w:val="009E519A"/>
    <w:rsid w:val="009E5259"/>
    <w:rsid w:val="009E657F"/>
    <w:rsid w:val="00A01C2D"/>
    <w:rsid w:val="00A13070"/>
    <w:rsid w:val="00A16EF6"/>
    <w:rsid w:val="00A17971"/>
    <w:rsid w:val="00A235CD"/>
    <w:rsid w:val="00A2547F"/>
    <w:rsid w:val="00A364AA"/>
    <w:rsid w:val="00A36CFF"/>
    <w:rsid w:val="00A56913"/>
    <w:rsid w:val="00A57014"/>
    <w:rsid w:val="00A62EDA"/>
    <w:rsid w:val="00A66576"/>
    <w:rsid w:val="00A7574E"/>
    <w:rsid w:val="00A7780A"/>
    <w:rsid w:val="00A77BC6"/>
    <w:rsid w:val="00A813ED"/>
    <w:rsid w:val="00A84281"/>
    <w:rsid w:val="00A84457"/>
    <w:rsid w:val="00A8775E"/>
    <w:rsid w:val="00A92222"/>
    <w:rsid w:val="00AA1C96"/>
    <w:rsid w:val="00AA24C6"/>
    <w:rsid w:val="00AB06F8"/>
    <w:rsid w:val="00AB070C"/>
    <w:rsid w:val="00AB0A89"/>
    <w:rsid w:val="00AB37E0"/>
    <w:rsid w:val="00AC14EE"/>
    <w:rsid w:val="00AC683E"/>
    <w:rsid w:val="00AC6A79"/>
    <w:rsid w:val="00AD2B11"/>
    <w:rsid w:val="00AD2F18"/>
    <w:rsid w:val="00AE1C5A"/>
    <w:rsid w:val="00AE2382"/>
    <w:rsid w:val="00AE50EB"/>
    <w:rsid w:val="00AF221C"/>
    <w:rsid w:val="00B01931"/>
    <w:rsid w:val="00B02751"/>
    <w:rsid w:val="00B109BE"/>
    <w:rsid w:val="00B16D15"/>
    <w:rsid w:val="00B22905"/>
    <w:rsid w:val="00B23C9D"/>
    <w:rsid w:val="00B24CA2"/>
    <w:rsid w:val="00B31082"/>
    <w:rsid w:val="00B3357D"/>
    <w:rsid w:val="00B4586A"/>
    <w:rsid w:val="00B47D83"/>
    <w:rsid w:val="00B5104A"/>
    <w:rsid w:val="00B560C2"/>
    <w:rsid w:val="00B613E1"/>
    <w:rsid w:val="00B62814"/>
    <w:rsid w:val="00B65648"/>
    <w:rsid w:val="00B662CD"/>
    <w:rsid w:val="00B73500"/>
    <w:rsid w:val="00B75775"/>
    <w:rsid w:val="00B770D9"/>
    <w:rsid w:val="00B9404E"/>
    <w:rsid w:val="00B95DAF"/>
    <w:rsid w:val="00B9693B"/>
    <w:rsid w:val="00BA39E7"/>
    <w:rsid w:val="00BA5BFA"/>
    <w:rsid w:val="00BB68B5"/>
    <w:rsid w:val="00BC1127"/>
    <w:rsid w:val="00BC29E7"/>
    <w:rsid w:val="00BC3D30"/>
    <w:rsid w:val="00BC5BF4"/>
    <w:rsid w:val="00BC6B01"/>
    <w:rsid w:val="00BD13EE"/>
    <w:rsid w:val="00BD2062"/>
    <w:rsid w:val="00BD5B69"/>
    <w:rsid w:val="00BD7D88"/>
    <w:rsid w:val="00BE1623"/>
    <w:rsid w:val="00BE634D"/>
    <w:rsid w:val="00BE7532"/>
    <w:rsid w:val="00BE7632"/>
    <w:rsid w:val="00C038DB"/>
    <w:rsid w:val="00C05FE0"/>
    <w:rsid w:val="00C060C5"/>
    <w:rsid w:val="00C10E92"/>
    <w:rsid w:val="00C11E9D"/>
    <w:rsid w:val="00C12C09"/>
    <w:rsid w:val="00C271C3"/>
    <w:rsid w:val="00C2749F"/>
    <w:rsid w:val="00C35537"/>
    <w:rsid w:val="00C37532"/>
    <w:rsid w:val="00C44EDE"/>
    <w:rsid w:val="00C46B9A"/>
    <w:rsid w:val="00C47AF6"/>
    <w:rsid w:val="00C51072"/>
    <w:rsid w:val="00C54459"/>
    <w:rsid w:val="00C54EBF"/>
    <w:rsid w:val="00C764A4"/>
    <w:rsid w:val="00C80393"/>
    <w:rsid w:val="00C82DA7"/>
    <w:rsid w:val="00C92D7B"/>
    <w:rsid w:val="00C95614"/>
    <w:rsid w:val="00C9582F"/>
    <w:rsid w:val="00CA09E5"/>
    <w:rsid w:val="00CB1BB7"/>
    <w:rsid w:val="00CC36B2"/>
    <w:rsid w:val="00CC398A"/>
    <w:rsid w:val="00CC5756"/>
    <w:rsid w:val="00CD4C6D"/>
    <w:rsid w:val="00CE2CA6"/>
    <w:rsid w:val="00CF7CF9"/>
    <w:rsid w:val="00D00D12"/>
    <w:rsid w:val="00D03444"/>
    <w:rsid w:val="00D0486B"/>
    <w:rsid w:val="00D04DAE"/>
    <w:rsid w:val="00D102AF"/>
    <w:rsid w:val="00D10EAD"/>
    <w:rsid w:val="00D12DAC"/>
    <w:rsid w:val="00D156B7"/>
    <w:rsid w:val="00D16102"/>
    <w:rsid w:val="00D17BA8"/>
    <w:rsid w:val="00D2007F"/>
    <w:rsid w:val="00D32352"/>
    <w:rsid w:val="00D32E79"/>
    <w:rsid w:val="00D41001"/>
    <w:rsid w:val="00D42D6D"/>
    <w:rsid w:val="00D459EE"/>
    <w:rsid w:val="00D5689B"/>
    <w:rsid w:val="00D56A14"/>
    <w:rsid w:val="00D57CDB"/>
    <w:rsid w:val="00D619DF"/>
    <w:rsid w:val="00D6287B"/>
    <w:rsid w:val="00D633DC"/>
    <w:rsid w:val="00D6363A"/>
    <w:rsid w:val="00D64F03"/>
    <w:rsid w:val="00D7176C"/>
    <w:rsid w:val="00D93A4C"/>
    <w:rsid w:val="00DA2C08"/>
    <w:rsid w:val="00DA5EF7"/>
    <w:rsid w:val="00DA70A8"/>
    <w:rsid w:val="00DA7E0E"/>
    <w:rsid w:val="00DB0AFF"/>
    <w:rsid w:val="00DB4BDC"/>
    <w:rsid w:val="00DC527B"/>
    <w:rsid w:val="00DC5C69"/>
    <w:rsid w:val="00DC6E45"/>
    <w:rsid w:val="00DC75F7"/>
    <w:rsid w:val="00DD09D9"/>
    <w:rsid w:val="00DD46A4"/>
    <w:rsid w:val="00DD4F04"/>
    <w:rsid w:val="00DD623A"/>
    <w:rsid w:val="00DE2228"/>
    <w:rsid w:val="00DE655B"/>
    <w:rsid w:val="00DE7F29"/>
    <w:rsid w:val="00DF0EBE"/>
    <w:rsid w:val="00DF4FF1"/>
    <w:rsid w:val="00E00C21"/>
    <w:rsid w:val="00E0138C"/>
    <w:rsid w:val="00E01420"/>
    <w:rsid w:val="00E047D5"/>
    <w:rsid w:val="00E0609F"/>
    <w:rsid w:val="00E067F4"/>
    <w:rsid w:val="00E06CF8"/>
    <w:rsid w:val="00E16FCD"/>
    <w:rsid w:val="00E2355C"/>
    <w:rsid w:val="00E24684"/>
    <w:rsid w:val="00E259DA"/>
    <w:rsid w:val="00E27E65"/>
    <w:rsid w:val="00E331E1"/>
    <w:rsid w:val="00E372D4"/>
    <w:rsid w:val="00E501F3"/>
    <w:rsid w:val="00E511DC"/>
    <w:rsid w:val="00E51956"/>
    <w:rsid w:val="00E53134"/>
    <w:rsid w:val="00E61AD5"/>
    <w:rsid w:val="00E7030F"/>
    <w:rsid w:val="00E7275A"/>
    <w:rsid w:val="00E77B21"/>
    <w:rsid w:val="00E84D85"/>
    <w:rsid w:val="00E85F64"/>
    <w:rsid w:val="00E914F5"/>
    <w:rsid w:val="00E94525"/>
    <w:rsid w:val="00E95DE6"/>
    <w:rsid w:val="00E96FE2"/>
    <w:rsid w:val="00EA3FE7"/>
    <w:rsid w:val="00EB4ABF"/>
    <w:rsid w:val="00EC519E"/>
    <w:rsid w:val="00EC5258"/>
    <w:rsid w:val="00ED5D33"/>
    <w:rsid w:val="00EE1B89"/>
    <w:rsid w:val="00EE74FB"/>
    <w:rsid w:val="00EF0C39"/>
    <w:rsid w:val="00EF4615"/>
    <w:rsid w:val="00F015BE"/>
    <w:rsid w:val="00F064FE"/>
    <w:rsid w:val="00F06CD2"/>
    <w:rsid w:val="00F16E34"/>
    <w:rsid w:val="00F239A2"/>
    <w:rsid w:val="00F25FFB"/>
    <w:rsid w:val="00F33C3C"/>
    <w:rsid w:val="00F40B9A"/>
    <w:rsid w:val="00F44560"/>
    <w:rsid w:val="00F4799E"/>
    <w:rsid w:val="00F52A67"/>
    <w:rsid w:val="00F62C6C"/>
    <w:rsid w:val="00F6560E"/>
    <w:rsid w:val="00F70145"/>
    <w:rsid w:val="00F719AF"/>
    <w:rsid w:val="00F74151"/>
    <w:rsid w:val="00F75A81"/>
    <w:rsid w:val="00F82719"/>
    <w:rsid w:val="00F97253"/>
    <w:rsid w:val="00FA087B"/>
    <w:rsid w:val="00FA59CE"/>
    <w:rsid w:val="00FB52E0"/>
    <w:rsid w:val="00FC1C1C"/>
    <w:rsid w:val="00FC2CC0"/>
    <w:rsid w:val="00FC4DE9"/>
    <w:rsid w:val="00FD2B36"/>
    <w:rsid w:val="00FD6A45"/>
    <w:rsid w:val="00FE256A"/>
    <w:rsid w:val="00FF4804"/>
    <w:rsid w:val="00FF7E5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E0A755"/>
  <w15:chartTrackingRefBased/>
  <w15:docId w15:val="{26F7BEC4-FFE8-4387-A4B7-08415D85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17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BA5BFA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26C06"/>
    <w:pPr>
      <w:ind w:left="0" w:firstLine="0"/>
    </w:pPr>
  </w:style>
  <w:style w:type="paragraph" w:customStyle="1" w:styleId="NumberedParagraphCabStandard">
    <w:name w:val="Numbered Paragraph (CabStandard)"/>
    <w:basedOn w:val="Normal"/>
    <w:qFormat/>
    <w:rsid w:val="004F169F"/>
    <w:pPr>
      <w:tabs>
        <w:tab w:val="num" w:pos="709"/>
      </w:tabs>
      <w:spacing w:after="240" w:line="240" w:lineRule="auto"/>
      <w:ind w:left="709" w:hanging="709"/>
    </w:pPr>
    <w:rPr>
      <w:rFonts w:ascii="Arial" w:hAnsi="Arial"/>
      <w:sz w:val="24"/>
      <w:szCs w:val="23"/>
      <w:lang w:eastAsia="en-NZ"/>
    </w:rPr>
  </w:style>
  <w:style w:type="table" w:customStyle="1" w:styleId="TableGrid1">
    <w:name w:val="Table Grid1"/>
    <w:basedOn w:val="TableNormal"/>
    <w:next w:val="TableGrid"/>
    <w:rsid w:val="004F169F"/>
    <w:pPr>
      <w:spacing w:after="0" w:line="240" w:lineRule="auto"/>
    </w:pPr>
    <w:rPr>
      <w:rFonts w:ascii="Arial" w:hAnsi="Arial"/>
      <w:sz w:val="23"/>
      <w:szCs w:val="23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ListBullet">
    <w:name w:val="_TRList Bullet"/>
    <w:basedOn w:val="Normal"/>
    <w:rsid w:val="00463425"/>
    <w:pPr>
      <w:numPr>
        <w:numId w:val="15"/>
      </w:numPr>
      <w:tabs>
        <w:tab w:val="clear" w:pos="1134"/>
      </w:tabs>
      <w:spacing w:after="200" w:line="300" w:lineRule="atLeast"/>
      <w:ind w:left="539" w:hanging="539"/>
    </w:pPr>
    <w:rPr>
      <w:rFonts w:ascii="Times New Roman" w:eastAsia="Times New Roman" w:hAnsi="Times New Roman" w:cs="Times New Roman"/>
      <w:sz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B21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B21"/>
    <w:rPr>
      <w:rFonts w:ascii="Times New Roman" w:eastAsia="Times New Roman" w:hAnsi="Times New Roman" w:cs="Times New Roman"/>
      <w:b/>
      <w:bCs/>
      <w:szCs w:val="20"/>
      <w:lang w:eastAsia="en-AU"/>
    </w:rPr>
  </w:style>
  <w:style w:type="paragraph" w:styleId="Revision">
    <w:name w:val="Revision"/>
    <w:hidden/>
    <w:uiPriority w:val="99"/>
    <w:semiHidden/>
    <w:rsid w:val="008303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D18DFA4A9E48178B13A00925D0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FDF0-1498-4F68-99E2-5C3BE1BA606F}"/>
      </w:docPartPr>
      <w:docPartBody>
        <w:p w:rsidR="002D59A3" w:rsidRDefault="00F44FF1">
          <w:pPr>
            <w:pStyle w:val="D8D18DFA4A9E48178B13A00925D0D377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C8987C9976094830B8542903C40D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780D-DAC5-4EEA-8F48-70F122BF4213}"/>
      </w:docPartPr>
      <w:docPartBody>
        <w:p w:rsidR="002D59A3" w:rsidRDefault="00F44FF1">
          <w:pPr>
            <w:pStyle w:val="C8987C9976094830B8542903C40DA987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CAAE5A9A24874873904A740D4E9ED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E004-EBF3-4589-97FC-63FEFF77429A}"/>
      </w:docPartPr>
      <w:docPartBody>
        <w:p w:rsidR="002D59A3" w:rsidRDefault="00F44FF1">
          <w:pPr>
            <w:pStyle w:val="CAAE5A9A24874873904A740D4E9ED6A2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3"/>
    <w:rsid w:val="000408A2"/>
    <w:rsid w:val="002847DC"/>
    <w:rsid w:val="002D59A3"/>
    <w:rsid w:val="003B0D68"/>
    <w:rsid w:val="006F2D1E"/>
    <w:rsid w:val="0097062D"/>
    <w:rsid w:val="00E47D72"/>
    <w:rsid w:val="00E74A97"/>
    <w:rsid w:val="00EB3F09"/>
    <w:rsid w:val="00EE6B96"/>
    <w:rsid w:val="00F44FF1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8D18DFA4A9E48178B13A00925D0D377">
    <w:name w:val="D8D18DFA4A9E48178B13A00925D0D377"/>
  </w:style>
  <w:style w:type="paragraph" w:customStyle="1" w:styleId="C8987C9976094830B8542903C40DA987">
    <w:name w:val="C8987C9976094830B8542903C40DA987"/>
  </w:style>
  <w:style w:type="paragraph" w:customStyle="1" w:styleId="CAAE5A9A24874873904A740D4E9ED6A2">
    <w:name w:val="CAAE5A9A24874873904A740D4E9ED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F676-4234-4FFD-B0A4-1E5B8B7C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IR2020/223 - Tax policy report: Cabinet paper: Use of money interest rates review</vt:lpstr>
    </vt:vector>
  </TitlesOfParts>
  <Company>Inland Revenue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IR2020/223 - Tax policy report: Cabinet paper: Use of money interest rates review</dc:title>
  <dc:subject/>
  <dc:creator>Policy and Strategy</dc:creator>
  <cp:keywords/>
  <dc:description/>
  <dcterms:created xsi:type="dcterms:W3CDTF">2020-09-08T10:21:00Z</dcterms:created>
  <dcterms:modified xsi:type="dcterms:W3CDTF">2020-09-08T10:22:00Z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