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48D5" w14:textId="77777777" w:rsidR="00C96CCF" w:rsidRDefault="00EF2A9F">
      <w:pPr>
        <w:spacing w:before="51"/>
        <w:ind w:left="2022"/>
        <w:rPr>
          <w:rFonts w:ascii="Arial"/>
          <w:b/>
          <w:sz w:val="44"/>
        </w:rPr>
      </w:pPr>
      <w:r>
        <w:rPr>
          <w:noProof/>
        </w:rPr>
        <w:drawing>
          <wp:anchor distT="0" distB="0" distL="0" distR="0" simplePos="0" relativeHeight="251660288" behindDoc="0" locked="0" layoutInCell="1" allowOverlap="1" wp14:anchorId="25CE4937" wp14:editId="25CE4938">
            <wp:simplePos x="0" y="0"/>
            <wp:positionH relativeFrom="page">
              <wp:posOffset>767715</wp:posOffset>
            </wp:positionH>
            <wp:positionV relativeFrom="paragraph">
              <wp:posOffset>32838</wp:posOffset>
            </wp:positionV>
            <wp:extent cx="978535" cy="9594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8535" cy="959484"/>
                    </a:xfrm>
                    <a:prstGeom prst="rect">
                      <a:avLst/>
                    </a:prstGeom>
                  </pic:spPr>
                </pic:pic>
              </a:graphicData>
            </a:graphic>
          </wp:anchor>
        </w:drawing>
      </w:r>
      <w:r>
        <w:rPr>
          <w:rFonts w:ascii="Arial"/>
          <w:b/>
          <w:sz w:val="44"/>
        </w:rPr>
        <w:t>Cabinet</w:t>
      </w:r>
    </w:p>
    <w:p w14:paraId="25CE48D6" w14:textId="77777777" w:rsidR="00C96CCF" w:rsidRDefault="00C96CCF">
      <w:pPr>
        <w:pStyle w:val="BodyText"/>
        <w:rPr>
          <w:rFonts w:ascii="Arial"/>
          <w:b/>
          <w:sz w:val="48"/>
        </w:rPr>
      </w:pPr>
    </w:p>
    <w:p w14:paraId="25CE48D7" w14:textId="77777777" w:rsidR="00C96CCF" w:rsidRDefault="00EF2A9F">
      <w:pPr>
        <w:spacing w:before="276"/>
        <w:ind w:left="2022"/>
        <w:rPr>
          <w:rFonts w:ascii="Arial"/>
          <w:b/>
          <w:sz w:val="32"/>
        </w:rPr>
      </w:pPr>
      <w:r>
        <w:rPr>
          <w:rFonts w:ascii="Arial"/>
          <w:b/>
          <w:sz w:val="32"/>
        </w:rPr>
        <w:t>Minute of Decision</w:t>
      </w:r>
    </w:p>
    <w:p w14:paraId="25CE48D8" w14:textId="39903011" w:rsidR="00C96CCF" w:rsidRDefault="00F35C16">
      <w:pPr>
        <w:pStyle w:val="BodyText"/>
        <w:spacing w:before="6"/>
        <w:rPr>
          <w:rFonts w:ascii="Arial"/>
          <w:b/>
          <w:sz w:val="10"/>
        </w:rPr>
      </w:pPr>
      <w:r>
        <w:rPr>
          <w:noProof/>
        </w:rPr>
        <mc:AlternateContent>
          <mc:Choice Requires="wps">
            <w:drawing>
              <wp:anchor distT="0" distB="0" distL="0" distR="0" simplePos="0" relativeHeight="251658240" behindDoc="1" locked="0" layoutInCell="1" allowOverlap="1" wp14:anchorId="25CE4939" wp14:editId="005AE1AC">
                <wp:simplePos x="0" y="0"/>
                <wp:positionH relativeFrom="page">
                  <wp:posOffset>651510</wp:posOffset>
                </wp:positionH>
                <wp:positionV relativeFrom="paragraph">
                  <wp:posOffset>105410</wp:posOffset>
                </wp:positionV>
                <wp:extent cx="625856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8560" cy="1270"/>
                        </a:xfrm>
                        <a:custGeom>
                          <a:avLst/>
                          <a:gdLst>
                            <a:gd name="T0" fmla="+- 0 1026 1026"/>
                            <a:gd name="T1" fmla="*/ T0 w 9856"/>
                            <a:gd name="T2" fmla="+- 0 10882 1026"/>
                            <a:gd name="T3" fmla="*/ T2 w 9856"/>
                          </a:gdLst>
                          <a:ahLst/>
                          <a:cxnLst>
                            <a:cxn ang="0">
                              <a:pos x="T1" y="0"/>
                            </a:cxn>
                            <a:cxn ang="0">
                              <a:pos x="T3" y="0"/>
                            </a:cxn>
                          </a:cxnLst>
                          <a:rect l="0" t="0" r="r" b="b"/>
                          <a:pathLst>
                            <a:path w="9856">
                              <a:moveTo>
                                <a:pt x="0" y="0"/>
                              </a:moveTo>
                              <a:lnTo>
                                <a:pt x="98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C5BB" id="Freeform 4" o:spid="_x0000_s1026" style="position:absolute;margin-left:51.3pt;margin-top:8.3pt;width:492.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" path="m,l9856,e" filled="f" strokeweight=".5pt">
                <v:path arrowok="t" o:connecttype="custom" o:connectlocs="0,0;6258560,0" o:connectangles="0,0"/>
                <w10:wrap type="topAndBottom" anchorx="page"/>
              </v:shape>
            </w:pict>
          </mc:Fallback>
        </mc:AlternateContent>
      </w:r>
    </w:p>
    <w:p w14:paraId="25CE48D9" w14:textId="77777777" w:rsidR="00C96CCF" w:rsidRDefault="00EF2A9F">
      <w:pPr>
        <w:spacing w:before="31" w:after="60"/>
        <w:ind w:left="115" w:right="73"/>
        <w:rPr>
          <w:rFonts w:ascii="Arial"/>
          <w:i/>
          <w:sz w:val="20"/>
        </w:rPr>
      </w:pPr>
      <w:r>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25CE48DA" w14:textId="06BDB4E1" w:rsidR="00C96CCF" w:rsidRDefault="00F35C16">
      <w:pPr>
        <w:pStyle w:val="BodyText"/>
        <w:spacing w:line="20" w:lineRule="exact"/>
        <w:ind w:left="1"/>
        <w:rPr>
          <w:rFonts w:ascii="Arial"/>
          <w:sz w:val="2"/>
        </w:rPr>
      </w:pPr>
      <w:r>
        <w:rPr>
          <w:rFonts w:ascii="Arial"/>
          <w:noProof/>
          <w:sz w:val="2"/>
        </w:rPr>
        <mc:AlternateContent>
          <mc:Choice Requires="wpg">
            <w:drawing>
              <wp:inline distT="0" distB="0" distL="0" distR="0" wp14:anchorId="25CE493B" wp14:editId="4FDDB035">
                <wp:extent cx="6258560" cy="6350"/>
                <wp:effectExtent l="12065" t="7620" r="6350"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6350"/>
                          <a:chOff x="0" y="0"/>
                          <a:chExt cx="9856" cy="10"/>
                        </a:xfrm>
                      </wpg:grpSpPr>
                      <wps:wsp>
                        <wps:cNvPr id="8" name="Line 3"/>
                        <wps:cNvCnPr>
                          <a:cxnSpLocks noChangeShapeType="1"/>
                        </wps:cNvCnPr>
                        <wps:spPr bwMode="auto">
                          <a:xfrm>
                            <a:off x="0" y="5"/>
                            <a:ext cx="98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D872ED" id="Group 2" o:spid="_x0000_s1026" style="width:492.8pt;height:.5pt;mso-position-horizontal-relative:char;mso-position-vertical-relative:line" coordsize="98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">
                <v:line id="Line 3" o:spid="_x0000_s1027" style="position:absolute;visibility:visible;mso-wrap-style:square" from="0,5" to="9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25CE48DB" w14:textId="77777777" w:rsidR="00C96CCF" w:rsidRDefault="00C96CCF">
      <w:pPr>
        <w:pStyle w:val="BodyText"/>
        <w:spacing w:before="10"/>
        <w:rPr>
          <w:rFonts w:ascii="Arial"/>
          <w:i/>
          <w:sz w:val="19"/>
        </w:rPr>
      </w:pPr>
    </w:p>
    <w:p w14:paraId="25CE48DC" w14:textId="77777777" w:rsidR="00C96CCF" w:rsidRDefault="00EF2A9F">
      <w:pPr>
        <w:spacing w:before="1"/>
        <w:ind w:left="115"/>
        <w:rPr>
          <w:rFonts w:ascii="Arial"/>
          <w:b/>
          <w:sz w:val="28"/>
        </w:rPr>
      </w:pPr>
      <w:r>
        <w:rPr>
          <w:rFonts w:ascii="Arial"/>
          <w:b/>
          <w:sz w:val="28"/>
        </w:rPr>
        <w:t>Taxation (Use of Money Interest Rates) Amendment Regulations 2020</w:t>
      </w:r>
    </w:p>
    <w:p w14:paraId="25CE48DD" w14:textId="77777777" w:rsidR="00C96CCF" w:rsidRDefault="00C96CCF">
      <w:pPr>
        <w:pStyle w:val="BodyText"/>
        <w:spacing w:before="2"/>
        <w:rPr>
          <w:rFonts w:ascii="Arial"/>
          <w:b/>
          <w:sz w:val="31"/>
        </w:rPr>
      </w:pPr>
    </w:p>
    <w:p w14:paraId="25CE48DE" w14:textId="77777777" w:rsidR="00C96CCF" w:rsidRDefault="00EF2A9F">
      <w:pPr>
        <w:tabs>
          <w:tab w:val="left" w:pos="2023"/>
        </w:tabs>
        <w:ind w:left="115"/>
        <w:rPr>
          <w:rFonts w:ascii="Arial"/>
          <w:b/>
          <w:sz w:val="20"/>
        </w:rPr>
      </w:pPr>
      <w:r>
        <w:rPr>
          <w:rFonts w:ascii="Arial"/>
          <w:b/>
          <w:sz w:val="20"/>
        </w:rPr>
        <w:t>Portfolio</w:t>
      </w:r>
      <w:r>
        <w:rPr>
          <w:rFonts w:ascii="Arial"/>
          <w:b/>
          <w:sz w:val="20"/>
        </w:rPr>
        <w:tab/>
        <w:t>Revenue</w:t>
      </w:r>
    </w:p>
    <w:p w14:paraId="25CE48DF" w14:textId="77777777" w:rsidR="00C96CCF" w:rsidRDefault="00C96CCF">
      <w:pPr>
        <w:pStyle w:val="BodyText"/>
        <w:spacing w:before="10"/>
        <w:rPr>
          <w:rFonts w:ascii="Arial"/>
          <w:b/>
          <w:sz w:val="20"/>
        </w:rPr>
      </w:pPr>
    </w:p>
    <w:p w14:paraId="25CE48E0" w14:textId="77777777" w:rsidR="00C96CCF" w:rsidRDefault="00EF2A9F">
      <w:pPr>
        <w:pStyle w:val="BodyText"/>
        <w:ind w:left="115"/>
      </w:pPr>
      <w:r>
        <w:t>On 4 May 2020, Cabinet:</w:t>
      </w:r>
    </w:p>
    <w:p w14:paraId="25CE48E1" w14:textId="77777777" w:rsidR="00C96CCF" w:rsidRDefault="00C96CCF">
      <w:pPr>
        <w:pStyle w:val="BodyText"/>
      </w:pPr>
    </w:p>
    <w:p w14:paraId="25CE48E2" w14:textId="77777777" w:rsidR="00C96CCF" w:rsidRDefault="00EF2A9F">
      <w:pPr>
        <w:pStyle w:val="ListParagraph"/>
        <w:numPr>
          <w:ilvl w:val="0"/>
          <w:numId w:val="1"/>
        </w:numPr>
        <w:tabs>
          <w:tab w:val="left" w:pos="835"/>
          <w:tab w:val="left" w:pos="836"/>
        </w:tabs>
        <w:ind w:right="573"/>
        <w:rPr>
          <w:sz w:val="24"/>
        </w:rPr>
      </w:pPr>
      <w:r>
        <w:rPr>
          <w:b/>
          <w:sz w:val="24"/>
        </w:rPr>
        <w:t xml:space="preserve">agreed </w:t>
      </w:r>
      <w:r>
        <w:rPr>
          <w:sz w:val="24"/>
        </w:rPr>
        <w:t>that the use of money interest rate on underpayments of tax be changed to 7.00% from</w:t>
      </w:r>
      <w:r>
        <w:rPr>
          <w:spacing w:val="1"/>
          <w:sz w:val="24"/>
        </w:rPr>
        <w:t xml:space="preserve"> </w:t>
      </w:r>
      <w:r>
        <w:rPr>
          <w:sz w:val="24"/>
        </w:rPr>
        <w:t>8.35%;</w:t>
      </w:r>
    </w:p>
    <w:p w14:paraId="25CE48E3" w14:textId="77777777" w:rsidR="00C96CCF" w:rsidRDefault="00C96CCF">
      <w:pPr>
        <w:pStyle w:val="BodyText"/>
        <w:spacing w:before="10"/>
        <w:rPr>
          <w:sz w:val="20"/>
        </w:rPr>
      </w:pPr>
    </w:p>
    <w:p w14:paraId="25CE48E4" w14:textId="77777777" w:rsidR="00C96CCF" w:rsidRDefault="00EF2A9F">
      <w:pPr>
        <w:pStyle w:val="ListParagraph"/>
        <w:numPr>
          <w:ilvl w:val="0"/>
          <w:numId w:val="1"/>
        </w:numPr>
        <w:tabs>
          <w:tab w:val="left" w:pos="835"/>
          <w:tab w:val="left" w:pos="836"/>
        </w:tabs>
        <w:ind w:right="693"/>
        <w:rPr>
          <w:sz w:val="24"/>
        </w:rPr>
      </w:pPr>
      <w:r>
        <w:rPr>
          <w:b/>
          <w:sz w:val="24"/>
        </w:rPr>
        <w:t xml:space="preserve">agreed </w:t>
      </w:r>
      <w:r>
        <w:rPr>
          <w:sz w:val="24"/>
        </w:rPr>
        <w:t>that the use of money interest rate on overpayments of tax be changed to 0.00% from</w:t>
      </w:r>
      <w:r>
        <w:rPr>
          <w:spacing w:val="1"/>
          <w:sz w:val="24"/>
        </w:rPr>
        <w:t xml:space="preserve"> </w:t>
      </w:r>
      <w:r>
        <w:rPr>
          <w:sz w:val="24"/>
        </w:rPr>
        <w:t>0.81%;</w:t>
      </w:r>
    </w:p>
    <w:p w14:paraId="25CE48E5" w14:textId="77777777" w:rsidR="00C96CCF" w:rsidRDefault="00C96CCF">
      <w:pPr>
        <w:pStyle w:val="BodyText"/>
        <w:spacing w:before="10"/>
        <w:rPr>
          <w:sz w:val="20"/>
        </w:rPr>
      </w:pPr>
    </w:p>
    <w:p w14:paraId="25CE48E6" w14:textId="77777777" w:rsidR="00C96CCF" w:rsidRDefault="00EF2A9F">
      <w:pPr>
        <w:pStyle w:val="ListParagraph"/>
        <w:numPr>
          <w:ilvl w:val="0"/>
          <w:numId w:val="1"/>
        </w:numPr>
        <w:tabs>
          <w:tab w:val="left" w:pos="835"/>
          <w:tab w:val="left" w:pos="836"/>
        </w:tabs>
        <w:ind w:right="432"/>
        <w:rPr>
          <w:sz w:val="24"/>
        </w:rPr>
      </w:pPr>
      <w:r>
        <w:rPr>
          <w:b/>
          <w:sz w:val="24"/>
        </w:rPr>
        <w:t xml:space="preserve">noted </w:t>
      </w:r>
      <w:r>
        <w:rPr>
          <w:sz w:val="24"/>
        </w:rPr>
        <w:t xml:space="preserve">that the </w:t>
      </w:r>
      <w:r>
        <w:rPr>
          <w:spacing w:val="-3"/>
          <w:sz w:val="24"/>
        </w:rPr>
        <w:t xml:space="preserve">Taxation </w:t>
      </w:r>
      <w:r>
        <w:rPr>
          <w:sz w:val="24"/>
        </w:rPr>
        <w:t>(Use of Money Interest Rates) Amendment Regulations 2020</w:t>
      </w:r>
      <w:r>
        <w:rPr>
          <w:spacing w:val="-31"/>
          <w:sz w:val="24"/>
        </w:rPr>
        <w:t xml:space="preserve"> </w:t>
      </w:r>
      <w:r>
        <w:rPr>
          <w:sz w:val="24"/>
        </w:rPr>
        <w:t>give effect to the new rates</w:t>
      </w:r>
      <w:r>
        <w:rPr>
          <w:spacing w:val="-3"/>
          <w:sz w:val="24"/>
        </w:rPr>
        <w:t xml:space="preserve"> </w:t>
      </w:r>
      <w:r>
        <w:rPr>
          <w:sz w:val="24"/>
        </w:rPr>
        <w:t>above;</w:t>
      </w:r>
    </w:p>
    <w:p w14:paraId="25CE48E7" w14:textId="77777777" w:rsidR="00C96CCF" w:rsidRDefault="00C96CCF">
      <w:pPr>
        <w:pStyle w:val="BodyText"/>
        <w:spacing w:before="10"/>
        <w:rPr>
          <w:sz w:val="20"/>
        </w:rPr>
      </w:pPr>
    </w:p>
    <w:p w14:paraId="25CE48E8" w14:textId="77777777" w:rsidR="00C96CCF" w:rsidRDefault="00EF2A9F">
      <w:pPr>
        <w:pStyle w:val="ListParagraph"/>
        <w:numPr>
          <w:ilvl w:val="0"/>
          <w:numId w:val="1"/>
        </w:numPr>
        <w:tabs>
          <w:tab w:val="left" w:pos="835"/>
          <w:tab w:val="left" w:pos="836"/>
        </w:tabs>
        <w:ind w:right="275"/>
        <w:rPr>
          <w:sz w:val="24"/>
        </w:rPr>
      </w:pPr>
      <w:r>
        <w:rPr>
          <w:b/>
          <w:sz w:val="24"/>
        </w:rPr>
        <w:t xml:space="preserve">noted </w:t>
      </w:r>
      <w:r>
        <w:rPr>
          <w:sz w:val="24"/>
        </w:rPr>
        <w:t>the following changes as a result of the decisions in paragraphs 1 and 2 above, with a corresponding impact on the operating balance:</w:t>
      </w:r>
    </w:p>
    <w:p w14:paraId="25CE48E9" w14:textId="77777777" w:rsidR="00C96CCF" w:rsidRDefault="00C96CCF">
      <w:pPr>
        <w:pStyle w:val="BodyText"/>
        <w:spacing w:before="10"/>
        <w:rPr>
          <w:sz w:val="20"/>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1336"/>
        <w:gridCol w:w="1450"/>
        <w:gridCol w:w="1384"/>
        <w:gridCol w:w="1542"/>
        <w:gridCol w:w="1546"/>
      </w:tblGrid>
      <w:tr w:rsidR="00C96CCF" w14:paraId="25CE48EE" w14:textId="77777777">
        <w:trPr>
          <w:trHeight w:val="357"/>
        </w:trPr>
        <w:tc>
          <w:tcPr>
            <w:tcW w:w="1986" w:type="dxa"/>
            <w:tcBorders>
              <w:top w:val="nil"/>
              <w:left w:val="nil"/>
            </w:tcBorders>
          </w:tcPr>
          <w:p w14:paraId="25CE48EA" w14:textId="77777777" w:rsidR="00C96CCF" w:rsidRDefault="00C96CCF">
            <w:pPr>
              <w:pStyle w:val="TableParagraph"/>
              <w:spacing w:before="0"/>
              <w:ind w:left="0"/>
              <w:rPr>
                <w:rFonts w:ascii="Times New Roman"/>
              </w:rPr>
            </w:pPr>
          </w:p>
        </w:tc>
        <w:tc>
          <w:tcPr>
            <w:tcW w:w="1336" w:type="dxa"/>
          </w:tcPr>
          <w:p w14:paraId="25CE48EB" w14:textId="77777777" w:rsidR="00C96CCF" w:rsidRDefault="00C96CCF">
            <w:pPr>
              <w:pStyle w:val="TableParagraph"/>
              <w:spacing w:before="0"/>
              <w:ind w:left="0"/>
              <w:rPr>
                <w:rFonts w:ascii="Times New Roman"/>
              </w:rPr>
            </w:pPr>
          </w:p>
        </w:tc>
        <w:tc>
          <w:tcPr>
            <w:tcW w:w="4376" w:type="dxa"/>
            <w:gridSpan w:val="3"/>
          </w:tcPr>
          <w:p w14:paraId="25CE48EC" w14:textId="77777777" w:rsidR="00C96CCF" w:rsidRDefault="00EF2A9F">
            <w:pPr>
              <w:pStyle w:val="TableParagraph"/>
              <w:rPr>
                <w:b/>
                <w:sz w:val="20"/>
              </w:rPr>
            </w:pPr>
            <w:r>
              <w:rPr>
                <w:b/>
                <w:sz w:val="20"/>
              </w:rPr>
              <w:t>$ millions increase (decrease)</w:t>
            </w:r>
          </w:p>
        </w:tc>
        <w:tc>
          <w:tcPr>
            <w:tcW w:w="1546" w:type="dxa"/>
          </w:tcPr>
          <w:p w14:paraId="25CE48ED" w14:textId="77777777" w:rsidR="00C96CCF" w:rsidRDefault="00C96CCF">
            <w:pPr>
              <w:pStyle w:val="TableParagraph"/>
              <w:spacing w:before="0"/>
              <w:ind w:left="0"/>
              <w:rPr>
                <w:rFonts w:ascii="Times New Roman"/>
              </w:rPr>
            </w:pPr>
          </w:p>
        </w:tc>
      </w:tr>
      <w:tr w:rsidR="00C96CCF" w14:paraId="25CE48F7" w14:textId="77777777">
        <w:trPr>
          <w:trHeight w:val="870"/>
        </w:trPr>
        <w:tc>
          <w:tcPr>
            <w:tcW w:w="1986" w:type="dxa"/>
          </w:tcPr>
          <w:p w14:paraId="25CE48EF" w14:textId="77777777" w:rsidR="00C96CCF" w:rsidRDefault="00EF2A9F">
            <w:pPr>
              <w:pStyle w:val="TableParagraph"/>
              <w:rPr>
                <w:b/>
                <w:sz w:val="20"/>
              </w:rPr>
            </w:pPr>
            <w:r>
              <w:rPr>
                <w:b/>
                <w:sz w:val="20"/>
              </w:rPr>
              <w:t>Vote Revenue</w:t>
            </w:r>
          </w:p>
          <w:p w14:paraId="25CE48F0" w14:textId="77777777" w:rsidR="00C96CCF" w:rsidRDefault="00EF2A9F">
            <w:pPr>
              <w:pStyle w:val="TableParagraph"/>
              <w:ind w:right="834"/>
              <w:rPr>
                <w:b/>
                <w:sz w:val="20"/>
              </w:rPr>
            </w:pPr>
            <w:r>
              <w:rPr>
                <w:b/>
                <w:sz w:val="20"/>
              </w:rPr>
              <w:t>Minister of Revenue</w:t>
            </w:r>
          </w:p>
        </w:tc>
        <w:tc>
          <w:tcPr>
            <w:tcW w:w="1336" w:type="dxa"/>
          </w:tcPr>
          <w:p w14:paraId="25CE48F1" w14:textId="77777777" w:rsidR="00C96CCF" w:rsidRDefault="00EF2A9F">
            <w:pPr>
              <w:pStyle w:val="TableParagraph"/>
              <w:rPr>
                <w:b/>
                <w:sz w:val="20"/>
              </w:rPr>
            </w:pPr>
            <w:r>
              <w:rPr>
                <w:b/>
                <w:sz w:val="20"/>
              </w:rPr>
              <w:t>2019/20</w:t>
            </w:r>
          </w:p>
        </w:tc>
        <w:tc>
          <w:tcPr>
            <w:tcW w:w="1450" w:type="dxa"/>
          </w:tcPr>
          <w:p w14:paraId="25CE48F2" w14:textId="77777777" w:rsidR="00C96CCF" w:rsidRDefault="00EF2A9F">
            <w:pPr>
              <w:pStyle w:val="TableParagraph"/>
              <w:rPr>
                <w:b/>
                <w:sz w:val="20"/>
              </w:rPr>
            </w:pPr>
            <w:r>
              <w:rPr>
                <w:b/>
                <w:sz w:val="20"/>
              </w:rPr>
              <w:t>2020/21</w:t>
            </w:r>
          </w:p>
        </w:tc>
        <w:tc>
          <w:tcPr>
            <w:tcW w:w="1384" w:type="dxa"/>
          </w:tcPr>
          <w:p w14:paraId="25CE48F3" w14:textId="77777777" w:rsidR="00C96CCF" w:rsidRDefault="00EF2A9F">
            <w:pPr>
              <w:pStyle w:val="TableParagraph"/>
              <w:rPr>
                <w:b/>
                <w:sz w:val="20"/>
              </w:rPr>
            </w:pPr>
            <w:r>
              <w:rPr>
                <w:b/>
                <w:sz w:val="20"/>
              </w:rPr>
              <w:t>2021/22</w:t>
            </w:r>
          </w:p>
        </w:tc>
        <w:tc>
          <w:tcPr>
            <w:tcW w:w="1542" w:type="dxa"/>
          </w:tcPr>
          <w:p w14:paraId="25CE48F4" w14:textId="77777777" w:rsidR="00C96CCF" w:rsidRDefault="00EF2A9F">
            <w:pPr>
              <w:pStyle w:val="TableParagraph"/>
              <w:rPr>
                <w:b/>
                <w:sz w:val="20"/>
              </w:rPr>
            </w:pPr>
            <w:r>
              <w:rPr>
                <w:b/>
                <w:sz w:val="20"/>
              </w:rPr>
              <w:t>2022/23</w:t>
            </w:r>
          </w:p>
        </w:tc>
        <w:tc>
          <w:tcPr>
            <w:tcW w:w="1546" w:type="dxa"/>
          </w:tcPr>
          <w:p w14:paraId="25CE48F5" w14:textId="77777777" w:rsidR="00C96CCF" w:rsidRDefault="00EF2A9F">
            <w:pPr>
              <w:pStyle w:val="TableParagraph"/>
              <w:rPr>
                <w:b/>
                <w:sz w:val="20"/>
              </w:rPr>
            </w:pPr>
            <w:r>
              <w:rPr>
                <w:b/>
                <w:sz w:val="20"/>
              </w:rPr>
              <w:t>2023/24 &amp;</w:t>
            </w:r>
          </w:p>
          <w:p w14:paraId="25CE48F6" w14:textId="77777777" w:rsidR="00C96CCF" w:rsidRDefault="00EF2A9F">
            <w:pPr>
              <w:pStyle w:val="TableParagraph"/>
              <w:spacing w:before="0"/>
              <w:rPr>
                <w:b/>
                <w:sz w:val="20"/>
              </w:rPr>
            </w:pPr>
            <w:r>
              <w:rPr>
                <w:b/>
                <w:sz w:val="20"/>
              </w:rPr>
              <w:t>outyears</w:t>
            </w:r>
          </w:p>
        </w:tc>
      </w:tr>
      <w:tr w:rsidR="00C96CCF" w14:paraId="25CE48FF" w14:textId="77777777">
        <w:trPr>
          <w:trHeight w:val="870"/>
        </w:trPr>
        <w:tc>
          <w:tcPr>
            <w:tcW w:w="1986" w:type="dxa"/>
          </w:tcPr>
          <w:p w14:paraId="25CE48F8" w14:textId="77777777" w:rsidR="00C96CCF" w:rsidRDefault="00EF2A9F">
            <w:pPr>
              <w:pStyle w:val="TableParagraph"/>
              <w:ind w:right="411"/>
              <w:rPr>
                <w:sz w:val="20"/>
              </w:rPr>
            </w:pPr>
            <w:r>
              <w:rPr>
                <w:sz w:val="20"/>
              </w:rPr>
              <w:t>Crown Revenue and Receipts:</w:t>
            </w:r>
          </w:p>
          <w:p w14:paraId="25CE48F9" w14:textId="77777777" w:rsidR="00C96CCF" w:rsidRDefault="00EF2A9F">
            <w:pPr>
              <w:pStyle w:val="TableParagraph"/>
              <w:rPr>
                <w:sz w:val="20"/>
              </w:rPr>
            </w:pPr>
            <w:r>
              <w:rPr>
                <w:sz w:val="20"/>
              </w:rPr>
              <w:t>Tax Revenue</w:t>
            </w:r>
          </w:p>
        </w:tc>
        <w:tc>
          <w:tcPr>
            <w:tcW w:w="1336" w:type="dxa"/>
          </w:tcPr>
          <w:p w14:paraId="25CE48FA" w14:textId="77777777" w:rsidR="00C96CCF" w:rsidRDefault="00EF2A9F">
            <w:pPr>
              <w:pStyle w:val="TableParagraph"/>
              <w:rPr>
                <w:sz w:val="20"/>
              </w:rPr>
            </w:pPr>
            <w:r>
              <w:rPr>
                <w:sz w:val="20"/>
              </w:rPr>
              <w:t>(3.000)</w:t>
            </w:r>
          </w:p>
        </w:tc>
        <w:tc>
          <w:tcPr>
            <w:tcW w:w="1450" w:type="dxa"/>
          </w:tcPr>
          <w:p w14:paraId="25CE48FB" w14:textId="77777777" w:rsidR="00C96CCF" w:rsidRDefault="00EF2A9F">
            <w:pPr>
              <w:pStyle w:val="TableParagraph"/>
              <w:rPr>
                <w:sz w:val="20"/>
              </w:rPr>
            </w:pPr>
            <w:r>
              <w:rPr>
                <w:sz w:val="20"/>
              </w:rPr>
              <w:t>(19.000)</w:t>
            </w:r>
          </w:p>
        </w:tc>
        <w:tc>
          <w:tcPr>
            <w:tcW w:w="1384" w:type="dxa"/>
          </w:tcPr>
          <w:p w14:paraId="25CE48FC" w14:textId="77777777" w:rsidR="00C96CCF" w:rsidRDefault="00EF2A9F">
            <w:pPr>
              <w:pStyle w:val="TableParagraph"/>
              <w:rPr>
                <w:sz w:val="20"/>
              </w:rPr>
            </w:pPr>
            <w:r>
              <w:rPr>
                <w:sz w:val="20"/>
              </w:rPr>
              <w:t>(19.000)</w:t>
            </w:r>
          </w:p>
        </w:tc>
        <w:tc>
          <w:tcPr>
            <w:tcW w:w="1542" w:type="dxa"/>
          </w:tcPr>
          <w:p w14:paraId="25CE48FD" w14:textId="77777777" w:rsidR="00C96CCF" w:rsidRDefault="00EF2A9F">
            <w:pPr>
              <w:pStyle w:val="TableParagraph"/>
              <w:rPr>
                <w:sz w:val="20"/>
              </w:rPr>
            </w:pPr>
            <w:r>
              <w:rPr>
                <w:sz w:val="20"/>
              </w:rPr>
              <w:t>(19.000)</w:t>
            </w:r>
          </w:p>
        </w:tc>
        <w:tc>
          <w:tcPr>
            <w:tcW w:w="1546" w:type="dxa"/>
          </w:tcPr>
          <w:p w14:paraId="25CE48FE" w14:textId="77777777" w:rsidR="00C96CCF" w:rsidRDefault="00EF2A9F">
            <w:pPr>
              <w:pStyle w:val="TableParagraph"/>
              <w:rPr>
                <w:sz w:val="20"/>
              </w:rPr>
            </w:pPr>
            <w:r>
              <w:rPr>
                <w:sz w:val="20"/>
              </w:rPr>
              <w:t>(19.000)</w:t>
            </w:r>
          </w:p>
        </w:tc>
      </w:tr>
      <w:tr w:rsidR="00C96CCF" w14:paraId="25CE4906" w14:textId="77777777">
        <w:trPr>
          <w:trHeight w:val="422"/>
        </w:trPr>
        <w:tc>
          <w:tcPr>
            <w:tcW w:w="1986" w:type="dxa"/>
          </w:tcPr>
          <w:p w14:paraId="25CE4900" w14:textId="77777777" w:rsidR="00C96CCF" w:rsidRDefault="00EF2A9F">
            <w:pPr>
              <w:pStyle w:val="TableParagraph"/>
              <w:rPr>
                <w:b/>
                <w:sz w:val="20"/>
              </w:rPr>
            </w:pPr>
            <w:r>
              <w:rPr>
                <w:b/>
                <w:sz w:val="20"/>
              </w:rPr>
              <w:t>Total Operating</w:t>
            </w:r>
          </w:p>
        </w:tc>
        <w:tc>
          <w:tcPr>
            <w:tcW w:w="1336" w:type="dxa"/>
          </w:tcPr>
          <w:p w14:paraId="25CE4901" w14:textId="77777777" w:rsidR="00C96CCF" w:rsidRDefault="00EF2A9F">
            <w:pPr>
              <w:pStyle w:val="TableParagraph"/>
              <w:rPr>
                <w:b/>
                <w:sz w:val="20"/>
              </w:rPr>
            </w:pPr>
            <w:r>
              <w:rPr>
                <w:b/>
                <w:sz w:val="20"/>
              </w:rPr>
              <w:t>3.000</w:t>
            </w:r>
          </w:p>
        </w:tc>
        <w:tc>
          <w:tcPr>
            <w:tcW w:w="1450" w:type="dxa"/>
          </w:tcPr>
          <w:p w14:paraId="25CE4902" w14:textId="77777777" w:rsidR="00C96CCF" w:rsidRDefault="00EF2A9F">
            <w:pPr>
              <w:pStyle w:val="TableParagraph"/>
              <w:rPr>
                <w:b/>
                <w:sz w:val="20"/>
              </w:rPr>
            </w:pPr>
            <w:r>
              <w:rPr>
                <w:b/>
                <w:sz w:val="20"/>
              </w:rPr>
              <w:t>19.000</w:t>
            </w:r>
          </w:p>
        </w:tc>
        <w:tc>
          <w:tcPr>
            <w:tcW w:w="1384" w:type="dxa"/>
          </w:tcPr>
          <w:p w14:paraId="25CE4903" w14:textId="77777777" w:rsidR="00C96CCF" w:rsidRDefault="00EF2A9F">
            <w:pPr>
              <w:pStyle w:val="TableParagraph"/>
              <w:rPr>
                <w:b/>
                <w:sz w:val="20"/>
              </w:rPr>
            </w:pPr>
            <w:r>
              <w:rPr>
                <w:b/>
                <w:sz w:val="20"/>
              </w:rPr>
              <w:t>19.000</w:t>
            </w:r>
          </w:p>
        </w:tc>
        <w:tc>
          <w:tcPr>
            <w:tcW w:w="1542" w:type="dxa"/>
          </w:tcPr>
          <w:p w14:paraId="25CE4904" w14:textId="77777777" w:rsidR="00C96CCF" w:rsidRDefault="00EF2A9F">
            <w:pPr>
              <w:pStyle w:val="TableParagraph"/>
              <w:rPr>
                <w:b/>
                <w:sz w:val="20"/>
              </w:rPr>
            </w:pPr>
            <w:r>
              <w:rPr>
                <w:b/>
                <w:sz w:val="20"/>
              </w:rPr>
              <w:t>19.000</w:t>
            </w:r>
          </w:p>
        </w:tc>
        <w:tc>
          <w:tcPr>
            <w:tcW w:w="1546" w:type="dxa"/>
          </w:tcPr>
          <w:p w14:paraId="25CE4905" w14:textId="77777777" w:rsidR="00C96CCF" w:rsidRDefault="00EF2A9F">
            <w:pPr>
              <w:pStyle w:val="TableParagraph"/>
              <w:rPr>
                <w:b/>
                <w:sz w:val="20"/>
              </w:rPr>
            </w:pPr>
            <w:r>
              <w:rPr>
                <w:b/>
                <w:sz w:val="20"/>
              </w:rPr>
              <w:t>19.000</w:t>
            </w:r>
          </w:p>
        </w:tc>
      </w:tr>
    </w:tbl>
    <w:p w14:paraId="25CE4907" w14:textId="77777777" w:rsidR="00C96CCF" w:rsidRDefault="00C96CCF">
      <w:pPr>
        <w:pStyle w:val="BodyText"/>
        <w:spacing w:before="11"/>
        <w:rPr>
          <w:sz w:val="23"/>
        </w:rPr>
      </w:pPr>
    </w:p>
    <w:p w14:paraId="25CE4908" w14:textId="77777777" w:rsidR="00C96CCF" w:rsidRDefault="00EF2A9F">
      <w:pPr>
        <w:pStyle w:val="ListParagraph"/>
        <w:numPr>
          <w:ilvl w:val="0"/>
          <w:numId w:val="1"/>
        </w:numPr>
        <w:tabs>
          <w:tab w:val="left" w:pos="835"/>
          <w:tab w:val="left" w:pos="836"/>
        </w:tabs>
        <w:ind w:right="715"/>
        <w:jc w:val="both"/>
        <w:rPr>
          <w:sz w:val="24"/>
        </w:rPr>
      </w:pPr>
      <w:r>
        <w:rPr>
          <w:b/>
          <w:sz w:val="24"/>
        </w:rPr>
        <w:t xml:space="preserve">approved </w:t>
      </w:r>
      <w:r>
        <w:rPr>
          <w:sz w:val="24"/>
        </w:rPr>
        <w:t>the following forecast change in appropriations for Non-Departmental</w:t>
      </w:r>
      <w:r>
        <w:rPr>
          <w:spacing w:val="-22"/>
          <w:sz w:val="24"/>
        </w:rPr>
        <w:t xml:space="preserve"> </w:t>
      </w:r>
      <w:r>
        <w:rPr>
          <w:sz w:val="24"/>
        </w:rPr>
        <w:t>Other Expense as a result of the decisions in paragraphs 1 and 2 above, with a corresponding impact on the operating balance:</w:t>
      </w:r>
    </w:p>
    <w:p w14:paraId="25CE4909" w14:textId="77777777" w:rsidR="00C96CCF" w:rsidRDefault="00C96CCF">
      <w:pPr>
        <w:pStyle w:val="BodyText"/>
        <w:spacing w:before="10"/>
        <w:rPr>
          <w:sz w:val="20"/>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1226"/>
        <w:gridCol w:w="1450"/>
        <w:gridCol w:w="1338"/>
        <w:gridCol w:w="1634"/>
        <w:gridCol w:w="1514"/>
      </w:tblGrid>
      <w:tr w:rsidR="00C96CCF" w14:paraId="25CE490E" w14:textId="77777777">
        <w:trPr>
          <w:trHeight w:val="350"/>
        </w:trPr>
        <w:tc>
          <w:tcPr>
            <w:tcW w:w="2028" w:type="dxa"/>
            <w:tcBorders>
              <w:top w:val="nil"/>
              <w:left w:val="nil"/>
            </w:tcBorders>
          </w:tcPr>
          <w:p w14:paraId="25CE490A" w14:textId="77777777" w:rsidR="00C96CCF" w:rsidRDefault="00C96CCF">
            <w:pPr>
              <w:pStyle w:val="TableParagraph"/>
              <w:spacing w:before="0"/>
              <w:ind w:left="0"/>
              <w:rPr>
                <w:rFonts w:ascii="Times New Roman"/>
              </w:rPr>
            </w:pPr>
          </w:p>
        </w:tc>
        <w:tc>
          <w:tcPr>
            <w:tcW w:w="1226" w:type="dxa"/>
          </w:tcPr>
          <w:p w14:paraId="25CE490B" w14:textId="77777777" w:rsidR="00C96CCF" w:rsidRDefault="00C96CCF">
            <w:pPr>
              <w:pStyle w:val="TableParagraph"/>
              <w:spacing w:before="0"/>
              <w:ind w:left="0"/>
              <w:rPr>
                <w:rFonts w:ascii="Times New Roman"/>
              </w:rPr>
            </w:pPr>
          </w:p>
        </w:tc>
        <w:tc>
          <w:tcPr>
            <w:tcW w:w="4422" w:type="dxa"/>
            <w:gridSpan w:val="3"/>
          </w:tcPr>
          <w:p w14:paraId="25CE490C" w14:textId="77777777" w:rsidR="00C96CCF" w:rsidRDefault="00EF2A9F">
            <w:pPr>
              <w:pStyle w:val="TableParagraph"/>
              <w:ind w:left="109"/>
              <w:rPr>
                <w:b/>
                <w:sz w:val="20"/>
              </w:rPr>
            </w:pPr>
            <w:r>
              <w:rPr>
                <w:b/>
                <w:sz w:val="20"/>
              </w:rPr>
              <w:t>$ millions increase (decrease)</w:t>
            </w:r>
          </w:p>
        </w:tc>
        <w:tc>
          <w:tcPr>
            <w:tcW w:w="1514" w:type="dxa"/>
          </w:tcPr>
          <w:p w14:paraId="25CE490D" w14:textId="77777777" w:rsidR="00C96CCF" w:rsidRDefault="00C96CCF">
            <w:pPr>
              <w:pStyle w:val="TableParagraph"/>
              <w:spacing w:before="0"/>
              <w:ind w:left="0"/>
              <w:rPr>
                <w:rFonts w:ascii="Times New Roman"/>
              </w:rPr>
            </w:pPr>
          </w:p>
        </w:tc>
      </w:tr>
      <w:tr w:rsidR="00C96CCF" w14:paraId="25CE4917" w14:textId="77777777">
        <w:trPr>
          <w:trHeight w:val="870"/>
        </w:trPr>
        <w:tc>
          <w:tcPr>
            <w:tcW w:w="2028" w:type="dxa"/>
          </w:tcPr>
          <w:p w14:paraId="25CE490F" w14:textId="77777777" w:rsidR="00C96CCF" w:rsidRDefault="00EF2A9F">
            <w:pPr>
              <w:pStyle w:val="TableParagraph"/>
              <w:rPr>
                <w:b/>
                <w:sz w:val="20"/>
              </w:rPr>
            </w:pPr>
            <w:r>
              <w:rPr>
                <w:b/>
                <w:sz w:val="20"/>
              </w:rPr>
              <w:t>Vote Revenue</w:t>
            </w:r>
          </w:p>
          <w:p w14:paraId="25CE4910" w14:textId="77777777" w:rsidR="00C96CCF" w:rsidRDefault="00EF2A9F">
            <w:pPr>
              <w:pStyle w:val="TableParagraph"/>
              <w:ind w:right="876"/>
              <w:rPr>
                <w:b/>
                <w:sz w:val="20"/>
              </w:rPr>
            </w:pPr>
            <w:r>
              <w:rPr>
                <w:b/>
                <w:sz w:val="20"/>
              </w:rPr>
              <w:t>Minister of Revenue</w:t>
            </w:r>
          </w:p>
        </w:tc>
        <w:tc>
          <w:tcPr>
            <w:tcW w:w="1226" w:type="dxa"/>
          </w:tcPr>
          <w:p w14:paraId="25CE4911" w14:textId="77777777" w:rsidR="00C96CCF" w:rsidRDefault="00EF2A9F">
            <w:pPr>
              <w:pStyle w:val="TableParagraph"/>
              <w:rPr>
                <w:b/>
                <w:sz w:val="20"/>
              </w:rPr>
            </w:pPr>
            <w:r>
              <w:rPr>
                <w:b/>
                <w:sz w:val="20"/>
              </w:rPr>
              <w:t>2019/20</w:t>
            </w:r>
          </w:p>
        </w:tc>
        <w:tc>
          <w:tcPr>
            <w:tcW w:w="1450" w:type="dxa"/>
          </w:tcPr>
          <w:p w14:paraId="25CE4912" w14:textId="77777777" w:rsidR="00C96CCF" w:rsidRDefault="00EF2A9F">
            <w:pPr>
              <w:pStyle w:val="TableParagraph"/>
              <w:ind w:left="109"/>
              <w:rPr>
                <w:b/>
                <w:sz w:val="20"/>
              </w:rPr>
            </w:pPr>
            <w:r>
              <w:rPr>
                <w:b/>
                <w:sz w:val="20"/>
              </w:rPr>
              <w:t>2020/21</w:t>
            </w:r>
          </w:p>
        </w:tc>
        <w:tc>
          <w:tcPr>
            <w:tcW w:w="1338" w:type="dxa"/>
          </w:tcPr>
          <w:p w14:paraId="25CE4913" w14:textId="77777777" w:rsidR="00C96CCF" w:rsidRDefault="00EF2A9F">
            <w:pPr>
              <w:pStyle w:val="TableParagraph"/>
              <w:rPr>
                <w:b/>
                <w:sz w:val="20"/>
              </w:rPr>
            </w:pPr>
            <w:r>
              <w:rPr>
                <w:b/>
                <w:sz w:val="20"/>
              </w:rPr>
              <w:t>2021/22</w:t>
            </w:r>
          </w:p>
        </w:tc>
        <w:tc>
          <w:tcPr>
            <w:tcW w:w="1634" w:type="dxa"/>
          </w:tcPr>
          <w:p w14:paraId="25CE4914" w14:textId="77777777" w:rsidR="00C96CCF" w:rsidRDefault="00EF2A9F">
            <w:pPr>
              <w:pStyle w:val="TableParagraph"/>
              <w:rPr>
                <w:b/>
                <w:sz w:val="20"/>
              </w:rPr>
            </w:pPr>
            <w:r>
              <w:rPr>
                <w:b/>
                <w:sz w:val="20"/>
              </w:rPr>
              <w:t>2022/23</w:t>
            </w:r>
          </w:p>
        </w:tc>
        <w:tc>
          <w:tcPr>
            <w:tcW w:w="1514" w:type="dxa"/>
          </w:tcPr>
          <w:p w14:paraId="25CE4915" w14:textId="77777777" w:rsidR="00C96CCF" w:rsidRDefault="00EF2A9F">
            <w:pPr>
              <w:pStyle w:val="TableParagraph"/>
              <w:rPr>
                <w:b/>
                <w:sz w:val="20"/>
              </w:rPr>
            </w:pPr>
            <w:r>
              <w:rPr>
                <w:b/>
                <w:sz w:val="20"/>
              </w:rPr>
              <w:t>2023/24 &amp;</w:t>
            </w:r>
          </w:p>
          <w:p w14:paraId="25CE4916" w14:textId="77777777" w:rsidR="00C96CCF" w:rsidRDefault="00EF2A9F">
            <w:pPr>
              <w:pStyle w:val="TableParagraph"/>
              <w:spacing w:before="0"/>
              <w:rPr>
                <w:b/>
                <w:sz w:val="20"/>
              </w:rPr>
            </w:pPr>
            <w:r>
              <w:rPr>
                <w:b/>
                <w:sz w:val="20"/>
              </w:rPr>
              <w:t>outyears</w:t>
            </w:r>
          </w:p>
        </w:tc>
      </w:tr>
      <w:tr w:rsidR="00C96CCF" w14:paraId="25CE491E" w14:textId="77777777">
        <w:trPr>
          <w:trHeight w:val="1500"/>
        </w:trPr>
        <w:tc>
          <w:tcPr>
            <w:tcW w:w="2028" w:type="dxa"/>
          </w:tcPr>
          <w:p w14:paraId="25CE4918" w14:textId="77777777" w:rsidR="00C96CCF" w:rsidRDefault="00EF2A9F">
            <w:pPr>
              <w:pStyle w:val="TableParagraph"/>
              <w:ind w:right="86"/>
              <w:rPr>
                <w:sz w:val="20"/>
              </w:rPr>
            </w:pPr>
            <w:r>
              <w:rPr>
                <w:sz w:val="20"/>
              </w:rPr>
              <w:t>Non-Departmental Other Expense: Impairment of debt and debt write-offs (funded by Revenue Crown)</w:t>
            </w:r>
          </w:p>
        </w:tc>
        <w:tc>
          <w:tcPr>
            <w:tcW w:w="1226" w:type="dxa"/>
          </w:tcPr>
          <w:p w14:paraId="25CE4919" w14:textId="77777777" w:rsidR="00C96CCF" w:rsidRDefault="00EF2A9F">
            <w:pPr>
              <w:pStyle w:val="TableParagraph"/>
              <w:rPr>
                <w:sz w:val="20"/>
              </w:rPr>
            </w:pPr>
            <w:r>
              <w:rPr>
                <w:sz w:val="20"/>
              </w:rPr>
              <w:t>(6.000)</w:t>
            </w:r>
          </w:p>
        </w:tc>
        <w:tc>
          <w:tcPr>
            <w:tcW w:w="1450" w:type="dxa"/>
          </w:tcPr>
          <w:p w14:paraId="25CE491A" w14:textId="77777777" w:rsidR="00C96CCF" w:rsidRDefault="00EF2A9F">
            <w:pPr>
              <w:pStyle w:val="TableParagraph"/>
              <w:ind w:left="109"/>
              <w:rPr>
                <w:sz w:val="20"/>
              </w:rPr>
            </w:pPr>
            <w:r>
              <w:rPr>
                <w:sz w:val="20"/>
              </w:rPr>
              <w:t>(39.000)</w:t>
            </w:r>
          </w:p>
        </w:tc>
        <w:tc>
          <w:tcPr>
            <w:tcW w:w="1338" w:type="dxa"/>
          </w:tcPr>
          <w:p w14:paraId="25CE491B" w14:textId="77777777" w:rsidR="00C96CCF" w:rsidRDefault="00EF2A9F">
            <w:pPr>
              <w:pStyle w:val="TableParagraph"/>
              <w:rPr>
                <w:sz w:val="20"/>
              </w:rPr>
            </w:pPr>
            <w:r>
              <w:rPr>
                <w:sz w:val="20"/>
              </w:rPr>
              <w:t>(39.000)</w:t>
            </w:r>
          </w:p>
        </w:tc>
        <w:tc>
          <w:tcPr>
            <w:tcW w:w="1634" w:type="dxa"/>
          </w:tcPr>
          <w:p w14:paraId="25CE491C" w14:textId="77777777" w:rsidR="00C96CCF" w:rsidRDefault="00EF2A9F">
            <w:pPr>
              <w:pStyle w:val="TableParagraph"/>
              <w:rPr>
                <w:sz w:val="20"/>
              </w:rPr>
            </w:pPr>
            <w:r>
              <w:rPr>
                <w:sz w:val="20"/>
              </w:rPr>
              <w:t>(39.000)</w:t>
            </w:r>
          </w:p>
        </w:tc>
        <w:tc>
          <w:tcPr>
            <w:tcW w:w="1514" w:type="dxa"/>
          </w:tcPr>
          <w:p w14:paraId="25CE491D" w14:textId="77777777" w:rsidR="00C96CCF" w:rsidRDefault="00EF2A9F">
            <w:pPr>
              <w:pStyle w:val="TableParagraph"/>
              <w:rPr>
                <w:sz w:val="20"/>
              </w:rPr>
            </w:pPr>
            <w:r>
              <w:rPr>
                <w:sz w:val="20"/>
              </w:rPr>
              <w:t>(39.000)</w:t>
            </w:r>
          </w:p>
        </w:tc>
      </w:tr>
      <w:tr w:rsidR="00C96CCF" w14:paraId="25CE4925" w14:textId="77777777">
        <w:trPr>
          <w:trHeight w:val="463"/>
        </w:trPr>
        <w:tc>
          <w:tcPr>
            <w:tcW w:w="2028" w:type="dxa"/>
          </w:tcPr>
          <w:p w14:paraId="25CE491F" w14:textId="77777777" w:rsidR="00C96CCF" w:rsidRDefault="00EF2A9F">
            <w:pPr>
              <w:pStyle w:val="TableParagraph"/>
              <w:rPr>
                <w:b/>
                <w:sz w:val="20"/>
              </w:rPr>
            </w:pPr>
            <w:r>
              <w:rPr>
                <w:b/>
                <w:sz w:val="20"/>
              </w:rPr>
              <w:t>Total Operating</w:t>
            </w:r>
          </w:p>
        </w:tc>
        <w:tc>
          <w:tcPr>
            <w:tcW w:w="1226" w:type="dxa"/>
          </w:tcPr>
          <w:p w14:paraId="25CE4920" w14:textId="77777777" w:rsidR="00C96CCF" w:rsidRDefault="00EF2A9F">
            <w:pPr>
              <w:pStyle w:val="TableParagraph"/>
              <w:rPr>
                <w:b/>
                <w:sz w:val="20"/>
              </w:rPr>
            </w:pPr>
            <w:r>
              <w:rPr>
                <w:b/>
                <w:sz w:val="20"/>
              </w:rPr>
              <w:t>(6.000)</w:t>
            </w:r>
          </w:p>
        </w:tc>
        <w:tc>
          <w:tcPr>
            <w:tcW w:w="1450" w:type="dxa"/>
          </w:tcPr>
          <w:p w14:paraId="25CE4921" w14:textId="77777777" w:rsidR="00C96CCF" w:rsidRDefault="00EF2A9F">
            <w:pPr>
              <w:pStyle w:val="TableParagraph"/>
              <w:ind w:left="109"/>
              <w:rPr>
                <w:b/>
                <w:sz w:val="20"/>
              </w:rPr>
            </w:pPr>
            <w:r>
              <w:rPr>
                <w:b/>
                <w:sz w:val="20"/>
              </w:rPr>
              <w:t>(39.000)</w:t>
            </w:r>
          </w:p>
        </w:tc>
        <w:tc>
          <w:tcPr>
            <w:tcW w:w="1338" w:type="dxa"/>
          </w:tcPr>
          <w:p w14:paraId="25CE4922" w14:textId="77777777" w:rsidR="00C96CCF" w:rsidRDefault="00EF2A9F">
            <w:pPr>
              <w:pStyle w:val="TableParagraph"/>
              <w:rPr>
                <w:b/>
                <w:sz w:val="20"/>
              </w:rPr>
            </w:pPr>
            <w:r>
              <w:rPr>
                <w:b/>
                <w:sz w:val="20"/>
              </w:rPr>
              <w:t>(39.000)</w:t>
            </w:r>
          </w:p>
        </w:tc>
        <w:tc>
          <w:tcPr>
            <w:tcW w:w="1634" w:type="dxa"/>
          </w:tcPr>
          <w:p w14:paraId="25CE4923" w14:textId="77777777" w:rsidR="00C96CCF" w:rsidRDefault="00EF2A9F">
            <w:pPr>
              <w:pStyle w:val="TableParagraph"/>
              <w:rPr>
                <w:b/>
                <w:sz w:val="20"/>
              </w:rPr>
            </w:pPr>
            <w:r>
              <w:rPr>
                <w:b/>
                <w:sz w:val="20"/>
              </w:rPr>
              <w:t>(39.000)</w:t>
            </w:r>
          </w:p>
        </w:tc>
        <w:tc>
          <w:tcPr>
            <w:tcW w:w="1514" w:type="dxa"/>
          </w:tcPr>
          <w:p w14:paraId="25CE4924" w14:textId="77777777" w:rsidR="00C96CCF" w:rsidRDefault="00EF2A9F">
            <w:pPr>
              <w:pStyle w:val="TableParagraph"/>
              <w:rPr>
                <w:b/>
                <w:sz w:val="20"/>
              </w:rPr>
            </w:pPr>
            <w:r>
              <w:rPr>
                <w:b/>
                <w:sz w:val="20"/>
              </w:rPr>
              <w:t>(39.000)</w:t>
            </w:r>
          </w:p>
        </w:tc>
      </w:tr>
    </w:tbl>
    <w:p w14:paraId="25CE4926" w14:textId="77777777" w:rsidR="00C96CCF" w:rsidRDefault="00C96CCF">
      <w:pPr>
        <w:rPr>
          <w:sz w:val="20"/>
        </w:rPr>
        <w:sectPr w:rsidR="00C96CCF">
          <w:headerReference w:type="default" r:id="rId8"/>
          <w:footerReference w:type="default" r:id="rId9"/>
          <w:type w:val="continuous"/>
          <w:pgSz w:w="11910" w:h="16840"/>
          <w:pgMar w:top="840" w:right="960" w:bottom="760" w:left="1020" w:header="405" w:footer="580" w:gutter="0"/>
          <w:pgNumType w:start="1"/>
          <w:cols w:space="720"/>
        </w:sectPr>
      </w:pPr>
    </w:p>
    <w:p w14:paraId="25CE4927" w14:textId="77777777" w:rsidR="00C96CCF" w:rsidRDefault="00C96CCF">
      <w:pPr>
        <w:pStyle w:val="BodyText"/>
        <w:spacing w:before="7"/>
        <w:rPr>
          <w:sz w:val="20"/>
        </w:rPr>
      </w:pPr>
    </w:p>
    <w:p w14:paraId="25CE4928" w14:textId="77777777" w:rsidR="00C96CCF" w:rsidRDefault="00EF2A9F">
      <w:pPr>
        <w:pStyle w:val="ListParagraph"/>
        <w:numPr>
          <w:ilvl w:val="0"/>
          <w:numId w:val="1"/>
        </w:numPr>
        <w:tabs>
          <w:tab w:val="left" w:pos="835"/>
          <w:tab w:val="left" w:pos="836"/>
        </w:tabs>
        <w:spacing w:before="90"/>
        <w:ind w:right="265"/>
        <w:rPr>
          <w:sz w:val="24"/>
        </w:rPr>
      </w:pPr>
      <w:r>
        <w:rPr>
          <w:b/>
          <w:sz w:val="24"/>
        </w:rPr>
        <w:t xml:space="preserve">authorised </w:t>
      </w:r>
      <w:r>
        <w:rPr>
          <w:sz w:val="24"/>
        </w:rPr>
        <w:t xml:space="preserve">the submission to the Executive Council of the </w:t>
      </w:r>
      <w:r>
        <w:rPr>
          <w:spacing w:val="-3"/>
          <w:sz w:val="24"/>
        </w:rPr>
        <w:t xml:space="preserve">Taxation </w:t>
      </w:r>
      <w:r>
        <w:rPr>
          <w:sz w:val="24"/>
        </w:rPr>
        <w:t>(Use of Money Interest Rates) Amendment Regulations 2020 [PCO</w:t>
      </w:r>
      <w:r>
        <w:rPr>
          <w:spacing w:val="-14"/>
          <w:sz w:val="24"/>
        </w:rPr>
        <w:t xml:space="preserve"> </w:t>
      </w:r>
      <w:r>
        <w:rPr>
          <w:sz w:val="24"/>
        </w:rPr>
        <w:t>22913/2.0];</w:t>
      </w:r>
    </w:p>
    <w:p w14:paraId="25CE4929" w14:textId="77777777" w:rsidR="00C96CCF" w:rsidRDefault="00C96CCF">
      <w:pPr>
        <w:pStyle w:val="BodyText"/>
        <w:spacing w:before="10"/>
        <w:rPr>
          <w:sz w:val="20"/>
        </w:rPr>
      </w:pPr>
    </w:p>
    <w:p w14:paraId="25CE492A" w14:textId="77777777" w:rsidR="00C96CCF" w:rsidRDefault="00EF2A9F">
      <w:pPr>
        <w:pStyle w:val="ListParagraph"/>
        <w:numPr>
          <w:ilvl w:val="0"/>
          <w:numId w:val="1"/>
        </w:numPr>
        <w:tabs>
          <w:tab w:val="left" w:pos="835"/>
          <w:tab w:val="left" w:pos="836"/>
        </w:tabs>
        <w:ind w:hanging="721"/>
        <w:rPr>
          <w:sz w:val="24"/>
        </w:rPr>
      </w:pPr>
      <w:r>
        <w:rPr>
          <w:b/>
          <w:sz w:val="24"/>
        </w:rPr>
        <w:t xml:space="preserve">noted </w:t>
      </w:r>
      <w:r>
        <w:rPr>
          <w:sz w:val="24"/>
        </w:rPr>
        <w:t>that a waiver of the 28-day rule is</w:t>
      </w:r>
      <w:r>
        <w:rPr>
          <w:spacing w:val="-2"/>
          <w:sz w:val="24"/>
        </w:rPr>
        <w:t xml:space="preserve"> </w:t>
      </w:r>
      <w:r>
        <w:rPr>
          <w:sz w:val="24"/>
        </w:rPr>
        <w:t>sought:</w:t>
      </w:r>
    </w:p>
    <w:p w14:paraId="25CE492B" w14:textId="77777777" w:rsidR="00C96CCF" w:rsidRDefault="00C96CCF">
      <w:pPr>
        <w:pStyle w:val="BodyText"/>
        <w:spacing w:before="10"/>
        <w:rPr>
          <w:sz w:val="20"/>
        </w:rPr>
      </w:pPr>
    </w:p>
    <w:p w14:paraId="25CE492C" w14:textId="77777777" w:rsidR="00C96CCF" w:rsidRDefault="00EF2A9F">
      <w:pPr>
        <w:pStyle w:val="ListParagraph"/>
        <w:numPr>
          <w:ilvl w:val="1"/>
          <w:numId w:val="1"/>
        </w:numPr>
        <w:tabs>
          <w:tab w:val="left" w:pos="1555"/>
          <w:tab w:val="left" w:pos="1556"/>
        </w:tabs>
        <w:rPr>
          <w:sz w:val="24"/>
        </w:rPr>
      </w:pPr>
      <w:r>
        <w:rPr>
          <w:sz w:val="24"/>
        </w:rPr>
        <w:t>so that the regulations can come into force on 8 May 2020;</w:t>
      </w:r>
    </w:p>
    <w:p w14:paraId="25CE492D" w14:textId="77777777" w:rsidR="00C96CCF" w:rsidRDefault="00C96CCF">
      <w:pPr>
        <w:pStyle w:val="BodyText"/>
        <w:spacing w:before="10"/>
        <w:rPr>
          <w:sz w:val="20"/>
        </w:rPr>
      </w:pPr>
    </w:p>
    <w:p w14:paraId="25CE492E" w14:textId="77777777" w:rsidR="00C96CCF" w:rsidRDefault="00EF2A9F">
      <w:pPr>
        <w:pStyle w:val="ListParagraph"/>
        <w:numPr>
          <w:ilvl w:val="1"/>
          <w:numId w:val="1"/>
        </w:numPr>
        <w:tabs>
          <w:tab w:val="left" w:pos="1555"/>
          <w:tab w:val="left" w:pos="1556"/>
        </w:tabs>
        <w:ind w:right="524"/>
        <w:rPr>
          <w:sz w:val="24"/>
        </w:rPr>
      </w:pPr>
      <w:r>
        <w:rPr>
          <w:sz w:val="24"/>
        </w:rPr>
        <w:t>on the grounds that this will allow the regulations to be in force for the day immediately following the next standard instalment of provisional tax, which will have the benefit of providing support for some taxpayers to help cushion the economic impacts of COVID-19;</w:t>
      </w:r>
    </w:p>
    <w:p w14:paraId="25CE492F" w14:textId="77777777" w:rsidR="00C96CCF" w:rsidRDefault="00C96CCF">
      <w:pPr>
        <w:pStyle w:val="BodyText"/>
        <w:spacing w:before="10"/>
        <w:rPr>
          <w:sz w:val="20"/>
        </w:rPr>
      </w:pPr>
    </w:p>
    <w:p w14:paraId="25CE4930" w14:textId="77777777" w:rsidR="00C96CCF" w:rsidRDefault="00EF2A9F">
      <w:pPr>
        <w:pStyle w:val="ListParagraph"/>
        <w:numPr>
          <w:ilvl w:val="0"/>
          <w:numId w:val="1"/>
        </w:numPr>
        <w:tabs>
          <w:tab w:val="left" w:pos="835"/>
          <w:tab w:val="left" w:pos="836"/>
        </w:tabs>
        <w:spacing w:before="1"/>
        <w:ind w:right="387"/>
        <w:rPr>
          <w:sz w:val="24"/>
        </w:rPr>
      </w:pPr>
      <w:r>
        <w:rPr>
          <w:b/>
          <w:sz w:val="24"/>
        </w:rPr>
        <w:t xml:space="preserve">agreed </w:t>
      </w:r>
      <w:r>
        <w:rPr>
          <w:sz w:val="24"/>
        </w:rPr>
        <w:t>to a waiver of the 28-day rule so that the regulations can come into force on 8 May 2020;</w:t>
      </w:r>
    </w:p>
    <w:p w14:paraId="25CE4931" w14:textId="77777777" w:rsidR="00C96CCF" w:rsidRDefault="00C96CCF">
      <w:pPr>
        <w:pStyle w:val="BodyText"/>
        <w:rPr>
          <w:sz w:val="26"/>
        </w:rPr>
      </w:pPr>
    </w:p>
    <w:p w14:paraId="25CE4932" w14:textId="77777777" w:rsidR="00C96CCF" w:rsidRDefault="00C96CCF">
      <w:pPr>
        <w:pStyle w:val="BodyText"/>
        <w:rPr>
          <w:sz w:val="26"/>
        </w:rPr>
      </w:pPr>
    </w:p>
    <w:p w14:paraId="25CE4933" w14:textId="77777777" w:rsidR="00C96CCF" w:rsidRDefault="00C96CCF">
      <w:pPr>
        <w:pStyle w:val="BodyText"/>
        <w:rPr>
          <w:sz w:val="26"/>
        </w:rPr>
      </w:pPr>
    </w:p>
    <w:p w14:paraId="25CE4934" w14:textId="77777777" w:rsidR="00C96CCF" w:rsidRDefault="00C96CCF">
      <w:pPr>
        <w:pStyle w:val="BodyText"/>
        <w:rPr>
          <w:sz w:val="26"/>
        </w:rPr>
      </w:pPr>
    </w:p>
    <w:p w14:paraId="25CE4935" w14:textId="77777777" w:rsidR="00C96CCF" w:rsidRDefault="00C96CCF">
      <w:pPr>
        <w:pStyle w:val="BodyText"/>
        <w:spacing w:before="10"/>
        <w:rPr>
          <w:sz w:val="36"/>
        </w:rPr>
      </w:pPr>
    </w:p>
    <w:p w14:paraId="25CE4936" w14:textId="77777777" w:rsidR="00C96CCF" w:rsidRDefault="00EF2A9F">
      <w:pPr>
        <w:pStyle w:val="BodyText"/>
        <w:ind w:left="115" w:right="7469"/>
      </w:pPr>
      <w:r>
        <w:t>Michael Webster Secretary of the Cabinet</w:t>
      </w:r>
    </w:p>
    <w:sectPr w:rsidR="00C96CCF">
      <w:pgSz w:w="11910" w:h="16840"/>
      <w:pgMar w:top="840" w:right="960" w:bottom="760" w:left="1020" w:header="405"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4942" w14:textId="77777777" w:rsidR="00CE62BE" w:rsidRDefault="00EF2A9F">
      <w:r>
        <w:separator/>
      </w:r>
    </w:p>
  </w:endnote>
  <w:endnote w:type="continuationSeparator" w:id="0">
    <w:p w14:paraId="25CE4944" w14:textId="77777777" w:rsidR="00CE62BE" w:rsidRDefault="00E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493D" w14:textId="463B0590" w:rsidR="00C96CCF" w:rsidRDefault="00F35C16">
    <w:pPr>
      <w:pStyle w:val="BodyText"/>
      <w:spacing w:line="14" w:lineRule="auto"/>
      <w:rPr>
        <w:sz w:val="20"/>
      </w:rPr>
    </w:pPr>
    <w:r>
      <w:rPr>
        <w:noProof/>
      </w:rPr>
      <mc:AlternateContent>
        <mc:Choice Requires="wps">
          <w:drawing>
            <wp:anchor distT="0" distB="0" distL="114300" distR="114300" simplePos="0" relativeHeight="251408384" behindDoc="1" locked="0" layoutInCell="1" allowOverlap="1" wp14:anchorId="25CE4940" wp14:editId="33C946A9">
              <wp:simplePos x="0" y="0"/>
              <wp:positionH relativeFrom="page">
                <wp:posOffset>6728460</wp:posOffset>
              </wp:positionH>
              <wp:positionV relativeFrom="page">
                <wp:posOffset>10184130</wp:posOffset>
              </wp:positionV>
              <wp:extent cx="1524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4945" w14:textId="77777777" w:rsidR="00C96CCF" w:rsidRDefault="00EF2A9F">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4940" id="_x0000_t202" coordsize="21600,21600" o:spt="202" path="m,l,21600r21600,l21600,xe">
              <v:stroke joinstyle="miter"/>
              <v:path gradientshapeok="t" o:connecttype="rect"/>
            </v:shapetype>
            <v:shape id="Text Box 3" o:spid="_x0000_s1028" type="#_x0000_t202" style="position:absolute;margin-left:529.8pt;margin-top:801.9pt;width:12pt;height:15.3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" filled="f" stroked="f">
              <v:textbox inset="0,0,0,0">
                <w:txbxContent>
                  <w:p w14:paraId="25CE4945" w14:textId="77777777" w:rsidR="00C96CCF" w:rsidRDefault="00EF2A9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09408" behindDoc="1" locked="0" layoutInCell="1" allowOverlap="1" wp14:anchorId="25CE4941" wp14:editId="547EA787">
              <wp:simplePos x="0" y="0"/>
              <wp:positionH relativeFrom="page">
                <wp:posOffset>3020060</wp:posOffset>
              </wp:positionH>
              <wp:positionV relativeFrom="page">
                <wp:posOffset>10357485</wp:posOffset>
              </wp:positionV>
              <wp:extent cx="1482725"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4946" w14:textId="0EE9B13C" w:rsidR="00C96CCF" w:rsidRDefault="00EF2A9F">
                          <w:pPr>
                            <w:spacing w:before="13"/>
                            <w:ind w:left="20"/>
                            <w:rPr>
                              <w:rFonts w:ascii="Arial"/>
                              <w:b/>
                              <w:sz w:val="20"/>
                            </w:rPr>
                          </w:pPr>
                          <w:r>
                            <w:rPr>
                              <w:rFonts w:ascii="Arial"/>
                              <w:b/>
                              <w:sz w:val="20"/>
                            </w:rPr>
                            <w:t xml:space="preserve">I N </w:t>
                          </w:r>
                          <w:r w:rsidR="00F35C16">
                            <w:rPr>
                              <w:rFonts w:ascii="Arial"/>
                              <w:b/>
                              <w:sz w:val="20"/>
                            </w:rPr>
                            <w:t xml:space="preserve"> </w:t>
                          </w:r>
                          <w:r>
                            <w:rPr>
                              <w:rFonts w:ascii="Arial"/>
                              <w:b/>
                              <w:sz w:val="20"/>
                            </w:rPr>
                            <w:t>C O N F I D E N C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4941" id="Text Box 2" o:spid="_x0000_s1029" type="#_x0000_t202" style="position:absolute;margin-left:237.8pt;margin-top:815.55pt;width:116.75pt;height:13.2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" filled="f" stroked="f">
              <v:textbox inset="0,0,0,0">
                <w:txbxContent>
                  <w:p w14:paraId="25CE4946" w14:textId="0EE9B13C" w:rsidR="00C96CCF" w:rsidRDefault="00EF2A9F">
                    <w:pPr>
                      <w:spacing w:before="13"/>
                      <w:ind w:left="20"/>
                      <w:rPr>
                        <w:rFonts w:ascii="Arial"/>
                        <w:b/>
                        <w:sz w:val="20"/>
                      </w:rPr>
                    </w:pPr>
                    <w:r>
                      <w:rPr>
                        <w:rFonts w:ascii="Arial"/>
                        <w:b/>
                        <w:sz w:val="20"/>
                      </w:rPr>
                      <w:t xml:space="preserve">I N </w:t>
                    </w:r>
                    <w:r w:rsidR="00F35C16">
                      <w:rPr>
                        <w:rFonts w:ascii="Arial"/>
                        <w:b/>
                        <w:sz w:val="20"/>
                      </w:rPr>
                      <w:t xml:space="preserve"> </w:t>
                    </w:r>
                    <w:r>
                      <w:rPr>
                        <w:rFonts w:ascii="Arial"/>
                        <w:b/>
                        <w:sz w:val="20"/>
                      </w:rPr>
                      <w:t>C O N F I D E N C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E493E" w14:textId="77777777" w:rsidR="00CE62BE" w:rsidRDefault="00EF2A9F">
      <w:r>
        <w:separator/>
      </w:r>
    </w:p>
  </w:footnote>
  <w:footnote w:type="continuationSeparator" w:id="0">
    <w:p w14:paraId="25CE4940" w14:textId="77777777" w:rsidR="00CE62BE" w:rsidRDefault="00EF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493C" w14:textId="49A56596" w:rsidR="00C96CCF" w:rsidRDefault="00F35C16">
    <w:pPr>
      <w:pStyle w:val="BodyText"/>
      <w:spacing w:line="14" w:lineRule="auto"/>
      <w:rPr>
        <w:sz w:val="20"/>
      </w:rPr>
    </w:pPr>
    <w:r>
      <w:rPr>
        <w:noProof/>
      </w:rPr>
      <mc:AlternateContent>
        <mc:Choice Requires="wps">
          <w:drawing>
            <wp:anchor distT="0" distB="0" distL="114300" distR="114300" simplePos="0" relativeHeight="251406336" behindDoc="1" locked="0" layoutInCell="1" allowOverlap="1" wp14:anchorId="25CE493E" wp14:editId="02E5EC43">
              <wp:simplePos x="0" y="0"/>
              <wp:positionH relativeFrom="page">
                <wp:posOffset>3020060</wp:posOffset>
              </wp:positionH>
              <wp:positionV relativeFrom="page">
                <wp:posOffset>244475</wp:posOffset>
              </wp:positionV>
              <wp:extent cx="1482725" cy="1676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4943" w14:textId="676E5617" w:rsidR="00C96CCF" w:rsidRDefault="00EF2A9F">
                          <w:pPr>
                            <w:spacing w:before="13"/>
                            <w:ind w:left="20"/>
                            <w:rPr>
                              <w:rFonts w:ascii="Arial"/>
                              <w:b/>
                              <w:sz w:val="20"/>
                            </w:rPr>
                          </w:pPr>
                          <w:r>
                            <w:rPr>
                              <w:rFonts w:ascii="Arial"/>
                              <w:b/>
                              <w:sz w:val="20"/>
                            </w:rPr>
                            <w:t xml:space="preserve">I N </w:t>
                          </w:r>
                          <w:r w:rsidR="00F35C16">
                            <w:rPr>
                              <w:rFonts w:ascii="Arial"/>
                              <w:b/>
                              <w:sz w:val="20"/>
                            </w:rPr>
                            <w:t xml:space="preserve"> </w:t>
                          </w:r>
                          <w:r>
                            <w:rPr>
                              <w:rFonts w:ascii="Arial"/>
                              <w:b/>
                              <w:sz w:val="20"/>
                            </w:rPr>
                            <w:t>C O N F I D E N C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493E" id="_x0000_t202" coordsize="21600,21600" o:spt="202" path="m,l,21600r21600,l21600,xe">
              <v:stroke joinstyle="miter"/>
              <v:path gradientshapeok="t" o:connecttype="rect"/>
            </v:shapetype>
            <v:shape id="Text Box 5" o:spid="_x0000_s1026" type="#_x0000_t202" style="position:absolute;margin-left:237.8pt;margin-top:19.25pt;width:116.75pt;height:13.2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" filled="f" stroked="f">
              <v:textbox inset="0,0,0,0">
                <w:txbxContent>
                  <w:p w14:paraId="25CE4943" w14:textId="676E5617" w:rsidR="00C96CCF" w:rsidRDefault="00EF2A9F">
                    <w:pPr>
                      <w:spacing w:before="13"/>
                      <w:ind w:left="20"/>
                      <w:rPr>
                        <w:rFonts w:ascii="Arial"/>
                        <w:b/>
                        <w:sz w:val="20"/>
                      </w:rPr>
                    </w:pPr>
                    <w:r>
                      <w:rPr>
                        <w:rFonts w:ascii="Arial"/>
                        <w:b/>
                        <w:sz w:val="20"/>
                      </w:rPr>
                      <w:t xml:space="preserve">I N </w:t>
                    </w:r>
                    <w:r w:rsidR="00F35C16">
                      <w:rPr>
                        <w:rFonts w:ascii="Arial"/>
                        <w:b/>
                        <w:sz w:val="20"/>
                      </w:rPr>
                      <w:t xml:space="preserve"> </w:t>
                    </w:r>
                    <w:r>
                      <w:rPr>
                        <w:rFonts w:ascii="Arial"/>
                        <w:b/>
                        <w:sz w:val="20"/>
                      </w:rPr>
                      <w:t>C O N F I D E N C E</w:t>
                    </w:r>
                  </w:p>
                </w:txbxContent>
              </v:textbox>
              <w10:wrap anchorx="page" anchory="page"/>
            </v:shape>
          </w:pict>
        </mc:Fallback>
      </mc:AlternateContent>
    </w:r>
    <w:r>
      <w:rPr>
        <w:noProof/>
      </w:rPr>
      <mc:AlternateContent>
        <mc:Choice Requires="wps">
          <w:drawing>
            <wp:anchor distT="0" distB="0" distL="114300" distR="114300" simplePos="0" relativeHeight="251407360" behindDoc="1" locked="0" layoutInCell="1" allowOverlap="1" wp14:anchorId="25CE493F" wp14:editId="2DD582B3">
              <wp:simplePos x="0" y="0"/>
              <wp:positionH relativeFrom="page">
                <wp:posOffset>5770880</wp:posOffset>
              </wp:positionH>
              <wp:positionV relativeFrom="page">
                <wp:posOffset>390525</wp:posOffset>
              </wp:positionV>
              <wp:extent cx="1083945"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4944" w14:textId="77777777" w:rsidR="00C96CCF" w:rsidRDefault="00EF2A9F">
                          <w:pPr>
                            <w:spacing w:before="13"/>
                            <w:ind w:left="20"/>
                            <w:rPr>
                              <w:rFonts w:ascii="Arial"/>
                              <w:b/>
                              <w:sz w:val="20"/>
                            </w:rPr>
                          </w:pPr>
                          <w:r>
                            <w:rPr>
                              <w:rFonts w:ascii="Arial"/>
                              <w:b/>
                              <w:sz w:val="20"/>
                            </w:rPr>
                            <w:t>CAB-20-MIN-0191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493F" id="Text Box 4" o:spid="_x0000_s1027" type="#_x0000_t202" style="position:absolute;margin-left:454.4pt;margin-top:30.75pt;width:85.35pt;height:13.2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" filled="f" stroked="f">
              <v:textbox inset="0,0,0,0">
                <w:txbxContent>
                  <w:p w14:paraId="25CE4944" w14:textId="77777777" w:rsidR="00C96CCF" w:rsidRDefault="00EF2A9F">
                    <w:pPr>
                      <w:spacing w:before="13"/>
                      <w:ind w:left="20"/>
                      <w:rPr>
                        <w:rFonts w:ascii="Arial"/>
                        <w:b/>
                        <w:sz w:val="20"/>
                      </w:rPr>
                    </w:pPr>
                    <w:r>
                      <w:rPr>
                        <w:rFonts w:ascii="Arial"/>
                        <w:b/>
                        <w:sz w:val="20"/>
                      </w:rPr>
                      <w:t>CAB-20-MIN-0191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B4D15"/>
    <w:multiLevelType w:val="multilevel"/>
    <w:tmpl w:val="2B8CFE54"/>
    <w:lvl w:ilvl="0">
      <w:start w:val="1"/>
      <w:numFmt w:val="decimal"/>
      <w:lvlText w:val="%1"/>
      <w:lvlJc w:val="left"/>
      <w:pPr>
        <w:ind w:left="836" w:hanging="720"/>
        <w:jc w:val="left"/>
      </w:pPr>
      <w:rPr>
        <w:rFonts w:ascii="Times New Roman" w:eastAsia="Times New Roman" w:hAnsi="Times New Roman" w:cs="Times New Roman" w:hint="default"/>
        <w:spacing w:val="-5"/>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1"/>
        <w:w w:val="100"/>
        <w:sz w:val="24"/>
        <w:szCs w:val="24"/>
        <w:lang w:val="en-NZ" w:eastAsia="en-NZ" w:bidi="en-NZ"/>
      </w:rPr>
    </w:lvl>
    <w:lvl w:ilvl="2">
      <w:numFmt w:val="bullet"/>
      <w:lvlText w:val="•"/>
      <w:lvlJc w:val="left"/>
      <w:pPr>
        <w:ind w:left="2489" w:hanging="720"/>
      </w:pPr>
      <w:rPr>
        <w:rFonts w:hint="default"/>
        <w:lang w:val="en-NZ" w:eastAsia="en-NZ" w:bidi="en-NZ"/>
      </w:rPr>
    </w:lvl>
    <w:lvl w:ilvl="3">
      <w:numFmt w:val="bullet"/>
      <w:lvlText w:val="•"/>
      <w:lvlJc w:val="left"/>
      <w:pPr>
        <w:ind w:left="3419" w:hanging="720"/>
      </w:pPr>
      <w:rPr>
        <w:rFonts w:hint="default"/>
        <w:lang w:val="en-NZ" w:eastAsia="en-NZ" w:bidi="en-NZ"/>
      </w:rPr>
    </w:lvl>
    <w:lvl w:ilvl="4">
      <w:numFmt w:val="bullet"/>
      <w:lvlText w:val="•"/>
      <w:lvlJc w:val="left"/>
      <w:pPr>
        <w:ind w:left="4348" w:hanging="720"/>
      </w:pPr>
      <w:rPr>
        <w:rFonts w:hint="default"/>
        <w:lang w:val="en-NZ" w:eastAsia="en-NZ" w:bidi="en-NZ"/>
      </w:rPr>
    </w:lvl>
    <w:lvl w:ilvl="5">
      <w:numFmt w:val="bullet"/>
      <w:lvlText w:val="•"/>
      <w:lvlJc w:val="left"/>
      <w:pPr>
        <w:ind w:left="5278" w:hanging="720"/>
      </w:pPr>
      <w:rPr>
        <w:rFonts w:hint="default"/>
        <w:lang w:val="en-NZ" w:eastAsia="en-NZ" w:bidi="en-NZ"/>
      </w:rPr>
    </w:lvl>
    <w:lvl w:ilvl="6">
      <w:numFmt w:val="bullet"/>
      <w:lvlText w:val="•"/>
      <w:lvlJc w:val="left"/>
      <w:pPr>
        <w:ind w:left="6207" w:hanging="720"/>
      </w:pPr>
      <w:rPr>
        <w:rFonts w:hint="default"/>
        <w:lang w:val="en-NZ" w:eastAsia="en-NZ" w:bidi="en-NZ"/>
      </w:rPr>
    </w:lvl>
    <w:lvl w:ilvl="7">
      <w:numFmt w:val="bullet"/>
      <w:lvlText w:val="•"/>
      <w:lvlJc w:val="left"/>
      <w:pPr>
        <w:ind w:left="7137" w:hanging="720"/>
      </w:pPr>
      <w:rPr>
        <w:rFonts w:hint="default"/>
        <w:lang w:val="en-NZ" w:eastAsia="en-NZ" w:bidi="en-NZ"/>
      </w:rPr>
    </w:lvl>
    <w:lvl w:ilvl="8">
      <w:numFmt w:val="bullet"/>
      <w:lvlText w:val="•"/>
      <w:lvlJc w:val="left"/>
      <w:pPr>
        <w:ind w:left="806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CF"/>
    <w:rsid w:val="00382549"/>
    <w:rsid w:val="00865D30"/>
    <w:rsid w:val="009E414A"/>
    <w:rsid w:val="00B3341E"/>
    <w:rsid w:val="00C96CCF"/>
    <w:rsid w:val="00CE62BE"/>
    <w:rsid w:val="00D75951"/>
    <w:rsid w:val="00E7287E"/>
    <w:rsid w:val="00ED256D"/>
    <w:rsid w:val="00EF2A9F"/>
    <w:rsid w:val="00F35C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E48D5"/>
  <w15:docId w15:val="{559C26AC-93CF-443A-A8DD-5F59A45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pPr>
      <w:spacing w:before="60"/>
      <w:ind w:left="110"/>
    </w:pPr>
    <w:rPr>
      <w:rFonts w:ascii="Arial" w:eastAsia="Arial" w:hAnsi="Arial" w:cs="Arial"/>
    </w:rPr>
  </w:style>
  <w:style w:type="paragraph" w:styleId="Header">
    <w:name w:val="header"/>
    <w:basedOn w:val="Normal"/>
    <w:link w:val="HeaderChar"/>
    <w:uiPriority w:val="99"/>
    <w:unhideWhenUsed/>
    <w:rsid w:val="00F35C16"/>
    <w:pPr>
      <w:tabs>
        <w:tab w:val="center" w:pos="4513"/>
        <w:tab w:val="right" w:pos="9026"/>
      </w:tabs>
    </w:pPr>
  </w:style>
  <w:style w:type="character" w:customStyle="1" w:styleId="HeaderChar">
    <w:name w:val="Header Char"/>
    <w:basedOn w:val="DefaultParagraphFont"/>
    <w:link w:val="Header"/>
    <w:uiPriority w:val="99"/>
    <w:rsid w:val="00F35C16"/>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F35C16"/>
    <w:pPr>
      <w:tabs>
        <w:tab w:val="center" w:pos="4513"/>
        <w:tab w:val="right" w:pos="9026"/>
      </w:tabs>
    </w:pPr>
  </w:style>
  <w:style w:type="character" w:customStyle="1" w:styleId="FooterChar">
    <w:name w:val="Footer Char"/>
    <w:basedOn w:val="DefaultParagraphFont"/>
    <w:link w:val="Footer"/>
    <w:uiPriority w:val="99"/>
    <w:rsid w:val="00F35C16"/>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CAB-20-MIN-0191 – Minute: Taxation (Use of Money Interest Rates) Amendment Regulations 2020 (4 May 2020)</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CAB-20-MIN-0191 – Minute: Taxation (Use of Money Interest Rates) Amendment Regulations 2020 (4 May 2020)</dc:title>
  <dc:creator/>
  <dcterms:created xsi:type="dcterms:W3CDTF">2020-09-08T10:24:00Z</dcterms:created>
  <dcterms:modified xsi:type="dcterms:W3CDTF">2020-09-08T10:24:00Z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