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0256" w14:textId="1BC98EA9" w:rsidR="00702B7E" w:rsidRPr="00473ED6" w:rsidRDefault="00FD7D56" w:rsidP="00702B7E">
      <w:pPr>
        <w:pStyle w:val="Title"/>
      </w:pPr>
      <w:bookmarkStart w:id="0" w:name="_Toc429977995"/>
      <w:r>
        <w:t>Child Support Amendment</w:t>
      </w:r>
      <w:r w:rsidR="003959E1" w:rsidRPr="00473ED6">
        <w:t xml:space="preserve"> Bill</w:t>
      </w:r>
    </w:p>
    <w:p w14:paraId="3647858B" w14:textId="77777777" w:rsidR="003959E1" w:rsidRPr="00473ED6" w:rsidRDefault="003959E1" w:rsidP="00702B7E">
      <w:pPr>
        <w:pStyle w:val="Subtitle"/>
      </w:pPr>
      <w:r w:rsidRPr="00473ED6">
        <w:t>Commentary on the Bill</w:t>
      </w:r>
    </w:p>
    <w:p w14:paraId="70DAF957" w14:textId="77777777" w:rsidR="003959E1" w:rsidRPr="00473ED6" w:rsidRDefault="003959E1"/>
    <w:p w14:paraId="1B9C6243" w14:textId="77777777" w:rsidR="00702B7E" w:rsidRPr="00473ED6" w:rsidRDefault="00702B7E"/>
    <w:p w14:paraId="59726E4B" w14:textId="77777777" w:rsidR="00702B7E" w:rsidRPr="00473ED6" w:rsidRDefault="00702B7E"/>
    <w:p w14:paraId="15FE17CE" w14:textId="77777777" w:rsidR="00702B7E" w:rsidRPr="00473ED6" w:rsidRDefault="00702B7E"/>
    <w:p w14:paraId="4FE3E42B" w14:textId="77777777" w:rsidR="00702B7E" w:rsidRPr="00473ED6" w:rsidRDefault="00702B7E"/>
    <w:p w14:paraId="74B53782" w14:textId="77777777" w:rsidR="00702B7E" w:rsidRPr="00473ED6" w:rsidRDefault="00702B7E"/>
    <w:p w14:paraId="671F7A06" w14:textId="77777777" w:rsidR="00702B7E" w:rsidRPr="00473ED6" w:rsidRDefault="00702B7E"/>
    <w:p w14:paraId="3D992580" w14:textId="77777777" w:rsidR="00702B7E" w:rsidRPr="00473ED6" w:rsidRDefault="00702B7E"/>
    <w:p w14:paraId="374079DD" w14:textId="77777777" w:rsidR="00702B7E" w:rsidRPr="00473ED6" w:rsidRDefault="00702B7E"/>
    <w:p w14:paraId="3F8FEF5F" w14:textId="77777777" w:rsidR="00702B7E" w:rsidRPr="00473ED6" w:rsidRDefault="00702B7E"/>
    <w:p w14:paraId="0FDEF26C" w14:textId="77777777" w:rsidR="00702B7E" w:rsidRPr="00473ED6" w:rsidRDefault="00702B7E"/>
    <w:p w14:paraId="7706C3B7" w14:textId="77777777" w:rsidR="00702B7E" w:rsidRPr="00473ED6" w:rsidRDefault="00702B7E"/>
    <w:p w14:paraId="598F434F" w14:textId="77777777" w:rsidR="00702B7E" w:rsidRPr="00473ED6" w:rsidRDefault="00702B7E"/>
    <w:p w14:paraId="6816030A" w14:textId="77777777" w:rsidR="00702B7E" w:rsidRPr="00473ED6" w:rsidRDefault="00702B7E"/>
    <w:p w14:paraId="2F7F9291" w14:textId="77777777" w:rsidR="00702B7E" w:rsidRDefault="00702B7E"/>
    <w:p w14:paraId="4C2688C9" w14:textId="77777777" w:rsidR="0026287E" w:rsidRPr="00473ED6" w:rsidRDefault="0026287E"/>
    <w:p w14:paraId="7D5A6520" w14:textId="77777777" w:rsidR="00702B7E" w:rsidRPr="00473ED6" w:rsidRDefault="00702B7E"/>
    <w:p w14:paraId="0FE6823A" w14:textId="77777777" w:rsidR="00702B7E" w:rsidRPr="00473ED6" w:rsidRDefault="00702B7E"/>
    <w:p w14:paraId="191E9974" w14:textId="77777777" w:rsidR="003959E1" w:rsidRPr="00473ED6" w:rsidRDefault="003959E1" w:rsidP="00702B7E">
      <w:pPr>
        <w:pStyle w:val="Authorname"/>
      </w:pPr>
      <w:r w:rsidRPr="00473ED6">
        <w:t xml:space="preserve">Hon </w:t>
      </w:r>
      <w:r w:rsidR="007460A6" w:rsidRPr="00473ED6">
        <w:t>Stuart Nash</w:t>
      </w:r>
    </w:p>
    <w:p w14:paraId="45F1BB53" w14:textId="77777777" w:rsidR="003959E1" w:rsidRPr="00473ED6" w:rsidRDefault="003959E1" w:rsidP="00702B7E">
      <w:pPr>
        <w:pStyle w:val="Authortitle"/>
      </w:pPr>
      <w:r w:rsidRPr="00473ED6">
        <w:t>Minister of Revenue</w:t>
      </w:r>
    </w:p>
    <w:p w14:paraId="65AC443B" w14:textId="77777777" w:rsidR="003959E1" w:rsidRPr="00473ED6" w:rsidRDefault="003959E1" w:rsidP="00702B7E">
      <w:r w:rsidRPr="00473ED6">
        <w:br w:type="page"/>
      </w:r>
    </w:p>
    <w:p w14:paraId="1CC2668D" w14:textId="77777777" w:rsidR="003959E1" w:rsidRPr="00473ED6" w:rsidRDefault="003959E1">
      <w:pPr>
        <w:rPr>
          <w:sz w:val="20"/>
        </w:rPr>
      </w:pPr>
    </w:p>
    <w:p w14:paraId="68E4DDE7" w14:textId="77777777" w:rsidR="00D929C1" w:rsidRPr="00473ED6" w:rsidRDefault="00D929C1">
      <w:pPr>
        <w:rPr>
          <w:sz w:val="20"/>
        </w:rPr>
      </w:pPr>
    </w:p>
    <w:p w14:paraId="2F21C6FA" w14:textId="77777777" w:rsidR="00D929C1" w:rsidRPr="00473ED6" w:rsidRDefault="00D929C1">
      <w:pPr>
        <w:rPr>
          <w:sz w:val="20"/>
        </w:rPr>
      </w:pPr>
    </w:p>
    <w:p w14:paraId="3DDB396A" w14:textId="77777777" w:rsidR="00D929C1" w:rsidRPr="00473ED6" w:rsidRDefault="00D929C1">
      <w:pPr>
        <w:rPr>
          <w:sz w:val="20"/>
        </w:rPr>
      </w:pPr>
    </w:p>
    <w:p w14:paraId="1E36741F" w14:textId="77777777" w:rsidR="00D929C1" w:rsidRPr="00473ED6" w:rsidRDefault="00D929C1">
      <w:pPr>
        <w:rPr>
          <w:sz w:val="20"/>
        </w:rPr>
      </w:pPr>
    </w:p>
    <w:p w14:paraId="2A119038" w14:textId="77777777" w:rsidR="00D929C1" w:rsidRPr="00473ED6" w:rsidRDefault="00D929C1">
      <w:pPr>
        <w:rPr>
          <w:sz w:val="20"/>
        </w:rPr>
      </w:pPr>
    </w:p>
    <w:p w14:paraId="7ED68EB4" w14:textId="77777777" w:rsidR="00D929C1" w:rsidRPr="00473ED6" w:rsidRDefault="00D929C1">
      <w:pPr>
        <w:rPr>
          <w:sz w:val="20"/>
        </w:rPr>
      </w:pPr>
    </w:p>
    <w:p w14:paraId="082D91D8" w14:textId="77777777" w:rsidR="00D929C1" w:rsidRPr="00473ED6" w:rsidRDefault="00D929C1">
      <w:pPr>
        <w:rPr>
          <w:sz w:val="20"/>
        </w:rPr>
      </w:pPr>
    </w:p>
    <w:p w14:paraId="5740C816" w14:textId="77777777" w:rsidR="00D929C1" w:rsidRPr="00473ED6" w:rsidRDefault="00D929C1">
      <w:pPr>
        <w:rPr>
          <w:sz w:val="20"/>
        </w:rPr>
      </w:pPr>
    </w:p>
    <w:p w14:paraId="6B48CBCE" w14:textId="77777777" w:rsidR="00D929C1" w:rsidRPr="00473ED6" w:rsidRDefault="00D929C1">
      <w:pPr>
        <w:rPr>
          <w:sz w:val="20"/>
        </w:rPr>
      </w:pPr>
    </w:p>
    <w:p w14:paraId="62BF998A" w14:textId="77777777" w:rsidR="00D929C1" w:rsidRPr="00473ED6" w:rsidRDefault="00D929C1">
      <w:pPr>
        <w:rPr>
          <w:sz w:val="20"/>
        </w:rPr>
      </w:pPr>
    </w:p>
    <w:p w14:paraId="6B723F23" w14:textId="77777777" w:rsidR="00D929C1" w:rsidRPr="00473ED6" w:rsidRDefault="00D929C1">
      <w:pPr>
        <w:rPr>
          <w:sz w:val="20"/>
        </w:rPr>
      </w:pPr>
    </w:p>
    <w:p w14:paraId="18ED1329" w14:textId="77777777" w:rsidR="00D929C1" w:rsidRPr="00473ED6" w:rsidRDefault="00D929C1">
      <w:pPr>
        <w:rPr>
          <w:sz w:val="20"/>
        </w:rPr>
      </w:pPr>
    </w:p>
    <w:p w14:paraId="5A04BFAB" w14:textId="77777777" w:rsidR="00D929C1" w:rsidRPr="00473ED6" w:rsidRDefault="00D929C1">
      <w:pPr>
        <w:rPr>
          <w:sz w:val="20"/>
        </w:rPr>
      </w:pPr>
    </w:p>
    <w:p w14:paraId="0339F0AC" w14:textId="77777777" w:rsidR="00D929C1" w:rsidRPr="00473ED6" w:rsidRDefault="00D929C1">
      <w:pPr>
        <w:rPr>
          <w:sz w:val="20"/>
        </w:rPr>
      </w:pPr>
    </w:p>
    <w:p w14:paraId="60D29906" w14:textId="77777777" w:rsidR="00D929C1" w:rsidRPr="00473ED6" w:rsidRDefault="00D929C1">
      <w:pPr>
        <w:rPr>
          <w:sz w:val="20"/>
        </w:rPr>
      </w:pPr>
    </w:p>
    <w:p w14:paraId="0A457146" w14:textId="77777777" w:rsidR="00D929C1" w:rsidRPr="00473ED6" w:rsidRDefault="00D929C1">
      <w:pPr>
        <w:rPr>
          <w:sz w:val="20"/>
        </w:rPr>
      </w:pPr>
    </w:p>
    <w:p w14:paraId="251738BD" w14:textId="77777777" w:rsidR="00D929C1" w:rsidRPr="00473ED6" w:rsidRDefault="00D929C1">
      <w:pPr>
        <w:rPr>
          <w:sz w:val="20"/>
        </w:rPr>
      </w:pPr>
    </w:p>
    <w:p w14:paraId="06E867E1" w14:textId="77777777" w:rsidR="00D929C1" w:rsidRPr="00473ED6" w:rsidRDefault="00D929C1">
      <w:pPr>
        <w:rPr>
          <w:sz w:val="20"/>
        </w:rPr>
      </w:pPr>
    </w:p>
    <w:p w14:paraId="1CE5E594" w14:textId="77777777" w:rsidR="00D929C1" w:rsidRDefault="00D929C1">
      <w:pPr>
        <w:rPr>
          <w:sz w:val="20"/>
        </w:rPr>
      </w:pPr>
    </w:p>
    <w:p w14:paraId="3AA51324" w14:textId="77777777" w:rsidR="0026287E" w:rsidRDefault="0026287E">
      <w:pPr>
        <w:rPr>
          <w:sz w:val="20"/>
        </w:rPr>
      </w:pPr>
    </w:p>
    <w:p w14:paraId="69DC24A4" w14:textId="77777777" w:rsidR="00DA3080" w:rsidRPr="00473ED6" w:rsidRDefault="00DA3080">
      <w:pPr>
        <w:rPr>
          <w:sz w:val="20"/>
        </w:rPr>
      </w:pPr>
    </w:p>
    <w:p w14:paraId="3D769C3E" w14:textId="41E0D8B5" w:rsidR="00702B7E" w:rsidRPr="00473ED6" w:rsidRDefault="00702B7E" w:rsidP="00702B7E">
      <w:pPr>
        <w:rPr>
          <w:sz w:val="20"/>
          <w:szCs w:val="20"/>
        </w:rPr>
      </w:pPr>
      <w:r w:rsidRPr="00473ED6">
        <w:rPr>
          <w:sz w:val="20"/>
          <w:szCs w:val="20"/>
        </w:rPr>
        <w:t xml:space="preserve">First published in </w:t>
      </w:r>
      <w:r w:rsidR="006A3891">
        <w:rPr>
          <w:sz w:val="20"/>
        </w:rPr>
        <w:t>March 2020</w:t>
      </w:r>
      <w:r w:rsidRPr="00473ED6">
        <w:rPr>
          <w:sz w:val="20"/>
          <w:szCs w:val="20"/>
        </w:rPr>
        <w:t xml:space="preserve"> by Policy and Strategy</w:t>
      </w:r>
      <w:r w:rsidR="0026287E">
        <w:rPr>
          <w:sz w:val="20"/>
          <w:szCs w:val="20"/>
        </w:rPr>
        <w:t xml:space="preserve">, </w:t>
      </w:r>
      <w:r w:rsidRPr="00473ED6">
        <w:rPr>
          <w:sz w:val="20"/>
          <w:szCs w:val="20"/>
        </w:rPr>
        <w:t>Inland Revenue, PO Box 2198, Wellington 6140.</w:t>
      </w:r>
    </w:p>
    <w:p w14:paraId="0A54C93F" w14:textId="178D2B7F" w:rsidR="00702B7E" w:rsidRPr="00473ED6" w:rsidRDefault="006A3891" w:rsidP="00702B7E">
      <w:pPr>
        <w:rPr>
          <w:sz w:val="20"/>
          <w:szCs w:val="20"/>
        </w:rPr>
      </w:pPr>
      <w:r w:rsidRPr="006A3891">
        <w:rPr>
          <w:sz w:val="20"/>
          <w:szCs w:val="20"/>
        </w:rPr>
        <w:t>Child Support Amendment Bill</w:t>
      </w:r>
      <w:r>
        <w:rPr>
          <w:sz w:val="20"/>
          <w:szCs w:val="20"/>
        </w:rPr>
        <w:t xml:space="preserve"> –</w:t>
      </w:r>
      <w:r w:rsidR="00702B7E" w:rsidRPr="00473ED6">
        <w:rPr>
          <w:sz w:val="20"/>
          <w:szCs w:val="20"/>
        </w:rPr>
        <w:t xml:space="preserve"> </w:t>
      </w:r>
      <w:r>
        <w:rPr>
          <w:sz w:val="20"/>
          <w:szCs w:val="20"/>
        </w:rPr>
        <w:t>c</w:t>
      </w:r>
      <w:r w:rsidR="00702B7E" w:rsidRPr="00473ED6">
        <w:rPr>
          <w:sz w:val="20"/>
          <w:szCs w:val="20"/>
        </w:rPr>
        <w:t>ommentary on the Bill</w:t>
      </w:r>
    </w:p>
    <w:p w14:paraId="71B93DBE" w14:textId="7CB2CEA0" w:rsidR="00376F5C" w:rsidRPr="00473ED6" w:rsidRDefault="00702B7E" w:rsidP="00D929C1">
      <w:pPr>
        <w:pStyle w:val="Copyright"/>
      </w:pPr>
      <w:r w:rsidRPr="00473ED6">
        <w:t xml:space="preserve">ISBN </w:t>
      </w:r>
      <w:r w:rsidR="006A3891" w:rsidRPr="006A3891">
        <w:t>978-1-98-857313-7</w:t>
      </w:r>
      <w:r w:rsidRPr="00473ED6">
        <w:t xml:space="preserve"> (Online)</w:t>
      </w:r>
    </w:p>
    <w:p w14:paraId="6A828347"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24339D21" wp14:editId="6B1FBFB2">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2BF3324E"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2BDDA950" w14:textId="7E8DD4AF"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10" w:history="1">
        <w:r w:rsidR="006A3891" w:rsidRPr="000427D2">
          <w:rPr>
            <w:rStyle w:val="Hyperlink"/>
            <w:sz w:val="20"/>
          </w:rPr>
          <w:t>https://purl.org/nzir-tp/2020-003</w:t>
        </w:r>
      </w:hyperlink>
    </w:p>
    <w:p w14:paraId="71B526C5" w14:textId="10FFF436" w:rsidR="000A6E3B" w:rsidRPr="00DA3080" w:rsidRDefault="00702B7E" w:rsidP="00DA3080">
      <w:pPr>
        <w:jc w:val="left"/>
        <w:rPr>
          <w:sz w:val="20"/>
          <w:szCs w:val="20"/>
        </w:rPr>
      </w:pPr>
      <w:r w:rsidRPr="00473ED6">
        <w:rPr>
          <w:sz w:val="20"/>
          <w:szCs w:val="20"/>
        </w:rPr>
        <w:t>The document is available at</w:t>
      </w:r>
      <w:r w:rsidR="000A6E3B">
        <w:rPr>
          <w:sz w:val="20"/>
          <w:szCs w:val="20"/>
        </w:rPr>
        <w:t xml:space="preserve"> </w:t>
      </w:r>
      <w:r w:rsidR="006A3891">
        <w:rPr>
          <w:sz w:val="20"/>
          <w:szCs w:val="20"/>
        </w:rPr>
        <w:br/>
      </w:r>
      <w:hyperlink r:id="rId11" w:history="1">
        <w:r w:rsidR="006A3891" w:rsidRPr="000427D2">
          <w:rPr>
            <w:rStyle w:val="Hyperlink"/>
            <w:sz w:val="20"/>
            <w:szCs w:val="20"/>
          </w:rPr>
          <w:t>https://taxpolicy.ird.govt.nz/publications/2020-commentary-child-support-bill/overview</w:t>
        </w:r>
      </w:hyperlink>
    </w:p>
    <w:p w14:paraId="4D9D430F" w14:textId="77777777" w:rsidR="00702B7E" w:rsidRPr="00473ED6" w:rsidRDefault="00702B7E" w:rsidP="00D929C1">
      <w:pPr>
        <w:sectPr w:rsidR="00702B7E" w:rsidRPr="00473ED6" w:rsidSect="00702B7E">
          <w:footerReference w:type="even" r:id="rId12"/>
          <w:type w:val="nextColumn"/>
          <w:pgSz w:w="11906" w:h="16838" w:code="9"/>
          <w:pgMar w:top="1304" w:right="1559" w:bottom="1134" w:left="1559" w:header="720" w:footer="567" w:gutter="0"/>
          <w:pgNumType w:start="1"/>
          <w:cols w:space="720"/>
          <w:titlePg/>
        </w:sectPr>
      </w:pPr>
    </w:p>
    <w:p w14:paraId="25227B14" w14:textId="77777777" w:rsidR="003959E1" w:rsidRPr="00473ED6" w:rsidRDefault="003959E1" w:rsidP="00473ED6">
      <w:pPr>
        <w:spacing w:after="480"/>
        <w:jc w:val="center"/>
        <w:rPr>
          <w:b/>
          <w:sz w:val="28"/>
        </w:rPr>
      </w:pPr>
      <w:r w:rsidRPr="00473ED6">
        <w:rPr>
          <w:b/>
          <w:sz w:val="28"/>
        </w:rPr>
        <w:t>CONTENTS</w:t>
      </w:r>
    </w:p>
    <w:bookmarkStart w:id="1" w:name="_Hlt510587982"/>
    <w:bookmarkStart w:id="2" w:name="_Hlt478443407"/>
    <w:bookmarkStart w:id="3" w:name="_Toc14174909"/>
    <w:bookmarkStart w:id="4" w:name="_Hlt509367909"/>
    <w:bookmarkEnd w:id="0"/>
    <w:bookmarkEnd w:id="1"/>
    <w:bookmarkEnd w:id="2"/>
    <w:p w14:paraId="5EA3ED9B" w14:textId="56704A45" w:rsidR="00DE434E"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34836402" w:history="1">
        <w:r w:rsidR="00DE434E" w:rsidRPr="00624DC4">
          <w:rPr>
            <w:rStyle w:val="Hyperlink"/>
            <w:noProof/>
          </w:rPr>
          <w:t>Overview of the Bill</w:t>
        </w:r>
        <w:r w:rsidR="00DE434E">
          <w:rPr>
            <w:noProof/>
            <w:webHidden/>
          </w:rPr>
          <w:tab/>
        </w:r>
        <w:r w:rsidR="00DE434E">
          <w:rPr>
            <w:noProof/>
            <w:webHidden/>
          </w:rPr>
          <w:fldChar w:fldCharType="begin"/>
        </w:r>
        <w:r w:rsidR="00DE434E">
          <w:rPr>
            <w:noProof/>
            <w:webHidden/>
          </w:rPr>
          <w:instrText xml:space="preserve"> PAGEREF _Toc34836402 \h </w:instrText>
        </w:r>
        <w:r w:rsidR="00DE434E">
          <w:rPr>
            <w:noProof/>
            <w:webHidden/>
          </w:rPr>
        </w:r>
        <w:r w:rsidR="00DE434E">
          <w:rPr>
            <w:noProof/>
            <w:webHidden/>
          </w:rPr>
          <w:fldChar w:fldCharType="separate"/>
        </w:r>
        <w:r w:rsidR="00577BFB">
          <w:rPr>
            <w:noProof/>
            <w:webHidden/>
          </w:rPr>
          <w:t>5</w:t>
        </w:r>
        <w:r w:rsidR="00DE434E">
          <w:rPr>
            <w:noProof/>
            <w:webHidden/>
          </w:rPr>
          <w:fldChar w:fldCharType="end"/>
        </w:r>
      </w:hyperlink>
    </w:p>
    <w:p w14:paraId="7BF603E7" w14:textId="3C6D9290" w:rsidR="00DE434E" w:rsidRDefault="00DE434E">
      <w:pPr>
        <w:pStyle w:val="TOC1"/>
        <w:rPr>
          <w:rFonts w:asciiTheme="minorHAnsi" w:eastAsiaTheme="minorEastAsia" w:hAnsiTheme="minorHAnsi" w:cstheme="minorBidi"/>
          <w:b w:val="0"/>
          <w:noProof/>
          <w:sz w:val="22"/>
          <w:szCs w:val="22"/>
        </w:rPr>
      </w:pPr>
      <w:hyperlink w:anchor="_Toc34836404" w:history="1">
        <w:r w:rsidRPr="00624DC4">
          <w:rPr>
            <w:rStyle w:val="Hyperlink"/>
            <w:noProof/>
          </w:rPr>
          <w:t>Policy proposals</w:t>
        </w:r>
        <w:r>
          <w:rPr>
            <w:noProof/>
            <w:webHidden/>
          </w:rPr>
          <w:tab/>
        </w:r>
        <w:r>
          <w:rPr>
            <w:noProof/>
            <w:webHidden/>
          </w:rPr>
          <w:fldChar w:fldCharType="begin"/>
        </w:r>
        <w:r>
          <w:rPr>
            <w:noProof/>
            <w:webHidden/>
          </w:rPr>
          <w:instrText xml:space="preserve"> PAGEREF _Toc34836404 \h </w:instrText>
        </w:r>
        <w:r>
          <w:rPr>
            <w:noProof/>
            <w:webHidden/>
          </w:rPr>
        </w:r>
        <w:r>
          <w:rPr>
            <w:noProof/>
            <w:webHidden/>
          </w:rPr>
          <w:fldChar w:fldCharType="separate"/>
        </w:r>
        <w:r w:rsidR="00577BFB">
          <w:rPr>
            <w:noProof/>
            <w:webHidden/>
          </w:rPr>
          <w:t>9</w:t>
        </w:r>
        <w:r>
          <w:rPr>
            <w:noProof/>
            <w:webHidden/>
          </w:rPr>
          <w:fldChar w:fldCharType="end"/>
        </w:r>
      </w:hyperlink>
    </w:p>
    <w:p w14:paraId="2800A4F0" w14:textId="58415BC3" w:rsidR="00DE434E" w:rsidRDefault="00DE434E">
      <w:pPr>
        <w:pStyle w:val="TOC2"/>
        <w:rPr>
          <w:rFonts w:asciiTheme="minorHAnsi" w:eastAsiaTheme="minorEastAsia" w:hAnsiTheme="minorHAnsi" w:cstheme="minorBidi"/>
          <w:noProof/>
          <w:sz w:val="22"/>
          <w:szCs w:val="22"/>
        </w:rPr>
      </w:pPr>
      <w:hyperlink w:anchor="_Toc34836405" w:history="1">
        <w:r w:rsidRPr="00624DC4">
          <w:rPr>
            <w:rStyle w:val="Hyperlink"/>
            <w:noProof/>
          </w:rPr>
          <w:t>Change to timing of second stage of late payment penalty</w:t>
        </w:r>
        <w:r>
          <w:rPr>
            <w:noProof/>
            <w:webHidden/>
          </w:rPr>
          <w:tab/>
        </w:r>
        <w:r>
          <w:rPr>
            <w:noProof/>
            <w:webHidden/>
          </w:rPr>
          <w:fldChar w:fldCharType="begin"/>
        </w:r>
        <w:r>
          <w:rPr>
            <w:noProof/>
            <w:webHidden/>
          </w:rPr>
          <w:instrText xml:space="preserve"> PAGEREF _Toc34836405 \h </w:instrText>
        </w:r>
        <w:r>
          <w:rPr>
            <w:noProof/>
            <w:webHidden/>
          </w:rPr>
        </w:r>
        <w:r>
          <w:rPr>
            <w:noProof/>
            <w:webHidden/>
          </w:rPr>
          <w:fldChar w:fldCharType="separate"/>
        </w:r>
        <w:r w:rsidR="00577BFB">
          <w:rPr>
            <w:noProof/>
            <w:webHidden/>
          </w:rPr>
          <w:t>11</w:t>
        </w:r>
        <w:r>
          <w:rPr>
            <w:noProof/>
            <w:webHidden/>
          </w:rPr>
          <w:fldChar w:fldCharType="end"/>
        </w:r>
      </w:hyperlink>
    </w:p>
    <w:p w14:paraId="3BC453F2" w14:textId="2841C5E5" w:rsidR="00DE434E" w:rsidRDefault="00DE434E">
      <w:pPr>
        <w:pStyle w:val="TOC2"/>
        <w:rPr>
          <w:rFonts w:asciiTheme="minorHAnsi" w:eastAsiaTheme="minorEastAsia" w:hAnsiTheme="minorHAnsi" w:cstheme="minorBidi"/>
          <w:noProof/>
          <w:sz w:val="22"/>
          <w:szCs w:val="22"/>
        </w:rPr>
      </w:pPr>
      <w:hyperlink w:anchor="_Toc34836406" w:history="1">
        <w:r w:rsidRPr="00624DC4">
          <w:rPr>
            <w:rStyle w:val="Hyperlink"/>
            <w:noProof/>
          </w:rPr>
          <w:t>Minimum $5 penalty rule repeal</w:t>
        </w:r>
        <w:r>
          <w:rPr>
            <w:noProof/>
            <w:webHidden/>
          </w:rPr>
          <w:tab/>
        </w:r>
        <w:r>
          <w:rPr>
            <w:noProof/>
            <w:webHidden/>
          </w:rPr>
          <w:fldChar w:fldCharType="begin"/>
        </w:r>
        <w:r>
          <w:rPr>
            <w:noProof/>
            <w:webHidden/>
          </w:rPr>
          <w:instrText xml:space="preserve"> PAGEREF _Toc34836406 \h </w:instrText>
        </w:r>
        <w:r>
          <w:rPr>
            <w:noProof/>
            <w:webHidden/>
          </w:rPr>
        </w:r>
        <w:r>
          <w:rPr>
            <w:noProof/>
            <w:webHidden/>
          </w:rPr>
          <w:fldChar w:fldCharType="separate"/>
        </w:r>
        <w:r w:rsidR="00577BFB">
          <w:rPr>
            <w:noProof/>
            <w:webHidden/>
          </w:rPr>
          <w:t>13</w:t>
        </w:r>
        <w:r>
          <w:rPr>
            <w:noProof/>
            <w:webHidden/>
          </w:rPr>
          <w:fldChar w:fldCharType="end"/>
        </w:r>
      </w:hyperlink>
    </w:p>
    <w:p w14:paraId="75D52CB3" w14:textId="1CBC1DB7" w:rsidR="00DE434E" w:rsidRDefault="00DE434E">
      <w:pPr>
        <w:pStyle w:val="TOC2"/>
        <w:rPr>
          <w:rFonts w:asciiTheme="minorHAnsi" w:eastAsiaTheme="minorEastAsia" w:hAnsiTheme="minorHAnsi" w:cstheme="minorBidi"/>
          <w:noProof/>
          <w:sz w:val="22"/>
          <w:szCs w:val="22"/>
        </w:rPr>
      </w:pPr>
      <w:hyperlink w:anchor="_Toc34836407" w:history="1">
        <w:r w:rsidRPr="00624DC4">
          <w:rPr>
            <w:rStyle w:val="Hyperlink"/>
            <w:noProof/>
          </w:rPr>
          <w:t>Grace period</w:t>
        </w:r>
        <w:r>
          <w:rPr>
            <w:noProof/>
            <w:webHidden/>
          </w:rPr>
          <w:tab/>
        </w:r>
        <w:r>
          <w:rPr>
            <w:noProof/>
            <w:webHidden/>
          </w:rPr>
          <w:fldChar w:fldCharType="begin"/>
        </w:r>
        <w:r>
          <w:rPr>
            <w:noProof/>
            <w:webHidden/>
          </w:rPr>
          <w:instrText xml:space="preserve"> PAGEREF _Toc34836407 \h </w:instrText>
        </w:r>
        <w:r>
          <w:rPr>
            <w:noProof/>
            <w:webHidden/>
          </w:rPr>
        </w:r>
        <w:r>
          <w:rPr>
            <w:noProof/>
            <w:webHidden/>
          </w:rPr>
          <w:fldChar w:fldCharType="separate"/>
        </w:r>
        <w:r w:rsidR="00577BFB">
          <w:rPr>
            <w:noProof/>
            <w:webHidden/>
          </w:rPr>
          <w:t>14</w:t>
        </w:r>
        <w:r>
          <w:rPr>
            <w:noProof/>
            <w:webHidden/>
          </w:rPr>
          <w:fldChar w:fldCharType="end"/>
        </w:r>
      </w:hyperlink>
    </w:p>
    <w:p w14:paraId="0E20BB4D" w14:textId="043DB0DE" w:rsidR="00DE434E" w:rsidRDefault="00DE434E">
      <w:pPr>
        <w:pStyle w:val="TOC2"/>
        <w:rPr>
          <w:rFonts w:asciiTheme="minorHAnsi" w:eastAsiaTheme="minorEastAsia" w:hAnsiTheme="minorHAnsi" w:cstheme="minorBidi"/>
          <w:noProof/>
          <w:sz w:val="22"/>
          <w:szCs w:val="22"/>
        </w:rPr>
      </w:pPr>
      <w:hyperlink w:anchor="_Toc34836408" w:history="1">
        <w:r w:rsidRPr="00624DC4">
          <w:rPr>
            <w:rStyle w:val="Hyperlink"/>
            <w:noProof/>
          </w:rPr>
          <w:t>Compulsory deductions for newly liable parents</w:t>
        </w:r>
        <w:r>
          <w:rPr>
            <w:noProof/>
            <w:webHidden/>
          </w:rPr>
          <w:tab/>
        </w:r>
        <w:r>
          <w:rPr>
            <w:noProof/>
            <w:webHidden/>
          </w:rPr>
          <w:fldChar w:fldCharType="begin"/>
        </w:r>
        <w:r>
          <w:rPr>
            <w:noProof/>
            <w:webHidden/>
          </w:rPr>
          <w:instrText xml:space="preserve"> PAGEREF _Toc34836408 \h </w:instrText>
        </w:r>
        <w:r>
          <w:rPr>
            <w:noProof/>
            <w:webHidden/>
          </w:rPr>
        </w:r>
        <w:r>
          <w:rPr>
            <w:noProof/>
            <w:webHidden/>
          </w:rPr>
          <w:fldChar w:fldCharType="separate"/>
        </w:r>
        <w:r w:rsidR="00577BFB">
          <w:rPr>
            <w:noProof/>
            <w:webHidden/>
          </w:rPr>
          <w:t>17</w:t>
        </w:r>
        <w:r>
          <w:rPr>
            <w:noProof/>
            <w:webHidden/>
          </w:rPr>
          <w:fldChar w:fldCharType="end"/>
        </w:r>
      </w:hyperlink>
    </w:p>
    <w:p w14:paraId="18BE3E95" w14:textId="7A700243" w:rsidR="00DE434E" w:rsidRDefault="00DE434E">
      <w:pPr>
        <w:pStyle w:val="TOC2"/>
        <w:rPr>
          <w:rFonts w:asciiTheme="minorHAnsi" w:eastAsiaTheme="minorEastAsia" w:hAnsiTheme="minorHAnsi" w:cstheme="minorBidi"/>
          <w:noProof/>
          <w:sz w:val="22"/>
          <w:szCs w:val="22"/>
        </w:rPr>
      </w:pPr>
      <w:hyperlink w:anchor="_Toc34836409" w:history="1">
        <w:r w:rsidRPr="00624DC4">
          <w:rPr>
            <w:rStyle w:val="Hyperlink"/>
            <w:noProof/>
          </w:rPr>
          <w:t>Time bar for reassessing child support</w:t>
        </w:r>
        <w:r>
          <w:rPr>
            <w:noProof/>
            <w:webHidden/>
          </w:rPr>
          <w:tab/>
        </w:r>
        <w:r>
          <w:rPr>
            <w:noProof/>
            <w:webHidden/>
          </w:rPr>
          <w:fldChar w:fldCharType="begin"/>
        </w:r>
        <w:r>
          <w:rPr>
            <w:noProof/>
            <w:webHidden/>
          </w:rPr>
          <w:instrText xml:space="preserve"> PAGEREF _Toc34836409 \h </w:instrText>
        </w:r>
        <w:r>
          <w:rPr>
            <w:noProof/>
            <w:webHidden/>
          </w:rPr>
        </w:r>
        <w:r>
          <w:rPr>
            <w:noProof/>
            <w:webHidden/>
          </w:rPr>
          <w:fldChar w:fldCharType="separate"/>
        </w:r>
        <w:r w:rsidR="00577BFB">
          <w:rPr>
            <w:noProof/>
            <w:webHidden/>
          </w:rPr>
          <w:t>19</w:t>
        </w:r>
        <w:r>
          <w:rPr>
            <w:noProof/>
            <w:webHidden/>
          </w:rPr>
          <w:fldChar w:fldCharType="end"/>
        </w:r>
      </w:hyperlink>
    </w:p>
    <w:p w14:paraId="5573AA27" w14:textId="2FB296E2" w:rsidR="00DE434E" w:rsidRDefault="00DE434E">
      <w:pPr>
        <w:pStyle w:val="TOC2"/>
        <w:rPr>
          <w:rFonts w:asciiTheme="minorHAnsi" w:eastAsiaTheme="minorEastAsia" w:hAnsiTheme="minorHAnsi" w:cstheme="minorBidi"/>
          <w:noProof/>
          <w:sz w:val="22"/>
          <w:szCs w:val="22"/>
        </w:rPr>
      </w:pPr>
      <w:hyperlink w:anchor="_Toc34836410" w:history="1">
        <w:r w:rsidRPr="00624DC4">
          <w:rPr>
            <w:rStyle w:val="Hyperlink"/>
            <w:noProof/>
          </w:rPr>
          <w:t>Definition of income</w:t>
        </w:r>
        <w:r>
          <w:rPr>
            <w:noProof/>
            <w:webHidden/>
          </w:rPr>
          <w:tab/>
        </w:r>
        <w:r>
          <w:rPr>
            <w:noProof/>
            <w:webHidden/>
          </w:rPr>
          <w:fldChar w:fldCharType="begin"/>
        </w:r>
        <w:r>
          <w:rPr>
            <w:noProof/>
            <w:webHidden/>
          </w:rPr>
          <w:instrText xml:space="preserve"> PAGEREF _Toc34836410 \h </w:instrText>
        </w:r>
        <w:r>
          <w:rPr>
            <w:noProof/>
            <w:webHidden/>
          </w:rPr>
        </w:r>
        <w:r>
          <w:rPr>
            <w:noProof/>
            <w:webHidden/>
          </w:rPr>
          <w:fldChar w:fldCharType="separate"/>
        </w:r>
        <w:r w:rsidR="00577BFB">
          <w:rPr>
            <w:noProof/>
            <w:webHidden/>
          </w:rPr>
          <w:t>22</w:t>
        </w:r>
        <w:r>
          <w:rPr>
            <w:noProof/>
            <w:webHidden/>
          </w:rPr>
          <w:fldChar w:fldCharType="end"/>
        </w:r>
      </w:hyperlink>
    </w:p>
    <w:p w14:paraId="515373B5" w14:textId="1CB4397B" w:rsidR="00DE434E" w:rsidRDefault="00DE434E">
      <w:pPr>
        <w:pStyle w:val="TOC1"/>
        <w:rPr>
          <w:rFonts w:asciiTheme="minorHAnsi" w:eastAsiaTheme="minorEastAsia" w:hAnsiTheme="minorHAnsi" w:cstheme="minorBidi"/>
          <w:b w:val="0"/>
          <w:noProof/>
          <w:sz w:val="22"/>
          <w:szCs w:val="22"/>
        </w:rPr>
      </w:pPr>
      <w:hyperlink w:anchor="_Toc34836411" w:history="1">
        <w:r w:rsidRPr="00624DC4">
          <w:rPr>
            <w:rStyle w:val="Hyperlink"/>
            <w:noProof/>
          </w:rPr>
          <w:t>Technical amendments</w:t>
        </w:r>
        <w:r>
          <w:rPr>
            <w:noProof/>
            <w:webHidden/>
          </w:rPr>
          <w:tab/>
        </w:r>
        <w:r>
          <w:rPr>
            <w:noProof/>
            <w:webHidden/>
          </w:rPr>
          <w:fldChar w:fldCharType="begin"/>
        </w:r>
        <w:r>
          <w:rPr>
            <w:noProof/>
            <w:webHidden/>
          </w:rPr>
          <w:instrText xml:space="preserve"> PAGEREF _Toc34836411 \h </w:instrText>
        </w:r>
        <w:r>
          <w:rPr>
            <w:noProof/>
            <w:webHidden/>
          </w:rPr>
        </w:r>
        <w:r>
          <w:rPr>
            <w:noProof/>
            <w:webHidden/>
          </w:rPr>
          <w:fldChar w:fldCharType="separate"/>
        </w:r>
        <w:r w:rsidR="00577BFB">
          <w:rPr>
            <w:noProof/>
            <w:webHidden/>
          </w:rPr>
          <w:t>23</w:t>
        </w:r>
        <w:r>
          <w:rPr>
            <w:noProof/>
            <w:webHidden/>
          </w:rPr>
          <w:fldChar w:fldCharType="end"/>
        </w:r>
      </w:hyperlink>
    </w:p>
    <w:p w14:paraId="098AC2EB" w14:textId="347F807F" w:rsidR="00DE434E" w:rsidRDefault="00DE434E">
      <w:pPr>
        <w:pStyle w:val="TOC2"/>
        <w:rPr>
          <w:rFonts w:asciiTheme="minorHAnsi" w:eastAsiaTheme="minorEastAsia" w:hAnsiTheme="minorHAnsi" w:cstheme="minorBidi"/>
          <w:noProof/>
          <w:sz w:val="22"/>
          <w:szCs w:val="22"/>
        </w:rPr>
      </w:pPr>
      <w:hyperlink w:anchor="_Toc34836412" w:history="1">
        <w:r w:rsidRPr="00624DC4">
          <w:rPr>
            <w:rStyle w:val="Hyperlink"/>
            <w:rFonts w:eastAsia="Calibri"/>
            <w:noProof/>
          </w:rPr>
          <w:t>Reconciling an estimation at the end of the year</w:t>
        </w:r>
        <w:r>
          <w:rPr>
            <w:noProof/>
            <w:webHidden/>
          </w:rPr>
          <w:tab/>
        </w:r>
        <w:r>
          <w:rPr>
            <w:noProof/>
            <w:webHidden/>
          </w:rPr>
          <w:fldChar w:fldCharType="begin"/>
        </w:r>
        <w:r>
          <w:rPr>
            <w:noProof/>
            <w:webHidden/>
          </w:rPr>
          <w:instrText xml:space="preserve"> PAGEREF _Toc34836412 \h </w:instrText>
        </w:r>
        <w:r>
          <w:rPr>
            <w:noProof/>
            <w:webHidden/>
          </w:rPr>
        </w:r>
        <w:r>
          <w:rPr>
            <w:noProof/>
            <w:webHidden/>
          </w:rPr>
          <w:fldChar w:fldCharType="separate"/>
        </w:r>
        <w:r w:rsidR="00577BFB">
          <w:rPr>
            <w:noProof/>
            <w:webHidden/>
          </w:rPr>
          <w:t>25</w:t>
        </w:r>
        <w:r>
          <w:rPr>
            <w:noProof/>
            <w:webHidden/>
          </w:rPr>
          <w:fldChar w:fldCharType="end"/>
        </w:r>
      </w:hyperlink>
    </w:p>
    <w:p w14:paraId="2B6474E2" w14:textId="09AED22B" w:rsidR="00DE434E" w:rsidRDefault="00DE434E">
      <w:pPr>
        <w:pStyle w:val="TOC2"/>
        <w:rPr>
          <w:rFonts w:asciiTheme="minorHAnsi" w:eastAsiaTheme="minorEastAsia" w:hAnsiTheme="minorHAnsi" w:cstheme="minorBidi"/>
          <w:noProof/>
          <w:sz w:val="22"/>
          <w:szCs w:val="22"/>
        </w:rPr>
      </w:pPr>
      <w:hyperlink w:anchor="_Toc34836413" w:history="1">
        <w:r w:rsidRPr="00624DC4">
          <w:rPr>
            <w:rStyle w:val="Hyperlink"/>
            <w:noProof/>
          </w:rPr>
          <w:t>Accepting an estimation</w:t>
        </w:r>
        <w:r>
          <w:rPr>
            <w:noProof/>
            <w:webHidden/>
          </w:rPr>
          <w:tab/>
        </w:r>
        <w:r>
          <w:rPr>
            <w:noProof/>
            <w:webHidden/>
          </w:rPr>
          <w:fldChar w:fldCharType="begin"/>
        </w:r>
        <w:r>
          <w:rPr>
            <w:noProof/>
            <w:webHidden/>
          </w:rPr>
          <w:instrText xml:space="preserve"> PAGEREF _Toc34836413 \h </w:instrText>
        </w:r>
        <w:r>
          <w:rPr>
            <w:noProof/>
            <w:webHidden/>
          </w:rPr>
        </w:r>
        <w:r>
          <w:rPr>
            <w:noProof/>
            <w:webHidden/>
          </w:rPr>
          <w:fldChar w:fldCharType="separate"/>
        </w:r>
        <w:r w:rsidR="00577BFB">
          <w:rPr>
            <w:noProof/>
            <w:webHidden/>
          </w:rPr>
          <w:t>28</w:t>
        </w:r>
        <w:r>
          <w:rPr>
            <w:noProof/>
            <w:webHidden/>
          </w:rPr>
          <w:fldChar w:fldCharType="end"/>
        </w:r>
      </w:hyperlink>
    </w:p>
    <w:p w14:paraId="47E4CED4" w14:textId="24C6C19D" w:rsidR="00DE434E" w:rsidRDefault="00DE434E">
      <w:pPr>
        <w:pStyle w:val="TOC2"/>
        <w:rPr>
          <w:rFonts w:asciiTheme="minorHAnsi" w:eastAsiaTheme="minorEastAsia" w:hAnsiTheme="minorHAnsi" w:cstheme="minorBidi"/>
          <w:noProof/>
          <w:sz w:val="22"/>
          <w:szCs w:val="22"/>
        </w:rPr>
      </w:pPr>
      <w:hyperlink w:anchor="_Toc34836414" w:history="1">
        <w:r w:rsidRPr="00624DC4">
          <w:rPr>
            <w:rStyle w:val="Hyperlink"/>
            <w:noProof/>
          </w:rPr>
          <w:t>Commissioner initiated debt offsetting between people</w:t>
        </w:r>
        <w:r>
          <w:rPr>
            <w:noProof/>
            <w:webHidden/>
          </w:rPr>
          <w:tab/>
        </w:r>
        <w:r>
          <w:rPr>
            <w:noProof/>
            <w:webHidden/>
          </w:rPr>
          <w:fldChar w:fldCharType="begin"/>
        </w:r>
        <w:r>
          <w:rPr>
            <w:noProof/>
            <w:webHidden/>
          </w:rPr>
          <w:instrText xml:space="preserve"> PAGEREF _Toc34836414 \h </w:instrText>
        </w:r>
        <w:r>
          <w:rPr>
            <w:noProof/>
            <w:webHidden/>
          </w:rPr>
        </w:r>
        <w:r>
          <w:rPr>
            <w:noProof/>
            <w:webHidden/>
          </w:rPr>
          <w:fldChar w:fldCharType="separate"/>
        </w:r>
        <w:r w:rsidR="00577BFB">
          <w:rPr>
            <w:noProof/>
            <w:webHidden/>
          </w:rPr>
          <w:t>29</w:t>
        </w:r>
        <w:r>
          <w:rPr>
            <w:noProof/>
            <w:webHidden/>
          </w:rPr>
          <w:fldChar w:fldCharType="end"/>
        </w:r>
      </w:hyperlink>
    </w:p>
    <w:p w14:paraId="2FDF74DB" w14:textId="770DA49E" w:rsidR="00DE434E" w:rsidRDefault="00DE434E">
      <w:pPr>
        <w:pStyle w:val="TOC2"/>
        <w:rPr>
          <w:rFonts w:asciiTheme="minorHAnsi" w:eastAsiaTheme="minorEastAsia" w:hAnsiTheme="minorHAnsi" w:cstheme="minorBidi"/>
          <w:noProof/>
          <w:sz w:val="22"/>
          <w:szCs w:val="22"/>
        </w:rPr>
      </w:pPr>
      <w:hyperlink w:anchor="_Toc34836415" w:history="1">
        <w:r w:rsidRPr="00624DC4">
          <w:rPr>
            <w:rStyle w:val="Hyperlink"/>
            <w:noProof/>
          </w:rPr>
          <w:t>Repeal of redundant provision for urgent maintenance orders</w:t>
        </w:r>
        <w:r>
          <w:rPr>
            <w:noProof/>
            <w:webHidden/>
          </w:rPr>
          <w:tab/>
        </w:r>
        <w:r>
          <w:rPr>
            <w:noProof/>
            <w:webHidden/>
          </w:rPr>
          <w:fldChar w:fldCharType="begin"/>
        </w:r>
        <w:r>
          <w:rPr>
            <w:noProof/>
            <w:webHidden/>
          </w:rPr>
          <w:instrText xml:space="preserve"> PAGEREF _Toc34836415 \h </w:instrText>
        </w:r>
        <w:r>
          <w:rPr>
            <w:noProof/>
            <w:webHidden/>
          </w:rPr>
        </w:r>
        <w:r>
          <w:rPr>
            <w:noProof/>
            <w:webHidden/>
          </w:rPr>
          <w:fldChar w:fldCharType="separate"/>
        </w:r>
        <w:r w:rsidR="00577BFB">
          <w:rPr>
            <w:noProof/>
            <w:webHidden/>
          </w:rPr>
          <w:t>30</w:t>
        </w:r>
        <w:r>
          <w:rPr>
            <w:noProof/>
            <w:webHidden/>
          </w:rPr>
          <w:fldChar w:fldCharType="end"/>
        </w:r>
      </w:hyperlink>
    </w:p>
    <w:p w14:paraId="2A92C73B" w14:textId="4D792A86" w:rsidR="00DE434E" w:rsidRDefault="00DE434E">
      <w:pPr>
        <w:pStyle w:val="TOC2"/>
        <w:rPr>
          <w:rFonts w:asciiTheme="minorHAnsi" w:eastAsiaTheme="minorEastAsia" w:hAnsiTheme="minorHAnsi" w:cstheme="minorBidi"/>
          <w:noProof/>
          <w:sz w:val="22"/>
          <w:szCs w:val="22"/>
        </w:rPr>
      </w:pPr>
      <w:hyperlink w:anchor="_Toc34836416" w:history="1">
        <w:r w:rsidRPr="00624DC4">
          <w:rPr>
            <w:rStyle w:val="Hyperlink"/>
            <w:noProof/>
          </w:rPr>
          <w:t>Changes to temporary exemptions</w:t>
        </w:r>
        <w:r>
          <w:rPr>
            <w:noProof/>
            <w:webHidden/>
          </w:rPr>
          <w:tab/>
        </w:r>
        <w:r>
          <w:rPr>
            <w:noProof/>
            <w:webHidden/>
          </w:rPr>
          <w:fldChar w:fldCharType="begin"/>
        </w:r>
        <w:r>
          <w:rPr>
            <w:noProof/>
            <w:webHidden/>
          </w:rPr>
          <w:instrText xml:space="preserve"> PAGEREF _Toc34836416 \h </w:instrText>
        </w:r>
        <w:r>
          <w:rPr>
            <w:noProof/>
            <w:webHidden/>
          </w:rPr>
        </w:r>
        <w:r>
          <w:rPr>
            <w:noProof/>
            <w:webHidden/>
          </w:rPr>
          <w:fldChar w:fldCharType="separate"/>
        </w:r>
        <w:r w:rsidR="00577BFB">
          <w:rPr>
            <w:noProof/>
            <w:webHidden/>
          </w:rPr>
          <w:t>31</w:t>
        </w:r>
        <w:r>
          <w:rPr>
            <w:noProof/>
            <w:webHidden/>
          </w:rPr>
          <w:fldChar w:fldCharType="end"/>
        </w:r>
      </w:hyperlink>
    </w:p>
    <w:p w14:paraId="5BF1FBD2" w14:textId="7907BF0B" w:rsidR="00DE434E" w:rsidRDefault="00DE434E">
      <w:pPr>
        <w:pStyle w:val="TOC2"/>
        <w:rPr>
          <w:rFonts w:asciiTheme="minorHAnsi" w:eastAsiaTheme="minorEastAsia" w:hAnsiTheme="minorHAnsi" w:cstheme="minorBidi"/>
          <w:noProof/>
          <w:sz w:val="22"/>
          <w:szCs w:val="22"/>
        </w:rPr>
      </w:pPr>
      <w:hyperlink w:anchor="_Toc34836417" w:history="1">
        <w:r w:rsidRPr="00624DC4">
          <w:rPr>
            <w:rStyle w:val="Hyperlink"/>
            <w:noProof/>
          </w:rPr>
          <w:t>Removal of the mixed age expenditure table</w:t>
        </w:r>
        <w:r>
          <w:rPr>
            <w:noProof/>
            <w:webHidden/>
          </w:rPr>
          <w:tab/>
        </w:r>
        <w:r>
          <w:rPr>
            <w:noProof/>
            <w:webHidden/>
          </w:rPr>
          <w:fldChar w:fldCharType="begin"/>
        </w:r>
        <w:r>
          <w:rPr>
            <w:noProof/>
            <w:webHidden/>
          </w:rPr>
          <w:instrText xml:space="preserve"> PAGEREF _Toc34836417 \h </w:instrText>
        </w:r>
        <w:r>
          <w:rPr>
            <w:noProof/>
            <w:webHidden/>
          </w:rPr>
        </w:r>
        <w:r>
          <w:rPr>
            <w:noProof/>
            <w:webHidden/>
          </w:rPr>
          <w:fldChar w:fldCharType="separate"/>
        </w:r>
        <w:r w:rsidR="00577BFB">
          <w:rPr>
            <w:noProof/>
            <w:webHidden/>
          </w:rPr>
          <w:t>33</w:t>
        </w:r>
        <w:r>
          <w:rPr>
            <w:noProof/>
            <w:webHidden/>
          </w:rPr>
          <w:fldChar w:fldCharType="end"/>
        </w:r>
      </w:hyperlink>
    </w:p>
    <w:p w14:paraId="6D569BE0" w14:textId="5BA720C2" w:rsidR="00DE434E" w:rsidRDefault="00DE434E">
      <w:pPr>
        <w:pStyle w:val="TOC2"/>
        <w:rPr>
          <w:rFonts w:asciiTheme="minorHAnsi" w:eastAsiaTheme="minorEastAsia" w:hAnsiTheme="minorHAnsi" w:cstheme="minorBidi"/>
          <w:noProof/>
          <w:sz w:val="22"/>
          <w:szCs w:val="22"/>
        </w:rPr>
      </w:pPr>
      <w:hyperlink w:anchor="_Toc34836418" w:history="1">
        <w:r w:rsidRPr="00624DC4">
          <w:rPr>
            <w:rStyle w:val="Hyperlink"/>
            <w:noProof/>
          </w:rPr>
          <w:t>Discretion to adjust child expenditure calculations</w:t>
        </w:r>
        <w:r>
          <w:rPr>
            <w:noProof/>
            <w:webHidden/>
          </w:rPr>
          <w:tab/>
        </w:r>
        <w:r>
          <w:rPr>
            <w:noProof/>
            <w:webHidden/>
          </w:rPr>
          <w:fldChar w:fldCharType="begin"/>
        </w:r>
        <w:r>
          <w:rPr>
            <w:noProof/>
            <w:webHidden/>
          </w:rPr>
          <w:instrText xml:space="preserve"> PAGEREF _Toc34836418 \h </w:instrText>
        </w:r>
        <w:r>
          <w:rPr>
            <w:noProof/>
            <w:webHidden/>
          </w:rPr>
        </w:r>
        <w:r>
          <w:rPr>
            <w:noProof/>
            <w:webHidden/>
          </w:rPr>
          <w:fldChar w:fldCharType="separate"/>
        </w:r>
        <w:r w:rsidR="00577BFB">
          <w:rPr>
            <w:noProof/>
            <w:webHidden/>
          </w:rPr>
          <w:t>35</w:t>
        </w:r>
        <w:r>
          <w:rPr>
            <w:noProof/>
            <w:webHidden/>
          </w:rPr>
          <w:fldChar w:fldCharType="end"/>
        </w:r>
      </w:hyperlink>
    </w:p>
    <w:p w14:paraId="2EA6D27E" w14:textId="6EB1C8E0" w:rsidR="00DE434E" w:rsidRDefault="00DE434E">
      <w:pPr>
        <w:pStyle w:val="TOC2"/>
        <w:rPr>
          <w:rFonts w:asciiTheme="minorHAnsi" w:eastAsiaTheme="minorEastAsia" w:hAnsiTheme="minorHAnsi" w:cstheme="minorBidi"/>
          <w:noProof/>
          <w:sz w:val="22"/>
          <w:szCs w:val="22"/>
        </w:rPr>
      </w:pPr>
      <w:hyperlink w:anchor="_Toc34836419" w:history="1">
        <w:r w:rsidRPr="00624DC4">
          <w:rPr>
            <w:rStyle w:val="Hyperlink"/>
            <w:noProof/>
          </w:rPr>
          <w:t>Clarifying that child support ends when a child leaves State care</w:t>
        </w:r>
        <w:r>
          <w:rPr>
            <w:noProof/>
            <w:webHidden/>
          </w:rPr>
          <w:tab/>
        </w:r>
        <w:r>
          <w:rPr>
            <w:noProof/>
            <w:webHidden/>
          </w:rPr>
          <w:fldChar w:fldCharType="begin"/>
        </w:r>
        <w:r>
          <w:rPr>
            <w:noProof/>
            <w:webHidden/>
          </w:rPr>
          <w:instrText xml:space="preserve"> PAGEREF _Toc34836419 \h </w:instrText>
        </w:r>
        <w:r>
          <w:rPr>
            <w:noProof/>
            <w:webHidden/>
          </w:rPr>
        </w:r>
        <w:r>
          <w:rPr>
            <w:noProof/>
            <w:webHidden/>
          </w:rPr>
          <w:fldChar w:fldCharType="separate"/>
        </w:r>
        <w:r w:rsidR="00577BFB">
          <w:rPr>
            <w:noProof/>
            <w:webHidden/>
          </w:rPr>
          <w:t>38</w:t>
        </w:r>
        <w:r>
          <w:rPr>
            <w:noProof/>
            <w:webHidden/>
          </w:rPr>
          <w:fldChar w:fldCharType="end"/>
        </w:r>
      </w:hyperlink>
    </w:p>
    <w:p w14:paraId="50E5F7D3" w14:textId="4467B03E" w:rsidR="00DE434E" w:rsidRDefault="00DE434E">
      <w:pPr>
        <w:pStyle w:val="TOC2"/>
        <w:rPr>
          <w:rFonts w:asciiTheme="minorHAnsi" w:eastAsiaTheme="minorEastAsia" w:hAnsiTheme="minorHAnsi" w:cstheme="minorBidi"/>
          <w:noProof/>
          <w:sz w:val="22"/>
          <w:szCs w:val="22"/>
        </w:rPr>
      </w:pPr>
      <w:hyperlink w:anchor="_Toc34836420" w:history="1">
        <w:r w:rsidRPr="00624DC4">
          <w:rPr>
            <w:rStyle w:val="Hyperlink"/>
            <w:noProof/>
          </w:rPr>
          <w:t>Timeframes for providing orders of parentage</w:t>
        </w:r>
        <w:r>
          <w:rPr>
            <w:noProof/>
            <w:webHidden/>
          </w:rPr>
          <w:tab/>
        </w:r>
        <w:r>
          <w:rPr>
            <w:noProof/>
            <w:webHidden/>
          </w:rPr>
          <w:fldChar w:fldCharType="begin"/>
        </w:r>
        <w:r>
          <w:rPr>
            <w:noProof/>
            <w:webHidden/>
          </w:rPr>
          <w:instrText xml:space="preserve"> PAGEREF _Toc34836420 \h </w:instrText>
        </w:r>
        <w:r>
          <w:rPr>
            <w:noProof/>
            <w:webHidden/>
          </w:rPr>
        </w:r>
        <w:r>
          <w:rPr>
            <w:noProof/>
            <w:webHidden/>
          </w:rPr>
          <w:fldChar w:fldCharType="separate"/>
        </w:r>
        <w:r w:rsidR="00577BFB">
          <w:rPr>
            <w:noProof/>
            <w:webHidden/>
          </w:rPr>
          <w:t>39</w:t>
        </w:r>
        <w:r>
          <w:rPr>
            <w:noProof/>
            <w:webHidden/>
          </w:rPr>
          <w:fldChar w:fldCharType="end"/>
        </w:r>
      </w:hyperlink>
    </w:p>
    <w:p w14:paraId="21614181" w14:textId="4E529FE5" w:rsidR="00DE434E" w:rsidRDefault="00DE434E">
      <w:pPr>
        <w:pStyle w:val="TOC2"/>
        <w:rPr>
          <w:rFonts w:asciiTheme="minorHAnsi" w:eastAsiaTheme="minorEastAsia" w:hAnsiTheme="minorHAnsi" w:cstheme="minorBidi"/>
          <w:noProof/>
          <w:sz w:val="22"/>
          <w:szCs w:val="22"/>
        </w:rPr>
      </w:pPr>
      <w:hyperlink w:anchor="_Toc34836421" w:history="1">
        <w:r w:rsidRPr="00624DC4">
          <w:rPr>
            <w:rStyle w:val="Hyperlink"/>
            <w:noProof/>
          </w:rPr>
          <w:t>Introducing timeframes to advise of circumstances when child support first assessed</w:t>
        </w:r>
        <w:r>
          <w:rPr>
            <w:noProof/>
            <w:webHidden/>
          </w:rPr>
          <w:tab/>
        </w:r>
        <w:r>
          <w:rPr>
            <w:noProof/>
            <w:webHidden/>
          </w:rPr>
          <w:fldChar w:fldCharType="begin"/>
        </w:r>
        <w:r>
          <w:rPr>
            <w:noProof/>
            <w:webHidden/>
          </w:rPr>
          <w:instrText xml:space="preserve"> PAGEREF _Toc34836421 \h </w:instrText>
        </w:r>
        <w:r>
          <w:rPr>
            <w:noProof/>
            <w:webHidden/>
          </w:rPr>
        </w:r>
        <w:r>
          <w:rPr>
            <w:noProof/>
            <w:webHidden/>
          </w:rPr>
          <w:fldChar w:fldCharType="separate"/>
        </w:r>
        <w:r w:rsidR="00577BFB">
          <w:rPr>
            <w:noProof/>
            <w:webHidden/>
          </w:rPr>
          <w:t>40</w:t>
        </w:r>
        <w:r>
          <w:rPr>
            <w:noProof/>
            <w:webHidden/>
          </w:rPr>
          <w:fldChar w:fldCharType="end"/>
        </w:r>
      </w:hyperlink>
    </w:p>
    <w:p w14:paraId="2B1AC243" w14:textId="1CF3C223" w:rsidR="00DE434E" w:rsidRDefault="00DE434E">
      <w:pPr>
        <w:pStyle w:val="TOC2"/>
        <w:rPr>
          <w:rFonts w:asciiTheme="minorHAnsi" w:eastAsiaTheme="minorEastAsia" w:hAnsiTheme="minorHAnsi" w:cstheme="minorBidi"/>
          <w:noProof/>
          <w:sz w:val="22"/>
          <w:szCs w:val="22"/>
        </w:rPr>
      </w:pPr>
      <w:hyperlink w:anchor="_Toc34836422" w:history="1">
        <w:r w:rsidRPr="00624DC4">
          <w:rPr>
            <w:rStyle w:val="Hyperlink"/>
            <w:noProof/>
          </w:rPr>
          <w:t>Minimum age at which a child can be considered financially independent</w:t>
        </w:r>
        <w:r>
          <w:rPr>
            <w:noProof/>
            <w:webHidden/>
          </w:rPr>
          <w:tab/>
        </w:r>
        <w:r>
          <w:rPr>
            <w:noProof/>
            <w:webHidden/>
          </w:rPr>
          <w:fldChar w:fldCharType="begin"/>
        </w:r>
        <w:r>
          <w:rPr>
            <w:noProof/>
            <w:webHidden/>
          </w:rPr>
          <w:instrText xml:space="preserve"> PAGEREF _Toc34836422 \h </w:instrText>
        </w:r>
        <w:r>
          <w:rPr>
            <w:noProof/>
            <w:webHidden/>
          </w:rPr>
        </w:r>
        <w:r>
          <w:rPr>
            <w:noProof/>
            <w:webHidden/>
          </w:rPr>
          <w:fldChar w:fldCharType="separate"/>
        </w:r>
        <w:r w:rsidR="00577BFB">
          <w:rPr>
            <w:noProof/>
            <w:webHidden/>
          </w:rPr>
          <w:t>41</w:t>
        </w:r>
        <w:r>
          <w:rPr>
            <w:noProof/>
            <w:webHidden/>
          </w:rPr>
          <w:fldChar w:fldCharType="end"/>
        </w:r>
      </w:hyperlink>
    </w:p>
    <w:p w14:paraId="3C9B5A5C" w14:textId="0E135815" w:rsidR="00DE434E" w:rsidRDefault="00DE434E">
      <w:pPr>
        <w:pStyle w:val="TOC2"/>
        <w:rPr>
          <w:rFonts w:asciiTheme="minorHAnsi" w:eastAsiaTheme="minorEastAsia" w:hAnsiTheme="minorHAnsi" w:cstheme="minorBidi"/>
          <w:noProof/>
          <w:sz w:val="22"/>
          <w:szCs w:val="22"/>
        </w:rPr>
      </w:pPr>
      <w:hyperlink w:anchor="_Toc34836423" w:history="1">
        <w:r w:rsidRPr="00624DC4">
          <w:rPr>
            <w:rStyle w:val="Hyperlink"/>
            <w:noProof/>
          </w:rPr>
          <w:t>Maximum age of qualifying child</w:t>
        </w:r>
        <w:r>
          <w:rPr>
            <w:noProof/>
            <w:webHidden/>
          </w:rPr>
          <w:tab/>
        </w:r>
        <w:r>
          <w:rPr>
            <w:noProof/>
            <w:webHidden/>
          </w:rPr>
          <w:fldChar w:fldCharType="begin"/>
        </w:r>
        <w:r>
          <w:rPr>
            <w:noProof/>
            <w:webHidden/>
          </w:rPr>
          <w:instrText xml:space="preserve"> PAGEREF _Toc34836423 \h </w:instrText>
        </w:r>
        <w:r>
          <w:rPr>
            <w:noProof/>
            <w:webHidden/>
          </w:rPr>
        </w:r>
        <w:r>
          <w:rPr>
            <w:noProof/>
            <w:webHidden/>
          </w:rPr>
          <w:fldChar w:fldCharType="separate"/>
        </w:r>
        <w:r w:rsidR="00577BFB">
          <w:rPr>
            <w:noProof/>
            <w:webHidden/>
          </w:rPr>
          <w:t>42</w:t>
        </w:r>
        <w:r>
          <w:rPr>
            <w:noProof/>
            <w:webHidden/>
          </w:rPr>
          <w:fldChar w:fldCharType="end"/>
        </w:r>
      </w:hyperlink>
    </w:p>
    <w:p w14:paraId="2EE642FB" w14:textId="48D197BA" w:rsidR="00DE434E" w:rsidRDefault="00DE434E">
      <w:pPr>
        <w:pStyle w:val="TOC2"/>
        <w:rPr>
          <w:rFonts w:asciiTheme="minorHAnsi" w:eastAsiaTheme="minorEastAsia" w:hAnsiTheme="minorHAnsi" w:cstheme="minorBidi"/>
          <w:noProof/>
          <w:sz w:val="22"/>
          <w:szCs w:val="22"/>
        </w:rPr>
      </w:pPr>
      <w:hyperlink w:anchor="_Toc34836424" w:history="1">
        <w:r w:rsidRPr="00624DC4">
          <w:rPr>
            <w:rStyle w:val="Hyperlink"/>
            <w:noProof/>
          </w:rPr>
          <w:t>Clarifying residence rules</w:t>
        </w:r>
        <w:r>
          <w:rPr>
            <w:noProof/>
            <w:webHidden/>
          </w:rPr>
          <w:tab/>
        </w:r>
        <w:r>
          <w:rPr>
            <w:noProof/>
            <w:webHidden/>
          </w:rPr>
          <w:fldChar w:fldCharType="begin"/>
        </w:r>
        <w:r>
          <w:rPr>
            <w:noProof/>
            <w:webHidden/>
          </w:rPr>
          <w:instrText xml:space="preserve"> PAGEREF _Toc34836424 \h </w:instrText>
        </w:r>
        <w:r>
          <w:rPr>
            <w:noProof/>
            <w:webHidden/>
          </w:rPr>
        </w:r>
        <w:r>
          <w:rPr>
            <w:noProof/>
            <w:webHidden/>
          </w:rPr>
          <w:fldChar w:fldCharType="separate"/>
        </w:r>
        <w:r w:rsidR="00577BFB">
          <w:rPr>
            <w:noProof/>
            <w:webHidden/>
          </w:rPr>
          <w:t>43</w:t>
        </w:r>
        <w:r>
          <w:rPr>
            <w:noProof/>
            <w:webHidden/>
          </w:rPr>
          <w:fldChar w:fldCharType="end"/>
        </w:r>
      </w:hyperlink>
    </w:p>
    <w:p w14:paraId="52A45C91" w14:textId="18C6D688" w:rsidR="00DE434E" w:rsidRDefault="00DE434E">
      <w:pPr>
        <w:pStyle w:val="TOC2"/>
        <w:rPr>
          <w:rFonts w:asciiTheme="minorHAnsi" w:eastAsiaTheme="minorEastAsia" w:hAnsiTheme="minorHAnsi" w:cstheme="minorBidi"/>
          <w:noProof/>
          <w:sz w:val="22"/>
          <w:szCs w:val="22"/>
        </w:rPr>
      </w:pPr>
      <w:hyperlink w:anchor="_Toc34836425" w:history="1">
        <w:r w:rsidRPr="00624DC4">
          <w:rPr>
            <w:rStyle w:val="Hyperlink"/>
            <w:noProof/>
          </w:rPr>
          <w:t>Minor remedial proposals</w:t>
        </w:r>
        <w:r>
          <w:rPr>
            <w:noProof/>
            <w:webHidden/>
          </w:rPr>
          <w:tab/>
        </w:r>
        <w:r>
          <w:rPr>
            <w:noProof/>
            <w:webHidden/>
          </w:rPr>
          <w:fldChar w:fldCharType="begin"/>
        </w:r>
        <w:r>
          <w:rPr>
            <w:noProof/>
            <w:webHidden/>
          </w:rPr>
          <w:instrText xml:space="preserve"> PAGEREF _Toc34836425 \h </w:instrText>
        </w:r>
        <w:r>
          <w:rPr>
            <w:noProof/>
            <w:webHidden/>
          </w:rPr>
        </w:r>
        <w:r>
          <w:rPr>
            <w:noProof/>
            <w:webHidden/>
          </w:rPr>
          <w:fldChar w:fldCharType="separate"/>
        </w:r>
        <w:r w:rsidR="00577BFB">
          <w:rPr>
            <w:noProof/>
            <w:webHidden/>
          </w:rPr>
          <w:t>45</w:t>
        </w:r>
        <w:r>
          <w:rPr>
            <w:noProof/>
            <w:webHidden/>
          </w:rPr>
          <w:fldChar w:fldCharType="end"/>
        </w:r>
      </w:hyperlink>
    </w:p>
    <w:p w14:paraId="72EC1D44" w14:textId="06800829" w:rsidR="00817C0E" w:rsidRDefault="00366F3C" w:rsidP="00817C0E">
      <w:r>
        <w:fldChar w:fldCharType="end"/>
      </w:r>
    </w:p>
    <w:p w14:paraId="672BA812" w14:textId="77777777" w:rsidR="00E41835" w:rsidRDefault="00E41835" w:rsidP="00817C0E"/>
    <w:p w14:paraId="10DBA9D0" w14:textId="77777777" w:rsidR="00817C0E" w:rsidRPr="00817C0E" w:rsidRDefault="00817C0E" w:rsidP="00817C0E">
      <w:pPr>
        <w:sectPr w:rsidR="00817C0E" w:rsidRPr="00817C0E" w:rsidSect="00CC7AA6">
          <w:footerReference w:type="default" r:id="rId13"/>
          <w:footerReference w:type="first" r:id="rId14"/>
          <w:type w:val="nextColumn"/>
          <w:pgSz w:w="11906" w:h="16838" w:code="9"/>
          <w:pgMar w:top="1304" w:right="1416" w:bottom="1134" w:left="1559" w:header="720" w:footer="567" w:gutter="0"/>
          <w:cols w:space="720"/>
          <w:docGrid w:linePitch="326"/>
        </w:sectPr>
      </w:pPr>
    </w:p>
    <w:p w14:paraId="560E39EC" w14:textId="77777777" w:rsidR="003959E1" w:rsidRPr="00E22D08" w:rsidRDefault="00453B7E" w:rsidP="00E22D08">
      <w:pPr>
        <w:pStyle w:val="Heading1"/>
      </w:pPr>
      <w:bookmarkStart w:id="5" w:name="_Toc34836402"/>
      <w:r w:rsidRPr="00E22D08">
        <w:t xml:space="preserve">Overview of </w:t>
      </w:r>
      <w:r w:rsidR="00821704" w:rsidRPr="00E22D08">
        <w:t xml:space="preserve">the </w:t>
      </w:r>
      <w:r w:rsidRPr="00E22D08">
        <w:t>Bill</w:t>
      </w:r>
      <w:bookmarkEnd w:id="3"/>
      <w:bookmarkEnd w:id="5"/>
    </w:p>
    <w:p w14:paraId="7AD0F6C3" w14:textId="77777777" w:rsidR="009444E1" w:rsidRPr="009444E1" w:rsidRDefault="009444E1" w:rsidP="009444E1"/>
    <w:p w14:paraId="3D97837D" w14:textId="77777777" w:rsidR="009444E1" w:rsidRPr="009444E1" w:rsidRDefault="009444E1" w:rsidP="009444E1">
      <w:pPr>
        <w:sectPr w:rsidR="009444E1" w:rsidRPr="009444E1" w:rsidSect="00817C0E">
          <w:type w:val="oddPage"/>
          <w:pgSz w:w="11906" w:h="16838" w:code="9"/>
          <w:pgMar w:top="1304" w:right="1559" w:bottom="1134" w:left="1559" w:header="720" w:footer="567" w:gutter="0"/>
          <w:cols w:space="720"/>
          <w:docGrid w:linePitch="326"/>
        </w:sectPr>
      </w:pPr>
    </w:p>
    <w:p w14:paraId="789C1492" w14:textId="0898F045" w:rsidR="003959E1" w:rsidRPr="00D9547E" w:rsidRDefault="00D9547E" w:rsidP="00D9547E">
      <w:pPr>
        <w:pStyle w:val="Heading2"/>
      </w:pPr>
      <w:bookmarkStart w:id="6" w:name="_Toc14174910"/>
      <w:bookmarkStart w:id="7" w:name="_Toc34681357"/>
      <w:bookmarkStart w:id="8" w:name="_Toc34704660"/>
      <w:bookmarkStart w:id="9" w:name="_Toc34836403"/>
      <w:r w:rsidRPr="00D9547E">
        <w:t>Overview</w:t>
      </w:r>
      <w:bookmarkEnd w:id="6"/>
      <w:bookmarkEnd w:id="7"/>
      <w:bookmarkEnd w:id="8"/>
      <w:bookmarkEnd w:id="9"/>
    </w:p>
    <w:p w14:paraId="4A3E1953" w14:textId="0F82E1AB" w:rsidR="00161407" w:rsidRDefault="00B951DF" w:rsidP="00DB0884">
      <w:r>
        <w:t>The child support scheme</w:t>
      </w:r>
      <w:r w:rsidR="00840354">
        <w:t xml:space="preserve"> helps to provide </w:t>
      </w:r>
      <w:r w:rsidR="00FC654C">
        <w:t xml:space="preserve">important </w:t>
      </w:r>
      <w:r w:rsidR="00840354">
        <w:t xml:space="preserve">financial support for over </w:t>
      </w:r>
      <w:r w:rsidR="00BA39C3">
        <w:t>185,000</w:t>
      </w:r>
      <w:r w:rsidR="00840354">
        <w:t xml:space="preserve"> </w:t>
      </w:r>
      <w:r w:rsidR="00161407">
        <w:t xml:space="preserve">New Zealand </w:t>
      </w:r>
      <w:r w:rsidR="00840354">
        <w:t>children.</w:t>
      </w:r>
    </w:p>
    <w:p w14:paraId="3363F7C4" w14:textId="7760572C" w:rsidR="00BD23DE" w:rsidRDefault="00A11CF7" w:rsidP="00DB0884">
      <w:r>
        <w:t>Since its introduction in 1992</w:t>
      </w:r>
      <w:r w:rsidR="00DA6F66">
        <w:t xml:space="preserve">, the scheme has been progressively adjusted to increase </w:t>
      </w:r>
      <w:r w:rsidR="00201874">
        <w:t>simplicity and to encourage greater compliance.</w:t>
      </w:r>
    </w:p>
    <w:p w14:paraId="7E7B4485" w14:textId="49842522" w:rsidR="00B76F46" w:rsidRDefault="00BA39C3" w:rsidP="004D4C1F">
      <w:r>
        <w:t xml:space="preserve">Child support </w:t>
      </w:r>
      <w:r w:rsidR="00B951DF">
        <w:t>will move to Inland Revenue’s new systems and processes in April 2021</w:t>
      </w:r>
      <w:r>
        <w:t xml:space="preserve">. This move will allow a </w:t>
      </w:r>
      <w:r w:rsidR="00AE1954">
        <w:t>greater degree of efficiency</w:t>
      </w:r>
      <w:r w:rsidR="00697B1E">
        <w:t xml:space="preserve"> and simplicity</w:t>
      </w:r>
      <w:r>
        <w:t>,</w:t>
      </w:r>
      <w:r w:rsidR="00B951DF">
        <w:t xml:space="preserve"> </w:t>
      </w:r>
      <w:r>
        <w:t xml:space="preserve">and </w:t>
      </w:r>
      <w:r w:rsidR="00E717CF">
        <w:t xml:space="preserve">also </w:t>
      </w:r>
      <w:r w:rsidR="00B951DF">
        <w:t xml:space="preserve">creates opportunities </w:t>
      </w:r>
      <w:r w:rsidR="00226A3E">
        <w:t xml:space="preserve">for legislative changes </w:t>
      </w:r>
      <w:r w:rsidR="00B951DF">
        <w:t xml:space="preserve">to </w:t>
      </w:r>
      <w:r w:rsidR="00226A3E">
        <w:t xml:space="preserve">further </w:t>
      </w:r>
      <w:r w:rsidR="00B951DF">
        <w:t>improve the administration of the child support scheme.</w:t>
      </w:r>
    </w:p>
    <w:p w14:paraId="02CEC2E2" w14:textId="542A869E" w:rsidR="004D4C1F" w:rsidRDefault="00BA39C3" w:rsidP="004D4C1F">
      <w:r>
        <w:t xml:space="preserve">The </w:t>
      </w:r>
      <w:r w:rsidR="004D4C1F">
        <w:t xml:space="preserve">2017 discussion document </w:t>
      </w:r>
      <w:r w:rsidR="004D4C1F" w:rsidRPr="00F52FD9">
        <w:rPr>
          <w:rStyle w:val="Emphasis"/>
        </w:rPr>
        <w:t>Making Tax Simpler: Better administration of social policy</w:t>
      </w:r>
      <w:r w:rsidR="006C5ABE" w:rsidRPr="0067022E">
        <w:rPr>
          <w:rStyle w:val="FootnoteReference"/>
        </w:rPr>
        <w:footnoteReference w:id="1"/>
      </w:r>
      <w:r w:rsidR="004D4C1F">
        <w:t xml:space="preserve"> </w:t>
      </w:r>
      <w:r>
        <w:t>contained proposals</w:t>
      </w:r>
      <w:r w:rsidR="00DB0884">
        <w:t xml:space="preserve"> aimed at</w:t>
      </w:r>
      <w:r w:rsidR="00D036B9">
        <w:t xml:space="preserve"> </w:t>
      </w:r>
      <w:r w:rsidR="004D4C1F">
        <w:t>improving the way social policy entitlements and obligations, including child support</w:t>
      </w:r>
      <w:r>
        <w:t>,</w:t>
      </w:r>
      <w:r w:rsidR="00DB0884" w:rsidRPr="00DB0884">
        <w:t xml:space="preserve"> </w:t>
      </w:r>
      <w:r w:rsidR="00DB0884">
        <w:t>are administered by Inland Revenue</w:t>
      </w:r>
      <w:r w:rsidR="004D4C1F">
        <w:t>.</w:t>
      </w:r>
    </w:p>
    <w:p w14:paraId="51170D60" w14:textId="7B2A73C9" w:rsidR="004D4C1F" w:rsidRDefault="004D4C1F" w:rsidP="004D4C1F">
      <w:r>
        <w:t>The focus of the discussion document was not on changing the fundamental policy settings, but rather improving the administration by taking advantage of the opportunity offered by the modernisation of Inland Revenue’s systems.</w:t>
      </w:r>
    </w:p>
    <w:p w14:paraId="7384335A" w14:textId="08E62FD0" w:rsidR="007E3A0A" w:rsidRDefault="449AD3D7" w:rsidP="004D4C1F">
      <w:r>
        <w:t xml:space="preserve">The discussion document set out a number of problems with the child support scheme that require legislative </w:t>
      </w:r>
      <w:r w:rsidR="00BA39C3">
        <w:t>change. The</w:t>
      </w:r>
      <w:r>
        <w:t xml:space="preserve"> problems ranged from unfairness in the system, to the need to </w:t>
      </w:r>
      <w:r w:rsidR="00FF0CF0">
        <w:t>address situations where the</w:t>
      </w:r>
      <w:r w:rsidR="004D33CC">
        <w:t xml:space="preserve"> person’s </w:t>
      </w:r>
      <w:r w:rsidR="00785961">
        <w:t>circumstances are</w:t>
      </w:r>
      <w:r w:rsidR="004D33CC">
        <w:t xml:space="preserve"> unusual or complex</w:t>
      </w:r>
      <w:r w:rsidR="00785961">
        <w:t>.</w:t>
      </w:r>
      <w:r w:rsidR="004D33CC">
        <w:t xml:space="preserve"> </w:t>
      </w:r>
      <w:r w:rsidR="00785961">
        <w:t>Th</w:t>
      </w:r>
      <w:r>
        <w:t>ese problems can lead to dissatisfaction with the scheme and reduced compliance. Adding to this, the rules for penalties are overly punitive and complex</w:t>
      </w:r>
      <w:r w:rsidR="00E6736F">
        <w:t>,</w:t>
      </w:r>
      <w:r>
        <w:t xml:space="preserve"> and act more as a disincentive, rather than an incentive</w:t>
      </w:r>
      <w:r w:rsidR="00E6736F">
        <w:t>,</w:t>
      </w:r>
      <w:r>
        <w:t xml:space="preserve"> to pay.</w:t>
      </w:r>
    </w:p>
    <w:p w14:paraId="115D980B" w14:textId="2663FFCC" w:rsidR="00B7498C" w:rsidRDefault="007E339D" w:rsidP="004D4C1F">
      <w:r>
        <w:t>Following</w:t>
      </w:r>
      <w:r w:rsidR="00B7498C">
        <w:t xml:space="preserve"> public feedback, the Government made decisions on the </w:t>
      </w:r>
      <w:r>
        <w:t>proposals</w:t>
      </w:r>
      <w:r w:rsidR="00B7498C">
        <w:t xml:space="preserve"> and these have been incorporated into this </w:t>
      </w:r>
      <w:r w:rsidR="003C3D29">
        <w:t>Bill</w:t>
      </w:r>
      <w:r w:rsidR="00B7498C">
        <w:t>.</w:t>
      </w:r>
    </w:p>
    <w:p w14:paraId="6ABB1E71" w14:textId="4B1DC847" w:rsidR="009A3967" w:rsidRDefault="009A3967" w:rsidP="00333E46">
      <w:r>
        <w:t xml:space="preserve">Combined, these changes </w:t>
      </w:r>
      <w:r w:rsidR="006D3A78">
        <w:t>aim to</w:t>
      </w:r>
      <w:r w:rsidR="00E04E1D">
        <w:t xml:space="preserve"> </w:t>
      </w:r>
      <w:r>
        <w:t xml:space="preserve">improve </w:t>
      </w:r>
      <w:r w:rsidR="00B951DF">
        <w:t xml:space="preserve">the </w:t>
      </w:r>
      <w:r>
        <w:t>administration, reduce complexity, improve fairness and increase compliance with the scheme</w:t>
      </w:r>
      <w:r w:rsidR="00B951DF">
        <w:t>.</w:t>
      </w:r>
      <w:r>
        <w:t xml:space="preserve"> The proposed changes </w:t>
      </w:r>
      <w:r w:rsidR="00F361E9">
        <w:t xml:space="preserve">cover </w:t>
      </w:r>
      <w:r w:rsidR="00F62956">
        <w:t>four important aspects of the child support scheme</w:t>
      </w:r>
      <w:r>
        <w:t>:</w:t>
      </w:r>
    </w:p>
    <w:p w14:paraId="36ACBC63" w14:textId="3283B7F7" w:rsidR="009A3967" w:rsidRPr="00770C74" w:rsidRDefault="00F62956" w:rsidP="00770C74">
      <w:pPr>
        <w:pStyle w:val="ListBullet"/>
      </w:pPr>
      <w:r w:rsidRPr="00770C74">
        <w:t>simplifying</w:t>
      </w:r>
      <w:r w:rsidR="009A3967" w:rsidRPr="00770C74">
        <w:t xml:space="preserve"> the penalty </w:t>
      </w:r>
      <w:proofErr w:type="gramStart"/>
      <w:r w:rsidR="009A3967" w:rsidRPr="00770C74">
        <w:t>rules</w:t>
      </w:r>
      <w:r w:rsidR="00770C74">
        <w:t>;</w:t>
      </w:r>
      <w:proofErr w:type="gramEnd"/>
    </w:p>
    <w:p w14:paraId="1BC3ED32" w14:textId="3068BFAF" w:rsidR="009A3967" w:rsidRPr="00770C74" w:rsidRDefault="009A3967" w:rsidP="00770C74">
      <w:pPr>
        <w:pStyle w:val="ListBullet"/>
      </w:pPr>
      <w:r w:rsidRPr="00770C74">
        <w:t xml:space="preserve">introducing compulsory employer </w:t>
      </w:r>
      <w:proofErr w:type="gramStart"/>
      <w:r w:rsidRPr="00770C74">
        <w:t>deductions</w:t>
      </w:r>
      <w:r w:rsidR="00770C74">
        <w:t>;</w:t>
      </w:r>
      <w:proofErr w:type="gramEnd"/>
    </w:p>
    <w:p w14:paraId="06B9036B" w14:textId="68B518D7" w:rsidR="006D57CB" w:rsidRPr="00770C74" w:rsidRDefault="009A3967" w:rsidP="00770C74">
      <w:pPr>
        <w:pStyle w:val="ListBullet"/>
      </w:pPr>
      <w:r w:rsidRPr="00770C74">
        <w:t>limiting retrospective reassessments by introducing a time</w:t>
      </w:r>
      <w:r w:rsidR="00F50FBE">
        <w:t xml:space="preserve"> </w:t>
      </w:r>
      <w:r w:rsidRPr="00770C74">
        <w:t>bar;</w:t>
      </w:r>
      <w:r w:rsidR="00797F9C" w:rsidRPr="00770C74">
        <w:t xml:space="preserve"> and</w:t>
      </w:r>
    </w:p>
    <w:p w14:paraId="0C68167E" w14:textId="65590AAD" w:rsidR="00B76F46" w:rsidRDefault="009A3967" w:rsidP="00770C74">
      <w:pPr>
        <w:pStyle w:val="ListBullet"/>
      </w:pPr>
      <w:r w:rsidRPr="00770C74">
        <w:t>amending the definition of “income”</w:t>
      </w:r>
      <w:r w:rsidR="00797F9C" w:rsidRPr="00770C74">
        <w:t>.</w:t>
      </w:r>
    </w:p>
    <w:p w14:paraId="16CE0DCB" w14:textId="10A7B219" w:rsidR="009927C3" w:rsidRPr="00770C74" w:rsidRDefault="00D62655" w:rsidP="00C903E3">
      <w:bookmarkStart w:id="10" w:name="_Hlk34727928"/>
      <w:r w:rsidRPr="00770C74">
        <w:t xml:space="preserve">The Bill also contains a number of </w:t>
      </w:r>
      <w:r w:rsidR="009A3967" w:rsidRPr="00770C74">
        <w:t>technical amendments to assist the administration of the scheme, including to work better with customers with unusual circumstances.</w:t>
      </w:r>
    </w:p>
    <w:p w14:paraId="7B9A0828" w14:textId="5D161160" w:rsidR="00B76F46" w:rsidRDefault="00B76F46" w:rsidP="0026287E">
      <w:bookmarkStart w:id="11" w:name="_Toc14174911"/>
      <w:bookmarkEnd w:id="10"/>
      <w:r w:rsidRPr="00B76F46">
        <w:t xml:space="preserve">The proposals in </w:t>
      </w:r>
      <w:r w:rsidR="00D17D27">
        <w:t>the Bill</w:t>
      </w:r>
      <w:r w:rsidRPr="00B76F46">
        <w:t xml:space="preserve"> apply to financial support – that is, both child support and domestic maintenance.</w:t>
      </w:r>
      <w:r>
        <w:rPr>
          <w:rStyle w:val="FootnoteReference"/>
        </w:rPr>
        <w:footnoteReference w:id="2"/>
      </w:r>
      <w:r w:rsidRPr="00B76F46">
        <w:t xml:space="preserve"> Throughout this </w:t>
      </w:r>
      <w:r>
        <w:t>commentary</w:t>
      </w:r>
      <w:r w:rsidRPr="00B76F46">
        <w:t xml:space="preserve"> the term child support </w:t>
      </w:r>
      <w:r>
        <w:t xml:space="preserve">is used </w:t>
      </w:r>
      <w:r w:rsidRPr="00B76F46">
        <w:t>for readability purposes.</w:t>
      </w:r>
    </w:p>
    <w:p w14:paraId="5B0AB4B2" w14:textId="1B5088BA" w:rsidR="0026287E" w:rsidRDefault="001B1A5B" w:rsidP="0026287E">
      <w:r>
        <w:t>All section references are to</w:t>
      </w:r>
      <w:r w:rsidR="00E8319F">
        <w:t xml:space="preserve"> the Child Support Act 1991</w:t>
      </w:r>
      <w:r>
        <w:t xml:space="preserve"> unless otherwise stated</w:t>
      </w:r>
      <w:r w:rsidR="00E8319F">
        <w:t>.</w:t>
      </w:r>
    </w:p>
    <w:p w14:paraId="685D69F8" w14:textId="77777777" w:rsidR="00D9547E" w:rsidRPr="00D9547E" w:rsidRDefault="00D9547E" w:rsidP="00D9547E"/>
    <w:p w14:paraId="28EC1C03" w14:textId="77777777" w:rsidR="00D9547E" w:rsidRPr="00D9547E" w:rsidRDefault="00D9547E" w:rsidP="00D9547E">
      <w:pPr>
        <w:sectPr w:rsidR="00D9547E" w:rsidRPr="00D9547E" w:rsidSect="00224B10">
          <w:type w:val="oddPage"/>
          <w:pgSz w:w="11906" w:h="16838" w:code="9"/>
          <w:pgMar w:top="1304" w:right="1559" w:bottom="1134" w:left="1559" w:header="720" w:footer="567" w:gutter="0"/>
          <w:cols w:space="720"/>
          <w:docGrid w:linePitch="326"/>
        </w:sectPr>
      </w:pPr>
    </w:p>
    <w:p w14:paraId="4073412D" w14:textId="78B47957" w:rsidR="003959E1" w:rsidRPr="002A233D" w:rsidRDefault="00C30C2B" w:rsidP="00E22D08">
      <w:pPr>
        <w:pStyle w:val="Heading1"/>
      </w:pPr>
      <w:bookmarkStart w:id="12" w:name="_Toc34836404"/>
      <w:bookmarkEnd w:id="11"/>
      <w:r>
        <w:t>Policy proposals</w:t>
      </w:r>
      <w:bookmarkEnd w:id="12"/>
    </w:p>
    <w:p w14:paraId="20981F9C" w14:textId="77777777" w:rsidR="003959E1" w:rsidRPr="00E22D08" w:rsidRDefault="003959E1" w:rsidP="00E22D08"/>
    <w:p w14:paraId="0701695C" w14:textId="77777777" w:rsidR="003959E1" w:rsidRPr="00E22D08" w:rsidRDefault="003959E1" w:rsidP="00E22D08">
      <w:pPr>
        <w:sectPr w:rsidR="003959E1" w:rsidRPr="00E22D08" w:rsidSect="00224B10">
          <w:type w:val="oddPage"/>
          <w:pgSz w:w="11906" w:h="16838" w:code="9"/>
          <w:pgMar w:top="1304" w:right="1559" w:bottom="1134" w:left="1559" w:header="720" w:footer="567" w:gutter="0"/>
          <w:cols w:space="720"/>
          <w:docGrid w:linePitch="326"/>
        </w:sectPr>
      </w:pPr>
    </w:p>
    <w:p w14:paraId="5C339F0D" w14:textId="1A431583" w:rsidR="001F6140" w:rsidRPr="00D9547E" w:rsidRDefault="00D9547E" w:rsidP="00D9547E">
      <w:pPr>
        <w:pStyle w:val="Heading2"/>
      </w:pPr>
      <w:bookmarkStart w:id="13" w:name="_Toc14174912"/>
      <w:bookmarkStart w:id="14" w:name="_Toc34836405"/>
      <w:r w:rsidRPr="00D9547E">
        <w:t xml:space="preserve">Change </w:t>
      </w:r>
      <w:r w:rsidR="00FA410F" w:rsidRPr="00D9547E">
        <w:t>to</w:t>
      </w:r>
      <w:r w:rsidR="00E932C5" w:rsidRPr="00D9547E">
        <w:t xml:space="preserve"> </w:t>
      </w:r>
      <w:r w:rsidR="00F11046" w:rsidRPr="00D9547E">
        <w:t>timing</w:t>
      </w:r>
      <w:r w:rsidR="00E932C5" w:rsidRPr="00D9547E">
        <w:t xml:space="preserve"> </w:t>
      </w:r>
      <w:r w:rsidR="00F11046" w:rsidRPr="00D9547E">
        <w:t>of</w:t>
      </w:r>
      <w:r w:rsidR="00E932C5" w:rsidRPr="00D9547E">
        <w:t xml:space="preserve"> second stage of late payment </w:t>
      </w:r>
      <w:r w:rsidR="00FA410F" w:rsidRPr="00D9547E">
        <w:t>penalty</w:t>
      </w:r>
      <w:bookmarkEnd w:id="13"/>
      <w:bookmarkEnd w:id="14"/>
    </w:p>
    <w:p w14:paraId="43698B24" w14:textId="3F8831BF" w:rsidR="001F6140" w:rsidRPr="00473ED6" w:rsidRDefault="00A37A96" w:rsidP="00B917E9">
      <w:pPr>
        <w:pStyle w:val="Clause"/>
      </w:pPr>
      <w:r w:rsidRPr="00473ED6">
        <w:t>(</w:t>
      </w:r>
      <w:r w:rsidR="00240FC7" w:rsidRPr="00473ED6">
        <w:t xml:space="preserve">Clause </w:t>
      </w:r>
      <w:r w:rsidR="00480584">
        <w:t>42 (2 and 3)</w:t>
      </w:r>
      <w:r w:rsidRPr="00473ED6">
        <w:t>)</w:t>
      </w:r>
    </w:p>
    <w:p w14:paraId="430BC09D" w14:textId="4AA10283" w:rsidR="003959E1" w:rsidRPr="00473ED6" w:rsidRDefault="003959E1" w:rsidP="006E4207">
      <w:pPr>
        <w:pStyle w:val="Heading3"/>
      </w:pPr>
      <w:r w:rsidRPr="00473ED6">
        <w:t>Summary of proposed amendment</w:t>
      </w:r>
    </w:p>
    <w:p w14:paraId="34E92D63" w14:textId="03D50C85" w:rsidR="003959E1" w:rsidRPr="00473ED6" w:rsidRDefault="002D64F8" w:rsidP="0024736E">
      <w:r>
        <w:t>L</w:t>
      </w:r>
      <w:r w:rsidR="449AD3D7">
        <w:t>ate payment penalt</w:t>
      </w:r>
      <w:r>
        <w:t>ies</w:t>
      </w:r>
      <w:r w:rsidR="449AD3D7">
        <w:t xml:space="preserve"> </w:t>
      </w:r>
      <w:r>
        <w:t>are</w:t>
      </w:r>
      <w:r w:rsidR="449AD3D7">
        <w:t xml:space="preserve"> imposed on a liable parent</w:t>
      </w:r>
      <w:r w:rsidR="00B76F46">
        <w:t xml:space="preserve"> </w:t>
      </w:r>
      <w:r w:rsidR="00B76F46" w:rsidRPr="00B76F46">
        <w:t>if they do not pay on time</w:t>
      </w:r>
      <w:r w:rsidR="449AD3D7">
        <w:t xml:space="preserve">. </w:t>
      </w:r>
      <w:r w:rsidR="009C1041">
        <w:t xml:space="preserve">Initial penalties are </w:t>
      </w:r>
      <w:r w:rsidR="449AD3D7">
        <w:t xml:space="preserve">applied in two stages – immediately after the default and then a follow-up penalty eight days </w:t>
      </w:r>
      <w:r w:rsidR="00E53120">
        <w:t>after the due date</w:t>
      </w:r>
      <w:r w:rsidR="00553FFF" w:rsidRPr="00553FFF">
        <w:t>, if the amount is not paid</w:t>
      </w:r>
      <w:r w:rsidR="449AD3D7">
        <w:t>. The proposal is to shift that second stage of the initial late payment penalty to 28 days after the due date, rather than the current eight days after the due date.</w:t>
      </w:r>
    </w:p>
    <w:p w14:paraId="707F0D72" w14:textId="77777777" w:rsidR="003959E1" w:rsidRPr="00473ED6" w:rsidRDefault="003959E1" w:rsidP="006E4207">
      <w:pPr>
        <w:pStyle w:val="Heading3"/>
      </w:pPr>
      <w:r w:rsidRPr="00473ED6">
        <w:t>Application date</w:t>
      </w:r>
    </w:p>
    <w:p w14:paraId="5533D07D" w14:textId="05621F44" w:rsidR="003959E1" w:rsidRPr="00473ED6" w:rsidRDefault="0026287E" w:rsidP="0024736E">
      <w:r>
        <w:t xml:space="preserve">The </w:t>
      </w:r>
      <w:r w:rsidR="002A2C08">
        <w:t xml:space="preserve">proposed </w:t>
      </w:r>
      <w:r>
        <w:t xml:space="preserve">amendment </w:t>
      </w:r>
      <w:r w:rsidR="00525477">
        <w:t xml:space="preserve">would </w:t>
      </w:r>
      <w:r>
        <w:t xml:space="preserve">apply from </w:t>
      </w:r>
      <w:r w:rsidR="0067799D">
        <w:t>1 April 2021</w:t>
      </w:r>
      <w:r>
        <w:t>.</w:t>
      </w:r>
    </w:p>
    <w:p w14:paraId="3FD231D6" w14:textId="77777777" w:rsidR="003959E1" w:rsidRPr="00473ED6" w:rsidRDefault="003959E1" w:rsidP="006E4207">
      <w:pPr>
        <w:pStyle w:val="Heading3"/>
      </w:pPr>
      <w:r w:rsidRPr="00473ED6">
        <w:t>Key features</w:t>
      </w:r>
    </w:p>
    <w:p w14:paraId="7DCEC431" w14:textId="0D72ED68" w:rsidR="003959E1" w:rsidRDefault="006352F2" w:rsidP="0024736E">
      <w:r w:rsidRPr="006352F2">
        <w:t xml:space="preserve">The second stage of the initial late payment penalty </w:t>
      </w:r>
      <w:r w:rsidR="00EA2421">
        <w:t>would</w:t>
      </w:r>
      <w:r w:rsidR="00EA2421" w:rsidRPr="006352F2">
        <w:t xml:space="preserve"> </w:t>
      </w:r>
      <w:r w:rsidRPr="006352F2">
        <w:t>be charged 28 days after the due date</w:t>
      </w:r>
      <w:r w:rsidR="0026287E">
        <w:t>.</w:t>
      </w:r>
    </w:p>
    <w:p w14:paraId="45BE1428" w14:textId="6131DD9D" w:rsidR="00A97865" w:rsidRDefault="449AD3D7" w:rsidP="0024736E">
      <w:r>
        <w:t xml:space="preserve">The change to the timing of the second stage of the initial penalty </w:t>
      </w:r>
      <w:r w:rsidR="000C4601">
        <w:t xml:space="preserve">would </w:t>
      </w:r>
      <w:r>
        <w:t xml:space="preserve">apply to amounts that become due on or after 1 April 2021. If the first stage of the initial penalty was charged before 1 April 2021, the second stage of the initial penalty </w:t>
      </w:r>
      <w:r w:rsidR="000C4601">
        <w:t xml:space="preserve">would </w:t>
      </w:r>
      <w:r>
        <w:t xml:space="preserve">continue to be charged </w:t>
      </w:r>
      <w:r w:rsidR="002D64F8">
        <w:t xml:space="preserve">eight </w:t>
      </w:r>
      <w:r>
        <w:t>days</w:t>
      </w:r>
      <w:r w:rsidR="002D64F8">
        <w:t xml:space="preserve"> after the due date.</w:t>
      </w:r>
    </w:p>
    <w:p w14:paraId="4925D1D0" w14:textId="77777777" w:rsidR="003959E1" w:rsidRPr="00473ED6" w:rsidRDefault="003959E1" w:rsidP="006E4207">
      <w:pPr>
        <w:pStyle w:val="Heading3"/>
      </w:pPr>
      <w:r w:rsidRPr="00473ED6">
        <w:t>Background</w:t>
      </w:r>
    </w:p>
    <w:p w14:paraId="0C5A9D0F" w14:textId="6458E0FD" w:rsidR="00AA3973" w:rsidRDefault="00AA3973" w:rsidP="00AA3973">
      <w:r w:rsidRPr="00DB20A2">
        <w:t xml:space="preserve">Currently, if a person does not pay their </w:t>
      </w:r>
      <w:r w:rsidR="00553FFF">
        <w:t>child</w:t>
      </w:r>
      <w:r w:rsidR="00553FFF" w:rsidRPr="00DB20A2">
        <w:t xml:space="preserve"> </w:t>
      </w:r>
      <w:r w:rsidRPr="00DB20A2">
        <w:t xml:space="preserve">support on time, penalties apply. An initial penalty of 2% is imposed the day after the due date and, if payment is not made, a further 8% initial penalty is applied </w:t>
      </w:r>
      <w:r w:rsidR="002D64F8">
        <w:t xml:space="preserve">eight </w:t>
      </w:r>
      <w:r w:rsidRPr="00DB20A2">
        <w:t xml:space="preserve">days </w:t>
      </w:r>
      <w:r w:rsidR="002D64F8">
        <w:t>after the due date</w:t>
      </w:r>
      <w:r>
        <w:t>.</w:t>
      </w:r>
    </w:p>
    <w:p w14:paraId="7D14F55C" w14:textId="0FD92A37" w:rsidR="00D17C3B" w:rsidRDefault="449AD3D7" w:rsidP="0024736E">
      <w:r>
        <w:t xml:space="preserve">Moving the imposition of the second stage of the initial penalty to 28 days after the due date </w:t>
      </w:r>
      <w:r w:rsidR="000C4601">
        <w:t xml:space="preserve">would </w:t>
      </w:r>
      <w:r>
        <w:t>give Inland Revenue time to contact the customer and explain payment options (for example,</w:t>
      </w:r>
      <w:r w:rsidR="002D64F8">
        <w:t xml:space="preserve"> </w:t>
      </w:r>
      <w:r>
        <w:t>a payment arrangement) and the consequences of not paying (for example, the imposition of the 8%</w:t>
      </w:r>
      <w:r w:rsidR="002D64F8">
        <w:t xml:space="preserve"> penalty</w:t>
      </w:r>
      <w:r>
        <w:t xml:space="preserve">, </w:t>
      </w:r>
      <w:r w:rsidR="002D64F8">
        <w:t>bank deductions</w:t>
      </w:r>
      <w:r>
        <w:t>)</w:t>
      </w:r>
      <w:r w:rsidR="000C4601">
        <w:t>,</w:t>
      </w:r>
      <w:r>
        <w:t xml:space="preserve"> with the aim of working with the person to get them back on track.</w:t>
      </w:r>
    </w:p>
    <w:p w14:paraId="6B5BE15B" w14:textId="77777777" w:rsidR="008B1790" w:rsidRPr="008B1790" w:rsidRDefault="008B1790" w:rsidP="008B1790">
      <w:r w:rsidRPr="008B1790">
        <w:br w:type="page"/>
      </w:r>
    </w:p>
    <w:p w14:paraId="28518821" w14:textId="176FA15D" w:rsidR="000607BE" w:rsidRPr="008B1790" w:rsidRDefault="000607BE" w:rsidP="008B1790">
      <w:pPr>
        <w:pStyle w:val="Example-Heading1"/>
      </w:pPr>
      <w:r w:rsidRPr="008B1790">
        <w:t xml:space="preserve">Example </w:t>
      </w:r>
      <w:r w:rsidR="008B1790" w:rsidRPr="008B1790">
        <w:fldChar w:fldCharType="begin"/>
      </w:r>
      <w:r w:rsidR="008B1790" w:rsidRPr="008B1790">
        <w:instrText xml:space="preserve"> seq examples </w:instrText>
      </w:r>
      <w:r w:rsidR="008B1790" w:rsidRPr="008B1790">
        <w:fldChar w:fldCharType="separate"/>
      </w:r>
      <w:r w:rsidR="00577BFB">
        <w:rPr>
          <w:noProof/>
        </w:rPr>
        <w:t>1</w:t>
      </w:r>
      <w:r w:rsidR="008B1790" w:rsidRPr="008B1790">
        <w:fldChar w:fldCharType="end"/>
      </w:r>
      <w:r w:rsidR="003426F5" w:rsidRPr="008B1790">
        <w:t>: I</w:t>
      </w:r>
      <w:r w:rsidRPr="008B1790">
        <w:t>mposition of initial late payment penalties</w:t>
      </w:r>
    </w:p>
    <w:p w14:paraId="550BBB42" w14:textId="5219C987" w:rsidR="000607BE" w:rsidRPr="008B1790" w:rsidRDefault="000607BE" w:rsidP="008B1790">
      <w:pPr>
        <w:pStyle w:val="Example-Text"/>
      </w:pPr>
      <w:r w:rsidRPr="008B1790">
        <w:t xml:space="preserve">Simo </w:t>
      </w:r>
      <w:r w:rsidR="008311E8" w:rsidRPr="008B1790">
        <w:t xml:space="preserve">is </w:t>
      </w:r>
      <w:r w:rsidRPr="008B1790">
        <w:t xml:space="preserve">separated from his partner, Lara. They have one child, Ali, who lives with </w:t>
      </w:r>
      <w:r w:rsidR="008311E8" w:rsidRPr="008B1790">
        <w:t>Lara</w:t>
      </w:r>
      <w:r w:rsidR="00D329F2" w:rsidRPr="008B1790">
        <w:t>.</w:t>
      </w:r>
    </w:p>
    <w:p w14:paraId="2E2FFF24" w14:textId="19353003" w:rsidR="00CB3F14" w:rsidRPr="008B1790" w:rsidRDefault="000607BE" w:rsidP="008B1790">
      <w:pPr>
        <w:pStyle w:val="Example-Text"/>
      </w:pPr>
      <w:r w:rsidRPr="008B1790">
        <w:t>Simo’s child support payment is due 20 March 2021. He does</w:t>
      </w:r>
      <w:r w:rsidR="00553FFF">
        <w:t xml:space="preserve"> </w:t>
      </w:r>
      <w:r w:rsidRPr="008B1790">
        <w:t>n</w:t>
      </w:r>
      <w:r w:rsidR="00553FFF">
        <w:t>o</w:t>
      </w:r>
      <w:r w:rsidRPr="008B1790">
        <w:t>t make the payment on time. Simo’s next payment is due 20 April 2021 (after the proposed amendment would take effect). Simo does not make this payment.</w:t>
      </w:r>
    </w:p>
    <w:p w14:paraId="448C91F7" w14:textId="7C9B3D12" w:rsidR="000607BE" w:rsidRPr="008B1790" w:rsidRDefault="000607BE" w:rsidP="008B1790">
      <w:pPr>
        <w:pStyle w:val="Example-Text"/>
      </w:pPr>
      <w:r w:rsidRPr="008B1790">
        <w:t xml:space="preserve">The timeline </w:t>
      </w:r>
      <w:r w:rsidR="0067022E">
        <w:t xml:space="preserve">in figure 1 </w:t>
      </w:r>
      <w:r w:rsidRPr="008B1790">
        <w:t xml:space="preserve">shows </w:t>
      </w:r>
      <w:r w:rsidR="00E303EA" w:rsidRPr="008B1790">
        <w:t xml:space="preserve">how the second stage of the late </w:t>
      </w:r>
      <w:r w:rsidR="00B76C3E" w:rsidRPr="008B1790">
        <w:t>payment would</w:t>
      </w:r>
      <w:r w:rsidR="0096678A" w:rsidRPr="008B1790">
        <w:t xml:space="preserve"> be </w:t>
      </w:r>
      <w:r w:rsidR="00B76C3E" w:rsidRPr="008B1790">
        <w:t xml:space="preserve">applied for both </w:t>
      </w:r>
      <w:r w:rsidR="00857758" w:rsidRPr="008B1790">
        <w:t>payments.</w:t>
      </w:r>
    </w:p>
    <w:p w14:paraId="275FFAA5" w14:textId="5B0D72C1" w:rsidR="008B1790" w:rsidRDefault="008B1790" w:rsidP="008B1790">
      <w:pPr>
        <w:pStyle w:val="Example-Caption"/>
      </w:pPr>
      <w:r>
        <w:t xml:space="preserve">Figure </w:t>
      </w:r>
      <w:r>
        <w:fldChar w:fldCharType="begin"/>
      </w:r>
      <w:r>
        <w:instrText xml:space="preserve"> seq figure </w:instrText>
      </w:r>
      <w:r>
        <w:fldChar w:fldCharType="separate"/>
      </w:r>
      <w:r w:rsidR="00577BFB">
        <w:rPr>
          <w:noProof/>
        </w:rPr>
        <w:t>1</w:t>
      </w:r>
      <w:r>
        <w:fldChar w:fldCharType="end"/>
      </w:r>
    </w:p>
    <w:p w14:paraId="04E6B82B" w14:textId="01F88B27" w:rsidR="008B1790" w:rsidRDefault="00577BFB" w:rsidP="008B1790">
      <w:pPr>
        <w:pStyle w:val="Example-Figure"/>
      </w:pPr>
      <w:r>
        <w:object w:dxaOrig="11640" w:dyaOrig="5505" w14:anchorId="179A0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Imposition of initial late payment penalties" style="width:406.5pt;height:192pt" o:ole="">
            <v:imagedata r:id="rId15" o:title=""/>
          </v:shape>
          <o:OLEObject Type="Embed" ProgID="Visio.Drawing.15" ShapeID="_x0000_i1025" DrawAspect="Content" ObjectID="_1645449622" r:id="rId16"/>
        </w:object>
      </w:r>
    </w:p>
    <w:p w14:paraId="12AFF50D" w14:textId="13C3AE67" w:rsidR="00F968FA" w:rsidRPr="00D9547E" w:rsidRDefault="00D9547E" w:rsidP="00D9547E">
      <w:pPr>
        <w:pStyle w:val="Heading2"/>
      </w:pPr>
      <w:bookmarkStart w:id="15" w:name="_Toc34836406"/>
      <w:bookmarkEnd w:id="4"/>
      <w:r w:rsidRPr="00D9547E">
        <w:t>Minimum $5 penalty rule</w:t>
      </w:r>
      <w:r w:rsidR="00E33087" w:rsidRPr="00D9547E">
        <w:t xml:space="preserve"> repeal</w:t>
      </w:r>
      <w:bookmarkEnd w:id="15"/>
    </w:p>
    <w:p w14:paraId="0358C22D" w14:textId="2004C803" w:rsidR="00F968FA" w:rsidRPr="00473ED6" w:rsidRDefault="00F968FA" w:rsidP="00F968FA">
      <w:pPr>
        <w:pStyle w:val="Clause"/>
      </w:pPr>
      <w:r w:rsidRPr="00473ED6">
        <w:t xml:space="preserve">(Clause </w:t>
      </w:r>
      <w:r w:rsidR="00480584">
        <w:t>42(1)</w:t>
      </w:r>
      <w:r w:rsidRPr="00473ED6">
        <w:t>)</w:t>
      </w:r>
    </w:p>
    <w:p w14:paraId="7F1DF2A3" w14:textId="77EF0409" w:rsidR="00F968FA" w:rsidRPr="00473ED6" w:rsidRDefault="00F968FA" w:rsidP="00F968FA">
      <w:pPr>
        <w:pStyle w:val="Heading3"/>
      </w:pPr>
      <w:r w:rsidRPr="00473ED6">
        <w:t>Summary of proposed amendment</w:t>
      </w:r>
    </w:p>
    <w:p w14:paraId="3AF2638E" w14:textId="36E2EBF4" w:rsidR="00F968FA" w:rsidRPr="00473ED6" w:rsidRDefault="002D64F8" w:rsidP="00F968FA">
      <w:r>
        <w:t>The proposal is to</w:t>
      </w:r>
      <w:r w:rsidR="00FC65C6">
        <w:t xml:space="preserve"> repeal t</w:t>
      </w:r>
      <w:r w:rsidR="00BE3B65" w:rsidRPr="00BE3B65">
        <w:t xml:space="preserve">he $5 minimum penalty rule. </w:t>
      </w:r>
      <w:r w:rsidR="00135612">
        <w:t xml:space="preserve">This </w:t>
      </w:r>
      <w:r>
        <w:t xml:space="preserve">would </w:t>
      </w:r>
      <w:r w:rsidR="00135612" w:rsidRPr="00135612">
        <w:t xml:space="preserve">ensure that the 2% </w:t>
      </w:r>
      <w:r w:rsidR="00A14018">
        <w:t xml:space="preserve">initial </w:t>
      </w:r>
      <w:r w:rsidR="00135612" w:rsidRPr="00135612">
        <w:t>penalty imposed is in proportion to the</w:t>
      </w:r>
      <w:r w:rsidR="003004DB">
        <w:t xml:space="preserve"> </w:t>
      </w:r>
      <w:r>
        <w:t xml:space="preserve">unpaid </w:t>
      </w:r>
      <w:r w:rsidR="003004DB">
        <w:t>obligation</w:t>
      </w:r>
      <w:r w:rsidR="00135612" w:rsidRPr="00135612">
        <w:t>.</w:t>
      </w:r>
    </w:p>
    <w:p w14:paraId="7FE220AA" w14:textId="77777777" w:rsidR="00F968FA" w:rsidRPr="00473ED6" w:rsidRDefault="00F968FA" w:rsidP="00F968FA">
      <w:pPr>
        <w:pStyle w:val="Heading3"/>
      </w:pPr>
      <w:r w:rsidRPr="00473ED6">
        <w:t>Application date</w:t>
      </w:r>
    </w:p>
    <w:p w14:paraId="210C110C" w14:textId="77537E44" w:rsidR="00F968FA" w:rsidRPr="00473ED6" w:rsidRDefault="00F968FA" w:rsidP="00F968FA">
      <w:r>
        <w:t xml:space="preserve">The </w:t>
      </w:r>
      <w:r w:rsidR="002A2C08" w:rsidRPr="002A2C08">
        <w:t xml:space="preserve">proposed </w:t>
      </w:r>
      <w:r>
        <w:t xml:space="preserve">amendment </w:t>
      </w:r>
      <w:r w:rsidR="00525477">
        <w:t xml:space="preserve">would </w:t>
      </w:r>
      <w:r>
        <w:t xml:space="preserve">apply from </w:t>
      </w:r>
      <w:r w:rsidR="003C2F32">
        <w:t>1 April 2021</w:t>
      </w:r>
      <w:r>
        <w:t>.</w:t>
      </w:r>
    </w:p>
    <w:p w14:paraId="66F6B36D" w14:textId="77777777" w:rsidR="00F968FA" w:rsidRPr="00473ED6" w:rsidRDefault="00F968FA" w:rsidP="00F968FA">
      <w:pPr>
        <w:pStyle w:val="Heading3"/>
      </w:pPr>
      <w:r w:rsidRPr="00473ED6">
        <w:t>Key features</w:t>
      </w:r>
    </w:p>
    <w:p w14:paraId="71B73700" w14:textId="36AF56E7" w:rsidR="00097C6F" w:rsidRDefault="00662FBF" w:rsidP="00097C6F">
      <w:r>
        <w:t>Repeal t</w:t>
      </w:r>
      <w:r w:rsidR="00097C6F" w:rsidRPr="004114EA">
        <w:t xml:space="preserve">he $5 minimum </w:t>
      </w:r>
      <w:r w:rsidR="00097C6F">
        <w:t>penalty rule. T</w:t>
      </w:r>
      <w:r w:rsidR="00097C6F" w:rsidRPr="004114EA">
        <w:t>he penalty charged at the expiry of</w:t>
      </w:r>
      <w:r w:rsidR="00097C6F">
        <w:t xml:space="preserve"> </w:t>
      </w:r>
      <w:r w:rsidR="00097C6F" w:rsidRPr="004114EA">
        <w:t>the due date</w:t>
      </w:r>
      <w:r w:rsidR="00097C6F">
        <w:t xml:space="preserve"> </w:t>
      </w:r>
      <w:r w:rsidR="00995418">
        <w:t xml:space="preserve">would </w:t>
      </w:r>
      <w:r w:rsidR="00097C6F" w:rsidRPr="004114EA">
        <w:t xml:space="preserve">be 2% of the </w:t>
      </w:r>
      <w:r w:rsidR="002D64F8">
        <w:t>unpaid obligation</w:t>
      </w:r>
      <w:r w:rsidR="00097C6F" w:rsidRPr="004114EA">
        <w:t>.</w:t>
      </w:r>
    </w:p>
    <w:p w14:paraId="09421EE4" w14:textId="77777777" w:rsidR="00F968FA" w:rsidRPr="00473ED6" w:rsidRDefault="00F968FA" w:rsidP="00F968FA">
      <w:pPr>
        <w:pStyle w:val="Heading3"/>
      </w:pPr>
      <w:r w:rsidRPr="00473ED6">
        <w:t>Background</w:t>
      </w:r>
    </w:p>
    <w:p w14:paraId="4226D515" w14:textId="688B5186" w:rsidR="002D64F8" w:rsidRDefault="002D64F8" w:rsidP="00F968FA">
      <w:r>
        <w:t>T</w:t>
      </w:r>
      <w:r w:rsidR="00D0330D">
        <w:t xml:space="preserve">he </w:t>
      </w:r>
      <w:r w:rsidR="003004DB">
        <w:t xml:space="preserve">initial </w:t>
      </w:r>
      <w:r w:rsidR="003F26CD">
        <w:t xml:space="preserve">penalty charged the day after the due date is </w:t>
      </w:r>
      <w:r w:rsidR="00553FFF">
        <w:t xml:space="preserve">currently </w:t>
      </w:r>
      <w:r>
        <w:t>the greater of:</w:t>
      </w:r>
    </w:p>
    <w:p w14:paraId="320D8839" w14:textId="4076D880" w:rsidR="002D64F8" w:rsidRPr="00770C74" w:rsidRDefault="00A35777" w:rsidP="00770C74">
      <w:pPr>
        <w:pStyle w:val="ListBullet"/>
      </w:pPr>
      <w:r w:rsidRPr="00770C74">
        <w:t>2% of the amount outstanding</w:t>
      </w:r>
      <w:r w:rsidR="00E53120" w:rsidRPr="00770C74">
        <w:t>;</w:t>
      </w:r>
      <w:r w:rsidRPr="00770C74">
        <w:t xml:space="preserve"> or</w:t>
      </w:r>
    </w:p>
    <w:p w14:paraId="2B8C5A4D" w14:textId="486F0125" w:rsidR="009144D2" w:rsidRPr="00770C74" w:rsidRDefault="00A35777" w:rsidP="00770C74">
      <w:pPr>
        <w:pStyle w:val="ListBullet"/>
      </w:pPr>
      <w:r w:rsidRPr="00770C74">
        <w:t>$5</w:t>
      </w:r>
      <w:r w:rsidR="002D64F8" w:rsidRPr="00770C74">
        <w:t>.</w:t>
      </w:r>
    </w:p>
    <w:p w14:paraId="0DA6F1F3" w14:textId="33625338" w:rsidR="00B951DF" w:rsidRDefault="00B951DF" w:rsidP="00F968FA">
      <w:r>
        <w:t>Penalties play an important role in encouraging parents to meet their child support obligations. However, excessive penalties can discourage the payment of child support to the detriment of the children concerned.</w:t>
      </w:r>
    </w:p>
    <w:p w14:paraId="48A7D6BC" w14:textId="66D67526" w:rsidR="00F968FA" w:rsidRDefault="449AD3D7" w:rsidP="00F968FA">
      <w:r>
        <w:t xml:space="preserve">The current $5 minimum </w:t>
      </w:r>
      <w:r w:rsidR="003004DB">
        <w:t xml:space="preserve">penalty </w:t>
      </w:r>
      <w:r>
        <w:t xml:space="preserve">means that </w:t>
      </w:r>
      <w:r w:rsidR="00125324">
        <w:t>some people</w:t>
      </w:r>
      <w:r>
        <w:t xml:space="preserve"> </w:t>
      </w:r>
      <w:r w:rsidR="00414064">
        <w:t>are</w:t>
      </w:r>
      <w:r>
        <w:t xml:space="preserve"> disproportionately penalised. </w:t>
      </w:r>
      <w:r w:rsidR="00F81087">
        <w:t xml:space="preserve">This is </w:t>
      </w:r>
      <w:r w:rsidR="00FE5E6B">
        <w:t>demonstrated</w:t>
      </w:r>
      <w:r w:rsidR="00F81087">
        <w:t xml:space="preserve"> in the example </w:t>
      </w:r>
      <w:r w:rsidR="007376DC">
        <w:t>2</w:t>
      </w:r>
      <w:r w:rsidR="00F81087">
        <w:t>.</w:t>
      </w:r>
    </w:p>
    <w:p w14:paraId="0FB8109B" w14:textId="678B017B" w:rsidR="00F81087" w:rsidRPr="00D81085" w:rsidRDefault="008B1790" w:rsidP="00D81085">
      <w:pPr>
        <w:pStyle w:val="Example-Heading1"/>
      </w:pPr>
      <w:r w:rsidRPr="00D81085">
        <w:t xml:space="preserve">Example </w:t>
      </w:r>
      <w:r w:rsidRPr="00D81085">
        <w:fldChar w:fldCharType="begin"/>
      </w:r>
      <w:r w:rsidRPr="00D81085">
        <w:instrText xml:space="preserve"> seq examples </w:instrText>
      </w:r>
      <w:r w:rsidRPr="00D81085">
        <w:fldChar w:fldCharType="separate"/>
      </w:r>
      <w:r w:rsidR="00577BFB">
        <w:rPr>
          <w:noProof/>
        </w:rPr>
        <w:t>2</w:t>
      </w:r>
      <w:r w:rsidRPr="00D81085">
        <w:fldChar w:fldCharType="end"/>
      </w:r>
      <w:r w:rsidRPr="00D81085">
        <w:t>:</w:t>
      </w:r>
      <w:r w:rsidR="00F81087" w:rsidRPr="00D81085">
        <w:t xml:space="preserve"> $5 minimum penalty</w:t>
      </w:r>
    </w:p>
    <w:p w14:paraId="2361CFD4" w14:textId="0C935DCC" w:rsidR="00F81087" w:rsidRPr="00D81085" w:rsidRDefault="00F81087" w:rsidP="00D81085">
      <w:pPr>
        <w:pStyle w:val="Example-Text"/>
      </w:pPr>
      <w:r w:rsidRPr="00D81085">
        <w:t>Karl was supposed to pay $200 child support on 20 June. However</w:t>
      </w:r>
      <w:r w:rsidR="00705D6D" w:rsidRPr="00D81085">
        <w:t>,</w:t>
      </w:r>
      <w:r w:rsidRPr="00D81085">
        <w:t xml:space="preserve"> he </w:t>
      </w:r>
      <w:r w:rsidR="00FE5E6B" w:rsidRPr="00D81085">
        <w:t>did</w:t>
      </w:r>
      <w:r w:rsidR="00553FFF">
        <w:t xml:space="preserve"> </w:t>
      </w:r>
      <w:r w:rsidR="00FE5E6B" w:rsidRPr="00D81085">
        <w:t>n</w:t>
      </w:r>
      <w:r w:rsidR="00553FFF">
        <w:t>o</w:t>
      </w:r>
      <w:r w:rsidR="00FE5E6B" w:rsidRPr="00D81085">
        <w:t>t</w:t>
      </w:r>
      <w:r w:rsidRPr="00D81085">
        <w:t xml:space="preserve"> make the payment and so the initial penalty was charged on 21 June.</w:t>
      </w:r>
    </w:p>
    <w:p w14:paraId="13D73A2A" w14:textId="3DA0138E" w:rsidR="007B330D" w:rsidRPr="00D81085" w:rsidRDefault="00F81087" w:rsidP="00D81085">
      <w:pPr>
        <w:pStyle w:val="Example-Text"/>
      </w:pPr>
      <w:r w:rsidRPr="00D81085">
        <w:t>The</w:t>
      </w:r>
      <w:r w:rsidR="002837DA" w:rsidRPr="00D81085">
        <w:t xml:space="preserve"> </w:t>
      </w:r>
      <w:r w:rsidR="007B330D" w:rsidRPr="00D81085">
        <w:t xml:space="preserve">initial </w:t>
      </w:r>
      <w:r w:rsidR="002837DA" w:rsidRPr="00D81085">
        <w:t>penalty</w:t>
      </w:r>
      <w:r w:rsidR="00FE5E6B" w:rsidRPr="00D81085">
        <w:t xml:space="preserve"> </w:t>
      </w:r>
      <w:r w:rsidRPr="00D81085">
        <w:t xml:space="preserve">charged </w:t>
      </w:r>
      <w:r w:rsidR="002837DA" w:rsidRPr="00D81085">
        <w:t>is</w:t>
      </w:r>
      <w:r w:rsidRPr="00D81085">
        <w:t xml:space="preserve"> $5.</w:t>
      </w:r>
      <w:r w:rsidR="00AA52C1" w:rsidRPr="00D81085">
        <w:t xml:space="preserve"> 2%</w:t>
      </w:r>
      <w:r w:rsidRPr="00D81085">
        <w:t xml:space="preserve"> of $200 is $4, but </w:t>
      </w:r>
      <w:r w:rsidR="00AA52C1" w:rsidRPr="00D81085">
        <w:t>the penalty imposed is</w:t>
      </w:r>
      <w:r w:rsidRPr="00D81085">
        <w:t xml:space="preserve"> $5</w:t>
      </w:r>
      <w:r w:rsidR="00A26648" w:rsidRPr="00D81085">
        <w:t>, the current minimum penalty</w:t>
      </w:r>
      <w:r w:rsidR="00213E40" w:rsidRPr="00D81085">
        <w:t>.</w:t>
      </w:r>
      <w:r w:rsidR="00E7540F" w:rsidRPr="00D81085">
        <w:t xml:space="preserve"> </w:t>
      </w:r>
      <w:r w:rsidR="007B330D" w:rsidRPr="00D81085">
        <w:t>T</w:t>
      </w:r>
      <w:r w:rsidR="001F199F" w:rsidRPr="00D81085">
        <w:t>hi</w:t>
      </w:r>
      <w:r w:rsidR="007B330D" w:rsidRPr="00D81085">
        <w:t>s</w:t>
      </w:r>
      <w:r w:rsidR="001F199F" w:rsidRPr="00D81085">
        <w:t xml:space="preserve"> </w:t>
      </w:r>
      <w:r w:rsidR="007B330D" w:rsidRPr="00D81085">
        <w:t>means</w:t>
      </w:r>
      <w:r w:rsidR="001F199F" w:rsidRPr="00D81085">
        <w:t xml:space="preserve"> </w:t>
      </w:r>
      <w:r w:rsidR="007B330D" w:rsidRPr="00D81085">
        <w:t>t</w:t>
      </w:r>
      <w:r w:rsidR="001F199F" w:rsidRPr="00D81085">
        <w:t>h</w:t>
      </w:r>
      <w:r w:rsidR="007B330D" w:rsidRPr="00D81085">
        <w:t>at Karl pays</w:t>
      </w:r>
      <w:r w:rsidR="001F199F" w:rsidRPr="00D81085">
        <w:t xml:space="preserve"> </w:t>
      </w:r>
      <w:r w:rsidR="007B330D" w:rsidRPr="00D81085">
        <w:t>more</w:t>
      </w:r>
      <w:r w:rsidR="001F199F" w:rsidRPr="00D81085">
        <w:t xml:space="preserve"> </w:t>
      </w:r>
      <w:r w:rsidR="007B330D" w:rsidRPr="00D81085">
        <w:t>th</w:t>
      </w:r>
      <w:r w:rsidR="001F199F" w:rsidRPr="00D81085">
        <w:t>a</w:t>
      </w:r>
      <w:r w:rsidR="007B330D" w:rsidRPr="00D81085">
        <w:t>n</w:t>
      </w:r>
      <w:r w:rsidR="001F199F" w:rsidRPr="00D81085">
        <w:t xml:space="preserve"> </w:t>
      </w:r>
      <w:r w:rsidR="007B330D" w:rsidRPr="00D81085">
        <w:t>2% of</w:t>
      </w:r>
      <w:r w:rsidR="001F199F" w:rsidRPr="00D81085">
        <w:t xml:space="preserve"> the amount outstanding.</w:t>
      </w:r>
    </w:p>
    <w:p w14:paraId="48BA042B" w14:textId="59A54BE0" w:rsidR="00F968FA" w:rsidRPr="00D81085" w:rsidRDefault="002115B0" w:rsidP="00D81085">
      <w:pPr>
        <w:pStyle w:val="Example-Text"/>
      </w:pPr>
      <w:r w:rsidRPr="00D81085">
        <w:t>Under the proposed amendment Karl’s penalty amount would be $4</w:t>
      </w:r>
      <w:r w:rsidR="00C61164" w:rsidRPr="00D81085">
        <w:t>.</w:t>
      </w:r>
    </w:p>
    <w:p w14:paraId="233ECD19" w14:textId="6E7EE704" w:rsidR="0012384D" w:rsidRPr="00D9547E" w:rsidRDefault="00D9547E" w:rsidP="00D9547E">
      <w:pPr>
        <w:pStyle w:val="Heading2"/>
      </w:pPr>
      <w:bookmarkStart w:id="16" w:name="_Toc34836407"/>
      <w:r w:rsidRPr="00D9547E">
        <w:t>Grace p</w:t>
      </w:r>
      <w:r w:rsidR="00E81288" w:rsidRPr="00D9547E">
        <w:t>eriod</w:t>
      </w:r>
      <w:bookmarkEnd w:id="16"/>
    </w:p>
    <w:p w14:paraId="3B4F0C01" w14:textId="6A4F736F" w:rsidR="0012384D" w:rsidRPr="00473ED6" w:rsidRDefault="0012384D" w:rsidP="0012384D">
      <w:pPr>
        <w:pStyle w:val="Clause"/>
      </w:pPr>
      <w:r w:rsidRPr="00473ED6">
        <w:t xml:space="preserve">(Clause </w:t>
      </w:r>
      <w:r w:rsidR="00480584">
        <w:t>43</w:t>
      </w:r>
      <w:r w:rsidRPr="00473ED6">
        <w:t>)</w:t>
      </w:r>
    </w:p>
    <w:p w14:paraId="628C469F" w14:textId="2EF07BC3" w:rsidR="0012384D" w:rsidRPr="00473ED6" w:rsidRDefault="0012384D" w:rsidP="0012384D">
      <w:pPr>
        <w:pStyle w:val="Heading3"/>
      </w:pPr>
      <w:r w:rsidRPr="00473ED6">
        <w:t>Summary of proposed amendment</w:t>
      </w:r>
    </w:p>
    <w:p w14:paraId="3A7E2DCF" w14:textId="4347A47B" w:rsidR="0012384D" w:rsidRPr="00473ED6" w:rsidRDefault="00B951DF" w:rsidP="0012384D">
      <w:r>
        <w:t>For people new</w:t>
      </w:r>
      <w:r w:rsidR="00B34576">
        <w:t xml:space="preserve"> or returning to</w:t>
      </w:r>
      <w:r>
        <w:t xml:space="preserve"> the child support scheme, a</w:t>
      </w:r>
      <w:r w:rsidR="00225F7A" w:rsidRPr="00225F7A">
        <w:t xml:space="preserve"> grace period </w:t>
      </w:r>
      <w:r w:rsidR="007F168F">
        <w:t>is proposed</w:t>
      </w:r>
      <w:r>
        <w:t xml:space="preserve"> </w:t>
      </w:r>
      <w:r w:rsidR="00225F7A" w:rsidRPr="00225F7A">
        <w:t xml:space="preserve">during which late payment penalties </w:t>
      </w:r>
      <w:r w:rsidR="007F168F">
        <w:t xml:space="preserve">would </w:t>
      </w:r>
      <w:r w:rsidR="00225F7A" w:rsidRPr="00225F7A">
        <w:t>not be charged. Th</w:t>
      </w:r>
      <w:r w:rsidR="00D13517">
        <w:t>e</w:t>
      </w:r>
      <w:r w:rsidR="00225F7A" w:rsidRPr="00225F7A">
        <w:t xml:space="preserve"> </w:t>
      </w:r>
      <w:r w:rsidR="0067022E">
        <w:t xml:space="preserve">proposed </w:t>
      </w:r>
      <w:r w:rsidR="00225F7A" w:rsidRPr="00225F7A">
        <w:t xml:space="preserve">grace period </w:t>
      </w:r>
      <w:r w:rsidR="007F168F">
        <w:t xml:space="preserve">would </w:t>
      </w:r>
      <w:r w:rsidR="00225F7A">
        <w:t>allow</w:t>
      </w:r>
      <w:r w:rsidR="00225F7A" w:rsidRPr="00225F7A">
        <w:t xml:space="preserve"> a liable person time to adjust to making </w:t>
      </w:r>
      <w:r w:rsidR="00553FFF">
        <w:t>child</w:t>
      </w:r>
      <w:r w:rsidR="00553FFF" w:rsidRPr="00225F7A">
        <w:t xml:space="preserve"> </w:t>
      </w:r>
      <w:r w:rsidR="00225F7A" w:rsidRPr="00225F7A">
        <w:t>support payments</w:t>
      </w:r>
      <w:r>
        <w:t xml:space="preserve">. It </w:t>
      </w:r>
      <w:r w:rsidR="007F168F">
        <w:t xml:space="preserve">would </w:t>
      </w:r>
      <w:r>
        <w:t xml:space="preserve">also allow </w:t>
      </w:r>
      <w:r w:rsidR="00225F7A" w:rsidRPr="00225F7A">
        <w:t>Inland Revenue</w:t>
      </w:r>
      <w:r w:rsidR="002D64F8">
        <w:t xml:space="preserve"> </w:t>
      </w:r>
      <w:r w:rsidR="00B4272C">
        <w:t xml:space="preserve">the opportunity to </w:t>
      </w:r>
      <w:r w:rsidR="00925D44">
        <w:t xml:space="preserve">provide </w:t>
      </w:r>
      <w:r w:rsidR="00B4272C">
        <w:t>support</w:t>
      </w:r>
      <w:r w:rsidR="00225F7A" w:rsidRPr="00225F7A">
        <w:t xml:space="preserve"> to newly liable or returning person</w:t>
      </w:r>
      <w:r>
        <w:t>s</w:t>
      </w:r>
      <w:r w:rsidR="00225F7A" w:rsidRPr="00225F7A">
        <w:t>.</w:t>
      </w:r>
    </w:p>
    <w:p w14:paraId="15B03532" w14:textId="77777777" w:rsidR="0012384D" w:rsidRPr="00473ED6" w:rsidRDefault="0012384D" w:rsidP="0012384D">
      <w:pPr>
        <w:pStyle w:val="Heading3"/>
      </w:pPr>
      <w:r w:rsidRPr="00473ED6">
        <w:t>Application date</w:t>
      </w:r>
    </w:p>
    <w:p w14:paraId="23F56E39" w14:textId="5C949DFA" w:rsidR="0012384D" w:rsidRPr="00473ED6" w:rsidRDefault="0012384D" w:rsidP="0012384D">
      <w:r>
        <w:t xml:space="preserve">The </w:t>
      </w:r>
      <w:r w:rsidR="002A2C08" w:rsidRPr="002A2C08">
        <w:t xml:space="preserve">proposed </w:t>
      </w:r>
      <w:r>
        <w:t xml:space="preserve">amendment </w:t>
      </w:r>
      <w:r w:rsidR="00525477">
        <w:t xml:space="preserve">would </w:t>
      </w:r>
      <w:r>
        <w:t xml:space="preserve">apply from </w:t>
      </w:r>
      <w:r w:rsidR="005F07AA">
        <w:t>1 April 2021</w:t>
      </w:r>
      <w:r w:rsidR="0037745B">
        <w:t>.</w:t>
      </w:r>
    </w:p>
    <w:p w14:paraId="199236E2" w14:textId="77777777" w:rsidR="0012384D" w:rsidRPr="00473ED6" w:rsidRDefault="0012384D" w:rsidP="0012384D">
      <w:pPr>
        <w:pStyle w:val="Heading3"/>
      </w:pPr>
      <w:r w:rsidRPr="00473ED6">
        <w:t>Key features</w:t>
      </w:r>
    </w:p>
    <w:p w14:paraId="24A72F77" w14:textId="7D70E9E6" w:rsidR="00CA7CDD" w:rsidRDefault="449AD3D7" w:rsidP="00971B7C">
      <w:r>
        <w:t xml:space="preserve">A grace period </w:t>
      </w:r>
      <w:r w:rsidR="002D64F8">
        <w:t>would be introduced under which</w:t>
      </w:r>
      <w:r>
        <w:t xml:space="preserve"> late payment penalties </w:t>
      </w:r>
      <w:r w:rsidR="002D64F8">
        <w:t xml:space="preserve">would </w:t>
      </w:r>
      <w:r>
        <w:t xml:space="preserve">not </w:t>
      </w:r>
      <w:r w:rsidR="002D64F8">
        <w:t>be applied, for people new or returning to the child support scheme.</w:t>
      </w:r>
      <w:r>
        <w:t xml:space="preserve"> </w:t>
      </w:r>
      <w:r w:rsidR="002D64F8">
        <w:t xml:space="preserve">This would apply to </w:t>
      </w:r>
      <w:r>
        <w:t>periods starting on or after 1 April 2021</w:t>
      </w:r>
      <w:r w:rsidR="00F50FBE">
        <w:t>.</w:t>
      </w:r>
    </w:p>
    <w:p w14:paraId="448434C6" w14:textId="61A5518F" w:rsidR="00CA7CDD" w:rsidRDefault="00CA7CDD" w:rsidP="00CA7CDD">
      <w:r w:rsidRPr="00971B7C">
        <w:t xml:space="preserve">The </w:t>
      </w:r>
      <w:r w:rsidR="000C4601">
        <w:t xml:space="preserve">proposed </w:t>
      </w:r>
      <w:r w:rsidRPr="00971B7C">
        <w:t xml:space="preserve">grace period </w:t>
      </w:r>
      <w:r w:rsidR="000C4601" w:rsidRPr="00971B7C">
        <w:t>w</w:t>
      </w:r>
      <w:r w:rsidR="000C4601">
        <w:t>ould</w:t>
      </w:r>
      <w:r w:rsidR="000C4601" w:rsidRPr="00971B7C">
        <w:t xml:space="preserve"> </w:t>
      </w:r>
      <w:r w:rsidRPr="00971B7C">
        <w:t xml:space="preserve">start on the first due date and </w:t>
      </w:r>
      <w:r w:rsidR="000C4601">
        <w:t>would</w:t>
      </w:r>
      <w:r w:rsidR="000C4601" w:rsidRPr="00971B7C">
        <w:t xml:space="preserve"> </w:t>
      </w:r>
      <w:r>
        <w:t xml:space="preserve">apply </w:t>
      </w:r>
      <w:r w:rsidRPr="00971B7C">
        <w:t>for</w:t>
      </w:r>
      <w:r>
        <w:t xml:space="preserve"> the following</w:t>
      </w:r>
      <w:r w:rsidRPr="00971B7C">
        <w:t xml:space="preserve"> 60 days.</w:t>
      </w:r>
    </w:p>
    <w:p w14:paraId="738C86B8" w14:textId="0364A43B" w:rsidR="00971B7C" w:rsidRPr="00971B7C" w:rsidRDefault="00B951DF" w:rsidP="00971B7C">
      <w:r>
        <w:t xml:space="preserve">The </w:t>
      </w:r>
      <w:r w:rsidR="000C4601">
        <w:t xml:space="preserve">proposed </w:t>
      </w:r>
      <w:r>
        <w:t xml:space="preserve">grace period </w:t>
      </w:r>
      <w:r w:rsidR="000C4601" w:rsidRPr="00971B7C">
        <w:t>w</w:t>
      </w:r>
      <w:r w:rsidR="000C4601">
        <w:t>ould</w:t>
      </w:r>
      <w:r w:rsidR="000C4601" w:rsidRPr="00971B7C">
        <w:t xml:space="preserve"> </w:t>
      </w:r>
      <w:r w:rsidR="00971B7C" w:rsidRPr="00971B7C">
        <w:t>apply:</w:t>
      </w:r>
    </w:p>
    <w:p w14:paraId="6EE751DD" w14:textId="6F77D118" w:rsidR="00971B7C" w:rsidRPr="00770C74" w:rsidRDefault="00971B7C" w:rsidP="00770C74">
      <w:pPr>
        <w:pStyle w:val="ListBullet"/>
      </w:pPr>
      <w:r w:rsidRPr="00770C74">
        <w:t xml:space="preserve">when a person is first made liable for </w:t>
      </w:r>
      <w:r w:rsidR="002A72FD" w:rsidRPr="00770C74">
        <w:t xml:space="preserve">child </w:t>
      </w:r>
      <w:r w:rsidRPr="00770C74">
        <w:t xml:space="preserve">support under the child support </w:t>
      </w:r>
      <w:proofErr w:type="gramStart"/>
      <w:r w:rsidRPr="00770C74">
        <w:t>scheme;</w:t>
      </w:r>
      <w:proofErr w:type="gramEnd"/>
    </w:p>
    <w:p w14:paraId="3B3C8E7C" w14:textId="50917B4A" w:rsidR="00971B7C" w:rsidRPr="00770C74" w:rsidRDefault="00971B7C" w:rsidP="00770C74">
      <w:pPr>
        <w:pStyle w:val="ListBullet"/>
      </w:pPr>
      <w:r w:rsidRPr="00770C74">
        <w:t xml:space="preserve">at any time during a child support assessment when a person </w:t>
      </w:r>
      <w:r w:rsidR="00553FFF">
        <w:t xml:space="preserve">first </w:t>
      </w:r>
      <w:r w:rsidRPr="00770C74">
        <w:t xml:space="preserve">becomes a liable parent after a period of being a receiving carer; </w:t>
      </w:r>
      <w:r w:rsidR="00C61164" w:rsidRPr="00770C74">
        <w:t>or</w:t>
      </w:r>
    </w:p>
    <w:p w14:paraId="7BB2F983" w14:textId="46FD2DF8" w:rsidR="00774683" w:rsidRPr="00770C74" w:rsidRDefault="00971B7C" w:rsidP="00770C74">
      <w:pPr>
        <w:pStyle w:val="ListBullet"/>
      </w:pPr>
      <w:r w:rsidRPr="00770C74">
        <w:t xml:space="preserve">if after a period of not having an ongoing </w:t>
      </w:r>
      <w:r w:rsidR="00553FFF">
        <w:t>child</w:t>
      </w:r>
      <w:r w:rsidR="00553FFF" w:rsidRPr="00770C74">
        <w:t xml:space="preserve"> </w:t>
      </w:r>
      <w:r w:rsidRPr="00770C74">
        <w:t>support assessment, a person re-joins the scheme and is made liable for payments.</w:t>
      </w:r>
    </w:p>
    <w:p w14:paraId="0D2CD6C6" w14:textId="77777777" w:rsidR="007376DC" w:rsidRPr="007376DC" w:rsidRDefault="007376DC" w:rsidP="007376DC">
      <w:r w:rsidRPr="007376DC">
        <w:br w:type="page"/>
      </w:r>
    </w:p>
    <w:p w14:paraId="6EE1FDAC" w14:textId="46004C7D" w:rsidR="007A1730" w:rsidRPr="007376DC" w:rsidRDefault="007A1730" w:rsidP="007376DC">
      <w:pPr>
        <w:pStyle w:val="Example-Heading1"/>
      </w:pPr>
      <w:r w:rsidRPr="007376DC">
        <w:t xml:space="preserve">Example </w:t>
      </w:r>
      <w:r w:rsidR="007376DC">
        <w:fldChar w:fldCharType="begin"/>
      </w:r>
      <w:r w:rsidR="007376DC">
        <w:instrText xml:space="preserve"> seq examples </w:instrText>
      </w:r>
      <w:r w:rsidR="007376DC">
        <w:fldChar w:fldCharType="separate"/>
      </w:r>
      <w:r w:rsidR="00577BFB">
        <w:rPr>
          <w:noProof/>
        </w:rPr>
        <w:t>3</w:t>
      </w:r>
      <w:r w:rsidR="007376DC">
        <w:fldChar w:fldCharType="end"/>
      </w:r>
      <w:r w:rsidR="007376DC">
        <w:t>: A</w:t>
      </w:r>
      <w:r w:rsidRPr="007376DC">
        <w:t>pplication of the grace period</w:t>
      </w:r>
    </w:p>
    <w:p w14:paraId="27DEB812" w14:textId="4DD0562F" w:rsidR="00C02043" w:rsidRPr="007376DC" w:rsidRDefault="00F76B9A" w:rsidP="007376DC">
      <w:pPr>
        <w:pStyle w:val="Example-Text"/>
      </w:pPr>
      <w:r w:rsidRPr="007376DC">
        <w:t>Brian and Anna separate in April. They have a daughter, Brianna, who lives with Anna. Anna applies for child support.</w:t>
      </w:r>
    </w:p>
    <w:p w14:paraId="6ECDA02D" w14:textId="79D96852" w:rsidR="007A1730" w:rsidRPr="007376DC" w:rsidRDefault="007A1730" w:rsidP="007376DC">
      <w:pPr>
        <w:pStyle w:val="Example-Text"/>
      </w:pPr>
      <w:r w:rsidRPr="007376DC">
        <w:t xml:space="preserve">Brian </w:t>
      </w:r>
      <w:r w:rsidR="00C02043" w:rsidRPr="007376DC">
        <w:t>receives his assessment and is required to</w:t>
      </w:r>
      <w:r w:rsidRPr="007376DC">
        <w:t xml:space="preserve"> pay $150 per month</w:t>
      </w:r>
      <w:r w:rsidR="00C903E3">
        <w:t>,</w:t>
      </w:r>
      <w:r w:rsidRPr="007376DC">
        <w:t xml:space="preserve"> with the first payment due </w:t>
      </w:r>
      <w:r w:rsidR="00553FFF">
        <w:t xml:space="preserve">on </w:t>
      </w:r>
      <w:r w:rsidRPr="007376DC">
        <w:t>20 June.</w:t>
      </w:r>
    </w:p>
    <w:p w14:paraId="4DE6AC63" w14:textId="774FDF60" w:rsidR="00125E86" w:rsidRPr="007376DC" w:rsidRDefault="00125E86" w:rsidP="007376DC">
      <w:pPr>
        <w:pStyle w:val="Example-Text"/>
      </w:pPr>
      <w:r w:rsidRPr="007376DC">
        <w:t xml:space="preserve">His penalty grace period is set at 20 June – 18 August (a </w:t>
      </w:r>
      <w:r w:rsidR="00007061" w:rsidRPr="007376DC">
        <w:t>60-day</w:t>
      </w:r>
      <w:r w:rsidRPr="007376DC">
        <w:t xml:space="preserve"> period from the first due date).</w:t>
      </w:r>
    </w:p>
    <w:p w14:paraId="6186BF61" w14:textId="0CBE4EE3" w:rsidR="007A1730" w:rsidRPr="007376DC" w:rsidRDefault="007A1730" w:rsidP="007376DC">
      <w:pPr>
        <w:pStyle w:val="Example-Text"/>
      </w:pPr>
      <w:r w:rsidRPr="007376DC">
        <w:t>Brian did not pay his monthly obligation</w:t>
      </w:r>
      <w:r w:rsidR="00F25C09" w:rsidRPr="007376DC">
        <w:t>s</w:t>
      </w:r>
      <w:r w:rsidRPr="007376DC">
        <w:t xml:space="preserve"> due on 20 June, 20 July or 20 August.</w:t>
      </w:r>
    </w:p>
    <w:p w14:paraId="0968CEC6" w14:textId="763AD70E" w:rsidR="007A1730" w:rsidRPr="007376DC" w:rsidRDefault="007A1730" w:rsidP="007376DC">
      <w:pPr>
        <w:pStyle w:val="Example-Text"/>
      </w:pPr>
      <w:r w:rsidRPr="007376DC">
        <w:t xml:space="preserve">The </w:t>
      </w:r>
      <w:r w:rsidR="000C4601">
        <w:t xml:space="preserve">proposed </w:t>
      </w:r>
      <w:r w:rsidRPr="007376DC">
        <w:t xml:space="preserve">grace period </w:t>
      </w:r>
      <w:r w:rsidR="000C4601" w:rsidRPr="007376DC">
        <w:t>w</w:t>
      </w:r>
      <w:r w:rsidR="000C4601">
        <w:t>ould</w:t>
      </w:r>
      <w:r w:rsidR="000C4601" w:rsidRPr="007376DC">
        <w:t xml:space="preserve"> </w:t>
      </w:r>
      <w:r w:rsidRPr="007376DC">
        <w:t>apply to the amount</w:t>
      </w:r>
      <w:r w:rsidR="00F25C09" w:rsidRPr="007376DC">
        <w:t>s</w:t>
      </w:r>
      <w:r w:rsidRPr="007376DC">
        <w:t xml:space="preserve"> due for June and July, and no penalties (neither initial </w:t>
      </w:r>
      <w:r w:rsidR="002D64F8" w:rsidRPr="007376DC">
        <w:t>n</w:t>
      </w:r>
      <w:r w:rsidRPr="007376DC">
        <w:t xml:space="preserve">or incremental) </w:t>
      </w:r>
      <w:r w:rsidR="000C4601" w:rsidRPr="007376DC">
        <w:t>w</w:t>
      </w:r>
      <w:r w:rsidR="000C4601">
        <w:t>ould</w:t>
      </w:r>
      <w:r w:rsidR="000C4601" w:rsidRPr="007376DC">
        <w:t xml:space="preserve"> </w:t>
      </w:r>
      <w:r w:rsidRPr="007376DC">
        <w:t>be charged on these amounts.</w:t>
      </w:r>
    </w:p>
    <w:p w14:paraId="09061BAF" w14:textId="589A0AD6" w:rsidR="00A76636" w:rsidRPr="007376DC" w:rsidRDefault="007A1730" w:rsidP="007376DC">
      <w:pPr>
        <w:pStyle w:val="Example-Text"/>
      </w:pPr>
      <w:r w:rsidRPr="007376DC">
        <w:t xml:space="preserve">The </w:t>
      </w:r>
      <w:r w:rsidR="000C4601">
        <w:t xml:space="preserve">proposed </w:t>
      </w:r>
      <w:r w:rsidRPr="007376DC">
        <w:t xml:space="preserve">grace period expires on 18 August. </w:t>
      </w:r>
      <w:r w:rsidR="00DF1003" w:rsidRPr="007376DC">
        <w:t>P</w:t>
      </w:r>
      <w:r w:rsidRPr="007376DC">
        <w:t xml:space="preserve">enalties </w:t>
      </w:r>
      <w:r w:rsidR="000C4601" w:rsidRPr="007376DC">
        <w:t>w</w:t>
      </w:r>
      <w:r w:rsidR="000C4601">
        <w:t>ould</w:t>
      </w:r>
      <w:r w:rsidR="000C4601" w:rsidRPr="007376DC">
        <w:t xml:space="preserve"> </w:t>
      </w:r>
      <w:r w:rsidRPr="007376DC">
        <w:t xml:space="preserve">be </w:t>
      </w:r>
      <w:r w:rsidR="002D64F8" w:rsidRPr="007376DC">
        <w:t>charged on</w:t>
      </w:r>
      <w:r w:rsidRPr="007376DC">
        <w:t xml:space="preserve"> the </w:t>
      </w:r>
      <w:r w:rsidR="00426261" w:rsidRPr="007376DC">
        <w:t xml:space="preserve">amount </w:t>
      </w:r>
      <w:r w:rsidRPr="007376DC">
        <w:t xml:space="preserve">due </w:t>
      </w:r>
      <w:r w:rsidR="00553FFF">
        <w:t xml:space="preserve">on </w:t>
      </w:r>
      <w:r w:rsidR="00C85C67" w:rsidRPr="007376DC">
        <w:t xml:space="preserve">20 </w:t>
      </w:r>
      <w:r w:rsidRPr="007376DC">
        <w:t>August, and on any amounts that become overdue after that.</w:t>
      </w:r>
    </w:p>
    <w:p w14:paraId="79F32939" w14:textId="580F03D9" w:rsidR="00A76636" w:rsidRPr="007376DC" w:rsidRDefault="007376DC" w:rsidP="007376DC">
      <w:pPr>
        <w:pStyle w:val="Example-Caption"/>
      </w:pPr>
      <w:r>
        <w:t>Figure 2</w:t>
      </w:r>
    </w:p>
    <w:p w14:paraId="14D12FF0" w14:textId="278393BB" w:rsidR="007A1730" w:rsidRPr="007376DC" w:rsidRDefault="00577BFB" w:rsidP="007376DC">
      <w:pPr>
        <w:pStyle w:val="Example-Figure"/>
      </w:pPr>
      <w:r>
        <w:object w:dxaOrig="11640" w:dyaOrig="4411" w14:anchorId="612E8B98">
          <v:shape id="_x0000_i1026" type="#_x0000_t75" alt="Figure2:  Application of the grace period" style="width:394.5pt;height:150pt;mso-position-horizontal:absolute" o:ole="">
            <v:imagedata r:id="rId17" o:title=""/>
          </v:shape>
          <o:OLEObject Type="Embed" ProgID="Visio.Drawing.15" ShapeID="_x0000_i1026" DrawAspect="Content" ObjectID="_1645449623" r:id="rId18"/>
        </w:object>
      </w:r>
    </w:p>
    <w:p w14:paraId="118F8F0C" w14:textId="53A6608A" w:rsidR="00971B7C" w:rsidRPr="00971B7C" w:rsidRDefault="00971B7C" w:rsidP="00971B7C">
      <w:r w:rsidRPr="00971B7C">
        <w:t xml:space="preserve">The </w:t>
      </w:r>
      <w:r w:rsidR="000C4601">
        <w:t xml:space="preserve">proposed </w:t>
      </w:r>
      <w:r w:rsidRPr="00971B7C">
        <w:t xml:space="preserve">grace period </w:t>
      </w:r>
      <w:r w:rsidR="00E62C1A">
        <w:t xml:space="preserve">would </w:t>
      </w:r>
      <w:r w:rsidR="00F34B84">
        <w:t>begin from</w:t>
      </w:r>
      <w:r w:rsidR="00E62C1A">
        <w:t xml:space="preserve"> the date of assessment </w:t>
      </w:r>
      <w:r w:rsidRPr="00971B7C">
        <w:t xml:space="preserve">if the person is assessed as the liable parent but has no child </w:t>
      </w:r>
      <w:r w:rsidR="0021457D" w:rsidRPr="00971B7C">
        <w:t>support</w:t>
      </w:r>
      <w:r w:rsidR="0021457D">
        <w:t xml:space="preserve"> payable.</w:t>
      </w:r>
      <w:r w:rsidRPr="00971B7C">
        <w:t xml:space="preserve"> </w:t>
      </w:r>
      <w:r w:rsidR="00BC6AAF">
        <w:t>A per</w:t>
      </w:r>
      <w:r w:rsidR="00017AD4">
        <w:t xml:space="preserve">son may be assessed as the liable </w:t>
      </w:r>
      <w:r w:rsidR="00A36DB8">
        <w:t>parent but</w:t>
      </w:r>
      <w:r w:rsidR="00F34B84">
        <w:t xml:space="preserve"> no child support payable if</w:t>
      </w:r>
      <w:r w:rsidR="00017AD4">
        <w:t xml:space="preserve"> </w:t>
      </w:r>
      <w:r w:rsidR="00EA7973">
        <w:t>they have shared care of their child and the formula determines neither parent needs to pay the other.</w:t>
      </w:r>
    </w:p>
    <w:p w14:paraId="3887CF2C" w14:textId="6429BDD4" w:rsidR="00786AEA" w:rsidRDefault="00971B7C" w:rsidP="00971B7C">
      <w:r w:rsidRPr="00971B7C">
        <w:t xml:space="preserve">The </w:t>
      </w:r>
      <w:r w:rsidR="000C4601">
        <w:t xml:space="preserve">proposed </w:t>
      </w:r>
      <w:r w:rsidRPr="00971B7C">
        <w:t xml:space="preserve">grace period </w:t>
      </w:r>
      <w:r w:rsidR="00B951DF">
        <w:t>w</w:t>
      </w:r>
      <w:r w:rsidR="0074059F">
        <w:t>ill</w:t>
      </w:r>
      <w:r w:rsidR="00B951DF" w:rsidRPr="00971B7C">
        <w:t xml:space="preserve"> </w:t>
      </w:r>
      <w:r w:rsidRPr="00971B7C">
        <w:t>not apply if</w:t>
      </w:r>
      <w:r w:rsidR="00786AEA">
        <w:t>:</w:t>
      </w:r>
    </w:p>
    <w:p w14:paraId="42A57AAA" w14:textId="552DD773" w:rsidR="00E978B3" w:rsidRPr="00770C74" w:rsidRDefault="00971B7C" w:rsidP="00770C74">
      <w:pPr>
        <w:pStyle w:val="ListBullet"/>
      </w:pPr>
      <w:r w:rsidRPr="00770C74">
        <w:t xml:space="preserve">a person is currently a receiving carer but is, </w:t>
      </w:r>
      <w:r w:rsidR="00862155" w:rsidRPr="00770C74">
        <w:t>for example</w:t>
      </w:r>
      <w:r w:rsidRPr="00770C74">
        <w:t>, reassessed to pay an increased amount for a past period when they were a liable parent</w:t>
      </w:r>
      <w:r w:rsidR="007309C3" w:rsidRPr="00770C74">
        <w:t>: or</w:t>
      </w:r>
    </w:p>
    <w:p w14:paraId="0D6A2F5B" w14:textId="64917D7C" w:rsidR="00971B7C" w:rsidRPr="00770C74" w:rsidRDefault="00971B7C" w:rsidP="00770C74">
      <w:pPr>
        <w:pStyle w:val="ListBullet"/>
      </w:pPr>
      <w:r w:rsidRPr="00770C74">
        <w:t>a parent is already liable to pay child support and is made liable to pay child support for another child, either within, or outside of, the existing assessment.</w:t>
      </w:r>
    </w:p>
    <w:p w14:paraId="5DFAF6BD" w14:textId="30D27F0D" w:rsidR="00971B7C" w:rsidRDefault="00971B7C" w:rsidP="00971B7C">
      <w:r w:rsidRPr="00971B7C">
        <w:t xml:space="preserve">Late payment penalties would start </w:t>
      </w:r>
      <w:r w:rsidR="0074059F">
        <w:t xml:space="preserve">being </w:t>
      </w:r>
      <w:r w:rsidRPr="00971B7C">
        <w:t>charg</w:t>
      </w:r>
      <w:r w:rsidR="0074059F">
        <w:t>ed</w:t>
      </w:r>
      <w:r w:rsidRPr="00971B7C">
        <w:t xml:space="preserve"> on a person’s </w:t>
      </w:r>
      <w:r w:rsidR="00553FFF">
        <w:t>child</w:t>
      </w:r>
      <w:r w:rsidR="00553FFF" w:rsidRPr="00971B7C">
        <w:t xml:space="preserve"> </w:t>
      </w:r>
      <w:r w:rsidRPr="00971B7C">
        <w:t xml:space="preserve">support obligations that become due after the expiry of the </w:t>
      </w:r>
      <w:r w:rsidR="0067022E">
        <w:t xml:space="preserve">proposed </w:t>
      </w:r>
      <w:r w:rsidRPr="00971B7C">
        <w:t xml:space="preserve">grace period. </w:t>
      </w:r>
      <w:r w:rsidR="00480291">
        <w:t>If</w:t>
      </w:r>
      <w:r w:rsidRPr="00971B7C">
        <w:t xml:space="preserve"> an amount is outstanding and was </w:t>
      </w:r>
      <w:r w:rsidR="003B173C">
        <w:t>due to be paid</w:t>
      </w:r>
      <w:r w:rsidR="003B173C" w:rsidRPr="00971B7C">
        <w:t xml:space="preserve"> </w:t>
      </w:r>
      <w:r w:rsidRPr="00971B7C">
        <w:t xml:space="preserve">during the </w:t>
      </w:r>
      <w:r w:rsidR="000C4601">
        <w:t xml:space="preserve">proposed </w:t>
      </w:r>
      <w:r w:rsidRPr="00971B7C">
        <w:t>grace period, penalties would not be charged on this amount.</w:t>
      </w:r>
    </w:p>
    <w:p w14:paraId="095817F0" w14:textId="1660E54D" w:rsidR="001B73BE" w:rsidRPr="00971B7C" w:rsidRDefault="00EF4D23" w:rsidP="001B73BE">
      <w:r>
        <w:t xml:space="preserve">The </w:t>
      </w:r>
      <w:r w:rsidR="000C4601">
        <w:t xml:space="preserve">proposed </w:t>
      </w:r>
      <w:r>
        <w:t xml:space="preserve">grace period </w:t>
      </w:r>
      <w:r w:rsidR="000C4601">
        <w:t xml:space="preserve">would </w:t>
      </w:r>
      <w:r>
        <w:t xml:space="preserve">provide </w:t>
      </w:r>
      <w:r w:rsidR="000C4601">
        <w:t xml:space="preserve">an </w:t>
      </w:r>
      <w:r>
        <w:t xml:space="preserve">opportunity to work with the customer to help get them on track with their </w:t>
      </w:r>
      <w:proofErr w:type="gramStart"/>
      <w:r>
        <w:t>payments</w:t>
      </w:r>
      <w:r w:rsidR="00167B1C">
        <w:t>,</w:t>
      </w:r>
      <w:r>
        <w:t xml:space="preserve"> but</w:t>
      </w:r>
      <w:proofErr w:type="gramEnd"/>
      <w:r>
        <w:t xml:space="preserve"> does not prevent I</w:t>
      </w:r>
      <w:r w:rsidR="003B173C">
        <w:t xml:space="preserve">nland </w:t>
      </w:r>
      <w:r>
        <w:t>R</w:t>
      </w:r>
      <w:r w:rsidR="003B173C">
        <w:t>evenue</w:t>
      </w:r>
      <w:r>
        <w:t xml:space="preserve"> from taking enforcement action (such as deductions from bank accounts)</w:t>
      </w:r>
      <w:r w:rsidR="002E23B2">
        <w:t xml:space="preserve"> if appropriate</w:t>
      </w:r>
      <w:r w:rsidR="001B73BE">
        <w:t>.</w:t>
      </w:r>
    </w:p>
    <w:p w14:paraId="7D5C3125" w14:textId="77777777" w:rsidR="0012384D" w:rsidRPr="00473ED6" w:rsidRDefault="0012384D" w:rsidP="00971B7C">
      <w:pPr>
        <w:pStyle w:val="Heading3"/>
      </w:pPr>
      <w:r w:rsidRPr="00473ED6">
        <w:t>Background</w:t>
      </w:r>
    </w:p>
    <w:p w14:paraId="48D8D088" w14:textId="1E496AB4" w:rsidR="009B7D9C" w:rsidRDefault="001C22A9" w:rsidP="002A233D">
      <w:r>
        <w:t xml:space="preserve">Compliance </w:t>
      </w:r>
      <w:r w:rsidR="00B951DF">
        <w:t xml:space="preserve">with payment obligations </w:t>
      </w:r>
      <w:r>
        <w:t xml:space="preserve">in the first few months when a person enters the </w:t>
      </w:r>
      <w:r w:rsidR="00340F4A">
        <w:t xml:space="preserve">child support </w:t>
      </w:r>
      <w:r>
        <w:t>scheme is generally low</w:t>
      </w:r>
      <w:r w:rsidR="000F2A9E">
        <w:t xml:space="preserve">. </w:t>
      </w:r>
      <w:r w:rsidR="00B26FB0">
        <w:t>Currently,</w:t>
      </w:r>
      <w:r w:rsidR="000F2A9E">
        <w:t xml:space="preserve"> </w:t>
      </w:r>
      <w:r w:rsidR="003C3D29">
        <w:t xml:space="preserve">twenty six </w:t>
      </w:r>
      <w:r>
        <w:t>percent of payments in the first three months are paid on time.</w:t>
      </w:r>
    </w:p>
    <w:p w14:paraId="323748E3" w14:textId="71137DA2" w:rsidR="00D9547E" w:rsidRDefault="00940734" w:rsidP="002A233D">
      <w:r>
        <w:t>Research conducted</w:t>
      </w:r>
      <w:r w:rsidR="001D60B0">
        <w:t xml:space="preserve"> by </w:t>
      </w:r>
      <w:r>
        <w:t>Inland Revenue</w:t>
      </w:r>
      <w:r w:rsidR="001D60B0">
        <w:t xml:space="preserve"> highlighted that</w:t>
      </w:r>
      <w:r w:rsidR="001C22A9">
        <w:t xml:space="preserve"> when </w:t>
      </w:r>
      <w:r w:rsidR="00C8776F">
        <w:t xml:space="preserve">parents </w:t>
      </w:r>
      <w:r w:rsidR="001C22A9">
        <w:t>separate and the child support process is started, customers’ situations are</w:t>
      </w:r>
      <w:r w:rsidR="00F274BA">
        <w:t xml:space="preserve"> often </w:t>
      </w:r>
      <w:r w:rsidR="001C22A9">
        <w:t xml:space="preserve">in flux and many felt unprepared to make payments immediately. Introducing a grace period </w:t>
      </w:r>
      <w:r w:rsidR="002D6881">
        <w:t xml:space="preserve">would </w:t>
      </w:r>
      <w:r w:rsidR="001C22A9">
        <w:t>allow Inland Revenue to work with customers to help them get things right from the start and</w:t>
      </w:r>
      <w:r w:rsidR="00174D0B">
        <w:t xml:space="preserve"> should</w:t>
      </w:r>
      <w:r w:rsidR="001C22A9">
        <w:t xml:space="preserve"> result in better ongoing compliance</w:t>
      </w:r>
      <w:r w:rsidR="00D9547E">
        <w:t>.</w:t>
      </w:r>
    </w:p>
    <w:p w14:paraId="2D37A4EA" w14:textId="594E9550" w:rsidR="00E22D08" w:rsidRPr="00D9547E" w:rsidRDefault="00EA5A46" w:rsidP="00D9547E">
      <w:pPr>
        <w:pStyle w:val="Heading2"/>
      </w:pPr>
      <w:bookmarkStart w:id="17" w:name="_Toc34836408"/>
      <w:r w:rsidRPr="00D9547E">
        <w:t>Compulsory deductions for newly liable parents</w:t>
      </w:r>
      <w:bookmarkEnd w:id="17"/>
    </w:p>
    <w:p w14:paraId="60109EEB" w14:textId="753CE51F" w:rsidR="000F2A9E" w:rsidRPr="00473ED6" w:rsidRDefault="000F2A9E" w:rsidP="000F2A9E">
      <w:pPr>
        <w:pStyle w:val="Clause"/>
      </w:pPr>
      <w:r w:rsidRPr="00473ED6">
        <w:t>(Clause</w:t>
      </w:r>
      <w:r w:rsidR="00480584">
        <w:t>s</w:t>
      </w:r>
      <w:r w:rsidRPr="00473ED6">
        <w:t xml:space="preserve"> </w:t>
      </w:r>
      <w:r w:rsidR="00480584">
        <w:t>40 and 41</w:t>
      </w:r>
      <w:r w:rsidRPr="00473ED6">
        <w:t>)</w:t>
      </w:r>
    </w:p>
    <w:p w14:paraId="4ABE7076" w14:textId="77777777" w:rsidR="0026287E" w:rsidRDefault="0026287E" w:rsidP="0026287E">
      <w:pPr>
        <w:pStyle w:val="Heading3"/>
      </w:pPr>
      <w:r w:rsidRPr="00473ED6">
        <w:t>Summary of proposed amendment</w:t>
      </w:r>
    </w:p>
    <w:p w14:paraId="705C7975" w14:textId="7D04CF8D" w:rsidR="00DA507E" w:rsidRDefault="00E11571" w:rsidP="00094985">
      <w:r>
        <w:t xml:space="preserve">A newly liable person </w:t>
      </w:r>
      <w:r w:rsidR="00062A8D">
        <w:t xml:space="preserve">would </w:t>
      </w:r>
      <w:r>
        <w:t>pay their child support by automatic deduction from source deduction payments made by their employer</w:t>
      </w:r>
      <w:r w:rsidR="00145961">
        <w:t xml:space="preserve">. </w:t>
      </w:r>
      <w:r w:rsidR="006734BC">
        <w:t>T</w:t>
      </w:r>
      <w:r w:rsidR="0045228B">
        <w:t xml:space="preserve">here </w:t>
      </w:r>
      <w:r w:rsidR="00E55412">
        <w:t xml:space="preserve">would </w:t>
      </w:r>
      <w:r w:rsidR="00094985">
        <w:t>be discretion to allow pay</w:t>
      </w:r>
      <w:r w:rsidR="004E4F2F">
        <w:t>ments</w:t>
      </w:r>
      <w:r w:rsidR="00094985">
        <w:t xml:space="preserve"> by another method, </w:t>
      </w:r>
      <w:r w:rsidR="00DA507E">
        <w:t>if</w:t>
      </w:r>
      <w:r w:rsidR="00094985">
        <w:t xml:space="preserve"> source deduction is not appropriate for a person</w:t>
      </w:r>
      <w:r w:rsidR="00DA507E">
        <w:t>.</w:t>
      </w:r>
    </w:p>
    <w:p w14:paraId="5523EF3F" w14:textId="7F1554A0" w:rsidR="0026287E" w:rsidRDefault="0026287E" w:rsidP="008C0D91">
      <w:pPr>
        <w:pStyle w:val="Heading3"/>
      </w:pPr>
      <w:r w:rsidRPr="00473ED6">
        <w:t>Application date</w:t>
      </w:r>
    </w:p>
    <w:p w14:paraId="5E9E16E8" w14:textId="0F3FE6A9" w:rsidR="0026287E" w:rsidRPr="0026287E" w:rsidRDefault="00E64288" w:rsidP="0026287E">
      <w:r>
        <w:t xml:space="preserve">The </w:t>
      </w:r>
      <w:r w:rsidR="002A2C08" w:rsidRPr="002A2C08">
        <w:t xml:space="preserve">proposed </w:t>
      </w:r>
      <w:r>
        <w:t xml:space="preserve">amendment </w:t>
      </w:r>
      <w:r w:rsidR="00525477">
        <w:t xml:space="preserve">would </w:t>
      </w:r>
      <w:r>
        <w:t>apply from 1 April 2021</w:t>
      </w:r>
      <w:r w:rsidR="001B1365">
        <w:t>.</w:t>
      </w:r>
    </w:p>
    <w:p w14:paraId="71E1A602" w14:textId="77777777" w:rsidR="0026287E" w:rsidRDefault="0026287E" w:rsidP="0026287E">
      <w:pPr>
        <w:pStyle w:val="Heading3"/>
      </w:pPr>
      <w:r w:rsidRPr="00473ED6">
        <w:t>Key features</w:t>
      </w:r>
    </w:p>
    <w:p w14:paraId="15BF333A" w14:textId="24F86DEA" w:rsidR="00077F9E" w:rsidRDefault="003A4130" w:rsidP="00077F9E">
      <w:r>
        <w:t xml:space="preserve">It is proposed </w:t>
      </w:r>
      <w:r w:rsidR="001F3E7E">
        <w:t xml:space="preserve">that employers would make </w:t>
      </w:r>
      <w:r w:rsidR="00E07400">
        <w:t>child support</w:t>
      </w:r>
      <w:r>
        <w:t xml:space="preserve"> deductions from the pay of a liable person.</w:t>
      </w:r>
    </w:p>
    <w:p w14:paraId="6ABE266A" w14:textId="2BA146C3" w:rsidR="00077F9E" w:rsidRDefault="00077F9E" w:rsidP="00077F9E">
      <w:r>
        <w:t xml:space="preserve">A person </w:t>
      </w:r>
      <w:r w:rsidR="000C4601">
        <w:t xml:space="preserve">would </w:t>
      </w:r>
      <w:r>
        <w:t xml:space="preserve">be </w:t>
      </w:r>
      <w:r w:rsidR="00F41A4A">
        <w:t>required to pay their child support by source deductions if</w:t>
      </w:r>
      <w:r>
        <w:t>:</w:t>
      </w:r>
    </w:p>
    <w:p w14:paraId="44B51F87" w14:textId="65247E81" w:rsidR="00077F9E" w:rsidRPr="00770C74" w:rsidRDefault="00077F9E" w:rsidP="00770C74">
      <w:pPr>
        <w:pStyle w:val="ListBullet"/>
      </w:pPr>
      <w:r w:rsidRPr="00770C74">
        <w:t xml:space="preserve">they are first made liable for </w:t>
      </w:r>
      <w:r w:rsidR="00062A8D">
        <w:t>child</w:t>
      </w:r>
      <w:r w:rsidR="00062A8D" w:rsidRPr="00770C74">
        <w:t xml:space="preserve"> </w:t>
      </w:r>
      <w:r w:rsidRPr="00770C74">
        <w:t xml:space="preserve">support under the child support scheme </w:t>
      </w:r>
      <w:r w:rsidR="00593198" w:rsidRPr="00770C74">
        <w:t xml:space="preserve">on or </w:t>
      </w:r>
      <w:r w:rsidRPr="00770C74">
        <w:t>after 1</w:t>
      </w:r>
      <w:r w:rsidR="000F2A9E" w:rsidRPr="00770C74">
        <w:t> </w:t>
      </w:r>
      <w:r w:rsidRPr="00770C74">
        <w:t xml:space="preserve">April </w:t>
      </w:r>
      <w:proofErr w:type="gramStart"/>
      <w:r w:rsidRPr="00770C74">
        <w:t>2021;</w:t>
      </w:r>
      <w:proofErr w:type="gramEnd"/>
    </w:p>
    <w:p w14:paraId="738762E5" w14:textId="17E70C9A" w:rsidR="00077F9E" w:rsidRPr="00770C74" w:rsidRDefault="00077F9E" w:rsidP="00770C74">
      <w:pPr>
        <w:pStyle w:val="ListBullet"/>
      </w:pPr>
      <w:r w:rsidRPr="00770C74">
        <w:t xml:space="preserve">at any time during the course of a child support assessment </w:t>
      </w:r>
      <w:r w:rsidR="00F41A4A" w:rsidRPr="00770C74">
        <w:t>they</w:t>
      </w:r>
      <w:r w:rsidRPr="00770C74">
        <w:t xml:space="preserve"> become a liable parent after a period of being a receiving carer (as long as this is </w:t>
      </w:r>
      <w:r w:rsidR="00593198" w:rsidRPr="00770C74">
        <w:t xml:space="preserve">on or </w:t>
      </w:r>
      <w:r w:rsidRPr="00770C74">
        <w:t xml:space="preserve">after 1 April 2021); </w:t>
      </w:r>
      <w:r w:rsidR="00453672" w:rsidRPr="00770C74">
        <w:t>or</w:t>
      </w:r>
    </w:p>
    <w:p w14:paraId="78AA91DC" w14:textId="441608A2" w:rsidR="0026287E" w:rsidRPr="00770C74" w:rsidRDefault="00077F9E" w:rsidP="00770C74">
      <w:pPr>
        <w:pStyle w:val="ListBullet"/>
      </w:pPr>
      <w:r w:rsidRPr="00770C74">
        <w:t xml:space="preserve">if after a period of not having an ongoing </w:t>
      </w:r>
      <w:r w:rsidR="00062A8D">
        <w:t>child</w:t>
      </w:r>
      <w:r w:rsidR="00062A8D" w:rsidRPr="00770C74">
        <w:t xml:space="preserve"> </w:t>
      </w:r>
      <w:r w:rsidRPr="00770C74">
        <w:t xml:space="preserve">support assessment </w:t>
      </w:r>
      <w:r w:rsidR="00F41A4A" w:rsidRPr="00770C74">
        <w:t>they</w:t>
      </w:r>
      <w:r w:rsidRPr="00770C74">
        <w:t xml:space="preserve"> re-join the scheme (after 1 April 2021) and </w:t>
      </w:r>
      <w:r w:rsidR="002C6CA0" w:rsidRPr="00770C74">
        <w:t>are made</w:t>
      </w:r>
      <w:r w:rsidRPr="00770C74">
        <w:t xml:space="preserve"> liable for payments</w:t>
      </w:r>
      <w:r w:rsidR="008B2029" w:rsidRPr="00770C74">
        <w:t>.</w:t>
      </w:r>
    </w:p>
    <w:p w14:paraId="377BAFA5" w14:textId="70BA8216" w:rsidR="003A36A4" w:rsidRPr="005122EC" w:rsidRDefault="00160333" w:rsidP="00552C30">
      <w:r w:rsidRPr="005122EC">
        <w:t>People</w:t>
      </w:r>
      <w:r w:rsidR="003A36A4" w:rsidRPr="005122EC">
        <w:t xml:space="preserve"> who were liable to pay </w:t>
      </w:r>
      <w:r w:rsidRPr="005122EC">
        <w:t>child</w:t>
      </w:r>
      <w:r w:rsidR="003A36A4" w:rsidRPr="005122EC">
        <w:t xml:space="preserve"> support </w:t>
      </w:r>
      <w:r w:rsidR="000B4790" w:rsidRPr="005122EC">
        <w:t>before</w:t>
      </w:r>
      <w:r w:rsidR="003A36A4" w:rsidRPr="005122EC">
        <w:t xml:space="preserve"> 1 April 2021 and who </w:t>
      </w:r>
      <w:r w:rsidR="000B4790" w:rsidRPr="005122EC">
        <w:t>are</w:t>
      </w:r>
      <w:r w:rsidR="003A36A4" w:rsidRPr="005122EC">
        <w:t xml:space="preserve"> compliant with their obligations may continue to</w:t>
      </w:r>
      <w:r w:rsidR="000B4790" w:rsidRPr="005122EC">
        <w:t xml:space="preserve"> </w:t>
      </w:r>
      <w:r w:rsidR="003A36A4" w:rsidRPr="005122EC">
        <w:t>choose to pay by another method.</w:t>
      </w:r>
    </w:p>
    <w:p w14:paraId="5A45AF14" w14:textId="15A2F213" w:rsidR="00122FEF" w:rsidRPr="005122EC" w:rsidRDefault="0077768E" w:rsidP="00552C30">
      <w:r w:rsidRPr="005122EC">
        <w:t>I</w:t>
      </w:r>
      <w:r w:rsidR="00122FEF" w:rsidRPr="005122EC">
        <w:t xml:space="preserve">n some </w:t>
      </w:r>
      <w:proofErr w:type="gramStart"/>
      <w:r w:rsidR="00122FEF" w:rsidRPr="005122EC">
        <w:t>cases</w:t>
      </w:r>
      <w:proofErr w:type="gramEnd"/>
      <w:r w:rsidR="00122FEF" w:rsidRPr="005122EC">
        <w:t xml:space="preserve"> it may not be appropriate for the deduction to be made – for example, if the person has multiple employers or for privacy reasons. Therefore, Inland Revenue </w:t>
      </w:r>
      <w:r w:rsidR="001D30DC" w:rsidRPr="005122EC">
        <w:t xml:space="preserve">would </w:t>
      </w:r>
      <w:r w:rsidR="00122FEF" w:rsidRPr="005122EC">
        <w:t xml:space="preserve">have the discretion to determine </w:t>
      </w:r>
      <w:r w:rsidR="00010972" w:rsidRPr="005122EC">
        <w:t xml:space="preserve">that </w:t>
      </w:r>
      <w:r w:rsidR="00122FEF" w:rsidRPr="005122EC">
        <w:t>the compulsory deduction rules do not apply (and alternative arrangements would</w:t>
      </w:r>
      <w:r w:rsidR="001C4857" w:rsidRPr="005122EC">
        <w:t xml:space="preserve"> be</w:t>
      </w:r>
      <w:r w:rsidR="00122FEF" w:rsidRPr="005122EC">
        <w:t xml:space="preserve"> made to collect child support). If the person subsequently defaults, compulsory deductions </w:t>
      </w:r>
      <w:r w:rsidR="00CF75D4" w:rsidRPr="005122EC">
        <w:t xml:space="preserve">would </w:t>
      </w:r>
      <w:r w:rsidR="00122FEF" w:rsidRPr="005122EC">
        <w:t>then be applied.</w:t>
      </w:r>
    </w:p>
    <w:p w14:paraId="42AA9DEE" w14:textId="77777777" w:rsidR="0026287E" w:rsidRDefault="0026287E" w:rsidP="0026287E">
      <w:pPr>
        <w:pStyle w:val="Heading3"/>
      </w:pPr>
      <w:r w:rsidRPr="00473ED6">
        <w:t>Background</w:t>
      </w:r>
    </w:p>
    <w:p w14:paraId="1CCC97F7" w14:textId="34B7DCF8" w:rsidR="00435A4B" w:rsidRDefault="00435A4B" w:rsidP="0026287E">
      <w:r>
        <w:t xml:space="preserve">Currently, employers must make deductions </w:t>
      </w:r>
      <w:r w:rsidR="00326D2E">
        <w:t xml:space="preserve">of child support from salary or wages </w:t>
      </w:r>
      <w:r>
        <w:t xml:space="preserve">when a liable </w:t>
      </w:r>
      <w:r w:rsidR="00326D2E">
        <w:t>person</w:t>
      </w:r>
      <w:r>
        <w:t xml:space="preserve"> is in debt or </w:t>
      </w:r>
      <w:r w:rsidR="000F2A9E">
        <w:t xml:space="preserve">a customer </w:t>
      </w:r>
      <w:r>
        <w:t xml:space="preserve">chooses this payment option. Deductions are also compulsory for liable parents </w:t>
      </w:r>
      <w:r w:rsidR="00EB7CD6">
        <w:t>on</w:t>
      </w:r>
      <w:r>
        <w:t xml:space="preserve"> a benefit</w:t>
      </w:r>
      <w:r w:rsidR="00E7540F">
        <w:t>.</w:t>
      </w:r>
      <w:r w:rsidR="00D61E59">
        <w:rPr>
          <w:rStyle w:val="FootnoteReference"/>
        </w:rPr>
        <w:footnoteReference w:id="3"/>
      </w:r>
    </w:p>
    <w:p w14:paraId="30EFAFF5" w14:textId="1A6E8A91" w:rsidR="00435A4B" w:rsidRDefault="00435A4B" w:rsidP="0026287E">
      <w:r>
        <w:t xml:space="preserve">Compulsory employer deductions of </w:t>
      </w:r>
      <w:r w:rsidR="00C866CC">
        <w:t xml:space="preserve">child </w:t>
      </w:r>
      <w:r w:rsidR="00122FEF">
        <w:t>support from</w:t>
      </w:r>
      <w:r>
        <w:t xml:space="preserve"> source deduction payments (salary, wages and schedular payments) were proposed and then </w:t>
      </w:r>
      <w:r w:rsidR="00780034">
        <w:t xml:space="preserve">removed </w:t>
      </w:r>
      <w:r>
        <w:t xml:space="preserve">from the 2013 child support reforms </w:t>
      </w:r>
      <w:r w:rsidR="000C4601">
        <w:t xml:space="preserve">– </w:t>
      </w:r>
      <w:r>
        <w:t xml:space="preserve">largely because </w:t>
      </w:r>
      <w:r w:rsidR="00326D2E">
        <w:t xml:space="preserve">at that time </w:t>
      </w:r>
      <w:r>
        <w:t>the monthly PAYE system meant they could not be effectively administered.</w:t>
      </w:r>
    </w:p>
    <w:p w14:paraId="26799ACA" w14:textId="588F10CC" w:rsidR="0026287E" w:rsidRDefault="00B57673" w:rsidP="0026287E">
      <w:r>
        <w:t>However</w:t>
      </w:r>
      <w:r w:rsidR="00F23667">
        <w:t>,</w:t>
      </w:r>
      <w:r>
        <w:t xml:space="preserve"> the recen</w:t>
      </w:r>
      <w:r w:rsidR="00EC4E00">
        <w:t>tly implemented pay day reporting</w:t>
      </w:r>
      <w:r w:rsidR="00435A4B">
        <w:t xml:space="preserve"> </w:t>
      </w:r>
      <w:r w:rsidR="008A3839">
        <w:t xml:space="preserve">would allow </w:t>
      </w:r>
      <w:r w:rsidR="00435A4B">
        <w:t>compulsory deductions for</w:t>
      </w:r>
      <w:r w:rsidR="00F23667">
        <w:t xml:space="preserve"> a person</w:t>
      </w:r>
      <w:r w:rsidR="00435A4B">
        <w:t xml:space="preserve"> newly liable</w:t>
      </w:r>
      <w:r w:rsidR="00173EAD">
        <w:t xml:space="preserve"> for </w:t>
      </w:r>
      <w:r w:rsidR="00C866CC">
        <w:t>child</w:t>
      </w:r>
      <w:r w:rsidR="00173EAD">
        <w:t xml:space="preserve"> support</w:t>
      </w:r>
      <w:r w:rsidR="00F116D1">
        <w:t xml:space="preserve"> to be </w:t>
      </w:r>
      <w:r w:rsidR="003979C1">
        <w:t>administered effectively</w:t>
      </w:r>
      <w:r w:rsidR="00F23667">
        <w:t>.</w:t>
      </w:r>
    </w:p>
    <w:p w14:paraId="1E3899A1" w14:textId="7C6A6FA1" w:rsidR="007743B8" w:rsidRDefault="007743B8" w:rsidP="0026287E">
      <w:r>
        <w:t>Compulsory deductions would assist liable parents first entering the scheme by helping them get their payments right from the start and avoid them going into debt. Currently, compliance for new liable parents in the first few months is very low – less than a third pay on time.</w:t>
      </w:r>
    </w:p>
    <w:p w14:paraId="45939836" w14:textId="5F6EF90D" w:rsidR="00122FEF" w:rsidRPr="0073003C" w:rsidRDefault="00122FEF" w:rsidP="00122FEF">
      <w:r>
        <w:t>The discretion to allow pay</w:t>
      </w:r>
      <w:r w:rsidR="00173EAD">
        <w:t>ment</w:t>
      </w:r>
      <w:r>
        <w:t xml:space="preserve"> by another method </w:t>
      </w:r>
      <w:r w:rsidR="000C4601">
        <w:t xml:space="preserve">would </w:t>
      </w:r>
      <w:r>
        <w:t>provide flexibility to consider other options for payment, whe</w:t>
      </w:r>
      <w:r w:rsidR="00E85659">
        <w:t>n</w:t>
      </w:r>
      <w:r>
        <w:t xml:space="preserve"> source deduction is not appropriate for a person.</w:t>
      </w:r>
    </w:p>
    <w:p w14:paraId="04B2B360" w14:textId="305ACFD7" w:rsidR="002868D4" w:rsidRPr="00D9547E" w:rsidRDefault="00D9547E" w:rsidP="00D9547E">
      <w:pPr>
        <w:pStyle w:val="Heading2"/>
      </w:pPr>
      <w:bookmarkStart w:id="18" w:name="_Toc34836409"/>
      <w:r w:rsidRPr="00D9547E">
        <w:t>Time bar</w:t>
      </w:r>
      <w:r w:rsidR="00B07D03" w:rsidRPr="00D9547E">
        <w:t xml:space="preserve"> for </w:t>
      </w:r>
      <w:r w:rsidR="004B7E2C" w:rsidRPr="00D9547E">
        <w:t>reassess</w:t>
      </w:r>
      <w:r w:rsidR="0097199B" w:rsidRPr="00D9547E">
        <w:t>ing</w:t>
      </w:r>
      <w:r w:rsidR="00B07D03" w:rsidRPr="00D9547E">
        <w:t xml:space="preserve"> </w:t>
      </w:r>
      <w:r w:rsidR="004B7E2C" w:rsidRPr="00D9547E">
        <w:t>ch</w:t>
      </w:r>
      <w:r w:rsidR="00B07D03" w:rsidRPr="00D9547E">
        <w:t>ild</w:t>
      </w:r>
      <w:r w:rsidR="004B7E2C" w:rsidRPr="00D9547E">
        <w:t xml:space="preserve"> sup</w:t>
      </w:r>
      <w:r w:rsidR="00B07D03" w:rsidRPr="00D9547E">
        <w:t>port</w:t>
      </w:r>
      <w:bookmarkEnd w:id="18"/>
    </w:p>
    <w:p w14:paraId="28C3A1ED" w14:textId="773775FD" w:rsidR="00326D2E" w:rsidRPr="00473ED6" w:rsidRDefault="00326D2E" w:rsidP="00326D2E">
      <w:pPr>
        <w:pStyle w:val="Clause"/>
      </w:pPr>
      <w:r w:rsidRPr="00473ED6">
        <w:t>(Clause</w:t>
      </w:r>
      <w:r w:rsidR="00480584">
        <w:t>s</w:t>
      </w:r>
      <w:r w:rsidRPr="00473ED6">
        <w:t xml:space="preserve"> </w:t>
      </w:r>
      <w:r w:rsidR="005D3B7A">
        <w:t>19,</w:t>
      </w:r>
      <w:r w:rsidR="00F76B9A">
        <w:t xml:space="preserve"> </w:t>
      </w:r>
      <w:r w:rsidR="00480584">
        <w:t>20 and 34</w:t>
      </w:r>
      <w:r w:rsidRPr="00473ED6">
        <w:t>)</w:t>
      </w:r>
    </w:p>
    <w:p w14:paraId="56982A16" w14:textId="77777777" w:rsidR="002868D4" w:rsidRDefault="002868D4" w:rsidP="002868D4">
      <w:pPr>
        <w:pStyle w:val="Heading3"/>
      </w:pPr>
      <w:r w:rsidRPr="00473ED6">
        <w:t>Summary of proposed amendment</w:t>
      </w:r>
    </w:p>
    <w:p w14:paraId="26938162" w14:textId="33E2FCC2" w:rsidR="002868D4" w:rsidRPr="0026287E" w:rsidRDefault="00F76B9A" w:rsidP="002868D4">
      <w:r w:rsidRPr="00F76B9A">
        <w:t>It is proposed that reassessments of a child support year by Inland Revenue be restricted to four years from the end of a relevant child support year.</w:t>
      </w:r>
      <w:r>
        <w:t xml:space="preserve"> </w:t>
      </w:r>
      <w:r w:rsidR="00460620">
        <w:t>This would be subject to legislative exceptions.</w:t>
      </w:r>
    </w:p>
    <w:p w14:paraId="03D75BF4" w14:textId="77777777" w:rsidR="002868D4" w:rsidRDefault="002868D4" w:rsidP="002868D4">
      <w:pPr>
        <w:pStyle w:val="Heading3"/>
      </w:pPr>
      <w:r w:rsidRPr="00473ED6">
        <w:t>Application date</w:t>
      </w:r>
    </w:p>
    <w:p w14:paraId="26778C73" w14:textId="0F215EFA" w:rsidR="004636EE" w:rsidRPr="0026287E" w:rsidRDefault="004636EE" w:rsidP="004636EE">
      <w:r>
        <w:t xml:space="preserve">The </w:t>
      </w:r>
      <w:r w:rsidR="002A2C08" w:rsidRPr="002A2C08">
        <w:t xml:space="preserve">proposed </w:t>
      </w:r>
      <w:r>
        <w:t xml:space="preserve">amendment </w:t>
      </w:r>
      <w:r w:rsidR="00525477">
        <w:t xml:space="preserve">would </w:t>
      </w:r>
      <w:r>
        <w:t>apply from 1 April 2021.</w:t>
      </w:r>
    </w:p>
    <w:p w14:paraId="35627FE8" w14:textId="77777777" w:rsidR="002868D4" w:rsidRDefault="002868D4" w:rsidP="002868D4">
      <w:pPr>
        <w:pStyle w:val="Heading3"/>
      </w:pPr>
      <w:r w:rsidRPr="00473ED6">
        <w:t>Key features</w:t>
      </w:r>
    </w:p>
    <w:p w14:paraId="0FE6457B" w14:textId="57402706" w:rsidR="009B4ACD" w:rsidRDefault="00FA441C" w:rsidP="009B4ACD">
      <w:r w:rsidRPr="0039417D">
        <w:t>Reassessments of child support</w:t>
      </w:r>
      <w:r w:rsidR="00AE1781">
        <w:t xml:space="preserve"> </w:t>
      </w:r>
      <w:r w:rsidR="000C4601">
        <w:t xml:space="preserve">would </w:t>
      </w:r>
      <w:r w:rsidR="00AE1781">
        <w:t>be</w:t>
      </w:r>
      <w:r w:rsidR="00EE3EA7">
        <w:t xml:space="preserve"> restricted</w:t>
      </w:r>
      <w:r w:rsidR="00AE1781">
        <w:t xml:space="preserve"> to a</w:t>
      </w:r>
      <w:r w:rsidR="00EE3EA7">
        <w:t xml:space="preserve"> </w:t>
      </w:r>
      <w:r w:rsidR="002207BF">
        <w:t>four-year</w:t>
      </w:r>
      <w:r w:rsidR="00AE1781">
        <w:t xml:space="preserve"> period</w:t>
      </w:r>
      <w:r w:rsidR="000539EA">
        <w:t>.</w:t>
      </w:r>
      <w:r w:rsidR="00EE3EA7">
        <w:t xml:space="preserve"> </w:t>
      </w:r>
      <w:r w:rsidR="000539EA">
        <w:t xml:space="preserve">The </w:t>
      </w:r>
      <w:r w:rsidR="002207BF">
        <w:t>four-year</w:t>
      </w:r>
      <w:r w:rsidR="000539EA">
        <w:t xml:space="preserve"> </w:t>
      </w:r>
      <w:r w:rsidR="00EE3EA7">
        <w:t xml:space="preserve">period </w:t>
      </w:r>
      <w:r w:rsidR="000C4601">
        <w:t xml:space="preserve">would </w:t>
      </w:r>
      <w:r w:rsidR="000F2A9E">
        <w:t xml:space="preserve">start </w:t>
      </w:r>
      <w:r w:rsidR="001360B0">
        <w:t>from the end of the relevant child support year.</w:t>
      </w:r>
      <w:r w:rsidR="0098485D">
        <w:t xml:space="preserve"> </w:t>
      </w:r>
      <w:r w:rsidR="00D804B3">
        <w:t>Beyond</w:t>
      </w:r>
      <w:r w:rsidR="00D804B3" w:rsidRPr="002327A3">
        <w:t xml:space="preserve"> </w:t>
      </w:r>
      <w:r w:rsidR="002327A3" w:rsidRPr="002327A3">
        <w:t xml:space="preserve">the four-year period, reassessments </w:t>
      </w:r>
      <w:r w:rsidR="000C4601" w:rsidRPr="002327A3">
        <w:t>w</w:t>
      </w:r>
      <w:r w:rsidR="000C4601">
        <w:t>ould</w:t>
      </w:r>
      <w:r w:rsidR="000C4601" w:rsidRPr="002327A3">
        <w:t xml:space="preserve"> </w:t>
      </w:r>
      <w:r w:rsidR="002327A3" w:rsidRPr="002327A3">
        <w:t>not occur</w:t>
      </w:r>
      <w:r w:rsidR="00326D2E">
        <w:t xml:space="preserve"> </w:t>
      </w:r>
      <w:r w:rsidR="00F76B9A">
        <w:t>–</w:t>
      </w:r>
      <w:r w:rsidR="002327A3" w:rsidRPr="002327A3">
        <w:t xml:space="preserve"> that</w:t>
      </w:r>
      <w:r w:rsidR="00F76B9A">
        <w:t xml:space="preserve"> </w:t>
      </w:r>
      <w:r w:rsidR="002327A3" w:rsidRPr="002327A3">
        <w:t>is</w:t>
      </w:r>
      <w:r w:rsidR="00326D2E">
        <w:t>,</w:t>
      </w:r>
      <w:r w:rsidR="002327A3" w:rsidRPr="002327A3">
        <w:t xml:space="preserve"> the year would be time</w:t>
      </w:r>
      <w:r w:rsidR="00C903E3">
        <w:t xml:space="preserve"> </w:t>
      </w:r>
      <w:r w:rsidR="002327A3" w:rsidRPr="002327A3">
        <w:t>barred, subject to specified exceptions.</w:t>
      </w:r>
      <w:r w:rsidR="009B4ACD">
        <w:t xml:space="preserve"> A time bar for reassess</w:t>
      </w:r>
      <w:r w:rsidR="00E76DBF">
        <w:t>ing</w:t>
      </w:r>
      <w:r w:rsidR="009B4ACD">
        <w:t xml:space="preserve"> child support would provide more certainty for parents</w:t>
      </w:r>
      <w:r w:rsidR="006601DB">
        <w:t xml:space="preserve"> and</w:t>
      </w:r>
      <w:r w:rsidR="009B4ACD">
        <w:t xml:space="preserve"> reduce administration costs, while </w:t>
      </w:r>
      <w:r w:rsidR="009B4ACD" w:rsidRPr="00953078">
        <w:t>balancing equity concerns through specified exceptions.</w:t>
      </w:r>
    </w:p>
    <w:p w14:paraId="26D638B7" w14:textId="5326004C" w:rsidR="00326D2E" w:rsidRDefault="00326D2E" w:rsidP="00326D2E">
      <w:r>
        <w:t xml:space="preserve">Reassessments </w:t>
      </w:r>
      <w:r w:rsidR="00D17D27">
        <w:t>for</w:t>
      </w:r>
      <w:r>
        <w:t xml:space="preserve"> a year could still occur </w:t>
      </w:r>
      <w:r w:rsidR="00BE27E3">
        <w:t>after</w:t>
      </w:r>
      <w:r w:rsidR="001166E4">
        <w:t xml:space="preserve"> </w:t>
      </w:r>
      <w:r w:rsidR="00BE27E3">
        <w:t>the end</w:t>
      </w:r>
      <w:r w:rsidR="001166E4">
        <w:t xml:space="preserve"> </w:t>
      </w:r>
      <w:r w:rsidR="00BE27E3">
        <w:t>of</w:t>
      </w:r>
      <w:r w:rsidR="001166E4">
        <w:t xml:space="preserve"> the four-year period</w:t>
      </w:r>
      <w:r>
        <w:t xml:space="preserve"> if one of the following exceptions apply:</w:t>
      </w:r>
    </w:p>
    <w:p w14:paraId="034A806D" w14:textId="2A1BFDEA" w:rsidR="00326D2E" w:rsidRPr="00770C74" w:rsidRDefault="00326D2E" w:rsidP="00770C74">
      <w:pPr>
        <w:pStyle w:val="ListBullet"/>
      </w:pPr>
      <w:r w:rsidRPr="00770C74">
        <w:t xml:space="preserve">information provided by a person in the child support assessment is fraudulent or wilfully </w:t>
      </w:r>
      <w:proofErr w:type="gramStart"/>
      <w:r w:rsidRPr="00770C74">
        <w:t>misleading</w:t>
      </w:r>
      <w:r w:rsidR="00E7540F" w:rsidRPr="00770C74">
        <w:t>;</w:t>
      </w:r>
      <w:proofErr w:type="gramEnd"/>
    </w:p>
    <w:p w14:paraId="5C2D950F" w14:textId="156E410D" w:rsidR="00326D2E" w:rsidRPr="00770C74" w:rsidRDefault="00E716AA" w:rsidP="00770C74">
      <w:pPr>
        <w:pStyle w:val="ListBullet"/>
      </w:pPr>
      <w:r w:rsidRPr="00770C74">
        <w:t>if</w:t>
      </w:r>
      <w:r w:rsidR="002E5DD9" w:rsidRPr="00770C74">
        <w:t xml:space="preserve"> </w:t>
      </w:r>
      <w:r w:rsidRPr="00770C74">
        <w:t>t</w:t>
      </w:r>
      <w:r w:rsidR="002E5DD9" w:rsidRPr="00770C74">
        <w:t>y</w:t>
      </w:r>
      <w:r w:rsidRPr="00770C74">
        <w:t>pes</w:t>
      </w:r>
      <w:r w:rsidR="002E5DD9" w:rsidRPr="00770C74">
        <w:t xml:space="preserve"> </w:t>
      </w:r>
      <w:r w:rsidRPr="00770C74">
        <w:t>of</w:t>
      </w:r>
      <w:r w:rsidR="002E5DD9" w:rsidRPr="00770C74">
        <w:t xml:space="preserve"> </w:t>
      </w:r>
      <w:r w:rsidR="00FF0819" w:rsidRPr="00770C74">
        <w:t>income, for example, rental income</w:t>
      </w:r>
      <w:r w:rsidR="00A007D5" w:rsidRPr="00770C74">
        <w:t>,</w:t>
      </w:r>
      <w:r w:rsidRPr="00770C74">
        <w:t xml:space="preserve"> have not been </w:t>
      </w:r>
      <w:r w:rsidR="002E5DD9" w:rsidRPr="00770C74">
        <w:t xml:space="preserve">included in a person’s </w:t>
      </w:r>
      <w:r w:rsidR="00AE26FF" w:rsidRPr="00770C74">
        <w:t xml:space="preserve">child support </w:t>
      </w:r>
      <w:proofErr w:type="gramStart"/>
      <w:r w:rsidR="00AE26FF" w:rsidRPr="00770C74">
        <w:t>assessment</w:t>
      </w:r>
      <w:r w:rsidR="00F76B9A" w:rsidRPr="00770C74">
        <w:t>;</w:t>
      </w:r>
      <w:proofErr w:type="gramEnd"/>
    </w:p>
    <w:p w14:paraId="5BBC5AE2" w14:textId="5BBD4D1E" w:rsidR="00326D2E" w:rsidRPr="00770C74" w:rsidRDefault="00326D2E" w:rsidP="00770C74">
      <w:pPr>
        <w:pStyle w:val="ListBullet"/>
      </w:pPr>
      <w:r w:rsidRPr="00770C74">
        <w:t xml:space="preserve">a person who is part of the child support assessment has </w:t>
      </w:r>
      <w:proofErr w:type="gramStart"/>
      <w:r w:rsidRPr="00770C74">
        <w:t>died</w:t>
      </w:r>
      <w:r w:rsidR="00E7540F" w:rsidRPr="00770C74">
        <w:t>;</w:t>
      </w:r>
      <w:proofErr w:type="gramEnd"/>
    </w:p>
    <w:p w14:paraId="63F7794D" w14:textId="64F5B377" w:rsidR="00326D2E" w:rsidRPr="00770C74" w:rsidRDefault="00326D2E" w:rsidP="00770C74">
      <w:pPr>
        <w:pStyle w:val="ListBullet"/>
      </w:pPr>
      <w:r w:rsidRPr="00770C74">
        <w:t>a person should never have been made liable – for example</w:t>
      </w:r>
      <w:r w:rsidR="006276ED" w:rsidRPr="00770C74">
        <w:t>,</w:t>
      </w:r>
      <w:r w:rsidRPr="00770C74">
        <w:t xml:space="preserve"> a person is subsequently found not to be the </w:t>
      </w:r>
      <w:r w:rsidR="00512A03" w:rsidRPr="00770C74">
        <w:t>parent</w:t>
      </w:r>
      <w:r w:rsidRPr="00770C74">
        <w:t xml:space="preserve"> of a </w:t>
      </w:r>
      <w:proofErr w:type="gramStart"/>
      <w:r w:rsidRPr="00770C74">
        <w:t>child</w:t>
      </w:r>
      <w:r w:rsidR="00E7540F" w:rsidRPr="00770C74">
        <w:t>;</w:t>
      </w:r>
      <w:proofErr w:type="gramEnd"/>
    </w:p>
    <w:p w14:paraId="27F559B6" w14:textId="1AF53863" w:rsidR="00326D2E" w:rsidRPr="00770C74" w:rsidRDefault="00326D2E" w:rsidP="00770C74">
      <w:pPr>
        <w:pStyle w:val="ListBullet"/>
      </w:pPr>
      <w:r w:rsidRPr="00770C74">
        <w:t xml:space="preserve">an amendment is required for the purpose of avoiding a </w:t>
      </w:r>
      <w:r w:rsidR="00BE27E3" w:rsidRPr="00770C74">
        <w:t xml:space="preserve">double </w:t>
      </w:r>
      <w:r w:rsidRPr="00770C74">
        <w:t>liability (for the same child</w:t>
      </w:r>
      <w:r w:rsidR="00AE26FF" w:rsidRPr="00770C74">
        <w:t xml:space="preserve"> at the same time</w:t>
      </w:r>
      <w:r w:rsidRPr="00770C74">
        <w:t xml:space="preserve">) with an overseas </w:t>
      </w:r>
      <w:proofErr w:type="gramStart"/>
      <w:r w:rsidRPr="00770C74">
        <w:t>jurisdiction</w:t>
      </w:r>
      <w:r w:rsidR="00E7540F" w:rsidRPr="00770C74">
        <w:t>;</w:t>
      </w:r>
      <w:proofErr w:type="gramEnd"/>
    </w:p>
    <w:p w14:paraId="0A7F73B0" w14:textId="72365C1B" w:rsidR="00326D2E" w:rsidRPr="00770C74" w:rsidRDefault="00326D2E" w:rsidP="00770C74">
      <w:pPr>
        <w:pStyle w:val="ListBullet"/>
      </w:pPr>
      <w:r w:rsidRPr="00770C74">
        <w:t xml:space="preserve">Inland Revenue has not met the notification </w:t>
      </w:r>
      <w:proofErr w:type="gramStart"/>
      <w:r w:rsidRPr="00770C74">
        <w:t>requirements</w:t>
      </w:r>
      <w:r w:rsidR="00E7540F" w:rsidRPr="00770C74">
        <w:t>;</w:t>
      </w:r>
      <w:proofErr w:type="gramEnd"/>
    </w:p>
    <w:p w14:paraId="200EC9BC" w14:textId="73E64BC2" w:rsidR="00DD69E9" w:rsidRPr="00770C74" w:rsidRDefault="00326D2E" w:rsidP="00770C74">
      <w:pPr>
        <w:pStyle w:val="ListBullet"/>
      </w:pPr>
      <w:r w:rsidRPr="00770C74">
        <w:t xml:space="preserve">a Court </w:t>
      </w:r>
      <w:r w:rsidR="00062A8D">
        <w:t>o</w:t>
      </w:r>
      <w:r w:rsidR="00062A8D" w:rsidRPr="00770C74">
        <w:t xml:space="preserve">rder </w:t>
      </w:r>
      <w:r w:rsidRPr="00770C74">
        <w:t xml:space="preserve">is received that applies to an earlier </w:t>
      </w:r>
      <w:r w:rsidR="00062A8D">
        <w:t xml:space="preserve">time-barred </w:t>
      </w:r>
      <w:proofErr w:type="gramStart"/>
      <w:r w:rsidRPr="00770C74">
        <w:t>period</w:t>
      </w:r>
      <w:r w:rsidR="00E7540F" w:rsidRPr="00770C74">
        <w:t>;</w:t>
      </w:r>
      <w:proofErr w:type="gramEnd"/>
    </w:p>
    <w:p w14:paraId="7F93E790" w14:textId="64F53DBF" w:rsidR="00DD69E9" w:rsidRPr="00770C74" w:rsidRDefault="00DD69E9" w:rsidP="00770C74">
      <w:pPr>
        <w:pStyle w:val="ListBullet"/>
      </w:pPr>
      <w:r w:rsidRPr="00770C74">
        <w:t>a new child support assessment should result in the reassessment of an existing assessment that is time</w:t>
      </w:r>
      <w:r w:rsidR="00C903E3">
        <w:t xml:space="preserve"> </w:t>
      </w:r>
      <w:r w:rsidRPr="00770C74">
        <w:t xml:space="preserve">barred; </w:t>
      </w:r>
      <w:r w:rsidR="00FF0819" w:rsidRPr="00770C74">
        <w:t>or</w:t>
      </w:r>
    </w:p>
    <w:p w14:paraId="1F5E4BF0" w14:textId="27C7734F" w:rsidR="00DD69E9" w:rsidRPr="00770C74" w:rsidRDefault="00DD69E9" w:rsidP="00770C74">
      <w:pPr>
        <w:pStyle w:val="ListBullet"/>
      </w:pPr>
      <w:r w:rsidRPr="00770C74">
        <w:t>the exemption from paying child support for victims of sex offences should otherwise apply.</w:t>
      </w:r>
    </w:p>
    <w:p w14:paraId="665E3A18" w14:textId="5D3C7699" w:rsidR="00326D2E" w:rsidRPr="00770C74" w:rsidRDefault="00326D2E" w:rsidP="00770C74">
      <w:r w:rsidRPr="00770C74">
        <w:t xml:space="preserve">The existing rights to </w:t>
      </w:r>
      <w:r w:rsidR="00AE26FF" w:rsidRPr="00770C74">
        <w:t xml:space="preserve">object </w:t>
      </w:r>
      <w:r w:rsidR="006276ED" w:rsidRPr="00770C74">
        <w:t xml:space="preserve">to a decision </w:t>
      </w:r>
      <w:r w:rsidR="00062A8D">
        <w:t xml:space="preserve">or an assessment that </w:t>
      </w:r>
      <w:r w:rsidR="006276ED" w:rsidRPr="00770C74">
        <w:t xml:space="preserve">Inland Revenue has made </w:t>
      </w:r>
      <w:r w:rsidR="00AE26FF" w:rsidRPr="00770C74">
        <w:t>an</w:t>
      </w:r>
      <w:r w:rsidR="00F76B9A" w:rsidRPr="00770C74">
        <w:t>d</w:t>
      </w:r>
      <w:r w:rsidR="00AE26FF" w:rsidRPr="00770C74">
        <w:t xml:space="preserve"> </w:t>
      </w:r>
      <w:r w:rsidR="006276ED" w:rsidRPr="00770C74">
        <w:t xml:space="preserve">to </w:t>
      </w:r>
      <w:r w:rsidRPr="00770C74">
        <w:t xml:space="preserve">appeal to the Family Court </w:t>
      </w:r>
      <w:r w:rsidR="0066526F" w:rsidRPr="00770C74">
        <w:t xml:space="preserve">would </w:t>
      </w:r>
      <w:r w:rsidRPr="00770C74">
        <w:t>also still apply.</w:t>
      </w:r>
    </w:p>
    <w:p w14:paraId="4258181D" w14:textId="5ECD36AC" w:rsidR="006323C9" w:rsidRDefault="007846B4" w:rsidP="002868D4">
      <w:r>
        <w:t xml:space="preserve">The time bar </w:t>
      </w:r>
      <w:r w:rsidR="00683515">
        <w:t xml:space="preserve">would </w:t>
      </w:r>
      <w:r>
        <w:t xml:space="preserve">also </w:t>
      </w:r>
      <w:r w:rsidR="00FF0819">
        <w:t>restrict</w:t>
      </w:r>
      <w:r>
        <w:t xml:space="preserve"> administrative and Commissioner initiated </w:t>
      </w:r>
      <w:r w:rsidR="00FF0819">
        <w:t xml:space="preserve">administrative </w:t>
      </w:r>
      <w:r>
        <w:t>reviews</w:t>
      </w:r>
      <w:r w:rsidRPr="0015614F">
        <w:rPr>
          <w:rFonts w:cs="Arial"/>
          <w:vertAlign w:val="superscript"/>
        </w:rPr>
        <w:footnoteReference w:id="4"/>
      </w:r>
      <w:r>
        <w:t xml:space="preserve"> – that is, there </w:t>
      </w:r>
      <w:r w:rsidR="0037436F">
        <w:t xml:space="preserve">would </w:t>
      </w:r>
      <w:r>
        <w:t>be a four-year period in which to seek an administrative review.</w:t>
      </w:r>
    </w:p>
    <w:p w14:paraId="0D6A56A3" w14:textId="3D6587E1" w:rsidR="00E12345" w:rsidRPr="00770C74" w:rsidRDefault="00FF0819" w:rsidP="00770C74">
      <w:r w:rsidRPr="00770C74">
        <w:t xml:space="preserve">Once the time bar is in effect, a person </w:t>
      </w:r>
      <w:r w:rsidR="000C4601" w:rsidRPr="00770C74">
        <w:t>w</w:t>
      </w:r>
      <w:r w:rsidR="000C4601">
        <w:t>ould</w:t>
      </w:r>
      <w:r w:rsidR="000C4601" w:rsidRPr="00770C74">
        <w:t xml:space="preserve"> </w:t>
      </w:r>
      <w:r w:rsidRPr="00770C74">
        <w:t xml:space="preserve">be largely unable to apply for an administrative review </w:t>
      </w:r>
      <w:r w:rsidR="00D17D27">
        <w:t>for</w:t>
      </w:r>
      <w:r w:rsidRPr="00770C74">
        <w:t xml:space="preserve"> the time</w:t>
      </w:r>
      <w:r w:rsidR="004F10AE" w:rsidRPr="00770C74">
        <w:t>-</w:t>
      </w:r>
      <w:r w:rsidRPr="00770C74">
        <w:t>barred period. However, there</w:t>
      </w:r>
      <w:r w:rsidR="00D3107A" w:rsidRPr="00770C74">
        <w:t xml:space="preserve"> </w:t>
      </w:r>
      <w:r w:rsidR="000C4601" w:rsidRPr="00770C74">
        <w:t>w</w:t>
      </w:r>
      <w:r w:rsidR="000C4601">
        <w:t>ould</w:t>
      </w:r>
      <w:r w:rsidR="000C4601" w:rsidRPr="00770C74">
        <w:t xml:space="preserve"> </w:t>
      </w:r>
      <w:r w:rsidR="00D3107A" w:rsidRPr="00770C74">
        <w:t xml:space="preserve">also be a </w:t>
      </w:r>
      <w:r w:rsidR="005F4662" w:rsidRPr="00770C74">
        <w:t>four</w:t>
      </w:r>
      <w:r w:rsidR="00C67422" w:rsidRPr="00770C74">
        <w:t>-month</w:t>
      </w:r>
      <w:r w:rsidR="00D3107A" w:rsidRPr="00770C74">
        <w:t xml:space="preserve"> limit to apply for an administrative review of an assessment that relates to a period that is time</w:t>
      </w:r>
      <w:r w:rsidR="00C903E3">
        <w:t xml:space="preserve"> </w:t>
      </w:r>
      <w:r w:rsidR="00D3107A" w:rsidRPr="00770C74">
        <w:t xml:space="preserve">barred. The application must be made within </w:t>
      </w:r>
      <w:r w:rsidR="005F4662" w:rsidRPr="00770C74">
        <w:t xml:space="preserve">four </w:t>
      </w:r>
      <w:r w:rsidR="00D3107A" w:rsidRPr="00770C74">
        <w:t>months of the date of the latest notice of assessment.</w:t>
      </w:r>
    </w:p>
    <w:p w14:paraId="2F485380" w14:textId="7B1A8D4A" w:rsidR="00E12345" w:rsidRPr="00770C74" w:rsidRDefault="00AB709D" w:rsidP="00770C74">
      <w:r w:rsidRPr="00770C74">
        <w:t xml:space="preserve">The </w:t>
      </w:r>
      <w:r w:rsidR="005F4662" w:rsidRPr="00770C74">
        <w:t>four</w:t>
      </w:r>
      <w:r w:rsidRPr="00770C74">
        <w:t xml:space="preserve">-month limit </w:t>
      </w:r>
      <w:r w:rsidR="000C4601" w:rsidRPr="00770C74">
        <w:t>w</w:t>
      </w:r>
      <w:r w:rsidR="000C4601">
        <w:t>ould</w:t>
      </w:r>
      <w:r w:rsidR="000C4601" w:rsidRPr="00770C74">
        <w:t xml:space="preserve"> </w:t>
      </w:r>
      <w:r w:rsidRPr="00770C74">
        <w:t>not apply to admin</w:t>
      </w:r>
      <w:r w:rsidR="00E32F7F" w:rsidRPr="00770C74">
        <w:t>istrative</w:t>
      </w:r>
      <w:r w:rsidRPr="00770C74">
        <w:t xml:space="preserve"> reviews applied for within the non-time-barred </w:t>
      </w:r>
      <w:r w:rsidR="009F184B" w:rsidRPr="00770C74">
        <w:t xml:space="preserve">four </w:t>
      </w:r>
      <w:r w:rsidRPr="00770C74">
        <w:t xml:space="preserve">years. But, when the time bar would otherwise be in effect, parents </w:t>
      </w:r>
      <w:r w:rsidR="00166B7F" w:rsidRPr="00770C74">
        <w:t xml:space="preserve">would </w:t>
      </w:r>
      <w:r w:rsidRPr="00770C74">
        <w:t>be permitted a small window to apply for an admin</w:t>
      </w:r>
      <w:r w:rsidR="006276ED" w:rsidRPr="00770C74">
        <w:t>istrative</w:t>
      </w:r>
      <w:r w:rsidRPr="00770C74">
        <w:t xml:space="preserve"> review where appropriate</w:t>
      </w:r>
      <w:r w:rsidR="006276ED" w:rsidRPr="00770C74">
        <w:t>.</w:t>
      </w:r>
    </w:p>
    <w:p w14:paraId="2C75F399" w14:textId="79A25F87" w:rsidR="00D3107A" w:rsidRPr="00770C74" w:rsidRDefault="00D3107A" w:rsidP="00770C74">
      <w:r w:rsidRPr="00770C74">
        <w:t xml:space="preserve">This </w:t>
      </w:r>
      <w:r w:rsidR="000C4601" w:rsidRPr="00770C74">
        <w:t>w</w:t>
      </w:r>
      <w:r w:rsidR="000C4601">
        <w:t>ould</w:t>
      </w:r>
      <w:r w:rsidR="000C4601" w:rsidRPr="00770C74">
        <w:t xml:space="preserve"> </w:t>
      </w:r>
      <w:r w:rsidRPr="00770C74">
        <w:t>ensure that policy intent of the time bar can be achieved</w:t>
      </w:r>
      <w:r w:rsidR="009767F1" w:rsidRPr="00770C74">
        <w:t>,</w:t>
      </w:r>
      <w:r w:rsidR="00E32F7F" w:rsidRPr="00770C74">
        <w:t xml:space="preserve"> </w:t>
      </w:r>
      <w:r w:rsidR="009767F1" w:rsidRPr="00770C74">
        <w:t>that</w:t>
      </w:r>
      <w:r w:rsidR="00A90272" w:rsidRPr="00770C74">
        <w:t xml:space="preserve"> is</w:t>
      </w:r>
      <w:r w:rsidR="00617A52" w:rsidRPr="00770C74">
        <w:t>, to</w:t>
      </w:r>
      <w:r w:rsidR="00A90272" w:rsidRPr="00770C74">
        <w:t xml:space="preserve"> </w:t>
      </w:r>
      <w:r w:rsidR="00FE259D" w:rsidRPr="00770C74">
        <w:t>provide a</w:t>
      </w:r>
      <w:r w:rsidR="00781C74" w:rsidRPr="00770C74">
        <w:t xml:space="preserve"> limited </w:t>
      </w:r>
      <w:r w:rsidR="000E490A" w:rsidRPr="00770C74">
        <w:t>time period</w:t>
      </w:r>
      <w:r w:rsidR="00781C74" w:rsidRPr="00770C74">
        <w:t xml:space="preserve"> for </w:t>
      </w:r>
      <w:r w:rsidR="00617A52" w:rsidRPr="00770C74">
        <w:t>reassessments</w:t>
      </w:r>
      <w:r w:rsidR="00781C74" w:rsidRPr="00770C74">
        <w:t xml:space="preserve">, which </w:t>
      </w:r>
      <w:r w:rsidR="000C4601" w:rsidRPr="00770C74">
        <w:t>w</w:t>
      </w:r>
      <w:r w:rsidR="000C4601">
        <w:t>ould</w:t>
      </w:r>
      <w:r w:rsidR="000C4601" w:rsidRPr="00770C74">
        <w:t xml:space="preserve"> </w:t>
      </w:r>
      <w:r w:rsidR="00617A52" w:rsidRPr="00770C74">
        <w:t>result in m</w:t>
      </w:r>
      <w:r w:rsidR="00781C74" w:rsidRPr="00770C74">
        <w:t>ore</w:t>
      </w:r>
      <w:r w:rsidR="00617A52" w:rsidRPr="00770C74">
        <w:t xml:space="preserve"> </w:t>
      </w:r>
      <w:r w:rsidR="00C42230" w:rsidRPr="00770C74">
        <w:t>certainly for</w:t>
      </w:r>
      <w:r w:rsidR="00781C74" w:rsidRPr="00770C74">
        <w:t xml:space="preserve"> parents.</w:t>
      </w:r>
    </w:p>
    <w:p w14:paraId="6EF57632" w14:textId="07D17841" w:rsidR="00D3107A" w:rsidRPr="009823E4" w:rsidRDefault="00D3107A" w:rsidP="009823E4">
      <w:pPr>
        <w:pStyle w:val="Example-Heading1"/>
      </w:pPr>
      <w:bookmarkStart w:id="19" w:name="_Hlk34222718"/>
      <w:r w:rsidRPr="009823E4">
        <w:t>Example</w:t>
      </w:r>
      <w:r w:rsidR="00C3174D" w:rsidRPr="009823E4">
        <w:t xml:space="preserve"> </w:t>
      </w:r>
      <w:r w:rsidR="009823E4">
        <w:fldChar w:fldCharType="begin"/>
      </w:r>
      <w:r w:rsidR="009823E4">
        <w:instrText xml:space="preserve"> seq examples </w:instrText>
      </w:r>
      <w:r w:rsidR="009823E4">
        <w:fldChar w:fldCharType="separate"/>
      </w:r>
      <w:r w:rsidR="00577BFB">
        <w:rPr>
          <w:noProof/>
        </w:rPr>
        <w:t>4</w:t>
      </w:r>
      <w:r w:rsidR="009823E4">
        <w:fldChar w:fldCharType="end"/>
      </w:r>
    </w:p>
    <w:p w14:paraId="1917D401" w14:textId="6537C0DE" w:rsidR="00E85FD5" w:rsidRPr="009823E4" w:rsidRDefault="00140B57" w:rsidP="009823E4">
      <w:pPr>
        <w:pStyle w:val="Example-Text"/>
      </w:pPr>
      <w:r w:rsidRPr="009823E4">
        <w:t>O</w:t>
      </w:r>
      <w:r w:rsidR="00CC3B9F" w:rsidRPr="009823E4">
        <w:t xml:space="preserve">n </w:t>
      </w:r>
      <w:r w:rsidR="00CD6221" w:rsidRPr="009823E4">
        <w:t>1 January</w:t>
      </w:r>
      <w:r w:rsidR="00702E9A" w:rsidRPr="009823E4">
        <w:t xml:space="preserve"> </w:t>
      </w:r>
      <w:r w:rsidR="007371F3" w:rsidRPr="009823E4">
        <w:t>202</w:t>
      </w:r>
      <w:r w:rsidR="00BE4CF1" w:rsidRPr="009823E4">
        <w:t>2</w:t>
      </w:r>
      <w:r w:rsidRPr="009823E4">
        <w:t xml:space="preserve"> Inland Revenue notifies</w:t>
      </w:r>
      <w:r w:rsidR="007371F3" w:rsidRPr="009823E4">
        <w:t xml:space="preserve"> </w:t>
      </w:r>
      <w:r w:rsidR="00E85FD5" w:rsidRPr="009823E4">
        <w:t xml:space="preserve">Jane </w:t>
      </w:r>
      <w:r w:rsidRPr="009823E4">
        <w:t xml:space="preserve">of </w:t>
      </w:r>
      <w:r w:rsidR="00E85FD5" w:rsidRPr="009823E4">
        <w:t xml:space="preserve">an assessment </w:t>
      </w:r>
      <w:r w:rsidR="007371F3" w:rsidRPr="009823E4">
        <w:t xml:space="preserve">for the </w:t>
      </w:r>
      <w:r w:rsidR="00AE6BA1" w:rsidRPr="009823E4">
        <w:t>child supp</w:t>
      </w:r>
      <w:r w:rsidR="00FE259D" w:rsidRPr="009823E4">
        <w:t xml:space="preserve">ort </w:t>
      </w:r>
      <w:r w:rsidR="00AE6BA1" w:rsidRPr="009823E4">
        <w:t>year 1</w:t>
      </w:r>
      <w:r w:rsidR="00FE259D" w:rsidRPr="009823E4">
        <w:t xml:space="preserve"> </w:t>
      </w:r>
      <w:r w:rsidR="00AE6BA1" w:rsidRPr="009823E4">
        <w:t>April 20</w:t>
      </w:r>
      <w:r w:rsidR="00C42230" w:rsidRPr="009823E4">
        <w:t>1</w:t>
      </w:r>
      <w:r w:rsidR="000A5EA4" w:rsidRPr="009823E4">
        <w:t>7</w:t>
      </w:r>
      <w:r w:rsidR="00B6528E" w:rsidRPr="009823E4">
        <w:t xml:space="preserve"> to</w:t>
      </w:r>
      <w:r w:rsidR="006276ED" w:rsidRPr="009823E4">
        <w:t xml:space="preserve"> 31 March</w:t>
      </w:r>
      <w:r w:rsidR="00B6528E" w:rsidRPr="009823E4">
        <w:t xml:space="preserve"> 20</w:t>
      </w:r>
      <w:r w:rsidR="004E0968" w:rsidRPr="009823E4">
        <w:t>1</w:t>
      </w:r>
      <w:r w:rsidR="00211C38" w:rsidRPr="009823E4">
        <w:t>8</w:t>
      </w:r>
      <w:r w:rsidR="004E0968" w:rsidRPr="009823E4">
        <w:t>. The assessment is dated</w:t>
      </w:r>
      <w:r w:rsidR="00430542" w:rsidRPr="009823E4">
        <w:t xml:space="preserve"> </w:t>
      </w:r>
      <w:r w:rsidR="00F57090" w:rsidRPr="009823E4">
        <w:t xml:space="preserve">three </w:t>
      </w:r>
      <w:r w:rsidR="004E0968" w:rsidRPr="009823E4">
        <w:t>m</w:t>
      </w:r>
      <w:r w:rsidR="00430542" w:rsidRPr="009823E4">
        <w:t>o</w:t>
      </w:r>
      <w:r w:rsidR="004E0968" w:rsidRPr="009823E4">
        <w:t>nths before the period will become time</w:t>
      </w:r>
      <w:r w:rsidR="00CC5548">
        <w:t xml:space="preserve"> </w:t>
      </w:r>
      <w:r w:rsidR="004E0968" w:rsidRPr="009823E4">
        <w:t>barred</w:t>
      </w:r>
      <w:r w:rsidR="009F184B" w:rsidRPr="009823E4">
        <w:t xml:space="preserve"> (</w:t>
      </w:r>
      <w:r w:rsidR="00702E9A" w:rsidRPr="009823E4">
        <w:t>1</w:t>
      </w:r>
      <w:r w:rsidR="009823E4">
        <w:t> </w:t>
      </w:r>
      <w:r w:rsidR="00702E9A" w:rsidRPr="009823E4">
        <w:t>April</w:t>
      </w:r>
      <w:r w:rsidR="009823E4">
        <w:t> </w:t>
      </w:r>
      <w:r w:rsidR="00702E9A" w:rsidRPr="009823E4">
        <w:t>2022)</w:t>
      </w:r>
      <w:r w:rsidR="004E0968" w:rsidRPr="009823E4">
        <w:t>.</w:t>
      </w:r>
    </w:p>
    <w:p w14:paraId="4F345276" w14:textId="6ECDF5B5" w:rsidR="00430542" w:rsidRPr="009823E4" w:rsidRDefault="006276ED" w:rsidP="009823E4">
      <w:pPr>
        <w:pStyle w:val="Example-Text"/>
      </w:pPr>
      <w:r w:rsidRPr="009823E4">
        <w:t xml:space="preserve">Jane </w:t>
      </w:r>
      <w:r w:rsidR="00430542" w:rsidRPr="009823E4">
        <w:t xml:space="preserve">would have </w:t>
      </w:r>
      <w:r w:rsidR="00747B35" w:rsidRPr="009823E4">
        <w:t xml:space="preserve">four </w:t>
      </w:r>
      <w:r w:rsidR="00430542" w:rsidRPr="009823E4">
        <w:t>months from</w:t>
      </w:r>
      <w:r w:rsidR="00B6528E" w:rsidRPr="009823E4">
        <w:t xml:space="preserve"> 1 </w:t>
      </w:r>
      <w:r w:rsidR="00092476" w:rsidRPr="009823E4">
        <w:t>January</w:t>
      </w:r>
      <w:r w:rsidR="009823E4">
        <w:t xml:space="preserve"> </w:t>
      </w:r>
      <w:r w:rsidR="008D4F69" w:rsidRPr="009823E4">
        <w:t>(</w:t>
      </w:r>
      <w:r w:rsidR="00430542" w:rsidRPr="009823E4">
        <w:t>the date</w:t>
      </w:r>
      <w:r w:rsidR="00747B35" w:rsidRPr="009823E4">
        <w:t xml:space="preserve"> she</w:t>
      </w:r>
      <w:r w:rsidR="00430542" w:rsidRPr="009823E4">
        <w:t xml:space="preserve"> </w:t>
      </w:r>
      <w:r w:rsidR="00C91565" w:rsidRPr="009823E4">
        <w:t>was</w:t>
      </w:r>
      <w:r w:rsidR="00430542" w:rsidRPr="009823E4">
        <w:t xml:space="preserve"> notified by </w:t>
      </w:r>
      <w:r w:rsidRPr="009823E4">
        <w:t>Inland Revenue</w:t>
      </w:r>
      <w:r w:rsidR="008D4F69" w:rsidRPr="009823E4">
        <w:t>)</w:t>
      </w:r>
      <w:r w:rsidRPr="009823E4">
        <w:t xml:space="preserve"> to apply for an administrative review</w:t>
      </w:r>
      <w:r w:rsidR="008D4F69" w:rsidRPr="009823E4">
        <w:t>. That</w:t>
      </w:r>
      <w:r w:rsidR="00430542" w:rsidRPr="009823E4">
        <w:t xml:space="preserve"> is, </w:t>
      </w:r>
      <w:r w:rsidRPr="009823E4">
        <w:t xml:space="preserve">she </w:t>
      </w:r>
      <w:r w:rsidR="00430542" w:rsidRPr="009823E4">
        <w:t xml:space="preserve">could apply </w:t>
      </w:r>
      <w:r w:rsidR="00605970">
        <w:t>f</w:t>
      </w:r>
      <w:r w:rsidR="00CC5548" w:rsidRPr="00CC5548">
        <w:t>or an administrative review up until 30 April 2022 (one month after the period has become subject to the time bar)</w:t>
      </w:r>
      <w:r w:rsidR="00430542" w:rsidRPr="009823E4">
        <w:t>.</w:t>
      </w:r>
    </w:p>
    <w:p w14:paraId="787D9428" w14:textId="0855DFFA" w:rsidR="001E413B" w:rsidRDefault="009823E4" w:rsidP="009823E4">
      <w:pPr>
        <w:pStyle w:val="Example-Caption"/>
      </w:pPr>
      <w:r>
        <w:t>Figure 3</w:t>
      </w:r>
    </w:p>
    <w:p w14:paraId="617E2C05" w14:textId="04EC1F65" w:rsidR="009823E4" w:rsidRPr="009823E4" w:rsidRDefault="00577BFB" w:rsidP="009823E4">
      <w:pPr>
        <w:pStyle w:val="Example-Figure"/>
      </w:pPr>
      <w:r>
        <w:object w:dxaOrig="11761" w:dyaOrig="4755" w14:anchorId="65C30202">
          <v:shape id="_x0000_i1027" type="#_x0000_t75" alt="Figure 3" style="width:407.25pt;height:165pt" o:ole="">
            <v:imagedata r:id="rId19" o:title=""/>
          </v:shape>
          <o:OLEObject Type="Embed" ProgID="Visio.Drawing.15" ShapeID="_x0000_i1027" DrawAspect="Content" ObjectID="_1645449624" r:id="rId20"/>
        </w:object>
      </w:r>
    </w:p>
    <w:bookmarkEnd w:id="19"/>
    <w:p w14:paraId="425053E3" w14:textId="69560859" w:rsidR="001E413B" w:rsidRPr="009823E4" w:rsidRDefault="001E413B" w:rsidP="009823E4">
      <w:pPr>
        <w:spacing w:before="0"/>
      </w:pPr>
    </w:p>
    <w:p w14:paraId="1EE47116" w14:textId="095927C8" w:rsidR="00EF6759" w:rsidRPr="009823E4" w:rsidRDefault="00EF6759" w:rsidP="009823E4">
      <w:pPr>
        <w:pStyle w:val="Example-Heading1"/>
        <w:spacing w:before="0"/>
      </w:pPr>
      <w:r w:rsidRPr="009823E4">
        <w:t xml:space="preserve">Example </w:t>
      </w:r>
      <w:r w:rsidR="009823E4">
        <w:fldChar w:fldCharType="begin"/>
      </w:r>
      <w:r w:rsidR="009823E4">
        <w:instrText xml:space="preserve"> seq examples </w:instrText>
      </w:r>
      <w:r w:rsidR="009823E4">
        <w:fldChar w:fldCharType="separate"/>
      </w:r>
      <w:r w:rsidR="00577BFB">
        <w:rPr>
          <w:noProof/>
        </w:rPr>
        <w:t>5</w:t>
      </w:r>
      <w:r w:rsidR="009823E4">
        <w:fldChar w:fldCharType="end"/>
      </w:r>
    </w:p>
    <w:p w14:paraId="3CD30DE4" w14:textId="0E838A8E" w:rsidR="00EF6759" w:rsidRPr="009823E4" w:rsidRDefault="00EF6759" w:rsidP="009823E4">
      <w:pPr>
        <w:pStyle w:val="Example-Text"/>
      </w:pPr>
      <w:r w:rsidRPr="009823E4">
        <w:t xml:space="preserve">On 1 December 2021, Inland Revenue notifies Hector of a </w:t>
      </w:r>
      <w:r w:rsidR="00EF084D" w:rsidRPr="009823E4">
        <w:t>re</w:t>
      </w:r>
      <w:r w:rsidRPr="009823E4">
        <w:t xml:space="preserve">assessment for the child support year 1 April 2012 to </w:t>
      </w:r>
      <w:r w:rsidR="00EF084D" w:rsidRPr="009823E4">
        <w:t>31 March</w:t>
      </w:r>
      <w:r w:rsidRPr="009823E4">
        <w:t> 2013.</w:t>
      </w:r>
      <w:r w:rsidR="00EF084D" w:rsidRPr="009823E4">
        <w:t xml:space="preserve"> The reassessment arises following an audit where it was identified that none of Hector’s rental income had been included in his income tax assessment. Therefore, one of the exceptions to the time bar applies.</w:t>
      </w:r>
      <w:r w:rsidRPr="009823E4">
        <w:t xml:space="preserve"> The assessment relates to a time</w:t>
      </w:r>
      <w:r w:rsidR="004F10AE" w:rsidRPr="009823E4">
        <w:t>-</w:t>
      </w:r>
      <w:r w:rsidRPr="009823E4">
        <w:t xml:space="preserve">barred period. Hector would have four months, stating from 1 December 2021 (the date of notification) to apply for an administrative review </w:t>
      </w:r>
      <w:r w:rsidR="00CC5548">
        <w:t>for</w:t>
      </w:r>
      <w:r w:rsidRPr="009823E4">
        <w:t xml:space="preserve"> </w:t>
      </w:r>
      <w:r w:rsidR="00CC5548" w:rsidRPr="009823E4">
        <w:t>th</w:t>
      </w:r>
      <w:r w:rsidR="00CC5548">
        <w:t>e</w:t>
      </w:r>
      <w:r w:rsidR="00CC5548" w:rsidRPr="009823E4">
        <w:t xml:space="preserve"> </w:t>
      </w:r>
      <w:r w:rsidR="00CC5548">
        <w:t>time barred child support year</w:t>
      </w:r>
      <w:r w:rsidRPr="009823E4">
        <w:t>.</w:t>
      </w:r>
    </w:p>
    <w:p w14:paraId="160CC526" w14:textId="506DE254" w:rsidR="002327A3" w:rsidRDefault="002327A3" w:rsidP="002868D4">
      <w:r>
        <w:t>The</w:t>
      </w:r>
      <w:r w:rsidR="00166B7F">
        <w:t xml:space="preserve"> proposed</w:t>
      </w:r>
      <w:r w:rsidR="00FC0B60">
        <w:t xml:space="preserve"> </w:t>
      </w:r>
      <w:r>
        <w:t xml:space="preserve">time </w:t>
      </w:r>
      <w:r w:rsidR="00FC0B60">
        <w:t xml:space="preserve">bar </w:t>
      </w:r>
      <w:r w:rsidR="00734D1F">
        <w:t xml:space="preserve">will </w:t>
      </w:r>
      <w:r>
        <w:t xml:space="preserve">be broadly </w:t>
      </w:r>
      <w:r w:rsidR="00FC0B60">
        <w:t xml:space="preserve">consistent </w:t>
      </w:r>
      <w:r>
        <w:t xml:space="preserve">with the </w:t>
      </w:r>
      <w:r w:rsidR="00FC0B60">
        <w:t>time bar for income tax which</w:t>
      </w:r>
      <w:r w:rsidR="00E0359B" w:rsidRPr="00D81845">
        <w:t xml:space="preserve"> restricts reassessments to four years after a taxpayer has provided their</w:t>
      </w:r>
      <w:r w:rsidR="004E6091">
        <w:t xml:space="preserve"> income tax </w:t>
      </w:r>
      <w:r w:rsidR="00E0359B" w:rsidRPr="00D81845">
        <w:t>return</w:t>
      </w:r>
      <w:r w:rsidR="00E0359B">
        <w:t>.</w:t>
      </w:r>
    </w:p>
    <w:p w14:paraId="6C138029" w14:textId="77777777" w:rsidR="002868D4" w:rsidRDefault="002868D4" w:rsidP="002868D4">
      <w:pPr>
        <w:pStyle w:val="Heading3"/>
      </w:pPr>
      <w:r w:rsidRPr="00473ED6">
        <w:t>Background</w:t>
      </w:r>
    </w:p>
    <w:p w14:paraId="6EC70967" w14:textId="33A05977" w:rsidR="00E6685C" w:rsidRDefault="0023418B" w:rsidP="00D03112">
      <w:r>
        <w:t>Under</w:t>
      </w:r>
      <w:r w:rsidR="008B50C4">
        <w:t xml:space="preserve"> </w:t>
      </w:r>
      <w:r>
        <w:t xml:space="preserve">the </w:t>
      </w:r>
      <w:r w:rsidR="008B50C4">
        <w:t xml:space="preserve">current </w:t>
      </w:r>
      <w:r>
        <w:t>ru</w:t>
      </w:r>
      <w:r w:rsidR="008B50C4">
        <w:t>les</w:t>
      </w:r>
      <w:r w:rsidR="00326D2E">
        <w:t>,</w:t>
      </w:r>
      <w:r>
        <w:t xml:space="preserve"> </w:t>
      </w:r>
      <w:r w:rsidR="00326D2E" w:rsidRPr="004114EA">
        <w:t>if relevant information is provided</w:t>
      </w:r>
      <w:r w:rsidR="00326D2E" w:rsidDel="000F2A9E">
        <w:t xml:space="preserve"> </w:t>
      </w:r>
      <w:r w:rsidR="000F2A9E">
        <w:t>Inland Revenue</w:t>
      </w:r>
      <w:r w:rsidR="008B50C4">
        <w:t xml:space="preserve"> </w:t>
      </w:r>
      <w:r w:rsidR="006E01CF">
        <w:t>can amend</w:t>
      </w:r>
      <w:r w:rsidR="008B50C4">
        <w:t xml:space="preserve"> </w:t>
      </w:r>
      <w:r w:rsidR="006E01CF">
        <w:t>an</w:t>
      </w:r>
      <w:r w:rsidR="008B50C4">
        <w:t xml:space="preserve"> </w:t>
      </w:r>
      <w:r w:rsidR="006E01CF">
        <w:t xml:space="preserve">assessment </w:t>
      </w:r>
      <w:r w:rsidR="008B50C4" w:rsidRPr="004114EA">
        <w:t>as far back as 1992</w:t>
      </w:r>
      <w:r w:rsidR="008B50C4">
        <w:t xml:space="preserve"> (when the </w:t>
      </w:r>
      <w:r w:rsidR="000F2A9E">
        <w:t xml:space="preserve">Child Support </w:t>
      </w:r>
      <w:r w:rsidR="008B50C4">
        <w:t>Act came into force</w:t>
      </w:r>
      <w:r w:rsidR="00122FEF">
        <w:t>).</w:t>
      </w:r>
      <w:r w:rsidR="008B50C4" w:rsidRPr="004114EA">
        <w:t xml:space="preserve"> </w:t>
      </w:r>
      <w:r w:rsidR="00D03112">
        <w:t xml:space="preserve">Reassessments can occur for a </w:t>
      </w:r>
      <w:r w:rsidR="00972C59">
        <w:t>variety</w:t>
      </w:r>
      <w:r w:rsidR="00D03112">
        <w:t xml:space="preserve"> of reasons – for example, changes in income, changes in care arrangements and parents reconciling. </w:t>
      </w:r>
      <w:r w:rsidR="00326D2E">
        <w:t xml:space="preserve">This unrestricted ability to amend assessments </w:t>
      </w:r>
      <w:r w:rsidR="00D03112">
        <w:t xml:space="preserve">creates uncertainty for parents. It also results in additional administrative costs. In </w:t>
      </w:r>
      <w:r w:rsidR="00122FEF">
        <w:t xml:space="preserve">some </w:t>
      </w:r>
      <w:r w:rsidR="00163948">
        <w:t>cases,</w:t>
      </w:r>
      <w:r w:rsidR="00D03112">
        <w:t xml:space="preserve"> there is no change in the amount to be paid as a result of the reassessment</w:t>
      </w:r>
      <w:r w:rsidR="00326D2E">
        <w:t xml:space="preserve"> because, for example, the liable person is assessed to pay the minimum </w:t>
      </w:r>
      <w:r w:rsidR="00AE26FF">
        <w:t xml:space="preserve">child support </w:t>
      </w:r>
      <w:r w:rsidR="00326D2E">
        <w:t>amount</w:t>
      </w:r>
      <w:r w:rsidR="00D03112">
        <w:t>.</w:t>
      </w:r>
    </w:p>
    <w:p w14:paraId="62B56DF2" w14:textId="73BA0B88" w:rsidR="00A4499D" w:rsidRPr="00D9547E" w:rsidRDefault="00D9547E" w:rsidP="00D9547E">
      <w:pPr>
        <w:pStyle w:val="Heading2"/>
      </w:pPr>
      <w:bookmarkStart w:id="20" w:name="_Toc34836410"/>
      <w:r w:rsidRPr="00D9547E">
        <w:t>Definition of income</w:t>
      </w:r>
      <w:bookmarkEnd w:id="20"/>
    </w:p>
    <w:p w14:paraId="6547C656" w14:textId="13C39612" w:rsidR="00A4499D" w:rsidRPr="00473ED6" w:rsidRDefault="00A4499D" w:rsidP="00A4499D">
      <w:pPr>
        <w:pStyle w:val="Clause"/>
      </w:pPr>
      <w:r w:rsidRPr="00473ED6">
        <w:t>(Clause</w:t>
      </w:r>
      <w:r w:rsidR="00480584">
        <w:t>s</w:t>
      </w:r>
      <w:r w:rsidRPr="00473ED6">
        <w:t xml:space="preserve"> </w:t>
      </w:r>
      <w:r w:rsidR="00480584">
        <w:t>4(1</w:t>
      </w:r>
      <w:r w:rsidR="00EF084D">
        <w:t>)</w:t>
      </w:r>
      <w:r w:rsidR="00480584">
        <w:t xml:space="preserve"> and </w:t>
      </w:r>
      <w:r w:rsidR="00EF084D">
        <w:t>(</w:t>
      </w:r>
      <w:r w:rsidR="00480584">
        <w:t>3), 9, 10</w:t>
      </w:r>
      <w:r w:rsidR="005D3B7A">
        <w:t xml:space="preserve"> and</w:t>
      </w:r>
      <w:r w:rsidR="00480584">
        <w:t xml:space="preserve"> 13</w:t>
      </w:r>
      <w:r w:rsidRPr="00473ED6">
        <w:t>)</w:t>
      </w:r>
    </w:p>
    <w:p w14:paraId="0D90C0E4" w14:textId="75DE6538" w:rsidR="00A4499D" w:rsidRPr="00473ED6" w:rsidRDefault="00A4499D" w:rsidP="00A4499D">
      <w:pPr>
        <w:pStyle w:val="Heading3"/>
      </w:pPr>
      <w:r w:rsidRPr="00473ED6">
        <w:t>Summary of proposed amendment</w:t>
      </w:r>
    </w:p>
    <w:p w14:paraId="42C71804" w14:textId="147CD783" w:rsidR="00F56969" w:rsidRPr="00F56969" w:rsidRDefault="00DC0842" w:rsidP="00F56969">
      <w:r>
        <w:t>It is proposed that t</w:t>
      </w:r>
      <w:r w:rsidR="00B67C68">
        <w:t xml:space="preserve">he definition of </w:t>
      </w:r>
      <w:r w:rsidR="004A79F2">
        <w:t>“</w:t>
      </w:r>
      <w:r w:rsidR="00B67C68">
        <w:t>income</w:t>
      </w:r>
      <w:r w:rsidR="004A79F2">
        <w:t>”</w:t>
      </w:r>
      <w:r w:rsidR="00B67C68">
        <w:t xml:space="preserve"> </w:t>
      </w:r>
      <w:r w:rsidR="00414D6C">
        <w:t xml:space="preserve">used for child support </w:t>
      </w:r>
      <w:r w:rsidR="00FF0819">
        <w:t>purposes be</w:t>
      </w:r>
      <w:r w:rsidR="00B67C68">
        <w:t xml:space="preserve"> amended to better reflect</w:t>
      </w:r>
      <w:r w:rsidR="00F56969">
        <w:t xml:space="preserve"> </w:t>
      </w:r>
      <w:r w:rsidR="00734D1F">
        <w:t xml:space="preserve">a </w:t>
      </w:r>
      <w:r w:rsidR="00F56969" w:rsidRPr="00F56969">
        <w:t xml:space="preserve">parent’s financial capacity by incorporating </w:t>
      </w:r>
      <w:r w:rsidR="00414D6C">
        <w:t xml:space="preserve">investment </w:t>
      </w:r>
      <w:r w:rsidR="00F56969" w:rsidRPr="00F56969">
        <w:t xml:space="preserve">income and </w:t>
      </w:r>
      <w:r w:rsidR="00414D6C">
        <w:t>no longer offsetting losses from earlier years</w:t>
      </w:r>
      <w:r w:rsidR="00F56969" w:rsidRPr="00F56969">
        <w:t>.</w:t>
      </w:r>
    </w:p>
    <w:p w14:paraId="326EBF8C" w14:textId="77777777" w:rsidR="00A4499D" w:rsidRPr="00473ED6" w:rsidRDefault="00A4499D" w:rsidP="00A4499D">
      <w:pPr>
        <w:pStyle w:val="Heading3"/>
      </w:pPr>
      <w:r w:rsidRPr="00473ED6">
        <w:t>Application date</w:t>
      </w:r>
    </w:p>
    <w:p w14:paraId="5DB72604" w14:textId="10414F0E" w:rsidR="00A4499D" w:rsidRPr="00473ED6" w:rsidRDefault="00A4499D" w:rsidP="00A4499D">
      <w:r>
        <w:t xml:space="preserve">The </w:t>
      </w:r>
      <w:r w:rsidR="002A2C08" w:rsidRPr="002A2C08">
        <w:t xml:space="preserve">proposed </w:t>
      </w:r>
      <w:r>
        <w:t xml:space="preserve">amendment </w:t>
      </w:r>
      <w:r w:rsidR="00525477">
        <w:t xml:space="preserve">would </w:t>
      </w:r>
      <w:r>
        <w:t xml:space="preserve">apply from </w:t>
      </w:r>
      <w:r w:rsidR="00700F3B">
        <w:t>1 April 2021</w:t>
      </w:r>
      <w:r>
        <w:t>.</w:t>
      </w:r>
    </w:p>
    <w:p w14:paraId="563A3E38" w14:textId="77777777" w:rsidR="00A4499D" w:rsidRPr="00473ED6" w:rsidRDefault="00A4499D" w:rsidP="00A4499D">
      <w:pPr>
        <w:pStyle w:val="Heading3"/>
      </w:pPr>
      <w:r w:rsidRPr="00473ED6">
        <w:t>Key features</w:t>
      </w:r>
    </w:p>
    <w:p w14:paraId="3D464BCD" w14:textId="10F93AAE" w:rsidR="00A4499D" w:rsidRPr="00A4079B" w:rsidRDefault="00414D6C" w:rsidP="00A4079B">
      <w:r w:rsidRPr="00A4079B">
        <w:t>T</w:t>
      </w:r>
      <w:r w:rsidR="008D7785" w:rsidRPr="00A4079B">
        <w:t xml:space="preserve">he definition of income </w:t>
      </w:r>
      <w:r w:rsidRPr="00A4079B">
        <w:t xml:space="preserve">used for child support purposes would </w:t>
      </w:r>
      <w:r w:rsidR="008D7785" w:rsidRPr="00A4079B">
        <w:t>be amended to better reflect</w:t>
      </w:r>
      <w:r w:rsidR="00112585" w:rsidRPr="00A4079B">
        <w:t xml:space="preserve"> </w:t>
      </w:r>
      <w:r w:rsidRPr="00A4079B">
        <w:t xml:space="preserve">a </w:t>
      </w:r>
      <w:r w:rsidR="00112585" w:rsidRPr="00A4079B">
        <w:t>parent’s financial capacity.</w:t>
      </w:r>
    </w:p>
    <w:p w14:paraId="703B778F" w14:textId="21045F35" w:rsidR="00112585" w:rsidRPr="00A4079B" w:rsidRDefault="00DF1167" w:rsidP="00A4079B">
      <w:r w:rsidRPr="00A4079B">
        <w:t>If</w:t>
      </w:r>
      <w:r w:rsidR="00637723" w:rsidRPr="00A4079B">
        <w:t xml:space="preserve"> a person’s income in the tax year before the child support year is </w:t>
      </w:r>
      <w:r w:rsidR="002A1B26" w:rsidRPr="00A4079B">
        <w:t xml:space="preserve">only </w:t>
      </w:r>
      <w:r w:rsidR="00637723" w:rsidRPr="00A4079B">
        <w:t>from income</w:t>
      </w:r>
      <w:r w:rsidR="004A6341" w:rsidRPr="00A4079B">
        <w:t xml:space="preserve"> that has had tax </w:t>
      </w:r>
      <w:r w:rsidR="00A8227D" w:rsidRPr="00A4079B">
        <w:t>deducted at source</w:t>
      </w:r>
      <w:r w:rsidR="00637723" w:rsidRPr="00A4079B">
        <w:t>, the income</w:t>
      </w:r>
      <w:r w:rsidR="00302D0D" w:rsidRPr="00A4079B">
        <w:t xml:space="preserve"> used to determine their child support obligation or entitlement</w:t>
      </w:r>
      <w:r w:rsidR="00637723" w:rsidRPr="00A4079B">
        <w:t xml:space="preserve"> </w:t>
      </w:r>
      <w:r w:rsidR="00302D0D" w:rsidRPr="00A4079B">
        <w:t xml:space="preserve">would </w:t>
      </w:r>
      <w:r w:rsidR="00637723" w:rsidRPr="00A4079B">
        <w:t>be their employment income plus any interest and dividend income (subject to resident withholding tax) from the calendar year immediately preceding the child support year.</w:t>
      </w:r>
    </w:p>
    <w:p w14:paraId="7161E3AD" w14:textId="6767120C" w:rsidR="00637723" w:rsidRPr="00A4079B" w:rsidRDefault="00CC5548" w:rsidP="00A4079B">
      <w:r w:rsidRPr="00CC5548">
        <w:t>For parents whose income is from other sources (for example, they are self-employed), a</w:t>
      </w:r>
      <w:r w:rsidR="00734D1F" w:rsidRPr="00A4079B">
        <w:t xml:space="preserve">ny </w:t>
      </w:r>
      <w:r w:rsidR="00316970" w:rsidRPr="00A4079B">
        <w:t xml:space="preserve">losses </w:t>
      </w:r>
      <w:r w:rsidR="00734D1F" w:rsidRPr="00A4079B">
        <w:t xml:space="preserve">carried forward </w:t>
      </w:r>
      <w:r w:rsidR="00316970" w:rsidRPr="00A4079B">
        <w:t>from</w:t>
      </w:r>
      <w:r w:rsidR="00DA4097" w:rsidRPr="00A4079B">
        <w:t xml:space="preserve"> </w:t>
      </w:r>
      <w:r w:rsidR="0076399F" w:rsidRPr="00A4079B">
        <w:t>an earlier year</w:t>
      </w:r>
      <w:r w:rsidR="00DA4097" w:rsidRPr="00A4079B">
        <w:t xml:space="preserve"> </w:t>
      </w:r>
      <w:r w:rsidR="00302D0D" w:rsidRPr="00A4079B">
        <w:t xml:space="preserve">would </w:t>
      </w:r>
      <w:r w:rsidR="00DA4097" w:rsidRPr="00A4079B">
        <w:t>be ignored for the purposes of</w:t>
      </w:r>
      <w:r w:rsidR="008A32B4" w:rsidRPr="00A4079B">
        <w:t xml:space="preserve"> </w:t>
      </w:r>
      <w:r w:rsidR="00292DA6" w:rsidRPr="00A4079B">
        <w:t>determining</w:t>
      </w:r>
      <w:r w:rsidR="0043662A" w:rsidRPr="00A4079B">
        <w:t xml:space="preserve"> the </w:t>
      </w:r>
      <w:r w:rsidR="00292DA6" w:rsidRPr="00A4079B">
        <w:t>income</w:t>
      </w:r>
      <w:r w:rsidR="0043662A" w:rsidRPr="00A4079B">
        <w:t xml:space="preserve"> to be </w:t>
      </w:r>
      <w:r w:rsidR="00292DA6" w:rsidRPr="00A4079B">
        <w:t>used to calculate child support obligations.</w:t>
      </w:r>
    </w:p>
    <w:p w14:paraId="4CD6C446" w14:textId="77777777" w:rsidR="00A4499D" w:rsidRPr="00473ED6" w:rsidRDefault="00A4499D" w:rsidP="00A4499D">
      <w:pPr>
        <w:pStyle w:val="Heading3"/>
      </w:pPr>
      <w:r w:rsidRPr="00473ED6">
        <w:t>Background</w:t>
      </w:r>
    </w:p>
    <w:p w14:paraId="2FEA82BE" w14:textId="52C06082" w:rsidR="00137EB5" w:rsidRDefault="00700167" w:rsidP="00E22D08">
      <w:r>
        <w:t>Currently</w:t>
      </w:r>
      <w:r w:rsidR="00137EB5">
        <w:t xml:space="preserve">, for parents whose </w:t>
      </w:r>
      <w:r w:rsidR="002A1B26">
        <w:t>only</w:t>
      </w:r>
      <w:r w:rsidR="00137EB5">
        <w:t xml:space="preserve"> income is from income</w:t>
      </w:r>
      <w:r w:rsidR="002A1B26">
        <w:t xml:space="preserve"> that has had tax deducted at source</w:t>
      </w:r>
      <w:r w:rsidR="00137EB5">
        <w:t xml:space="preserve">, only their employment income is included in their child support </w:t>
      </w:r>
      <w:r w:rsidR="00137EB5" w:rsidRPr="00123041">
        <w:t>assessment</w:t>
      </w:r>
      <w:r w:rsidR="00137EB5">
        <w:t xml:space="preserve">. That is, interest and dividends subject to resident withholding tax </w:t>
      </w:r>
      <w:r w:rsidR="00BF1610">
        <w:t>are</w:t>
      </w:r>
      <w:r w:rsidR="00137EB5">
        <w:t xml:space="preserve"> excluded. This is because, in the past, interest and dividend income was not generally known until the end of the tax year. However, from 1 April 2020 interest and dividend income </w:t>
      </w:r>
      <w:r w:rsidR="00734D1F">
        <w:t xml:space="preserve">information </w:t>
      </w:r>
      <w:r w:rsidR="00CC5548">
        <w:t>will be</w:t>
      </w:r>
      <w:r w:rsidR="00302D0D">
        <w:t xml:space="preserve"> </w:t>
      </w:r>
      <w:r w:rsidR="00137EB5">
        <w:t xml:space="preserve">reported to Inland Revenue on a monthly basis. </w:t>
      </w:r>
      <w:r w:rsidR="00734D1F">
        <w:t>This means t</w:t>
      </w:r>
      <w:r w:rsidR="00BA1F8F">
        <w:t xml:space="preserve">here </w:t>
      </w:r>
      <w:r w:rsidR="00CC5548">
        <w:t xml:space="preserve">will </w:t>
      </w:r>
      <w:r w:rsidR="00BA1F8F">
        <w:t xml:space="preserve">now </w:t>
      </w:r>
      <w:r w:rsidR="00CC5548">
        <w:t xml:space="preserve">be </w:t>
      </w:r>
      <w:r w:rsidR="00BA1F8F">
        <w:t xml:space="preserve">the </w:t>
      </w:r>
      <w:r w:rsidR="00B97BFC">
        <w:t>opportunity</w:t>
      </w:r>
      <w:r w:rsidR="00BA1F8F">
        <w:t xml:space="preserve"> to </w:t>
      </w:r>
      <w:r w:rsidR="00734D1F">
        <w:t>take</w:t>
      </w:r>
      <w:r w:rsidR="00B97BFC">
        <w:t xml:space="preserve"> interest and dividends</w:t>
      </w:r>
      <w:r w:rsidR="00734D1F">
        <w:t xml:space="preserve"> into account</w:t>
      </w:r>
      <w:r w:rsidR="00B97BFC">
        <w:t>.</w:t>
      </w:r>
    </w:p>
    <w:p w14:paraId="4A47E370" w14:textId="55992255" w:rsidR="0092213C" w:rsidRDefault="00917244" w:rsidP="00E22D08">
      <w:r w:rsidRPr="00725826">
        <w:t xml:space="preserve">One of the objectives of child support is that the level of financial support </w:t>
      </w:r>
      <w:r>
        <w:t xml:space="preserve">that </w:t>
      </w:r>
      <w:r w:rsidRPr="00725826">
        <w:t>parents provide for their children is determined according to their relative</w:t>
      </w:r>
      <w:r w:rsidR="00302D0D">
        <w:t xml:space="preserve"> financial</w:t>
      </w:r>
      <w:r w:rsidRPr="00725826">
        <w:t xml:space="preserve"> capacity</w:t>
      </w:r>
      <w:r w:rsidR="00D6382E">
        <w:t>.</w:t>
      </w:r>
      <w:r>
        <w:t xml:space="preserve"> </w:t>
      </w:r>
      <w:r w:rsidR="007566CB">
        <w:t xml:space="preserve">Reducing a person’s income by deducting tax losses that have been occurred in earlier periods </w:t>
      </w:r>
      <w:r w:rsidRPr="00725826">
        <w:t>is at odds with that objective</w:t>
      </w:r>
      <w:r w:rsidR="007566CB">
        <w:t>.</w:t>
      </w:r>
    </w:p>
    <w:p w14:paraId="279B4D78" w14:textId="12B824A6" w:rsidR="00A4499D" w:rsidRPr="00D9547E" w:rsidRDefault="0092213C" w:rsidP="00D9547E">
      <w:r>
        <w:t>This</w:t>
      </w:r>
      <w:r w:rsidR="0063150A">
        <w:t xml:space="preserve"> </w:t>
      </w:r>
      <w:r w:rsidR="00AF1F9B">
        <w:t>proposed amendment would</w:t>
      </w:r>
      <w:r w:rsidR="0063150A">
        <w:t xml:space="preserve"> also more closely align the definition of </w:t>
      </w:r>
      <w:r w:rsidR="00EF084D">
        <w:t>“</w:t>
      </w:r>
      <w:r w:rsidR="0063150A">
        <w:t xml:space="preserve">income” used for child support purposes with that used </w:t>
      </w:r>
      <w:r w:rsidR="003E6F96">
        <w:t xml:space="preserve">in </w:t>
      </w:r>
      <w:r w:rsidR="0063150A">
        <w:t xml:space="preserve">other social </w:t>
      </w:r>
      <w:r w:rsidR="003E6F96">
        <w:t>policies</w:t>
      </w:r>
      <w:r w:rsidR="0063150A">
        <w:t xml:space="preserve"> such as Working for Families tax credits.</w:t>
      </w:r>
    </w:p>
    <w:p w14:paraId="4A000FBC" w14:textId="77777777" w:rsidR="00D9547E" w:rsidRDefault="00D9547E" w:rsidP="006B4DEC">
      <w:pPr>
        <w:pStyle w:val="Heading1"/>
        <w:sectPr w:rsidR="00D9547E" w:rsidSect="009444E1">
          <w:footerReference w:type="first" r:id="rId21"/>
          <w:type w:val="oddPage"/>
          <w:pgSz w:w="11906" w:h="16838" w:code="9"/>
          <w:pgMar w:top="1304" w:right="1559" w:bottom="1134" w:left="1559" w:header="720" w:footer="567" w:gutter="0"/>
          <w:cols w:space="720"/>
          <w:docGrid w:linePitch="326"/>
        </w:sectPr>
      </w:pPr>
    </w:p>
    <w:p w14:paraId="27CB9A44" w14:textId="75FB6FE1" w:rsidR="006B4DEC" w:rsidRDefault="006B4DEC" w:rsidP="006B4DEC">
      <w:pPr>
        <w:pStyle w:val="Heading1"/>
      </w:pPr>
      <w:bookmarkStart w:id="21" w:name="_Toc34836411"/>
      <w:r>
        <w:t>Technical amendments</w:t>
      </w:r>
      <w:bookmarkEnd w:id="21"/>
    </w:p>
    <w:p w14:paraId="55558E5D" w14:textId="77777777" w:rsidR="00D9547E" w:rsidRDefault="00D9547E" w:rsidP="00677728">
      <w:pPr>
        <w:spacing w:before="0"/>
        <w:jc w:val="left"/>
      </w:pPr>
    </w:p>
    <w:p w14:paraId="70512EB4" w14:textId="75799BA9" w:rsidR="00D9547E" w:rsidRDefault="00D9547E" w:rsidP="00677728">
      <w:pPr>
        <w:spacing w:before="0"/>
        <w:jc w:val="left"/>
        <w:sectPr w:rsidR="00D9547E" w:rsidSect="009444E1">
          <w:type w:val="oddPage"/>
          <w:pgSz w:w="11906" w:h="16838" w:code="9"/>
          <w:pgMar w:top="1304" w:right="1559" w:bottom="1134" w:left="1559" w:header="720" w:footer="567" w:gutter="0"/>
          <w:cols w:space="720"/>
          <w:docGrid w:linePitch="326"/>
        </w:sectPr>
      </w:pPr>
    </w:p>
    <w:p w14:paraId="74861EE0" w14:textId="77777777" w:rsidR="00923EB3" w:rsidRPr="00D9547E" w:rsidRDefault="00923EB3" w:rsidP="00D9547E">
      <w:pPr>
        <w:pStyle w:val="Heading2"/>
        <w:rPr>
          <w:rFonts w:eastAsia="Calibri"/>
        </w:rPr>
      </w:pPr>
      <w:bookmarkStart w:id="22" w:name="_Toc34836412"/>
      <w:r w:rsidRPr="00D9547E">
        <w:rPr>
          <w:rFonts w:eastAsia="Calibri"/>
        </w:rPr>
        <w:t>Reconciling an estimation at the end of the year</w:t>
      </w:r>
      <w:bookmarkEnd w:id="22"/>
    </w:p>
    <w:p w14:paraId="143876E1" w14:textId="35CF9437" w:rsidR="009458F0" w:rsidRPr="00473ED6" w:rsidRDefault="009458F0" w:rsidP="00923EB3">
      <w:pPr>
        <w:pStyle w:val="Clause"/>
      </w:pPr>
      <w:r w:rsidRPr="00473ED6">
        <w:t>(Clause</w:t>
      </w:r>
      <w:r w:rsidR="00354EA8">
        <w:t>s</w:t>
      </w:r>
      <w:r w:rsidRPr="00473ED6">
        <w:t xml:space="preserve"> </w:t>
      </w:r>
      <w:r w:rsidR="00354EA8">
        <w:t>14, 16 and 17</w:t>
      </w:r>
      <w:r w:rsidRPr="00473ED6">
        <w:t>)</w:t>
      </w:r>
    </w:p>
    <w:p w14:paraId="55355474" w14:textId="6F8C8001" w:rsidR="009458F0" w:rsidRPr="00473ED6" w:rsidRDefault="009458F0" w:rsidP="009458F0">
      <w:pPr>
        <w:pStyle w:val="Heading3"/>
      </w:pPr>
      <w:r w:rsidRPr="00473ED6">
        <w:t>Summary of proposed amendment</w:t>
      </w:r>
    </w:p>
    <w:p w14:paraId="3262856D" w14:textId="6BDE0559" w:rsidR="00097C1A" w:rsidRDefault="006F47DC" w:rsidP="00097C1A">
      <w:pPr>
        <w:rPr>
          <w:b/>
        </w:rPr>
      </w:pPr>
      <w:r>
        <w:t xml:space="preserve">It is proposed that </w:t>
      </w:r>
      <w:r w:rsidR="00764AF3" w:rsidRPr="00764AF3">
        <w:t>a “reconciliation period” is introduced to ensure that</w:t>
      </w:r>
      <w:r w:rsidR="00764AF3">
        <w:t xml:space="preserve"> </w:t>
      </w:r>
      <w:r>
        <w:t>if</w:t>
      </w:r>
      <w:r w:rsidR="00097C1A" w:rsidRPr="00097C1A">
        <w:t xml:space="preserve"> a parent has estimate</w:t>
      </w:r>
      <w:r w:rsidR="00AE26FF">
        <w:t>d</w:t>
      </w:r>
      <w:r w:rsidR="00097C1A" w:rsidRPr="00097C1A">
        <w:t xml:space="preserve"> their income</w:t>
      </w:r>
      <w:r w:rsidR="00AE26FF">
        <w:t xml:space="preserve"> for child support</w:t>
      </w:r>
      <w:r w:rsidR="00097C1A" w:rsidRPr="00097C1A">
        <w:t xml:space="preserve">, the income used for the end of year reconciliation </w:t>
      </w:r>
      <w:r w:rsidR="00764AF3">
        <w:t>would</w:t>
      </w:r>
      <w:r w:rsidR="00764AF3" w:rsidRPr="00097C1A">
        <w:t xml:space="preserve"> </w:t>
      </w:r>
      <w:r w:rsidR="00097C1A" w:rsidRPr="00097C1A">
        <w:t>reflect what was earned over the period the estimate applies to</w:t>
      </w:r>
      <w:r>
        <w:t>.</w:t>
      </w:r>
    </w:p>
    <w:p w14:paraId="6403AFA8" w14:textId="1F0588EC" w:rsidR="009458F0" w:rsidRPr="00473ED6" w:rsidRDefault="009458F0" w:rsidP="009458F0">
      <w:pPr>
        <w:pStyle w:val="Heading3"/>
      </w:pPr>
      <w:r w:rsidRPr="00473ED6">
        <w:t>Application date</w:t>
      </w:r>
    </w:p>
    <w:p w14:paraId="7C76A029" w14:textId="5D513B61" w:rsidR="009458F0" w:rsidRPr="00473ED6" w:rsidRDefault="009458F0" w:rsidP="009458F0">
      <w:r>
        <w:t xml:space="preserve">The </w:t>
      </w:r>
      <w:r w:rsidR="002A2C08" w:rsidRPr="002A2C08">
        <w:t xml:space="preserve">proposed </w:t>
      </w:r>
      <w:r>
        <w:t xml:space="preserve">amendment </w:t>
      </w:r>
      <w:r w:rsidR="00525477">
        <w:t xml:space="preserve">would </w:t>
      </w:r>
      <w:r>
        <w:t>apply from</w:t>
      </w:r>
      <w:r w:rsidR="00892A63">
        <w:t xml:space="preserve"> 1 April</w:t>
      </w:r>
      <w:r w:rsidR="001A623D">
        <w:t xml:space="preserve"> </w:t>
      </w:r>
      <w:r w:rsidR="00892A63">
        <w:t>2021</w:t>
      </w:r>
      <w:r>
        <w:t>.</w:t>
      </w:r>
    </w:p>
    <w:p w14:paraId="6DEB46D1" w14:textId="77777777" w:rsidR="009458F0" w:rsidRPr="00473ED6" w:rsidRDefault="009458F0" w:rsidP="009458F0">
      <w:pPr>
        <w:pStyle w:val="Heading3"/>
      </w:pPr>
      <w:r w:rsidRPr="00473ED6">
        <w:t>Key features</w:t>
      </w:r>
    </w:p>
    <w:p w14:paraId="11EF8A8E" w14:textId="73887E86" w:rsidR="00764AF3" w:rsidRDefault="00764AF3" w:rsidP="00764AF3">
      <w:r>
        <w:t xml:space="preserve">When a parent has estimated their income for child support, the </w:t>
      </w:r>
      <w:r w:rsidR="000C4601">
        <w:t xml:space="preserve">proposed </w:t>
      </w:r>
      <w:r>
        <w:t>reconciliation would be completed on the basis of a “reconciliation period” rather than an “election period”. This would ensure that the period being squared up reflects the number of days for which the estimation is in effect.</w:t>
      </w:r>
    </w:p>
    <w:p w14:paraId="2DA320A9" w14:textId="6232E94E" w:rsidR="00764AF3" w:rsidRDefault="00764AF3" w:rsidP="00764AF3">
      <w:r>
        <w:t xml:space="preserve">The </w:t>
      </w:r>
      <w:r w:rsidR="00C61071">
        <w:t xml:space="preserve">proposed </w:t>
      </w:r>
      <w:r>
        <w:t xml:space="preserve">reconciliation period would be from the start of the month in which the estimate was received until </w:t>
      </w:r>
      <w:r w:rsidR="00605970" w:rsidRPr="00605970">
        <w:t>the</w:t>
      </w:r>
      <w:r w:rsidR="00605970">
        <w:t xml:space="preserve"> </w:t>
      </w:r>
      <w:r>
        <w:t xml:space="preserve">day before the next estimate. If there is only one estimate, or it is the last estimate in a year, the </w:t>
      </w:r>
      <w:r w:rsidR="00C61071">
        <w:t xml:space="preserve">proposed </w:t>
      </w:r>
      <w:r>
        <w:t>reconciliation period would be from the start of the month in which the estimate was received until the end of the child support year.</w:t>
      </w:r>
    </w:p>
    <w:p w14:paraId="6628BA46" w14:textId="171FE445" w:rsidR="00764AF3" w:rsidRDefault="00764AF3" w:rsidP="00764AF3">
      <w:r>
        <w:t>The formula for reconciliation would be changed so that the income used reflects the amount received over the reconciliation period (rather than considering income received after the reconciliation period has ended, as can currently occur). The amended formula would have income received over the reconciliation period divided by the number of days within the reconciliation period and then multiplied by 365 to achieve an annualised income.</w:t>
      </w:r>
    </w:p>
    <w:p w14:paraId="40710B18" w14:textId="02FB6613" w:rsidR="007F0C55" w:rsidRDefault="00764AF3" w:rsidP="00764AF3">
      <w:r>
        <w:t>If the actual income a parent earned at the end of the year is more than what they were originally assessed on (before they chose to estimate), the reconciliation income w</w:t>
      </w:r>
      <w:r w:rsidR="00C61071">
        <w:t>ould</w:t>
      </w:r>
      <w:r>
        <w:t xml:space="preserve"> still be that from the original assessment.</w:t>
      </w:r>
    </w:p>
    <w:p w14:paraId="4BC372FB" w14:textId="32B416E3" w:rsidR="007F0C55" w:rsidRDefault="007F0C55" w:rsidP="007F0C55">
      <w:r>
        <w:t xml:space="preserve">This outcome is </w:t>
      </w:r>
      <w:r w:rsidR="00764AF3">
        <w:t>illustrated</w:t>
      </w:r>
      <w:r>
        <w:t xml:space="preserve"> in </w:t>
      </w:r>
      <w:r w:rsidR="009823E4">
        <w:t>figure 4.</w:t>
      </w:r>
    </w:p>
    <w:p w14:paraId="0B03765A" w14:textId="77777777" w:rsidR="00916B70" w:rsidRPr="00E51E85" w:rsidRDefault="00916B70" w:rsidP="00E51E85">
      <w:r w:rsidRPr="00E51E85">
        <w:br w:type="page"/>
      </w:r>
    </w:p>
    <w:p w14:paraId="241EEA2A" w14:textId="11BFD9F2" w:rsidR="007F0C55" w:rsidRDefault="009823E4" w:rsidP="009823E4">
      <w:pPr>
        <w:pStyle w:val="Caption"/>
      </w:pPr>
      <w:r>
        <w:t>Figure 4</w:t>
      </w:r>
      <w:r w:rsidR="00546BA9">
        <w:t xml:space="preserve">: Outcome of </w:t>
      </w:r>
      <w:r w:rsidR="003F6898">
        <w:t xml:space="preserve">the </w:t>
      </w:r>
      <w:r w:rsidR="00546BA9">
        <w:t>proposed reconciliation period</w:t>
      </w:r>
    </w:p>
    <w:p w14:paraId="510A2513" w14:textId="638E5FE3" w:rsidR="007F0C55" w:rsidRDefault="00577BFB" w:rsidP="009823E4">
      <w:pPr>
        <w:pStyle w:val="Figure"/>
      </w:pPr>
      <w:r>
        <w:object w:dxaOrig="10606" w:dyaOrig="2625" w14:anchorId="5E409CBC">
          <v:shape id="_x0000_i1028" type="#_x0000_t75" alt="Figure4: Outcome of the proposed reconciliation period" style="width:438.75pt;height:108.75pt" o:ole="">
            <v:imagedata r:id="rId22" o:title=""/>
          </v:shape>
          <o:OLEObject Type="Embed" ProgID="Visio.Drawing.15" ShapeID="_x0000_i1028" DrawAspect="Content" ObjectID="_1645449625" r:id="rId23"/>
        </w:object>
      </w:r>
    </w:p>
    <w:p w14:paraId="69C36CA1" w14:textId="092B4791" w:rsidR="007D4CB3" w:rsidRDefault="007D4CB3" w:rsidP="00E51E85">
      <w:pPr>
        <w:spacing w:before="0"/>
      </w:pPr>
    </w:p>
    <w:tbl>
      <w:tblPr>
        <w:tblStyle w:val="TableGrid"/>
        <w:tblW w:w="8789" w:type="dxa"/>
        <w:tblBorders>
          <w:top w:val="none" w:sz="0" w:space="0" w:color="auto"/>
          <w:left w:val="none" w:sz="0" w:space="0" w:color="auto"/>
        </w:tblBorders>
        <w:tblLook w:val="04A0" w:firstRow="1" w:lastRow="0" w:firstColumn="1" w:lastColumn="0" w:noHBand="0" w:noVBand="1"/>
      </w:tblPr>
      <w:tblGrid>
        <w:gridCol w:w="1701"/>
        <w:gridCol w:w="2268"/>
        <w:gridCol w:w="2552"/>
        <w:gridCol w:w="2268"/>
      </w:tblGrid>
      <w:tr w:rsidR="007D4CB3" w:rsidRPr="007D4CB3" w14:paraId="591096A3" w14:textId="77777777" w:rsidTr="00E51E85">
        <w:trPr>
          <w:tblHeader/>
        </w:trPr>
        <w:tc>
          <w:tcPr>
            <w:tcW w:w="1701" w:type="dxa"/>
            <w:tcBorders>
              <w:bottom w:val="single" w:sz="4" w:space="0" w:color="auto"/>
            </w:tcBorders>
          </w:tcPr>
          <w:p w14:paraId="0E6CABE4" w14:textId="77777777" w:rsidR="007D4CB3" w:rsidRPr="00E51E85" w:rsidRDefault="007D4CB3" w:rsidP="00E51E85">
            <w:pPr>
              <w:spacing w:before="40" w:after="40"/>
              <w:jc w:val="left"/>
              <w:rPr>
                <w:b/>
                <w:bCs/>
                <w:sz w:val="20"/>
                <w:szCs w:val="20"/>
              </w:rPr>
            </w:pPr>
          </w:p>
        </w:tc>
        <w:tc>
          <w:tcPr>
            <w:tcW w:w="2268" w:type="dxa"/>
            <w:tcBorders>
              <w:top w:val="single" w:sz="4" w:space="0" w:color="auto"/>
            </w:tcBorders>
          </w:tcPr>
          <w:p w14:paraId="7A0B1248" w14:textId="77777777" w:rsidR="007D4CB3" w:rsidRPr="00E51E85" w:rsidRDefault="007D4CB3" w:rsidP="00E51E85">
            <w:pPr>
              <w:spacing w:before="40" w:after="40"/>
              <w:jc w:val="center"/>
              <w:rPr>
                <w:b/>
                <w:bCs/>
                <w:sz w:val="20"/>
                <w:szCs w:val="20"/>
              </w:rPr>
            </w:pPr>
            <w:r w:rsidRPr="00E51E85">
              <w:rPr>
                <w:b/>
                <w:bCs/>
                <w:sz w:val="20"/>
                <w:szCs w:val="20"/>
              </w:rPr>
              <w:t>Reconciliation period 1</w:t>
            </w:r>
          </w:p>
        </w:tc>
        <w:tc>
          <w:tcPr>
            <w:tcW w:w="2552" w:type="dxa"/>
            <w:tcBorders>
              <w:top w:val="single" w:sz="4" w:space="0" w:color="auto"/>
            </w:tcBorders>
          </w:tcPr>
          <w:p w14:paraId="15C946CD" w14:textId="77777777" w:rsidR="007D4CB3" w:rsidRPr="00E51E85" w:rsidRDefault="007D4CB3" w:rsidP="00E51E85">
            <w:pPr>
              <w:spacing w:before="40" w:after="40"/>
              <w:jc w:val="center"/>
              <w:rPr>
                <w:b/>
                <w:bCs/>
                <w:sz w:val="20"/>
                <w:szCs w:val="20"/>
              </w:rPr>
            </w:pPr>
            <w:r w:rsidRPr="00E51E85">
              <w:rPr>
                <w:b/>
                <w:bCs/>
                <w:sz w:val="20"/>
                <w:szCs w:val="20"/>
              </w:rPr>
              <w:t>Reconciliation period 2</w:t>
            </w:r>
          </w:p>
        </w:tc>
        <w:tc>
          <w:tcPr>
            <w:tcW w:w="2268" w:type="dxa"/>
            <w:tcBorders>
              <w:top w:val="single" w:sz="4" w:space="0" w:color="auto"/>
            </w:tcBorders>
          </w:tcPr>
          <w:p w14:paraId="65ADD6A6" w14:textId="77777777" w:rsidR="007D4CB3" w:rsidRPr="00E51E85" w:rsidRDefault="007D4CB3" w:rsidP="00E51E85">
            <w:pPr>
              <w:spacing w:before="40" w:after="40"/>
              <w:jc w:val="center"/>
              <w:rPr>
                <w:b/>
                <w:bCs/>
                <w:sz w:val="20"/>
                <w:szCs w:val="20"/>
              </w:rPr>
            </w:pPr>
            <w:r w:rsidRPr="00E51E85">
              <w:rPr>
                <w:b/>
                <w:bCs/>
                <w:sz w:val="20"/>
                <w:szCs w:val="20"/>
              </w:rPr>
              <w:t>Reconciliation period 3</w:t>
            </w:r>
          </w:p>
        </w:tc>
      </w:tr>
      <w:tr w:rsidR="007D4CB3" w:rsidRPr="007D4CB3" w14:paraId="1290BA55" w14:textId="77777777" w:rsidTr="00E51E85">
        <w:tc>
          <w:tcPr>
            <w:tcW w:w="1701" w:type="dxa"/>
            <w:tcBorders>
              <w:top w:val="single" w:sz="4" w:space="0" w:color="auto"/>
              <w:left w:val="single" w:sz="4" w:space="0" w:color="auto"/>
            </w:tcBorders>
          </w:tcPr>
          <w:p w14:paraId="6C6FE07A" w14:textId="77777777" w:rsidR="007D4CB3" w:rsidRPr="00E51E85" w:rsidRDefault="007D4CB3" w:rsidP="00E51E85">
            <w:pPr>
              <w:spacing w:before="40" w:after="40"/>
              <w:jc w:val="left"/>
              <w:rPr>
                <w:sz w:val="20"/>
                <w:szCs w:val="20"/>
              </w:rPr>
            </w:pPr>
            <w:r w:rsidRPr="00E51E85">
              <w:rPr>
                <w:sz w:val="20"/>
                <w:szCs w:val="20"/>
              </w:rPr>
              <w:t>Length of period</w:t>
            </w:r>
          </w:p>
        </w:tc>
        <w:tc>
          <w:tcPr>
            <w:tcW w:w="2268" w:type="dxa"/>
          </w:tcPr>
          <w:p w14:paraId="1B038C6D" w14:textId="77777777" w:rsidR="007D4CB3" w:rsidRPr="00E51E85" w:rsidRDefault="007D4CB3" w:rsidP="00E51E85">
            <w:pPr>
              <w:spacing w:before="40" w:after="40"/>
              <w:jc w:val="center"/>
              <w:rPr>
                <w:sz w:val="20"/>
                <w:szCs w:val="20"/>
              </w:rPr>
            </w:pPr>
            <w:r w:rsidRPr="00E51E85">
              <w:rPr>
                <w:sz w:val="20"/>
                <w:szCs w:val="20"/>
              </w:rPr>
              <w:t>30 days</w:t>
            </w:r>
          </w:p>
        </w:tc>
        <w:tc>
          <w:tcPr>
            <w:tcW w:w="2552" w:type="dxa"/>
          </w:tcPr>
          <w:p w14:paraId="722EFED9" w14:textId="77777777" w:rsidR="007D4CB3" w:rsidRPr="00E51E85" w:rsidRDefault="007D4CB3" w:rsidP="00E51E85">
            <w:pPr>
              <w:spacing w:before="40" w:after="40"/>
              <w:jc w:val="center"/>
              <w:rPr>
                <w:sz w:val="20"/>
                <w:szCs w:val="20"/>
              </w:rPr>
            </w:pPr>
            <w:r w:rsidRPr="00E51E85">
              <w:rPr>
                <w:sz w:val="20"/>
                <w:szCs w:val="20"/>
              </w:rPr>
              <w:t>61 days</w:t>
            </w:r>
          </w:p>
        </w:tc>
        <w:tc>
          <w:tcPr>
            <w:tcW w:w="2268" w:type="dxa"/>
          </w:tcPr>
          <w:p w14:paraId="0FF3AF17" w14:textId="77777777" w:rsidR="007D4CB3" w:rsidRPr="00E51E85" w:rsidRDefault="007D4CB3" w:rsidP="00E51E85">
            <w:pPr>
              <w:spacing w:before="40" w:after="40"/>
              <w:jc w:val="center"/>
              <w:rPr>
                <w:sz w:val="20"/>
                <w:szCs w:val="20"/>
              </w:rPr>
            </w:pPr>
            <w:r w:rsidRPr="00E51E85">
              <w:rPr>
                <w:sz w:val="20"/>
                <w:szCs w:val="20"/>
              </w:rPr>
              <w:t>274 days</w:t>
            </w:r>
          </w:p>
        </w:tc>
      </w:tr>
      <w:tr w:rsidR="007D4CB3" w:rsidRPr="007D4CB3" w14:paraId="32D6B853" w14:textId="77777777" w:rsidTr="00E51E85">
        <w:tc>
          <w:tcPr>
            <w:tcW w:w="1701" w:type="dxa"/>
            <w:tcBorders>
              <w:top w:val="single" w:sz="4" w:space="0" w:color="auto"/>
              <w:left w:val="single" w:sz="4" w:space="0" w:color="auto"/>
            </w:tcBorders>
          </w:tcPr>
          <w:p w14:paraId="55491277" w14:textId="77777777" w:rsidR="007D4CB3" w:rsidRPr="00E51E85" w:rsidRDefault="007D4CB3" w:rsidP="00E51E85">
            <w:pPr>
              <w:spacing w:before="40" w:after="40"/>
              <w:jc w:val="left"/>
              <w:rPr>
                <w:sz w:val="20"/>
                <w:szCs w:val="20"/>
              </w:rPr>
            </w:pPr>
            <w:r w:rsidRPr="00E51E85">
              <w:rPr>
                <w:sz w:val="20"/>
                <w:szCs w:val="20"/>
              </w:rPr>
              <w:t>Income derived in period</w:t>
            </w:r>
          </w:p>
        </w:tc>
        <w:tc>
          <w:tcPr>
            <w:tcW w:w="2268" w:type="dxa"/>
          </w:tcPr>
          <w:p w14:paraId="6F5632EC" w14:textId="77777777" w:rsidR="007D4CB3" w:rsidRPr="00E51E85" w:rsidRDefault="007D4CB3" w:rsidP="00E51E85">
            <w:pPr>
              <w:spacing w:before="40" w:after="40"/>
              <w:jc w:val="center"/>
              <w:rPr>
                <w:sz w:val="20"/>
                <w:szCs w:val="20"/>
              </w:rPr>
            </w:pPr>
            <w:r w:rsidRPr="00E51E85">
              <w:rPr>
                <w:sz w:val="20"/>
                <w:szCs w:val="20"/>
              </w:rPr>
              <w:t>$3,334</w:t>
            </w:r>
          </w:p>
        </w:tc>
        <w:tc>
          <w:tcPr>
            <w:tcW w:w="2552" w:type="dxa"/>
          </w:tcPr>
          <w:p w14:paraId="58EC83D0" w14:textId="77777777" w:rsidR="007D4CB3" w:rsidRPr="00E51E85" w:rsidRDefault="007D4CB3" w:rsidP="00E51E85">
            <w:pPr>
              <w:spacing w:before="40" w:after="40"/>
              <w:jc w:val="center"/>
              <w:rPr>
                <w:sz w:val="20"/>
                <w:szCs w:val="20"/>
              </w:rPr>
            </w:pPr>
            <w:r w:rsidRPr="00E51E85">
              <w:rPr>
                <w:sz w:val="20"/>
                <w:szCs w:val="20"/>
              </w:rPr>
              <w:t>$5,294</w:t>
            </w:r>
          </w:p>
        </w:tc>
        <w:tc>
          <w:tcPr>
            <w:tcW w:w="2268" w:type="dxa"/>
          </w:tcPr>
          <w:p w14:paraId="0489BAFA" w14:textId="77777777" w:rsidR="007D4CB3" w:rsidRPr="00E51E85" w:rsidRDefault="007D4CB3" w:rsidP="00E51E85">
            <w:pPr>
              <w:spacing w:before="40" w:after="40"/>
              <w:jc w:val="center"/>
              <w:rPr>
                <w:sz w:val="20"/>
                <w:szCs w:val="20"/>
              </w:rPr>
            </w:pPr>
            <w:r w:rsidRPr="00E51E85">
              <w:rPr>
                <w:sz w:val="20"/>
                <w:szCs w:val="20"/>
              </w:rPr>
              <w:t>$54,206</w:t>
            </w:r>
          </w:p>
        </w:tc>
      </w:tr>
      <w:tr w:rsidR="007D4CB3" w:rsidRPr="007D4CB3" w14:paraId="6AEF1D31" w14:textId="77777777" w:rsidTr="00E51E85">
        <w:tc>
          <w:tcPr>
            <w:tcW w:w="1701" w:type="dxa"/>
            <w:tcBorders>
              <w:top w:val="single" w:sz="4" w:space="0" w:color="auto"/>
              <w:left w:val="single" w:sz="4" w:space="0" w:color="auto"/>
            </w:tcBorders>
          </w:tcPr>
          <w:p w14:paraId="726A2822" w14:textId="77777777" w:rsidR="007D4CB3" w:rsidRPr="00E51E85" w:rsidRDefault="007D4CB3" w:rsidP="00E51E85">
            <w:pPr>
              <w:spacing w:before="40" w:after="40"/>
              <w:jc w:val="left"/>
              <w:rPr>
                <w:sz w:val="20"/>
                <w:szCs w:val="20"/>
              </w:rPr>
            </w:pPr>
            <w:r w:rsidRPr="00E51E85">
              <w:rPr>
                <w:sz w:val="20"/>
                <w:szCs w:val="20"/>
              </w:rPr>
              <w:t>YTD income</w:t>
            </w:r>
          </w:p>
        </w:tc>
        <w:tc>
          <w:tcPr>
            <w:tcW w:w="2268" w:type="dxa"/>
          </w:tcPr>
          <w:p w14:paraId="6D929457" w14:textId="77777777" w:rsidR="007D4CB3" w:rsidRPr="00E51E85" w:rsidRDefault="007D4CB3" w:rsidP="00E51E85">
            <w:pPr>
              <w:spacing w:before="40" w:after="40"/>
              <w:jc w:val="center"/>
              <w:rPr>
                <w:sz w:val="20"/>
                <w:szCs w:val="20"/>
              </w:rPr>
            </w:pPr>
            <w:r w:rsidRPr="00E51E85">
              <w:rPr>
                <w:sz w:val="20"/>
                <w:szCs w:val="20"/>
              </w:rPr>
              <w:t>$0</w:t>
            </w:r>
          </w:p>
        </w:tc>
        <w:tc>
          <w:tcPr>
            <w:tcW w:w="2552" w:type="dxa"/>
          </w:tcPr>
          <w:p w14:paraId="2B51AE57" w14:textId="77777777" w:rsidR="007D4CB3" w:rsidRPr="00E51E85" w:rsidRDefault="007D4CB3" w:rsidP="00E51E85">
            <w:pPr>
              <w:spacing w:before="40" w:after="40"/>
              <w:jc w:val="center"/>
              <w:rPr>
                <w:sz w:val="20"/>
                <w:szCs w:val="20"/>
              </w:rPr>
            </w:pPr>
            <w:r w:rsidRPr="00E51E85">
              <w:rPr>
                <w:sz w:val="20"/>
                <w:szCs w:val="20"/>
              </w:rPr>
              <w:t>$3,334</w:t>
            </w:r>
          </w:p>
        </w:tc>
        <w:tc>
          <w:tcPr>
            <w:tcW w:w="2268" w:type="dxa"/>
          </w:tcPr>
          <w:p w14:paraId="779A0643" w14:textId="77777777" w:rsidR="007D4CB3" w:rsidRPr="00E51E85" w:rsidRDefault="007D4CB3" w:rsidP="00E51E85">
            <w:pPr>
              <w:spacing w:before="40" w:after="40"/>
              <w:jc w:val="center"/>
              <w:rPr>
                <w:sz w:val="20"/>
                <w:szCs w:val="20"/>
              </w:rPr>
            </w:pPr>
            <w:r w:rsidRPr="00E51E85">
              <w:rPr>
                <w:sz w:val="20"/>
                <w:szCs w:val="20"/>
              </w:rPr>
              <w:t>$5,294</w:t>
            </w:r>
          </w:p>
        </w:tc>
      </w:tr>
      <w:tr w:rsidR="003F6898" w:rsidRPr="007D4CB3" w14:paraId="08DA65AC" w14:textId="77777777" w:rsidTr="0014080F">
        <w:tc>
          <w:tcPr>
            <w:tcW w:w="1701" w:type="dxa"/>
            <w:vMerge w:val="restart"/>
            <w:tcBorders>
              <w:top w:val="single" w:sz="4" w:space="0" w:color="auto"/>
              <w:left w:val="single" w:sz="4" w:space="0" w:color="auto"/>
            </w:tcBorders>
          </w:tcPr>
          <w:p w14:paraId="723FCD85" w14:textId="77777777" w:rsidR="003F6898" w:rsidRPr="00E51E85" w:rsidRDefault="003F6898" w:rsidP="00E51E85">
            <w:pPr>
              <w:spacing w:before="40" w:after="40"/>
              <w:jc w:val="left"/>
              <w:rPr>
                <w:sz w:val="20"/>
                <w:szCs w:val="20"/>
              </w:rPr>
            </w:pPr>
            <w:r w:rsidRPr="00E51E85">
              <w:rPr>
                <w:sz w:val="20"/>
                <w:szCs w:val="20"/>
              </w:rPr>
              <w:t>Formula used</w:t>
            </w:r>
          </w:p>
        </w:tc>
        <w:tc>
          <w:tcPr>
            <w:tcW w:w="2268" w:type="dxa"/>
          </w:tcPr>
          <w:p w14:paraId="14BC56BD" w14:textId="257FEEAA" w:rsidR="003F6898" w:rsidRPr="00E51E85" w:rsidRDefault="003F6898" w:rsidP="00E51E85">
            <w:pPr>
              <w:spacing w:before="40" w:after="40"/>
              <w:jc w:val="center"/>
              <w:rPr>
                <w:sz w:val="20"/>
                <w:szCs w:val="20"/>
              </w:rPr>
            </w:pPr>
            <w:r w:rsidRPr="00E51E85">
              <w:rPr>
                <w:sz w:val="20"/>
                <w:szCs w:val="20"/>
              </w:rPr>
              <w:t xml:space="preserve">((a </w:t>
            </w:r>
            <w:r>
              <w:rPr>
                <w:sz w:val="20"/>
                <w:szCs w:val="20"/>
              </w:rPr>
              <w:t>−</w:t>
            </w:r>
            <w:r w:rsidRPr="00E51E85">
              <w:rPr>
                <w:sz w:val="20"/>
                <w:szCs w:val="20"/>
              </w:rPr>
              <w:t xml:space="preserve"> z) ÷ b) </w:t>
            </w:r>
            <w:r>
              <w:rPr>
                <w:sz w:val="20"/>
                <w:szCs w:val="20"/>
              </w:rPr>
              <w:t>×</w:t>
            </w:r>
            <w:r w:rsidRPr="00E51E85">
              <w:rPr>
                <w:sz w:val="20"/>
                <w:szCs w:val="20"/>
              </w:rPr>
              <w:t xml:space="preserve"> 365</w:t>
            </w:r>
          </w:p>
        </w:tc>
        <w:tc>
          <w:tcPr>
            <w:tcW w:w="2552" w:type="dxa"/>
          </w:tcPr>
          <w:p w14:paraId="18584809" w14:textId="5071A0C2" w:rsidR="003F6898" w:rsidRPr="00E51E85" w:rsidRDefault="003F6898" w:rsidP="00E51E85">
            <w:pPr>
              <w:spacing w:before="40" w:after="40"/>
              <w:jc w:val="center"/>
              <w:rPr>
                <w:sz w:val="20"/>
                <w:szCs w:val="20"/>
              </w:rPr>
            </w:pPr>
            <w:r w:rsidRPr="00E51E85">
              <w:rPr>
                <w:sz w:val="20"/>
                <w:szCs w:val="20"/>
              </w:rPr>
              <w:t xml:space="preserve">((a </w:t>
            </w:r>
            <w:r w:rsidRPr="007D4CB3">
              <w:rPr>
                <w:sz w:val="20"/>
                <w:szCs w:val="20"/>
              </w:rPr>
              <w:t>−</w:t>
            </w:r>
            <w:r w:rsidRPr="00E51E85">
              <w:rPr>
                <w:sz w:val="20"/>
                <w:szCs w:val="20"/>
              </w:rPr>
              <w:t xml:space="preserve"> z) ÷ b) </w:t>
            </w:r>
            <w:r w:rsidRPr="007D4CB3">
              <w:rPr>
                <w:sz w:val="20"/>
                <w:szCs w:val="20"/>
              </w:rPr>
              <w:t>×</w:t>
            </w:r>
            <w:r w:rsidRPr="00E51E85">
              <w:rPr>
                <w:sz w:val="20"/>
                <w:szCs w:val="20"/>
              </w:rPr>
              <w:t xml:space="preserve"> 365</w:t>
            </w:r>
          </w:p>
        </w:tc>
        <w:tc>
          <w:tcPr>
            <w:tcW w:w="2268" w:type="dxa"/>
          </w:tcPr>
          <w:p w14:paraId="0DD03DAA" w14:textId="2B867388" w:rsidR="003F6898" w:rsidRPr="00E51E85" w:rsidRDefault="003F6898" w:rsidP="00E51E85">
            <w:pPr>
              <w:spacing w:before="40" w:after="40"/>
              <w:jc w:val="center"/>
              <w:rPr>
                <w:sz w:val="20"/>
                <w:szCs w:val="20"/>
              </w:rPr>
            </w:pPr>
            <w:r w:rsidRPr="00E51E85">
              <w:rPr>
                <w:sz w:val="20"/>
                <w:szCs w:val="20"/>
              </w:rPr>
              <w:t xml:space="preserve">(a </w:t>
            </w:r>
            <w:r w:rsidRPr="007D4CB3">
              <w:rPr>
                <w:sz w:val="20"/>
                <w:szCs w:val="20"/>
              </w:rPr>
              <w:t>−</w:t>
            </w:r>
            <w:r w:rsidRPr="00E51E85">
              <w:rPr>
                <w:sz w:val="20"/>
                <w:szCs w:val="20"/>
              </w:rPr>
              <w:t xml:space="preserve"> b) </w:t>
            </w:r>
            <w:r w:rsidRPr="007D4CB3">
              <w:rPr>
                <w:sz w:val="20"/>
                <w:szCs w:val="20"/>
              </w:rPr>
              <w:t>×</w:t>
            </w:r>
            <w:r w:rsidRPr="00E51E85">
              <w:rPr>
                <w:sz w:val="20"/>
                <w:szCs w:val="20"/>
              </w:rPr>
              <w:t xml:space="preserve"> 365</w:t>
            </w:r>
          </w:p>
        </w:tc>
      </w:tr>
      <w:tr w:rsidR="003F6898" w:rsidRPr="007D4CB3" w14:paraId="01E3B148" w14:textId="77777777" w:rsidTr="0014080F">
        <w:tc>
          <w:tcPr>
            <w:tcW w:w="1701" w:type="dxa"/>
            <w:vMerge/>
            <w:tcBorders>
              <w:left w:val="single" w:sz="4" w:space="0" w:color="auto"/>
            </w:tcBorders>
          </w:tcPr>
          <w:p w14:paraId="3D7B32D4" w14:textId="77777777" w:rsidR="003F6898" w:rsidRPr="00E51E85" w:rsidRDefault="003F6898" w:rsidP="00E51E85">
            <w:pPr>
              <w:spacing w:before="40" w:after="40"/>
              <w:jc w:val="left"/>
              <w:rPr>
                <w:sz w:val="20"/>
                <w:szCs w:val="20"/>
              </w:rPr>
            </w:pPr>
          </w:p>
        </w:tc>
        <w:tc>
          <w:tcPr>
            <w:tcW w:w="2268" w:type="dxa"/>
          </w:tcPr>
          <w:p w14:paraId="3A59C376" w14:textId="5C40AE02" w:rsidR="003F6898" w:rsidRPr="00E51E85" w:rsidRDefault="003F6898" w:rsidP="00E51E85">
            <w:pPr>
              <w:spacing w:before="40" w:after="40"/>
              <w:jc w:val="center"/>
              <w:rPr>
                <w:sz w:val="20"/>
                <w:szCs w:val="20"/>
              </w:rPr>
            </w:pPr>
            <w:r w:rsidRPr="00E51E85">
              <w:rPr>
                <w:sz w:val="20"/>
                <w:szCs w:val="20"/>
              </w:rPr>
              <w:t xml:space="preserve">((3,334 </w:t>
            </w:r>
            <w:r>
              <w:rPr>
                <w:sz w:val="20"/>
                <w:szCs w:val="20"/>
              </w:rPr>
              <w:t>−</w:t>
            </w:r>
            <w:r w:rsidRPr="00E51E85">
              <w:rPr>
                <w:sz w:val="20"/>
                <w:szCs w:val="20"/>
              </w:rPr>
              <w:t xml:space="preserve"> 0) ÷ 30) </w:t>
            </w:r>
            <w:r w:rsidRPr="007D4CB3">
              <w:rPr>
                <w:sz w:val="20"/>
                <w:szCs w:val="20"/>
              </w:rPr>
              <w:t>×</w:t>
            </w:r>
            <w:r w:rsidRPr="00E51E85">
              <w:rPr>
                <w:sz w:val="20"/>
                <w:szCs w:val="20"/>
              </w:rPr>
              <w:t xml:space="preserve"> 365</w:t>
            </w:r>
          </w:p>
        </w:tc>
        <w:tc>
          <w:tcPr>
            <w:tcW w:w="2552" w:type="dxa"/>
          </w:tcPr>
          <w:p w14:paraId="20AC548B" w14:textId="1D3D9EED" w:rsidR="003F6898" w:rsidRPr="00E51E85" w:rsidRDefault="003F6898" w:rsidP="00E51E85">
            <w:pPr>
              <w:spacing w:before="40" w:after="40"/>
              <w:jc w:val="center"/>
              <w:rPr>
                <w:sz w:val="20"/>
                <w:szCs w:val="20"/>
              </w:rPr>
            </w:pPr>
            <w:r w:rsidRPr="00E51E85">
              <w:rPr>
                <w:sz w:val="20"/>
                <w:szCs w:val="20"/>
              </w:rPr>
              <w:t xml:space="preserve">((5,294 </w:t>
            </w:r>
            <w:r w:rsidRPr="007D4CB3">
              <w:rPr>
                <w:sz w:val="20"/>
                <w:szCs w:val="20"/>
              </w:rPr>
              <w:t>−</w:t>
            </w:r>
            <w:r w:rsidRPr="00E51E85">
              <w:rPr>
                <w:sz w:val="20"/>
                <w:szCs w:val="20"/>
              </w:rPr>
              <w:t xml:space="preserve"> 3,334) ÷ 61) </w:t>
            </w:r>
            <w:r w:rsidRPr="00546BA9">
              <w:rPr>
                <w:sz w:val="20"/>
                <w:szCs w:val="20"/>
              </w:rPr>
              <w:t>×</w:t>
            </w:r>
            <w:r w:rsidRPr="00E51E85">
              <w:rPr>
                <w:sz w:val="20"/>
                <w:szCs w:val="20"/>
              </w:rPr>
              <w:t xml:space="preserve"> 365</w:t>
            </w:r>
          </w:p>
        </w:tc>
        <w:tc>
          <w:tcPr>
            <w:tcW w:w="2268" w:type="dxa"/>
          </w:tcPr>
          <w:p w14:paraId="0E3427B3" w14:textId="77337D2D" w:rsidR="003F6898" w:rsidRPr="00E51E85" w:rsidRDefault="003F6898" w:rsidP="00E51E85">
            <w:pPr>
              <w:spacing w:before="40" w:after="40"/>
              <w:jc w:val="center"/>
              <w:rPr>
                <w:sz w:val="20"/>
                <w:szCs w:val="20"/>
              </w:rPr>
            </w:pPr>
            <w:r w:rsidRPr="00E51E85">
              <w:rPr>
                <w:sz w:val="20"/>
                <w:szCs w:val="20"/>
              </w:rPr>
              <w:t xml:space="preserve">(54,206 ÷ 274) </w:t>
            </w:r>
            <w:r w:rsidRPr="007D4CB3">
              <w:rPr>
                <w:sz w:val="20"/>
                <w:szCs w:val="20"/>
              </w:rPr>
              <w:t>×</w:t>
            </w:r>
            <w:r w:rsidRPr="00E51E85">
              <w:rPr>
                <w:sz w:val="20"/>
                <w:szCs w:val="20"/>
              </w:rPr>
              <w:t xml:space="preserve"> 365</w:t>
            </w:r>
          </w:p>
        </w:tc>
      </w:tr>
      <w:tr w:rsidR="007D4CB3" w:rsidRPr="007D4CB3" w14:paraId="1F6E3926" w14:textId="77777777" w:rsidTr="00E51E85">
        <w:tc>
          <w:tcPr>
            <w:tcW w:w="1701" w:type="dxa"/>
            <w:tcBorders>
              <w:top w:val="single" w:sz="4" w:space="0" w:color="auto"/>
              <w:left w:val="single" w:sz="4" w:space="0" w:color="auto"/>
            </w:tcBorders>
          </w:tcPr>
          <w:p w14:paraId="1714D3ED" w14:textId="77777777" w:rsidR="007D4CB3" w:rsidRPr="00E51E85" w:rsidRDefault="007D4CB3" w:rsidP="00E51E85">
            <w:pPr>
              <w:spacing w:before="40" w:after="40"/>
              <w:jc w:val="left"/>
              <w:rPr>
                <w:sz w:val="20"/>
                <w:szCs w:val="20"/>
              </w:rPr>
            </w:pPr>
            <w:r w:rsidRPr="00E51E85">
              <w:rPr>
                <w:sz w:val="20"/>
                <w:szCs w:val="20"/>
              </w:rPr>
              <w:t>Annualised income</w:t>
            </w:r>
          </w:p>
        </w:tc>
        <w:tc>
          <w:tcPr>
            <w:tcW w:w="2268" w:type="dxa"/>
          </w:tcPr>
          <w:p w14:paraId="1512EA7E" w14:textId="77777777" w:rsidR="007D4CB3" w:rsidRPr="00E51E85" w:rsidRDefault="007D4CB3" w:rsidP="00E51E85">
            <w:pPr>
              <w:spacing w:before="40" w:after="40"/>
              <w:jc w:val="center"/>
              <w:rPr>
                <w:sz w:val="20"/>
                <w:szCs w:val="20"/>
              </w:rPr>
            </w:pPr>
            <w:r w:rsidRPr="00E51E85">
              <w:rPr>
                <w:sz w:val="20"/>
                <w:szCs w:val="20"/>
              </w:rPr>
              <w:t>$40,563.67</w:t>
            </w:r>
          </w:p>
        </w:tc>
        <w:tc>
          <w:tcPr>
            <w:tcW w:w="2552" w:type="dxa"/>
          </w:tcPr>
          <w:p w14:paraId="11BAA184" w14:textId="77777777" w:rsidR="007D4CB3" w:rsidRPr="00E51E85" w:rsidRDefault="007D4CB3" w:rsidP="00E51E85">
            <w:pPr>
              <w:spacing w:before="40" w:after="40"/>
              <w:jc w:val="center"/>
              <w:rPr>
                <w:sz w:val="20"/>
                <w:szCs w:val="20"/>
              </w:rPr>
            </w:pPr>
            <w:r w:rsidRPr="00E51E85">
              <w:rPr>
                <w:sz w:val="20"/>
                <w:szCs w:val="20"/>
              </w:rPr>
              <w:t>$11,727.87</w:t>
            </w:r>
          </w:p>
        </w:tc>
        <w:tc>
          <w:tcPr>
            <w:tcW w:w="2268" w:type="dxa"/>
          </w:tcPr>
          <w:p w14:paraId="3FD31234" w14:textId="77777777" w:rsidR="007D4CB3" w:rsidRPr="00E51E85" w:rsidRDefault="007D4CB3" w:rsidP="00E51E85">
            <w:pPr>
              <w:spacing w:before="40" w:after="40"/>
              <w:jc w:val="center"/>
              <w:rPr>
                <w:sz w:val="20"/>
                <w:szCs w:val="20"/>
              </w:rPr>
            </w:pPr>
            <w:r w:rsidRPr="00E51E85">
              <w:rPr>
                <w:sz w:val="20"/>
                <w:szCs w:val="20"/>
              </w:rPr>
              <w:t>$72,208</w:t>
            </w:r>
          </w:p>
        </w:tc>
      </w:tr>
    </w:tbl>
    <w:p w14:paraId="04003B82" w14:textId="77777777" w:rsidR="00764AF3" w:rsidRPr="00764AF3" w:rsidRDefault="00764AF3" w:rsidP="00764AF3">
      <w:pPr>
        <w:pStyle w:val="Heading3"/>
      </w:pPr>
      <w:r w:rsidRPr="00764AF3">
        <w:t>Background</w:t>
      </w:r>
    </w:p>
    <w:p w14:paraId="23BD7A79" w14:textId="5725DE0B" w:rsidR="00764AF3" w:rsidRPr="00764AF3" w:rsidRDefault="00764AF3" w:rsidP="00764AF3">
      <w:r w:rsidRPr="00764AF3">
        <w:t xml:space="preserve">The child support formula assessment uses both parents’ income, based on the previous year’s income. However, if a parent expects their income to reduce by </w:t>
      </w:r>
      <w:r w:rsidR="00C61071">
        <w:t>fifteen percent</w:t>
      </w:r>
      <w:r w:rsidRPr="00764AF3">
        <w:t xml:space="preserve"> or more for the year, they may estimate the amount they expect to earn for the remainder of the year. A parent may estimate more than once during the year. At the end of the year there is a reconciliation of the estimate and the actual income earned in that period.</w:t>
      </w:r>
    </w:p>
    <w:p w14:paraId="36EBB4D4" w14:textId="3FBBD3E9" w:rsidR="009458F0" w:rsidRPr="00473ED6" w:rsidRDefault="008833B0" w:rsidP="009823E4">
      <w:pPr>
        <w:pStyle w:val="Heading3"/>
      </w:pPr>
      <w:r>
        <w:t>Detailed analysis</w:t>
      </w:r>
    </w:p>
    <w:p w14:paraId="1DC9D2E7" w14:textId="09238002" w:rsidR="00764AF3" w:rsidRDefault="00764AF3" w:rsidP="00764AF3">
      <w:r>
        <w:t>If a person elects to estimate their income, the estimate is reconciled at the end of the year to determine if child support has been under or overpaid. The reconciliation is currently completed on the basis of an “election period”.</w:t>
      </w:r>
    </w:p>
    <w:p w14:paraId="62ACB3F8" w14:textId="5F50ACC9" w:rsidR="00764AF3" w:rsidRDefault="00764AF3" w:rsidP="00764AF3">
      <w:r>
        <w:t>An election period for an estimate means either:</w:t>
      </w:r>
    </w:p>
    <w:p w14:paraId="168118F2" w14:textId="49D49D1C" w:rsidR="00764AF3" w:rsidRDefault="00764AF3" w:rsidP="00764AF3">
      <w:pPr>
        <w:pStyle w:val="ListBullet"/>
      </w:pPr>
      <w:r>
        <w:t>the child support year – if the estimate is submitted before the start of the child year or in the first month of the child support year; or</w:t>
      </w:r>
    </w:p>
    <w:p w14:paraId="71A6CC4F" w14:textId="77777777" w:rsidR="00764AF3" w:rsidRDefault="00764AF3" w:rsidP="00764AF3">
      <w:pPr>
        <w:pStyle w:val="ListBullet"/>
      </w:pPr>
      <w:r>
        <w:t>the period starting on the first day of the month in which an estimation is submitted to the last day of the child support year.</w:t>
      </w:r>
    </w:p>
    <w:p w14:paraId="26F8EF15" w14:textId="76F7980A" w:rsidR="00764AF3" w:rsidRDefault="00764AF3" w:rsidP="00764AF3">
      <w:r>
        <w:t>The income to be used in the reconciliation is the income received over the election period.</w:t>
      </w:r>
    </w:p>
    <w:p w14:paraId="36F8C030" w14:textId="77777777" w:rsidR="00764AF3" w:rsidRDefault="00764AF3" w:rsidP="00764AF3">
      <w:r>
        <w:t>Once the income for the election period is identified, the amount is divided by the number of days within the election period and then multiplied by 365 to achieve an annualised income.</w:t>
      </w:r>
    </w:p>
    <w:p w14:paraId="7FF1B6D1" w14:textId="61D922B1" w:rsidR="00764AF3" w:rsidRDefault="00764AF3" w:rsidP="00764AF3">
      <w:r>
        <w:t>The current election period is appropriate when a person estimates once in a child support year. However, if there are multiple estimations in the year, all but the final election period extend for a longer period than the estimation relates to. Therefore, this does not reflect what was earned in the period the estimate relates to.</w:t>
      </w:r>
    </w:p>
    <w:p w14:paraId="76FF77C5" w14:textId="77777777" w:rsidR="00764AF3" w:rsidRDefault="00764AF3" w:rsidP="00764AF3">
      <w:r>
        <w:t>This means that a person’s income used in the reconciliation could reflect more income or less income than was actually earned in the period the estimate relates to.</w:t>
      </w:r>
    </w:p>
    <w:p w14:paraId="241293B1" w14:textId="2E66CD21" w:rsidR="00C42A6B" w:rsidRDefault="00B80C9C" w:rsidP="00C42A6B">
      <w:r>
        <w:t>E</w:t>
      </w:r>
      <w:r w:rsidR="00C42A6B" w:rsidRPr="00C350AF">
        <w:t xml:space="preserve">xample </w:t>
      </w:r>
      <w:r>
        <w:t xml:space="preserve">6 </w:t>
      </w:r>
      <w:r w:rsidR="00C42A6B" w:rsidRPr="00C350AF">
        <w:t>demonstrates this</w:t>
      </w:r>
      <w:r>
        <w:t>.</w:t>
      </w:r>
    </w:p>
    <w:p w14:paraId="3B9ACB35" w14:textId="10F08482" w:rsidR="009823E4" w:rsidRPr="000336C9" w:rsidRDefault="009823E4" w:rsidP="00B80C9C">
      <w:pPr>
        <w:pStyle w:val="Example-Heading1"/>
      </w:pPr>
      <w:r w:rsidRPr="000336C9">
        <w:t>Example</w:t>
      </w:r>
      <w:r w:rsidR="00B80C9C" w:rsidRPr="000336C9">
        <w:t xml:space="preserve"> </w:t>
      </w:r>
      <w:r w:rsidR="00B80C9C" w:rsidRPr="000336C9">
        <w:fldChar w:fldCharType="begin"/>
      </w:r>
      <w:r w:rsidR="00B80C9C" w:rsidRPr="000336C9">
        <w:instrText xml:space="preserve"> seq examples </w:instrText>
      </w:r>
      <w:r w:rsidR="00B80C9C" w:rsidRPr="000336C9">
        <w:fldChar w:fldCharType="separate"/>
      </w:r>
      <w:r w:rsidR="00577BFB">
        <w:rPr>
          <w:noProof/>
        </w:rPr>
        <w:t>6</w:t>
      </w:r>
      <w:r w:rsidR="00B80C9C" w:rsidRPr="000336C9">
        <w:fldChar w:fldCharType="end"/>
      </w:r>
      <w:r w:rsidR="003F6898">
        <w:t xml:space="preserve">: </w:t>
      </w:r>
      <w:r w:rsidR="005073D9">
        <w:t>C</w:t>
      </w:r>
      <w:r w:rsidR="003F6898">
        <w:t xml:space="preserve">urrent </w:t>
      </w:r>
      <w:r w:rsidR="005073D9">
        <w:t>reconciliation</w:t>
      </w:r>
      <w:r w:rsidR="003F6898">
        <w:t xml:space="preserve"> rules </w:t>
      </w:r>
      <w:r w:rsidR="005073D9">
        <w:t xml:space="preserve">with </w:t>
      </w:r>
      <w:r w:rsidR="003F6898">
        <w:t>multiple election periods</w:t>
      </w:r>
    </w:p>
    <w:p w14:paraId="78798B01" w14:textId="74E2B7F7" w:rsidR="000336C9" w:rsidRDefault="00605970" w:rsidP="000336C9">
      <w:pPr>
        <w:pStyle w:val="Example-Text"/>
      </w:pPr>
      <w:r>
        <w:t>Jorge</w:t>
      </w:r>
      <w:r w:rsidR="000336C9">
        <w:t xml:space="preserve"> has estimated three times in a given year: Estimate 1 begins on 1 April, </w:t>
      </w:r>
      <w:proofErr w:type="gramStart"/>
      <w:r w:rsidR="000336C9">
        <w:t>Estimate</w:t>
      </w:r>
      <w:proofErr w:type="gramEnd"/>
      <w:r w:rsidR="000336C9">
        <w:t xml:space="preserve"> 2 beings on 1 May and Estimate 3 begins on 1 July. At the end of the year </w:t>
      </w:r>
      <w:r>
        <w:t>Jorge</w:t>
      </w:r>
      <w:r w:rsidR="000336C9">
        <w:t xml:space="preserve"> has earned $62,834; the amount earnt in each election period is shown in figure 5.</w:t>
      </w:r>
    </w:p>
    <w:p w14:paraId="0DACEA49" w14:textId="3B853A30" w:rsidR="000336C9" w:rsidRDefault="000336C9" w:rsidP="000336C9">
      <w:pPr>
        <w:pStyle w:val="Example-Caption"/>
      </w:pPr>
      <w:r>
        <w:t>Figure 5</w:t>
      </w:r>
    </w:p>
    <w:p w14:paraId="14D70074" w14:textId="61FD2027" w:rsidR="00E51E85" w:rsidRDefault="00577BFB" w:rsidP="00E51E85">
      <w:pPr>
        <w:pStyle w:val="Example-Figure"/>
        <w:spacing w:before="120"/>
      </w:pPr>
      <w:r>
        <w:object w:dxaOrig="13276" w:dyaOrig="3616" w14:anchorId="29308548">
          <v:shape id="_x0000_i1059" type="#_x0000_t75" alt="Figure 5: Current reconciliation rules with multiple election periods" style="width:438.75pt;height:119.25pt" o:ole="">
            <v:imagedata r:id="rId24" o:title=""/>
          </v:shape>
          <o:OLEObject Type="Embed" ProgID="Visio.Drawing.15" ShapeID="_x0000_i1059" DrawAspect="Content" ObjectID="_1645449626" r:id="rId25"/>
        </w:object>
      </w:r>
    </w:p>
    <w:p w14:paraId="40167B71" w14:textId="3BF3D8F5" w:rsidR="000336C9" w:rsidRDefault="000336C9" w:rsidP="000336C9">
      <w:pPr>
        <w:pStyle w:val="Example-Text"/>
      </w:pPr>
      <w:r>
        <w:t xml:space="preserve">In practice, </w:t>
      </w:r>
      <w:proofErr w:type="gramStart"/>
      <w:r>
        <w:t>Estimate</w:t>
      </w:r>
      <w:proofErr w:type="gramEnd"/>
      <w:r>
        <w:t xml:space="preserve"> 1 is only in force until Estimate 2 begins. However, the election period used when reconciling Estimate 1 is the full child support year. As such, </w:t>
      </w:r>
      <w:proofErr w:type="gramStart"/>
      <w:r>
        <w:t>Estimate</w:t>
      </w:r>
      <w:proofErr w:type="gramEnd"/>
      <w:r>
        <w:t xml:space="preserve"> 1 is reconciled on the whole year’s actual income, not the $3,334 earned in April which annualised would be $40,563.</w:t>
      </w:r>
    </w:p>
    <w:p w14:paraId="2302D0C2" w14:textId="77B8F9E7" w:rsidR="008B58E5" w:rsidRPr="009D28EB" w:rsidRDefault="008B58E5" w:rsidP="008B58E5">
      <w:pPr>
        <w:rPr>
          <w:rFonts w:eastAsia="Calibri"/>
        </w:rPr>
      </w:pPr>
      <w:r w:rsidRPr="009D28EB">
        <w:rPr>
          <w:rFonts w:eastAsia="Calibri"/>
        </w:rPr>
        <w:t>Th</w:t>
      </w:r>
      <w:r w:rsidR="0099141C">
        <w:rPr>
          <w:rFonts w:eastAsia="Calibri"/>
        </w:rPr>
        <w:t>e</w:t>
      </w:r>
      <w:r w:rsidRPr="009D28EB">
        <w:rPr>
          <w:rFonts w:eastAsia="Calibri"/>
        </w:rPr>
        <w:t xml:space="preserve"> method for determining the income used to reconcile each estimate means it may not reflect actual earnings for the relevant period.</w:t>
      </w:r>
    </w:p>
    <w:p w14:paraId="431B870D" w14:textId="38B86349" w:rsidR="00405CED" w:rsidRDefault="00824657" w:rsidP="00405CED">
      <w:r>
        <w:t>Reconciling</w:t>
      </w:r>
      <w:r w:rsidR="00405CED" w:rsidRPr="00086C76">
        <w:t xml:space="preserve"> estimates on the </w:t>
      </w:r>
      <w:r w:rsidR="00AC1212" w:rsidRPr="00086C76">
        <w:t xml:space="preserve">income </w:t>
      </w:r>
      <w:r w:rsidR="00AC1212">
        <w:t>a</w:t>
      </w:r>
      <w:r>
        <w:t xml:space="preserve"> parent </w:t>
      </w:r>
      <w:r w:rsidR="00847989">
        <w:t>earned</w:t>
      </w:r>
      <w:r w:rsidR="00405CED" w:rsidRPr="00086C76">
        <w:t xml:space="preserve"> in the relevant period </w:t>
      </w:r>
      <w:r>
        <w:t xml:space="preserve">the estimate applies to </w:t>
      </w:r>
      <w:r w:rsidR="00C61071" w:rsidRPr="00086C76">
        <w:t>w</w:t>
      </w:r>
      <w:r w:rsidR="00C61071">
        <w:t>ould</w:t>
      </w:r>
      <w:r w:rsidR="00C61071" w:rsidRPr="00086C76">
        <w:t xml:space="preserve"> </w:t>
      </w:r>
      <w:r w:rsidR="00405CED" w:rsidRPr="00086C76">
        <w:t>improve the fairness of the child support scheme.</w:t>
      </w:r>
    </w:p>
    <w:p w14:paraId="58D70E18" w14:textId="15EDE7EF" w:rsidR="009458F0" w:rsidRPr="00D9547E" w:rsidRDefault="003C7BA7" w:rsidP="00D9547E">
      <w:pPr>
        <w:pStyle w:val="Heading2"/>
      </w:pPr>
      <w:bookmarkStart w:id="23" w:name="_Toc34836413"/>
      <w:r w:rsidRPr="00D9547E">
        <w:t>Accepting an estimation</w:t>
      </w:r>
      <w:bookmarkEnd w:id="23"/>
    </w:p>
    <w:p w14:paraId="4D449778" w14:textId="37DAE7BE" w:rsidR="009458F0" w:rsidRPr="00473ED6" w:rsidRDefault="009458F0" w:rsidP="009458F0">
      <w:pPr>
        <w:pStyle w:val="Clause"/>
      </w:pPr>
      <w:r w:rsidRPr="00473ED6">
        <w:t>(Clause</w:t>
      </w:r>
      <w:r w:rsidR="00354EA8">
        <w:t xml:space="preserve"> 1</w:t>
      </w:r>
      <w:r w:rsidR="005D3B7A">
        <w:t>5</w:t>
      </w:r>
      <w:r w:rsidRPr="00473ED6">
        <w:t>)</w:t>
      </w:r>
    </w:p>
    <w:p w14:paraId="5B73BC45" w14:textId="029810AF" w:rsidR="009458F0" w:rsidRPr="00473ED6" w:rsidRDefault="009458F0" w:rsidP="009458F0">
      <w:pPr>
        <w:pStyle w:val="Heading3"/>
      </w:pPr>
      <w:r w:rsidRPr="00473ED6">
        <w:t>Summary of proposed amendment</w:t>
      </w:r>
    </w:p>
    <w:p w14:paraId="06BE4F6F" w14:textId="55838121" w:rsidR="005549A6" w:rsidRPr="009D28EB" w:rsidRDefault="005549A6" w:rsidP="005549A6">
      <w:pPr>
        <w:rPr>
          <w:rFonts w:eastAsia="Calibri"/>
        </w:rPr>
      </w:pPr>
      <w:r>
        <w:rPr>
          <w:rFonts w:eastAsia="Calibri"/>
        </w:rPr>
        <w:t xml:space="preserve">When a </w:t>
      </w:r>
      <w:r w:rsidRPr="009D28EB">
        <w:rPr>
          <w:rFonts w:eastAsia="Calibri"/>
        </w:rPr>
        <w:t xml:space="preserve">person joins the child support </w:t>
      </w:r>
      <w:r w:rsidR="002115B0" w:rsidRPr="009D28EB">
        <w:rPr>
          <w:rFonts w:eastAsia="Calibri"/>
        </w:rPr>
        <w:t>scheme</w:t>
      </w:r>
      <w:r w:rsidR="002115B0">
        <w:rPr>
          <w:rFonts w:eastAsia="Calibri"/>
        </w:rPr>
        <w:t>, it</w:t>
      </w:r>
      <w:r w:rsidR="009964B8">
        <w:rPr>
          <w:rFonts w:eastAsia="Calibri"/>
        </w:rPr>
        <w:t xml:space="preserve"> is </w:t>
      </w:r>
      <w:r w:rsidR="001E4FD2">
        <w:rPr>
          <w:rFonts w:eastAsia="Calibri"/>
        </w:rPr>
        <w:t>proposed that</w:t>
      </w:r>
      <w:r w:rsidRPr="009D28EB">
        <w:rPr>
          <w:rFonts w:eastAsia="Calibri"/>
        </w:rPr>
        <w:t xml:space="preserve"> an estimation </w:t>
      </w:r>
      <w:r w:rsidR="003945D1">
        <w:rPr>
          <w:rFonts w:eastAsia="Calibri"/>
        </w:rPr>
        <w:t>could</w:t>
      </w:r>
      <w:r w:rsidRPr="009D28EB">
        <w:rPr>
          <w:rFonts w:eastAsia="Calibri"/>
        </w:rPr>
        <w:t xml:space="preserve"> be backdated to the start of the new assessment if Inland Revenue receives the estimation </w:t>
      </w:r>
      <w:r w:rsidR="007F15AB">
        <w:rPr>
          <w:rFonts w:eastAsia="Calibri"/>
        </w:rPr>
        <w:t xml:space="preserve">within 28 </w:t>
      </w:r>
      <w:r w:rsidR="009A2C27">
        <w:rPr>
          <w:rFonts w:eastAsia="Calibri"/>
        </w:rPr>
        <w:t xml:space="preserve">days </w:t>
      </w:r>
      <w:r w:rsidR="007F15AB">
        <w:rPr>
          <w:rFonts w:eastAsia="Calibri"/>
        </w:rPr>
        <w:t>of the notification of the assessment.</w:t>
      </w:r>
      <w:r w:rsidRPr="009D28EB">
        <w:rPr>
          <w:rFonts w:eastAsia="Calibri"/>
        </w:rPr>
        <w:t xml:space="preserve"> This </w:t>
      </w:r>
      <w:r w:rsidR="003A17F6">
        <w:rPr>
          <w:rFonts w:eastAsia="Calibri"/>
        </w:rPr>
        <w:t xml:space="preserve">means </w:t>
      </w:r>
      <w:r w:rsidRPr="009D28EB">
        <w:rPr>
          <w:rFonts w:eastAsia="Calibri"/>
        </w:rPr>
        <w:t xml:space="preserve">that a person (whether a liable parent or receiving parent) </w:t>
      </w:r>
      <w:r w:rsidR="001E4FD2">
        <w:rPr>
          <w:rFonts w:eastAsia="Calibri"/>
        </w:rPr>
        <w:t>would have</w:t>
      </w:r>
      <w:r w:rsidR="001E4FD2" w:rsidRPr="009D28EB">
        <w:rPr>
          <w:rFonts w:eastAsia="Calibri"/>
        </w:rPr>
        <w:t xml:space="preserve"> </w:t>
      </w:r>
      <w:r w:rsidRPr="009D28EB">
        <w:rPr>
          <w:rFonts w:eastAsia="Calibri"/>
        </w:rPr>
        <w:t xml:space="preserve">at least </w:t>
      </w:r>
      <w:r w:rsidR="007F15AB">
        <w:rPr>
          <w:rFonts w:eastAsia="Calibri"/>
        </w:rPr>
        <w:t>28</w:t>
      </w:r>
      <w:r w:rsidR="007F15AB" w:rsidRPr="009D28EB">
        <w:rPr>
          <w:rFonts w:eastAsia="Calibri"/>
        </w:rPr>
        <w:t xml:space="preserve"> </w:t>
      </w:r>
      <w:r w:rsidRPr="009D28EB">
        <w:rPr>
          <w:rFonts w:eastAsia="Calibri"/>
        </w:rPr>
        <w:t>days to estimate their income when child support is first assessed.</w:t>
      </w:r>
    </w:p>
    <w:p w14:paraId="6A3261C0" w14:textId="77777777" w:rsidR="009458F0" w:rsidRPr="00473ED6" w:rsidRDefault="009458F0" w:rsidP="009458F0">
      <w:pPr>
        <w:pStyle w:val="Heading3"/>
      </w:pPr>
      <w:r w:rsidRPr="00473ED6">
        <w:t>Application date</w:t>
      </w:r>
    </w:p>
    <w:p w14:paraId="29DCE5CF" w14:textId="2383714F" w:rsidR="009458F0" w:rsidRPr="00473ED6" w:rsidRDefault="009458F0" w:rsidP="009458F0">
      <w:r>
        <w:t xml:space="preserve">The </w:t>
      </w:r>
      <w:r w:rsidR="002A2C08" w:rsidRPr="002A2C08">
        <w:t xml:space="preserve">proposed </w:t>
      </w:r>
      <w:r>
        <w:t xml:space="preserve">amendment </w:t>
      </w:r>
      <w:r w:rsidR="001E4FD2">
        <w:t xml:space="preserve">would </w:t>
      </w:r>
      <w:r>
        <w:t xml:space="preserve">apply from </w:t>
      </w:r>
      <w:r w:rsidR="005549A6">
        <w:t>1 April 2021</w:t>
      </w:r>
      <w:r>
        <w:t>.</w:t>
      </w:r>
    </w:p>
    <w:p w14:paraId="1A6905A0" w14:textId="77777777" w:rsidR="009458F0" w:rsidRPr="00473ED6" w:rsidRDefault="009458F0" w:rsidP="009458F0">
      <w:pPr>
        <w:pStyle w:val="Heading3"/>
      </w:pPr>
      <w:r w:rsidRPr="00473ED6">
        <w:t>Key features</w:t>
      </w:r>
    </w:p>
    <w:p w14:paraId="3338552E" w14:textId="19E76241" w:rsidR="00B35D18" w:rsidRPr="009D28EB" w:rsidRDefault="003A17F6" w:rsidP="00B35D18">
      <w:pPr>
        <w:rPr>
          <w:rFonts w:eastAsia="Calibri"/>
        </w:rPr>
      </w:pPr>
      <w:r>
        <w:rPr>
          <w:rFonts w:eastAsia="Calibri"/>
        </w:rPr>
        <w:t>W</w:t>
      </w:r>
      <w:r w:rsidRPr="009D28EB">
        <w:rPr>
          <w:rFonts w:eastAsia="Calibri"/>
        </w:rPr>
        <w:t>hen</w:t>
      </w:r>
      <w:r w:rsidR="00B35D18" w:rsidRPr="009D28EB">
        <w:rPr>
          <w:rFonts w:eastAsia="Calibri"/>
        </w:rPr>
        <w:t xml:space="preserve"> a person joins (or re-joins) the child support scheme an estimation </w:t>
      </w:r>
      <w:r w:rsidR="001E4FD2">
        <w:rPr>
          <w:rFonts w:eastAsia="Calibri"/>
        </w:rPr>
        <w:t>could</w:t>
      </w:r>
      <w:r w:rsidR="001E4FD2" w:rsidRPr="009D28EB">
        <w:rPr>
          <w:rFonts w:eastAsia="Calibri"/>
        </w:rPr>
        <w:t xml:space="preserve"> </w:t>
      </w:r>
      <w:r w:rsidR="00B35D18" w:rsidRPr="009D28EB">
        <w:rPr>
          <w:rFonts w:eastAsia="Calibri"/>
        </w:rPr>
        <w:t>be backdated to the start of the new assessment if Inland Revenue receives the estimation</w:t>
      </w:r>
      <w:r w:rsidR="003945D1" w:rsidRPr="003945D1">
        <w:rPr>
          <w:rFonts w:eastAsia="Calibri"/>
        </w:rPr>
        <w:t xml:space="preserve"> </w:t>
      </w:r>
      <w:r w:rsidR="003945D1">
        <w:rPr>
          <w:rFonts w:eastAsia="Calibri"/>
        </w:rPr>
        <w:t xml:space="preserve">within 28 </w:t>
      </w:r>
      <w:r w:rsidR="001A407B">
        <w:rPr>
          <w:rFonts w:eastAsia="Calibri"/>
        </w:rPr>
        <w:t xml:space="preserve">days </w:t>
      </w:r>
      <w:r w:rsidR="003945D1">
        <w:rPr>
          <w:rFonts w:eastAsia="Calibri"/>
        </w:rPr>
        <w:t>of the notification of the assessment</w:t>
      </w:r>
      <w:r w:rsidR="00B35D18" w:rsidRPr="009D28EB">
        <w:rPr>
          <w:rFonts w:eastAsia="Calibri"/>
        </w:rPr>
        <w:t xml:space="preserve">. This </w:t>
      </w:r>
      <w:r>
        <w:rPr>
          <w:rFonts w:eastAsia="Calibri"/>
        </w:rPr>
        <w:t>means</w:t>
      </w:r>
      <w:r w:rsidR="00B35D18" w:rsidRPr="009D28EB">
        <w:rPr>
          <w:rFonts w:eastAsia="Calibri"/>
        </w:rPr>
        <w:t xml:space="preserve"> that a person (whether a liable parent or receiving parent) </w:t>
      </w:r>
      <w:r w:rsidR="003F327B">
        <w:rPr>
          <w:rFonts w:eastAsia="Calibri"/>
        </w:rPr>
        <w:t>would have</w:t>
      </w:r>
      <w:r w:rsidR="003F327B" w:rsidRPr="009D28EB">
        <w:rPr>
          <w:rFonts w:eastAsia="Calibri"/>
        </w:rPr>
        <w:t xml:space="preserve"> </w:t>
      </w:r>
      <w:r w:rsidR="00B35D18" w:rsidRPr="009D28EB">
        <w:rPr>
          <w:rFonts w:eastAsia="Calibri"/>
        </w:rPr>
        <w:t xml:space="preserve">at least </w:t>
      </w:r>
      <w:r w:rsidR="00522AF4">
        <w:rPr>
          <w:rFonts w:eastAsia="Calibri"/>
        </w:rPr>
        <w:t>28</w:t>
      </w:r>
      <w:r w:rsidR="00522AF4" w:rsidRPr="009D28EB">
        <w:rPr>
          <w:rFonts w:eastAsia="Calibri"/>
        </w:rPr>
        <w:t xml:space="preserve"> </w:t>
      </w:r>
      <w:r w:rsidR="00B35D18" w:rsidRPr="009D28EB">
        <w:rPr>
          <w:rFonts w:eastAsia="Calibri"/>
        </w:rPr>
        <w:t>days to estimate their income when child support is first assessed.</w:t>
      </w:r>
    </w:p>
    <w:p w14:paraId="18EDD0DA" w14:textId="2D2F87A2" w:rsidR="00B35D18" w:rsidRPr="009D28EB" w:rsidRDefault="00B35D18" w:rsidP="00B35D18">
      <w:pPr>
        <w:rPr>
          <w:rFonts w:eastAsia="Calibri"/>
        </w:rPr>
      </w:pPr>
      <w:r w:rsidRPr="009D28EB">
        <w:rPr>
          <w:rFonts w:eastAsia="Calibri"/>
        </w:rPr>
        <w:t xml:space="preserve">Once </w:t>
      </w:r>
      <w:r w:rsidR="006961BD">
        <w:rPr>
          <w:rFonts w:eastAsia="Calibri"/>
        </w:rPr>
        <w:t xml:space="preserve">28 days </w:t>
      </w:r>
      <w:r w:rsidRPr="009D28EB">
        <w:rPr>
          <w:rFonts w:eastAsia="Calibri"/>
        </w:rPr>
        <w:t>has passed the current rule would apply and the estimate could only be back</w:t>
      </w:r>
      <w:r w:rsidR="00BD30D1">
        <w:rPr>
          <w:rFonts w:eastAsia="Calibri"/>
        </w:rPr>
        <w:t xml:space="preserve"> </w:t>
      </w:r>
      <w:r w:rsidRPr="009D28EB">
        <w:rPr>
          <w:rFonts w:eastAsia="Calibri"/>
        </w:rPr>
        <w:t>dated to the beginning of the month in which the estimate is given.</w:t>
      </w:r>
    </w:p>
    <w:p w14:paraId="19AFB224" w14:textId="77777777" w:rsidR="009458F0" w:rsidRPr="00473ED6" w:rsidRDefault="009458F0" w:rsidP="009458F0">
      <w:pPr>
        <w:pStyle w:val="Heading3"/>
      </w:pPr>
      <w:r w:rsidRPr="00473ED6">
        <w:t>Background</w:t>
      </w:r>
    </w:p>
    <w:p w14:paraId="443AFA64" w14:textId="2589D4ED" w:rsidR="003F327B" w:rsidRDefault="00992C54" w:rsidP="009458F0">
      <w:pPr>
        <w:rPr>
          <w:rFonts w:eastAsia="Calibri"/>
        </w:rPr>
      </w:pPr>
      <w:r>
        <w:rPr>
          <w:rFonts w:eastAsia="Calibri"/>
        </w:rPr>
        <w:t xml:space="preserve">Currently, </w:t>
      </w:r>
      <w:r w:rsidR="001D05D9" w:rsidRPr="009D28EB">
        <w:rPr>
          <w:rFonts w:eastAsia="Calibri"/>
        </w:rPr>
        <w:t>if</w:t>
      </w:r>
      <w:r w:rsidR="00C07BFD" w:rsidRPr="009D28EB">
        <w:rPr>
          <w:rFonts w:eastAsia="Calibri"/>
        </w:rPr>
        <w:t xml:space="preserve"> </w:t>
      </w:r>
      <w:r w:rsidR="003F327B">
        <w:rPr>
          <w:rFonts w:eastAsia="Calibri"/>
        </w:rPr>
        <w:t xml:space="preserve">an estimate is </w:t>
      </w:r>
      <w:r w:rsidR="00C07BFD" w:rsidRPr="009D28EB">
        <w:rPr>
          <w:rFonts w:eastAsia="Calibri"/>
        </w:rPr>
        <w:t xml:space="preserve">given before the start of the child support year, </w:t>
      </w:r>
      <w:r w:rsidR="003F327B">
        <w:rPr>
          <w:rFonts w:eastAsia="Calibri"/>
        </w:rPr>
        <w:t>it</w:t>
      </w:r>
      <w:r w:rsidR="00C07BFD" w:rsidRPr="009D28EB">
        <w:rPr>
          <w:rFonts w:eastAsia="Calibri"/>
        </w:rPr>
        <w:t xml:space="preserve"> applies from the beginning of that year. Otherwise, it applies from the beginning of the month in which the estimate is given.</w:t>
      </w:r>
    </w:p>
    <w:p w14:paraId="0036FEBB" w14:textId="4C91E190" w:rsidR="009458F0" w:rsidRDefault="003F327B" w:rsidP="009458F0">
      <w:pPr>
        <w:rPr>
          <w:rFonts w:eastAsia="Calibri"/>
        </w:rPr>
      </w:pPr>
      <w:r>
        <w:rPr>
          <w:rFonts w:eastAsia="Calibri"/>
        </w:rPr>
        <w:t>In some circumstances</w:t>
      </w:r>
      <w:r w:rsidR="0089481D">
        <w:rPr>
          <w:rFonts w:eastAsia="Calibri"/>
        </w:rPr>
        <w:t>,</w:t>
      </w:r>
      <w:r w:rsidR="00C07BFD" w:rsidRPr="009D28EB">
        <w:rPr>
          <w:rFonts w:eastAsia="Calibri"/>
        </w:rPr>
        <w:t xml:space="preserve"> a person new to the child support scheme may lose the opportunity to estimate for periods (generally the previous month), because they receive their first notice of assessment or entitlement after their first month of liability or entitlement has already ended.</w:t>
      </w:r>
    </w:p>
    <w:p w14:paraId="616C4770" w14:textId="6C92E358" w:rsidR="00D94853" w:rsidRPr="009D28EB" w:rsidRDefault="00D94853" w:rsidP="00D94853">
      <w:pPr>
        <w:rPr>
          <w:rFonts w:eastAsia="Calibri"/>
        </w:rPr>
      </w:pPr>
      <w:r>
        <w:rPr>
          <w:rFonts w:eastAsia="Calibri"/>
        </w:rPr>
        <w:t>The propos</w:t>
      </w:r>
      <w:r w:rsidR="0089481D">
        <w:rPr>
          <w:rFonts w:eastAsia="Calibri"/>
        </w:rPr>
        <w:t>ed amendment would</w:t>
      </w:r>
      <w:r>
        <w:rPr>
          <w:rFonts w:eastAsia="Calibri"/>
        </w:rPr>
        <w:t xml:space="preserve"> mean </w:t>
      </w:r>
      <w:r w:rsidRPr="009D28EB">
        <w:rPr>
          <w:rFonts w:eastAsia="Calibri"/>
        </w:rPr>
        <w:t xml:space="preserve">that a person (whether a liable parent or receiving parent) has at least </w:t>
      </w:r>
      <w:r w:rsidR="00184C10">
        <w:rPr>
          <w:rFonts w:eastAsia="Calibri"/>
        </w:rPr>
        <w:t>28</w:t>
      </w:r>
      <w:r w:rsidRPr="009D28EB">
        <w:rPr>
          <w:rFonts w:eastAsia="Calibri"/>
        </w:rPr>
        <w:t xml:space="preserve"> days to estimate their income when child support is first assessed.</w:t>
      </w:r>
    </w:p>
    <w:p w14:paraId="78756D4F" w14:textId="1BDF4F3B" w:rsidR="00807B55" w:rsidRPr="00D9547E" w:rsidRDefault="0050305D" w:rsidP="00D9547E">
      <w:pPr>
        <w:pStyle w:val="Heading2"/>
      </w:pPr>
      <w:bookmarkStart w:id="24" w:name="_Toc34836414"/>
      <w:r w:rsidRPr="00D9547E">
        <w:t>Commissi</w:t>
      </w:r>
      <w:r w:rsidR="002C53EC" w:rsidRPr="00D9547E">
        <w:t>oner</w:t>
      </w:r>
      <w:r w:rsidRPr="00D9547E">
        <w:t xml:space="preserve"> initi</w:t>
      </w:r>
      <w:r w:rsidR="009C59D4" w:rsidRPr="00D9547E">
        <w:t>ated</w:t>
      </w:r>
      <w:r w:rsidRPr="00D9547E">
        <w:t xml:space="preserve"> debt off</w:t>
      </w:r>
      <w:r w:rsidR="002C53EC" w:rsidRPr="00D9547E">
        <w:t>setting between people</w:t>
      </w:r>
      <w:bookmarkEnd w:id="24"/>
    </w:p>
    <w:p w14:paraId="4BEF7286" w14:textId="7D2D1C41" w:rsidR="00807B55" w:rsidRPr="00473ED6" w:rsidRDefault="00807B55" w:rsidP="00807B55">
      <w:pPr>
        <w:pStyle w:val="Clause"/>
      </w:pPr>
      <w:r w:rsidRPr="00473ED6">
        <w:t>(Clause</w:t>
      </w:r>
      <w:r w:rsidR="00354EA8">
        <w:t>s 35</w:t>
      </w:r>
      <w:r w:rsidR="00A4079B">
        <w:t>–</w:t>
      </w:r>
      <w:r w:rsidR="00354EA8">
        <w:t>37 and 46</w:t>
      </w:r>
      <w:r w:rsidRPr="00473ED6">
        <w:t>)</w:t>
      </w:r>
    </w:p>
    <w:p w14:paraId="3C095E37" w14:textId="33E629AC" w:rsidR="00807B55" w:rsidRPr="00473ED6" w:rsidRDefault="00807B55" w:rsidP="00807B55">
      <w:pPr>
        <w:pStyle w:val="Heading3"/>
      </w:pPr>
      <w:r w:rsidRPr="00473ED6">
        <w:t>Summary of proposed amendment</w:t>
      </w:r>
    </w:p>
    <w:p w14:paraId="01005970" w14:textId="137310CB" w:rsidR="00824657" w:rsidRPr="00473ED6" w:rsidRDefault="000F2A9E" w:rsidP="00824657">
      <w:r>
        <w:t>Inland Revenue</w:t>
      </w:r>
      <w:r w:rsidR="00ED7FA5" w:rsidRPr="00724AD7">
        <w:t xml:space="preserve"> </w:t>
      </w:r>
      <w:r w:rsidR="00024FAE">
        <w:t xml:space="preserve">would </w:t>
      </w:r>
      <w:r>
        <w:t xml:space="preserve">be able </w:t>
      </w:r>
      <w:r w:rsidR="006544B2">
        <w:t xml:space="preserve">to </w:t>
      </w:r>
      <w:r w:rsidR="00ED7FA5" w:rsidRPr="00724AD7">
        <w:t xml:space="preserve">offset </w:t>
      </w:r>
      <w:r w:rsidR="00734D1F">
        <w:t xml:space="preserve">child support </w:t>
      </w:r>
      <w:r w:rsidR="00030D25">
        <w:t>amounts owed</w:t>
      </w:r>
      <w:r w:rsidR="00734D1F">
        <w:t xml:space="preserve"> between parents</w:t>
      </w:r>
      <w:r w:rsidR="007926B0">
        <w:t>, without the person having to apply for an administrative review</w:t>
      </w:r>
      <w:r w:rsidR="00770C74">
        <w:t>.</w:t>
      </w:r>
    </w:p>
    <w:p w14:paraId="40A7ADFE" w14:textId="77777777" w:rsidR="00807B55" w:rsidRPr="00473ED6" w:rsidRDefault="00807B55" w:rsidP="00807B55">
      <w:pPr>
        <w:pStyle w:val="Heading3"/>
      </w:pPr>
      <w:r w:rsidRPr="00473ED6">
        <w:t>Application date</w:t>
      </w:r>
    </w:p>
    <w:p w14:paraId="7BCAAD9B" w14:textId="47CFFD69" w:rsidR="00807B55" w:rsidRPr="00473ED6" w:rsidRDefault="00807B55" w:rsidP="00807B55">
      <w:r>
        <w:t xml:space="preserve">The </w:t>
      </w:r>
      <w:r w:rsidR="002A2C08" w:rsidRPr="002A2C08">
        <w:t xml:space="preserve">proposed </w:t>
      </w:r>
      <w:r>
        <w:t xml:space="preserve">amendment </w:t>
      </w:r>
      <w:r w:rsidR="005B4E4A">
        <w:t xml:space="preserve">would </w:t>
      </w:r>
      <w:r>
        <w:t xml:space="preserve">apply from </w:t>
      </w:r>
      <w:r w:rsidR="00F64675">
        <w:t>1 April 2021</w:t>
      </w:r>
      <w:r>
        <w:t>.</w:t>
      </w:r>
    </w:p>
    <w:p w14:paraId="29730653" w14:textId="77777777" w:rsidR="00807B55" w:rsidRPr="00473ED6" w:rsidRDefault="00807B55" w:rsidP="00807B55">
      <w:pPr>
        <w:pStyle w:val="Heading3"/>
      </w:pPr>
      <w:r w:rsidRPr="00473ED6">
        <w:t>Key features</w:t>
      </w:r>
    </w:p>
    <w:p w14:paraId="7E869D6A" w14:textId="73012BBB" w:rsidR="005A7229" w:rsidRDefault="001A407B" w:rsidP="005A7229">
      <w:r>
        <w:t>It is proposed that t</w:t>
      </w:r>
      <w:r w:rsidR="005A7229">
        <w:t xml:space="preserve">he </w:t>
      </w:r>
      <w:r w:rsidR="00734D1F">
        <w:t xml:space="preserve">current </w:t>
      </w:r>
      <w:r w:rsidR="005A7229">
        <w:t xml:space="preserve">administrative review ground </w:t>
      </w:r>
      <w:r w:rsidR="00734D1F">
        <w:t xml:space="preserve">which allows for </w:t>
      </w:r>
      <w:r w:rsidR="00395CC3">
        <w:t>child support amounts</w:t>
      </w:r>
      <w:r w:rsidR="00734D1F">
        <w:t xml:space="preserve"> to be offset</w:t>
      </w:r>
      <w:r w:rsidR="002D1395">
        <w:t>,</w:t>
      </w:r>
      <w:r w:rsidR="00734D1F">
        <w:t xml:space="preserve"> </w:t>
      </w:r>
      <w:r w:rsidR="005A7229">
        <w:t xml:space="preserve">be replaced by a provision permitting </w:t>
      </w:r>
      <w:r w:rsidR="000F2A9E">
        <w:t>Inland Revenue</w:t>
      </w:r>
      <w:r w:rsidR="005A7229">
        <w:t xml:space="preserve"> to complete an offset when two people owe each other </w:t>
      </w:r>
      <w:r w:rsidR="00B62295">
        <w:t>child support</w:t>
      </w:r>
      <w:r w:rsidR="00030D25">
        <w:t xml:space="preserve"> (whether or not the amounts have become due and payable)</w:t>
      </w:r>
      <w:r w:rsidR="005A7229" w:rsidRPr="00122FEF">
        <w:t>.</w:t>
      </w:r>
      <w:r w:rsidR="005A7229">
        <w:t xml:space="preserve"> The offset w</w:t>
      </w:r>
      <w:r w:rsidR="00122FEF">
        <w:t>ould</w:t>
      </w:r>
      <w:r w:rsidR="005A7229">
        <w:t xml:space="preserve"> net out child support </w:t>
      </w:r>
      <w:r w:rsidR="00030D25">
        <w:t>amounts</w:t>
      </w:r>
      <w:r w:rsidR="005A7229">
        <w:t xml:space="preserve"> two people owe each other rather than require an adjustment to any formula assessment (as is required with a</w:t>
      </w:r>
      <w:r w:rsidR="00122FEF">
        <w:t>n administrative review</w:t>
      </w:r>
      <w:r w:rsidR="00CB59EE">
        <w:t>)</w:t>
      </w:r>
      <w:r w:rsidR="005A7229">
        <w:t xml:space="preserve">. The person owing the </w:t>
      </w:r>
      <w:r w:rsidR="00982253">
        <w:t xml:space="preserve">greater </w:t>
      </w:r>
      <w:r w:rsidR="005A7229">
        <w:t xml:space="preserve">amount </w:t>
      </w:r>
      <w:r w:rsidR="005C3820">
        <w:t xml:space="preserve">would </w:t>
      </w:r>
      <w:r w:rsidR="005A7229">
        <w:t>be required to pay the difference.</w:t>
      </w:r>
    </w:p>
    <w:p w14:paraId="3CC67119" w14:textId="0EF79076" w:rsidR="00807B55" w:rsidRDefault="005A7229" w:rsidP="005A7229">
      <w:r>
        <w:t xml:space="preserve">As with the current legislative settings, an offset </w:t>
      </w:r>
      <w:r w:rsidR="003B7BFE">
        <w:t xml:space="preserve">would </w:t>
      </w:r>
      <w:r>
        <w:t xml:space="preserve">not be able to be exercised </w:t>
      </w:r>
      <w:r w:rsidR="00D17D27">
        <w:t>for</w:t>
      </w:r>
      <w:r>
        <w:t xml:space="preserve"> any payments that are to be retained by the Government</w:t>
      </w:r>
      <w:r w:rsidR="00824657">
        <w:t xml:space="preserve"> to cover the costs of benefits paid to carers</w:t>
      </w:r>
      <w:r w:rsidR="00A65045">
        <w:t>.</w:t>
      </w:r>
    </w:p>
    <w:p w14:paraId="0596111F" w14:textId="77777777" w:rsidR="00807B55" w:rsidRPr="00473ED6" w:rsidRDefault="00807B55" w:rsidP="00807B55">
      <w:pPr>
        <w:pStyle w:val="Heading3"/>
      </w:pPr>
      <w:r w:rsidRPr="00473ED6">
        <w:t>Background</w:t>
      </w:r>
    </w:p>
    <w:p w14:paraId="2D3852EA" w14:textId="6F717E96" w:rsidR="00806DA0" w:rsidRDefault="00824657" w:rsidP="005E2830">
      <w:r>
        <w:t xml:space="preserve">Currently, a parent may apply for an administrative review to request a </w:t>
      </w:r>
      <w:r w:rsidR="00544E3D">
        <w:t>child support amount</w:t>
      </w:r>
      <w:r>
        <w:t xml:space="preserve"> they owe another parent is offset by the </w:t>
      </w:r>
      <w:r w:rsidR="00544E3D">
        <w:t>amount</w:t>
      </w:r>
      <w:r>
        <w:t xml:space="preserve"> that parent owes to them.</w:t>
      </w:r>
      <w:r w:rsidR="005E2830">
        <w:t xml:space="preserve"> Administrative review is a process whe</w:t>
      </w:r>
      <w:r w:rsidR="00CD33BE">
        <w:t>n</w:t>
      </w:r>
      <w:r w:rsidR="005E2830">
        <w:t xml:space="preserve"> a person’s formula assessment can be changed</w:t>
      </w:r>
      <w:r w:rsidR="00D237B8">
        <w:t>, on application by the parent</w:t>
      </w:r>
      <w:r w:rsidR="005E2830">
        <w:t xml:space="preserve"> to better fit a person’s specific situation, through determination by </w:t>
      </w:r>
      <w:r w:rsidR="000F2A9E">
        <w:t>Inland Revenue</w:t>
      </w:r>
      <w:r w:rsidR="005E2830">
        <w:t>.</w:t>
      </w:r>
    </w:p>
    <w:p w14:paraId="5C75761B" w14:textId="07A9B022" w:rsidR="00806DA0" w:rsidRDefault="00982253" w:rsidP="005E2830">
      <w:r>
        <w:t>The ground was introduced in 2016 but has been largely unused.</w:t>
      </w:r>
    </w:p>
    <w:p w14:paraId="5E8DEBDF" w14:textId="42B17C7B" w:rsidR="00807B55" w:rsidRDefault="00EA2D4B" w:rsidP="003426F5">
      <w:r>
        <w:t>A</w:t>
      </w:r>
      <w:r w:rsidRPr="00265566">
        <w:t xml:space="preserve"> provision permitting </w:t>
      </w:r>
      <w:r>
        <w:t>Inland Revenue</w:t>
      </w:r>
      <w:r w:rsidRPr="00265566">
        <w:t xml:space="preserve"> to initiate an offset of the </w:t>
      </w:r>
      <w:r w:rsidR="00C241F9">
        <w:t>debts</w:t>
      </w:r>
      <w:r>
        <w:t xml:space="preserve"> would </w:t>
      </w:r>
      <w:r w:rsidR="00AA4A6E">
        <w:t>be simpler to</w:t>
      </w:r>
      <w:r w:rsidR="00512DAE">
        <w:t xml:space="preserve"> </w:t>
      </w:r>
      <w:r w:rsidR="00AA4A6E">
        <w:t>admi</w:t>
      </w:r>
      <w:r w:rsidR="00512DAE">
        <w:t>nister</w:t>
      </w:r>
      <w:r w:rsidR="00AA4A6E">
        <w:t xml:space="preserve">, </w:t>
      </w:r>
      <w:r w:rsidR="00512DAE">
        <w:t>easier</w:t>
      </w:r>
      <w:r w:rsidR="00AA4A6E">
        <w:t xml:space="preserve"> for </w:t>
      </w:r>
      <w:r w:rsidR="00512DAE">
        <w:t>customers to understand, and be more effective at reducing debt.</w:t>
      </w:r>
    </w:p>
    <w:p w14:paraId="7A3601D5" w14:textId="276DA3DC" w:rsidR="00807B55" w:rsidRPr="00D9547E" w:rsidRDefault="00D9547E" w:rsidP="00D9547E">
      <w:pPr>
        <w:pStyle w:val="Heading2"/>
      </w:pPr>
      <w:bookmarkStart w:id="25" w:name="_Toc34836415"/>
      <w:r w:rsidRPr="00D9547E">
        <w:t>Repeal of redundant provision for urgent maintena</w:t>
      </w:r>
      <w:r>
        <w:t>n</w:t>
      </w:r>
      <w:r w:rsidRPr="00D9547E">
        <w:t>ce orders</w:t>
      </w:r>
      <w:bookmarkEnd w:id="25"/>
    </w:p>
    <w:p w14:paraId="04F13002" w14:textId="3433F2CF" w:rsidR="00807B55" w:rsidRPr="00473ED6" w:rsidRDefault="00807B55" w:rsidP="00807B55">
      <w:pPr>
        <w:pStyle w:val="Clause"/>
      </w:pPr>
      <w:r w:rsidRPr="00473ED6">
        <w:t>(Clause</w:t>
      </w:r>
      <w:r w:rsidR="00354EA8">
        <w:t>s 38 and 39</w:t>
      </w:r>
      <w:r w:rsidRPr="00473ED6">
        <w:t>)</w:t>
      </w:r>
    </w:p>
    <w:p w14:paraId="33CB784C" w14:textId="28D5429C" w:rsidR="00807B55" w:rsidRPr="00473ED6" w:rsidRDefault="00807B55" w:rsidP="00807B55">
      <w:pPr>
        <w:pStyle w:val="Heading3"/>
      </w:pPr>
      <w:r w:rsidRPr="00473ED6">
        <w:t>Summary of proposed amendment</w:t>
      </w:r>
    </w:p>
    <w:p w14:paraId="1FD2BE99" w14:textId="7BF8F301" w:rsidR="00807B55" w:rsidRPr="00473ED6" w:rsidRDefault="00F867B4" w:rsidP="00807B55">
      <w:r>
        <w:t xml:space="preserve">It is proposed </w:t>
      </w:r>
      <w:r w:rsidR="00AC2C0B">
        <w:t>to repeal the</w:t>
      </w:r>
      <w:r w:rsidR="00DA3DF8">
        <w:t xml:space="preserve"> </w:t>
      </w:r>
      <w:r w:rsidR="008B57A5" w:rsidRPr="00265566">
        <w:t xml:space="preserve">provision </w:t>
      </w:r>
      <w:r w:rsidR="001A407B">
        <w:t xml:space="preserve">which </w:t>
      </w:r>
      <w:r w:rsidR="00DA3DF8">
        <w:t>allows</w:t>
      </w:r>
      <w:r w:rsidR="008B57A5" w:rsidRPr="00265566">
        <w:t xml:space="preserve"> a person to apply to the </w:t>
      </w:r>
      <w:r w:rsidR="001A407B">
        <w:t xml:space="preserve">Family </w:t>
      </w:r>
      <w:r w:rsidR="008B57A5" w:rsidRPr="00265566">
        <w:t xml:space="preserve">Court for an urgent maintenance order if they have made an application for child support to Inland Revenue, but child support has not </w:t>
      </w:r>
      <w:r w:rsidR="001A407B">
        <w:t xml:space="preserve">yet </w:t>
      </w:r>
      <w:r w:rsidR="008B57A5" w:rsidRPr="00265566">
        <w:t>been assessed</w:t>
      </w:r>
      <w:r w:rsidR="00D823D9">
        <w:t>.</w:t>
      </w:r>
    </w:p>
    <w:p w14:paraId="72E6B5E4" w14:textId="77777777" w:rsidR="00807B55" w:rsidRPr="00473ED6" w:rsidRDefault="00807B55" w:rsidP="00807B55">
      <w:pPr>
        <w:pStyle w:val="Heading3"/>
      </w:pPr>
      <w:r w:rsidRPr="00473ED6">
        <w:t>Application date</w:t>
      </w:r>
    </w:p>
    <w:p w14:paraId="17DCE284" w14:textId="67BBB6A5" w:rsidR="00807B55" w:rsidRPr="00473ED6" w:rsidRDefault="00807B55" w:rsidP="00807B55">
      <w:r>
        <w:t xml:space="preserve">The </w:t>
      </w:r>
      <w:r w:rsidR="002A2C08" w:rsidRPr="002A2C08">
        <w:t xml:space="preserve">proposed </w:t>
      </w:r>
      <w:r>
        <w:t xml:space="preserve">amendment </w:t>
      </w:r>
      <w:r w:rsidR="00CD33BE">
        <w:t xml:space="preserve">would </w:t>
      </w:r>
      <w:r>
        <w:t xml:space="preserve">apply </w:t>
      </w:r>
      <w:r w:rsidR="00977ACB">
        <w:t>f</w:t>
      </w:r>
      <w:r>
        <w:t xml:space="preserve">rom </w:t>
      </w:r>
      <w:r w:rsidR="009B394B">
        <w:t>1 April 2021.</w:t>
      </w:r>
    </w:p>
    <w:p w14:paraId="0FEAB101" w14:textId="77777777" w:rsidR="00807B55" w:rsidRPr="00473ED6" w:rsidRDefault="00807B55" w:rsidP="00807B55">
      <w:pPr>
        <w:pStyle w:val="Heading3"/>
      </w:pPr>
      <w:r w:rsidRPr="00473ED6">
        <w:t>Key features</w:t>
      </w:r>
    </w:p>
    <w:p w14:paraId="39953F0B" w14:textId="50C46CEC" w:rsidR="00807B55" w:rsidRDefault="00EE4E6D" w:rsidP="00807B55">
      <w:r>
        <w:t xml:space="preserve">The </w:t>
      </w:r>
      <w:r w:rsidR="00847385">
        <w:t xml:space="preserve">current </w:t>
      </w:r>
      <w:r w:rsidR="00DD66BF">
        <w:t xml:space="preserve">provision </w:t>
      </w:r>
      <w:r w:rsidR="00847385">
        <w:t>for</w:t>
      </w:r>
      <w:r>
        <w:t xml:space="preserve"> a carer </w:t>
      </w:r>
      <w:r w:rsidR="00847385">
        <w:t xml:space="preserve">to </w:t>
      </w:r>
      <w:r>
        <w:t xml:space="preserve">be granted an urgent maintenance order for a child if the Family </w:t>
      </w:r>
      <w:r w:rsidR="00D237B8">
        <w:t>Court rules</w:t>
      </w:r>
      <w:r w:rsidR="003838A1">
        <w:t xml:space="preserve"> that a </w:t>
      </w:r>
      <w:r>
        <w:t xml:space="preserve">child is in urgent need of assistance </w:t>
      </w:r>
      <w:r w:rsidR="00C61071">
        <w:t xml:space="preserve">would </w:t>
      </w:r>
      <w:r>
        <w:t>b</w:t>
      </w:r>
      <w:r w:rsidR="00DD66BF">
        <w:t>e</w:t>
      </w:r>
      <w:r>
        <w:t xml:space="preserve"> re</w:t>
      </w:r>
      <w:r w:rsidR="00DD66BF">
        <w:t>pealed</w:t>
      </w:r>
      <w:r w:rsidR="003A02B6">
        <w:t xml:space="preserve">, </w:t>
      </w:r>
      <w:r w:rsidR="00C61071">
        <w:t xml:space="preserve">as </w:t>
      </w:r>
      <w:r w:rsidR="003A02B6">
        <w:t>it is redundant.</w:t>
      </w:r>
    </w:p>
    <w:p w14:paraId="7109417C" w14:textId="77777777" w:rsidR="00807B55" w:rsidRPr="00473ED6" w:rsidRDefault="00807B55" w:rsidP="00807B55">
      <w:pPr>
        <w:pStyle w:val="Heading3"/>
      </w:pPr>
      <w:r w:rsidRPr="00473ED6">
        <w:t>Background</w:t>
      </w:r>
    </w:p>
    <w:p w14:paraId="361A5F2C" w14:textId="573850C3" w:rsidR="00807B55" w:rsidRPr="00473ED6" w:rsidRDefault="00982253" w:rsidP="00015CD5">
      <w:r>
        <w:t>In 1992, t</w:t>
      </w:r>
      <w:r w:rsidR="0041478A" w:rsidRPr="00265566">
        <w:t xml:space="preserve">he </w:t>
      </w:r>
      <w:r w:rsidR="0041478A">
        <w:t xml:space="preserve">urgent maintenance </w:t>
      </w:r>
      <w:r w:rsidR="0041478A" w:rsidRPr="00265566">
        <w:t>provision was included in the Child Support Act to cover the period of transition when child support moved to Inland Revenue in case there were any unforeseen circumstances that mean</w:t>
      </w:r>
      <w:r w:rsidR="0041478A">
        <w:t>t</w:t>
      </w:r>
      <w:r w:rsidR="0041478A" w:rsidRPr="00265566">
        <w:t xml:space="preserve"> Inland Revenue </w:t>
      </w:r>
      <w:r w:rsidR="0041478A">
        <w:t>wa</w:t>
      </w:r>
      <w:r w:rsidR="0041478A" w:rsidRPr="00265566">
        <w:t>s unable to assess</w:t>
      </w:r>
      <w:r>
        <w:t xml:space="preserve"> child support</w:t>
      </w:r>
      <w:r w:rsidR="0041478A" w:rsidRPr="00265566">
        <w:t>. An order under this provision has never been granted</w:t>
      </w:r>
      <w:r w:rsidR="0041478A">
        <w:t>.</w:t>
      </w:r>
    </w:p>
    <w:p w14:paraId="13D0D487" w14:textId="5F0D3303" w:rsidR="00807B55" w:rsidRDefault="006D56AD" w:rsidP="00E22D08">
      <w:r>
        <w:t xml:space="preserve">Repealing the provision </w:t>
      </w:r>
      <w:r w:rsidR="0086291D">
        <w:t xml:space="preserve">would </w:t>
      </w:r>
      <w:r>
        <w:t>simplify the legislation</w:t>
      </w:r>
      <w:r w:rsidR="00982253">
        <w:t>.</w:t>
      </w:r>
    </w:p>
    <w:p w14:paraId="2B883630" w14:textId="5A1F6BC8" w:rsidR="00807B55" w:rsidRPr="00D9547E" w:rsidRDefault="00D9547E" w:rsidP="00D9547E">
      <w:pPr>
        <w:pStyle w:val="Heading2"/>
      </w:pPr>
      <w:bookmarkStart w:id="26" w:name="_Toc34836416"/>
      <w:r w:rsidRPr="00D9547E">
        <w:t>Change</w:t>
      </w:r>
      <w:r w:rsidR="0009004A" w:rsidRPr="00D9547E">
        <w:t xml:space="preserve">s to </w:t>
      </w:r>
      <w:r w:rsidR="00FA0A78" w:rsidRPr="00D9547E">
        <w:t>temporary exemptions</w:t>
      </w:r>
      <w:bookmarkEnd w:id="26"/>
    </w:p>
    <w:p w14:paraId="23939F77" w14:textId="3F96B060" w:rsidR="00807B55" w:rsidRPr="00473ED6" w:rsidRDefault="00807B55" w:rsidP="00807B55">
      <w:pPr>
        <w:pStyle w:val="Clause"/>
      </w:pPr>
      <w:r w:rsidRPr="00473ED6">
        <w:t>(Clause</w:t>
      </w:r>
      <w:r w:rsidR="00354EA8">
        <w:t>s 22</w:t>
      </w:r>
      <w:r w:rsidR="00A4079B">
        <w:t>–</w:t>
      </w:r>
      <w:r w:rsidR="00354EA8">
        <w:t>32</w:t>
      </w:r>
      <w:r w:rsidRPr="00473ED6">
        <w:t>)</w:t>
      </w:r>
    </w:p>
    <w:p w14:paraId="71594B67" w14:textId="2547A6F8" w:rsidR="00807B55" w:rsidRPr="00473ED6" w:rsidRDefault="00807B55" w:rsidP="00807B55">
      <w:pPr>
        <w:pStyle w:val="Heading3"/>
      </w:pPr>
      <w:r w:rsidRPr="00473ED6">
        <w:t>Summary of proposed amendment</w:t>
      </w:r>
    </w:p>
    <w:p w14:paraId="4F663E36" w14:textId="6ED6AE1A" w:rsidR="00C413F4" w:rsidRDefault="004E6D93" w:rsidP="00807B55">
      <w:r w:rsidRPr="004E6D93">
        <w:t xml:space="preserve">Amendments </w:t>
      </w:r>
      <w:r w:rsidR="009C0D3E">
        <w:t>are proposed</w:t>
      </w:r>
      <w:r w:rsidRPr="004E6D93">
        <w:t xml:space="preserve"> to the hospital patient and prisoner exemptions so that the</w:t>
      </w:r>
      <w:r w:rsidR="001C6A9E">
        <w:t xml:space="preserve"> exemptions</w:t>
      </w:r>
      <w:r w:rsidRPr="004E6D93">
        <w:t xml:space="preserve"> </w:t>
      </w:r>
      <w:r w:rsidR="00C413F4">
        <w:t xml:space="preserve">would be </w:t>
      </w:r>
      <w:r w:rsidRPr="004E6D93">
        <w:t>available to liable persons who are overseas</w:t>
      </w:r>
      <w:r w:rsidR="001C6A9E">
        <w:t>.</w:t>
      </w:r>
    </w:p>
    <w:p w14:paraId="2F773F57" w14:textId="1A9382F0" w:rsidR="00563241" w:rsidRPr="00473ED6" w:rsidRDefault="00E646A5" w:rsidP="00563241">
      <w:r>
        <w:t xml:space="preserve">It is proposed that </w:t>
      </w:r>
      <w:r w:rsidR="00563241">
        <w:t>a new exemption</w:t>
      </w:r>
      <w:r>
        <w:t xml:space="preserve"> be introduced fo</w:t>
      </w:r>
      <w:r w:rsidR="00563241">
        <w:t xml:space="preserve">r people who have a </w:t>
      </w:r>
      <w:r w:rsidR="001A407B">
        <w:t>long-</w:t>
      </w:r>
      <w:r w:rsidR="00563241">
        <w:t>term illness or injury</w:t>
      </w:r>
      <w:r w:rsidR="00A249BA">
        <w:t xml:space="preserve"> who are unable to work</w:t>
      </w:r>
      <w:r w:rsidR="00200E62">
        <w:t xml:space="preserve">, with similar income </w:t>
      </w:r>
      <w:r w:rsidR="00A249BA">
        <w:t>criteria</w:t>
      </w:r>
      <w:r w:rsidR="00200E62">
        <w:t xml:space="preserve"> to the existing exemptions</w:t>
      </w:r>
      <w:r w:rsidR="00563241" w:rsidRPr="004E6D93">
        <w:t>.</w:t>
      </w:r>
    </w:p>
    <w:p w14:paraId="0DC6F794" w14:textId="77777777" w:rsidR="00807B55" w:rsidRPr="00473ED6" w:rsidRDefault="00807B55" w:rsidP="00807B55">
      <w:pPr>
        <w:pStyle w:val="Heading3"/>
      </w:pPr>
      <w:r w:rsidRPr="00473ED6">
        <w:t>Application date</w:t>
      </w:r>
    </w:p>
    <w:p w14:paraId="25149D11" w14:textId="07FAFEF9" w:rsidR="00807B55" w:rsidRPr="00473ED6" w:rsidRDefault="00807B55" w:rsidP="00807B55">
      <w:r>
        <w:t xml:space="preserve">The </w:t>
      </w:r>
      <w:r w:rsidR="002A2C08" w:rsidRPr="002A2C08">
        <w:t xml:space="preserve">proposed </w:t>
      </w:r>
      <w:r>
        <w:t xml:space="preserve">amendment </w:t>
      </w:r>
      <w:r w:rsidR="00563241">
        <w:t xml:space="preserve">would </w:t>
      </w:r>
      <w:r>
        <w:t xml:space="preserve">apply from </w:t>
      </w:r>
      <w:r w:rsidR="004866E0">
        <w:t>1 April 2021</w:t>
      </w:r>
      <w:r>
        <w:t>.</w:t>
      </w:r>
    </w:p>
    <w:p w14:paraId="22DA66C6" w14:textId="77777777" w:rsidR="00807B55" w:rsidRPr="00473ED6" w:rsidRDefault="00807B55" w:rsidP="00807B55">
      <w:pPr>
        <w:pStyle w:val="Heading3"/>
      </w:pPr>
      <w:r w:rsidRPr="00473ED6">
        <w:t>Key features</w:t>
      </w:r>
    </w:p>
    <w:p w14:paraId="34075D0F" w14:textId="633AFABD" w:rsidR="009D122B" w:rsidRDefault="00985B89" w:rsidP="009D122B">
      <w:r>
        <w:t>T</w:t>
      </w:r>
      <w:r w:rsidRPr="004E6D93">
        <w:t xml:space="preserve">he hospital patient and prisoner exemptions </w:t>
      </w:r>
      <w:r w:rsidR="00E646A5">
        <w:t xml:space="preserve">would </w:t>
      </w:r>
      <w:r w:rsidR="00AA6A06">
        <w:t xml:space="preserve">be extended </w:t>
      </w:r>
      <w:r w:rsidR="004134E2">
        <w:t xml:space="preserve">to qualifying </w:t>
      </w:r>
      <w:r w:rsidR="004134E2" w:rsidRPr="004E6D93">
        <w:t>liable</w:t>
      </w:r>
      <w:r w:rsidRPr="004E6D93">
        <w:t xml:space="preserve"> persons who are overseas</w:t>
      </w:r>
      <w:r w:rsidR="001C6A9E">
        <w:t xml:space="preserve">. </w:t>
      </w:r>
      <w:r w:rsidR="009D122B">
        <w:t>The</w:t>
      </w:r>
      <w:r w:rsidR="009D122B" w:rsidRPr="00BB4769">
        <w:t xml:space="preserve"> </w:t>
      </w:r>
      <w:r w:rsidR="00200E62">
        <w:t>exemption would only be available if the</w:t>
      </w:r>
      <w:r w:rsidR="002E3C6A">
        <w:t xml:space="preserve"> liable</w:t>
      </w:r>
      <w:r w:rsidR="00200E62">
        <w:t xml:space="preserve"> person earns </w:t>
      </w:r>
      <w:r w:rsidR="00BA57CB">
        <w:t xml:space="preserve">the equivalent of (or less than) </w:t>
      </w:r>
      <w:r w:rsidR="00200E62">
        <w:t xml:space="preserve">the income </w:t>
      </w:r>
      <w:r w:rsidR="009D122B">
        <w:t xml:space="preserve">currently </w:t>
      </w:r>
      <w:r w:rsidR="009D122B" w:rsidRPr="00BB4769">
        <w:t>allowed for</w:t>
      </w:r>
      <w:r w:rsidR="006E470A">
        <w:t xml:space="preserve"> </w:t>
      </w:r>
      <w:r w:rsidR="009D122B" w:rsidRPr="00BB4769">
        <w:t>New Zealand</w:t>
      </w:r>
      <w:r w:rsidR="006E470A">
        <w:t>-</w:t>
      </w:r>
      <w:r w:rsidR="009D122B" w:rsidRPr="00BB4769">
        <w:t xml:space="preserve">based </w:t>
      </w:r>
      <w:r w:rsidR="009D122B">
        <w:t>hospital patients or prisoners</w:t>
      </w:r>
      <w:r w:rsidR="009D122B" w:rsidRPr="00BB4769">
        <w:t>.</w:t>
      </w:r>
    </w:p>
    <w:p w14:paraId="6C60DBB9" w14:textId="2812E590" w:rsidR="00541C3F" w:rsidRDefault="00556A99" w:rsidP="00541C3F">
      <w:r>
        <w:t xml:space="preserve">It is proposed that a new exemption be introduced for </w:t>
      </w:r>
      <w:r w:rsidR="002E3C6A">
        <w:t xml:space="preserve">liable persons </w:t>
      </w:r>
      <w:r>
        <w:t>who have a long</w:t>
      </w:r>
      <w:r w:rsidR="006E470A">
        <w:t>-</w:t>
      </w:r>
      <w:r>
        <w:t>term illness or injury</w:t>
      </w:r>
      <w:r w:rsidR="00BF17F7">
        <w:t xml:space="preserve"> who cannot work</w:t>
      </w:r>
      <w:r>
        <w:t xml:space="preserve"> </w:t>
      </w:r>
      <w:r w:rsidR="00024B5C">
        <w:t>(for 13 weeks</w:t>
      </w:r>
      <w:r w:rsidR="001A407B">
        <w:t xml:space="preserve"> or more</w:t>
      </w:r>
      <w:r w:rsidR="00024B5C">
        <w:t xml:space="preserve">) </w:t>
      </w:r>
      <w:r>
        <w:t>and who meet specific income thresholds</w:t>
      </w:r>
      <w:r w:rsidRPr="004E6D93">
        <w:t>.</w:t>
      </w:r>
      <w:r w:rsidR="00541C3F">
        <w:t xml:space="preserve"> To be elig</w:t>
      </w:r>
      <w:r w:rsidR="002617BA">
        <w:t>i</w:t>
      </w:r>
      <w:r w:rsidR="00541C3F">
        <w:t>ble for the exemption they must either have</w:t>
      </w:r>
      <w:r w:rsidR="00024B5C">
        <w:t>:</w:t>
      </w:r>
    </w:p>
    <w:p w14:paraId="5ADA48EF" w14:textId="378BFE0A" w:rsidR="00541C3F" w:rsidRPr="00A4079B" w:rsidRDefault="00541C3F" w:rsidP="00A4079B">
      <w:pPr>
        <w:pStyle w:val="ListBullet"/>
      </w:pPr>
      <w:r w:rsidRPr="00A4079B">
        <w:t xml:space="preserve">nil income; </w:t>
      </w:r>
      <w:r w:rsidR="00024B5C" w:rsidRPr="00A4079B">
        <w:t>or</w:t>
      </w:r>
    </w:p>
    <w:p w14:paraId="032CD511" w14:textId="77FD9DE0" w:rsidR="00541C3F" w:rsidRPr="00A4079B" w:rsidRDefault="00541C3F" w:rsidP="00A4079B">
      <w:pPr>
        <w:pStyle w:val="ListBullet"/>
      </w:pPr>
      <w:r w:rsidRPr="00A4079B">
        <w:t xml:space="preserve">income only from investments (not exceeding the weekly average of the minimum weekly child support liability </w:t>
      </w:r>
      <w:r w:rsidR="003C3D29">
        <w:t>–</w:t>
      </w:r>
      <w:r w:rsidR="002E3C6A" w:rsidRPr="00A4079B">
        <w:t xml:space="preserve"> </w:t>
      </w:r>
      <w:r w:rsidRPr="00A4079B">
        <w:t>currently $18)</w:t>
      </w:r>
      <w:r w:rsidR="00024B5C" w:rsidRPr="00A4079B">
        <w:t>.</w:t>
      </w:r>
    </w:p>
    <w:p w14:paraId="62BDC2DD" w14:textId="19EABD78" w:rsidR="009D122B" w:rsidRDefault="00024B5C" w:rsidP="0039417D">
      <w:r>
        <w:t>As with the existing exemptions, the exemptions would not be</w:t>
      </w:r>
      <w:r w:rsidR="009D122B">
        <w:t xml:space="preserve"> available to </w:t>
      </w:r>
      <w:r w:rsidR="002E3C6A">
        <w:t>liable persons</w:t>
      </w:r>
      <w:r w:rsidR="009D122B">
        <w:t xml:space="preserve"> who have any other income such as a main benefit (including a Jobseekers Allowance, Sole Parent Benefit, or Supported Living Payment)</w:t>
      </w:r>
      <w:r>
        <w:t>.</w:t>
      </w:r>
    </w:p>
    <w:p w14:paraId="48ED567E" w14:textId="1A2E4014" w:rsidR="001A407B" w:rsidRDefault="001A407B" w:rsidP="00C60DB8">
      <w:pPr>
        <w:pStyle w:val="Example-Heading1"/>
      </w:pPr>
      <w:r>
        <w:t>Example</w:t>
      </w:r>
      <w:r w:rsidR="00C60DB8">
        <w:t xml:space="preserve"> </w:t>
      </w:r>
      <w:r w:rsidR="00C60DB8">
        <w:fldChar w:fldCharType="begin"/>
      </w:r>
      <w:r w:rsidR="00C60DB8">
        <w:instrText xml:space="preserve"> seq examples </w:instrText>
      </w:r>
      <w:r w:rsidR="00C60DB8">
        <w:fldChar w:fldCharType="separate"/>
      </w:r>
      <w:r w:rsidR="00577BFB">
        <w:rPr>
          <w:noProof/>
        </w:rPr>
        <w:t>7</w:t>
      </w:r>
      <w:r w:rsidR="00C60DB8">
        <w:fldChar w:fldCharType="end"/>
      </w:r>
    </w:p>
    <w:p w14:paraId="5D736DB9" w14:textId="0BAC0FA9" w:rsidR="001A407B" w:rsidRDefault="001A407B" w:rsidP="00C60DB8">
      <w:pPr>
        <w:pStyle w:val="Example-Text"/>
      </w:pPr>
      <w:r>
        <w:t>George receives a main benefit (supported living payment) of $308.91 per week. Because this amount is more than the maximum child support obligation per week, George does not qualify for the exemption for persons suffering from a long-term illness or injury.</w:t>
      </w:r>
    </w:p>
    <w:p w14:paraId="614A13CF" w14:textId="579E8F0A" w:rsidR="00D220A3" w:rsidRPr="005C0C4F" w:rsidRDefault="00A00815" w:rsidP="00C02C45">
      <w:r>
        <w:t>Currently</w:t>
      </w:r>
      <w:r w:rsidR="00C272BF">
        <w:t>,</w:t>
      </w:r>
      <w:r w:rsidR="007206AB">
        <w:t xml:space="preserve"> </w:t>
      </w:r>
      <w:r w:rsidR="00C60DB8" w:rsidRPr="00C60DB8">
        <w:t>a receiving carer can make an application requesting an exemption be overturned on the basis of the financial capacity of the exempted person.</w:t>
      </w:r>
      <w:r w:rsidR="00C60DB8">
        <w:t xml:space="preserve"> </w:t>
      </w:r>
      <w:r w:rsidR="007206AB">
        <w:t xml:space="preserve">Inland Revenue </w:t>
      </w:r>
      <w:r w:rsidR="00C272BF">
        <w:t>can</w:t>
      </w:r>
      <w:r w:rsidR="007206AB">
        <w:t xml:space="preserve"> </w:t>
      </w:r>
      <w:proofErr w:type="gramStart"/>
      <w:r w:rsidR="007206AB">
        <w:t xml:space="preserve">make a </w:t>
      </w:r>
      <w:r w:rsidR="00C272BF">
        <w:t>determination</w:t>
      </w:r>
      <w:proofErr w:type="gramEnd"/>
      <w:r w:rsidR="00C272BF">
        <w:t xml:space="preserve"> that</w:t>
      </w:r>
      <w:r w:rsidR="003278FD">
        <w:t xml:space="preserve"> an exemption should not apply</w:t>
      </w:r>
      <w:r w:rsidR="004D1983">
        <w:t>,</w:t>
      </w:r>
      <w:r w:rsidR="003278FD">
        <w:t xml:space="preserve"> if the exemption would be </w:t>
      </w:r>
      <w:r w:rsidR="004D1983">
        <w:t>inequitable</w:t>
      </w:r>
      <w:r w:rsidR="003278FD">
        <w:t xml:space="preserve"> because of the earning capacity, </w:t>
      </w:r>
      <w:r w:rsidR="004D1983">
        <w:t xml:space="preserve">or financial resources of the liable person. </w:t>
      </w:r>
      <w:r w:rsidR="00261270">
        <w:t xml:space="preserve">This </w:t>
      </w:r>
      <w:r w:rsidR="00C272BF">
        <w:t>would also apply to the proposed changes.</w:t>
      </w:r>
    </w:p>
    <w:p w14:paraId="67E8ABD0" w14:textId="5EBDA365" w:rsidR="00807B55" w:rsidRPr="00473ED6" w:rsidRDefault="00807B55" w:rsidP="00807B55">
      <w:pPr>
        <w:pStyle w:val="Heading3"/>
      </w:pPr>
      <w:r w:rsidRPr="00473ED6">
        <w:t>Background</w:t>
      </w:r>
    </w:p>
    <w:p w14:paraId="1D8BDFC4" w14:textId="78E2456D" w:rsidR="008F2315" w:rsidRDefault="00D5539E" w:rsidP="00807B55">
      <w:r w:rsidRPr="00D5539E">
        <w:t xml:space="preserve">Temporary exemptions from payment of </w:t>
      </w:r>
      <w:r w:rsidR="00C60DB8">
        <w:t>child</w:t>
      </w:r>
      <w:r w:rsidR="00C60DB8" w:rsidRPr="00D5539E">
        <w:t xml:space="preserve"> </w:t>
      </w:r>
      <w:r w:rsidRPr="00D5539E">
        <w:t xml:space="preserve">support for hospital patients </w:t>
      </w:r>
      <w:r w:rsidR="00977ACB">
        <w:t xml:space="preserve">and </w:t>
      </w:r>
      <w:r w:rsidR="00C241F9" w:rsidRPr="00D5539E">
        <w:t xml:space="preserve">long-term prisoners </w:t>
      </w:r>
      <w:r w:rsidRPr="00D5539E">
        <w:t xml:space="preserve">exist to provide relief from payment on the grounds that a person has </w:t>
      </w:r>
      <w:r w:rsidR="009D122B">
        <w:t xml:space="preserve">limited income (and </w:t>
      </w:r>
      <w:r w:rsidRPr="00D5539E">
        <w:t>capacity to earn an income</w:t>
      </w:r>
      <w:r w:rsidR="008F2315">
        <w:t>) for a period of</w:t>
      </w:r>
      <w:r w:rsidRPr="00D5539E">
        <w:t xml:space="preserve"> time.</w:t>
      </w:r>
    </w:p>
    <w:p w14:paraId="6414424C" w14:textId="4B13CBC1" w:rsidR="00807B55" w:rsidRDefault="008F2315" w:rsidP="00807B55">
      <w:r>
        <w:t>Currently</w:t>
      </w:r>
      <w:r w:rsidR="00982253">
        <w:t>, t</w:t>
      </w:r>
      <w:r w:rsidR="00D5539E" w:rsidRPr="00D5539E">
        <w:t>he exemptions for hospital patients and prisoners are only available to a liable person living in New Zealand and either in a prison or hospital</w:t>
      </w:r>
      <w:r w:rsidR="00024B5C">
        <w:t xml:space="preserve"> for more than 13 weeks</w:t>
      </w:r>
      <w:r w:rsidR="00C60DB8">
        <w:t xml:space="preserve"> or more</w:t>
      </w:r>
      <w:r w:rsidR="00D5539E" w:rsidRPr="00D5539E">
        <w:t>.</w:t>
      </w:r>
    </w:p>
    <w:p w14:paraId="0BB9BD78" w14:textId="05C07B2D" w:rsidR="009D122B" w:rsidRDefault="009D122B" w:rsidP="009D122B">
      <w:r>
        <w:t xml:space="preserve">Under current rules, </w:t>
      </w:r>
      <w:r w:rsidR="006E470A">
        <w:t xml:space="preserve">to qualify for an exemption, </w:t>
      </w:r>
      <w:r>
        <w:t xml:space="preserve">a </w:t>
      </w:r>
      <w:r w:rsidR="002E3C6A">
        <w:t xml:space="preserve">liable </w:t>
      </w:r>
      <w:r>
        <w:t>person who is a long-term hospital patient must have:</w:t>
      </w:r>
    </w:p>
    <w:p w14:paraId="6FA66B79" w14:textId="40E31DBF" w:rsidR="009D122B" w:rsidRPr="00A4079B" w:rsidRDefault="009D122B" w:rsidP="00A4079B">
      <w:pPr>
        <w:pStyle w:val="ListBullet"/>
      </w:pPr>
      <w:r w:rsidRPr="00A4079B">
        <w:t xml:space="preserve">nil </w:t>
      </w:r>
      <w:proofErr w:type="gramStart"/>
      <w:r w:rsidRPr="00A4079B">
        <w:t>income;</w:t>
      </w:r>
      <w:proofErr w:type="gramEnd"/>
    </w:p>
    <w:p w14:paraId="5E75FAB7" w14:textId="77777777" w:rsidR="009D122B" w:rsidRPr="00A4079B" w:rsidRDefault="009D122B" w:rsidP="00A4079B">
      <w:pPr>
        <w:pStyle w:val="ListBullet"/>
      </w:pPr>
      <w:r w:rsidRPr="00A4079B">
        <w:t>income only from investments (not exceeding the weekly average of the minimum weekly child support liability (currently $18); or</w:t>
      </w:r>
    </w:p>
    <w:p w14:paraId="6F201EC3" w14:textId="77777777" w:rsidR="009D122B" w:rsidRPr="00A4079B" w:rsidRDefault="009D122B" w:rsidP="00A4079B">
      <w:pPr>
        <w:pStyle w:val="ListBullet"/>
      </w:pPr>
      <w:r w:rsidRPr="00A4079B">
        <w:t>only income from the benefit payable to long-term hospital patients (currently $45.28 per week).</w:t>
      </w:r>
    </w:p>
    <w:p w14:paraId="306CDE06" w14:textId="0FA11285" w:rsidR="009D122B" w:rsidRDefault="009D122B" w:rsidP="009D122B">
      <w:r>
        <w:t xml:space="preserve">Under current rules, a </w:t>
      </w:r>
      <w:r w:rsidR="002E3C6A">
        <w:t xml:space="preserve">liable </w:t>
      </w:r>
      <w:r>
        <w:t>person who is a prisoner must have:</w:t>
      </w:r>
    </w:p>
    <w:p w14:paraId="5B8E6053" w14:textId="299EB3AF" w:rsidR="009D122B" w:rsidRPr="00A4079B" w:rsidRDefault="009D122B" w:rsidP="00A4079B">
      <w:pPr>
        <w:pStyle w:val="ListBullet"/>
      </w:pPr>
      <w:r w:rsidRPr="00A4079B">
        <w:t xml:space="preserve">nil </w:t>
      </w:r>
      <w:proofErr w:type="gramStart"/>
      <w:r w:rsidRPr="00A4079B">
        <w:t>income;</w:t>
      </w:r>
      <w:proofErr w:type="gramEnd"/>
    </w:p>
    <w:p w14:paraId="00122952" w14:textId="56F6833B" w:rsidR="009D122B" w:rsidRPr="00A4079B" w:rsidRDefault="009D122B" w:rsidP="00A4079B">
      <w:pPr>
        <w:pStyle w:val="ListBullet"/>
      </w:pPr>
      <w:r w:rsidRPr="00A4079B">
        <w:t>income only from investments (not exceeding the weekly average of the minimum weekly child support liability (currently $18</w:t>
      </w:r>
      <w:proofErr w:type="gramStart"/>
      <w:r w:rsidRPr="00A4079B">
        <w:t>);</w:t>
      </w:r>
      <w:proofErr w:type="gramEnd"/>
    </w:p>
    <w:p w14:paraId="3ECA06E0" w14:textId="5F394A78" w:rsidR="009D122B" w:rsidRPr="00A4079B" w:rsidRDefault="009D122B" w:rsidP="00A4079B">
      <w:pPr>
        <w:pStyle w:val="ListBullet"/>
      </w:pPr>
      <w:r w:rsidRPr="00A4079B">
        <w:t xml:space="preserve">only income payable under </w:t>
      </w:r>
      <w:r w:rsidR="00C60DB8">
        <w:t xml:space="preserve">section 66 of </w:t>
      </w:r>
      <w:r w:rsidRPr="00A4079B">
        <w:t xml:space="preserve">the </w:t>
      </w:r>
      <w:r w:rsidRPr="003C3D29">
        <w:t>Corrections Act</w:t>
      </w:r>
      <w:r w:rsidR="002D1395" w:rsidRPr="002D1395">
        <w:t xml:space="preserve"> 2004</w:t>
      </w:r>
      <w:r w:rsidR="00BA57CB" w:rsidRPr="003C3D29">
        <w:t>.</w:t>
      </w:r>
    </w:p>
    <w:p w14:paraId="3908A8D5" w14:textId="77777777" w:rsidR="00C60DB8" w:rsidRDefault="008D758E" w:rsidP="008A3425">
      <w:r w:rsidRPr="008D758E">
        <w:t xml:space="preserve">Making temporary exemptions available to patients in overseas hospitals </w:t>
      </w:r>
      <w:r w:rsidR="00977ACB">
        <w:t xml:space="preserve">and </w:t>
      </w:r>
      <w:r w:rsidR="00977ACB" w:rsidRPr="008D758E">
        <w:t xml:space="preserve">prisoners in overseas prisons </w:t>
      </w:r>
      <w:r w:rsidR="00942255">
        <w:t>would</w:t>
      </w:r>
      <w:r w:rsidRPr="008D758E">
        <w:t xml:space="preserve"> bring consistency to the rules for domestic and overseas liable parents</w:t>
      </w:r>
      <w:r w:rsidR="008A3425">
        <w:t>.</w:t>
      </w:r>
    </w:p>
    <w:p w14:paraId="3E869A88" w14:textId="3F640B28" w:rsidR="008A3425" w:rsidRDefault="008A3425" w:rsidP="008A3425">
      <w:r>
        <w:t xml:space="preserve">The </w:t>
      </w:r>
      <w:r w:rsidR="00450D66">
        <w:t xml:space="preserve">proposed </w:t>
      </w:r>
      <w:r>
        <w:t>new exemption for people who have a</w:t>
      </w:r>
      <w:r w:rsidR="00C60DB8">
        <w:t>n injury</w:t>
      </w:r>
      <w:r>
        <w:t xml:space="preserve"> or illness but being cared for in a home environment would mean that they are being treated consistently</w:t>
      </w:r>
      <w:r w:rsidR="005E5048">
        <w:t xml:space="preserve"> with</w:t>
      </w:r>
      <w:r>
        <w:t xml:space="preserve"> a person who is in hospital.</w:t>
      </w:r>
    </w:p>
    <w:p w14:paraId="3F01E93A" w14:textId="673CD4E4" w:rsidR="001B2196" w:rsidRPr="00D9547E" w:rsidRDefault="00D9547E" w:rsidP="00D9547E">
      <w:pPr>
        <w:pStyle w:val="Heading2"/>
      </w:pPr>
      <w:bookmarkStart w:id="27" w:name="_Toc34836417"/>
      <w:r w:rsidRPr="00D9547E">
        <w:t>Removal of the mixed age expenditure table</w:t>
      </w:r>
      <w:bookmarkEnd w:id="27"/>
    </w:p>
    <w:p w14:paraId="475D22A6" w14:textId="74410B3E" w:rsidR="001B2196" w:rsidRPr="00473ED6" w:rsidRDefault="001B2196" w:rsidP="001B2196">
      <w:pPr>
        <w:pStyle w:val="Clause"/>
      </w:pPr>
      <w:r w:rsidRPr="00473ED6">
        <w:t>(Clause</w:t>
      </w:r>
      <w:r w:rsidR="00C60DB8">
        <w:t>s</w:t>
      </w:r>
      <w:r w:rsidRPr="00473ED6">
        <w:t xml:space="preserve"> </w:t>
      </w:r>
      <w:r w:rsidR="00A35031">
        <w:t>8, 12 and 49</w:t>
      </w:r>
      <w:r w:rsidRPr="00473ED6">
        <w:t>)</w:t>
      </w:r>
    </w:p>
    <w:p w14:paraId="5B070635" w14:textId="691A9044" w:rsidR="001B2196" w:rsidRPr="00473ED6" w:rsidRDefault="001B2196" w:rsidP="001B2196">
      <w:pPr>
        <w:pStyle w:val="Heading3"/>
      </w:pPr>
      <w:r w:rsidRPr="00473ED6">
        <w:t>Summary of proposed amendment</w:t>
      </w:r>
    </w:p>
    <w:p w14:paraId="3785F92B" w14:textId="59445CE3" w:rsidR="001B2196" w:rsidRPr="00473ED6" w:rsidRDefault="00772074" w:rsidP="001B2196">
      <w:r>
        <w:t>It is proposed t</w:t>
      </w:r>
      <w:r w:rsidR="00B13817">
        <w:t>o remove t</w:t>
      </w:r>
      <w:r w:rsidR="0027020D">
        <w:t xml:space="preserve">he mixed age expenditure table </w:t>
      </w:r>
      <w:r w:rsidR="00CB6EE1">
        <w:t>to</w:t>
      </w:r>
      <w:r w:rsidR="0027020D">
        <w:t xml:space="preserve"> </w:t>
      </w:r>
      <w:r w:rsidR="00FC771A">
        <w:t>ensure</w:t>
      </w:r>
      <w:r w:rsidR="0027020D">
        <w:t xml:space="preserve"> </w:t>
      </w:r>
      <w:r w:rsidR="00FC771A">
        <w:t xml:space="preserve">that </w:t>
      </w:r>
      <w:r w:rsidR="00C7476F">
        <w:t xml:space="preserve">costs of children are allocated </w:t>
      </w:r>
      <w:r w:rsidR="006F631C">
        <w:t>appropriately</w:t>
      </w:r>
      <w:r w:rsidR="00D237B8">
        <w:t xml:space="preserve"> between younger and older children</w:t>
      </w:r>
      <w:r w:rsidR="0027020D" w:rsidRPr="0027020D">
        <w:t>.</w:t>
      </w:r>
    </w:p>
    <w:p w14:paraId="29B4BF43" w14:textId="77777777" w:rsidR="001B2196" w:rsidRPr="00473ED6" w:rsidRDefault="001B2196" w:rsidP="001B2196">
      <w:pPr>
        <w:pStyle w:val="Heading3"/>
      </w:pPr>
      <w:r w:rsidRPr="00473ED6">
        <w:t>Application date</w:t>
      </w:r>
    </w:p>
    <w:p w14:paraId="161A429C" w14:textId="7F5503C4" w:rsidR="001B2196" w:rsidRPr="00473ED6" w:rsidRDefault="001B2196" w:rsidP="001B2196">
      <w:r>
        <w:t xml:space="preserve">The </w:t>
      </w:r>
      <w:r w:rsidR="002A2C08" w:rsidRPr="002A2C08">
        <w:t xml:space="preserve">proposed </w:t>
      </w:r>
      <w:r>
        <w:t xml:space="preserve">amendment </w:t>
      </w:r>
      <w:r w:rsidR="00A52C4F">
        <w:t xml:space="preserve">would </w:t>
      </w:r>
      <w:r>
        <w:t xml:space="preserve">apply from </w:t>
      </w:r>
      <w:r w:rsidR="0088011B">
        <w:t>1 April 2021</w:t>
      </w:r>
      <w:r>
        <w:t>.</w:t>
      </w:r>
    </w:p>
    <w:p w14:paraId="087A2946" w14:textId="77777777" w:rsidR="001B2196" w:rsidRPr="00473ED6" w:rsidRDefault="001B2196" w:rsidP="001B2196">
      <w:pPr>
        <w:pStyle w:val="Heading3"/>
      </w:pPr>
      <w:r w:rsidRPr="00473ED6">
        <w:t>Key features</w:t>
      </w:r>
    </w:p>
    <w:p w14:paraId="6F24C399" w14:textId="5D613EC9" w:rsidR="001C6A9E" w:rsidRDefault="00726A81" w:rsidP="001B2196">
      <w:r>
        <w:t xml:space="preserve">The mixed age expenditure table </w:t>
      </w:r>
      <w:r w:rsidR="00A52C4F">
        <w:t xml:space="preserve">would </w:t>
      </w:r>
      <w:r>
        <w:t>be removed.</w:t>
      </w:r>
    </w:p>
    <w:p w14:paraId="703A7A9C" w14:textId="76B282C0" w:rsidR="00726A81" w:rsidRDefault="00726A81" w:rsidP="001B2196">
      <w:r>
        <w:t xml:space="preserve">Costs </w:t>
      </w:r>
      <w:r w:rsidR="00A52C4F">
        <w:t xml:space="preserve">would </w:t>
      </w:r>
      <w:r>
        <w:t>be calculated for each child based on their age</w:t>
      </w:r>
      <w:r w:rsidR="00F52FD9">
        <w:t>, using the applicable expenditure table for their age</w:t>
      </w:r>
      <w:r w:rsidR="00630FE1">
        <w:t>.</w:t>
      </w:r>
    </w:p>
    <w:p w14:paraId="7D2D9263" w14:textId="77777777" w:rsidR="001B2196" w:rsidRPr="00473ED6" w:rsidRDefault="001B2196" w:rsidP="001B2196">
      <w:pPr>
        <w:pStyle w:val="Heading3"/>
      </w:pPr>
      <w:r w:rsidRPr="00473ED6">
        <w:t>Background</w:t>
      </w:r>
    </w:p>
    <w:p w14:paraId="6687355C" w14:textId="360780C1" w:rsidR="00D237B8" w:rsidRDefault="00D237B8" w:rsidP="00D237B8">
      <w:r>
        <w:t xml:space="preserve">Child support obligations are based on various </w:t>
      </w:r>
      <w:r w:rsidR="00772074">
        <w:t>factors</w:t>
      </w:r>
      <w:r>
        <w:t xml:space="preserve"> including the estimated costs of raising children. These estimated costs are reflected in schedule 3 of the Child Support Act. The schedule provides for expenditure for children aged 12 and younger or 13 and older. It also provides expenditure for when a child support calculation includes children from both age brackets in a “mixed age expenditure table” which is an average of the expenditure for the children in the other age brackets.</w:t>
      </w:r>
    </w:p>
    <w:p w14:paraId="0C9D5C6A" w14:textId="126A57CD" w:rsidR="00B828FB" w:rsidRDefault="00D237B8">
      <w:r>
        <w:t>If a child support calculation includes</w:t>
      </w:r>
      <w:r w:rsidR="00B828FB" w:rsidRPr="00265566">
        <w:t xml:space="preserve"> at least two children in the same child support calculation and they fall into different age brackets</w:t>
      </w:r>
      <w:r w:rsidR="00C60DB8">
        <w:t>,</w:t>
      </w:r>
      <w:r>
        <w:t xml:space="preserve"> the use of the mixed age table can lead to an inequitable outcome.</w:t>
      </w:r>
      <w:r w:rsidR="00B828FB" w:rsidRPr="00265566">
        <w:t xml:space="preserve"> </w:t>
      </w:r>
      <w:r>
        <w:t>For example,</w:t>
      </w:r>
      <w:r w:rsidR="00B828FB" w:rsidRPr="00265566">
        <w:t xml:space="preserve"> if the children do not live in the same household (for example</w:t>
      </w:r>
      <w:r w:rsidR="00B828FB">
        <w:t>,</w:t>
      </w:r>
      <w:r w:rsidR="00B828FB" w:rsidRPr="00265566">
        <w:t xml:space="preserve"> one child lives with </w:t>
      </w:r>
      <w:r w:rsidR="00B1381E">
        <w:t>the mother</w:t>
      </w:r>
      <w:r w:rsidR="00B1381E" w:rsidRPr="00265566">
        <w:t xml:space="preserve"> </w:t>
      </w:r>
      <w:r w:rsidR="00B828FB" w:rsidRPr="00265566">
        <w:t xml:space="preserve">and the other with </w:t>
      </w:r>
      <w:r w:rsidR="00B1381E">
        <w:t>the father</w:t>
      </w:r>
      <w:r w:rsidR="00B828FB" w:rsidRPr="00265566">
        <w:t xml:space="preserve">), the use of the mixed age </w:t>
      </w:r>
      <w:r w:rsidR="00B828FB">
        <w:t>t</w:t>
      </w:r>
      <w:r w:rsidR="00B828FB" w:rsidRPr="00265566">
        <w:t>able does not allocate costs appropriately to each child (although the total expenditure for all children is correct)</w:t>
      </w:r>
      <w:r>
        <w:t>, with the result that the parent with the older child is not receiving the appropriate amount of child support</w:t>
      </w:r>
      <w:r w:rsidR="00B828FB" w:rsidRPr="00265566">
        <w:t>.</w:t>
      </w:r>
    </w:p>
    <w:p w14:paraId="3D0CDAD3" w14:textId="14B70BE6" w:rsidR="00E26093" w:rsidRDefault="0080328C" w:rsidP="00E26093">
      <w:r>
        <w:t xml:space="preserve">The </w:t>
      </w:r>
      <w:r w:rsidR="00450D66">
        <w:t xml:space="preserve">proposed </w:t>
      </w:r>
      <w:r w:rsidR="00D237B8">
        <w:t>amendment would</w:t>
      </w:r>
      <w:r w:rsidR="00E26093">
        <w:t xml:space="preserve"> ensure that </w:t>
      </w:r>
      <w:r w:rsidR="00F52FD9">
        <w:t xml:space="preserve">the costs are </w:t>
      </w:r>
      <w:r w:rsidR="00E26093">
        <w:t xml:space="preserve">calculated </w:t>
      </w:r>
      <w:r w:rsidR="00643710">
        <w:t xml:space="preserve">appropriately </w:t>
      </w:r>
      <w:r w:rsidR="00E26093">
        <w:t xml:space="preserve">for each child, based on their age, and would better reflect that costs are higher for older children. </w:t>
      </w:r>
      <w:r w:rsidR="00E26093" w:rsidRPr="0027020D">
        <w:t xml:space="preserve">In cases when children live in different households, it </w:t>
      </w:r>
      <w:r w:rsidR="00C60DB8">
        <w:t>would</w:t>
      </w:r>
      <w:r w:rsidR="00C60DB8" w:rsidRPr="0027020D">
        <w:t xml:space="preserve"> </w:t>
      </w:r>
      <w:r w:rsidR="00E26093" w:rsidRPr="0027020D">
        <w:t>ensure that the household with the younger child does not benefit from being allocated some of the expenditure intended for the older child.</w:t>
      </w:r>
    </w:p>
    <w:p w14:paraId="33C4D0D3" w14:textId="77777777" w:rsidR="00981747" w:rsidRPr="00981747" w:rsidRDefault="00981747" w:rsidP="00981747">
      <w:r w:rsidRPr="00981747">
        <w:br w:type="page"/>
      </w:r>
    </w:p>
    <w:p w14:paraId="5C58EFFB" w14:textId="3960231C" w:rsidR="00706E85" w:rsidRDefault="00706E85" w:rsidP="00981747">
      <w:pPr>
        <w:pStyle w:val="Example-Heading1"/>
      </w:pPr>
      <w:r>
        <w:t>Example</w:t>
      </w:r>
      <w:r w:rsidR="00981747">
        <w:t xml:space="preserve"> </w:t>
      </w:r>
      <w:r w:rsidR="00981747">
        <w:fldChar w:fldCharType="begin"/>
      </w:r>
      <w:r w:rsidR="00981747">
        <w:instrText xml:space="preserve"> seq examples </w:instrText>
      </w:r>
      <w:r w:rsidR="00981747">
        <w:fldChar w:fldCharType="separate"/>
      </w:r>
      <w:r w:rsidR="00577BFB">
        <w:rPr>
          <w:noProof/>
        </w:rPr>
        <w:t>8</w:t>
      </w:r>
      <w:r w:rsidR="00981747">
        <w:fldChar w:fldCharType="end"/>
      </w:r>
    </w:p>
    <w:p w14:paraId="750E9CF4" w14:textId="7A1F3952" w:rsidR="00706E85" w:rsidRDefault="00706E85" w:rsidP="00981747">
      <w:pPr>
        <w:pStyle w:val="Example-Text"/>
      </w:pPr>
      <w:r>
        <w:t xml:space="preserve">Ioane and Krystal have three children together: </w:t>
      </w:r>
      <w:proofErr w:type="spellStart"/>
      <w:r>
        <w:t>Rian</w:t>
      </w:r>
      <w:proofErr w:type="spellEnd"/>
      <w:r>
        <w:t xml:space="preserve"> (aged 15), Brian (aged 14) and Zion (aged 10). </w:t>
      </w:r>
      <w:proofErr w:type="spellStart"/>
      <w:r>
        <w:t>Rian</w:t>
      </w:r>
      <w:proofErr w:type="spellEnd"/>
      <w:r>
        <w:t xml:space="preserve"> and Brian live with Ioane 100% of the time, and Zion lives with Krystal 100% of the time. Since all three children share the same parents, they form a child support group. Child expenditure w</w:t>
      </w:r>
      <w:r w:rsidR="00C61071">
        <w:t>ould</w:t>
      </w:r>
      <w:r>
        <w:t xml:space="preserve"> be calculated as a total figure for the group. When determining child expenditure for the group, the mixed age expenditure table applies. Ioane and Krystal have a combined child support income of $63,634.</w:t>
      </w:r>
    </w:p>
    <w:p w14:paraId="6AB4D8EC" w14:textId="426F80FD" w:rsidR="00706E85" w:rsidRDefault="00706E85" w:rsidP="00981747">
      <w:pPr>
        <w:pStyle w:val="Example-Text"/>
      </w:pPr>
      <w:r>
        <w:t>For the child support year 1 April 2020 – 31 March 2021, child expenditure for the group is</w:t>
      </w:r>
      <w:r w:rsidR="00981747">
        <w:t xml:space="preserve"> </w:t>
      </w:r>
      <w:r w:rsidRPr="00981747">
        <w:rPr>
          <w:rStyle w:val="Strong"/>
        </w:rPr>
        <w:t>$18,454.28</w:t>
      </w:r>
      <w:r>
        <w:t>.</w:t>
      </w:r>
    </w:p>
    <w:p w14:paraId="36F2D69D" w14:textId="65B20D8F" w:rsidR="00706E85" w:rsidRDefault="00706E85" w:rsidP="00981747">
      <w:pPr>
        <w:pStyle w:val="Example-Text"/>
      </w:pPr>
      <w:r>
        <w:t>This figure w</w:t>
      </w:r>
      <w:r w:rsidR="00C61071">
        <w:t>ould</w:t>
      </w:r>
      <w:r>
        <w:t xml:space="preserve"> be divided by three to find individual expenditure figures for each child, as shown </w:t>
      </w:r>
      <w:r w:rsidR="00981747">
        <w:t>in figure</w:t>
      </w:r>
      <w:r w:rsidR="00C61071">
        <w:t> </w:t>
      </w:r>
      <w:r w:rsidR="00981747">
        <w:t>6.</w:t>
      </w:r>
    </w:p>
    <w:p w14:paraId="528DBB1D" w14:textId="3860428F" w:rsidR="00706E85" w:rsidRDefault="009C251A" w:rsidP="009C251A">
      <w:pPr>
        <w:pStyle w:val="Example-Caption"/>
      </w:pPr>
      <w:r>
        <w:t>Figure 6</w:t>
      </w:r>
    </w:p>
    <w:p w14:paraId="10150F17" w14:textId="2CEFF39E" w:rsidR="009C251A" w:rsidRDefault="00577BFB" w:rsidP="009C251A">
      <w:pPr>
        <w:pStyle w:val="Example-Figure"/>
        <w:spacing w:before="120"/>
      </w:pPr>
      <w:r>
        <w:object w:dxaOrig="8206" w:dyaOrig="1606" w14:anchorId="6AA8376B">
          <v:shape id="_x0000_i1030" type="#_x0000_t75" alt="Figure 6" style="width:410.25pt;height:80.25pt" o:ole="">
            <v:imagedata r:id="rId26" o:title=""/>
          </v:shape>
          <o:OLEObject Type="Embed" ProgID="Visio.Drawing.15" ShapeID="_x0000_i1030" DrawAspect="Content" ObjectID="_1645449627" r:id="rId27"/>
        </w:object>
      </w:r>
    </w:p>
    <w:p w14:paraId="76037E38" w14:textId="319F13AC" w:rsidR="00706E85" w:rsidRDefault="00706E85" w:rsidP="00981747">
      <w:pPr>
        <w:pStyle w:val="Example-Text"/>
      </w:pPr>
      <w:r>
        <w:t>As Zion lives with his mother Krystal, the individual figure $6,151.76 will be used in the formula to determine the amount of child support payable for him. This amount is greater than would be reached using the table for children aged 12 or younger, which would be</w:t>
      </w:r>
      <w:r w:rsidR="00981747">
        <w:t xml:space="preserve"> </w:t>
      </w:r>
      <w:r w:rsidRPr="00981747">
        <w:rPr>
          <w:rStyle w:val="Strong"/>
        </w:rPr>
        <w:t>$5,620.75</w:t>
      </w:r>
      <w:r>
        <w:t>.</w:t>
      </w:r>
    </w:p>
    <w:p w14:paraId="7F0E17F6" w14:textId="77777777" w:rsidR="00706E85" w:rsidRDefault="00706E85" w:rsidP="00981747">
      <w:pPr>
        <w:pStyle w:val="Example-Text"/>
      </w:pPr>
      <w:r>
        <w:t>The reason this figure is lower than the amount reached under the mixed age expenditure table is because expenditure figures in the mixed age table are higher than the table for children aged 12 or younger to account for the costs of children aged over 13. This means that when the total figure is divided between the number of children in the child support group, children 12 or younger are allocated greater expenditure than their age would normally entitle them to.</w:t>
      </w:r>
    </w:p>
    <w:p w14:paraId="339D9BDC" w14:textId="054F1598" w:rsidR="00706E85" w:rsidRDefault="00706E85" w:rsidP="00981747">
      <w:pPr>
        <w:pStyle w:val="Example-Text"/>
      </w:pPr>
      <w:r>
        <w:t xml:space="preserve">Conversely, </w:t>
      </w:r>
      <w:proofErr w:type="spellStart"/>
      <w:r>
        <w:t>Rian</w:t>
      </w:r>
      <w:proofErr w:type="spellEnd"/>
      <w:r>
        <w:t xml:space="preserve"> and Brian are allocated expenditure of $12,303.52, which is less than would be allocated if the table for children aged 13 or older were used. That figure would be</w:t>
      </w:r>
      <w:r w:rsidR="00981747">
        <w:t xml:space="preserve"> </w:t>
      </w:r>
      <w:r w:rsidRPr="00981747">
        <w:rPr>
          <w:rStyle w:val="Strong"/>
        </w:rPr>
        <w:t>$13,362.87</w:t>
      </w:r>
      <w:r>
        <w:t xml:space="preserve"> (this figure includes expenditure for both </w:t>
      </w:r>
      <w:proofErr w:type="spellStart"/>
      <w:r>
        <w:t>Rian</w:t>
      </w:r>
      <w:proofErr w:type="spellEnd"/>
      <w:r>
        <w:t xml:space="preserve"> and Brian).</w:t>
      </w:r>
    </w:p>
    <w:p w14:paraId="407107CF" w14:textId="77777777" w:rsidR="00706E85" w:rsidRDefault="00706E85" w:rsidP="00981747">
      <w:pPr>
        <w:pStyle w:val="Example-Text"/>
      </w:pPr>
      <w:r>
        <w:t xml:space="preserve">This means that Krystal’s higher expenditure figure for Zion will result in a higher entitlement, and Ioane’s lower expenditure figure for </w:t>
      </w:r>
      <w:proofErr w:type="spellStart"/>
      <w:r>
        <w:t>Rian</w:t>
      </w:r>
      <w:proofErr w:type="spellEnd"/>
      <w:r>
        <w:t xml:space="preserve"> and Brian will mean a lower entitlement.</w:t>
      </w:r>
    </w:p>
    <w:p w14:paraId="4B457594" w14:textId="3BD22226" w:rsidR="00706E85" w:rsidRDefault="00706E85" w:rsidP="00981747">
      <w:pPr>
        <w:pStyle w:val="Example-Text"/>
      </w:pPr>
      <w:r>
        <w:t xml:space="preserve">This outcome is not a problem when a parent cares for all children in a child support group, as that parent incurs the costs associated with all children. However, when children live with different parents, a parent who cares for children 12 or younger will benefit from higher expenditure </w:t>
      </w:r>
      <w:r w:rsidR="00981747">
        <w:t>because of the</w:t>
      </w:r>
      <w:r>
        <w:t xml:space="preserve"> costs associated with children they do not care for, and the parent who cares for children 13 or older will be disadvantaged.</w:t>
      </w:r>
    </w:p>
    <w:p w14:paraId="4BDCE4D9" w14:textId="3608D0A1" w:rsidR="00D35E28" w:rsidRPr="00D9547E" w:rsidRDefault="00D9547E" w:rsidP="00D9547E">
      <w:pPr>
        <w:pStyle w:val="Heading2"/>
      </w:pPr>
      <w:bookmarkStart w:id="28" w:name="_Toc34836418"/>
      <w:r w:rsidRPr="00D9547E">
        <w:t>Discretion to adjust child expenditure calculations</w:t>
      </w:r>
      <w:bookmarkEnd w:id="28"/>
    </w:p>
    <w:p w14:paraId="782F73F1" w14:textId="475FB920" w:rsidR="001B2196" w:rsidRPr="00473ED6" w:rsidRDefault="001B2196" w:rsidP="00D35E28">
      <w:pPr>
        <w:pStyle w:val="Clause"/>
      </w:pPr>
      <w:r w:rsidRPr="00473ED6">
        <w:t>(Clause</w:t>
      </w:r>
      <w:r w:rsidR="002D1395">
        <w:t>s</w:t>
      </w:r>
      <w:r w:rsidRPr="00473ED6">
        <w:t xml:space="preserve"> </w:t>
      </w:r>
      <w:r w:rsidR="00A35031">
        <w:t>8 and 12</w:t>
      </w:r>
      <w:r w:rsidRPr="00473ED6">
        <w:t>)</w:t>
      </w:r>
    </w:p>
    <w:p w14:paraId="4F7FC9EE" w14:textId="0EE8E1ED" w:rsidR="001B2196" w:rsidRPr="00473ED6" w:rsidRDefault="001B2196" w:rsidP="001B2196">
      <w:pPr>
        <w:pStyle w:val="Heading3"/>
      </w:pPr>
      <w:r w:rsidRPr="00473ED6">
        <w:t>Summary of proposed amendment</w:t>
      </w:r>
    </w:p>
    <w:p w14:paraId="74728DCB" w14:textId="282C6491" w:rsidR="001B2196" w:rsidRPr="00473ED6" w:rsidRDefault="00CE21A0" w:rsidP="001B2196">
      <w:r>
        <w:t xml:space="preserve">It is proposed that </w:t>
      </w:r>
      <w:r w:rsidR="00A5352F">
        <w:t>Inland</w:t>
      </w:r>
      <w:r w:rsidR="00046623">
        <w:t xml:space="preserve"> </w:t>
      </w:r>
      <w:r w:rsidR="00A5352F">
        <w:t>Revenue</w:t>
      </w:r>
      <w:r w:rsidR="00046623">
        <w:t xml:space="preserve"> </w:t>
      </w:r>
      <w:r w:rsidR="00B028F9">
        <w:t xml:space="preserve">would </w:t>
      </w:r>
      <w:r w:rsidR="00A5352F">
        <w:t xml:space="preserve">have </w:t>
      </w:r>
      <w:r w:rsidR="00046623">
        <w:t>the discretion</w:t>
      </w:r>
      <w:r w:rsidR="00046623" w:rsidRPr="00541C2C">
        <w:t xml:space="preserve"> to adjust </w:t>
      </w:r>
      <w:r w:rsidR="00B028F9">
        <w:t xml:space="preserve">child expenditure </w:t>
      </w:r>
      <w:r w:rsidR="00046623" w:rsidRPr="00541C2C">
        <w:t>calculations when children</w:t>
      </w:r>
      <w:r w:rsidR="00100EFB">
        <w:t xml:space="preserve"> live</w:t>
      </w:r>
      <w:r w:rsidR="00046623" w:rsidRPr="00541C2C">
        <w:t xml:space="preserve"> in different care arrangements </w:t>
      </w:r>
      <w:r w:rsidR="00ED2532">
        <w:t xml:space="preserve">which result in </w:t>
      </w:r>
      <w:r w:rsidR="00046623" w:rsidRPr="00541C2C">
        <w:t>the formula not achieving the intended outcome.</w:t>
      </w:r>
    </w:p>
    <w:p w14:paraId="69B698E2" w14:textId="77777777" w:rsidR="001B2196" w:rsidRPr="00473ED6" w:rsidRDefault="001B2196" w:rsidP="001B2196">
      <w:pPr>
        <w:pStyle w:val="Heading3"/>
      </w:pPr>
      <w:r w:rsidRPr="00473ED6">
        <w:t>Application date</w:t>
      </w:r>
    </w:p>
    <w:p w14:paraId="1D1404EC" w14:textId="2CF64A59" w:rsidR="001B2196" w:rsidRPr="00473ED6" w:rsidRDefault="001B2196" w:rsidP="001B2196">
      <w:r>
        <w:t xml:space="preserve">The </w:t>
      </w:r>
      <w:r w:rsidR="002A2C08" w:rsidRPr="002A2C08">
        <w:t xml:space="preserve">proposed </w:t>
      </w:r>
      <w:r>
        <w:t xml:space="preserve">amendment </w:t>
      </w:r>
      <w:r w:rsidR="00DA097A">
        <w:t xml:space="preserve">would </w:t>
      </w:r>
      <w:r>
        <w:t xml:space="preserve">apply from </w:t>
      </w:r>
      <w:r w:rsidR="00A5352F">
        <w:t>1 April 2021</w:t>
      </w:r>
      <w:r>
        <w:t>.</w:t>
      </w:r>
    </w:p>
    <w:p w14:paraId="240D9E03" w14:textId="77777777" w:rsidR="001B2196" w:rsidRPr="00473ED6" w:rsidRDefault="001B2196" w:rsidP="001B2196">
      <w:pPr>
        <w:pStyle w:val="Heading3"/>
      </w:pPr>
      <w:r w:rsidRPr="00473ED6">
        <w:t>Key features</w:t>
      </w:r>
    </w:p>
    <w:p w14:paraId="63AD40EB" w14:textId="1C6012E6" w:rsidR="001B2196" w:rsidRDefault="00C21145" w:rsidP="00CE5B0D">
      <w:r>
        <w:t>The</w:t>
      </w:r>
      <w:r w:rsidR="00BB55D2">
        <w:t xml:space="preserve"> proposed amendment would </w:t>
      </w:r>
      <w:r w:rsidR="00063E95">
        <w:t>allow</w:t>
      </w:r>
      <w:r w:rsidR="00CE5B0D">
        <w:t xml:space="preserve"> discretion </w:t>
      </w:r>
      <w:r w:rsidR="00063E95">
        <w:t>for</w:t>
      </w:r>
      <w:r w:rsidR="00CE5B0D">
        <w:t xml:space="preserve"> </w:t>
      </w:r>
      <w:r>
        <w:t>Inland Revenue to adjust child expenditure calculations in situations when complex care arrangements for children in the same calculation are not adequately accounted for</w:t>
      </w:r>
      <w:r w:rsidR="00ED2532">
        <w:t>.</w:t>
      </w:r>
    </w:p>
    <w:p w14:paraId="3F889107" w14:textId="701E726D" w:rsidR="005B043F" w:rsidRPr="00473ED6" w:rsidRDefault="005B043F" w:rsidP="005B043F">
      <w:r>
        <w:t xml:space="preserve">This discretion would only be applied </w:t>
      </w:r>
      <w:r w:rsidR="00542602">
        <w:t xml:space="preserve">when </w:t>
      </w:r>
      <w:r>
        <w:t xml:space="preserve">there are </w:t>
      </w:r>
      <w:r w:rsidR="00542602">
        <w:t xml:space="preserve">exceptional </w:t>
      </w:r>
      <w:r>
        <w:t>circumstances and the outcome would be unjust or inequitable if the calculations were not modified.</w:t>
      </w:r>
    </w:p>
    <w:p w14:paraId="08A07208" w14:textId="77777777" w:rsidR="001B2196" w:rsidRPr="00473ED6" w:rsidRDefault="001B2196" w:rsidP="001B2196">
      <w:pPr>
        <w:pStyle w:val="Heading3"/>
      </w:pPr>
      <w:r w:rsidRPr="00473ED6">
        <w:t>Background</w:t>
      </w:r>
    </w:p>
    <w:p w14:paraId="641CB62A" w14:textId="5B18A7E6" w:rsidR="00CB5974" w:rsidRDefault="00CB5974" w:rsidP="00CB5974">
      <w:r w:rsidRPr="000525A0">
        <w:t xml:space="preserve">The expenditure table </w:t>
      </w:r>
      <w:r w:rsidR="00D237B8">
        <w:t>in schedule 3 of the Child Support Act</w:t>
      </w:r>
      <w:r w:rsidR="00D237B8" w:rsidRPr="000525A0">
        <w:t xml:space="preserve"> </w:t>
      </w:r>
      <w:r w:rsidR="00D237B8">
        <w:t>was developed</w:t>
      </w:r>
      <w:r w:rsidRPr="000525A0">
        <w:t xml:space="preserve"> based on economies of scale</w:t>
      </w:r>
      <w:r w:rsidR="00450D66">
        <w:t>,</w:t>
      </w:r>
      <w:r w:rsidR="00D237B8">
        <w:t xml:space="preserve"> that is, </w:t>
      </w:r>
      <w:r w:rsidRPr="000525A0">
        <w:t>each subsequent child increases child expenditure by a progressively smaller amount.</w:t>
      </w:r>
    </w:p>
    <w:p w14:paraId="4F6E2545" w14:textId="17CCC4A2" w:rsidR="00B80C9C" w:rsidRPr="0049022D" w:rsidRDefault="00B80C9C" w:rsidP="0049022D">
      <w:pPr>
        <w:pStyle w:val="Example-Heading1"/>
      </w:pPr>
      <w:r w:rsidRPr="0049022D">
        <w:t xml:space="preserve">Example </w:t>
      </w:r>
      <w:r w:rsidR="0049022D">
        <w:fldChar w:fldCharType="begin"/>
      </w:r>
      <w:r w:rsidR="0049022D">
        <w:instrText xml:space="preserve"> seq examples </w:instrText>
      </w:r>
      <w:r w:rsidR="0049022D">
        <w:fldChar w:fldCharType="separate"/>
      </w:r>
      <w:r w:rsidR="00577BFB">
        <w:rPr>
          <w:noProof/>
        </w:rPr>
        <w:t>9</w:t>
      </w:r>
      <w:r w:rsidR="0049022D">
        <w:fldChar w:fldCharType="end"/>
      </w:r>
    </w:p>
    <w:p w14:paraId="30EC2BE6" w14:textId="53128AB5" w:rsidR="00B80C9C" w:rsidRPr="0049022D" w:rsidRDefault="00B80C9C" w:rsidP="0049022D">
      <w:pPr>
        <w:pStyle w:val="Example-Text"/>
      </w:pPr>
      <w:r w:rsidRPr="0049022D">
        <w:t>In the 2020 child support year, a parent earning $61,351.00 per annum caring for dependent children aged under 12 would be permitted a dependent child allowance of:</w:t>
      </w:r>
    </w:p>
    <w:p w14:paraId="6F5CDF02" w14:textId="77777777" w:rsidR="00B80C9C" w:rsidRPr="0049022D" w:rsidRDefault="00B80C9C" w:rsidP="0049022D">
      <w:pPr>
        <w:pStyle w:val="Example-ListBullet1"/>
      </w:pPr>
      <w:r w:rsidRPr="0049022D">
        <w:t xml:space="preserve">$9,816.12 for 1 </w:t>
      </w:r>
      <w:proofErr w:type="gramStart"/>
      <w:r w:rsidRPr="0049022D">
        <w:t>child;</w:t>
      </w:r>
      <w:proofErr w:type="gramEnd"/>
    </w:p>
    <w:p w14:paraId="58E4425E" w14:textId="77777777" w:rsidR="00B80C9C" w:rsidRPr="0049022D" w:rsidRDefault="00B80C9C" w:rsidP="0049022D">
      <w:pPr>
        <w:pStyle w:val="Example-ListBullet1"/>
      </w:pPr>
      <w:r w:rsidRPr="0049022D">
        <w:t>$14,417.20 for 2 children; and</w:t>
      </w:r>
    </w:p>
    <w:p w14:paraId="47D2E6B1" w14:textId="77777777" w:rsidR="00B80C9C" w:rsidRPr="0049022D" w:rsidRDefault="00B80C9C" w:rsidP="0049022D">
      <w:pPr>
        <w:pStyle w:val="Example-ListBullet1"/>
      </w:pPr>
      <w:r w:rsidRPr="0049022D">
        <w:t>$16,257.25 for 3 or more children.</w:t>
      </w:r>
    </w:p>
    <w:p w14:paraId="00E8E647" w14:textId="7F0EBD51" w:rsidR="00B80C9C" w:rsidRDefault="00B80C9C" w:rsidP="0049022D">
      <w:pPr>
        <w:pStyle w:val="Example-Text"/>
      </w:pPr>
      <w:r w:rsidRPr="0049022D">
        <w:t>The expenditure table does not provide individual child expenditure figures. However, these can be calculated from the difference between total figures:</w:t>
      </w:r>
    </w:p>
    <w:p w14:paraId="7381BBFE" w14:textId="26BFBDDF" w:rsidR="0049022D" w:rsidRPr="00573962" w:rsidRDefault="00573962" w:rsidP="00573962">
      <w:pPr>
        <w:pStyle w:val="Example-Caption"/>
      </w:pPr>
      <w:r w:rsidRPr="00573962">
        <w:t>Figure 7</w:t>
      </w:r>
    </w:p>
    <w:p w14:paraId="3256C443" w14:textId="4A2E9BEC" w:rsidR="00573962" w:rsidRPr="0049022D" w:rsidRDefault="00577BFB" w:rsidP="00573962">
      <w:pPr>
        <w:pStyle w:val="Example-Figure"/>
        <w:spacing w:before="120"/>
        <w:rPr>
          <w:highlight w:val="yellow"/>
        </w:rPr>
      </w:pPr>
      <w:r>
        <w:object w:dxaOrig="8206" w:dyaOrig="1606" w14:anchorId="402804CE">
          <v:shape id="_x0000_i1031" type="#_x0000_t75" alt="Figure 7" style="width:410.25pt;height:80.25pt" o:ole="">
            <v:imagedata r:id="rId28" o:title=""/>
          </v:shape>
          <o:OLEObject Type="Embed" ProgID="Visio.Drawing.15" ShapeID="_x0000_i1031" DrawAspect="Content" ObjectID="_1645449628" r:id="rId29"/>
        </w:object>
      </w:r>
    </w:p>
    <w:p w14:paraId="2976DFB7" w14:textId="4A68015A" w:rsidR="00CB5974" w:rsidRPr="000525A0" w:rsidRDefault="00CB5974" w:rsidP="006F5F3E">
      <w:r w:rsidRPr="000525A0">
        <w:t xml:space="preserve">Although expenditure calculations serve the majority of cases, in some complex situations these calculations can produce unintended outcomes. For example, if a parent has two dependent children in their care full time and a third dependent child enters their care </w:t>
      </w:r>
      <w:r>
        <w:t xml:space="preserve">for </w:t>
      </w:r>
      <w:r w:rsidR="003C3D29">
        <w:t>fifty percent</w:t>
      </w:r>
      <w:r w:rsidRPr="000525A0">
        <w:t xml:space="preserve"> of the time, while that parent’s dependent child allowance might reasonably be expected to increase or stay the same, it can in fact decrease.</w:t>
      </w:r>
    </w:p>
    <w:p w14:paraId="50713C0E" w14:textId="69BD0530" w:rsidR="00CB5974" w:rsidRDefault="00CB5974" w:rsidP="006F5F3E">
      <w:r w:rsidRPr="000525A0">
        <w:t xml:space="preserve">This </w:t>
      </w:r>
      <w:r w:rsidR="00D237B8">
        <w:t>occurs</w:t>
      </w:r>
      <w:r w:rsidRPr="000525A0">
        <w:t xml:space="preserve"> because of how the formula for calculating the dependent child allowance apportions total expenditure amongst the children concerned. The formula divides expenditure equally between each child. Expenditure is granted to the parent as a dependent child allowance in proportion to the amount of time they care for each relevant child. However, because subsequent children increase child expenditure by a progressively smaller amount, the formula deducts the proportion of time from a greater share of total expenditure than the child has contributed.</w:t>
      </w:r>
    </w:p>
    <w:p w14:paraId="6D68B7D6" w14:textId="0CBC6297" w:rsidR="00B80C9C" w:rsidRDefault="00B80C9C" w:rsidP="0049022D">
      <w:pPr>
        <w:pStyle w:val="Example-Heading1"/>
      </w:pPr>
      <w:r>
        <w:t>Example</w:t>
      </w:r>
      <w:r w:rsidR="0049022D">
        <w:t xml:space="preserve"> </w:t>
      </w:r>
      <w:r w:rsidR="0049022D">
        <w:fldChar w:fldCharType="begin"/>
      </w:r>
      <w:r w:rsidR="0049022D">
        <w:instrText xml:space="preserve"> seq examples </w:instrText>
      </w:r>
      <w:r w:rsidR="0049022D">
        <w:fldChar w:fldCharType="separate"/>
      </w:r>
      <w:r w:rsidR="00577BFB">
        <w:rPr>
          <w:noProof/>
        </w:rPr>
        <w:t>10</w:t>
      </w:r>
      <w:r w:rsidR="0049022D">
        <w:fldChar w:fldCharType="end"/>
      </w:r>
    </w:p>
    <w:p w14:paraId="602C6DCA" w14:textId="77777777" w:rsidR="001F4591" w:rsidRDefault="001F4591" w:rsidP="001F4591">
      <w:pPr>
        <w:pStyle w:val="Example-Text"/>
      </w:pPr>
      <w:r>
        <w:t xml:space="preserve">Caoimhe earns $61,351 and has two dependent children in her care, Ruairi and </w:t>
      </w:r>
      <w:proofErr w:type="spellStart"/>
      <w:r>
        <w:t>Rawiri</w:t>
      </w:r>
      <w:proofErr w:type="spellEnd"/>
      <w:r>
        <w:t>. Caoimhe has a dependent child allowance of $14,417.20.</w:t>
      </w:r>
    </w:p>
    <w:p w14:paraId="08C38929" w14:textId="6FB8E47B" w:rsidR="001F4591" w:rsidRPr="00573962" w:rsidRDefault="00573962" w:rsidP="00220826">
      <w:pPr>
        <w:pStyle w:val="Example-Figure"/>
        <w:spacing w:before="100"/>
      </w:pPr>
      <w:r w:rsidRPr="00573962">
        <w:t>Figure 8</w:t>
      </w:r>
    </w:p>
    <w:p w14:paraId="4927DF76" w14:textId="1204A393" w:rsidR="00573962" w:rsidRDefault="00577BFB" w:rsidP="00573962">
      <w:pPr>
        <w:pStyle w:val="Example-Figure"/>
        <w:spacing w:before="120"/>
      </w:pPr>
      <w:r>
        <w:object w:dxaOrig="6316" w:dyaOrig="1620" w14:anchorId="054C249E">
          <v:shape id="_x0000_i1032" type="#_x0000_t75" alt="Figure 8" style="width:315.75pt;height:81pt" o:ole="">
            <v:imagedata r:id="rId30" o:title=""/>
          </v:shape>
          <o:OLEObject Type="Embed" ProgID="Visio.Drawing.15" ShapeID="_x0000_i1032" DrawAspect="Content" ObjectID="_1645449629" r:id="rId31"/>
        </w:object>
      </w:r>
    </w:p>
    <w:p w14:paraId="5932C95C" w14:textId="0370508D" w:rsidR="001F4591" w:rsidRDefault="001F4591" w:rsidP="001F4591">
      <w:pPr>
        <w:pStyle w:val="Example-Text"/>
      </w:pPr>
      <w:r>
        <w:t>Caoimhe’s daughter Matilda comes to live with her fifty percent of the time. It could be reasonably expected that Caoimhe’s dependent child allowance would increase by fifty percent of the expenditure permitted for Matilda (in this instance, around $920).</w:t>
      </w:r>
    </w:p>
    <w:p w14:paraId="075E2CC3" w14:textId="17DFBF85" w:rsidR="001F4591" w:rsidRDefault="00A32608" w:rsidP="00A32608">
      <w:pPr>
        <w:pStyle w:val="Example-Caption"/>
      </w:pPr>
      <w:r>
        <w:t>Figure 9</w:t>
      </w:r>
    </w:p>
    <w:p w14:paraId="7DC30769" w14:textId="621D22DD" w:rsidR="00A32608" w:rsidRPr="00A32608" w:rsidRDefault="00577BFB" w:rsidP="00A32608">
      <w:pPr>
        <w:pStyle w:val="Example-Caption"/>
        <w:spacing w:before="120"/>
      </w:pPr>
      <w:r>
        <w:object w:dxaOrig="8206" w:dyaOrig="1606" w14:anchorId="577C76EB">
          <v:shape id="_x0000_i1033" type="#_x0000_t75" alt="Figure 9" style="width:410.25pt;height:80.25pt" o:ole="">
            <v:imagedata r:id="rId32" o:title=""/>
          </v:shape>
          <o:OLEObject Type="Embed" ProgID="Visio.Drawing.15" ShapeID="_x0000_i1033" DrawAspect="Content" ObjectID="_1645449630" r:id="rId33"/>
        </w:object>
      </w:r>
    </w:p>
    <w:p w14:paraId="52AA3604" w14:textId="30EE12B0" w:rsidR="001F4591" w:rsidRDefault="001F4591" w:rsidP="001F4591">
      <w:pPr>
        <w:pStyle w:val="Example-Text"/>
      </w:pPr>
      <w:r>
        <w:t>However, this is not the outcome reached under current rules. Since the formula for the dependent child allowance divides expenditure equally amongst the children, Matilda is allocated an equal third of total expenditure, of which Caoimhe is permitted only fifty percent (in this instance, $2,709.54). As such, Caoimhe’s dependent child allowance decreases from $14,417.20 to $13,547.70, even though there is an additional child in her care.</w:t>
      </w:r>
    </w:p>
    <w:p w14:paraId="44C4ED43" w14:textId="6668E41F" w:rsidR="0049022D" w:rsidRDefault="00A32608" w:rsidP="00220826">
      <w:pPr>
        <w:pStyle w:val="Example-Figure"/>
        <w:spacing w:before="100"/>
      </w:pPr>
      <w:r>
        <w:t>Figure 10</w:t>
      </w:r>
    </w:p>
    <w:p w14:paraId="610454AC" w14:textId="4C0F99CF" w:rsidR="00A32608" w:rsidRDefault="00577BFB" w:rsidP="00A32608">
      <w:pPr>
        <w:pStyle w:val="Example-Figure"/>
        <w:spacing w:before="120"/>
      </w:pPr>
      <w:r>
        <w:object w:dxaOrig="8206" w:dyaOrig="1606" w14:anchorId="51F6801F">
          <v:shape id="_x0000_i1034" type="#_x0000_t75" alt="Figure 10" style="width:410.25pt;height:80.25pt" o:ole="">
            <v:imagedata r:id="rId34" o:title=""/>
          </v:shape>
          <o:OLEObject Type="Embed" ProgID="Visio.Drawing.15" ShapeID="_x0000_i1034" DrawAspect="Content" ObjectID="_1645449631" r:id="rId35"/>
        </w:object>
      </w:r>
    </w:p>
    <w:p w14:paraId="644225D7" w14:textId="137D0424" w:rsidR="007F400D" w:rsidRDefault="007F400D" w:rsidP="0049022D">
      <w:r w:rsidRPr="00967CA4">
        <w:t xml:space="preserve">By allowing Inland Revenue </w:t>
      </w:r>
      <w:r w:rsidR="009E3123">
        <w:t xml:space="preserve">the </w:t>
      </w:r>
      <w:r w:rsidRPr="00967CA4">
        <w:t xml:space="preserve">discretion to modify expenditure calculations it </w:t>
      </w:r>
      <w:r w:rsidR="00BF6D57">
        <w:t>would</w:t>
      </w:r>
      <w:r w:rsidR="00BF6D57" w:rsidRPr="00967CA4">
        <w:t xml:space="preserve"> </w:t>
      </w:r>
      <w:r w:rsidRPr="00967CA4">
        <w:t>be able to resolve cases, which, due to their complexity, result in a perverse outcome</w:t>
      </w:r>
      <w:r>
        <w:t>.</w:t>
      </w:r>
      <w:r w:rsidRPr="00967CA4">
        <w:t xml:space="preserve"> This </w:t>
      </w:r>
      <w:r w:rsidR="00A66A75">
        <w:t>would</w:t>
      </w:r>
      <w:r w:rsidR="00A66A75" w:rsidRPr="00967CA4">
        <w:t xml:space="preserve"> </w:t>
      </w:r>
      <w:r w:rsidRPr="00967CA4">
        <w:t>increase fairness for families.</w:t>
      </w:r>
    </w:p>
    <w:p w14:paraId="141A92D6" w14:textId="324A0023" w:rsidR="001B2196" w:rsidRPr="00D9547E" w:rsidRDefault="00D9547E" w:rsidP="00D9547E">
      <w:pPr>
        <w:pStyle w:val="Heading2"/>
      </w:pPr>
      <w:bookmarkStart w:id="29" w:name="_Toc34836419"/>
      <w:r w:rsidRPr="00D9547E">
        <w:t xml:space="preserve">Clarifying that child support ends when a child leaves </w:t>
      </w:r>
      <w:r>
        <w:t>S</w:t>
      </w:r>
      <w:r w:rsidRPr="00D9547E">
        <w:t>tate care</w:t>
      </w:r>
      <w:bookmarkEnd w:id="29"/>
    </w:p>
    <w:p w14:paraId="5A7FE446" w14:textId="46E02CBC" w:rsidR="001B2196" w:rsidRPr="00473ED6" w:rsidRDefault="001B2196" w:rsidP="001B2196">
      <w:pPr>
        <w:pStyle w:val="Clause"/>
      </w:pPr>
      <w:r w:rsidRPr="00473ED6">
        <w:t>(Clause</w:t>
      </w:r>
      <w:r w:rsidR="00A35031">
        <w:t xml:space="preserve"> 7</w:t>
      </w:r>
      <w:r w:rsidRPr="00473ED6">
        <w:t>)</w:t>
      </w:r>
    </w:p>
    <w:p w14:paraId="776524AC" w14:textId="3F1DB92A" w:rsidR="001B2196" w:rsidRPr="00473ED6" w:rsidRDefault="001B2196" w:rsidP="001B2196">
      <w:pPr>
        <w:pStyle w:val="Heading3"/>
      </w:pPr>
      <w:r w:rsidRPr="00473ED6">
        <w:t>Summary of proposed amendment</w:t>
      </w:r>
    </w:p>
    <w:p w14:paraId="7E3CD31E" w14:textId="1B458003" w:rsidR="001B2196" w:rsidRPr="00473ED6" w:rsidRDefault="005A06C6" w:rsidP="001B2196">
      <w:r w:rsidRPr="00F0272A">
        <w:t xml:space="preserve">The </w:t>
      </w:r>
      <w:r w:rsidR="00450D66">
        <w:t>proposed amendment would</w:t>
      </w:r>
      <w:r w:rsidRPr="00F0272A">
        <w:t xml:space="preserve"> </w:t>
      </w:r>
      <w:r w:rsidR="00836E40">
        <w:t>clarify</w:t>
      </w:r>
      <w:r w:rsidRPr="00F0272A">
        <w:t xml:space="preserve"> that child support </w:t>
      </w:r>
      <w:r w:rsidR="00240D84">
        <w:t>would</w:t>
      </w:r>
      <w:r w:rsidR="00240D84" w:rsidRPr="00F0272A">
        <w:t xml:space="preserve"> </w:t>
      </w:r>
      <w:r w:rsidR="00ED2532">
        <w:t>stop</w:t>
      </w:r>
      <w:r w:rsidRPr="00F0272A">
        <w:t xml:space="preserve"> </w:t>
      </w:r>
      <w:r w:rsidR="00836E40">
        <w:t>for</w:t>
      </w:r>
      <w:r w:rsidRPr="00F0272A">
        <w:t xml:space="preserve"> a qualifying child when the child leaves </w:t>
      </w:r>
      <w:r>
        <w:t>State</w:t>
      </w:r>
      <w:r w:rsidRPr="00F0272A">
        <w:t xml:space="preserve"> care.</w:t>
      </w:r>
    </w:p>
    <w:p w14:paraId="7E7C10D1" w14:textId="77777777" w:rsidR="001B2196" w:rsidRPr="00473ED6" w:rsidRDefault="001B2196" w:rsidP="001B2196">
      <w:pPr>
        <w:pStyle w:val="Heading3"/>
      </w:pPr>
      <w:r w:rsidRPr="00473ED6">
        <w:t>Application date</w:t>
      </w:r>
    </w:p>
    <w:p w14:paraId="789E29EB" w14:textId="544CC0DD" w:rsidR="001B2196" w:rsidRPr="00473ED6" w:rsidRDefault="001B2196" w:rsidP="001B2196">
      <w:r>
        <w:t xml:space="preserve">The </w:t>
      </w:r>
      <w:r w:rsidR="002A2C08" w:rsidRPr="002A2C08">
        <w:t xml:space="preserve">proposed </w:t>
      </w:r>
      <w:r>
        <w:t xml:space="preserve">amendment </w:t>
      </w:r>
      <w:r w:rsidR="00303A8C">
        <w:t xml:space="preserve">would </w:t>
      </w:r>
      <w:r>
        <w:t xml:space="preserve">apply from </w:t>
      </w:r>
      <w:r w:rsidR="005A06C6">
        <w:t>1 April 2021</w:t>
      </w:r>
      <w:r>
        <w:t>.</w:t>
      </w:r>
    </w:p>
    <w:p w14:paraId="66BB1048" w14:textId="77777777" w:rsidR="001B2196" w:rsidRPr="00473ED6" w:rsidRDefault="001B2196" w:rsidP="001B2196">
      <w:pPr>
        <w:pStyle w:val="Heading3"/>
      </w:pPr>
      <w:r w:rsidRPr="00473ED6">
        <w:t>Key features</w:t>
      </w:r>
    </w:p>
    <w:p w14:paraId="316C9A5C" w14:textId="1F8FCCF5" w:rsidR="001B2196" w:rsidRDefault="00326CD6" w:rsidP="001B2196">
      <w:r>
        <w:t xml:space="preserve">The </w:t>
      </w:r>
      <w:r w:rsidR="00450D66">
        <w:t xml:space="preserve">proposed </w:t>
      </w:r>
      <w:r w:rsidR="000B2165">
        <w:t>clarification</w:t>
      </w:r>
      <w:r w:rsidR="000B2165" w:rsidRPr="003B722C">
        <w:t xml:space="preserve"> </w:t>
      </w:r>
      <w:r w:rsidR="003B722C">
        <w:t xml:space="preserve">would </w:t>
      </w:r>
      <w:r w:rsidR="000B2165" w:rsidRPr="0039417D">
        <w:rPr>
          <w:rStyle w:val="CommentReference"/>
          <w:bCs/>
          <w:sz w:val="24"/>
          <w:szCs w:val="40"/>
          <w:lang w:val="en-US"/>
        </w:rPr>
        <w:t>confirm</w:t>
      </w:r>
      <w:r w:rsidR="00990A34">
        <w:t xml:space="preserve"> </w:t>
      </w:r>
      <w:r>
        <w:t xml:space="preserve">that </w:t>
      </w:r>
      <w:r w:rsidR="00990A34">
        <w:t xml:space="preserve">child support </w:t>
      </w:r>
      <w:r w:rsidR="00ED2532">
        <w:t xml:space="preserve">stops </w:t>
      </w:r>
      <w:r w:rsidR="00990A34">
        <w:t>for a</w:t>
      </w:r>
      <w:r w:rsidR="00B62611">
        <w:t xml:space="preserve"> </w:t>
      </w:r>
      <w:r w:rsidR="003D766B">
        <w:t>qualifying</w:t>
      </w:r>
      <w:r w:rsidR="00B62611">
        <w:t xml:space="preserve"> </w:t>
      </w:r>
      <w:r w:rsidR="00990A34">
        <w:t>child</w:t>
      </w:r>
      <w:r w:rsidR="00B62611">
        <w:t xml:space="preserve"> </w:t>
      </w:r>
      <w:r w:rsidR="00990A34">
        <w:t>when</w:t>
      </w:r>
      <w:r w:rsidR="00B62611">
        <w:t xml:space="preserve"> </w:t>
      </w:r>
      <w:r w:rsidR="00990A34">
        <w:t>they leave</w:t>
      </w:r>
      <w:r w:rsidR="00C87D8E">
        <w:t xml:space="preserve"> Stat</w:t>
      </w:r>
      <w:r w:rsidR="00990A34">
        <w:t>e care</w:t>
      </w:r>
      <w:r w:rsidR="00C87D8E">
        <w:t>.</w:t>
      </w:r>
    </w:p>
    <w:p w14:paraId="7EEA47E6" w14:textId="05790706" w:rsidR="00A94DAB" w:rsidRDefault="00A94DAB" w:rsidP="001B2196">
      <w:r>
        <w:t>If</w:t>
      </w:r>
      <w:r w:rsidR="00A5577E">
        <w:t xml:space="preserve"> </w:t>
      </w:r>
      <w:r>
        <w:t xml:space="preserve">the </w:t>
      </w:r>
      <w:r w:rsidR="00A5577E">
        <w:t>child</w:t>
      </w:r>
      <w:r>
        <w:t xml:space="preserve"> </w:t>
      </w:r>
      <w:r w:rsidR="00ED2532">
        <w:t xml:space="preserve">is </w:t>
      </w:r>
      <w:r w:rsidR="007C4351">
        <w:t xml:space="preserve">subsequently </w:t>
      </w:r>
      <w:r w:rsidR="00A5577E">
        <w:t xml:space="preserve">going </w:t>
      </w:r>
      <w:r w:rsidR="00ED2532">
        <w:t xml:space="preserve">to be </w:t>
      </w:r>
      <w:r>
        <w:t>care</w:t>
      </w:r>
      <w:r w:rsidR="00ED2532">
        <w:t xml:space="preserve">d for by </w:t>
      </w:r>
      <w:r>
        <w:t>one of the</w:t>
      </w:r>
      <w:r w:rsidR="00A5577E">
        <w:t xml:space="preserve"> </w:t>
      </w:r>
      <w:r>
        <w:t>parents, that parent</w:t>
      </w:r>
      <w:r w:rsidR="00A5577E">
        <w:t xml:space="preserve"> </w:t>
      </w:r>
      <w:r w:rsidR="00ED2532">
        <w:t>c</w:t>
      </w:r>
      <w:r w:rsidR="00A5577E">
        <w:t>ould</w:t>
      </w:r>
      <w:r>
        <w:t xml:space="preserve"> apply</w:t>
      </w:r>
      <w:r w:rsidR="00A5577E">
        <w:t xml:space="preserve"> for child</w:t>
      </w:r>
      <w:r w:rsidR="007D5B5B">
        <w:t xml:space="preserve"> </w:t>
      </w:r>
      <w:r w:rsidR="00A5577E">
        <w:t>support</w:t>
      </w:r>
      <w:r w:rsidR="007D5B5B">
        <w:t xml:space="preserve"> </w:t>
      </w:r>
      <w:r w:rsidR="00A5577E">
        <w:t>if the</w:t>
      </w:r>
      <w:r w:rsidR="007D5B5B">
        <w:t>y wish to receive payments.</w:t>
      </w:r>
    </w:p>
    <w:p w14:paraId="459957CF" w14:textId="77777777" w:rsidR="001B2196" w:rsidRPr="00473ED6" w:rsidRDefault="001B2196" w:rsidP="001B2196">
      <w:pPr>
        <w:pStyle w:val="Heading3"/>
      </w:pPr>
      <w:r w:rsidRPr="00473ED6">
        <w:t>Background</w:t>
      </w:r>
    </w:p>
    <w:p w14:paraId="016718FE" w14:textId="6A454A76" w:rsidR="00C22FA8" w:rsidRDefault="00C22FA8" w:rsidP="00C22FA8">
      <w:r>
        <w:t xml:space="preserve">The Child Support Act provides </w:t>
      </w:r>
      <w:r w:rsidR="00303A8C">
        <w:t xml:space="preserve">that </w:t>
      </w:r>
      <w:r>
        <w:t xml:space="preserve">in situations when a child’s care arrangement is changed the new care arrangement should be updated and the child support should continue </w:t>
      </w:r>
      <w:r w:rsidR="00770C74">
        <w:t>–</w:t>
      </w:r>
      <w:r>
        <w:t xml:space="preserve"> </w:t>
      </w:r>
      <w:proofErr w:type="gramStart"/>
      <w:r>
        <w:t>taking into account</w:t>
      </w:r>
      <w:proofErr w:type="gramEnd"/>
      <w:r>
        <w:t xml:space="preserve"> the change in care. Notification</w:t>
      </w:r>
      <w:r w:rsidR="00AA3F88">
        <w:t>s</w:t>
      </w:r>
      <w:r>
        <w:t xml:space="preserve"> </w:t>
      </w:r>
      <w:r w:rsidR="00B45574">
        <w:t>of</w:t>
      </w:r>
      <w:r>
        <w:t xml:space="preserve"> the </w:t>
      </w:r>
      <w:r w:rsidR="00303A8C">
        <w:t xml:space="preserve">child support assessment based on the </w:t>
      </w:r>
      <w:r>
        <w:t>child’s new care arrangement</w:t>
      </w:r>
      <w:r w:rsidR="00B45574">
        <w:t xml:space="preserve"> would be issued to </w:t>
      </w:r>
      <w:r w:rsidR="00570971">
        <w:t>the parents</w:t>
      </w:r>
      <w:r>
        <w:t>.</w:t>
      </w:r>
    </w:p>
    <w:p w14:paraId="6B366F02" w14:textId="4F215DE0" w:rsidR="00C22FA8" w:rsidRDefault="00C22FA8" w:rsidP="00C22FA8">
      <w:r>
        <w:t xml:space="preserve">However, </w:t>
      </w:r>
      <w:r w:rsidRPr="00FB1DAF">
        <w:t xml:space="preserve">when a child leaves State care and is placed with one of the parents, Inland Revenue </w:t>
      </w:r>
      <w:r>
        <w:t xml:space="preserve">practice is to </w:t>
      </w:r>
      <w:r w:rsidRPr="00FB1DAF">
        <w:t>stop</w:t>
      </w:r>
      <w:r>
        <w:t xml:space="preserve"> </w:t>
      </w:r>
      <w:r w:rsidRPr="00FB1DAF">
        <w:t>the child support</w:t>
      </w:r>
      <w:r>
        <w:t xml:space="preserve"> that parents are paying to the State (</w:t>
      </w:r>
      <w:r w:rsidRPr="00FB1DAF">
        <w:t>the receiving carer</w:t>
      </w:r>
      <w:r>
        <w:t xml:space="preserve"> in these cases)</w:t>
      </w:r>
      <w:r w:rsidRPr="00FB1DAF">
        <w:t xml:space="preserve">. </w:t>
      </w:r>
      <w:r w:rsidRPr="00495D34">
        <w:t>This practice is</w:t>
      </w:r>
      <w:r>
        <w:t xml:space="preserve"> </w:t>
      </w:r>
      <w:r w:rsidRPr="00495D34">
        <w:t>followed due to potential safety concerns for the child and their carer</w:t>
      </w:r>
      <w:r>
        <w:t xml:space="preserve"> that </w:t>
      </w:r>
      <w:r w:rsidR="00303A8C">
        <w:t xml:space="preserve">may </w:t>
      </w:r>
      <w:r>
        <w:t>arise out of the need to notify the change in the child’s care arrangements.</w:t>
      </w:r>
    </w:p>
    <w:p w14:paraId="30343114" w14:textId="47F534D6" w:rsidR="00495D34" w:rsidRDefault="00FB1DAF" w:rsidP="001B2196">
      <w:r w:rsidRPr="00FB1DAF">
        <w:t>If the parent with the child in their care would like to receive child support, they are able to apply.</w:t>
      </w:r>
    </w:p>
    <w:p w14:paraId="78F8AA16" w14:textId="60857D70" w:rsidR="00495D34" w:rsidRDefault="00495D34" w:rsidP="001B2196">
      <w:r w:rsidRPr="00495D34">
        <w:t>However, Inland Revenue’s approach is not consistent with the current legislative provisions.</w:t>
      </w:r>
    </w:p>
    <w:p w14:paraId="26CA6C2E" w14:textId="759E597A" w:rsidR="001B2196" w:rsidRDefault="00A23CF2" w:rsidP="001B2196">
      <w:r w:rsidRPr="00A23CF2">
        <w:t xml:space="preserve">Clarifying that child support should end when a child leaves State care </w:t>
      </w:r>
      <w:r w:rsidR="00D149D1">
        <w:t>would</w:t>
      </w:r>
      <w:r w:rsidR="00D149D1" w:rsidRPr="00A23CF2">
        <w:t xml:space="preserve"> </w:t>
      </w:r>
      <w:r w:rsidRPr="00A23CF2">
        <w:t>reinforce the current practice</w:t>
      </w:r>
      <w:r w:rsidR="00D149D1">
        <w:t xml:space="preserve"> </w:t>
      </w:r>
      <w:r w:rsidR="000B2165">
        <w:t xml:space="preserve">and protect the safety of the </w:t>
      </w:r>
      <w:r w:rsidR="00C22FA8">
        <w:t>child</w:t>
      </w:r>
      <w:r w:rsidR="00C22FA8" w:rsidRPr="00A23CF2">
        <w:t>.</w:t>
      </w:r>
    </w:p>
    <w:p w14:paraId="416E233C" w14:textId="12D1F833" w:rsidR="001B2196" w:rsidRPr="00D9547E" w:rsidRDefault="00D9547E" w:rsidP="00D9547E">
      <w:pPr>
        <w:pStyle w:val="Heading2"/>
      </w:pPr>
      <w:bookmarkStart w:id="30" w:name="_Toc34836420"/>
      <w:r w:rsidRPr="00D9547E">
        <w:t>Timeframes for providing orders of parentage</w:t>
      </w:r>
      <w:bookmarkEnd w:id="30"/>
    </w:p>
    <w:p w14:paraId="394A8485" w14:textId="13F08F1A" w:rsidR="001B2196" w:rsidRPr="00473ED6" w:rsidRDefault="001B2196" w:rsidP="001B2196">
      <w:pPr>
        <w:pStyle w:val="Clause"/>
      </w:pPr>
      <w:r w:rsidRPr="00473ED6">
        <w:t>(Clause</w:t>
      </w:r>
      <w:r w:rsidR="00A35031">
        <w:t xml:space="preserve"> </w:t>
      </w:r>
      <w:r w:rsidR="005D3B7A">
        <w:t>6</w:t>
      </w:r>
      <w:r w:rsidRPr="00473ED6">
        <w:t>)</w:t>
      </w:r>
    </w:p>
    <w:p w14:paraId="7ACAC658" w14:textId="3D8414ED" w:rsidR="001B2196" w:rsidRPr="00473ED6" w:rsidRDefault="001B2196" w:rsidP="001B2196">
      <w:pPr>
        <w:pStyle w:val="Heading3"/>
      </w:pPr>
      <w:r w:rsidRPr="00473ED6">
        <w:t>Summary of proposed amendment</w:t>
      </w:r>
    </w:p>
    <w:p w14:paraId="517FDAD2" w14:textId="0EAE839B" w:rsidR="00426FC1" w:rsidRDefault="004446AC" w:rsidP="00426FC1">
      <w:r>
        <w:t xml:space="preserve">It is proposed that </w:t>
      </w:r>
      <w:r w:rsidR="00A218BF">
        <w:t>C</w:t>
      </w:r>
      <w:r w:rsidR="009757D8" w:rsidRPr="009757D8">
        <w:t>ourt declarations of parentage</w:t>
      </w:r>
      <w:r w:rsidR="00A218BF">
        <w:t xml:space="preserve"> </w:t>
      </w:r>
      <w:r w:rsidR="000B2165">
        <w:t xml:space="preserve">would </w:t>
      </w:r>
      <w:r w:rsidR="00A218BF">
        <w:t xml:space="preserve">be required to </w:t>
      </w:r>
      <w:r w:rsidR="00B935E4">
        <w:t xml:space="preserve">be </w:t>
      </w:r>
      <w:r w:rsidR="00B935E4" w:rsidRPr="009757D8">
        <w:t>provided</w:t>
      </w:r>
      <w:r w:rsidR="009757D8" w:rsidRPr="009757D8">
        <w:t xml:space="preserve"> </w:t>
      </w:r>
      <w:r w:rsidR="00A218BF">
        <w:t xml:space="preserve">to Inland Revenue </w:t>
      </w:r>
      <w:r w:rsidR="009757D8" w:rsidRPr="009757D8">
        <w:t>in a timely manner</w:t>
      </w:r>
      <w:r w:rsidR="00ED2532">
        <w:t>.</w:t>
      </w:r>
    </w:p>
    <w:p w14:paraId="2B2C1190" w14:textId="77777777" w:rsidR="001B2196" w:rsidRPr="00473ED6" w:rsidRDefault="001B2196" w:rsidP="001B2196">
      <w:pPr>
        <w:pStyle w:val="Heading3"/>
      </w:pPr>
      <w:r w:rsidRPr="00473ED6">
        <w:t>Application date</w:t>
      </w:r>
    </w:p>
    <w:p w14:paraId="54AA83B3" w14:textId="0C98343F" w:rsidR="001B2196" w:rsidRPr="00473ED6" w:rsidRDefault="001B2196" w:rsidP="001B2196">
      <w:r>
        <w:t xml:space="preserve">The </w:t>
      </w:r>
      <w:r w:rsidR="002A2C08" w:rsidRPr="002A2C08">
        <w:t xml:space="preserve">proposed </w:t>
      </w:r>
      <w:r>
        <w:t xml:space="preserve">amendment </w:t>
      </w:r>
      <w:r w:rsidR="000B2165">
        <w:t xml:space="preserve">would </w:t>
      </w:r>
      <w:r>
        <w:t>apply from</w:t>
      </w:r>
      <w:r w:rsidR="00303A8C">
        <w:t xml:space="preserve"> </w:t>
      </w:r>
      <w:r w:rsidR="00426FC1">
        <w:t>1 April 2021</w:t>
      </w:r>
      <w:r>
        <w:t>.</w:t>
      </w:r>
    </w:p>
    <w:p w14:paraId="2C8B4152" w14:textId="77777777" w:rsidR="001B2196" w:rsidRPr="00473ED6" w:rsidRDefault="001B2196" w:rsidP="001B2196">
      <w:pPr>
        <w:pStyle w:val="Heading3"/>
      </w:pPr>
      <w:r w:rsidRPr="00473ED6">
        <w:t>Key features</w:t>
      </w:r>
    </w:p>
    <w:p w14:paraId="3A6C4787" w14:textId="6AB69158" w:rsidR="009C76B4" w:rsidRDefault="000A5FCF" w:rsidP="001B2196">
      <w:r w:rsidRPr="000A5FCF">
        <w:t xml:space="preserve">The </w:t>
      </w:r>
      <w:r w:rsidR="00450D66">
        <w:t xml:space="preserve">proposed </w:t>
      </w:r>
      <w:r w:rsidR="009C76B4">
        <w:t xml:space="preserve">amendment </w:t>
      </w:r>
      <w:r w:rsidR="000B2165">
        <w:t xml:space="preserve">would </w:t>
      </w:r>
      <w:r w:rsidR="009C76B4" w:rsidRPr="000A5FCF">
        <w:t>mean</w:t>
      </w:r>
      <w:r w:rsidRPr="000A5FCF">
        <w:t xml:space="preserve"> child support would only be back</w:t>
      </w:r>
      <w:r w:rsidR="00BD30D1">
        <w:t xml:space="preserve"> </w:t>
      </w:r>
      <w:r w:rsidRPr="000A5FCF">
        <w:t>dated on receipt of</w:t>
      </w:r>
      <w:r w:rsidR="002115B0">
        <w:t xml:space="preserve"> a declaration of parentage</w:t>
      </w:r>
      <w:r w:rsidRPr="000A5FCF">
        <w:t xml:space="preserve"> if</w:t>
      </w:r>
      <w:r w:rsidR="00A218BF">
        <w:t>:</w:t>
      </w:r>
    </w:p>
    <w:p w14:paraId="2751D602" w14:textId="3CCF39C0" w:rsidR="009C76B4" w:rsidRPr="00A4079B" w:rsidRDefault="000A5FCF" w:rsidP="00A4079B">
      <w:pPr>
        <w:pStyle w:val="ListBullet"/>
      </w:pPr>
      <w:r w:rsidRPr="00A4079B">
        <w:t>the carer applied for the order either before or within two months of submitting their child support application</w:t>
      </w:r>
      <w:r w:rsidR="00A218BF" w:rsidRPr="00A4079B">
        <w:t>;</w:t>
      </w:r>
      <w:r w:rsidRPr="00A4079B">
        <w:t xml:space="preserve"> and</w:t>
      </w:r>
    </w:p>
    <w:p w14:paraId="01813BCF" w14:textId="15BA4D68" w:rsidR="00A218BF" w:rsidRPr="00A4079B" w:rsidRDefault="000A5FCF" w:rsidP="00A4079B">
      <w:pPr>
        <w:pStyle w:val="ListBullet"/>
      </w:pPr>
      <w:r w:rsidRPr="00A4079B">
        <w:t>having been granted, the order is given to Inland Revenue within two months.</w:t>
      </w:r>
    </w:p>
    <w:p w14:paraId="5FBB4E57" w14:textId="45C5CBE0" w:rsidR="001B2196" w:rsidRPr="00A4079B" w:rsidRDefault="000A5FCF" w:rsidP="00A4079B">
      <w:r w:rsidRPr="00A4079B">
        <w:t xml:space="preserve">Inland Revenue </w:t>
      </w:r>
      <w:r w:rsidR="000B2165" w:rsidRPr="00A4079B">
        <w:t xml:space="preserve">would </w:t>
      </w:r>
      <w:r w:rsidR="009C76B4" w:rsidRPr="00A4079B">
        <w:t xml:space="preserve">have </w:t>
      </w:r>
      <w:r w:rsidRPr="00A4079B">
        <w:t>discretion to accept the orders outside the two-month period if the delay was due to circumstances beyond the carer’s control – for example, they were seriously ill.</w:t>
      </w:r>
    </w:p>
    <w:p w14:paraId="03F3E989" w14:textId="502B2126" w:rsidR="00C91014" w:rsidRPr="00A4079B" w:rsidRDefault="00C91014" w:rsidP="00A4079B">
      <w:r w:rsidRPr="00A4079B">
        <w:t xml:space="preserve">These rules </w:t>
      </w:r>
      <w:r w:rsidR="00337004" w:rsidRPr="00A4079B">
        <w:t xml:space="preserve">would </w:t>
      </w:r>
      <w:r w:rsidRPr="00A4079B">
        <w:t>also apply to an order or declaration made by an overseas court or a public authority in an overseas jurisdiction</w:t>
      </w:r>
      <w:r w:rsidR="00BB6A81" w:rsidRPr="00A4079B">
        <w:t>.</w:t>
      </w:r>
    </w:p>
    <w:p w14:paraId="66AD7A90" w14:textId="78F2BB9A" w:rsidR="00BB6A81" w:rsidRPr="00A4079B" w:rsidRDefault="00BB6A81" w:rsidP="00A4079B">
      <w:r w:rsidRPr="00A4079B">
        <w:t xml:space="preserve">If the two-month period </w:t>
      </w:r>
      <w:r w:rsidR="00337004" w:rsidRPr="00A4079B">
        <w:t xml:space="preserve">was </w:t>
      </w:r>
      <w:r w:rsidRPr="00A4079B">
        <w:t xml:space="preserve">not met, child support </w:t>
      </w:r>
      <w:r w:rsidR="00337004" w:rsidRPr="00A4079B">
        <w:t xml:space="preserve">would </w:t>
      </w:r>
      <w:r w:rsidR="00ED2532" w:rsidRPr="00A4079B">
        <w:t>start</w:t>
      </w:r>
      <w:r w:rsidRPr="00A4079B">
        <w:t xml:space="preserve"> from the date the </w:t>
      </w:r>
      <w:r w:rsidR="00D17D27">
        <w:t>C</w:t>
      </w:r>
      <w:r w:rsidRPr="00A4079B">
        <w:t>ourt order is given to Inland Revenue.</w:t>
      </w:r>
    </w:p>
    <w:p w14:paraId="2FB93879" w14:textId="77777777" w:rsidR="001B2196" w:rsidRPr="00473ED6" w:rsidRDefault="001B2196" w:rsidP="001B2196">
      <w:pPr>
        <w:pStyle w:val="Heading3"/>
      </w:pPr>
      <w:r w:rsidRPr="00473ED6">
        <w:t>Background</w:t>
      </w:r>
    </w:p>
    <w:p w14:paraId="3F60BCA0" w14:textId="0573525E" w:rsidR="00ED2532" w:rsidRDefault="00C22FA8" w:rsidP="00ED2532">
      <w:r>
        <w:t>A person can</w:t>
      </w:r>
      <w:r w:rsidR="00645D7F">
        <w:t>no</w:t>
      </w:r>
      <w:r>
        <w:t>t be made liable to pay child support unless Inland Revenue has received proof that the person is a parent as defined in section 7 of the Child Support Act</w:t>
      </w:r>
      <w:r w:rsidR="00645D7F">
        <w:t>.</w:t>
      </w:r>
      <w:r w:rsidRPr="003F44BD">
        <w:t xml:space="preserve"> </w:t>
      </w:r>
      <w:r w:rsidRPr="00C22FA8">
        <w:t>In some cases</w:t>
      </w:r>
      <w:r w:rsidR="00454DCA">
        <w:t>,</w:t>
      </w:r>
      <w:r w:rsidRPr="00C22FA8">
        <w:t xml:space="preserve"> a person is named on the </w:t>
      </w:r>
      <w:r>
        <w:t>child</w:t>
      </w:r>
      <w:r w:rsidR="003D318B">
        <w:t xml:space="preserve"> </w:t>
      </w:r>
      <w:r>
        <w:t>support</w:t>
      </w:r>
      <w:r w:rsidRPr="00C22FA8">
        <w:t xml:space="preserve"> application but not initially considered liable</w:t>
      </w:r>
      <w:r w:rsidR="008836FB">
        <w:t>,</w:t>
      </w:r>
      <w:r w:rsidRPr="00C22FA8">
        <w:t xml:space="preserve"> then through a subsequent Court order is declared the parent. That person’s child support liability </w:t>
      </w:r>
      <w:r w:rsidR="00303A8C">
        <w:t>can</w:t>
      </w:r>
      <w:r w:rsidR="00303A8C" w:rsidRPr="00C22FA8">
        <w:t xml:space="preserve"> </w:t>
      </w:r>
      <w:r w:rsidRPr="00C22FA8">
        <w:t>be back</w:t>
      </w:r>
      <w:r w:rsidR="00303A8C">
        <w:t xml:space="preserve"> </w:t>
      </w:r>
      <w:r w:rsidRPr="00C22FA8">
        <w:t xml:space="preserve">dated to </w:t>
      </w:r>
      <w:r w:rsidR="003F44BD" w:rsidRPr="003F44BD">
        <w:t xml:space="preserve">the date the child support application was received. This is regardless of how long it takes for the </w:t>
      </w:r>
      <w:r w:rsidR="00303A8C">
        <w:t>C</w:t>
      </w:r>
      <w:r w:rsidR="00303A8C" w:rsidRPr="003F44BD">
        <w:t xml:space="preserve">ourt </w:t>
      </w:r>
      <w:r w:rsidR="003F44BD" w:rsidRPr="003F44BD">
        <w:t>declaration to be given to Inland Revenue. This can lead to delays of many years and can create large debts for the liable parent.</w:t>
      </w:r>
    </w:p>
    <w:p w14:paraId="529714A6" w14:textId="342B823E" w:rsidR="00ED2532" w:rsidRDefault="00ED2532" w:rsidP="00ED2532">
      <w:r>
        <w:t xml:space="preserve">The </w:t>
      </w:r>
      <w:r w:rsidR="00450D66">
        <w:t xml:space="preserve">proposed </w:t>
      </w:r>
      <w:r>
        <w:t xml:space="preserve">amendment </w:t>
      </w:r>
      <w:r w:rsidR="006C5B09">
        <w:t xml:space="preserve">would </w:t>
      </w:r>
      <w:r w:rsidRPr="00A71372">
        <w:t xml:space="preserve">remove the ability for the carer to </w:t>
      </w:r>
      <w:r>
        <w:t>delay</w:t>
      </w:r>
      <w:r w:rsidRPr="00A71372">
        <w:t xml:space="preserve"> giving Inland Revenue a </w:t>
      </w:r>
      <w:r w:rsidR="00303A8C" w:rsidRPr="00A71372">
        <w:t>parent</w:t>
      </w:r>
      <w:r w:rsidR="00303A8C">
        <w:t>age</w:t>
      </w:r>
      <w:r w:rsidR="00303A8C" w:rsidRPr="00A71372">
        <w:t xml:space="preserve"> </w:t>
      </w:r>
      <w:r w:rsidRPr="00A71372">
        <w:t xml:space="preserve">order in a timely </w:t>
      </w:r>
      <w:r>
        <w:t>manner</w:t>
      </w:r>
      <w:r w:rsidRPr="00A71372">
        <w:t xml:space="preserve"> knowing that child support can be backdated</w:t>
      </w:r>
      <w:r>
        <w:t>.</w:t>
      </w:r>
    </w:p>
    <w:p w14:paraId="2695CCB9" w14:textId="4D72FD6A" w:rsidR="0030412E" w:rsidRDefault="00C22337" w:rsidP="00E22D08">
      <w:r>
        <w:t>In</w:t>
      </w:r>
      <w:r w:rsidR="006270D7">
        <w:t xml:space="preserve">troducing timeframes for </w:t>
      </w:r>
      <w:r w:rsidR="00DF0971">
        <w:t xml:space="preserve">parents and carers to provide orders of parentage </w:t>
      </w:r>
      <w:r w:rsidR="006C5B09">
        <w:t xml:space="preserve">would </w:t>
      </w:r>
      <w:r w:rsidR="00C2528A">
        <w:t>address</w:t>
      </w:r>
      <w:r w:rsidR="001E7093">
        <w:t xml:space="preserve"> this and </w:t>
      </w:r>
      <w:r w:rsidR="008F2FDC">
        <w:t>improve equity for parents.</w:t>
      </w:r>
    </w:p>
    <w:p w14:paraId="59EBFE25" w14:textId="1B71F21B" w:rsidR="007D5B5B" w:rsidRPr="00D9547E" w:rsidRDefault="00D9547E" w:rsidP="00D9547E">
      <w:pPr>
        <w:pStyle w:val="Heading2"/>
      </w:pPr>
      <w:bookmarkStart w:id="31" w:name="_Toc34836421"/>
      <w:r w:rsidRPr="00D9547E">
        <w:t>Introducing timeframes to advise of circumstances when child support first assessed</w:t>
      </w:r>
      <w:bookmarkEnd w:id="31"/>
    </w:p>
    <w:p w14:paraId="4D81AD9A" w14:textId="108B8B0E" w:rsidR="007D5B5B" w:rsidRPr="00473ED6" w:rsidRDefault="007D5B5B" w:rsidP="007D5B5B">
      <w:pPr>
        <w:pStyle w:val="Clause"/>
      </w:pPr>
      <w:r w:rsidRPr="00473ED6">
        <w:t>(Clause</w:t>
      </w:r>
      <w:r w:rsidR="003B722C">
        <w:t>s</w:t>
      </w:r>
      <w:r w:rsidRPr="00473ED6">
        <w:t xml:space="preserve"> </w:t>
      </w:r>
      <w:r w:rsidR="00A35031">
        <w:t>18</w:t>
      </w:r>
      <w:r w:rsidR="005D3B7A">
        <w:t xml:space="preserve"> and 21</w:t>
      </w:r>
      <w:r w:rsidRPr="00473ED6">
        <w:t>)</w:t>
      </w:r>
    </w:p>
    <w:p w14:paraId="02EDD6D3" w14:textId="1BB6DDA0" w:rsidR="007D5B5B" w:rsidRPr="00473ED6" w:rsidRDefault="007D5B5B" w:rsidP="007D5B5B">
      <w:pPr>
        <w:pStyle w:val="Heading3"/>
      </w:pPr>
      <w:r w:rsidRPr="00473ED6">
        <w:t>Summary of proposed amendment</w:t>
      </w:r>
    </w:p>
    <w:p w14:paraId="79570303" w14:textId="4B121073" w:rsidR="007D5B5B" w:rsidRPr="00473ED6" w:rsidRDefault="00DD2FB1" w:rsidP="00ED2532">
      <w:r>
        <w:t>It is proposed that there should be a</w:t>
      </w:r>
      <w:r w:rsidR="00A218BF">
        <w:t xml:space="preserve"> time limit for advising Inland Revenue of a person’s circumstances </w:t>
      </w:r>
      <w:r w:rsidR="00757D39">
        <w:t xml:space="preserve">that exist </w:t>
      </w:r>
      <w:r w:rsidR="00A218BF">
        <w:t>when they apply for child support</w:t>
      </w:r>
      <w:r w:rsidR="00757D39">
        <w:t>.</w:t>
      </w:r>
    </w:p>
    <w:p w14:paraId="1A1B8A4C" w14:textId="77777777" w:rsidR="007D5B5B" w:rsidRPr="00473ED6" w:rsidRDefault="007D5B5B" w:rsidP="007D5B5B">
      <w:pPr>
        <w:pStyle w:val="Heading3"/>
      </w:pPr>
      <w:r w:rsidRPr="00473ED6">
        <w:t>Application date</w:t>
      </w:r>
    </w:p>
    <w:p w14:paraId="2D9547EC" w14:textId="09DB613E" w:rsidR="007D5B5B" w:rsidRPr="00473ED6" w:rsidRDefault="007D5B5B" w:rsidP="007D5B5B">
      <w:r>
        <w:t xml:space="preserve">The </w:t>
      </w:r>
      <w:r w:rsidR="002A2C08" w:rsidRPr="002A2C08">
        <w:t xml:space="preserve">proposed </w:t>
      </w:r>
      <w:r>
        <w:t xml:space="preserve">amendment </w:t>
      </w:r>
      <w:r w:rsidR="000D47C1">
        <w:t xml:space="preserve">would </w:t>
      </w:r>
      <w:r>
        <w:t xml:space="preserve">apply from </w:t>
      </w:r>
      <w:r w:rsidR="009E5F5D">
        <w:t>1 April 2021</w:t>
      </w:r>
      <w:r>
        <w:t>.</w:t>
      </w:r>
    </w:p>
    <w:p w14:paraId="52F4F90F" w14:textId="77777777" w:rsidR="007D5B5B" w:rsidRPr="00473ED6" w:rsidRDefault="007D5B5B" w:rsidP="007D5B5B">
      <w:pPr>
        <w:pStyle w:val="Heading3"/>
      </w:pPr>
      <w:r w:rsidRPr="00473ED6">
        <w:t>Key features</w:t>
      </w:r>
    </w:p>
    <w:p w14:paraId="401E1F15" w14:textId="4C989EDD" w:rsidR="009E4CC6" w:rsidRDefault="009E4CC6" w:rsidP="007D5B5B">
      <w:r w:rsidRPr="00F0272A">
        <w:t xml:space="preserve">A </w:t>
      </w:r>
      <w:r w:rsidR="00303A8C">
        <w:t xml:space="preserve">liable </w:t>
      </w:r>
      <w:r w:rsidRPr="00F0272A">
        <w:t xml:space="preserve">parent </w:t>
      </w:r>
      <w:r w:rsidR="00303A8C">
        <w:t xml:space="preserve">or receiving carer </w:t>
      </w:r>
      <w:r>
        <w:t xml:space="preserve">would </w:t>
      </w:r>
      <w:r w:rsidRPr="00F0272A">
        <w:t>have 28 days from the date of their notice of assessment to advise Inland Revenue of any existing circumstances that could affect their assessment for it to be back</w:t>
      </w:r>
      <w:r w:rsidR="00BD30D1">
        <w:t xml:space="preserve"> </w:t>
      </w:r>
      <w:r w:rsidRPr="00F0272A">
        <w:t>dated</w:t>
      </w:r>
      <w:r w:rsidR="00757D39">
        <w:t xml:space="preserve"> </w:t>
      </w:r>
      <w:r w:rsidRPr="00F0272A">
        <w:t>to the start of their assessment.</w:t>
      </w:r>
    </w:p>
    <w:p w14:paraId="1B038380" w14:textId="028A06B8" w:rsidR="00923F8C" w:rsidRDefault="009E4CC6" w:rsidP="00923F8C">
      <w:r w:rsidRPr="00F0272A">
        <w:t xml:space="preserve">If notification is received </w:t>
      </w:r>
      <w:r w:rsidR="00A218BF">
        <w:t>after</w:t>
      </w:r>
      <w:r w:rsidRPr="00F0272A">
        <w:t xml:space="preserve"> 28</w:t>
      </w:r>
      <w:r>
        <w:t xml:space="preserve"> </w:t>
      </w:r>
      <w:r w:rsidRPr="00F0272A">
        <w:t xml:space="preserve">days, it </w:t>
      </w:r>
      <w:r w:rsidR="00303A8C">
        <w:t>would</w:t>
      </w:r>
      <w:r w:rsidR="00303A8C" w:rsidRPr="00F0272A">
        <w:t xml:space="preserve"> </w:t>
      </w:r>
      <w:r w:rsidRPr="00F0272A">
        <w:t>only take effect from the date the notification is received</w:t>
      </w:r>
      <w:r w:rsidR="00A218BF">
        <w:t xml:space="preserve"> by Inland Revenue</w:t>
      </w:r>
      <w:r w:rsidRPr="00F0272A">
        <w:t>.</w:t>
      </w:r>
    </w:p>
    <w:p w14:paraId="4044F9D9" w14:textId="77777777" w:rsidR="007D5B5B" w:rsidRPr="00473ED6" w:rsidRDefault="007D5B5B" w:rsidP="007D5B5B">
      <w:pPr>
        <w:pStyle w:val="Heading3"/>
      </w:pPr>
      <w:r w:rsidRPr="00473ED6">
        <w:t>Background</w:t>
      </w:r>
    </w:p>
    <w:p w14:paraId="0424171E" w14:textId="23E3773D" w:rsidR="00C24BBD" w:rsidRDefault="00C24BBD" w:rsidP="007D5B5B">
      <w:r>
        <w:t xml:space="preserve">When Inland Revenue is satisfied that a relevant change of circumstance has occurred </w:t>
      </w:r>
      <w:r w:rsidR="00A218BF">
        <w:t>(</w:t>
      </w:r>
      <w:r>
        <w:t>for example, the birth of a new dependent child or a change in care arrangements</w:t>
      </w:r>
      <w:r w:rsidR="00A218BF">
        <w:t>)</w:t>
      </w:r>
      <w:r>
        <w:t xml:space="preserve"> the Child Support Act</w:t>
      </w:r>
      <w:r w:rsidR="000D47C1">
        <w:t xml:space="preserve"> </w:t>
      </w:r>
      <w:r>
        <w:t>determines when the change is to be treated as having occurred. If a change is notified within 28 days of it occurring, it is recognised from the date it occurred.</w:t>
      </w:r>
    </w:p>
    <w:p w14:paraId="5EDA476E" w14:textId="3B4792EC" w:rsidR="007D5B5B" w:rsidRDefault="00C24BBD" w:rsidP="0089017B">
      <w:r>
        <w:t xml:space="preserve">However, this </w:t>
      </w:r>
      <w:r w:rsidR="000D47C1">
        <w:t>is not the case</w:t>
      </w:r>
      <w:r>
        <w:t xml:space="preserve"> when the circumstance existed at the time child support was assessed </w:t>
      </w:r>
      <w:r w:rsidR="00303A8C">
        <w:t xml:space="preserve">for a person </w:t>
      </w:r>
      <w:r>
        <w:t xml:space="preserve">for the first time. In these situations, the assessment is considered incorrect and </w:t>
      </w:r>
      <w:r w:rsidR="005744C9">
        <w:t xml:space="preserve">therefore </w:t>
      </w:r>
      <w:r w:rsidR="00303A8C">
        <w:t xml:space="preserve">could </w:t>
      </w:r>
      <w:r>
        <w:t xml:space="preserve">be corrected from the start of the child support assessment. This can cause overpayments to carers (for example, if a liable parent notifies Inland Revenue that they are the carer of a dependent child that reduces their payments) or </w:t>
      </w:r>
      <w:r w:rsidR="003D318B">
        <w:t xml:space="preserve">retrospectively </w:t>
      </w:r>
      <w:r>
        <w:t xml:space="preserve">increases </w:t>
      </w:r>
      <w:r w:rsidR="003D318B">
        <w:t xml:space="preserve">obligations owed </w:t>
      </w:r>
      <w:r>
        <w:t xml:space="preserve">by liable parents (if a receiving parent likewise notifies that they </w:t>
      </w:r>
      <w:r w:rsidR="003D318B">
        <w:t xml:space="preserve">have always been </w:t>
      </w:r>
      <w:r>
        <w:t>the carer of a dependent child).</w:t>
      </w:r>
    </w:p>
    <w:p w14:paraId="19767A82" w14:textId="1F83950B" w:rsidR="007D5B5B" w:rsidRDefault="00162D4C" w:rsidP="00E22D08">
      <w:r>
        <w:t xml:space="preserve">The </w:t>
      </w:r>
      <w:r w:rsidR="004B30AC">
        <w:t xml:space="preserve">proposed </w:t>
      </w:r>
      <w:r>
        <w:t xml:space="preserve">amendment </w:t>
      </w:r>
      <w:r w:rsidR="005744C9">
        <w:t xml:space="preserve">would </w:t>
      </w:r>
      <w:r w:rsidR="00FF78C0">
        <w:t xml:space="preserve">ensure </w:t>
      </w:r>
      <w:r w:rsidR="004F5209">
        <w:t>consisten</w:t>
      </w:r>
      <w:r w:rsidR="00F3308B">
        <w:t>cy</w:t>
      </w:r>
      <w:r w:rsidR="00FF78C0">
        <w:t xml:space="preserve"> with the rules governing changes of </w:t>
      </w:r>
      <w:r w:rsidR="004F5209">
        <w:t>circumstances</w:t>
      </w:r>
      <w:r w:rsidR="00D4338A">
        <w:t xml:space="preserve"> that occur after the initial child support</w:t>
      </w:r>
      <w:r w:rsidR="00B63D04">
        <w:t xml:space="preserve"> </w:t>
      </w:r>
      <w:r w:rsidR="00D4338A">
        <w:t>assessment.</w:t>
      </w:r>
      <w:r w:rsidR="003D318B">
        <w:t xml:space="preserve"> </w:t>
      </w:r>
      <w:r w:rsidR="002115B0">
        <w:t>It would</w:t>
      </w:r>
      <w:r w:rsidR="003D318B">
        <w:t xml:space="preserve"> also </w:t>
      </w:r>
      <w:r w:rsidR="003D318B" w:rsidRPr="003D318B">
        <w:t>encourage parents to notify circumstances in a timely manner</w:t>
      </w:r>
      <w:r w:rsidR="003D318B">
        <w:t xml:space="preserve"> and</w:t>
      </w:r>
      <w:r w:rsidR="003D318B" w:rsidRPr="003D318B">
        <w:t xml:space="preserve"> improv</w:t>
      </w:r>
      <w:r w:rsidR="003D318B">
        <w:t>e</w:t>
      </w:r>
      <w:r w:rsidR="003D318B" w:rsidRPr="003D318B">
        <w:t xml:space="preserve"> certainty for parents and carers.</w:t>
      </w:r>
    </w:p>
    <w:p w14:paraId="7146814D" w14:textId="301271B6" w:rsidR="007D5B5B" w:rsidRPr="00D9547E" w:rsidRDefault="00D9547E" w:rsidP="00D9547E">
      <w:pPr>
        <w:pStyle w:val="Heading2"/>
      </w:pPr>
      <w:bookmarkStart w:id="32" w:name="_Toc34836422"/>
      <w:r w:rsidRPr="00D9547E">
        <w:t>Minimum age at which a child can be considered financially independent</w:t>
      </w:r>
      <w:bookmarkEnd w:id="32"/>
    </w:p>
    <w:p w14:paraId="38DB4A07" w14:textId="09142A6D" w:rsidR="007D5B5B" w:rsidRPr="00473ED6" w:rsidRDefault="007D5B5B" w:rsidP="007D5B5B">
      <w:pPr>
        <w:pStyle w:val="Clause"/>
      </w:pPr>
      <w:r w:rsidRPr="00473ED6">
        <w:t>(Clause</w:t>
      </w:r>
      <w:r w:rsidR="00A35031">
        <w:t xml:space="preserve"> 5(1)</w:t>
      </w:r>
      <w:r w:rsidRPr="00473ED6">
        <w:t>)</w:t>
      </w:r>
    </w:p>
    <w:p w14:paraId="4FB3CD7A" w14:textId="028BD20E" w:rsidR="007D5B5B" w:rsidRPr="00473ED6" w:rsidRDefault="007D5B5B" w:rsidP="007D5B5B">
      <w:pPr>
        <w:pStyle w:val="Heading3"/>
      </w:pPr>
      <w:r w:rsidRPr="00473ED6">
        <w:t>Summary of proposed amendment</w:t>
      </w:r>
    </w:p>
    <w:p w14:paraId="3FDEA07B" w14:textId="030E602A" w:rsidR="007D5B5B" w:rsidRPr="00473ED6" w:rsidRDefault="00AF41A4" w:rsidP="007D5B5B">
      <w:r>
        <w:t>It is proposed to align the minimum age at which a child could be considered financially independent with similar rules in the Working for Families legislation</w:t>
      </w:r>
      <w:r w:rsidR="00446070">
        <w:t>.</w:t>
      </w:r>
    </w:p>
    <w:p w14:paraId="5ABF5C62" w14:textId="77777777" w:rsidR="007D5B5B" w:rsidRPr="00473ED6" w:rsidRDefault="007D5B5B" w:rsidP="007D5B5B">
      <w:pPr>
        <w:pStyle w:val="Heading3"/>
      </w:pPr>
      <w:r w:rsidRPr="00473ED6">
        <w:t>Application date</w:t>
      </w:r>
    </w:p>
    <w:p w14:paraId="7A48034D" w14:textId="4ACB57FC" w:rsidR="007D5B5B" w:rsidRPr="00473ED6" w:rsidRDefault="007D5B5B" w:rsidP="007D5B5B">
      <w:r>
        <w:t xml:space="preserve">The </w:t>
      </w:r>
      <w:r w:rsidR="002A2C08" w:rsidRPr="002A2C08">
        <w:t xml:space="preserve">proposed </w:t>
      </w:r>
      <w:r>
        <w:t xml:space="preserve">amendment </w:t>
      </w:r>
      <w:r w:rsidR="00D16A38">
        <w:t xml:space="preserve">would </w:t>
      </w:r>
      <w:r>
        <w:t>apply from</w:t>
      </w:r>
      <w:r w:rsidR="00446070">
        <w:t xml:space="preserve"> 1 April 2021</w:t>
      </w:r>
      <w:r>
        <w:t>.</w:t>
      </w:r>
    </w:p>
    <w:p w14:paraId="51AECBA1" w14:textId="1ED29C9D" w:rsidR="007D5B5B" w:rsidRDefault="00AF41A4" w:rsidP="00AF41A4">
      <w:pPr>
        <w:pStyle w:val="Heading3"/>
      </w:pPr>
      <w:r>
        <w:t>Key features</w:t>
      </w:r>
    </w:p>
    <w:p w14:paraId="30D619AC" w14:textId="77777777" w:rsidR="00AF41A4" w:rsidRPr="00473ED6" w:rsidRDefault="00AF41A4" w:rsidP="00AF41A4">
      <w:r>
        <w:t xml:space="preserve">It is proposed that a child would only be able to be considered financially independent for child support purposes when they have reached 16 years of age. </w:t>
      </w:r>
      <w:r w:rsidRPr="00473ED6">
        <w:t>T</w:t>
      </w:r>
      <w:r>
        <w:t>his would align with similar rules in the Working for Families legislation.</w:t>
      </w:r>
    </w:p>
    <w:p w14:paraId="10CEF221" w14:textId="39476E6C" w:rsidR="00AF41A4" w:rsidRDefault="00AF41A4" w:rsidP="00AF41A4">
      <w:pPr>
        <w:pStyle w:val="Heading3"/>
      </w:pPr>
      <w:r>
        <w:t>Background</w:t>
      </w:r>
    </w:p>
    <w:p w14:paraId="0463FA48" w14:textId="386C3F4C" w:rsidR="00AF41A4" w:rsidRDefault="00676638" w:rsidP="00AF41A4">
      <w:r>
        <w:t>There is currently no minimum age for when a child can be considered financially independent.</w:t>
      </w:r>
    </w:p>
    <w:p w14:paraId="2BC50D7E" w14:textId="527594EC" w:rsidR="00676638" w:rsidRPr="00AF41A4" w:rsidRDefault="00D33D9C" w:rsidP="00AF41A4">
      <w:r>
        <w:t xml:space="preserve">This change would ensure that parents support their children financially </w:t>
      </w:r>
      <w:r w:rsidR="00303A8C" w:rsidRPr="00303A8C">
        <w:t>until they are at least 16 years old</w:t>
      </w:r>
      <w:r>
        <w:t>.</w:t>
      </w:r>
    </w:p>
    <w:p w14:paraId="39C6B79B" w14:textId="63C7CF41" w:rsidR="00B63D04" w:rsidRPr="00D9547E" w:rsidRDefault="00D9547E" w:rsidP="00D9547E">
      <w:pPr>
        <w:pStyle w:val="Heading2"/>
      </w:pPr>
      <w:bookmarkStart w:id="33" w:name="_Toc34836423"/>
      <w:r w:rsidRPr="00D9547E">
        <w:t>Maximum age of qualifying child</w:t>
      </w:r>
      <w:bookmarkEnd w:id="33"/>
    </w:p>
    <w:p w14:paraId="177E802A" w14:textId="385C68BD" w:rsidR="00B63D04" w:rsidRPr="00473ED6" w:rsidRDefault="00B63D04" w:rsidP="00B63D04">
      <w:pPr>
        <w:pStyle w:val="Clause"/>
      </w:pPr>
      <w:r w:rsidRPr="00473ED6">
        <w:t xml:space="preserve">(Clause </w:t>
      </w:r>
      <w:r w:rsidR="00A35031">
        <w:t>5(2)</w:t>
      </w:r>
      <w:r w:rsidRPr="00473ED6">
        <w:t>)</w:t>
      </w:r>
    </w:p>
    <w:p w14:paraId="6B079057" w14:textId="615F7D63" w:rsidR="00B63D04" w:rsidRPr="00473ED6" w:rsidRDefault="00B63D04" w:rsidP="00B63D04">
      <w:pPr>
        <w:pStyle w:val="Heading3"/>
      </w:pPr>
      <w:r w:rsidRPr="00473ED6">
        <w:t>Summary of proposed amendment</w:t>
      </w:r>
    </w:p>
    <w:p w14:paraId="1C394594" w14:textId="2FD0E069" w:rsidR="00B63D04" w:rsidRDefault="0052700A" w:rsidP="00B63D04">
      <w:r>
        <w:t xml:space="preserve">It is proposed that the </w:t>
      </w:r>
      <w:r w:rsidRPr="0064590D">
        <w:t>“</w:t>
      </w:r>
      <w:r w:rsidR="0064590D" w:rsidRPr="0064590D">
        <w:t xml:space="preserve">maximum qualifying age” of a child </w:t>
      </w:r>
      <w:r>
        <w:t xml:space="preserve">for child support purposes be aligned </w:t>
      </w:r>
      <w:r w:rsidR="0064590D" w:rsidRPr="0064590D">
        <w:t>with similar tests for Working for Families and main benefit recipients.</w:t>
      </w:r>
    </w:p>
    <w:p w14:paraId="5C2F0EDD" w14:textId="77777777" w:rsidR="00B63D04" w:rsidRPr="00473ED6" w:rsidRDefault="00B63D04" w:rsidP="00B63D04">
      <w:pPr>
        <w:pStyle w:val="Heading3"/>
      </w:pPr>
      <w:r w:rsidRPr="00473ED6">
        <w:t>Application date</w:t>
      </w:r>
    </w:p>
    <w:p w14:paraId="145A14CC" w14:textId="38B04BC7" w:rsidR="00B63D04" w:rsidRDefault="00B63D04" w:rsidP="00B63D04">
      <w:r>
        <w:t xml:space="preserve">The </w:t>
      </w:r>
      <w:r w:rsidR="002A2C08" w:rsidRPr="002A2C08">
        <w:t xml:space="preserve">proposed </w:t>
      </w:r>
      <w:r>
        <w:t xml:space="preserve">amendment </w:t>
      </w:r>
      <w:r w:rsidR="00D16A38">
        <w:t xml:space="preserve">would </w:t>
      </w:r>
      <w:r>
        <w:t xml:space="preserve">apply </w:t>
      </w:r>
      <w:r w:rsidR="0054406B">
        <w:t>to any child who turns 18 on or after 1</w:t>
      </w:r>
      <w:r w:rsidR="008D00E8">
        <w:t> </w:t>
      </w:r>
      <w:r w:rsidR="0054406B">
        <w:t>April</w:t>
      </w:r>
      <w:r w:rsidR="008D00E8">
        <w:t> </w:t>
      </w:r>
      <w:r w:rsidR="0054406B">
        <w:t>2021</w:t>
      </w:r>
      <w:r>
        <w:t>.</w:t>
      </w:r>
    </w:p>
    <w:p w14:paraId="6A378676" w14:textId="77777777" w:rsidR="0076746D" w:rsidRDefault="0076746D" w:rsidP="0076746D">
      <w:pPr>
        <w:pStyle w:val="Heading3"/>
      </w:pPr>
      <w:r>
        <w:t>Key features</w:t>
      </w:r>
    </w:p>
    <w:p w14:paraId="6F2E5CD8" w14:textId="77777777" w:rsidR="0076746D" w:rsidRDefault="0076746D" w:rsidP="0076746D">
      <w:r>
        <w:t>If a child is aged 18 and enrolled at school, it is proposed that child support would stop on the earlier of:</w:t>
      </w:r>
    </w:p>
    <w:p w14:paraId="60ACAD99" w14:textId="77777777" w:rsidR="0076746D" w:rsidRPr="00A4079B" w:rsidRDefault="0076746D" w:rsidP="00A4079B">
      <w:pPr>
        <w:pStyle w:val="ListBullet"/>
      </w:pPr>
      <w:r w:rsidRPr="00A4079B">
        <w:t>the day before the day they are no longer enrolled and attending school; or</w:t>
      </w:r>
    </w:p>
    <w:p w14:paraId="5B8CAC69" w14:textId="10A9823D" w:rsidR="0076746D" w:rsidRPr="00A4079B" w:rsidRDefault="0076746D" w:rsidP="00A4079B">
      <w:pPr>
        <w:pStyle w:val="ListBullet"/>
      </w:pPr>
      <w:r w:rsidRPr="00A4079B">
        <w:t>31 December of the year in which the child turn</w:t>
      </w:r>
      <w:r w:rsidR="00DE6FC0" w:rsidRPr="00A4079B">
        <w:t>s</w:t>
      </w:r>
      <w:r w:rsidRPr="00A4079B">
        <w:t xml:space="preserve"> 18, if they attend school until the end of the academic year.</w:t>
      </w:r>
    </w:p>
    <w:p w14:paraId="3EBF0C37" w14:textId="77777777" w:rsidR="0076746D" w:rsidRDefault="0076746D" w:rsidP="0076746D">
      <w:r>
        <w:t xml:space="preserve">This would </w:t>
      </w:r>
      <w:r w:rsidRPr="0064590D">
        <w:t>better align the child support “maximum qualifying age” of a child with similar tests for Working for Families and main benefit recipients.</w:t>
      </w:r>
    </w:p>
    <w:p w14:paraId="42446C2D" w14:textId="1AC25AF5" w:rsidR="0076746D" w:rsidRPr="007B5E5F" w:rsidRDefault="0076746D" w:rsidP="0076746D">
      <w:r w:rsidRPr="000731EF">
        <w:t xml:space="preserve">As a transitional arrangement, if a child in school turns 18 before 1 April 2021, the old rules </w:t>
      </w:r>
      <w:r w:rsidR="00303A8C" w:rsidRPr="000731EF">
        <w:t>w</w:t>
      </w:r>
      <w:r w:rsidR="00303A8C">
        <w:t>ould</w:t>
      </w:r>
      <w:r w:rsidR="00303A8C" w:rsidRPr="000731EF">
        <w:t xml:space="preserve"> </w:t>
      </w:r>
      <w:r w:rsidRPr="000731EF">
        <w:t xml:space="preserve">apply, and child support </w:t>
      </w:r>
      <w:r w:rsidR="00303A8C">
        <w:t>could</w:t>
      </w:r>
      <w:r w:rsidR="00303A8C" w:rsidRPr="000731EF">
        <w:t xml:space="preserve"> </w:t>
      </w:r>
      <w:r w:rsidRPr="000731EF">
        <w:t>continue to apply until they turn 19.</w:t>
      </w:r>
    </w:p>
    <w:p w14:paraId="2F5EA189" w14:textId="5F2D36BF" w:rsidR="0076746D" w:rsidRDefault="0076746D" w:rsidP="00065F18">
      <w:pPr>
        <w:pStyle w:val="Heading3"/>
      </w:pPr>
      <w:r>
        <w:t>Background</w:t>
      </w:r>
    </w:p>
    <w:p w14:paraId="2B005843" w14:textId="4CEEC84E" w:rsidR="00A43259" w:rsidRDefault="00A43259" w:rsidP="00A43259">
      <w:r>
        <w:t>Currently a child ceases to qualify for child support once they turn 18 unless they are still at school. Once a child turns 18, child support ends the earlier of:</w:t>
      </w:r>
    </w:p>
    <w:p w14:paraId="4746BD02" w14:textId="77777777" w:rsidR="00A43259" w:rsidRPr="00A4079B" w:rsidRDefault="00A43259" w:rsidP="00A4079B">
      <w:pPr>
        <w:pStyle w:val="ListBullet"/>
      </w:pPr>
      <w:r w:rsidRPr="00A4079B">
        <w:t xml:space="preserve">when they leave school if they do not finish the school </w:t>
      </w:r>
      <w:proofErr w:type="gramStart"/>
      <w:r w:rsidRPr="00A4079B">
        <w:t>year;</w:t>
      </w:r>
      <w:proofErr w:type="gramEnd"/>
    </w:p>
    <w:p w14:paraId="7FCDD82E" w14:textId="4B7EB91C" w:rsidR="00A43259" w:rsidRPr="00A4079B" w:rsidRDefault="006E20F8" w:rsidP="00A4079B">
      <w:pPr>
        <w:pStyle w:val="ListBullet"/>
      </w:pPr>
      <w:r w:rsidRPr="00A4079B">
        <w:t>3</w:t>
      </w:r>
      <w:r w:rsidR="00A43259" w:rsidRPr="00A4079B">
        <w:t xml:space="preserve">1 December </w:t>
      </w:r>
      <w:r w:rsidR="00DE6FC0" w:rsidRPr="00A4079B">
        <w:t xml:space="preserve">of the year the child turns 18, </w:t>
      </w:r>
      <w:r w:rsidR="00A43259" w:rsidRPr="00A4079B">
        <w:t>if they finish the school year and they are not attending school the following year; or</w:t>
      </w:r>
    </w:p>
    <w:p w14:paraId="16EB507A" w14:textId="181A5995" w:rsidR="00A43259" w:rsidRPr="00A4079B" w:rsidRDefault="00A43259" w:rsidP="00A4079B">
      <w:pPr>
        <w:pStyle w:val="ListBullet"/>
      </w:pPr>
      <w:r w:rsidRPr="00A4079B">
        <w:t>the day before the child turns 19</w:t>
      </w:r>
      <w:r w:rsidR="00DE6FC0" w:rsidRPr="00A4079B">
        <w:t>,</w:t>
      </w:r>
      <w:r w:rsidRPr="00A4079B">
        <w:t xml:space="preserve"> if the child is still in school until their 19th birthday.</w:t>
      </w:r>
    </w:p>
    <w:p w14:paraId="50FDA4E6" w14:textId="08E8399C" w:rsidR="00B63D04" w:rsidRPr="00D9547E" w:rsidRDefault="00D9547E" w:rsidP="00D9547E">
      <w:pPr>
        <w:pStyle w:val="Heading2"/>
      </w:pPr>
      <w:bookmarkStart w:id="34" w:name="_Toc34836424"/>
      <w:r w:rsidRPr="00D9547E">
        <w:t>Clarifying residence rules</w:t>
      </w:r>
      <w:bookmarkEnd w:id="34"/>
    </w:p>
    <w:p w14:paraId="2DABF26F" w14:textId="51FDB232" w:rsidR="00B63D04" w:rsidRPr="00473ED6" w:rsidRDefault="00B63D04" w:rsidP="00B63D04">
      <w:pPr>
        <w:pStyle w:val="Clause"/>
      </w:pPr>
      <w:r w:rsidRPr="00473ED6">
        <w:t xml:space="preserve">(Clause </w:t>
      </w:r>
      <w:r w:rsidR="00A35031">
        <w:t>47</w:t>
      </w:r>
      <w:r w:rsidRPr="00473ED6">
        <w:t>)</w:t>
      </w:r>
    </w:p>
    <w:p w14:paraId="38804EDC" w14:textId="79469D3A" w:rsidR="00B63D04" w:rsidRPr="00473ED6" w:rsidRDefault="00B63D04" w:rsidP="00B63D04">
      <w:pPr>
        <w:pStyle w:val="Heading3"/>
      </w:pPr>
      <w:r w:rsidRPr="00473ED6">
        <w:t>Summary of proposed amendment</w:t>
      </w:r>
    </w:p>
    <w:p w14:paraId="04F941C6" w14:textId="2D283642" w:rsidR="00930453" w:rsidRDefault="00522A4F" w:rsidP="00930453">
      <w:r>
        <w:t xml:space="preserve">It is proposed that </w:t>
      </w:r>
      <w:r w:rsidR="003D318B">
        <w:t>the child</w:t>
      </w:r>
      <w:r w:rsidR="00982253">
        <w:t xml:space="preserve"> support residence rules </w:t>
      </w:r>
      <w:r w:rsidR="00D9710F">
        <w:t>are</w:t>
      </w:r>
      <w:r w:rsidR="00982253">
        <w:t xml:space="preserve"> </w:t>
      </w:r>
      <w:r w:rsidR="00930453">
        <w:t>clarif</w:t>
      </w:r>
      <w:r w:rsidR="008D00E8">
        <w:t>ied so</w:t>
      </w:r>
      <w:r w:rsidR="00930453" w:rsidRPr="00930453">
        <w:t xml:space="preserve"> that </w:t>
      </w:r>
      <w:r w:rsidR="008D00E8">
        <w:t xml:space="preserve">Inland Revenue can </w:t>
      </w:r>
      <w:r w:rsidR="00930453" w:rsidRPr="00930453">
        <w:t>determin</w:t>
      </w:r>
      <w:r w:rsidR="008D00E8">
        <w:t>e</w:t>
      </w:r>
      <w:r w:rsidR="00930453" w:rsidRPr="00930453">
        <w:t xml:space="preserve"> whether a person is ordinarily resident in New Zealand </w:t>
      </w:r>
      <w:r w:rsidR="008D00E8">
        <w:t>based on whether</w:t>
      </w:r>
      <w:r w:rsidR="00930453" w:rsidRPr="00930453">
        <w:t xml:space="preserve"> a person intends to be ordinarily resident or not.</w:t>
      </w:r>
    </w:p>
    <w:p w14:paraId="11DD21DB" w14:textId="77777777" w:rsidR="00B63D04" w:rsidRPr="00473ED6" w:rsidRDefault="00B63D04" w:rsidP="00B63D04">
      <w:pPr>
        <w:pStyle w:val="Heading3"/>
      </w:pPr>
      <w:r w:rsidRPr="00473ED6">
        <w:t>Application date</w:t>
      </w:r>
    </w:p>
    <w:p w14:paraId="6B689B5C" w14:textId="1D276C85" w:rsidR="00B63D04" w:rsidRPr="00473ED6" w:rsidRDefault="00B63D04" w:rsidP="00B63D04">
      <w:r>
        <w:t xml:space="preserve">The </w:t>
      </w:r>
      <w:r w:rsidR="002A2C08" w:rsidRPr="002A2C08">
        <w:t xml:space="preserve">proposed </w:t>
      </w:r>
      <w:r>
        <w:t xml:space="preserve">amendment </w:t>
      </w:r>
      <w:r w:rsidR="00522A4F">
        <w:t xml:space="preserve">would </w:t>
      </w:r>
      <w:r>
        <w:t xml:space="preserve">apply from </w:t>
      </w:r>
      <w:r w:rsidR="007A6172">
        <w:t>1 April</w:t>
      </w:r>
      <w:r w:rsidR="00F840C6">
        <w:t xml:space="preserve"> </w:t>
      </w:r>
      <w:r w:rsidR="007A6172">
        <w:t>2021</w:t>
      </w:r>
      <w:r>
        <w:t>.</w:t>
      </w:r>
    </w:p>
    <w:p w14:paraId="271CF93B" w14:textId="77777777" w:rsidR="00B63D04" w:rsidRPr="00473ED6" w:rsidRDefault="00B63D04" w:rsidP="00B63D04">
      <w:pPr>
        <w:pStyle w:val="Heading3"/>
      </w:pPr>
      <w:r w:rsidRPr="00473ED6">
        <w:t>Key features</w:t>
      </w:r>
    </w:p>
    <w:p w14:paraId="4D17A824" w14:textId="0C16C4D7" w:rsidR="005E6D08" w:rsidRDefault="002F072B" w:rsidP="00B63D04">
      <w:r>
        <w:t>Determinations of whether a person is ordinarily resident in New Zealand or not for the purposes of child support could be made if Inland Revenue is satisfied that a person intends to be ordinarily resident or not.</w:t>
      </w:r>
    </w:p>
    <w:p w14:paraId="0345CE16" w14:textId="7AB63FDD" w:rsidR="002F072B" w:rsidRDefault="005E6D08" w:rsidP="00B63D04">
      <w:r>
        <w:t xml:space="preserve">To determine whether a child is ordinarily resident in New Zealand, Inland Revenue would consider where the child is more likely to be </w:t>
      </w:r>
      <w:r w:rsidR="00D9710F">
        <w:t>living</w:t>
      </w:r>
      <w:r>
        <w:t>.</w:t>
      </w:r>
    </w:p>
    <w:p w14:paraId="1400AB4C" w14:textId="65991C58" w:rsidR="00750434" w:rsidRPr="0049022D" w:rsidRDefault="00750434" w:rsidP="0049022D">
      <w:pPr>
        <w:pStyle w:val="Example-Heading1"/>
      </w:pPr>
      <w:r w:rsidRPr="0049022D">
        <w:t xml:space="preserve">Example </w:t>
      </w:r>
      <w:r w:rsidR="0049022D">
        <w:fldChar w:fldCharType="begin"/>
      </w:r>
      <w:r w:rsidR="0049022D">
        <w:instrText xml:space="preserve"> seq examples </w:instrText>
      </w:r>
      <w:r w:rsidR="0049022D">
        <w:fldChar w:fldCharType="separate"/>
      </w:r>
      <w:r w:rsidR="00577BFB">
        <w:rPr>
          <w:noProof/>
        </w:rPr>
        <w:t>11</w:t>
      </w:r>
      <w:r w:rsidR="0049022D">
        <w:fldChar w:fldCharType="end"/>
      </w:r>
    </w:p>
    <w:p w14:paraId="62456163" w14:textId="46E3F6CB" w:rsidR="00902803" w:rsidRPr="0049022D" w:rsidRDefault="00E718B1" w:rsidP="0049022D">
      <w:pPr>
        <w:pStyle w:val="Example-Text"/>
      </w:pPr>
      <w:r w:rsidRPr="0049022D">
        <w:t xml:space="preserve">Kate </w:t>
      </w:r>
      <w:r w:rsidR="00C24C4C" w:rsidRPr="0049022D">
        <w:t>arrived in New</w:t>
      </w:r>
      <w:r w:rsidR="00BF7A90" w:rsidRPr="0049022D">
        <w:t xml:space="preserve"> </w:t>
      </w:r>
      <w:r w:rsidR="00C24C4C" w:rsidRPr="0049022D">
        <w:t>Z</w:t>
      </w:r>
      <w:r w:rsidR="00BF7A90" w:rsidRPr="0049022D">
        <w:t>ealand</w:t>
      </w:r>
      <w:r w:rsidR="00C24C4C" w:rsidRPr="0049022D">
        <w:t xml:space="preserve"> </w:t>
      </w:r>
      <w:r w:rsidR="00EC165D" w:rsidRPr="0049022D">
        <w:t xml:space="preserve">from England </w:t>
      </w:r>
      <w:r w:rsidR="00C24C4C" w:rsidRPr="0049022D">
        <w:t xml:space="preserve">on </w:t>
      </w:r>
      <w:r w:rsidR="00A271AC" w:rsidRPr="0049022D">
        <w:t>1 July 2021 and</w:t>
      </w:r>
      <w:r w:rsidR="00BF7A90" w:rsidRPr="0049022D">
        <w:t xml:space="preserve"> </w:t>
      </w:r>
      <w:r w:rsidR="00655D57" w:rsidRPr="0049022D">
        <w:t>purchased</w:t>
      </w:r>
      <w:r w:rsidR="00BF7A90" w:rsidRPr="0049022D">
        <w:t xml:space="preserve"> </w:t>
      </w:r>
      <w:r w:rsidR="00065BE7" w:rsidRPr="0049022D">
        <w:t>a house in August</w:t>
      </w:r>
      <w:r w:rsidR="00BF7A90" w:rsidRPr="0049022D">
        <w:t xml:space="preserve">. </w:t>
      </w:r>
      <w:r w:rsidR="00655D57" w:rsidRPr="0049022D">
        <w:t xml:space="preserve">She has </w:t>
      </w:r>
      <w:r w:rsidR="0012261A" w:rsidRPr="0049022D">
        <w:t xml:space="preserve">a </w:t>
      </w:r>
      <w:r w:rsidR="00655D57" w:rsidRPr="0049022D">
        <w:t xml:space="preserve">child, Ben, from a previous relationship who lives with </w:t>
      </w:r>
      <w:r w:rsidR="00902803" w:rsidRPr="0049022D">
        <w:t>hi</w:t>
      </w:r>
      <w:r w:rsidR="00655D57" w:rsidRPr="0049022D">
        <w:t xml:space="preserve">s father in New Zealand. </w:t>
      </w:r>
      <w:r w:rsidR="00902803" w:rsidRPr="0049022D">
        <w:t>Kate</w:t>
      </w:r>
      <w:r w:rsidR="00065BE7" w:rsidRPr="0049022D">
        <w:t xml:space="preserve"> </w:t>
      </w:r>
      <w:r w:rsidR="00BF7A90" w:rsidRPr="0049022D">
        <w:t>intends</w:t>
      </w:r>
      <w:r w:rsidR="00065BE7" w:rsidRPr="0049022D">
        <w:t xml:space="preserve"> to live in New Zealand</w:t>
      </w:r>
      <w:r w:rsidR="00BF7A90" w:rsidRPr="0049022D">
        <w:t xml:space="preserve"> </w:t>
      </w:r>
      <w:r w:rsidR="00065BE7" w:rsidRPr="0049022D">
        <w:t>per</w:t>
      </w:r>
      <w:r w:rsidR="00BF7A90" w:rsidRPr="0049022D">
        <w:t>manently</w:t>
      </w:r>
      <w:r w:rsidR="00065BE7" w:rsidRPr="0049022D">
        <w:t>.</w:t>
      </w:r>
    </w:p>
    <w:p w14:paraId="59AE8309" w14:textId="43BD77EE" w:rsidR="00750434" w:rsidRPr="0049022D" w:rsidRDefault="00A271AC" w:rsidP="0049022D">
      <w:pPr>
        <w:pStyle w:val="Example-Text"/>
      </w:pPr>
      <w:r w:rsidRPr="0049022D">
        <w:t>Ben’s father applied for child support on 10 July 2021.</w:t>
      </w:r>
      <w:r w:rsidR="00450D66">
        <w:t xml:space="preserve"> </w:t>
      </w:r>
      <w:r w:rsidRPr="0049022D">
        <w:t>Kate’s</w:t>
      </w:r>
      <w:r w:rsidR="00833373" w:rsidRPr="0049022D">
        <w:t xml:space="preserve"> </w:t>
      </w:r>
      <w:r w:rsidRPr="0049022D">
        <w:t>intention to</w:t>
      </w:r>
      <w:r w:rsidR="00F663B0" w:rsidRPr="0049022D">
        <w:t xml:space="preserve"> stay in </w:t>
      </w:r>
      <w:r w:rsidR="00902803" w:rsidRPr="0049022D">
        <w:t>N</w:t>
      </w:r>
      <w:r w:rsidR="00833373" w:rsidRPr="0049022D">
        <w:t xml:space="preserve">ew </w:t>
      </w:r>
      <w:r w:rsidR="00902803" w:rsidRPr="0049022D">
        <w:t xml:space="preserve">Zealand </w:t>
      </w:r>
      <w:r w:rsidR="00833373" w:rsidRPr="0049022D">
        <w:t xml:space="preserve">can be </w:t>
      </w:r>
      <w:proofErr w:type="gramStart"/>
      <w:r w:rsidR="00833373" w:rsidRPr="0049022D">
        <w:t>taken</w:t>
      </w:r>
      <w:r w:rsidR="00902803" w:rsidRPr="0049022D">
        <w:t xml:space="preserve"> </w:t>
      </w:r>
      <w:r w:rsidR="00833373" w:rsidRPr="0049022D">
        <w:t>int</w:t>
      </w:r>
      <w:r w:rsidR="0012261A" w:rsidRPr="0049022D">
        <w:t>o</w:t>
      </w:r>
      <w:r w:rsidR="00833373" w:rsidRPr="0049022D">
        <w:t xml:space="preserve"> </w:t>
      </w:r>
      <w:r w:rsidR="00902803" w:rsidRPr="0049022D">
        <w:t>account</w:t>
      </w:r>
      <w:proofErr w:type="gramEnd"/>
      <w:r w:rsidR="00D76DB0" w:rsidRPr="0049022D">
        <w:t xml:space="preserve"> </w:t>
      </w:r>
      <w:r w:rsidRPr="0049022D">
        <w:t xml:space="preserve">and </w:t>
      </w:r>
      <w:r w:rsidR="00227DE1" w:rsidRPr="0049022D">
        <w:t>she is</w:t>
      </w:r>
      <w:r w:rsidR="00902803" w:rsidRPr="0049022D">
        <w:t xml:space="preserve"> </w:t>
      </w:r>
      <w:r w:rsidRPr="0049022D">
        <w:t xml:space="preserve">considered </w:t>
      </w:r>
      <w:r w:rsidR="00902803" w:rsidRPr="0049022D">
        <w:t>ordinarily</w:t>
      </w:r>
      <w:r w:rsidR="00227DE1" w:rsidRPr="0049022D">
        <w:t xml:space="preserve"> resident for the purposes</w:t>
      </w:r>
      <w:r w:rsidR="00D76DB0" w:rsidRPr="0049022D">
        <w:t xml:space="preserve"> </w:t>
      </w:r>
      <w:r w:rsidR="00227DE1" w:rsidRPr="0049022D">
        <w:t>of</w:t>
      </w:r>
      <w:r w:rsidR="00D76DB0" w:rsidRPr="0049022D">
        <w:t xml:space="preserve"> child</w:t>
      </w:r>
      <w:r w:rsidR="00902803" w:rsidRPr="0049022D">
        <w:t xml:space="preserve"> </w:t>
      </w:r>
      <w:r w:rsidR="00D76DB0" w:rsidRPr="0049022D">
        <w:t>support.</w:t>
      </w:r>
      <w:r w:rsidR="00194B4F" w:rsidRPr="0049022D">
        <w:t xml:space="preserve"> </w:t>
      </w:r>
      <w:r w:rsidRPr="0049022D">
        <w:t>Kate is assessed as liable to pay child support for Ben from 10 July</w:t>
      </w:r>
      <w:r w:rsidR="00770C74" w:rsidRPr="0049022D">
        <w:t>.</w:t>
      </w:r>
    </w:p>
    <w:p w14:paraId="008926B4" w14:textId="77777777" w:rsidR="00A271AC" w:rsidRPr="0049022D" w:rsidRDefault="00A271AC" w:rsidP="0049022D">
      <w:pPr>
        <w:pStyle w:val="Example-Text"/>
      </w:pPr>
      <w:r w:rsidRPr="0049022D">
        <w:t>If Kate’s intention to live in New Zealand could not be considered, the child support application could not be accepted, and a child support obligation raised until Kate had lived in New Zealand for at least 183 days.</w:t>
      </w:r>
    </w:p>
    <w:p w14:paraId="698736AD" w14:textId="77777777" w:rsidR="0049022D" w:rsidRDefault="0049022D" w:rsidP="0049022D">
      <w:pPr>
        <w:spacing w:before="0"/>
      </w:pPr>
    </w:p>
    <w:p w14:paraId="7D4E0618" w14:textId="082FA5F4" w:rsidR="00CD645E" w:rsidRPr="0049022D" w:rsidRDefault="00CD645E" w:rsidP="0049022D">
      <w:pPr>
        <w:pStyle w:val="Example-Heading1"/>
        <w:spacing w:before="0"/>
      </w:pPr>
      <w:r w:rsidRPr="0049022D">
        <w:t xml:space="preserve">Example </w:t>
      </w:r>
      <w:r w:rsidR="0049022D">
        <w:fldChar w:fldCharType="begin"/>
      </w:r>
      <w:r w:rsidR="0049022D">
        <w:instrText xml:space="preserve"> seq examples </w:instrText>
      </w:r>
      <w:r w:rsidR="0049022D">
        <w:fldChar w:fldCharType="separate"/>
      </w:r>
      <w:r w:rsidR="00577BFB">
        <w:rPr>
          <w:noProof/>
        </w:rPr>
        <w:t>12</w:t>
      </w:r>
      <w:r w:rsidR="0049022D">
        <w:fldChar w:fldCharType="end"/>
      </w:r>
    </w:p>
    <w:p w14:paraId="2039F7C2" w14:textId="3CBD02D6" w:rsidR="00A271AC" w:rsidRPr="0049022D" w:rsidRDefault="00A271AC" w:rsidP="0049022D">
      <w:pPr>
        <w:pStyle w:val="Example-Text"/>
      </w:pPr>
      <w:r w:rsidRPr="0049022D">
        <w:t>Dave, Alice and their two children emigrate to New Zealand from Germany, they are not New Zealand citizens. A few months after moving to New Zealand</w:t>
      </w:r>
      <w:r w:rsidR="00252869" w:rsidRPr="0049022D">
        <w:t>,</w:t>
      </w:r>
      <w:r w:rsidRPr="0049022D">
        <w:t xml:space="preserve"> Dave and Alice separate and the two children live with Dave full time. Dave applies </w:t>
      </w:r>
      <w:r w:rsidR="00D9710F">
        <w:t>for</w:t>
      </w:r>
      <w:r w:rsidR="00D9710F" w:rsidRPr="0049022D">
        <w:t xml:space="preserve"> </w:t>
      </w:r>
      <w:r w:rsidRPr="0049022D">
        <w:t>child support and Alice is made liable (she is considered resident based on her intention to stay in New Zealand). A year later</w:t>
      </w:r>
      <w:r w:rsidR="00252869" w:rsidRPr="0049022D">
        <w:t xml:space="preserve">, </w:t>
      </w:r>
      <w:r w:rsidRPr="0049022D">
        <w:t>Alice decides to move back to Germany with no intention of returning to New Zealand to live.</w:t>
      </w:r>
    </w:p>
    <w:p w14:paraId="6AE29E3F" w14:textId="34D64EED" w:rsidR="00A271AC" w:rsidRPr="0049022D" w:rsidRDefault="00A271AC" w:rsidP="0049022D">
      <w:pPr>
        <w:pStyle w:val="Example-Text"/>
      </w:pPr>
      <w:r w:rsidRPr="0049022D">
        <w:t>Because Alice does not intend to return to New Zealand her child support obligation</w:t>
      </w:r>
      <w:r w:rsidR="00252869" w:rsidRPr="0049022D">
        <w:t xml:space="preserve"> </w:t>
      </w:r>
      <w:r w:rsidRPr="0049022D">
        <w:t>stop</w:t>
      </w:r>
      <w:r w:rsidR="00252869" w:rsidRPr="0049022D">
        <w:t>s</w:t>
      </w:r>
      <w:r w:rsidRPr="0049022D">
        <w:t xml:space="preserve"> from the </w:t>
      </w:r>
      <w:proofErr w:type="gramStart"/>
      <w:r w:rsidRPr="0049022D">
        <w:t>day</w:t>
      </w:r>
      <w:proofErr w:type="gramEnd"/>
      <w:r w:rsidRPr="0049022D">
        <w:t xml:space="preserve"> she leaves the country. Dave can consider pursuing child support from Alice through the German child support system.</w:t>
      </w:r>
    </w:p>
    <w:p w14:paraId="12DDCFC0" w14:textId="15F1BA74" w:rsidR="00A271AC" w:rsidRPr="0049022D" w:rsidRDefault="00A271AC" w:rsidP="0049022D">
      <w:pPr>
        <w:pStyle w:val="Example-Text"/>
      </w:pPr>
      <w:r w:rsidRPr="0049022D">
        <w:t xml:space="preserve">If Alice’s intention to leave the country was not </w:t>
      </w:r>
      <w:proofErr w:type="gramStart"/>
      <w:r w:rsidRPr="0049022D">
        <w:t>taken into account</w:t>
      </w:r>
      <w:proofErr w:type="gramEnd"/>
      <w:r w:rsidRPr="0049022D">
        <w:t>, the child support could not be stopped until at least 325 days had passed, and Dave may not be able to pursue child support through the German child support system.</w:t>
      </w:r>
    </w:p>
    <w:p w14:paraId="4EC1BF55" w14:textId="77777777" w:rsidR="00B63D04" w:rsidRPr="00473ED6" w:rsidRDefault="00B63D04" w:rsidP="00B63D04">
      <w:pPr>
        <w:pStyle w:val="Heading3"/>
      </w:pPr>
      <w:r w:rsidRPr="00473ED6">
        <w:t>Background</w:t>
      </w:r>
    </w:p>
    <w:p w14:paraId="67E5C81F" w14:textId="77777777" w:rsidR="00774299" w:rsidRDefault="002A3778" w:rsidP="00E22D08">
      <w:r>
        <w:t xml:space="preserve">Inland Revenue’s current practice is that </w:t>
      </w:r>
      <w:r w:rsidRPr="00EF59E6">
        <w:t>child support residency decisions are usually based on a person’s intended movements. This is because residency for child support purposes needs to be determined in order to accept a child support application or end a child support assessment in a timely manner.</w:t>
      </w:r>
    </w:p>
    <w:p w14:paraId="6091D018" w14:textId="5E8D52EB" w:rsidR="00B63D04" w:rsidRDefault="002A3778" w:rsidP="00E22D08">
      <w:r w:rsidRPr="00EF59E6">
        <w:t xml:space="preserve">If this approach is not taken, a carer could have to wait up to 325 days before Inland Revenue could </w:t>
      </w:r>
      <w:r w:rsidR="00774299">
        <w:t xml:space="preserve">determine their residency status and then </w:t>
      </w:r>
      <w:r w:rsidRPr="00EF59E6">
        <w:t>accept their application for support.</w:t>
      </w:r>
    </w:p>
    <w:p w14:paraId="6C1607BC" w14:textId="1E2A9F5C" w:rsidR="00CD71FA" w:rsidRDefault="002A3778" w:rsidP="00977ACB">
      <w:r>
        <w:t xml:space="preserve">The </w:t>
      </w:r>
      <w:r w:rsidR="00F322E6">
        <w:t>proposed amendment would</w:t>
      </w:r>
      <w:r w:rsidR="00F322E6" w:rsidRPr="00F322E6">
        <w:t xml:space="preserve"> better reflect the current operational practice that a person’s intention to be ordinarily resident (or not) should be </w:t>
      </w:r>
      <w:proofErr w:type="gramStart"/>
      <w:r w:rsidR="00F322E6" w:rsidRPr="00F322E6">
        <w:t>taken into account</w:t>
      </w:r>
      <w:proofErr w:type="gramEnd"/>
      <w:r w:rsidR="00F322E6" w:rsidRPr="00F322E6">
        <w:t>.</w:t>
      </w:r>
    </w:p>
    <w:p w14:paraId="2F1DB208" w14:textId="57DD1EF4" w:rsidR="00CD71FA" w:rsidRPr="00D9547E" w:rsidRDefault="00D9547E" w:rsidP="00D9547E">
      <w:pPr>
        <w:pStyle w:val="Heading2"/>
      </w:pPr>
      <w:bookmarkStart w:id="35" w:name="_Toc34836425"/>
      <w:r w:rsidRPr="00D9547E">
        <w:t>Minor remedial proposals</w:t>
      </w:r>
      <w:bookmarkEnd w:id="35"/>
    </w:p>
    <w:p w14:paraId="2143A943" w14:textId="18A85240" w:rsidR="00CD71FA" w:rsidRPr="00473ED6" w:rsidRDefault="00CD71FA" w:rsidP="00CD71FA">
      <w:pPr>
        <w:pStyle w:val="Clause"/>
      </w:pPr>
      <w:r w:rsidRPr="00473ED6">
        <w:t>(Clause</w:t>
      </w:r>
      <w:r w:rsidR="00354EA8">
        <w:t>s 4(2), 11(1), 11(2), 33 and 44</w:t>
      </w:r>
      <w:r>
        <w:t>)</w:t>
      </w:r>
    </w:p>
    <w:p w14:paraId="3BC12656" w14:textId="77777777" w:rsidR="00CD71FA" w:rsidRPr="00473ED6" w:rsidRDefault="00CD71FA" w:rsidP="00CD71FA">
      <w:pPr>
        <w:pStyle w:val="Heading3"/>
      </w:pPr>
      <w:r w:rsidRPr="00473ED6">
        <w:t>Summary of proposed amendment</w:t>
      </w:r>
    </w:p>
    <w:p w14:paraId="7BE89784" w14:textId="0B229C37" w:rsidR="00CD71FA" w:rsidRPr="00473ED6" w:rsidRDefault="00CD71FA" w:rsidP="00CD71FA">
      <w:r>
        <w:t>It is proposed that</w:t>
      </w:r>
      <w:r w:rsidR="00D10131">
        <w:t xml:space="preserve"> minor remedial</w:t>
      </w:r>
      <w:r>
        <w:t xml:space="preserve"> amendments</w:t>
      </w:r>
      <w:r w:rsidR="003B722C">
        <w:t xml:space="preserve"> </w:t>
      </w:r>
      <w:r w:rsidR="003B722C" w:rsidRPr="003B722C">
        <w:t>are made</w:t>
      </w:r>
      <w:r w:rsidR="00D9710F">
        <w:t>,</w:t>
      </w:r>
      <w:r>
        <w:t xml:space="preserve"> </w:t>
      </w:r>
      <w:r w:rsidR="00D10131">
        <w:t xml:space="preserve">including </w:t>
      </w:r>
      <w:r>
        <w:t>correct</w:t>
      </w:r>
      <w:r w:rsidR="00D9710F">
        <w:t>ions to</w:t>
      </w:r>
      <w:r>
        <w:t xml:space="preserve"> cross references.</w:t>
      </w:r>
    </w:p>
    <w:p w14:paraId="2509A0D6" w14:textId="77777777" w:rsidR="00CD71FA" w:rsidRPr="00473ED6" w:rsidRDefault="00CD71FA" w:rsidP="00CD71FA">
      <w:pPr>
        <w:pStyle w:val="Heading3"/>
      </w:pPr>
      <w:r w:rsidRPr="00473ED6">
        <w:t>Application date</w:t>
      </w:r>
    </w:p>
    <w:p w14:paraId="7D6BEB35" w14:textId="38D40798" w:rsidR="00CD71FA" w:rsidRPr="00473ED6" w:rsidRDefault="00CD71FA" w:rsidP="00CD71FA">
      <w:r>
        <w:t>The proposed amendments would apply from 1 April 2021.</w:t>
      </w:r>
    </w:p>
    <w:p w14:paraId="302B5CAC" w14:textId="77777777" w:rsidR="00CD71FA" w:rsidRPr="00473ED6" w:rsidRDefault="00CD71FA" w:rsidP="00CD71FA">
      <w:pPr>
        <w:pStyle w:val="Heading3"/>
      </w:pPr>
      <w:r w:rsidRPr="00473ED6">
        <w:t>Key features</w:t>
      </w:r>
    </w:p>
    <w:p w14:paraId="618123AA" w14:textId="3D7F1BAD" w:rsidR="00354EA8" w:rsidRPr="00D9547E" w:rsidRDefault="00354EA8" w:rsidP="00D9547E">
      <w:pPr>
        <w:pStyle w:val="ListBullet"/>
      </w:pPr>
      <w:r w:rsidRPr="00D9547E">
        <w:t xml:space="preserve">The definition of “social security beneficiary” has been repealed from section 2 of the Child Support Act. However, it is still referred to as being specifically defined in section 2(1) in sections 152B(2), 180(2)(a), 180(2)(b), 180(2)(c) and 180A(1)(a) of the Child Support Act. The </w:t>
      </w:r>
      <w:r w:rsidR="003C3D29">
        <w:t>B</w:t>
      </w:r>
      <w:r w:rsidR="003C3D29" w:rsidRPr="00D9547E">
        <w:t xml:space="preserve">ill </w:t>
      </w:r>
      <w:r w:rsidRPr="00D9547E">
        <w:t>proposes a clarification that a social security beneficiary would be a person in receipt of a social security benefit.</w:t>
      </w:r>
    </w:p>
    <w:p w14:paraId="3B60070E" w14:textId="08563BCF" w:rsidR="00354EA8" w:rsidRPr="00D9547E" w:rsidRDefault="00354EA8" w:rsidP="00D9547E">
      <w:pPr>
        <w:pStyle w:val="ListBullet"/>
      </w:pPr>
      <w:r w:rsidRPr="00D9547E">
        <w:t xml:space="preserve">Before the Child Support Amendment Act 2013, the Child Support Act stipulated that the tax rate at which to gross the benefit rate for each year be </w:t>
      </w:r>
      <w:r w:rsidR="00D9710F">
        <w:t xml:space="preserve">the rate </w:t>
      </w:r>
      <w:r w:rsidRPr="00D9547E">
        <w:t>in force on 1</w:t>
      </w:r>
      <w:r w:rsidR="00D9710F">
        <w:t> </w:t>
      </w:r>
      <w:r w:rsidRPr="00D9547E">
        <w:t>January of the preceding year. However, this was inadvertently removed in the amendment of the Act. A clarification is proposed that the rate at which to gross up the appropriate benefit rate for the coming child support year would be the rate in force on 1 January of the preceding year.</w:t>
      </w:r>
    </w:p>
    <w:p w14:paraId="41FC4143" w14:textId="50558C65" w:rsidR="00354EA8" w:rsidRPr="00D9547E" w:rsidRDefault="00354EA8" w:rsidP="00D9547E">
      <w:pPr>
        <w:pStyle w:val="ListBullet"/>
      </w:pPr>
      <w:r w:rsidRPr="00D9547E">
        <w:t xml:space="preserve">Section 35A(2) of the Child Support Act was updated </w:t>
      </w:r>
      <w:r w:rsidR="00D9710F">
        <w:t>as a consequence of</w:t>
      </w:r>
      <w:r w:rsidRPr="00D9547E">
        <w:t xml:space="preserve"> the Social Security Act rewrite. However, that amendment has inadvertently widened who qualifies for the higher rate of living allowance (which is based on the benefit payable under clause 1(c) of Part 3 of Schedule 4 of the Social Security Act 2018), so that it is now payable to any beneficiary granted a supported living payment. It is proposed that the higher rate of living allowance would be limited to a single beneficiary with at least one dependent child, as intended.</w:t>
      </w:r>
    </w:p>
    <w:p w14:paraId="38E2B8D2" w14:textId="77777777" w:rsidR="00354EA8" w:rsidRPr="00D9547E" w:rsidRDefault="00354EA8" w:rsidP="00D9547E">
      <w:pPr>
        <w:pStyle w:val="ListBullet"/>
      </w:pPr>
      <w:r w:rsidRPr="00D9547E">
        <w:t>The Alcoholism and Drug Addiction Act 1966 was repealed and replaced by the Substance Addiction (Compulsory Assessment and Treatment) Act 2017. Consequentially, part (b) of the definition of “hospital patient” in section 89B of the Child Support Act was amended to “a patient within the meaning of the Substance Addiction (Compulsory Assessment and Treatment) Act 2017” which has widened the definition.</w:t>
      </w:r>
    </w:p>
    <w:p w14:paraId="6CD9325E" w14:textId="115F63F3" w:rsidR="00354EA8" w:rsidRPr="00D9547E" w:rsidRDefault="00354EA8" w:rsidP="00D9547E">
      <w:pPr>
        <w:pStyle w:val="ListBullet"/>
      </w:pPr>
      <w:r w:rsidRPr="00D9547E">
        <w:t>It is proposed that part (b) of the definition of “hospital patient” would be amended to refer to a person who is “a resident in a treatment centre” under the Substance Addiction (Compulsory Assessment and Treatment) Act 2017.</w:t>
      </w:r>
    </w:p>
    <w:p w14:paraId="296345A9" w14:textId="7CF7E2A4" w:rsidR="00CD71FA" w:rsidRPr="00D9547E" w:rsidRDefault="00CD71FA" w:rsidP="00D9547E">
      <w:pPr>
        <w:pStyle w:val="ListBullet"/>
      </w:pPr>
      <w:r w:rsidRPr="00D9547E">
        <w:t xml:space="preserve">As a result of the repeal of sections 81 to 88 of the Tax Administration Act </w:t>
      </w:r>
      <w:r w:rsidR="003C3D29">
        <w:t xml:space="preserve">1994 </w:t>
      </w:r>
      <w:r w:rsidRPr="00D9547E">
        <w:t>in 2019 and insertion of new provisions to deal with collection, use and disclosure of revenue information, some cross references in the Child Support Act are no longer correct</w:t>
      </w:r>
      <w:r w:rsidR="00354EA8" w:rsidRPr="00D9547E">
        <w:t>:</w:t>
      </w:r>
    </w:p>
    <w:p w14:paraId="6131D2C4" w14:textId="12E13E20" w:rsidR="00CD71FA" w:rsidRPr="00D9547E" w:rsidRDefault="00CD71FA" w:rsidP="00D9547E">
      <w:pPr>
        <w:pStyle w:val="ListBullet2"/>
      </w:pPr>
      <w:r w:rsidRPr="00D9547E">
        <w:t>Section 89Z(4) of the Child Support Act refers to the now repealed section 85K of the Tax Administration Act</w:t>
      </w:r>
      <w:r w:rsidR="003C3D29">
        <w:t xml:space="preserve"> 1994</w:t>
      </w:r>
      <w:r w:rsidRPr="00D9547E">
        <w:t xml:space="preserve">. The cross reference should be to the new section 18H of the Tax Administration Act </w:t>
      </w:r>
      <w:r w:rsidR="003C3D29">
        <w:t xml:space="preserve">1994 </w:t>
      </w:r>
      <w:r w:rsidRPr="00D9547E">
        <w:t>(which refers to schedule 7, part C of that Act).</w:t>
      </w:r>
    </w:p>
    <w:p w14:paraId="4F6FA5CF" w14:textId="64EB5378" w:rsidR="00CD71FA" w:rsidRPr="00D9547E" w:rsidRDefault="00CD71FA" w:rsidP="00D9547E">
      <w:pPr>
        <w:pStyle w:val="ListBullet2"/>
      </w:pPr>
      <w:r w:rsidRPr="00D9547E">
        <w:t xml:space="preserve">The definition of “relevant payments” in section 135JA(1) of the Child Support Act refers to the now repealed section 82(9) of the Tax Administration Act </w:t>
      </w:r>
      <w:r w:rsidR="003C3D29">
        <w:t xml:space="preserve">1994 </w:t>
      </w:r>
      <w:r w:rsidRPr="00D9547E">
        <w:t xml:space="preserve">for the definition of “earnings related compensation”. It is proposed that the reference would be to schedule 7, part C, subpart 2, clause 41(9) of </w:t>
      </w:r>
      <w:r w:rsidR="00D9710F">
        <w:t xml:space="preserve">schedule 7 of </w:t>
      </w:r>
      <w:r w:rsidRPr="00D9547E">
        <w:t>the Tax Administration Act</w:t>
      </w:r>
      <w:r w:rsidR="003C3D29">
        <w:t xml:space="preserve"> 1994</w:t>
      </w:r>
      <w:r w:rsidRPr="00D9547E">
        <w:t>.</w:t>
      </w:r>
    </w:p>
    <w:sectPr w:rsidR="00CD71FA" w:rsidRPr="00D9547E"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F3A4B" w14:textId="77777777" w:rsidR="000623D0" w:rsidRDefault="000623D0">
      <w:r>
        <w:separator/>
      </w:r>
    </w:p>
    <w:p w14:paraId="12AC04D3" w14:textId="77777777" w:rsidR="000623D0" w:rsidRDefault="000623D0"/>
  </w:endnote>
  <w:endnote w:type="continuationSeparator" w:id="0">
    <w:p w14:paraId="319FDA11" w14:textId="77777777" w:rsidR="000623D0" w:rsidRDefault="000623D0">
      <w:r>
        <w:continuationSeparator/>
      </w:r>
    </w:p>
    <w:p w14:paraId="5C7D96F7" w14:textId="77777777" w:rsidR="000623D0" w:rsidRDefault="00062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4094" w14:textId="77777777" w:rsidR="00F50FBE" w:rsidRDefault="00F50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7693" w14:textId="17184E5F" w:rsidR="00F50FBE" w:rsidRDefault="000623D0">
    <w:pPr>
      <w:pStyle w:val="Footer"/>
    </w:pPr>
    <w:sdt>
      <w:sdtPr>
        <w:id w:val="-1931420912"/>
        <w:docPartObj>
          <w:docPartGallery w:val="Page Numbers (Bottom of Page)"/>
          <w:docPartUnique/>
        </w:docPartObj>
      </w:sdtPr>
      <w:sdtEndPr>
        <w:rPr>
          <w:noProof/>
        </w:rPr>
      </w:sdtEndPr>
      <w:sdtContent>
        <w:r w:rsidR="00F50FBE">
          <w:fldChar w:fldCharType="begin"/>
        </w:r>
        <w:r w:rsidR="00F50FBE">
          <w:instrText xml:space="preserve"> PAGE   \* MERGEFORMAT </w:instrText>
        </w:r>
        <w:r w:rsidR="00F50FBE">
          <w:fldChar w:fldCharType="separate"/>
        </w:r>
        <w:r w:rsidR="00F50FBE">
          <w:rPr>
            <w:noProof/>
          </w:rPr>
          <w:t>2</w:t>
        </w:r>
        <w:r w:rsidR="00F50FB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3489" w14:textId="77777777" w:rsidR="00F50FBE" w:rsidRDefault="00F50FBE">
    <w:pPr>
      <w:pStyle w:val="Footer"/>
    </w:pPr>
    <w:r>
      <w:rPr>
        <w:noProof/>
      </w:rPr>
      <mc:AlternateContent>
        <mc:Choice Requires="wps">
          <w:drawing>
            <wp:anchor distT="0" distB="0" distL="114300" distR="114300" simplePos="1" relativeHeight="251658240" behindDoc="0" locked="0" layoutInCell="0" allowOverlap="1" wp14:anchorId="2F0ED66E" wp14:editId="67450E54">
              <wp:simplePos x="0" y="10234930"/>
              <wp:positionH relativeFrom="page">
                <wp:posOffset>0</wp:posOffset>
              </wp:positionH>
              <wp:positionV relativeFrom="page">
                <wp:posOffset>10234930</wp:posOffset>
              </wp:positionV>
              <wp:extent cx="7560310" cy="266700"/>
              <wp:effectExtent l="0" t="0" r="0" b="0"/>
              <wp:wrapNone/>
              <wp:docPr id="6" name="MSIPCM5e7244c1a8db3f6c9aa9f2d1" descr="{&quot;HashCode&quot;:40431686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7B56B5" w14:textId="77777777" w:rsidR="00F50FBE" w:rsidRPr="0025671C" w:rsidRDefault="00F50FBE" w:rsidP="0025671C">
                          <w:pPr>
                            <w:spacing w:before="0"/>
                            <w:jc w:val="center"/>
                            <w:rPr>
                              <w:rFonts w:ascii="Verdana" w:hAnsi="Verdana"/>
                              <w:color w:val="000000"/>
                              <w:sz w:val="20"/>
                            </w:rPr>
                          </w:pPr>
                          <w:r w:rsidRPr="0025671C">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0ED66E" id="_x0000_t202" coordsize="21600,21600" o:spt="202" path="m,l,21600r21600,l21600,xe">
              <v:stroke joinstyle="miter"/>
              <v:path gradientshapeok="t" o:connecttype="rect"/>
            </v:shapetype>
            <v:shape id="MSIPCM5e7244c1a8db3f6c9aa9f2d1" o:spid="_x0000_s1026" type="#_x0000_t202" alt="{&quot;HashCode&quot;:404316862,&quot;Height&quot;:841.0,&quot;Width&quot;:595.0,&quot;Placement&quot;:&quot;Footer&quot;,&quot;Index&quot;:&quot;FirstPage&quot;,&quot;Section&quot;:2,&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SkAANqwCAABHBQAADgAAAAAA&#10;AAAAAAAAAAAuAgAAZHJzL2Uyb0RvYy54bWxQSwECLQAUAAYACAAAACEAg7KPK98AAAALAQAADwAA&#10;AAAAAAAAAAAAAAAGBQAAZHJzL2Rvd25yZXYueG1sUEsFBgAAAAAEAAQA8wAAABIGAAAAAA==&#10;" o:allowincell="f" filled="f" stroked="f" strokeweight=".5pt">
              <v:textbox inset=",0,,0">
                <w:txbxContent>
                  <w:p w14:paraId="6F7B56B5" w14:textId="77777777" w:rsidR="00F50FBE" w:rsidRPr="0025671C" w:rsidRDefault="00F50FBE" w:rsidP="0025671C">
                    <w:pPr>
                      <w:spacing w:before="0"/>
                      <w:jc w:val="center"/>
                      <w:rPr>
                        <w:rFonts w:ascii="Verdana" w:hAnsi="Verdana"/>
                        <w:color w:val="000000"/>
                        <w:sz w:val="20"/>
                      </w:rPr>
                    </w:pPr>
                    <w:r w:rsidRPr="0025671C">
                      <w:rPr>
                        <w:rFonts w:ascii="Verdana" w:hAnsi="Verdana"/>
                        <w:color w:val="000000"/>
                        <w:sz w:val="20"/>
                      </w:rPr>
                      <w:t>IN CONFIDENCE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B65B" w14:textId="77777777" w:rsidR="00F50FBE" w:rsidRDefault="00F50FBE">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B02F" w14:textId="77777777" w:rsidR="000623D0" w:rsidRDefault="000623D0" w:rsidP="00770C74">
      <w:pPr>
        <w:spacing w:before="0"/>
      </w:pPr>
      <w:r>
        <w:separator/>
      </w:r>
    </w:p>
  </w:footnote>
  <w:footnote w:type="continuationSeparator" w:id="0">
    <w:p w14:paraId="45273031" w14:textId="77777777" w:rsidR="000623D0" w:rsidRDefault="000623D0">
      <w:r>
        <w:continuationSeparator/>
      </w:r>
    </w:p>
    <w:p w14:paraId="0B70B3B3" w14:textId="77777777" w:rsidR="000623D0" w:rsidRDefault="000623D0"/>
  </w:footnote>
  <w:footnote w:id="1">
    <w:p w14:paraId="6147EED9" w14:textId="449A2581" w:rsidR="00F50FBE" w:rsidRDefault="00F50FBE">
      <w:pPr>
        <w:pStyle w:val="FootnoteText"/>
      </w:pPr>
      <w:r>
        <w:rPr>
          <w:rStyle w:val="FootnoteReference"/>
        </w:rPr>
        <w:footnoteRef/>
      </w:r>
      <w:r>
        <w:t xml:space="preserve"> Available at </w:t>
      </w:r>
      <w:hyperlink r:id="rId1" w:history="1">
        <w:r w:rsidRPr="000427D2">
          <w:rPr>
            <w:rStyle w:val="Hyperlink"/>
          </w:rPr>
          <w:t>https://taxpolicy.ird.govt.nz/publications/2017-dd-mts-9-social-policy/overview</w:t>
        </w:r>
      </w:hyperlink>
      <w:r>
        <w:t xml:space="preserve"> </w:t>
      </w:r>
    </w:p>
  </w:footnote>
  <w:footnote w:id="2">
    <w:p w14:paraId="40E3174C" w14:textId="1B258C78" w:rsidR="00F50FBE" w:rsidRDefault="00F50FBE">
      <w:pPr>
        <w:pStyle w:val="FootnoteText"/>
      </w:pPr>
      <w:r>
        <w:rPr>
          <w:rStyle w:val="FootnoteReference"/>
        </w:rPr>
        <w:footnoteRef/>
      </w:r>
      <w:r>
        <w:t xml:space="preserve"> </w:t>
      </w:r>
      <w:r w:rsidRPr="00B76F46">
        <w:t xml:space="preserve">Domestic maintenance refers to payments made by a person to a former partner. Inland Revenue administers domestic maintenance under </w:t>
      </w:r>
      <w:r>
        <w:t>C</w:t>
      </w:r>
      <w:r w:rsidRPr="00B76F46">
        <w:t>ourt orders registered in the New Zealand Family Courts and voluntary agreements.</w:t>
      </w:r>
    </w:p>
  </w:footnote>
  <w:footnote w:id="3">
    <w:p w14:paraId="114F3236" w14:textId="05FA30A2" w:rsidR="00F50FBE" w:rsidRDefault="00F50FBE">
      <w:pPr>
        <w:pStyle w:val="FootnoteText"/>
      </w:pPr>
      <w:r>
        <w:rPr>
          <w:rStyle w:val="FootnoteReference"/>
        </w:rPr>
        <w:footnoteRef/>
      </w:r>
      <w:r>
        <w:t xml:space="preserve"> A benefit includes a Veteran’s Pension or New Zealand Super.</w:t>
      </w:r>
    </w:p>
  </w:footnote>
  <w:footnote w:id="4">
    <w:p w14:paraId="75A5E542" w14:textId="77777777" w:rsidR="00F50FBE" w:rsidRDefault="00F50FBE" w:rsidP="007846B4">
      <w:pPr>
        <w:pStyle w:val="FootnoteText"/>
      </w:pPr>
      <w:r>
        <w:rPr>
          <w:rStyle w:val="FootnoteReference"/>
        </w:rPr>
        <w:footnoteRef/>
      </w:r>
      <w:r>
        <w:t xml:space="preserve"> “Administrative review” is the term used to describe the process when a person makes an application for a departure from the formula under the Child Support Act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4751193"/>
    <w:multiLevelType w:val="multilevel"/>
    <w:tmpl w:val="D884CF0E"/>
    <w:lvl w:ilvl="0">
      <w:start w:val="1"/>
      <w:numFmt w:val="bullet"/>
      <w:lvlText w:val=""/>
      <w:lvlJc w:val="left"/>
      <w:pPr>
        <w:tabs>
          <w:tab w:val="num" w:pos="1418"/>
        </w:tabs>
        <w:ind w:left="1418" w:hanging="709"/>
      </w:pPr>
      <w:rPr>
        <w:rFonts w:ascii="Symbol" w:hAnsi="Symbol" w:hint="default"/>
        <w:sz w:val="20"/>
      </w:rPr>
    </w:lvl>
    <w:lvl w:ilvl="1">
      <w:start w:val="1"/>
      <w:numFmt w:val="decimal"/>
      <w:lvlText w:val="%1.%2"/>
      <w:lvlJc w:val="left"/>
      <w:pPr>
        <w:tabs>
          <w:tab w:val="num" w:pos="2127"/>
        </w:tabs>
        <w:ind w:left="2127" w:hanging="709"/>
      </w:pPr>
      <w:rPr>
        <w:rFonts w:ascii="Verdana" w:hAnsi="Verdana" w:hint="default"/>
        <w:i w:val="0"/>
        <w:sz w:val="20"/>
      </w:rPr>
    </w:lvl>
    <w:lvl w:ilvl="2">
      <w:start w:val="1"/>
      <w:numFmt w:val="decimal"/>
      <w:lvlText w:val="%1.%2.%3"/>
      <w:lvlJc w:val="left"/>
      <w:pPr>
        <w:tabs>
          <w:tab w:val="num" w:pos="2836"/>
        </w:tabs>
        <w:ind w:left="2836" w:hanging="709"/>
      </w:pPr>
      <w:rPr>
        <w:rFonts w:ascii="Verdana" w:hAnsi="Verdana" w:hint="default"/>
        <w:sz w:val="20"/>
      </w:rPr>
    </w:lvl>
    <w:lvl w:ilvl="3">
      <w:start w:val="1"/>
      <w:numFmt w:val="decimal"/>
      <w:lvlText w:val="(%4)"/>
      <w:lvlJc w:val="left"/>
      <w:pPr>
        <w:tabs>
          <w:tab w:val="num" w:pos="3545"/>
        </w:tabs>
        <w:ind w:left="3545" w:hanging="709"/>
      </w:pPr>
      <w:rPr>
        <w:rFonts w:hint="default"/>
        <w:sz w:val="24"/>
      </w:rPr>
    </w:lvl>
    <w:lvl w:ilvl="4">
      <w:start w:val="1"/>
      <w:numFmt w:val="lowerLetter"/>
      <w:lvlText w:val="(%5)"/>
      <w:lvlJc w:val="left"/>
      <w:pPr>
        <w:tabs>
          <w:tab w:val="num" w:pos="4254"/>
        </w:tabs>
        <w:ind w:left="4254" w:hanging="709"/>
      </w:pPr>
      <w:rPr>
        <w:rFonts w:hint="default"/>
      </w:rPr>
    </w:lvl>
    <w:lvl w:ilvl="5">
      <w:start w:val="1"/>
      <w:numFmt w:val="lowerRoman"/>
      <w:lvlText w:val="(%6)"/>
      <w:lvlJc w:val="left"/>
      <w:pPr>
        <w:tabs>
          <w:tab w:val="num" w:pos="4963"/>
        </w:tabs>
        <w:ind w:left="4963" w:hanging="709"/>
      </w:pPr>
      <w:rPr>
        <w:rFonts w:hint="default"/>
      </w:rPr>
    </w:lvl>
    <w:lvl w:ilvl="6">
      <w:start w:val="1"/>
      <w:numFmt w:val="decimal"/>
      <w:lvlText w:val="%7."/>
      <w:lvlJc w:val="left"/>
      <w:pPr>
        <w:tabs>
          <w:tab w:val="num" w:pos="5672"/>
        </w:tabs>
        <w:ind w:left="5672" w:hanging="709"/>
      </w:pPr>
      <w:rPr>
        <w:rFonts w:hint="default"/>
      </w:rPr>
    </w:lvl>
    <w:lvl w:ilvl="7">
      <w:start w:val="1"/>
      <w:numFmt w:val="lowerLetter"/>
      <w:lvlText w:val="%8."/>
      <w:lvlJc w:val="left"/>
      <w:pPr>
        <w:tabs>
          <w:tab w:val="num" w:pos="6381"/>
        </w:tabs>
        <w:ind w:left="6381" w:hanging="709"/>
      </w:pPr>
      <w:rPr>
        <w:rFonts w:hint="default"/>
      </w:rPr>
    </w:lvl>
    <w:lvl w:ilvl="8">
      <w:start w:val="1"/>
      <w:numFmt w:val="lowerRoman"/>
      <w:lvlText w:val="%9."/>
      <w:lvlJc w:val="left"/>
      <w:pPr>
        <w:tabs>
          <w:tab w:val="num" w:pos="7090"/>
        </w:tabs>
        <w:ind w:left="7090" w:hanging="709"/>
      </w:pPr>
      <w:rPr>
        <w:rFonts w:hint="default"/>
      </w:rPr>
    </w:lvl>
  </w:abstractNum>
  <w:abstractNum w:abstractNumId="2" w15:restartNumberingAfterBreak="0">
    <w:nsid w:val="16514F51"/>
    <w:multiLevelType w:val="hybridMultilevel"/>
    <w:tmpl w:val="469E79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D0A357C"/>
    <w:multiLevelType w:val="hybridMultilevel"/>
    <w:tmpl w:val="76D8B83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6601EBA"/>
    <w:multiLevelType w:val="hybridMultilevel"/>
    <w:tmpl w:val="3FC82BAA"/>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48E242B8"/>
    <w:multiLevelType w:val="hybridMultilevel"/>
    <w:tmpl w:val="22185B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3993153"/>
    <w:multiLevelType w:val="multilevel"/>
    <w:tmpl w:val="7AA0B388"/>
    <w:lvl w:ilvl="0">
      <w:start w:val="1"/>
      <w:numFmt w:val="decimal"/>
      <w:pStyle w:val="NumberedParagraph"/>
      <w:lvlText w:val="%1."/>
      <w:lvlJc w:val="left"/>
      <w:pPr>
        <w:tabs>
          <w:tab w:val="num" w:pos="709"/>
        </w:tabs>
        <w:ind w:left="709" w:hanging="709"/>
      </w:pPr>
      <w:rPr>
        <w:rFonts w:ascii="Verdana" w:hAnsi="Verdana" w:hint="default"/>
        <w:i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9" w15:restartNumberingAfterBreak="0">
    <w:nsid w:val="66C85389"/>
    <w:multiLevelType w:val="hybridMultilevel"/>
    <w:tmpl w:val="E50CC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2" w15:restartNumberingAfterBreak="0">
    <w:nsid w:val="74F9478E"/>
    <w:multiLevelType w:val="hybridMultilevel"/>
    <w:tmpl w:val="C944EBF6"/>
    <w:lvl w:ilvl="0" w:tplc="A17A546A">
      <w:numFmt w:val="bullet"/>
      <w:lvlText w:val="-"/>
      <w:lvlJc w:val="left"/>
      <w:pPr>
        <w:ind w:left="360" w:hanging="360"/>
      </w:pPr>
      <w:rPr>
        <w:rFonts w:ascii="Arial" w:eastAsia="Calibr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4" w15:restartNumberingAfterBreak="0">
    <w:nsid w:val="79FF71D2"/>
    <w:multiLevelType w:val="hybridMultilevel"/>
    <w:tmpl w:val="D0B8E39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7A8E7C20"/>
    <w:multiLevelType w:val="hybridMultilevel"/>
    <w:tmpl w:val="574A0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1"/>
  </w:num>
  <w:num w:numId="5">
    <w:abstractNumId w:val="13"/>
  </w:num>
  <w:num w:numId="6">
    <w:abstractNumId w:val="0"/>
  </w:num>
  <w:num w:numId="7">
    <w:abstractNumId w:val="3"/>
  </w:num>
  <w:num w:numId="8">
    <w:abstractNumId w:val="5"/>
  </w:num>
  <w:num w:numId="9">
    <w:abstractNumId w:val="10"/>
  </w:num>
  <w:num w:numId="10">
    <w:abstractNumId w:val="10"/>
  </w:num>
  <w:num w:numId="11">
    <w:abstractNumId w:val="7"/>
  </w:num>
  <w:num w:numId="12">
    <w:abstractNumId w:val="8"/>
  </w:num>
  <w:num w:numId="13">
    <w:abstractNumId w:val="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2"/>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1C"/>
    <w:rsid w:val="00002F16"/>
    <w:rsid w:val="000033B0"/>
    <w:rsid w:val="000064C4"/>
    <w:rsid w:val="00006B69"/>
    <w:rsid w:val="00007061"/>
    <w:rsid w:val="00010972"/>
    <w:rsid w:val="00011CCF"/>
    <w:rsid w:val="000122A3"/>
    <w:rsid w:val="00012479"/>
    <w:rsid w:val="00013D54"/>
    <w:rsid w:val="00015CD5"/>
    <w:rsid w:val="00017AD4"/>
    <w:rsid w:val="00021385"/>
    <w:rsid w:val="00023590"/>
    <w:rsid w:val="00024B5C"/>
    <w:rsid w:val="00024FAE"/>
    <w:rsid w:val="000257A9"/>
    <w:rsid w:val="0003005F"/>
    <w:rsid w:val="00030D25"/>
    <w:rsid w:val="00030F3C"/>
    <w:rsid w:val="00031B32"/>
    <w:rsid w:val="00032D78"/>
    <w:rsid w:val="000336C9"/>
    <w:rsid w:val="0003576B"/>
    <w:rsid w:val="00044518"/>
    <w:rsid w:val="00046623"/>
    <w:rsid w:val="00046773"/>
    <w:rsid w:val="00047208"/>
    <w:rsid w:val="000472E6"/>
    <w:rsid w:val="00050B27"/>
    <w:rsid w:val="000539EA"/>
    <w:rsid w:val="00056BFF"/>
    <w:rsid w:val="00056F12"/>
    <w:rsid w:val="000607BE"/>
    <w:rsid w:val="00060F21"/>
    <w:rsid w:val="000623D0"/>
    <w:rsid w:val="00062A19"/>
    <w:rsid w:val="00062A8D"/>
    <w:rsid w:val="00062AC2"/>
    <w:rsid w:val="00062BD1"/>
    <w:rsid w:val="00063905"/>
    <w:rsid w:val="00063E95"/>
    <w:rsid w:val="00065BE7"/>
    <w:rsid w:val="00065F18"/>
    <w:rsid w:val="0006608A"/>
    <w:rsid w:val="00066B02"/>
    <w:rsid w:val="00072567"/>
    <w:rsid w:val="000731EF"/>
    <w:rsid w:val="0007560B"/>
    <w:rsid w:val="000758CC"/>
    <w:rsid w:val="0007657E"/>
    <w:rsid w:val="00076974"/>
    <w:rsid w:val="00076E48"/>
    <w:rsid w:val="00077F9E"/>
    <w:rsid w:val="000803CB"/>
    <w:rsid w:val="00080EB0"/>
    <w:rsid w:val="00084D2F"/>
    <w:rsid w:val="0008503E"/>
    <w:rsid w:val="00085270"/>
    <w:rsid w:val="00086C76"/>
    <w:rsid w:val="0009004A"/>
    <w:rsid w:val="00090334"/>
    <w:rsid w:val="00090B57"/>
    <w:rsid w:val="0009148E"/>
    <w:rsid w:val="00092476"/>
    <w:rsid w:val="0009415B"/>
    <w:rsid w:val="00094985"/>
    <w:rsid w:val="00097C1A"/>
    <w:rsid w:val="00097C6F"/>
    <w:rsid w:val="000A11BC"/>
    <w:rsid w:val="000A20C2"/>
    <w:rsid w:val="000A3F00"/>
    <w:rsid w:val="000A5EA4"/>
    <w:rsid w:val="000A5FCF"/>
    <w:rsid w:val="000A6E3B"/>
    <w:rsid w:val="000A7CDF"/>
    <w:rsid w:val="000B2165"/>
    <w:rsid w:val="000B3E72"/>
    <w:rsid w:val="000B4790"/>
    <w:rsid w:val="000C0D70"/>
    <w:rsid w:val="000C4601"/>
    <w:rsid w:val="000C4BBA"/>
    <w:rsid w:val="000D0391"/>
    <w:rsid w:val="000D19D3"/>
    <w:rsid w:val="000D2A2C"/>
    <w:rsid w:val="000D3883"/>
    <w:rsid w:val="000D3DDE"/>
    <w:rsid w:val="000D47C1"/>
    <w:rsid w:val="000D7E37"/>
    <w:rsid w:val="000E490A"/>
    <w:rsid w:val="000E73C6"/>
    <w:rsid w:val="000F1497"/>
    <w:rsid w:val="000F2A9E"/>
    <w:rsid w:val="000F4C25"/>
    <w:rsid w:val="00100EFB"/>
    <w:rsid w:val="00101924"/>
    <w:rsid w:val="00110ACB"/>
    <w:rsid w:val="00110E23"/>
    <w:rsid w:val="001114CE"/>
    <w:rsid w:val="00111D60"/>
    <w:rsid w:val="00112133"/>
    <w:rsid w:val="00112585"/>
    <w:rsid w:val="00113AB8"/>
    <w:rsid w:val="001166E4"/>
    <w:rsid w:val="001208C2"/>
    <w:rsid w:val="00120B5B"/>
    <w:rsid w:val="0012261A"/>
    <w:rsid w:val="00122FEF"/>
    <w:rsid w:val="001235A7"/>
    <w:rsid w:val="0012384D"/>
    <w:rsid w:val="00124AAC"/>
    <w:rsid w:val="001251A2"/>
    <w:rsid w:val="00125324"/>
    <w:rsid w:val="00125E86"/>
    <w:rsid w:val="001274F9"/>
    <w:rsid w:val="001317FE"/>
    <w:rsid w:val="00131D85"/>
    <w:rsid w:val="00135612"/>
    <w:rsid w:val="001360B0"/>
    <w:rsid w:val="001379B5"/>
    <w:rsid w:val="00137EB5"/>
    <w:rsid w:val="00140B57"/>
    <w:rsid w:val="00141C8F"/>
    <w:rsid w:val="00145802"/>
    <w:rsid w:val="00145961"/>
    <w:rsid w:val="001467F6"/>
    <w:rsid w:val="00154174"/>
    <w:rsid w:val="001574CA"/>
    <w:rsid w:val="00160333"/>
    <w:rsid w:val="00161407"/>
    <w:rsid w:val="00162D4C"/>
    <w:rsid w:val="00163948"/>
    <w:rsid w:val="001650F2"/>
    <w:rsid w:val="00166B7F"/>
    <w:rsid w:val="00167B1C"/>
    <w:rsid w:val="001701B9"/>
    <w:rsid w:val="001718A6"/>
    <w:rsid w:val="00173A75"/>
    <w:rsid w:val="00173EAD"/>
    <w:rsid w:val="00174ADF"/>
    <w:rsid w:val="00174CB9"/>
    <w:rsid w:val="00174D0B"/>
    <w:rsid w:val="00177932"/>
    <w:rsid w:val="00177BD4"/>
    <w:rsid w:val="0018093A"/>
    <w:rsid w:val="00181AC6"/>
    <w:rsid w:val="00184C10"/>
    <w:rsid w:val="00184DD3"/>
    <w:rsid w:val="00185926"/>
    <w:rsid w:val="001861E4"/>
    <w:rsid w:val="00187539"/>
    <w:rsid w:val="00190693"/>
    <w:rsid w:val="001949D7"/>
    <w:rsid w:val="00194B4F"/>
    <w:rsid w:val="001A1347"/>
    <w:rsid w:val="001A2C68"/>
    <w:rsid w:val="001A407B"/>
    <w:rsid w:val="001A4603"/>
    <w:rsid w:val="001A5ECB"/>
    <w:rsid w:val="001A5EE5"/>
    <w:rsid w:val="001A623D"/>
    <w:rsid w:val="001A6D60"/>
    <w:rsid w:val="001A7ECC"/>
    <w:rsid w:val="001B0B2E"/>
    <w:rsid w:val="001B1365"/>
    <w:rsid w:val="001B1A5B"/>
    <w:rsid w:val="001B2196"/>
    <w:rsid w:val="001B383F"/>
    <w:rsid w:val="001B73BE"/>
    <w:rsid w:val="001B7B7D"/>
    <w:rsid w:val="001C027B"/>
    <w:rsid w:val="001C22A9"/>
    <w:rsid w:val="001C4857"/>
    <w:rsid w:val="001C6A9E"/>
    <w:rsid w:val="001D05D9"/>
    <w:rsid w:val="001D279C"/>
    <w:rsid w:val="001D30DC"/>
    <w:rsid w:val="001D3479"/>
    <w:rsid w:val="001D3BFC"/>
    <w:rsid w:val="001D3C00"/>
    <w:rsid w:val="001D3CE8"/>
    <w:rsid w:val="001D420C"/>
    <w:rsid w:val="001D56E2"/>
    <w:rsid w:val="001D60B0"/>
    <w:rsid w:val="001E113E"/>
    <w:rsid w:val="001E413B"/>
    <w:rsid w:val="001E485C"/>
    <w:rsid w:val="001E4B64"/>
    <w:rsid w:val="001E4FD2"/>
    <w:rsid w:val="001E7093"/>
    <w:rsid w:val="001E75F8"/>
    <w:rsid w:val="001F15A4"/>
    <w:rsid w:val="001F199F"/>
    <w:rsid w:val="001F1CB2"/>
    <w:rsid w:val="001F3E7E"/>
    <w:rsid w:val="001F4591"/>
    <w:rsid w:val="001F574C"/>
    <w:rsid w:val="001F6140"/>
    <w:rsid w:val="001F6F0A"/>
    <w:rsid w:val="00200E62"/>
    <w:rsid w:val="00201874"/>
    <w:rsid w:val="002021A0"/>
    <w:rsid w:val="00203CBC"/>
    <w:rsid w:val="00204CDE"/>
    <w:rsid w:val="00205B48"/>
    <w:rsid w:val="0020736B"/>
    <w:rsid w:val="002115B0"/>
    <w:rsid w:val="00211C38"/>
    <w:rsid w:val="00213E40"/>
    <w:rsid w:val="0021457D"/>
    <w:rsid w:val="00214E48"/>
    <w:rsid w:val="0021636F"/>
    <w:rsid w:val="0021687C"/>
    <w:rsid w:val="002207BF"/>
    <w:rsid w:val="00220826"/>
    <w:rsid w:val="00220E5A"/>
    <w:rsid w:val="00224B10"/>
    <w:rsid w:val="00225F7A"/>
    <w:rsid w:val="0022640F"/>
    <w:rsid w:val="00226A3E"/>
    <w:rsid w:val="00227672"/>
    <w:rsid w:val="00227DE1"/>
    <w:rsid w:val="00231754"/>
    <w:rsid w:val="002327A3"/>
    <w:rsid w:val="00232A34"/>
    <w:rsid w:val="0023418B"/>
    <w:rsid w:val="00240332"/>
    <w:rsid w:val="00240C66"/>
    <w:rsid w:val="00240D84"/>
    <w:rsid w:val="00240FC7"/>
    <w:rsid w:val="0024736E"/>
    <w:rsid w:val="00247F53"/>
    <w:rsid w:val="0025255A"/>
    <w:rsid w:val="00252869"/>
    <w:rsid w:val="002530EF"/>
    <w:rsid w:val="002557CE"/>
    <w:rsid w:val="00256229"/>
    <w:rsid w:val="0025671C"/>
    <w:rsid w:val="00256DBF"/>
    <w:rsid w:val="00257234"/>
    <w:rsid w:val="0025743D"/>
    <w:rsid w:val="0026047F"/>
    <w:rsid w:val="00261270"/>
    <w:rsid w:val="002617BA"/>
    <w:rsid w:val="0026209F"/>
    <w:rsid w:val="0026287E"/>
    <w:rsid w:val="0026314D"/>
    <w:rsid w:val="002662E6"/>
    <w:rsid w:val="00267552"/>
    <w:rsid w:val="00267F8D"/>
    <w:rsid w:val="0027020D"/>
    <w:rsid w:val="0027207D"/>
    <w:rsid w:val="0027239A"/>
    <w:rsid w:val="002724D2"/>
    <w:rsid w:val="00275CE9"/>
    <w:rsid w:val="00275F66"/>
    <w:rsid w:val="002807F6"/>
    <w:rsid w:val="00281B26"/>
    <w:rsid w:val="0028225E"/>
    <w:rsid w:val="00283095"/>
    <w:rsid w:val="002837DA"/>
    <w:rsid w:val="00284222"/>
    <w:rsid w:val="002842FC"/>
    <w:rsid w:val="002853AF"/>
    <w:rsid w:val="002854BB"/>
    <w:rsid w:val="002864A4"/>
    <w:rsid w:val="002868D4"/>
    <w:rsid w:val="00292DA6"/>
    <w:rsid w:val="002948B6"/>
    <w:rsid w:val="00295A7D"/>
    <w:rsid w:val="00297356"/>
    <w:rsid w:val="002A1B26"/>
    <w:rsid w:val="002A233D"/>
    <w:rsid w:val="002A297A"/>
    <w:rsid w:val="002A2C08"/>
    <w:rsid w:val="002A344F"/>
    <w:rsid w:val="002A3778"/>
    <w:rsid w:val="002A42CD"/>
    <w:rsid w:val="002A47A8"/>
    <w:rsid w:val="002A72FD"/>
    <w:rsid w:val="002B0D19"/>
    <w:rsid w:val="002B23C1"/>
    <w:rsid w:val="002B2BE4"/>
    <w:rsid w:val="002B2C37"/>
    <w:rsid w:val="002B3B1F"/>
    <w:rsid w:val="002B6693"/>
    <w:rsid w:val="002C15B0"/>
    <w:rsid w:val="002C2776"/>
    <w:rsid w:val="002C53EC"/>
    <w:rsid w:val="002C6CA0"/>
    <w:rsid w:val="002C6D9B"/>
    <w:rsid w:val="002C7903"/>
    <w:rsid w:val="002D1395"/>
    <w:rsid w:val="002D5145"/>
    <w:rsid w:val="002D64F8"/>
    <w:rsid w:val="002D6881"/>
    <w:rsid w:val="002D7541"/>
    <w:rsid w:val="002E196B"/>
    <w:rsid w:val="002E23B2"/>
    <w:rsid w:val="002E3C6A"/>
    <w:rsid w:val="002E5DD9"/>
    <w:rsid w:val="002E7168"/>
    <w:rsid w:val="002F072B"/>
    <w:rsid w:val="002F1BCA"/>
    <w:rsid w:val="002F20F5"/>
    <w:rsid w:val="002F3C2A"/>
    <w:rsid w:val="002F4A69"/>
    <w:rsid w:val="002F5121"/>
    <w:rsid w:val="002F7708"/>
    <w:rsid w:val="002F7BE0"/>
    <w:rsid w:val="003004DB"/>
    <w:rsid w:val="00301C85"/>
    <w:rsid w:val="00301E4A"/>
    <w:rsid w:val="00302D0D"/>
    <w:rsid w:val="00303A8C"/>
    <w:rsid w:val="0030412E"/>
    <w:rsid w:val="0030507E"/>
    <w:rsid w:val="00306241"/>
    <w:rsid w:val="00306593"/>
    <w:rsid w:val="00306975"/>
    <w:rsid w:val="00315255"/>
    <w:rsid w:val="00315BD5"/>
    <w:rsid w:val="003162C2"/>
    <w:rsid w:val="00316970"/>
    <w:rsid w:val="003201D3"/>
    <w:rsid w:val="00326CD6"/>
    <w:rsid w:val="00326D2E"/>
    <w:rsid w:val="0032700A"/>
    <w:rsid w:val="003276D9"/>
    <w:rsid w:val="003278FD"/>
    <w:rsid w:val="0033299F"/>
    <w:rsid w:val="00333C42"/>
    <w:rsid w:val="00333E46"/>
    <w:rsid w:val="00334C0A"/>
    <w:rsid w:val="0033679A"/>
    <w:rsid w:val="00337004"/>
    <w:rsid w:val="0033709F"/>
    <w:rsid w:val="00340F4A"/>
    <w:rsid w:val="003426F5"/>
    <w:rsid w:val="0034375B"/>
    <w:rsid w:val="003458A3"/>
    <w:rsid w:val="00346371"/>
    <w:rsid w:val="00346C8A"/>
    <w:rsid w:val="00347EE7"/>
    <w:rsid w:val="00347F78"/>
    <w:rsid w:val="00353AB4"/>
    <w:rsid w:val="00354EA8"/>
    <w:rsid w:val="00355F93"/>
    <w:rsid w:val="0036210E"/>
    <w:rsid w:val="00362A0E"/>
    <w:rsid w:val="00365160"/>
    <w:rsid w:val="00366770"/>
    <w:rsid w:val="00366F3C"/>
    <w:rsid w:val="00372924"/>
    <w:rsid w:val="0037436F"/>
    <w:rsid w:val="00376F5C"/>
    <w:rsid w:val="0037745B"/>
    <w:rsid w:val="00377773"/>
    <w:rsid w:val="003811EB"/>
    <w:rsid w:val="003818BF"/>
    <w:rsid w:val="003838A1"/>
    <w:rsid w:val="00384295"/>
    <w:rsid w:val="00384D57"/>
    <w:rsid w:val="0038537A"/>
    <w:rsid w:val="003857CD"/>
    <w:rsid w:val="003861ED"/>
    <w:rsid w:val="0038707F"/>
    <w:rsid w:val="003915C3"/>
    <w:rsid w:val="00392BD1"/>
    <w:rsid w:val="0039417D"/>
    <w:rsid w:val="003945D1"/>
    <w:rsid w:val="003959E1"/>
    <w:rsid w:val="00395CC3"/>
    <w:rsid w:val="00396BCE"/>
    <w:rsid w:val="00396F31"/>
    <w:rsid w:val="003979C1"/>
    <w:rsid w:val="003A02B6"/>
    <w:rsid w:val="003A17F6"/>
    <w:rsid w:val="003A1AAD"/>
    <w:rsid w:val="003A2121"/>
    <w:rsid w:val="003A254E"/>
    <w:rsid w:val="003A36A4"/>
    <w:rsid w:val="003A3F04"/>
    <w:rsid w:val="003A4130"/>
    <w:rsid w:val="003A7A11"/>
    <w:rsid w:val="003B047D"/>
    <w:rsid w:val="003B173C"/>
    <w:rsid w:val="003B722C"/>
    <w:rsid w:val="003B7BFE"/>
    <w:rsid w:val="003C0A1F"/>
    <w:rsid w:val="003C183E"/>
    <w:rsid w:val="003C2593"/>
    <w:rsid w:val="003C2F32"/>
    <w:rsid w:val="003C3D29"/>
    <w:rsid w:val="003C4040"/>
    <w:rsid w:val="003C46E1"/>
    <w:rsid w:val="003C4E72"/>
    <w:rsid w:val="003C61E1"/>
    <w:rsid w:val="003C719F"/>
    <w:rsid w:val="003C7BA7"/>
    <w:rsid w:val="003D0B22"/>
    <w:rsid w:val="003D1865"/>
    <w:rsid w:val="003D318B"/>
    <w:rsid w:val="003D34C9"/>
    <w:rsid w:val="003D6461"/>
    <w:rsid w:val="003D766B"/>
    <w:rsid w:val="003E6534"/>
    <w:rsid w:val="003E6F96"/>
    <w:rsid w:val="003F0FDC"/>
    <w:rsid w:val="003F14C8"/>
    <w:rsid w:val="003F26CD"/>
    <w:rsid w:val="003F327B"/>
    <w:rsid w:val="003F42C6"/>
    <w:rsid w:val="003F44BD"/>
    <w:rsid w:val="003F6898"/>
    <w:rsid w:val="00401CB7"/>
    <w:rsid w:val="00402E8A"/>
    <w:rsid w:val="00403E5A"/>
    <w:rsid w:val="00405CED"/>
    <w:rsid w:val="004076ED"/>
    <w:rsid w:val="004107BB"/>
    <w:rsid w:val="004123A7"/>
    <w:rsid w:val="004134E2"/>
    <w:rsid w:val="00414064"/>
    <w:rsid w:val="0041478A"/>
    <w:rsid w:val="00414D6C"/>
    <w:rsid w:val="00421F87"/>
    <w:rsid w:val="004225DA"/>
    <w:rsid w:val="004256B9"/>
    <w:rsid w:val="00426261"/>
    <w:rsid w:val="00426FC1"/>
    <w:rsid w:val="00427B2C"/>
    <w:rsid w:val="00430542"/>
    <w:rsid w:val="00431AAE"/>
    <w:rsid w:val="00434B74"/>
    <w:rsid w:val="00435A4B"/>
    <w:rsid w:val="0043662A"/>
    <w:rsid w:val="00437764"/>
    <w:rsid w:val="004410A1"/>
    <w:rsid w:val="004446AC"/>
    <w:rsid w:val="00446070"/>
    <w:rsid w:val="004475EF"/>
    <w:rsid w:val="0045033F"/>
    <w:rsid w:val="00450A73"/>
    <w:rsid w:val="00450B0D"/>
    <w:rsid w:val="00450D66"/>
    <w:rsid w:val="0045228B"/>
    <w:rsid w:val="004526D9"/>
    <w:rsid w:val="00453672"/>
    <w:rsid w:val="00453B7E"/>
    <w:rsid w:val="00454DCA"/>
    <w:rsid w:val="00456360"/>
    <w:rsid w:val="00460620"/>
    <w:rsid w:val="00460F6A"/>
    <w:rsid w:val="004627C1"/>
    <w:rsid w:val="00462D83"/>
    <w:rsid w:val="004636EE"/>
    <w:rsid w:val="004659D6"/>
    <w:rsid w:val="00467270"/>
    <w:rsid w:val="00471947"/>
    <w:rsid w:val="00472158"/>
    <w:rsid w:val="00472909"/>
    <w:rsid w:val="00472A88"/>
    <w:rsid w:val="0047382E"/>
    <w:rsid w:val="00473ED6"/>
    <w:rsid w:val="0047470C"/>
    <w:rsid w:val="00480291"/>
    <w:rsid w:val="00480584"/>
    <w:rsid w:val="00480AFA"/>
    <w:rsid w:val="00481032"/>
    <w:rsid w:val="0048453F"/>
    <w:rsid w:val="0048627B"/>
    <w:rsid w:val="004866E0"/>
    <w:rsid w:val="004868C9"/>
    <w:rsid w:val="00490207"/>
    <w:rsid w:val="0049022D"/>
    <w:rsid w:val="00490A91"/>
    <w:rsid w:val="00492715"/>
    <w:rsid w:val="00495D34"/>
    <w:rsid w:val="0049640A"/>
    <w:rsid w:val="004A15D7"/>
    <w:rsid w:val="004A54BD"/>
    <w:rsid w:val="004A6341"/>
    <w:rsid w:val="004A6653"/>
    <w:rsid w:val="004A79F2"/>
    <w:rsid w:val="004B14E1"/>
    <w:rsid w:val="004B30AC"/>
    <w:rsid w:val="004B313A"/>
    <w:rsid w:val="004B5FBF"/>
    <w:rsid w:val="004B683D"/>
    <w:rsid w:val="004B794A"/>
    <w:rsid w:val="004B7E2C"/>
    <w:rsid w:val="004C16E7"/>
    <w:rsid w:val="004C19F5"/>
    <w:rsid w:val="004C5B9D"/>
    <w:rsid w:val="004C63F8"/>
    <w:rsid w:val="004C74E7"/>
    <w:rsid w:val="004D1983"/>
    <w:rsid w:val="004D33CC"/>
    <w:rsid w:val="004D4C1F"/>
    <w:rsid w:val="004D77EE"/>
    <w:rsid w:val="004D7907"/>
    <w:rsid w:val="004E0968"/>
    <w:rsid w:val="004E0B18"/>
    <w:rsid w:val="004E153D"/>
    <w:rsid w:val="004E2D26"/>
    <w:rsid w:val="004E3A74"/>
    <w:rsid w:val="004E3D1F"/>
    <w:rsid w:val="004E3FBD"/>
    <w:rsid w:val="004E40FF"/>
    <w:rsid w:val="004E4F2F"/>
    <w:rsid w:val="004E6091"/>
    <w:rsid w:val="004E6D93"/>
    <w:rsid w:val="004E6E40"/>
    <w:rsid w:val="004F10AE"/>
    <w:rsid w:val="004F1336"/>
    <w:rsid w:val="004F154D"/>
    <w:rsid w:val="004F1CD1"/>
    <w:rsid w:val="004F1D93"/>
    <w:rsid w:val="004F4A52"/>
    <w:rsid w:val="004F5209"/>
    <w:rsid w:val="004F763C"/>
    <w:rsid w:val="004F7FCD"/>
    <w:rsid w:val="00502035"/>
    <w:rsid w:val="0050305D"/>
    <w:rsid w:val="0050371F"/>
    <w:rsid w:val="005048B7"/>
    <w:rsid w:val="00504AA2"/>
    <w:rsid w:val="00506A9A"/>
    <w:rsid w:val="00506F33"/>
    <w:rsid w:val="005073D9"/>
    <w:rsid w:val="00510220"/>
    <w:rsid w:val="005107A0"/>
    <w:rsid w:val="005122EC"/>
    <w:rsid w:val="00512A03"/>
    <w:rsid w:val="00512DAE"/>
    <w:rsid w:val="00514798"/>
    <w:rsid w:val="00514E44"/>
    <w:rsid w:val="00517951"/>
    <w:rsid w:val="005213DA"/>
    <w:rsid w:val="005229A3"/>
    <w:rsid w:val="00522A4F"/>
    <w:rsid w:val="00522AF4"/>
    <w:rsid w:val="00522C65"/>
    <w:rsid w:val="00524B86"/>
    <w:rsid w:val="00525477"/>
    <w:rsid w:val="0052700A"/>
    <w:rsid w:val="00535D03"/>
    <w:rsid w:val="00537568"/>
    <w:rsid w:val="00540E5D"/>
    <w:rsid w:val="00541C3F"/>
    <w:rsid w:val="00542602"/>
    <w:rsid w:val="00543DEC"/>
    <w:rsid w:val="0054406B"/>
    <w:rsid w:val="00544546"/>
    <w:rsid w:val="00544E3D"/>
    <w:rsid w:val="00546231"/>
    <w:rsid w:val="00546BA9"/>
    <w:rsid w:val="00552C30"/>
    <w:rsid w:val="00553FFF"/>
    <w:rsid w:val="00554274"/>
    <w:rsid w:val="005549A6"/>
    <w:rsid w:val="0055677E"/>
    <w:rsid w:val="00556A99"/>
    <w:rsid w:val="0056041D"/>
    <w:rsid w:val="00562937"/>
    <w:rsid w:val="00563241"/>
    <w:rsid w:val="00563B2D"/>
    <w:rsid w:val="00570971"/>
    <w:rsid w:val="0057160E"/>
    <w:rsid w:val="00572027"/>
    <w:rsid w:val="005732E7"/>
    <w:rsid w:val="00573962"/>
    <w:rsid w:val="005744C9"/>
    <w:rsid w:val="00574600"/>
    <w:rsid w:val="0057646D"/>
    <w:rsid w:val="00577BFB"/>
    <w:rsid w:val="00580226"/>
    <w:rsid w:val="005863CC"/>
    <w:rsid w:val="00587089"/>
    <w:rsid w:val="00587DE6"/>
    <w:rsid w:val="0059010E"/>
    <w:rsid w:val="005926DA"/>
    <w:rsid w:val="00592DE7"/>
    <w:rsid w:val="00592FB6"/>
    <w:rsid w:val="00593198"/>
    <w:rsid w:val="00593969"/>
    <w:rsid w:val="0059423E"/>
    <w:rsid w:val="005953FD"/>
    <w:rsid w:val="00595945"/>
    <w:rsid w:val="00596BC6"/>
    <w:rsid w:val="005A06C6"/>
    <w:rsid w:val="005A6D31"/>
    <w:rsid w:val="005A7229"/>
    <w:rsid w:val="005B043F"/>
    <w:rsid w:val="005B4E4A"/>
    <w:rsid w:val="005B549E"/>
    <w:rsid w:val="005B67C6"/>
    <w:rsid w:val="005C0C4F"/>
    <w:rsid w:val="005C37CA"/>
    <w:rsid w:val="005C3820"/>
    <w:rsid w:val="005C5776"/>
    <w:rsid w:val="005C766B"/>
    <w:rsid w:val="005D26F9"/>
    <w:rsid w:val="005D2BB4"/>
    <w:rsid w:val="005D304A"/>
    <w:rsid w:val="005D3B7A"/>
    <w:rsid w:val="005D3E44"/>
    <w:rsid w:val="005D49DB"/>
    <w:rsid w:val="005D5549"/>
    <w:rsid w:val="005D6400"/>
    <w:rsid w:val="005D6B26"/>
    <w:rsid w:val="005E2830"/>
    <w:rsid w:val="005E3EB0"/>
    <w:rsid w:val="005E5048"/>
    <w:rsid w:val="005E537E"/>
    <w:rsid w:val="005E5739"/>
    <w:rsid w:val="005E6D08"/>
    <w:rsid w:val="005E7928"/>
    <w:rsid w:val="005F07AA"/>
    <w:rsid w:val="005F0EE2"/>
    <w:rsid w:val="005F3177"/>
    <w:rsid w:val="005F4662"/>
    <w:rsid w:val="005F5CAB"/>
    <w:rsid w:val="005F5F0A"/>
    <w:rsid w:val="006041A3"/>
    <w:rsid w:val="00604EC1"/>
    <w:rsid w:val="00605970"/>
    <w:rsid w:val="00605D95"/>
    <w:rsid w:val="00606E06"/>
    <w:rsid w:val="00607CA7"/>
    <w:rsid w:val="00611BED"/>
    <w:rsid w:val="00611FAC"/>
    <w:rsid w:val="00613CBC"/>
    <w:rsid w:val="00614B33"/>
    <w:rsid w:val="00617A52"/>
    <w:rsid w:val="00617CA0"/>
    <w:rsid w:val="00622C9A"/>
    <w:rsid w:val="0062586D"/>
    <w:rsid w:val="0062618F"/>
    <w:rsid w:val="006270D7"/>
    <w:rsid w:val="006276ED"/>
    <w:rsid w:val="006278B6"/>
    <w:rsid w:val="00630FE1"/>
    <w:rsid w:val="0063150A"/>
    <w:rsid w:val="006323C9"/>
    <w:rsid w:val="00632B66"/>
    <w:rsid w:val="00632CD5"/>
    <w:rsid w:val="00632FE1"/>
    <w:rsid w:val="006352F2"/>
    <w:rsid w:val="006355A8"/>
    <w:rsid w:val="006356FB"/>
    <w:rsid w:val="00637723"/>
    <w:rsid w:val="00641B01"/>
    <w:rsid w:val="0064289C"/>
    <w:rsid w:val="00643710"/>
    <w:rsid w:val="00644132"/>
    <w:rsid w:val="0064513A"/>
    <w:rsid w:val="0064590D"/>
    <w:rsid w:val="00645D7F"/>
    <w:rsid w:val="006544B2"/>
    <w:rsid w:val="00655D57"/>
    <w:rsid w:val="006601DB"/>
    <w:rsid w:val="00661E2F"/>
    <w:rsid w:val="00662FBF"/>
    <w:rsid w:val="00665138"/>
    <w:rsid w:val="0066526F"/>
    <w:rsid w:val="00665697"/>
    <w:rsid w:val="0067022E"/>
    <w:rsid w:val="0067281F"/>
    <w:rsid w:val="00672A71"/>
    <w:rsid w:val="006734BC"/>
    <w:rsid w:val="00673DDA"/>
    <w:rsid w:val="00676638"/>
    <w:rsid w:val="00677728"/>
    <w:rsid w:val="0067799D"/>
    <w:rsid w:val="0068041E"/>
    <w:rsid w:val="00681C3B"/>
    <w:rsid w:val="00681FEB"/>
    <w:rsid w:val="00683515"/>
    <w:rsid w:val="00683B27"/>
    <w:rsid w:val="0068457E"/>
    <w:rsid w:val="00686BF2"/>
    <w:rsid w:val="00687AAD"/>
    <w:rsid w:val="00693D8E"/>
    <w:rsid w:val="00695889"/>
    <w:rsid w:val="006961BD"/>
    <w:rsid w:val="006965F7"/>
    <w:rsid w:val="00697B1E"/>
    <w:rsid w:val="006A2DCB"/>
    <w:rsid w:val="006A3891"/>
    <w:rsid w:val="006B4DEC"/>
    <w:rsid w:val="006B62A7"/>
    <w:rsid w:val="006C2FA7"/>
    <w:rsid w:val="006C31E7"/>
    <w:rsid w:val="006C3E93"/>
    <w:rsid w:val="006C5ABE"/>
    <w:rsid w:val="006C5B09"/>
    <w:rsid w:val="006C5E74"/>
    <w:rsid w:val="006C6D8A"/>
    <w:rsid w:val="006D2404"/>
    <w:rsid w:val="006D2FD7"/>
    <w:rsid w:val="006D3A78"/>
    <w:rsid w:val="006D56AD"/>
    <w:rsid w:val="006D57CB"/>
    <w:rsid w:val="006D6772"/>
    <w:rsid w:val="006D7013"/>
    <w:rsid w:val="006E01CF"/>
    <w:rsid w:val="006E082F"/>
    <w:rsid w:val="006E19FE"/>
    <w:rsid w:val="006E1BA4"/>
    <w:rsid w:val="006E20F8"/>
    <w:rsid w:val="006E4207"/>
    <w:rsid w:val="006E470A"/>
    <w:rsid w:val="006E5017"/>
    <w:rsid w:val="006E5281"/>
    <w:rsid w:val="006F0289"/>
    <w:rsid w:val="006F1970"/>
    <w:rsid w:val="006F2092"/>
    <w:rsid w:val="006F47DC"/>
    <w:rsid w:val="006F54E5"/>
    <w:rsid w:val="006F5F3E"/>
    <w:rsid w:val="006F631C"/>
    <w:rsid w:val="00700167"/>
    <w:rsid w:val="00700F3B"/>
    <w:rsid w:val="00701C1C"/>
    <w:rsid w:val="00702B7E"/>
    <w:rsid w:val="00702E9A"/>
    <w:rsid w:val="00705D6D"/>
    <w:rsid w:val="0070636F"/>
    <w:rsid w:val="00706E85"/>
    <w:rsid w:val="00711962"/>
    <w:rsid w:val="007140F8"/>
    <w:rsid w:val="0071473B"/>
    <w:rsid w:val="00717803"/>
    <w:rsid w:val="007206AB"/>
    <w:rsid w:val="0072225A"/>
    <w:rsid w:val="00723496"/>
    <w:rsid w:val="00723FB6"/>
    <w:rsid w:val="00725856"/>
    <w:rsid w:val="00726A81"/>
    <w:rsid w:val="0073003C"/>
    <w:rsid w:val="007309C3"/>
    <w:rsid w:val="00730F3E"/>
    <w:rsid w:val="00734D1F"/>
    <w:rsid w:val="00735153"/>
    <w:rsid w:val="007371F3"/>
    <w:rsid w:val="007376DC"/>
    <w:rsid w:val="0074059F"/>
    <w:rsid w:val="00742B37"/>
    <w:rsid w:val="007433B9"/>
    <w:rsid w:val="00743DA4"/>
    <w:rsid w:val="007460A6"/>
    <w:rsid w:val="00746E6D"/>
    <w:rsid w:val="00747B35"/>
    <w:rsid w:val="00747E61"/>
    <w:rsid w:val="00750434"/>
    <w:rsid w:val="0075064B"/>
    <w:rsid w:val="00752A96"/>
    <w:rsid w:val="007566CB"/>
    <w:rsid w:val="00757D39"/>
    <w:rsid w:val="0076399F"/>
    <w:rsid w:val="00764AF3"/>
    <w:rsid w:val="00764B61"/>
    <w:rsid w:val="00764F58"/>
    <w:rsid w:val="0076746D"/>
    <w:rsid w:val="007674D4"/>
    <w:rsid w:val="0077090B"/>
    <w:rsid w:val="00770C74"/>
    <w:rsid w:val="00772074"/>
    <w:rsid w:val="00774299"/>
    <w:rsid w:val="007743B8"/>
    <w:rsid w:val="00774683"/>
    <w:rsid w:val="00775A30"/>
    <w:rsid w:val="00775AFE"/>
    <w:rsid w:val="0077768E"/>
    <w:rsid w:val="00780034"/>
    <w:rsid w:val="0078038B"/>
    <w:rsid w:val="007817EC"/>
    <w:rsid w:val="00781C74"/>
    <w:rsid w:val="00782D42"/>
    <w:rsid w:val="00783973"/>
    <w:rsid w:val="007846B4"/>
    <w:rsid w:val="00785750"/>
    <w:rsid w:val="00785961"/>
    <w:rsid w:val="00786AEA"/>
    <w:rsid w:val="0079065F"/>
    <w:rsid w:val="007926B0"/>
    <w:rsid w:val="0079386A"/>
    <w:rsid w:val="00797F9C"/>
    <w:rsid w:val="007A1730"/>
    <w:rsid w:val="007A204D"/>
    <w:rsid w:val="007A2462"/>
    <w:rsid w:val="007A45A9"/>
    <w:rsid w:val="007A5D40"/>
    <w:rsid w:val="007A6172"/>
    <w:rsid w:val="007A6EE1"/>
    <w:rsid w:val="007A7D29"/>
    <w:rsid w:val="007B1BC5"/>
    <w:rsid w:val="007B2E18"/>
    <w:rsid w:val="007B2EAD"/>
    <w:rsid w:val="007B330D"/>
    <w:rsid w:val="007B45BA"/>
    <w:rsid w:val="007B4750"/>
    <w:rsid w:val="007B5E5F"/>
    <w:rsid w:val="007B7F4D"/>
    <w:rsid w:val="007B7F9E"/>
    <w:rsid w:val="007C010E"/>
    <w:rsid w:val="007C2D1D"/>
    <w:rsid w:val="007C4351"/>
    <w:rsid w:val="007C480D"/>
    <w:rsid w:val="007C5AB3"/>
    <w:rsid w:val="007C6BF9"/>
    <w:rsid w:val="007D3959"/>
    <w:rsid w:val="007D4CB3"/>
    <w:rsid w:val="007D5B5B"/>
    <w:rsid w:val="007D62E4"/>
    <w:rsid w:val="007D6545"/>
    <w:rsid w:val="007D7E28"/>
    <w:rsid w:val="007E0298"/>
    <w:rsid w:val="007E339D"/>
    <w:rsid w:val="007E3A0A"/>
    <w:rsid w:val="007E6693"/>
    <w:rsid w:val="007E7C10"/>
    <w:rsid w:val="007F0C55"/>
    <w:rsid w:val="007F15AB"/>
    <w:rsid w:val="007F168F"/>
    <w:rsid w:val="007F2D97"/>
    <w:rsid w:val="007F3C4D"/>
    <w:rsid w:val="007F400D"/>
    <w:rsid w:val="007F4802"/>
    <w:rsid w:val="007F64C0"/>
    <w:rsid w:val="007F7AE7"/>
    <w:rsid w:val="0080328C"/>
    <w:rsid w:val="00806DA0"/>
    <w:rsid w:val="00807B55"/>
    <w:rsid w:val="00815B9D"/>
    <w:rsid w:val="00815E85"/>
    <w:rsid w:val="008177E0"/>
    <w:rsid w:val="00817C0E"/>
    <w:rsid w:val="00821704"/>
    <w:rsid w:val="00821AB5"/>
    <w:rsid w:val="00824657"/>
    <w:rsid w:val="00824B85"/>
    <w:rsid w:val="00825463"/>
    <w:rsid w:val="008264B0"/>
    <w:rsid w:val="00827C55"/>
    <w:rsid w:val="008311E8"/>
    <w:rsid w:val="00833373"/>
    <w:rsid w:val="00835E78"/>
    <w:rsid w:val="00836B7B"/>
    <w:rsid w:val="00836CD8"/>
    <w:rsid w:val="00836DC9"/>
    <w:rsid w:val="00836E40"/>
    <w:rsid w:val="00837D83"/>
    <w:rsid w:val="00840354"/>
    <w:rsid w:val="00841C1B"/>
    <w:rsid w:val="00847385"/>
    <w:rsid w:val="00847989"/>
    <w:rsid w:val="00847C55"/>
    <w:rsid w:val="00852784"/>
    <w:rsid w:val="00854D19"/>
    <w:rsid w:val="00854E69"/>
    <w:rsid w:val="008551E8"/>
    <w:rsid w:val="00857758"/>
    <w:rsid w:val="00860E8D"/>
    <w:rsid w:val="00861AA0"/>
    <w:rsid w:val="00861AE3"/>
    <w:rsid w:val="00862053"/>
    <w:rsid w:val="00862056"/>
    <w:rsid w:val="00862155"/>
    <w:rsid w:val="0086291D"/>
    <w:rsid w:val="00863C32"/>
    <w:rsid w:val="008644F5"/>
    <w:rsid w:val="00872BCD"/>
    <w:rsid w:val="00876B59"/>
    <w:rsid w:val="00877605"/>
    <w:rsid w:val="0088011B"/>
    <w:rsid w:val="0088086E"/>
    <w:rsid w:val="008833B0"/>
    <w:rsid w:val="008836FB"/>
    <w:rsid w:val="00885570"/>
    <w:rsid w:val="0089017B"/>
    <w:rsid w:val="00892A63"/>
    <w:rsid w:val="0089481D"/>
    <w:rsid w:val="00897CD9"/>
    <w:rsid w:val="00897E54"/>
    <w:rsid w:val="008A32B4"/>
    <w:rsid w:val="008A3425"/>
    <w:rsid w:val="008A3839"/>
    <w:rsid w:val="008A4C6A"/>
    <w:rsid w:val="008A6385"/>
    <w:rsid w:val="008A69B1"/>
    <w:rsid w:val="008A7685"/>
    <w:rsid w:val="008A7DF7"/>
    <w:rsid w:val="008B0CF7"/>
    <w:rsid w:val="008B1654"/>
    <w:rsid w:val="008B1790"/>
    <w:rsid w:val="008B2029"/>
    <w:rsid w:val="008B50C4"/>
    <w:rsid w:val="008B57A5"/>
    <w:rsid w:val="008B58E5"/>
    <w:rsid w:val="008C0D91"/>
    <w:rsid w:val="008C656B"/>
    <w:rsid w:val="008D00E8"/>
    <w:rsid w:val="008D28C8"/>
    <w:rsid w:val="008D4F69"/>
    <w:rsid w:val="008D5CD6"/>
    <w:rsid w:val="008D758E"/>
    <w:rsid w:val="008D7785"/>
    <w:rsid w:val="008D7BE0"/>
    <w:rsid w:val="008D7D7D"/>
    <w:rsid w:val="008E23C5"/>
    <w:rsid w:val="008E3508"/>
    <w:rsid w:val="008E4302"/>
    <w:rsid w:val="008E45F9"/>
    <w:rsid w:val="008F2315"/>
    <w:rsid w:val="008F2FDC"/>
    <w:rsid w:val="008F5E60"/>
    <w:rsid w:val="008F6269"/>
    <w:rsid w:val="00902803"/>
    <w:rsid w:val="00904FA6"/>
    <w:rsid w:val="0090541C"/>
    <w:rsid w:val="00912E39"/>
    <w:rsid w:val="009144D2"/>
    <w:rsid w:val="00915363"/>
    <w:rsid w:val="009153BA"/>
    <w:rsid w:val="00916B70"/>
    <w:rsid w:val="00917244"/>
    <w:rsid w:val="0091756C"/>
    <w:rsid w:val="0092213C"/>
    <w:rsid w:val="00922354"/>
    <w:rsid w:val="009236E5"/>
    <w:rsid w:val="00923EB3"/>
    <w:rsid w:val="00923F8C"/>
    <w:rsid w:val="00925D44"/>
    <w:rsid w:val="00930453"/>
    <w:rsid w:val="009353D6"/>
    <w:rsid w:val="00936E07"/>
    <w:rsid w:val="00936FC4"/>
    <w:rsid w:val="00940734"/>
    <w:rsid w:val="00942255"/>
    <w:rsid w:val="00942C23"/>
    <w:rsid w:val="009444E1"/>
    <w:rsid w:val="00944A76"/>
    <w:rsid w:val="009458F0"/>
    <w:rsid w:val="009466DC"/>
    <w:rsid w:val="00947A28"/>
    <w:rsid w:val="00950899"/>
    <w:rsid w:val="00952372"/>
    <w:rsid w:val="00952618"/>
    <w:rsid w:val="00952B51"/>
    <w:rsid w:val="00953AD0"/>
    <w:rsid w:val="00953F90"/>
    <w:rsid w:val="0095477A"/>
    <w:rsid w:val="009565F8"/>
    <w:rsid w:val="00960E86"/>
    <w:rsid w:val="0096678A"/>
    <w:rsid w:val="0096691E"/>
    <w:rsid w:val="00967CA4"/>
    <w:rsid w:val="0097199B"/>
    <w:rsid w:val="00971B7C"/>
    <w:rsid w:val="00972C59"/>
    <w:rsid w:val="00972DC7"/>
    <w:rsid w:val="009744CA"/>
    <w:rsid w:val="009757D8"/>
    <w:rsid w:val="009767F1"/>
    <w:rsid w:val="00977ACB"/>
    <w:rsid w:val="0098139D"/>
    <w:rsid w:val="00981747"/>
    <w:rsid w:val="00982253"/>
    <w:rsid w:val="009823E4"/>
    <w:rsid w:val="009828C2"/>
    <w:rsid w:val="00983080"/>
    <w:rsid w:val="00983D7D"/>
    <w:rsid w:val="0098485D"/>
    <w:rsid w:val="00985B89"/>
    <w:rsid w:val="009870C2"/>
    <w:rsid w:val="00990A34"/>
    <w:rsid w:val="009912EA"/>
    <w:rsid w:val="0099141C"/>
    <w:rsid w:val="00992011"/>
    <w:rsid w:val="009927C3"/>
    <w:rsid w:val="00992C54"/>
    <w:rsid w:val="00995418"/>
    <w:rsid w:val="009957A5"/>
    <w:rsid w:val="009964B8"/>
    <w:rsid w:val="009A270B"/>
    <w:rsid w:val="009A2C27"/>
    <w:rsid w:val="009A3967"/>
    <w:rsid w:val="009B10C7"/>
    <w:rsid w:val="009B2C63"/>
    <w:rsid w:val="009B2CAE"/>
    <w:rsid w:val="009B3277"/>
    <w:rsid w:val="009B394B"/>
    <w:rsid w:val="009B4A42"/>
    <w:rsid w:val="009B4ACD"/>
    <w:rsid w:val="009B4FC1"/>
    <w:rsid w:val="009B5E99"/>
    <w:rsid w:val="009B684A"/>
    <w:rsid w:val="009B73A2"/>
    <w:rsid w:val="009B7D9C"/>
    <w:rsid w:val="009C078A"/>
    <w:rsid w:val="009C0891"/>
    <w:rsid w:val="009C0D3E"/>
    <w:rsid w:val="009C1041"/>
    <w:rsid w:val="009C17F0"/>
    <w:rsid w:val="009C251A"/>
    <w:rsid w:val="009C39B6"/>
    <w:rsid w:val="009C59D4"/>
    <w:rsid w:val="009C71D0"/>
    <w:rsid w:val="009C728E"/>
    <w:rsid w:val="009C76B4"/>
    <w:rsid w:val="009D122B"/>
    <w:rsid w:val="009D537E"/>
    <w:rsid w:val="009D5A32"/>
    <w:rsid w:val="009D5D52"/>
    <w:rsid w:val="009D606B"/>
    <w:rsid w:val="009E1C90"/>
    <w:rsid w:val="009E3123"/>
    <w:rsid w:val="009E3AA1"/>
    <w:rsid w:val="009E4CC6"/>
    <w:rsid w:val="009E5C04"/>
    <w:rsid w:val="009E5F5D"/>
    <w:rsid w:val="009E6440"/>
    <w:rsid w:val="009E7A6E"/>
    <w:rsid w:val="009F15E8"/>
    <w:rsid w:val="009F184B"/>
    <w:rsid w:val="009F30AF"/>
    <w:rsid w:val="009F572C"/>
    <w:rsid w:val="009F636B"/>
    <w:rsid w:val="009F6590"/>
    <w:rsid w:val="009F6643"/>
    <w:rsid w:val="00A007D5"/>
    <w:rsid w:val="00A00815"/>
    <w:rsid w:val="00A009FD"/>
    <w:rsid w:val="00A00C8B"/>
    <w:rsid w:val="00A02E76"/>
    <w:rsid w:val="00A03B1E"/>
    <w:rsid w:val="00A0549B"/>
    <w:rsid w:val="00A074BB"/>
    <w:rsid w:val="00A07BE0"/>
    <w:rsid w:val="00A11CF7"/>
    <w:rsid w:val="00A13F31"/>
    <w:rsid w:val="00A14018"/>
    <w:rsid w:val="00A15A77"/>
    <w:rsid w:val="00A2147E"/>
    <w:rsid w:val="00A218BF"/>
    <w:rsid w:val="00A23CF2"/>
    <w:rsid w:val="00A249BA"/>
    <w:rsid w:val="00A2589E"/>
    <w:rsid w:val="00A26569"/>
    <w:rsid w:val="00A26648"/>
    <w:rsid w:val="00A271AC"/>
    <w:rsid w:val="00A32608"/>
    <w:rsid w:val="00A32DCB"/>
    <w:rsid w:val="00A341BF"/>
    <w:rsid w:val="00A34421"/>
    <w:rsid w:val="00A35031"/>
    <w:rsid w:val="00A35777"/>
    <w:rsid w:val="00A36DB8"/>
    <w:rsid w:val="00A3774E"/>
    <w:rsid w:val="00A37A96"/>
    <w:rsid w:val="00A4079B"/>
    <w:rsid w:val="00A43259"/>
    <w:rsid w:val="00A4499D"/>
    <w:rsid w:val="00A52C4F"/>
    <w:rsid w:val="00A5352F"/>
    <w:rsid w:val="00A54D6B"/>
    <w:rsid w:val="00A5577E"/>
    <w:rsid w:val="00A563AC"/>
    <w:rsid w:val="00A5726B"/>
    <w:rsid w:val="00A6026A"/>
    <w:rsid w:val="00A6175D"/>
    <w:rsid w:val="00A61793"/>
    <w:rsid w:val="00A65045"/>
    <w:rsid w:val="00A66A75"/>
    <w:rsid w:val="00A67201"/>
    <w:rsid w:val="00A707EA"/>
    <w:rsid w:val="00A72309"/>
    <w:rsid w:val="00A7259F"/>
    <w:rsid w:val="00A736B6"/>
    <w:rsid w:val="00A74278"/>
    <w:rsid w:val="00A747BC"/>
    <w:rsid w:val="00A75378"/>
    <w:rsid w:val="00A76636"/>
    <w:rsid w:val="00A77C43"/>
    <w:rsid w:val="00A8227D"/>
    <w:rsid w:val="00A83EE4"/>
    <w:rsid w:val="00A87E60"/>
    <w:rsid w:val="00A90272"/>
    <w:rsid w:val="00A913B0"/>
    <w:rsid w:val="00A91BC6"/>
    <w:rsid w:val="00A91C12"/>
    <w:rsid w:val="00A94678"/>
    <w:rsid w:val="00A94DAB"/>
    <w:rsid w:val="00A95D38"/>
    <w:rsid w:val="00A965D4"/>
    <w:rsid w:val="00A97865"/>
    <w:rsid w:val="00AA17E7"/>
    <w:rsid w:val="00AA18C0"/>
    <w:rsid w:val="00AA2436"/>
    <w:rsid w:val="00AA2CEF"/>
    <w:rsid w:val="00AA31FB"/>
    <w:rsid w:val="00AA3973"/>
    <w:rsid w:val="00AA3F88"/>
    <w:rsid w:val="00AA494C"/>
    <w:rsid w:val="00AA4A6E"/>
    <w:rsid w:val="00AA52C1"/>
    <w:rsid w:val="00AA57F7"/>
    <w:rsid w:val="00AA6A06"/>
    <w:rsid w:val="00AA6B06"/>
    <w:rsid w:val="00AB069B"/>
    <w:rsid w:val="00AB0F9A"/>
    <w:rsid w:val="00AB1203"/>
    <w:rsid w:val="00AB4160"/>
    <w:rsid w:val="00AB5A94"/>
    <w:rsid w:val="00AB709D"/>
    <w:rsid w:val="00AC0D58"/>
    <w:rsid w:val="00AC116F"/>
    <w:rsid w:val="00AC1212"/>
    <w:rsid w:val="00AC2C0B"/>
    <w:rsid w:val="00AC79B5"/>
    <w:rsid w:val="00AD2AD1"/>
    <w:rsid w:val="00AD5AB3"/>
    <w:rsid w:val="00AD733C"/>
    <w:rsid w:val="00AD76C3"/>
    <w:rsid w:val="00AE1781"/>
    <w:rsid w:val="00AE1954"/>
    <w:rsid w:val="00AE26FF"/>
    <w:rsid w:val="00AE3453"/>
    <w:rsid w:val="00AE3794"/>
    <w:rsid w:val="00AE3978"/>
    <w:rsid w:val="00AE4EF5"/>
    <w:rsid w:val="00AE5752"/>
    <w:rsid w:val="00AE6B7C"/>
    <w:rsid w:val="00AE6BA1"/>
    <w:rsid w:val="00AE79C8"/>
    <w:rsid w:val="00AF1F9B"/>
    <w:rsid w:val="00AF38EE"/>
    <w:rsid w:val="00AF41A4"/>
    <w:rsid w:val="00AF4FCC"/>
    <w:rsid w:val="00AF514D"/>
    <w:rsid w:val="00B01FDE"/>
    <w:rsid w:val="00B028F9"/>
    <w:rsid w:val="00B050CC"/>
    <w:rsid w:val="00B05844"/>
    <w:rsid w:val="00B07BC2"/>
    <w:rsid w:val="00B07D03"/>
    <w:rsid w:val="00B13817"/>
    <w:rsid w:val="00B1381E"/>
    <w:rsid w:val="00B1422F"/>
    <w:rsid w:val="00B1475D"/>
    <w:rsid w:val="00B17F47"/>
    <w:rsid w:val="00B20254"/>
    <w:rsid w:val="00B211E7"/>
    <w:rsid w:val="00B26FB0"/>
    <w:rsid w:val="00B32930"/>
    <w:rsid w:val="00B33D33"/>
    <w:rsid w:val="00B34576"/>
    <w:rsid w:val="00B35D18"/>
    <w:rsid w:val="00B35D29"/>
    <w:rsid w:val="00B3699F"/>
    <w:rsid w:val="00B36EB0"/>
    <w:rsid w:val="00B373A0"/>
    <w:rsid w:val="00B4272C"/>
    <w:rsid w:val="00B453D3"/>
    <w:rsid w:val="00B45574"/>
    <w:rsid w:val="00B455F1"/>
    <w:rsid w:val="00B46D49"/>
    <w:rsid w:val="00B54485"/>
    <w:rsid w:val="00B54B75"/>
    <w:rsid w:val="00B55031"/>
    <w:rsid w:val="00B551B4"/>
    <w:rsid w:val="00B56E18"/>
    <w:rsid w:val="00B57673"/>
    <w:rsid w:val="00B616F0"/>
    <w:rsid w:val="00B62295"/>
    <w:rsid w:val="00B6246E"/>
    <w:rsid w:val="00B62611"/>
    <w:rsid w:val="00B63D04"/>
    <w:rsid w:val="00B6528E"/>
    <w:rsid w:val="00B66C84"/>
    <w:rsid w:val="00B6702F"/>
    <w:rsid w:val="00B67C68"/>
    <w:rsid w:val="00B70FD8"/>
    <w:rsid w:val="00B7160F"/>
    <w:rsid w:val="00B744E6"/>
    <w:rsid w:val="00B7498C"/>
    <w:rsid w:val="00B76C3E"/>
    <w:rsid w:val="00B76F46"/>
    <w:rsid w:val="00B77C1D"/>
    <w:rsid w:val="00B80C9C"/>
    <w:rsid w:val="00B828FB"/>
    <w:rsid w:val="00B82EC0"/>
    <w:rsid w:val="00B873A0"/>
    <w:rsid w:val="00B917E9"/>
    <w:rsid w:val="00B92A5C"/>
    <w:rsid w:val="00B935E4"/>
    <w:rsid w:val="00B93A83"/>
    <w:rsid w:val="00B949C2"/>
    <w:rsid w:val="00B951DF"/>
    <w:rsid w:val="00B97BFC"/>
    <w:rsid w:val="00BA10B8"/>
    <w:rsid w:val="00BA1F8F"/>
    <w:rsid w:val="00BA39C3"/>
    <w:rsid w:val="00BA57CB"/>
    <w:rsid w:val="00BA5FED"/>
    <w:rsid w:val="00BA65EF"/>
    <w:rsid w:val="00BA7DC3"/>
    <w:rsid w:val="00BB0DB5"/>
    <w:rsid w:val="00BB4769"/>
    <w:rsid w:val="00BB55D2"/>
    <w:rsid w:val="00BB5614"/>
    <w:rsid w:val="00BB6A81"/>
    <w:rsid w:val="00BB7D12"/>
    <w:rsid w:val="00BC5170"/>
    <w:rsid w:val="00BC6AAF"/>
    <w:rsid w:val="00BC7B91"/>
    <w:rsid w:val="00BD23DE"/>
    <w:rsid w:val="00BD30D1"/>
    <w:rsid w:val="00BD567F"/>
    <w:rsid w:val="00BD65A2"/>
    <w:rsid w:val="00BE27E3"/>
    <w:rsid w:val="00BE2B27"/>
    <w:rsid w:val="00BE3B65"/>
    <w:rsid w:val="00BE4784"/>
    <w:rsid w:val="00BE4CF1"/>
    <w:rsid w:val="00BE5E3E"/>
    <w:rsid w:val="00BE670F"/>
    <w:rsid w:val="00BE7C9A"/>
    <w:rsid w:val="00BF1610"/>
    <w:rsid w:val="00BF17F7"/>
    <w:rsid w:val="00BF19CA"/>
    <w:rsid w:val="00BF291A"/>
    <w:rsid w:val="00BF2C12"/>
    <w:rsid w:val="00BF3CC8"/>
    <w:rsid w:val="00BF40A9"/>
    <w:rsid w:val="00BF6D57"/>
    <w:rsid w:val="00BF7189"/>
    <w:rsid w:val="00BF7A90"/>
    <w:rsid w:val="00C01621"/>
    <w:rsid w:val="00C02043"/>
    <w:rsid w:val="00C02C45"/>
    <w:rsid w:val="00C02F7C"/>
    <w:rsid w:val="00C0420D"/>
    <w:rsid w:val="00C0489E"/>
    <w:rsid w:val="00C059D9"/>
    <w:rsid w:val="00C07BFD"/>
    <w:rsid w:val="00C10272"/>
    <w:rsid w:val="00C136DD"/>
    <w:rsid w:val="00C15E65"/>
    <w:rsid w:val="00C16571"/>
    <w:rsid w:val="00C21145"/>
    <w:rsid w:val="00C22337"/>
    <w:rsid w:val="00C22FA8"/>
    <w:rsid w:val="00C22FC1"/>
    <w:rsid w:val="00C23537"/>
    <w:rsid w:val="00C241F9"/>
    <w:rsid w:val="00C24BBD"/>
    <w:rsid w:val="00C24C4C"/>
    <w:rsid w:val="00C2528A"/>
    <w:rsid w:val="00C25AC5"/>
    <w:rsid w:val="00C27257"/>
    <w:rsid w:val="00C272BF"/>
    <w:rsid w:val="00C30C2B"/>
    <w:rsid w:val="00C30C3A"/>
    <w:rsid w:val="00C3174D"/>
    <w:rsid w:val="00C3204E"/>
    <w:rsid w:val="00C32187"/>
    <w:rsid w:val="00C330ED"/>
    <w:rsid w:val="00C34852"/>
    <w:rsid w:val="00C350AF"/>
    <w:rsid w:val="00C4130F"/>
    <w:rsid w:val="00C413F4"/>
    <w:rsid w:val="00C42230"/>
    <w:rsid w:val="00C423A0"/>
    <w:rsid w:val="00C427F0"/>
    <w:rsid w:val="00C42A6B"/>
    <w:rsid w:val="00C44AD6"/>
    <w:rsid w:val="00C45BE6"/>
    <w:rsid w:val="00C46B85"/>
    <w:rsid w:val="00C47E06"/>
    <w:rsid w:val="00C504DC"/>
    <w:rsid w:val="00C52311"/>
    <w:rsid w:val="00C60DB8"/>
    <w:rsid w:val="00C61071"/>
    <w:rsid w:val="00C61164"/>
    <w:rsid w:val="00C61E3B"/>
    <w:rsid w:val="00C6682F"/>
    <w:rsid w:val="00C670C2"/>
    <w:rsid w:val="00C67422"/>
    <w:rsid w:val="00C72920"/>
    <w:rsid w:val="00C733BA"/>
    <w:rsid w:val="00C7476F"/>
    <w:rsid w:val="00C77FE5"/>
    <w:rsid w:val="00C815B8"/>
    <w:rsid w:val="00C8317F"/>
    <w:rsid w:val="00C8446C"/>
    <w:rsid w:val="00C85C67"/>
    <w:rsid w:val="00C866CC"/>
    <w:rsid w:val="00C86DB0"/>
    <w:rsid w:val="00C874C0"/>
    <w:rsid w:val="00C8776F"/>
    <w:rsid w:val="00C87D8E"/>
    <w:rsid w:val="00C903E3"/>
    <w:rsid w:val="00C91014"/>
    <w:rsid w:val="00C91565"/>
    <w:rsid w:val="00C919B9"/>
    <w:rsid w:val="00C93080"/>
    <w:rsid w:val="00C97BDA"/>
    <w:rsid w:val="00CA1EE5"/>
    <w:rsid w:val="00CA474D"/>
    <w:rsid w:val="00CA4CFB"/>
    <w:rsid w:val="00CA4E90"/>
    <w:rsid w:val="00CA634E"/>
    <w:rsid w:val="00CA6917"/>
    <w:rsid w:val="00CA7AB7"/>
    <w:rsid w:val="00CA7CDD"/>
    <w:rsid w:val="00CA7D3F"/>
    <w:rsid w:val="00CA7E7C"/>
    <w:rsid w:val="00CB0C73"/>
    <w:rsid w:val="00CB3F14"/>
    <w:rsid w:val="00CB454E"/>
    <w:rsid w:val="00CB5974"/>
    <w:rsid w:val="00CB59EE"/>
    <w:rsid w:val="00CB5B0D"/>
    <w:rsid w:val="00CB6B8C"/>
    <w:rsid w:val="00CB6EE1"/>
    <w:rsid w:val="00CC0994"/>
    <w:rsid w:val="00CC1321"/>
    <w:rsid w:val="00CC1E25"/>
    <w:rsid w:val="00CC1F97"/>
    <w:rsid w:val="00CC3B9F"/>
    <w:rsid w:val="00CC42DE"/>
    <w:rsid w:val="00CC43B8"/>
    <w:rsid w:val="00CC4701"/>
    <w:rsid w:val="00CC4746"/>
    <w:rsid w:val="00CC5548"/>
    <w:rsid w:val="00CC7AA6"/>
    <w:rsid w:val="00CD0069"/>
    <w:rsid w:val="00CD1C15"/>
    <w:rsid w:val="00CD33BE"/>
    <w:rsid w:val="00CD3D45"/>
    <w:rsid w:val="00CD5A21"/>
    <w:rsid w:val="00CD6221"/>
    <w:rsid w:val="00CD645E"/>
    <w:rsid w:val="00CD6816"/>
    <w:rsid w:val="00CD71FA"/>
    <w:rsid w:val="00CE111D"/>
    <w:rsid w:val="00CE1E2D"/>
    <w:rsid w:val="00CE1FFD"/>
    <w:rsid w:val="00CE21A0"/>
    <w:rsid w:val="00CE56FE"/>
    <w:rsid w:val="00CE5B0D"/>
    <w:rsid w:val="00CE7D13"/>
    <w:rsid w:val="00CF0145"/>
    <w:rsid w:val="00CF218C"/>
    <w:rsid w:val="00CF337B"/>
    <w:rsid w:val="00CF4FBB"/>
    <w:rsid w:val="00CF75D4"/>
    <w:rsid w:val="00D03112"/>
    <w:rsid w:val="00D0330D"/>
    <w:rsid w:val="00D036B9"/>
    <w:rsid w:val="00D04553"/>
    <w:rsid w:val="00D0577B"/>
    <w:rsid w:val="00D07D4B"/>
    <w:rsid w:val="00D10131"/>
    <w:rsid w:val="00D132D8"/>
    <w:rsid w:val="00D13517"/>
    <w:rsid w:val="00D149D1"/>
    <w:rsid w:val="00D16A38"/>
    <w:rsid w:val="00D17C3B"/>
    <w:rsid w:val="00D17D27"/>
    <w:rsid w:val="00D20C69"/>
    <w:rsid w:val="00D220A3"/>
    <w:rsid w:val="00D237B8"/>
    <w:rsid w:val="00D23BB7"/>
    <w:rsid w:val="00D2407E"/>
    <w:rsid w:val="00D24A40"/>
    <w:rsid w:val="00D27D83"/>
    <w:rsid w:val="00D3107A"/>
    <w:rsid w:val="00D3290D"/>
    <w:rsid w:val="00D329F2"/>
    <w:rsid w:val="00D33A7A"/>
    <w:rsid w:val="00D33D9C"/>
    <w:rsid w:val="00D34668"/>
    <w:rsid w:val="00D35E28"/>
    <w:rsid w:val="00D41103"/>
    <w:rsid w:val="00D4338A"/>
    <w:rsid w:val="00D455DA"/>
    <w:rsid w:val="00D4638B"/>
    <w:rsid w:val="00D46ABB"/>
    <w:rsid w:val="00D47073"/>
    <w:rsid w:val="00D5057A"/>
    <w:rsid w:val="00D510A7"/>
    <w:rsid w:val="00D521B5"/>
    <w:rsid w:val="00D5539E"/>
    <w:rsid w:val="00D571C9"/>
    <w:rsid w:val="00D60249"/>
    <w:rsid w:val="00D603CD"/>
    <w:rsid w:val="00D61229"/>
    <w:rsid w:val="00D6149B"/>
    <w:rsid w:val="00D61E59"/>
    <w:rsid w:val="00D62655"/>
    <w:rsid w:val="00D62C3B"/>
    <w:rsid w:val="00D6382E"/>
    <w:rsid w:val="00D63CDF"/>
    <w:rsid w:val="00D64A44"/>
    <w:rsid w:val="00D65D73"/>
    <w:rsid w:val="00D72EFA"/>
    <w:rsid w:val="00D7359E"/>
    <w:rsid w:val="00D76DB0"/>
    <w:rsid w:val="00D80421"/>
    <w:rsid w:val="00D804B3"/>
    <w:rsid w:val="00D81085"/>
    <w:rsid w:val="00D823D9"/>
    <w:rsid w:val="00D825EA"/>
    <w:rsid w:val="00D827C0"/>
    <w:rsid w:val="00D9170C"/>
    <w:rsid w:val="00D929C1"/>
    <w:rsid w:val="00D92EF1"/>
    <w:rsid w:val="00D93782"/>
    <w:rsid w:val="00D9388B"/>
    <w:rsid w:val="00D9392A"/>
    <w:rsid w:val="00D93E3E"/>
    <w:rsid w:val="00D94817"/>
    <w:rsid w:val="00D94853"/>
    <w:rsid w:val="00D9547E"/>
    <w:rsid w:val="00D95745"/>
    <w:rsid w:val="00D9710F"/>
    <w:rsid w:val="00DA097A"/>
    <w:rsid w:val="00DA1650"/>
    <w:rsid w:val="00DA2B97"/>
    <w:rsid w:val="00DA3080"/>
    <w:rsid w:val="00DA3DF8"/>
    <w:rsid w:val="00DA4097"/>
    <w:rsid w:val="00DA507E"/>
    <w:rsid w:val="00DA67A8"/>
    <w:rsid w:val="00DA6F66"/>
    <w:rsid w:val="00DB0884"/>
    <w:rsid w:val="00DB205A"/>
    <w:rsid w:val="00DB20A2"/>
    <w:rsid w:val="00DB45AB"/>
    <w:rsid w:val="00DB5593"/>
    <w:rsid w:val="00DB5656"/>
    <w:rsid w:val="00DC0842"/>
    <w:rsid w:val="00DC105A"/>
    <w:rsid w:val="00DC1591"/>
    <w:rsid w:val="00DC6B5A"/>
    <w:rsid w:val="00DD1206"/>
    <w:rsid w:val="00DD2FB1"/>
    <w:rsid w:val="00DD659F"/>
    <w:rsid w:val="00DD66BF"/>
    <w:rsid w:val="00DD69E9"/>
    <w:rsid w:val="00DD6A95"/>
    <w:rsid w:val="00DD6DAC"/>
    <w:rsid w:val="00DE1C29"/>
    <w:rsid w:val="00DE1D61"/>
    <w:rsid w:val="00DE245C"/>
    <w:rsid w:val="00DE42B4"/>
    <w:rsid w:val="00DE434E"/>
    <w:rsid w:val="00DE509B"/>
    <w:rsid w:val="00DE5CF2"/>
    <w:rsid w:val="00DE60B9"/>
    <w:rsid w:val="00DE6FC0"/>
    <w:rsid w:val="00DF0971"/>
    <w:rsid w:val="00DF1003"/>
    <w:rsid w:val="00DF1167"/>
    <w:rsid w:val="00E01DD2"/>
    <w:rsid w:val="00E02538"/>
    <w:rsid w:val="00E0359B"/>
    <w:rsid w:val="00E04E1D"/>
    <w:rsid w:val="00E07400"/>
    <w:rsid w:val="00E077F0"/>
    <w:rsid w:val="00E10126"/>
    <w:rsid w:val="00E11571"/>
    <w:rsid w:val="00E12345"/>
    <w:rsid w:val="00E16C4A"/>
    <w:rsid w:val="00E16F67"/>
    <w:rsid w:val="00E20E0B"/>
    <w:rsid w:val="00E22D08"/>
    <w:rsid w:val="00E26093"/>
    <w:rsid w:val="00E303EA"/>
    <w:rsid w:val="00E32AEE"/>
    <w:rsid w:val="00E32F7F"/>
    <w:rsid w:val="00E33087"/>
    <w:rsid w:val="00E37E6A"/>
    <w:rsid w:val="00E40466"/>
    <w:rsid w:val="00E41835"/>
    <w:rsid w:val="00E41F2F"/>
    <w:rsid w:val="00E42DB4"/>
    <w:rsid w:val="00E43EE7"/>
    <w:rsid w:val="00E479E2"/>
    <w:rsid w:val="00E5090A"/>
    <w:rsid w:val="00E51E85"/>
    <w:rsid w:val="00E52F1B"/>
    <w:rsid w:val="00E53120"/>
    <w:rsid w:val="00E55412"/>
    <w:rsid w:val="00E563E7"/>
    <w:rsid w:val="00E57417"/>
    <w:rsid w:val="00E61560"/>
    <w:rsid w:val="00E62C1A"/>
    <w:rsid w:val="00E641AE"/>
    <w:rsid w:val="00E64288"/>
    <w:rsid w:val="00E646A5"/>
    <w:rsid w:val="00E6685C"/>
    <w:rsid w:val="00E6736F"/>
    <w:rsid w:val="00E67C8F"/>
    <w:rsid w:val="00E67CD0"/>
    <w:rsid w:val="00E716AA"/>
    <w:rsid w:val="00E717CF"/>
    <w:rsid w:val="00E717FC"/>
    <w:rsid w:val="00E718B1"/>
    <w:rsid w:val="00E744E6"/>
    <w:rsid w:val="00E7540F"/>
    <w:rsid w:val="00E768BE"/>
    <w:rsid w:val="00E76DBF"/>
    <w:rsid w:val="00E801F9"/>
    <w:rsid w:val="00E81288"/>
    <w:rsid w:val="00E819CE"/>
    <w:rsid w:val="00E8319F"/>
    <w:rsid w:val="00E85659"/>
    <w:rsid w:val="00E85905"/>
    <w:rsid w:val="00E85FD5"/>
    <w:rsid w:val="00E86BE6"/>
    <w:rsid w:val="00E87D30"/>
    <w:rsid w:val="00E91DFE"/>
    <w:rsid w:val="00E932C5"/>
    <w:rsid w:val="00E950FF"/>
    <w:rsid w:val="00E95975"/>
    <w:rsid w:val="00E964E6"/>
    <w:rsid w:val="00E978B3"/>
    <w:rsid w:val="00EA2421"/>
    <w:rsid w:val="00EA2A53"/>
    <w:rsid w:val="00EA2D4B"/>
    <w:rsid w:val="00EA5A46"/>
    <w:rsid w:val="00EA67D4"/>
    <w:rsid w:val="00EA7973"/>
    <w:rsid w:val="00EA7DF6"/>
    <w:rsid w:val="00EA7F20"/>
    <w:rsid w:val="00EB00D8"/>
    <w:rsid w:val="00EB3311"/>
    <w:rsid w:val="00EB6B20"/>
    <w:rsid w:val="00EB7CD6"/>
    <w:rsid w:val="00EC165D"/>
    <w:rsid w:val="00EC23D8"/>
    <w:rsid w:val="00EC4485"/>
    <w:rsid w:val="00EC4E00"/>
    <w:rsid w:val="00EC5D4A"/>
    <w:rsid w:val="00EC61DF"/>
    <w:rsid w:val="00ED23AA"/>
    <w:rsid w:val="00ED2532"/>
    <w:rsid w:val="00ED593B"/>
    <w:rsid w:val="00ED787D"/>
    <w:rsid w:val="00ED7E84"/>
    <w:rsid w:val="00ED7FA5"/>
    <w:rsid w:val="00EE3EA7"/>
    <w:rsid w:val="00EE4580"/>
    <w:rsid w:val="00EE4CC5"/>
    <w:rsid w:val="00EE4E6D"/>
    <w:rsid w:val="00EE7186"/>
    <w:rsid w:val="00EF084D"/>
    <w:rsid w:val="00EF35FB"/>
    <w:rsid w:val="00EF4D23"/>
    <w:rsid w:val="00EF6759"/>
    <w:rsid w:val="00EF7AF9"/>
    <w:rsid w:val="00F06ADC"/>
    <w:rsid w:val="00F0756D"/>
    <w:rsid w:val="00F10634"/>
    <w:rsid w:val="00F11046"/>
    <w:rsid w:val="00F116D1"/>
    <w:rsid w:val="00F12B9D"/>
    <w:rsid w:val="00F12E0A"/>
    <w:rsid w:val="00F13CF0"/>
    <w:rsid w:val="00F16487"/>
    <w:rsid w:val="00F1684D"/>
    <w:rsid w:val="00F23667"/>
    <w:rsid w:val="00F25C09"/>
    <w:rsid w:val="00F2603A"/>
    <w:rsid w:val="00F274BA"/>
    <w:rsid w:val="00F275AC"/>
    <w:rsid w:val="00F322E6"/>
    <w:rsid w:val="00F3308B"/>
    <w:rsid w:val="00F34B84"/>
    <w:rsid w:val="00F361E9"/>
    <w:rsid w:val="00F406EB"/>
    <w:rsid w:val="00F41509"/>
    <w:rsid w:val="00F41A4A"/>
    <w:rsid w:val="00F41C71"/>
    <w:rsid w:val="00F4329E"/>
    <w:rsid w:val="00F44455"/>
    <w:rsid w:val="00F46ED1"/>
    <w:rsid w:val="00F4743E"/>
    <w:rsid w:val="00F50C22"/>
    <w:rsid w:val="00F50FBE"/>
    <w:rsid w:val="00F51269"/>
    <w:rsid w:val="00F522EE"/>
    <w:rsid w:val="00F52FD9"/>
    <w:rsid w:val="00F54886"/>
    <w:rsid w:val="00F558D9"/>
    <w:rsid w:val="00F56969"/>
    <w:rsid w:val="00F57090"/>
    <w:rsid w:val="00F5793D"/>
    <w:rsid w:val="00F57C90"/>
    <w:rsid w:val="00F6180B"/>
    <w:rsid w:val="00F62956"/>
    <w:rsid w:val="00F62F66"/>
    <w:rsid w:val="00F64675"/>
    <w:rsid w:val="00F663B0"/>
    <w:rsid w:val="00F6722A"/>
    <w:rsid w:val="00F674AE"/>
    <w:rsid w:val="00F71782"/>
    <w:rsid w:val="00F7270C"/>
    <w:rsid w:val="00F743A9"/>
    <w:rsid w:val="00F74EB7"/>
    <w:rsid w:val="00F76B9A"/>
    <w:rsid w:val="00F81087"/>
    <w:rsid w:val="00F81110"/>
    <w:rsid w:val="00F840C6"/>
    <w:rsid w:val="00F846E3"/>
    <w:rsid w:val="00F867B4"/>
    <w:rsid w:val="00F94046"/>
    <w:rsid w:val="00F9431F"/>
    <w:rsid w:val="00F95FAE"/>
    <w:rsid w:val="00F968FA"/>
    <w:rsid w:val="00F97942"/>
    <w:rsid w:val="00FA0A78"/>
    <w:rsid w:val="00FA410F"/>
    <w:rsid w:val="00FA441C"/>
    <w:rsid w:val="00FA450C"/>
    <w:rsid w:val="00FA6188"/>
    <w:rsid w:val="00FA7752"/>
    <w:rsid w:val="00FB1DAF"/>
    <w:rsid w:val="00FB269F"/>
    <w:rsid w:val="00FB3AE5"/>
    <w:rsid w:val="00FB3EFC"/>
    <w:rsid w:val="00FB4D86"/>
    <w:rsid w:val="00FB5EBF"/>
    <w:rsid w:val="00FB653A"/>
    <w:rsid w:val="00FB704F"/>
    <w:rsid w:val="00FC0B60"/>
    <w:rsid w:val="00FC0E09"/>
    <w:rsid w:val="00FC4E1C"/>
    <w:rsid w:val="00FC654C"/>
    <w:rsid w:val="00FC65C6"/>
    <w:rsid w:val="00FC6677"/>
    <w:rsid w:val="00FC771A"/>
    <w:rsid w:val="00FD1B57"/>
    <w:rsid w:val="00FD1F83"/>
    <w:rsid w:val="00FD67A9"/>
    <w:rsid w:val="00FD7D56"/>
    <w:rsid w:val="00FE259D"/>
    <w:rsid w:val="00FE4EB2"/>
    <w:rsid w:val="00FE5BDC"/>
    <w:rsid w:val="00FE5E6B"/>
    <w:rsid w:val="00FE7437"/>
    <w:rsid w:val="00FE78B4"/>
    <w:rsid w:val="00FF0819"/>
    <w:rsid w:val="00FF0CF0"/>
    <w:rsid w:val="00FF283B"/>
    <w:rsid w:val="00FF2877"/>
    <w:rsid w:val="00FF3BA6"/>
    <w:rsid w:val="00FF78C0"/>
    <w:rsid w:val="449AD3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AA74C"/>
  <w15:docId w15:val="{CD45B57F-B635-49E8-9C9D-F24A83EB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5"/>
    <w:pPr>
      <w:spacing w:before="240"/>
      <w:jc w:val="both"/>
    </w:pPr>
  </w:style>
  <w:style w:type="paragraph" w:styleId="Heading1">
    <w:name w:val="heading 1"/>
    <w:basedOn w:val="Normal"/>
    <w:next w:val="Normal"/>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link w:val="Heading2Char"/>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qFormat/>
    <w:rsid w:val="006E4207"/>
    <w:pPr>
      <w:keepNext/>
      <w:jc w:val="left"/>
      <w:outlineLvl w:val="3"/>
    </w:pPr>
    <w:rPr>
      <w:b/>
      <w:i/>
    </w:rPr>
  </w:style>
  <w:style w:type="paragraph" w:styleId="Heading5">
    <w:name w:val="heading 5"/>
    <w:basedOn w:val="Heading4"/>
    <w:next w:val="Normal"/>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D61229"/>
    <w:pPr>
      <w:pBdr>
        <w:top w:val="single" w:sz="4" w:space="10" w:color="auto"/>
        <w:left w:val="single" w:sz="4" w:space="4" w:color="auto"/>
        <w:bottom w:val="single" w:sz="4" w:space="10" w:color="auto"/>
        <w:right w:val="single" w:sz="4" w:space="4" w:color="auto"/>
      </w:pBdr>
      <w:spacing w:before="100"/>
    </w:pPr>
    <w:rPr>
      <w:sz w:val="20"/>
      <w:szCs w:val="20"/>
    </w:rPr>
  </w:style>
  <w:style w:type="paragraph" w:styleId="FootnoteText">
    <w:name w:val="footnote text"/>
    <w:basedOn w:val="Normal"/>
    <w:link w:val="FootnoteTextChar"/>
    <w:rsid w:val="00EF35FB"/>
    <w:pPr>
      <w:spacing w:before="40"/>
    </w:pPr>
    <w:rPr>
      <w:sz w:val="20"/>
    </w:rPr>
  </w:style>
  <w:style w:type="character" w:styleId="FootnoteReference">
    <w:name w:val="footnote reference"/>
    <w:basedOn w:val="DefaultParagraphFont"/>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26287E"/>
    <w:pPr>
      <w:tabs>
        <w:tab w:val="right" w:leader="dot" w:pos="8789"/>
      </w:tabs>
      <w:spacing w:before="360" w:after="120"/>
    </w:pPr>
    <w:rPr>
      <w:b/>
      <w:sz w:val="28"/>
    </w:rPr>
  </w:style>
  <w:style w:type="paragraph" w:styleId="TOC2">
    <w:name w:val="toc 2"/>
    <w:basedOn w:val="Normal"/>
    <w:next w:val="Normal"/>
    <w:uiPriority w:val="39"/>
    <w:rsid w:val="00D9547E"/>
    <w:pPr>
      <w:tabs>
        <w:tab w:val="right" w:leader="dot" w:pos="8789"/>
      </w:tabs>
      <w:spacing w:before="60" w:after="60"/>
      <w:ind w:left="567" w:right="567"/>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9927C3"/>
    <w:pPr>
      <w:spacing w:before="4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862056"/>
    <w:pPr>
      <w:numPr>
        <w:numId w:val="5"/>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E51E85"/>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 w:type="character" w:customStyle="1" w:styleId="FootnoteTextChar">
    <w:name w:val="Footnote Text Char"/>
    <w:basedOn w:val="DefaultParagraphFont"/>
    <w:link w:val="FootnoteText"/>
    <w:rsid w:val="00435A4B"/>
    <w:rPr>
      <w:sz w:val="20"/>
    </w:rPr>
  </w:style>
  <w:style w:type="paragraph" w:customStyle="1" w:styleId="NumberedParagraph">
    <w:name w:val="Numbered Paragraph"/>
    <w:basedOn w:val="Normal"/>
    <w:qFormat/>
    <w:rsid w:val="00460F6A"/>
    <w:pPr>
      <w:numPr>
        <w:numId w:val="12"/>
      </w:numPr>
      <w:spacing w:before="0" w:after="200"/>
    </w:pPr>
    <w:rPr>
      <w:rFonts w:ascii="Verdana" w:eastAsiaTheme="minorHAnsi" w:hAnsi="Verdana" w:cstheme="minorBidi"/>
      <w:sz w:val="20"/>
      <w:szCs w:val="23"/>
    </w:rPr>
  </w:style>
  <w:style w:type="character" w:customStyle="1" w:styleId="Heading2Char">
    <w:name w:val="Heading 2 Char"/>
    <w:basedOn w:val="DefaultParagraphFont"/>
    <w:link w:val="Heading2"/>
    <w:rsid w:val="009458F0"/>
    <w:rPr>
      <w:b/>
      <w:caps/>
      <w:sz w:val="26"/>
      <w:szCs w:val="26"/>
    </w:rPr>
  </w:style>
  <w:style w:type="paragraph" w:styleId="Revision">
    <w:name w:val="Revision"/>
    <w:hidden/>
    <w:uiPriority w:val="99"/>
    <w:semiHidden/>
    <w:rsid w:val="00BE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2664">
      <w:bodyDiv w:val="1"/>
      <w:marLeft w:val="0"/>
      <w:marRight w:val="0"/>
      <w:marTop w:val="0"/>
      <w:marBottom w:val="0"/>
      <w:divBdr>
        <w:top w:val="none" w:sz="0" w:space="0" w:color="auto"/>
        <w:left w:val="none" w:sz="0" w:space="0" w:color="auto"/>
        <w:bottom w:val="none" w:sz="0" w:space="0" w:color="auto"/>
        <w:right w:val="none" w:sz="0" w:space="0" w:color="auto"/>
      </w:divBdr>
    </w:div>
    <w:div w:id="163906829">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669871501">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Visio_Drawing1.vsdx"/><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package" Target="embeddings/Microsoft_Visio_Drawing4.vsdx"/><Relationship Id="rId33" Type="http://schemas.openxmlformats.org/officeDocument/2006/relationships/package" Target="embeddings/Microsoft_Visio_Drawing8.vsdx"/><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policy.ird.govt.nz/publications/2020-commentary-child-support-bill/overview"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package" Target="embeddings/Microsoft_Visio_Drawing3.vsdx"/><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hyperlink" Target="https://purl.org/nzir-tp/2020-003" TargetMode="External"/><Relationship Id="rId19" Type="http://schemas.openxmlformats.org/officeDocument/2006/relationships/image" Target="media/image5.emf"/><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openxmlformats.org/officeDocument/2006/relationships/package" Target="embeddings/Microsoft_Visio_Drawing9.vsdx"/></Relationships>
</file>

<file path=word/_rels/footnotes.xml.rels><?xml version="1.0" encoding="UTF-8" standalone="yes"?>
<Relationships xmlns="http://schemas.openxmlformats.org/package/2006/relationships"><Relationship Id="rId1" Type="http://schemas.openxmlformats.org/officeDocument/2006/relationships/hyperlink" Target="https://taxpolicy.ird.govt.nz/publications/2017-dd-mts-9-social-policy/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6014-954C-4BDF-9B70-DF148592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8730</Words>
  <Characters>49766</Characters>
  <Application>Microsoft Office Word</Application>
  <DocSecurity>0</DocSecurity>
  <Lines>414</Lines>
  <Paragraphs>116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Child Support Amendment Bill – Commentary on the Bill (March 2020)</vt:lpstr>
      <vt:lpstr>Overview of the Bill</vt:lpstr>
      <vt:lpstr>    Overview</vt:lpstr>
      <vt:lpstr>Policy proposals</vt:lpstr>
      <vt:lpstr>    Change to timing of second stage of late payment penalty</vt:lpstr>
      <vt:lpstr>        Summary of proposed amendment</vt:lpstr>
      <vt:lpstr>        Application date</vt:lpstr>
      <vt:lpstr>        Key features</vt:lpstr>
      <vt:lpstr>        Background</vt:lpstr>
      <vt:lpstr>    Minimum $5 penalty rule repeal</vt:lpstr>
      <vt:lpstr>        Summary of proposed amendment</vt:lpstr>
      <vt:lpstr>        Application date</vt:lpstr>
      <vt:lpstr>        Key features</vt:lpstr>
      <vt:lpstr>        Background</vt:lpstr>
      <vt:lpstr>    Grace period</vt:lpstr>
      <vt:lpstr>        Summary of proposed amendment</vt:lpstr>
      <vt:lpstr>        Application date</vt:lpstr>
      <vt:lpstr>        Key features</vt:lpstr>
      <vt:lpstr>        Background</vt:lpstr>
      <vt:lpstr>    Compulsory deductions for newly liable parents</vt:lpstr>
      <vt:lpstr>        Summary of proposed amendment</vt:lpstr>
      <vt:lpstr>        Application date</vt:lpstr>
      <vt:lpstr>        Key features</vt:lpstr>
      <vt:lpstr>        Background</vt:lpstr>
      <vt:lpstr>    Time bar for reassessing child support</vt:lpstr>
      <vt:lpstr>        Summary of proposed amendment</vt:lpstr>
      <vt:lpstr>        Application date</vt:lpstr>
      <vt:lpstr>        Key features</vt:lpstr>
      <vt:lpstr>        Background</vt:lpstr>
      <vt:lpstr>    Definition of income</vt:lpstr>
      <vt:lpstr>        Summary of proposed amendment</vt:lpstr>
      <vt:lpstr>        Application date</vt:lpstr>
      <vt:lpstr>        Key features</vt:lpstr>
      <vt:lpstr>        Background</vt:lpstr>
      <vt:lpstr/>
      <vt:lpstr>Technical amendments</vt:lpstr>
      <vt:lpstr>    Reconciling an estimation at the end of the year</vt:lpstr>
      <vt:lpstr>        Summary of proposed amendment</vt:lpstr>
      <vt:lpstr>        Application date</vt:lpstr>
      <vt:lpstr>        Key features</vt:lpstr>
      <vt:lpstr>        Background</vt:lpstr>
      <vt:lpstr>        Detailed analysis</vt:lpstr>
      <vt:lpstr>    Accepting an estimation</vt:lpstr>
      <vt:lpstr>        Summary of proposed amendment</vt:lpstr>
      <vt:lpstr>        Application date</vt:lpstr>
      <vt:lpstr>        Key features</vt:lpstr>
      <vt:lpstr>        Background</vt:lpstr>
      <vt:lpstr>    Commissioner initiated debt offsetting between people</vt:lpstr>
      <vt:lpstr>        Summary of proposed amendment</vt:lpstr>
      <vt:lpstr>        Application date</vt:lpstr>
      <vt:lpstr>        Key features</vt:lpstr>
      <vt:lpstr>        Background</vt:lpstr>
      <vt:lpstr>    Repeal of redundant provision for urgent maintenance orders</vt:lpstr>
      <vt:lpstr>        Summary of proposed amendment</vt:lpstr>
      <vt:lpstr>        Application date</vt:lpstr>
      <vt:lpstr>        Key features</vt:lpstr>
      <vt:lpstr>        Background</vt:lpstr>
      <vt:lpstr>    Changes to temporary exemptions</vt:lpstr>
      <vt:lpstr>        Summary of proposed amendment</vt:lpstr>
      <vt:lpstr>        Application date</vt:lpstr>
      <vt:lpstr>        Key features</vt:lpstr>
      <vt:lpstr>        Background</vt:lpstr>
      <vt:lpstr>    Removal of the mixed age expenditure table</vt:lpstr>
      <vt:lpstr>        Summary of proposed amendment</vt:lpstr>
      <vt:lpstr>        Application date</vt:lpstr>
      <vt:lpstr>        Key features</vt:lpstr>
      <vt:lpstr>        Background</vt:lpstr>
      <vt:lpstr>    Discretion to adjust child expenditure calculations</vt:lpstr>
      <vt:lpstr>        Summary of proposed amendment</vt:lpstr>
      <vt:lpstr>        Application date</vt:lpstr>
      <vt:lpstr>        Key features</vt:lpstr>
      <vt:lpstr>        Background</vt:lpstr>
      <vt:lpstr>    Clarifying that child support ends when a child leaves State care</vt:lpstr>
      <vt:lpstr>        Summary of proposed amendment</vt:lpstr>
      <vt:lpstr>        Application date</vt:lpstr>
      <vt:lpstr>        Key features</vt:lpstr>
      <vt:lpstr>        Background</vt:lpstr>
      <vt:lpstr>    Timeframes for providing orders of parentage</vt:lpstr>
      <vt:lpstr>        Summary of proposed amendment</vt:lpstr>
      <vt:lpstr>        Application date</vt:lpstr>
      <vt:lpstr>        Key features</vt:lpstr>
      <vt:lpstr>        Background</vt:lpstr>
      <vt:lpstr>    Introducing timeframes to advise of circumstances when child support first asses</vt:lpstr>
      <vt:lpstr>        Summary of proposed amendment</vt:lpstr>
      <vt:lpstr>        Application date</vt:lpstr>
      <vt:lpstr>        Key features</vt:lpstr>
      <vt:lpstr>        Background</vt:lpstr>
      <vt:lpstr>    Minimum age at which a child can be considered financially independent</vt:lpstr>
      <vt:lpstr>        Summary of proposed amendment</vt:lpstr>
      <vt:lpstr>        Application date</vt:lpstr>
      <vt:lpstr>        Key features</vt:lpstr>
      <vt:lpstr>        Background</vt:lpstr>
      <vt:lpstr>    Maximum age of qualifying child</vt:lpstr>
      <vt:lpstr>        Summary of proposed amendment</vt:lpstr>
      <vt:lpstr>        Application date</vt:lpstr>
      <vt:lpstr>        Key features</vt:lpstr>
      <vt:lpstr>        Background</vt:lpstr>
      <vt:lpstr>    Clarifying residence rules</vt:lpstr>
      <vt:lpstr>        Summary of proposed amendment</vt:lpstr>
      <vt:lpstr>        Application date</vt:lpstr>
      <vt:lpstr>        Key features</vt:lpstr>
    </vt:vector>
  </TitlesOfParts>
  <Company/>
  <LinksUpToDate>false</LinksUpToDate>
  <CharactersWithSpaces>58380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Amendment Bill – Commentary on the Bill (March 2020)</dc:title>
  <dc:subject/>
  <dc:creator/>
  <cp:keywords/>
  <dc:description/>
  <dcterms:created xsi:type="dcterms:W3CDTF">2020-03-11T03:33:00Z</dcterms:created>
  <dcterms:modified xsi:type="dcterms:W3CDTF">2020-03-11T03:33:00Z</dcterms:modified>
</cp:coreProperties>
</file>