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F621" w14:textId="01BF1E35" w:rsidR="00702B7E" w:rsidRPr="00473ED6" w:rsidRDefault="00262E32" w:rsidP="00702B7E">
      <w:pPr>
        <w:pStyle w:val="Title"/>
      </w:pPr>
      <w:bookmarkStart w:id="0" w:name="_Toc429977995"/>
      <w:r w:rsidRPr="00262E32">
        <w:t>COVID-19 Response (Taxation and Other Regulatory Urgent Measures) Bill</w:t>
      </w:r>
    </w:p>
    <w:p w14:paraId="35908829" w14:textId="20F5B666" w:rsidR="003959E1" w:rsidRPr="00473ED6" w:rsidRDefault="00262E32" w:rsidP="00262E32">
      <w:pPr>
        <w:pStyle w:val="Subtitle"/>
      </w:pPr>
      <w:r>
        <w:t>Supplementary c</w:t>
      </w:r>
      <w:r w:rsidR="003959E1" w:rsidRPr="00473ED6">
        <w:t xml:space="preserve">ommentary on the </w:t>
      </w:r>
      <w:r w:rsidR="00081121">
        <w:t>Small Business Cashflow Scheme</w:t>
      </w:r>
    </w:p>
    <w:p w14:paraId="04C45DE5" w14:textId="77777777" w:rsidR="00702B7E" w:rsidRPr="00473ED6" w:rsidRDefault="00702B7E"/>
    <w:p w14:paraId="7C52DB3A" w14:textId="77777777" w:rsidR="00702B7E" w:rsidRPr="00473ED6" w:rsidRDefault="00702B7E"/>
    <w:p w14:paraId="11B13363" w14:textId="77777777" w:rsidR="00702B7E" w:rsidRPr="00473ED6" w:rsidRDefault="00702B7E"/>
    <w:p w14:paraId="560D256B" w14:textId="77777777" w:rsidR="00702B7E" w:rsidRPr="00473ED6" w:rsidRDefault="00702B7E"/>
    <w:p w14:paraId="51616C83" w14:textId="77777777" w:rsidR="00702B7E" w:rsidRPr="00473ED6" w:rsidRDefault="00702B7E"/>
    <w:p w14:paraId="218CB3FC" w14:textId="77777777" w:rsidR="00702B7E" w:rsidRPr="00473ED6" w:rsidRDefault="00702B7E"/>
    <w:p w14:paraId="2DE18E95" w14:textId="77777777" w:rsidR="00702B7E" w:rsidRPr="00473ED6" w:rsidRDefault="00702B7E"/>
    <w:p w14:paraId="4127C145" w14:textId="77777777" w:rsidR="00702B7E" w:rsidRPr="00473ED6" w:rsidRDefault="00702B7E"/>
    <w:p w14:paraId="2D2E576C" w14:textId="77777777" w:rsidR="00702B7E" w:rsidRPr="00473ED6" w:rsidRDefault="00702B7E"/>
    <w:p w14:paraId="65DC9E87" w14:textId="77777777" w:rsidR="00702B7E" w:rsidRPr="00473ED6" w:rsidRDefault="00702B7E"/>
    <w:p w14:paraId="1E05CAE3" w14:textId="77777777" w:rsidR="00702B7E" w:rsidRPr="00473ED6" w:rsidRDefault="00702B7E"/>
    <w:p w14:paraId="5F4518F7" w14:textId="77777777" w:rsidR="00702B7E" w:rsidRPr="00473ED6" w:rsidRDefault="00702B7E"/>
    <w:p w14:paraId="78DBA5E7" w14:textId="77777777" w:rsidR="00702B7E" w:rsidRDefault="00702B7E"/>
    <w:p w14:paraId="1D787785" w14:textId="77777777" w:rsidR="0026287E" w:rsidRPr="00473ED6" w:rsidRDefault="0026287E"/>
    <w:p w14:paraId="318DF2AC" w14:textId="77777777" w:rsidR="00702B7E" w:rsidRPr="00473ED6" w:rsidRDefault="00702B7E"/>
    <w:p w14:paraId="2DA383A8" w14:textId="77777777" w:rsidR="00702B7E" w:rsidRPr="00473ED6" w:rsidRDefault="00702B7E"/>
    <w:p w14:paraId="74FE8F55" w14:textId="77777777" w:rsidR="003959E1" w:rsidRPr="00473ED6" w:rsidRDefault="003959E1" w:rsidP="00702B7E">
      <w:pPr>
        <w:pStyle w:val="Authorname"/>
      </w:pPr>
      <w:r w:rsidRPr="00473ED6">
        <w:t xml:space="preserve">Hon </w:t>
      </w:r>
      <w:r w:rsidR="007460A6" w:rsidRPr="00473ED6">
        <w:t>Stuart Nash</w:t>
      </w:r>
    </w:p>
    <w:p w14:paraId="64CD9EC5" w14:textId="77777777" w:rsidR="003959E1" w:rsidRPr="00473ED6" w:rsidRDefault="003959E1" w:rsidP="00702B7E">
      <w:pPr>
        <w:pStyle w:val="Authortitle"/>
      </w:pPr>
      <w:r w:rsidRPr="00473ED6">
        <w:t>Minister of Revenue</w:t>
      </w:r>
    </w:p>
    <w:p w14:paraId="3F50E52D" w14:textId="77777777" w:rsidR="003959E1" w:rsidRPr="00473ED6" w:rsidRDefault="003959E1" w:rsidP="00702B7E">
      <w:r w:rsidRPr="00473ED6">
        <w:br w:type="page"/>
      </w:r>
    </w:p>
    <w:p w14:paraId="1D74C19F" w14:textId="77777777" w:rsidR="003959E1" w:rsidRPr="00473ED6" w:rsidRDefault="003959E1">
      <w:pPr>
        <w:rPr>
          <w:sz w:val="20"/>
        </w:rPr>
      </w:pPr>
    </w:p>
    <w:p w14:paraId="2334B52C" w14:textId="77777777" w:rsidR="00D929C1" w:rsidRPr="00473ED6" w:rsidRDefault="00D929C1">
      <w:pPr>
        <w:rPr>
          <w:sz w:val="20"/>
        </w:rPr>
      </w:pPr>
    </w:p>
    <w:p w14:paraId="38172C9B" w14:textId="77777777" w:rsidR="00D929C1" w:rsidRPr="00473ED6" w:rsidRDefault="00D929C1">
      <w:pPr>
        <w:rPr>
          <w:sz w:val="20"/>
        </w:rPr>
      </w:pPr>
    </w:p>
    <w:p w14:paraId="6C17050E" w14:textId="77777777" w:rsidR="00D929C1" w:rsidRPr="00473ED6" w:rsidRDefault="00D929C1">
      <w:pPr>
        <w:rPr>
          <w:sz w:val="20"/>
        </w:rPr>
      </w:pPr>
    </w:p>
    <w:p w14:paraId="4A29E69E" w14:textId="77777777" w:rsidR="00D929C1" w:rsidRPr="00473ED6" w:rsidRDefault="00D929C1">
      <w:pPr>
        <w:rPr>
          <w:sz w:val="20"/>
        </w:rPr>
      </w:pPr>
    </w:p>
    <w:p w14:paraId="4481110B" w14:textId="77777777" w:rsidR="00D929C1" w:rsidRPr="00473ED6" w:rsidRDefault="00D929C1">
      <w:pPr>
        <w:rPr>
          <w:sz w:val="20"/>
        </w:rPr>
      </w:pPr>
    </w:p>
    <w:p w14:paraId="26779E13" w14:textId="77777777" w:rsidR="00D929C1" w:rsidRPr="00473ED6" w:rsidRDefault="00D929C1">
      <w:pPr>
        <w:rPr>
          <w:sz w:val="20"/>
        </w:rPr>
      </w:pPr>
    </w:p>
    <w:p w14:paraId="55F818E4" w14:textId="77777777" w:rsidR="00D929C1" w:rsidRPr="00473ED6" w:rsidRDefault="00D929C1">
      <w:pPr>
        <w:rPr>
          <w:sz w:val="20"/>
        </w:rPr>
      </w:pPr>
    </w:p>
    <w:p w14:paraId="29DFC270" w14:textId="77777777" w:rsidR="00D929C1" w:rsidRPr="00473ED6" w:rsidRDefault="00D929C1">
      <w:pPr>
        <w:rPr>
          <w:sz w:val="20"/>
        </w:rPr>
      </w:pPr>
    </w:p>
    <w:p w14:paraId="083313D7" w14:textId="77777777" w:rsidR="00D929C1" w:rsidRPr="00473ED6" w:rsidRDefault="00D929C1">
      <w:pPr>
        <w:rPr>
          <w:sz w:val="20"/>
        </w:rPr>
      </w:pPr>
    </w:p>
    <w:p w14:paraId="2A8CC7B8" w14:textId="77777777" w:rsidR="00D929C1" w:rsidRPr="00473ED6" w:rsidRDefault="00D929C1">
      <w:pPr>
        <w:rPr>
          <w:sz w:val="20"/>
        </w:rPr>
      </w:pPr>
    </w:p>
    <w:p w14:paraId="75D6A28D" w14:textId="77777777" w:rsidR="00D929C1" w:rsidRPr="00473ED6" w:rsidRDefault="00D929C1">
      <w:pPr>
        <w:rPr>
          <w:sz w:val="20"/>
        </w:rPr>
      </w:pPr>
    </w:p>
    <w:p w14:paraId="4626EAB7" w14:textId="77777777" w:rsidR="00D929C1" w:rsidRPr="00473ED6" w:rsidRDefault="00D929C1">
      <w:pPr>
        <w:rPr>
          <w:sz w:val="20"/>
        </w:rPr>
      </w:pPr>
    </w:p>
    <w:p w14:paraId="5E07531C" w14:textId="77777777" w:rsidR="00D929C1" w:rsidRPr="00473ED6" w:rsidRDefault="00D929C1">
      <w:pPr>
        <w:rPr>
          <w:sz w:val="20"/>
        </w:rPr>
      </w:pPr>
    </w:p>
    <w:p w14:paraId="5A0C30D6" w14:textId="77777777" w:rsidR="00D929C1" w:rsidRPr="00473ED6" w:rsidRDefault="00D929C1">
      <w:pPr>
        <w:rPr>
          <w:sz w:val="20"/>
        </w:rPr>
      </w:pPr>
    </w:p>
    <w:p w14:paraId="20BA6F84" w14:textId="77777777" w:rsidR="00D929C1" w:rsidRPr="00473ED6" w:rsidRDefault="00D929C1">
      <w:pPr>
        <w:rPr>
          <w:sz w:val="20"/>
        </w:rPr>
      </w:pPr>
    </w:p>
    <w:p w14:paraId="2B54D267" w14:textId="77777777" w:rsidR="00D929C1" w:rsidRPr="00473ED6" w:rsidRDefault="00D929C1">
      <w:pPr>
        <w:rPr>
          <w:sz w:val="20"/>
        </w:rPr>
      </w:pPr>
    </w:p>
    <w:p w14:paraId="70187CC7" w14:textId="77777777" w:rsidR="00D929C1" w:rsidRPr="00473ED6" w:rsidRDefault="00D929C1">
      <w:pPr>
        <w:rPr>
          <w:sz w:val="20"/>
        </w:rPr>
      </w:pPr>
    </w:p>
    <w:p w14:paraId="7677C371" w14:textId="77777777" w:rsidR="00D929C1" w:rsidRPr="00473ED6" w:rsidRDefault="00D929C1">
      <w:pPr>
        <w:rPr>
          <w:sz w:val="20"/>
        </w:rPr>
      </w:pPr>
    </w:p>
    <w:p w14:paraId="53B16EE0" w14:textId="77777777" w:rsidR="0026287E" w:rsidRDefault="0026287E">
      <w:pPr>
        <w:rPr>
          <w:sz w:val="20"/>
        </w:rPr>
      </w:pPr>
    </w:p>
    <w:p w14:paraId="58F7669C" w14:textId="77777777" w:rsidR="00DA3080" w:rsidRPr="00473ED6" w:rsidRDefault="00DA3080">
      <w:pPr>
        <w:rPr>
          <w:sz w:val="20"/>
        </w:rPr>
      </w:pPr>
    </w:p>
    <w:p w14:paraId="26284358" w14:textId="2871C51C" w:rsidR="00702B7E" w:rsidRPr="00473ED6" w:rsidRDefault="00702B7E" w:rsidP="00702B7E">
      <w:pPr>
        <w:rPr>
          <w:sz w:val="20"/>
          <w:szCs w:val="20"/>
        </w:rPr>
      </w:pPr>
      <w:r w:rsidRPr="00473ED6">
        <w:rPr>
          <w:sz w:val="20"/>
          <w:szCs w:val="20"/>
        </w:rPr>
        <w:t xml:space="preserve">First published in </w:t>
      </w:r>
      <w:r w:rsidR="00262E32">
        <w:rPr>
          <w:sz w:val="20"/>
        </w:rPr>
        <w:t xml:space="preserve">May 2020 </w:t>
      </w:r>
      <w:r w:rsidRPr="00473ED6">
        <w:rPr>
          <w:sz w:val="20"/>
          <w:szCs w:val="20"/>
        </w:rPr>
        <w:t>by Policy and Strategy</w:t>
      </w:r>
      <w:r w:rsidR="0026287E">
        <w:rPr>
          <w:sz w:val="20"/>
          <w:szCs w:val="20"/>
        </w:rPr>
        <w:t xml:space="preserve">, </w:t>
      </w:r>
      <w:r w:rsidRPr="00473ED6">
        <w:rPr>
          <w:sz w:val="20"/>
          <w:szCs w:val="20"/>
        </w:rPr>
        <w:t>Inland Revenue, PO Box 2198, Wellington 6140.</w:t>
      </w:r>
    </w:p>
    <w:p w14:paraId="71AC442F" w14:textId="35B680C1" w:rsidR="00702B7E" w:rsidRPr="00473ED6" w:rsidRDefault="00262E32" w:rsidP="00702B7E">
      <w:pPr>
        <w:rPr>
          <w:sz w:val="20"/>
          <w:szCs w:val="20"/>
        </w:rPr>
      </w:pPr>
      <w:r w:rsidRPr="00262E32">
        <w:rPr>
          <w:sz w:val="20"/>
          <w:szCs w:val="20"/>
        </w:rPr>
        <w:t>COVID-19 Response (Taxation and Other Regulatory Urgent Measures) Bill</w:t>
      </w:r>
      <w:r>
        <w:rPr>
          <w:sz w:val="20"/>
          <w:szCs w:val="20"/>
        </w:rPr>
        <w:t xml:space="preserve"> –</w:t>
      </w:r>
      <w:r w:rsidR="00702B7E" w:rsidRPr="00473ED6">
        <w:rPr>
          <w:sz w:val="20"/>
          <w:szCs w:val="20"/>
        </w:rPr>
        <w:t xml:space="preserve"> </w:t>
      </w:r>
      <w:r w:rsidR="00081121" w:rsidRPr="00081121">
        <w:rPr>
          <w:sz w:val="20"/>
          <w:szCs w:val="20"/>
        </w:rPr>
        <w:t>Supplementary commentary on the Small Business Cashflow Scheme</w:t>
      </w:r>
      <w:r w:rsidR="00702B7E" w:rsidRPr="00473ED6">
        <w:rPr>
          <w:sz w:val="20"/>
          <w:szCs w:val="20"/>
        </w:rPr>
        <w:t>.</w:t>
      </w:r>
    </w:p>
    <w:p w14:paraId="78C0A845" w14:textId="44837ABB" w:rsidR="00376F5C" w:rsidRPr="00473ED6" w:rsidRDefault="00702B7E" w:rsidP="00D929C1">
      <w:pPr>
        <w:pStyle w:val="Copyright"/>
      </w:pPr>
      <w:r w:rsidRPr="00473ED6">
        <w:t xml:space="preserve">ISBN </w:t>
      </w:r>
      <w:r w:rsidR="00081121" w:rsidRPr="00081121">
        <w:t>978-1-98-857316-8</w:t>
      </w:r>
      <w:r w:rsidRPr="00473ED6">
        <w:t xml:space="preserve"> (Online)</w:t>
      </w:r>
    </w:p>
    <w:p w14:paraId="1204602C"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68B530AD" wp14:editId="0A19557C">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00702B7E" w:rsidRPr="00473ED6">
        <w:rPr>
          <w:sz w:val="20"/>
          <w:szCs w:val="20"/>
        </w:rPr>
        <w:t>© Crown Copyright</w:t>
      </w:r>
    </w:p>
    <w:p w14:paraId="4CEA2A43"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4E64219C" w14:textId="5BE4083B"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262E32" w:rsidRPr="00A24D59">
          <w:rPr>
            <w:rStyle w:val="Hyperlink"/>
            <w:sz w:val="20"/>
          </w:rPr>
          <w:t>https://purl.org/nzir-tp/200-007</w:t>
        </w:r>
      </w:hyperlink>
    </w:p>
    <w:p w14:paraId="726A2C45" w14:textId="3F8F0E32" w:rsidR="000A6E3B" w:rsidRPr="00DA3080" w:rsidRDefault="00702B7E" w:rsidP="00DA3080">
      <w:pPr>
        <w:jc w:val="left"/>
        <w:rPr>
          <w:sz w:val="20"/>
          <w:szCs w:val="20"/>
        </w:rPr>
      </w:pPr>
      <w:r w:rsidRPr="00473ED6">
        <w:rPr>
          <w:sz w:val="20"/>
          <w:szCs w:val="20"/>
        </w:rPr>
        <w:t>The document is available at</w:t>
      </w:r>
      <w:r w:rsidR="00262E32">
        <w:rPr>
          <w:sz w:val="20"/>
          <w:szCs w:val="20"/>
        </w:rPr>
        <w:br/>
      </w:r>
      <w:r w:rsidR="000A6E3B">
        <w:rPr>
          <w:sz w:val="20"/>
          <w:szCs w:val="20"/>
        </w:rPr>
        <w:t xml:space="preserve"> </w:t>
      </w:r>
      <w:hyperlink r:id="rId11" w:history="1">
        <w:r w:rsidR="00262E32" w:rsidRPr="00A24D59">
          <w:rPr>
            <w:rStyle w:val="Hyperlink"/>
            <w:sz w:val="20"/>
            <w:szCs w:val="20"/>
          </w:rPr>
          <w:t>https://taxpolicy.ird.govt.nz/publications/2020-bill-commentary-covid-19-torum-bill/overview</w:t>
        </w:r>
      </w:hyperlink>
      <w:r w:rsidR="00262E32">
        <w:rPr>
          <w:sz w:val="20"/>
          <w:szCs w:val="20"/>
        </w:rPr>
        <w:t xml:space="preserve"> </w:t>
      </w:r>
    </w:p>
    <w:p w14:paraId="6E3141A8" w14:textId="77777777" w:rsidR="00702B7E" w:rsidRPr="00473ED6" w:rsidRDefault="00702B7E" w:rsidP="00D929C1">
      <w:pPr>
        <w:sectPr w:rsidR="00702B7E" w:rsidRPr="00473ED6" w:rsidSect="00702B7E">
          <w:footerReference w:type="even" r:id="rId12"/>
          <w:type w:val="nextColumn"/>
          <w:pgSz w:w="11906" w:h="16838" w:code="9"/>
          <w:pgMar w:top="1304" w:right="1559" w:bottom="1134" w:left="1559" w:header="720" w:footer="567" w:gutter="0"/>
          <w:pgNumType w:start="1"/>
          <w:cols w:space="720"/>
          <w:titlePg/>
        </w:sectPr>
      </w:pPr>
    </w:p>
    <w:p w14:paraId="72B0CE21" w14:textId="77777777" w:rsidR="003959E1" w:rsidRPr="00473ED6" w:rsidRDefault="003959E1" w:rsidP="00473ED6">
      <w:pPr>
        <w:spacing w:after="480"/>
        <w:jc w:val="center"/>
        <w:rPr>
          <w:b/>
          <w:sz w:val="28"/>
        </w:rPr>
      </w:pPr>
      <w:r w:rsidRPr="00473ED6">
        <w:rPr>
          <w:b/>
          <w:sz w:val="28"/>
        </w:rPr>
        <w:t>CONTENTS</w:t>
      </w:r>
    </w:p>
    <w:bookmarkStart w:id="1" w:name="_Hlt510587982"/>
    <w:bookmarkStart w:id="2" w:name="_Hlt478443407"/>
    <w:bookmarkStart w:id="3" w:name="_Toc14174909"/>
    <w:bookmarkStart w:id="4" w:name="_Hlt509367909"/>
    <w:bookmarkEnd w:id="0"/>
    <w:bookmarkEnd w:id="1"/>
    <w:bookmarkEnd w:id="2"/>
    <w:p w14:paraId="6DF99988" w14:textId="6B8EF91F" w:rsidR="00081121"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9228982" w:history="1">
        <w:r w:rsidR="00081121" w:rsidRPr="00825FAC">
          <w:rPr>
            <w:rStyle w:val="Hyperlink"/>
            <w:noProof/>
          </w:rPr>
          <w:t>Small Business Cashflow Scheme</w:t>
        </w:r>
        <w:r w:rsidR="00081121">
          <w:rPr>
            <w:noProof/>
            <w:webHidden/>
          </w:rPr>
          <w:tab/>
        </w:r>
        <w:r w:rsidR="00081121">
          <w:rPr>
            <w:noProof/>
            <w:webHidden/>
          </w:rPr>
          <w:fldChar w:fldCharType="begin"/>
        </w:r>
        <w:r w:rsidR="00081121">
          <w:rPr>
            <w:noProof/>
            <w:webHidden/>
          </w:rPr>
          <w:instrText xml:space="preserve"> PAGEREF _Toc39228982 \h </w:instrText>
        </w:r>
        <w:r w:rsidR="00081121">
          <w:rPr>
            <w:noProof/>
            <w:webHidden/>
          </w:rPr>
        </w:r>
        <w:r w:rsidR="00081121">
          <w:rPr>
            <w:noProof/>
            <w:webHidden/>
          </w:rPr>
          <w:fldChar w:fldCharType="separate"/>
        </w:r>
        <w:r w:rsidR="00081121">
          <w:rPr>
            <w:noProof/>
            <w:webHidden/>
          </w:rPr>
          <w:t>5</w:t>
        </w:r>
        <w:r w:rsidR="00081121">
          <w:rPr>
            <w:noProof/>
            <w:webHidden/>
          </w:rPr>
          <w:fldChar w:fldCharType="end"/>
        </w:r>
      </w:hyperlink>
    </w:p>
    <w:p w14:paraId="1B83EEE5" w14:textId="259E6B55" w:rsidR="00081121" w:rsidRDefault="00081121" w:rsidP="00081121">
      <w:pPr>
        <w:pStyle w:val="TOC2"/>
        <w:rPr>
          <w:rFonts w:asciiTheme="minorHAnsi" w:eastAsiaTheme="minorEastAsia" w:hAnsiTheme="minorHAnsi" w:cstheme="minorBidi"/>
          <w:noProof/>
          <w:sz w:val="22"/>
          <w:szCs w:val="22"/>
        </w:rPr>
      </w:pPr>
      <w:hyperlink w:anchor="_Toc39228983" w:history="1">
        <w:r w:rsidRPr="00825FAC">
          <w:rPr>
            <w:rStyle w:val="Hyperlink"/>
            <w:noProof/>
          </w:rPr>
          <w:t>Introduction</w:t>
        </w:r>
        <w:r>
          <w:rPr>
            <w:noProof/>
            <w:webHidden/>
          </w:rPr>
          <w:tab/>
        </w:r>
        <w:r>
          <w:rPr>
            <w:noProof/>
            <w:webHidden/>
          </w:rPr>
          <w:fldChar w:fldCharType="begin"/>
        </w:r>
        <w:r>
          <w:rPr>
            <w:noProof/>
            <w:webHidden/>
          </w:rPr>
          <w:instrText xml:space="preserve"> PAGEREF _Toc39228983 \h </w:instrText>
        </w:r>
        <w:r>
          <w:rPr>
            <w:noProof/>
            <w:webHidden/>
          </w:rPr>
        </w:r>
        <w:r>
          <w:rPr>
            <w:noProof/>
            <w:webHidden/>
          </w:rPr>
          <w:fldChar w:fldCharType="separate"/>
        </w:r>
        <w:r>
          <w:rPr>
            <w:noProof/>
            <w:webHidden/>
          </w:rPr>
          <w:t>7</w:t>
        </w:r>
        <w:r>
          <w:rPr>
            <w:noProof/>
            <w:webHidden/>
          </w:rPr>
          <w:fldChar w:fldCharType="end"/>
        </w:r>
      </w:hyperlink>
    </w:p>
    <w:p w14:paraId="2F707DAA" w14:textId="3781341B" w:rsidR="00081121" w:rsidRDefault="00081121" w:rsidP="00081121">
      <w:pPr>
        <w:pStyle w:val="TOC2"/>
        <w:rPr>
          <w:rFonts w:asciiTheme="minorHAnsi" w:eastAsiaTheme="minorEastAsia" w:hAnsiTheme="minorHAnsi" w:cstheme="minorBidi"/>
          <w:noProof/>
          <w:sz w:val="22"/>
          <w:szCs w:val="22"/>
        </w:rPr>
      </w:pPr>
      <w:hyperlink w:anchor="_Toc39228984" w:history="1">
        <w:r w:rsidRPr="00825FAC">
          <w:rPr>
            <w:rStyle w:val="Hyperlink"/>
            <w:noProof/>
          </w:rPr>
          <w:t>Small Business Cashflow Scheme</w:t>
        </w:r>
        <w:r>
          <w:rPr>
            <w:noProof/>
            <w:webHidden/>
          </w:rPr>
          <w:tab/>
        </w:r>
        <w:r>
          <w:rPr>
            <w:noProof/>
            <w:webHidden/>
          </w:rPr>
          <w:fldChar w:fldCharType="begin"/>
        </w:r>
        <w:r>
          <w:rPr>
            <w:noProof/>
            <w:webHidden/>
          </w:rPr>
          <w:instrText xml:space="preserve"> PAGEREF _Toc39228984 \h </w:instrText>
        </w:r>
        <w:r>
          <w:rPr>
            <w:noProof/>
            <w:webHidden/>
          </w:rPr>
        </w:r>
        <w:r>
          <w:rPr>
            <w:noProof/>
            <w:webHidden/>
          </w:rPr>
          <w:fldChar w:fldCharType="separate"/>
        </w:r>
        <w:r>
          <w:rPr>
            <w:noProof/>
            <w:webHidden/>
          </w:rPr>
          <w:t>8</w:t>
        </w:r>
        <w:r>
          <w:rPr>
            <w:noProof/>
            <w:webHidden/>
          </w:rPr>
          <w:fldChar w:fldCharType="end"/>
        </w:r>
      </w:hyperlink>
    </w:p>
    <w:p w14:paraId="0C2ACF6B" w14:textId="0991BEA0" w:rsidR="00817C0E" w:rsidRDefault="00366F3C" w:rsidP="00817C0E">
      <w:r>
        <w:fldChar w:fldCharType="end"/>
      </w:r>
    </w:p>
    <w:p w14:paraId="6163F809" w14:textId="77777777" w:rsidR="00E41835" w:rsidRDefault="00E41835" w:rsidP="00817C0E"/>
    <w:p w14:paraId="532F6C00" w14:textId="77777777" w:rsidR="00817C0E" w:rsidRPr="00817C0E" w:rsidRDefault="00817C0E" w:rsidP="00817C0E">
      <w:pPr>
        <w:sectPr w:rsidR="00817C0E" w:rsidRPr="00817C0E" w:rsidSect="00CC7AA6">
          <w:footerReference w:type="default" r:id="rId13"/>
          <w:footerReference w:type="first" r:id="rId14"/>
          <w:type w:val="nextColumn"/>
          <w:pgSz w:w="11906" w:h="16838" w:code="9"/>
          <w:pgMar w:top="1304" w:right="1416" w:bottom="1134" w:left="1559" w:header="720" w:footer="567" w:gutter="0"/>
          <w:cols w:space="720"/>
          <w:docGrid w:linePitch="326"/>
        </w:sectPr>
      </w:pPr>
    </w:p>
    <w:p w14:paraId="3162A361" w14:textId="4CD14D55" w:rsidR="003959E1" w:rsidRPr="002A233D" w:rsidRDefault="00262E32" w:rsidP="00E22D08">
      <w:pPr>
        <w:pStyle w:val="Heading1"/>
      </w:pPr>
      <w:bookmarkStart w:id="5" w:name="_Toc39228982"/>
      <w:bookmarkEnd w:id="3"/>
      <w:r w:rsidRPr="00262E32">
        <w:t>Small Business Cashflow Scheme</w:t>
      </w:r>
      <w:bookmarkEnd w:id="5"/>
    </w:p>
    <w:p w14:paraId="30227BF5" w14:textId="77777777" w:rsidR="003959E1" w:rsidRPr="00E22D08" w:rsidRDefault="003959E1" w:rsidP="00E22D08"/>
    <w:p w14:paraId="35FA36ED"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345A56B0" w14:textId="466287F4" w:rsidR="00262E32" w:rsidRDefault="00262E32" w:rsidP="00821704">
      <w:pPr>
        <w:pStyle w:val="Heading2"/>
      </w:pPr>
      <w:bookmarkStart w:id="6" w:name="_Toc39228983"/>
      <w:r>
        <w:t>Introduction</w:t>
      </w:r>
      <w:bookmarkEnd w:id="6"/>
    </w:p>
    <w:p w14:paraId="4D066FEF" w14:textId="1F6A7305" w:rsidR="00262E32" w:rsidRPr="00262E32" w:rsidRDefault="00081121" w:rsidP="00262E32">
      <w:r w:rsidRPr="00081121">
        <w:t>The Bill provides authorisation for the Commissioner to grant loans under a Small Business Cashflow Scheme and to administer a scheme on behalf of the Government. A further provision enables information sharing between Inland Revenue and the Ministry of Social Development for the purposes of the administration of a loan scheme.</w:t>
      </w:r>
    </w:p>
    <w:p w14:paraId="5B1A0287" w14:textId="7EF266AF" w:rsidR="001F6140" w:rsidRPr="00473ED6" w:rsidRDefault="00262E32" w:rsidP="00821704">
      <w:pPr>
        <w:pStyle w:val="Heading2"/>
      </w:pPr>
      <w:bookmarkStart w:id="7" w:name="_Toc39228984"/>
      <w:r w:rsidRPr="00262E32">
        <w:t>Small Business Cashflow Scheme</w:t>
      </w:r>
      <w:bookmarkEnd w:id="7"/>
    </w:p>
    <w:p w14:paraId="0FDFEC7B" w14:textId="3C165B68" w:rsidR="001F6140" w:rsidRPr="00473ED6" w:rsidRDefault="00262E32" w:rsidP="00B917E9">
      <w:pPr>
        <w:pStyle w:val="Clause"/>
      </w:pPr>
      <w:r w:rsidRPr="00262E32">
        <w:t>(Clause 5, 6, 19, 23)</w:t>
      </w:r>
    </w:p>
    <w:p w14:paraId="1C7FF2B1" w14:textId="3C5CF0C8" w:rsidR="003959E1" w:rsidRDefault="003959E1" w:rsidP="006E4207">
      <w:pPr>
        <w:pStyle w:val="Heading3"/>
      </w:pPr>
      <w:r w:rsidRPr="00473ED6">
        <w:t>Summary of proposed amendment</w:t>
      </w:r>
    </w:p>
    <w:p w14:paraId="0105FA31" w14:textId="0642CE43" w:rsidR="00262E32" w:rsidRPr="00262E32" w:rsidRDefault="00262E32" w:rsidP="00262E32">
      <w:r w:rsidRPr="00262E32">
        <w:t>This Bill provides for a number of provisions to support a small business cashflow (loan) scheme (SBCS). It amends the Income Tax Act 2007 and the Tax Administration Act 1994. Such a scheme would be administered by Inland Revenue.</w:t>
      </w:r>
    </w:p>
    <w:p w14:paraId="3232961C" w14:textId="561C9F44" w:rsidR="003959E1" w:rsidRDefault="003959E1" w:rsidP="006E4207">
      <w:pPr>
        <w:pStyle w:val="Heading3"/>
      </w:pPr>
      <w:r w:rsidRPr="00473ED6">
        <w:t>Application date</w:t>
      </w:r>
    </w:p>
    <w:p w14:paraId="2316D9C2" w14:textId="200AFF4D" w:rsidR="00262E32" w:rsidRPr="00262E32" w:rsidRDefault="00262E32" w:rsidP="00262E32">
      <w:r w:rsidRPr="00262E32">
        <w:t>The proposed amendment would apply from 15 April 2020.</w:t>
      </w:r>
    </w:p>
    <w:p w14:paraId="20E49026" w14:textId="77777777" w:rsidR="003959E1" w:rsidRPr="00473ED6" w:rsidRDefault="003959E1" w:rsidP="006E4207">
      <w:pPr>
        <w:pStyle w:val="Heading3"/>
      </w:pPr>
      <w:r w:rsidRPr="00473ED6">
        <w:t>Key features</w:t>
      </w:r>
    </w:p>
    <w:p w14:paraId="7E3C7330" w14:textId="77777777" w:rsidR="00262E32" w:rsidRDefault="00262E32" w:rsidP="00262E32">
      <w:r>
        <w:t>The Bill provides for a number of amendments to support a SBCS:</w:t>
      </w:r>
    </w:p>
    <w:p w14:paraId="701BFAA9" w14:textId="77777777" w:rsidR="00262E32" w:rsidRDefault="00262E32" w:rsidP="00262E32">
      <w:pPr>
        <w:pStyle w:val="ListBullet"/>
      </w:pPr>
      <w:r>
        <w:t xml:space="preserve">the insertion of a new section 7AA of the Tax Administration Act 1994 which authorises the Commissioner of Inland Revenue to enter into a loan contract with an </w:t>
      </w:r>
      <w:proofErr w:type="gramStart"/>
      <w:r>
        <w:t>applicant;</w:t>
      </w:r>
      <w:proofErr w:type="gramEnd"/>
    </w:p>
    <w:p w14:paraId="7C6C19E8" w14:textId="77777777" w:rsidR="00262E32" w:rsidRDefault="00262E32" w:rsidP="00262E32">
      <w:pPr>
        <w:pStyle w:val="ListBullet"/>
      </w:pPr>
      <w:r>
        <w:t>an amendment to schedule 7 of the Tax Administration Act 1994 to facilitate the exchange of information between Inland Revenue and the Ministry for Social Development for the purposes of administration of a SBCS; and</w:t>
      </w:r>
    </w:p>
    <w:p w14:paraId="5A2AC481" w14:textId="77777777" w:rsidR="00262E32" w:rsidRDefault="00262E32" w:rsidP="00262E32">
      <w:pPr>
        <w:pStyle w:val="ListBullet"/>
      </w:pPr>
      <w:r>
        <w:t>amendments to the Income Tax Act 2007 to ensure that any conversion of a portion of the loan to a grant will not have adverse income tax implications for the applicant.</w:t>
      </w:r>
    </w:p>
    <w:p w14:paraId="2C4EC11D" w14:textId="77777777" w:rsidR="003959E1" w:rsidRPr="00473ED6" w:rsidRDefault="003959E1" w:rsidP="006E4207">
      <w:pPr>
        <w:pStyle w:val="Heading3"/>
      </w:pPr>
      <w:r w:rsidRPr="00473ED6">
        <w:t>Background</w:t>
      </w:r>
    </w:p>
    <w:p w14:paraId="5E385B29" w14:textId="77777777" w:rsidR="00262E32" w:rsidRDefault="00262E32" w:rsidP="00262E32">
      <w:r>
        <w:t>The Bill proposes a number of amendments to support a SBCS if introduced to assist small to medium businesses who are adversely affected by COVID-19.</w:t>
      </w:r>
    </w:p>
    <w:p w14:paraId="6994D901" w14:textId="330E2257" w:rsidR="00A707EA" w:rsidRPr="00473ED6" w:rsidRDefault="00262E32" w:rsidP="00262E32">
      <w:r>
        <w:t>The SBCS would be administered by Inland Revenue and the Bill provides a number of amendments to support the administration of a SBCS.</w:t>
      </w:r>
    </w:p>
    <w:p w14:paraId="0E55E803" w14:textId="7D1C8808" w:rsidR="003959E1" w:rsidRDefault="003959E1" w:rsidP="006E4207">
      <w:pPr>
        <w:pStyle w:val="Heading3"/>
      </w:pPr>
      <w:r w:rsidRPr="00473ED6">
        <w:t>Detailed analysis</w:t>
      </w:r>
    </w:p>
    <w:p w14:paraId="453D505C" w14:textId="77777777" w:rsidR="00262E32" w:rsidRDefault="00262E32" w:rsidP="00262E32">
      <w:r>
        <w:t>Clause 19 of the Bill amends the Tax Administration Act 1994 to give the Commissioner of Inland Revenue the ability to enter into a loan agreement with an applicant under a SBCS. It provides for the Commissioner to be able to receive information from the applicant for the loan and the repayment of the loan where the applicant does not meet any criteria for a SBCS.</w:t>
      </w:r>
    </w:p>
    <w:p w14:paraId="5C40A4E0" w14:textId="075A203B" w:rsidR="00262E32" w:rsidRDefault="00262E32" w:rsidP="00262E32">
      <w:r>
        <w:t>It also provides for a loan contract issued by the Commissioner not to be a credit contract or a consumer contract for the purposes of the Credit Contracts and Consumer Finance Act</w:t>
      </w:r>
      <w:r>
        <w:t> </w:t>
      </w:r>
      <w:r>
        <w:t>2003.</w:t>
      </w:r>
    </w:p>
    <w:p w14:paraId="3701FBD8" w14:textId="77777777" w:rsidR="00262E32" w:rsidRDefault="00262E32" w:rsidP="00262E32">
      <w:r>
        <w:t>The Bill also provides for schedule 7 of the Tax Administration Act 1994 to be amended to provide for the facilitation of the exchange of information between Inland Revenue and the Ministry of Social Development for the purpose of administering a SBCS.</w:t>
      </w:r>
    </w:p>
    <w:p w14:paraId="62275878" w14:textId="77777777" w:rsidR="00262E32" w:rsidRDefault="00262E32" w:rsidP="00262E32">
      <w:r>
        <w:t xml:space="preserve">It provides for the exchange of information for the wage subsidy scheme. The Commissioner will be able to use this information in connection with any of the Commissioner’s duties, </w:t>
      </w:r>
      <w:proofErr w:type="gramStart"/>
      <w:r>
        <w:t>powers</w:t>
      </w:r>
      <w:proofErr w:type="gramEnd"/>
      <w:r>
        <w:t xml:space="preserve"> or functions under the Inland Revenue Acts.</w:t>
      </w:r>
    </w:p>
    <w:p w14:paraId="1A79ECFB" w14:textId="52720EDF" w:rsidR="00262E32" w:rsidRDefault="00262E32" w:rsidP="00262E32">
      <w:r>
        <w:t>Two amendments are also made to the Income Tax Act 2007 in clauses 5 and 6. Section</w:t>
      </w:r>
      <w:r>
        <w:t> </w:t>
      </w:r>
      <w:r>
        <w:t>DF1(1)(</w:t>
      </w:r>
      <w:proofErr w:type="spellStart"/>
      <w:r>
        <w:t>cb</w:t>
      </w:r>
      <w:proofErr w:type="spellEnd"/>
      <w:r>
        <w:t>) will be added to ensure that business expenditure that is paid by the loan continues to be tax deductible if any part of the loan is converted to a government grant.</w:t>
      </w:r>
    </w:p>
    <w:p w14:paraId="4A9B83A8" w14:textId="5285168D" w:rsidR="00262E32" w:rsidRPr="00262E32" w:rsidRDefault="00262E32" w:rsidP="00262E32">
      <w:r>
        <w:t>The second amendment ensures that if conversion to a grant occurs this does not trigger debt forgiveness income under the financial arrangement rules. Section EW 45 is amended to include any release from an obligation to repay a SBCS loan through conversion to a grant. This will ensure the base price adjustment does not result in taxable income to the recipient.</w:t>
      </w:r>
    </w:p>
    <w:bookmarkEnd w:id="4"/>
    <w:sectPr w:rsidR="00262E32" w:rsidRPr="00262E32"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5C821" w14:textId="77777777" w:rsidR="00262E32" w:rsidRDefault="00262E32">
      <w:r>
        <w:separator/>
      </w:r>
    </w:p>
    <w:p w14:paraId="420B9DCA" w14:textId="77777777" w:rsidR="00262E32" w:rsidRDefault="00262E32"/>
  </w:endnote>
  <w:endnote w:type="continuationSeparator" w:id="0">
    <w:p w14:paraId="6E8C84F7" w14:textId="77777777" w:rsidR="00262E32" w:rsidRDefault="00262E32">
      <w:r>
        <w:continuationSeparator/>
      </w:r>
    </w:p>
    <w:p w14:paraId="1FD5FA2F" w14:textId="77777777" w:rsidR="00262E32" w:rsidRDefault="00262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F31D" w14:textId="77777777" w:rsidR="005B67C6" w:rsidRDefault="005B67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420912"/>
      <w:docPartObj>
        <w:docPartGallery w:val="Page Numbers (Bottom of Page)"/>
        <w:docPartUnique/>
      </w:docPartObj>
    </w:sdtPr>
    <w:sdtEndPr>
      <w:rPr>
        <w:noProof/>
      </w:rPr>
    </w:sdtEndPr>
    <w:sdtContent>
      <w:p w14:paraId="5C4A6F17" w14:textId="77777777" w:rsidR="005B67C6" w:rsidRDefault="005B67C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F5DF" w14:textId="77777777" w:rsidR="005B67C6" w:rsidRDefault="005B6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E470" w14:textId="77777777" w:rsidR="00262E32" w:rsidRDefault="00262E32">
      <w:r>
        <w:separator/>
      </w:r>
    </w:p>
  </w:footnote>
  <w:footnote w:type="continuationSeparator" w:id="0">
    <w:p w14:paraId="2A62B7DA" w14:textId="77777777" w:rsidR="00262E32" w:rsidRDefault="00262E32">
      <w:r>
        <w:continuationSeparator/>
      </w:r>
    </w:p>
    <w:p w14:paraId="2833EC08" w14:textId="77777777" w:rsidR="00262E32" w:rsidRDefault="00262E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4"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5"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5"/>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E32"/>
    <w:rsid w:val="00013D54"/>
    <w:rsid w:val="00021385"/>
    <w:rsid w:val="00023590"/>
    <w:rsid w:val="00072567"/>
    <w:rsid w:val="0007560B"/>
    <w:rsid w:val="00081121"/>
    <w:rsid w:val="0009415B"/>
    <w:rsid w:val="000A6E3B"/>
    <w:rsid w:val="000D3DDE"/>
    <w:rsid w:val="00101924"/>
    <w:rsid w:val="00145802"/>
    <w:rsid w:val="001467F6"/>
    <w:rsid w:val="00174CB9"/>
    <w:rsid w:val="00177BD4"/>
    <w:rsid w:val="001861E4"/>
    <w:rsid w:val="001A2C68"/>
    <w:rsid w:val="001B0B2E"/>
    <w:rsid w:val="001B383F"/>
    <w:rsid w:val="001C027B"/>
    <w:rsid w:val="001D3CE8"/>
    <w:rsid w:val="001F6140"/>
    <w:rsid w:val="00224B10"/>
    <w:rsid w:val="00240FC7"/>
    <w:rsid w:val="0024736E"/>
    <w:rsid w:val="00256229"/>
    <w:rsid w:val="0026209F"/>
    <w:rsid w:val="0026287E"/>
    <w:rsid w:val="00262E32"/>
    <w:rsid w:val="00275CE9"/>
    <w:rsid w:val="002853AF"/>
    <w:rsid w:val="002948B6"/>
    <w:rsid w:val="002A233D"/>
    <w:rsid w:val="002B0D19"/>
    <w:rsid w:val="002B3B1F"/>
    <w:rsid w:val="002C2776"/>
    <w:rsid w:val="002E7168"/>
    <w:rsid w:val="002F7BE0"/>
    <w:rsid w:val="00301C85"/>
    <w:rsid w:val="0032700A"/>
    <w:rsid w:val="00333C42"/>
    <w:rsid w:val="0033679A"/>
    <w:rsid w:val="0033709F"/>
    <w:rsid w:val="003458A3"/>
    <w:rsid w:val="0036210E"/>
    <w:rsid w:val="00366F3C"/>
    <w:rsid w:val="00372924"/>
    <w:rsid w:val="00376F5C"/>
    <w:rsid w:val="00377773"/>
    <w:rsid w:val="003959E1"/>
    <w:rsid w:val="00396BCE"/>
    <w:rsid w:val="003C0A1F"/>
    <w:rsid w:val="003C4040"/>
    <w:rsid w:val="003D1865"/>
    <w:rsid w:val="004123A7"/>
    <w:rsid w:val="00427B2C"/>
    <w:rsid w:val="00453B7E"/>
    <w:rsid w:val="004659D6"/>
    <w:rsid w:val="00473ED6"/>
    <w:rsid w:val="00481032"/>
    <w:rsid w:val="00492715"/>
    <w:rsid w:val="004A15D7"/>
    <w:rsid w:val="004A54BD"/>
    <w:rsid w:val="004A6653"/>
    <w:rsid w:val="004E2D26"/>
    <w:rsid w:val="00506F33"/>
    <w:rsid w:val="00546231"/>
    <w:rsid w:val="00554274"/>
    <w:rsid w:val="0055677E"/>
    <w:rsid w:val="00562937"/>
    <w:rsid w:val="00574600"/>
    <w:rsid w:val="00580226"/>
    <w:rsid w:val="00587089"/>
    <w:rsid w:val="00592DE7"/>
    <w:rsid w:val="005A37B2"/>
    <w:rsid w:val="005B67C6"/>
    <w:rsid w:val="005C0C4F"/>
    <w:rsid w:val="005D6400"/>
    <w:rsid w:val="005D6B26"/>
    <w:rsid w:val="005F3177"/>
    <w:rsid w:val="005F5CAB"/>
    <w:rsid w:val="005F5F0A"/>
    <w:rsid w:val="00613CBC"/>
    <w:rsid w:val="0064513A"/>
    <w:rsid w:val="00672A71"/>
    <w:rsid w:val="00681C3B"/>
    <w:rsid w:val="006E4207"/>
    <w:rsid w:val="006E5017"/>
    <w:rsid w:val="0070233E"/>
    <w:rsid w:val="00702B7E"/>
    <w:rsid w:val="00725856"/>
    <w:rsid w:val="00742B37"/>
    <w:rsid w:val="007433B9"/>
    <w:rsid w:val="007460A6"/>
    <w:rsid w:val="00747E61"/>
    <w:rsid w:val="00775AFE"/>
    <w:rsid w:val="0079065F"/>
    <w:rsid w:val="007A2462"/>
    <w:rsid w:val="007A5D40"/>
    <w:rsid w:val="007B45BA"/>
    <w:rsid w:val="007C480D"/>
    <w:rsid w:val="007D3959"/>
    <w:rsid w:val="007D62E4"/>
    <w:rsid w:val="007F64C0"/>
    <w:rsid w:val="00817C0E"/>
    <w:rsid w:val="00821704"/>
    <w:rsid w:val="00825463"/>
    <w:rsid w:val="00836DC9"/>
    <w:rsid w:val="00860E8D"/>
    <w:rsid w:val="00862056"/>
    <w:rsid w:val="0088086E"/>
    <w:rsid w:val="00897E54"/>
    <w:rsid w:val="008A7685"/>
    <w:rsid w:val="008C656B"/>
    <w:rsid w:val="008D7D7D"/>
    <w:rsid w:val="008E45F9"/>
    <w:rsid w:val="008F6269"/>
    <w:rsid w:val="009444E1"/>
    <w:rsid w:val="00952372"/>
    <w:rsid w:val="009828C2"/>
    <w:rsid w:val="00992011"/>
    <w:rsid w:val="009927C3"/>
    <w:rsid w:val="009B2C63"/>
    <w:rsid w:val="009B684A"/>
    <w:rsid w:val="009B73A2"/>
    <w:rsid w:val="009D537E"/>
    <w:rsid w:val="009D5D52"/>
    <w:rsid w:val="00A02E76"/>
    <w:rsid w:val="00A03B1E"/>
    <w:rsid w:val="00A341BF"/>
    <w:rsid w:val="00A3774E"/>
    <w:rsid w:val="00A37A96"/>
    <w:rsid w:val="00A5726B"/>
    <w:rsid w:val="00A707EA"/>
    <w:rsid w:val="00A736B6"/>
    <w:rsid w:val="00A74278"/>
    <w:rsid w:val="00A87E60"/>
    <w:rsid w:val="00AA57F7"/>
    <w:rsid w:val="00AC79B5"/>
    <w:rsid w:val="00AD5AB3"/>
    <w:rsid w:val="00AD733C"/>
    <w:rsid w:val="00AE4EF5"/>
    <w:rsid w:val="00AE79C8"/>
    <w:rsid w:val="00B3699F"/>
    <w:rsid w:val="00B46D49"/>
    <w:rsid w:val="00B54B75"/>
    <w:rsid w:val="00B55031"/>
    <w:rsid w:val="00B551B4"/>
    <w:rsid w:val="00B66C84"/>
    <w:rsid w:val="00B7160F"/>
    <w:rsid w:val="00B917E9"/>
    <w:rsid w:val="00BF291A"/>
    <w:rsid w:val="00BF2C12"/>
    <w:rsid w:val="00C0489E"/>
    <w:rsid w:val="00C3204E"/>
    <w:rsid w:val="00C46B85"/>
    <w:rsid w:val="00C670C2"/>
    <w:rsid w:val="00C733BA"/>
    <w:rsid w:val="00CA7E7C"/>
    <w:rsid w:val="00CB0C73"/>
    <w:rsid w:val="00CC43B8"/>
    <w:rsid w:val="00CC7AA6"/>
    <w:rsid w:val="00CE111D"/>
    <w:rsid w:val="00CE1E2D"/>
    <w:rsid w:val="00D47073"/>
    <w:rsid w:val="00D571C9"/>
    <w:rsid w:val="00D61229"/>
    <w:rsid w:val="00D929C1"/>
    <w:rsid w:val="00D9392A"/>
    <w:rsid w:val="00D94817"/>
    <w:rsid w:val="00DA3080"/>
    <w:rsid w:val="00DB205A"/>
    <w:rsid w:val="00DB5593"/>
    <w:rsid w:val="00DD659F"/>
    <w:rsid w:val="00DE5CF2"/>
    <w:rsid w:val="00E22D08"/>
    <w:rsid w:val="00E41835"/>
    <w:rsid w:val="00E43EE7"/>
    <w:rsid w:val="00E801F9"/>
    <w:rsid w:val="00E87D30"/>
    <w:rsid w:val="00ED7E84"/>
    <w:rsid w:val="00EF35FB"/>
    <w:rsid w:val="00F0756D"/>
    <w:rsid w:val="00F10634"/>
    <w:rsid w:val="00F16487"/>
    <w:rsid w:val="00F6180B"/>
    <w:rsid w:val="00FD67A9"/>
    <w:rsid w:val="00FE78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49C76"/>
  <w15:docId w15:val="{A693F252-B1C3-448B-A393-46DB23A9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semiHidden/>
    <w:rsid w:val="00EF35FB"/>
    <w:pPr>
      <w:spacing w:before="40"/>
    </w:pPr>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081121"/>
    <w:pPr>
      <w:tabs>
        <w:tab w:val="right" w:leader="dot" w:pos="8789"/>
      </w:tabs>
      <w:spacing w:before="12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uiPriority w:val="34"/>
    <w:qFormat/>
    <w:rsid w:val="00862056"/>
    <w:pPr>
      <w:numPr>
        <w:numId w:val="5"/>
      </w:numPr>
      <w:spacing w:before="120"/>
    </w:pPr>
  </w:style>
  <w:style w:type="table" w:styleId="TableGrid">
    <w:name w:val="Table Grid"/>
    <w:basedOn w:val="TableNormal"/>
    <w:uiPriority w:val="5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0-bill-commentary-covid-19-torum-bill/overvie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url.org/nzir-tp/200-007"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B2270-1F7D-47F0-825A-AAA07773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697</Words>
  <Characters>4071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COVID-19 Response (Taxation and Other Regulatory Urgent Measures) Bill – Supplementary commentary on the Small Business Cashflow Scheme (May 2020)</vt:lpstr>
      <vt:lpstr>Small Business Cashflow Scheme</vt:lpstr>
      <vt:lpstr>    Introduction</vt:lpstr>
      <vt:lpstr>    Small Business Cashflow Scheme</vt:lpstr>
      <vt:lpstr>        Summary of proposed amendment</vt:lpstr>
      <vt:lpstr>        Application date</vt:lpstr>
      <vt:lpstr>        Key features</vt:lpstr>
      <vt:lpstr>        Background</vt:lpstr>
      <vt:lpstr>        Detailed analysis</vt:lpstr>
    </vt:vector>
  </TitlesOfParts>
  <Company>Inland Revenue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(Taxation and Other Regulatory Urgent Measures) Bill – Supplementary commentary on the Small Business Cashflow Scheme (May 2020)</dc:title>
  <dc:subject/>
  <dc:creator>Policy and Strategy</dc:creator>
  <cp:keywords/>
  <dc:description/>
  <cp:lastModifiedBy>David Nind</cp:lastModifiedBy>
  <cp:revision>2</cp:revision>
  <dcterms:created xsi:type="dcterms:W3CDTF">2020-05-01T00:41:00Z</dcterms:created>
  <dcterms:modified xsi:type="dcterms:W3CDTF">2020-05-01T00:41:00Z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