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77A1" w14:textId="77777777"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CB78CA">
        <w:t>Collection of IRD numbers for the transfer of main homes</w:t>
      </w:r>
    </w:p>
    <w:p w14:paraId="572B206C" w14:textId="77777777" w:rsidR="00E57521" w:rsidRPr="00E57521" w:rsidRDefault="00E57521" w:rsidP="00EC6FAD">
      <w:pPr>
        <w:pStyle w:val="spacer"/>
        <w:rPr>
          <w:w w:val="90"/>
          <w:sz w:val="22"/>
        </w:rPr>
      </w:pPr>
    </w:p>
    <w:p w14:paraId="2C87AD45" w14:textId="77777777" w:rsidR="00E92509" w:rsidRPr="00B952B7" w:rsidRDefault="00E92509" w:rsidP="00293FDC">
      <w:pPr>
        <w:pStyle w:val="Heading2"/>
      </w:pPr>
      <w:r w:rsidRPr="00B952B7">
        <w:t>Section 1: General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9FD" w:rsidRPr="0069218C" w14:paraId="17BF7DAC" w14:textId="77777777" w:rsidTr="00464835">
        <w:tc>
          <w:tcPr>
            <w:tcW w:w="5000" w:type="pct"/>
            <w:shd w:val="clear" w:color="auto" w:fill="99CDDD"/>
            <w:hideMark/>
          </w:tcPr>
          <w:p w14:paraId="6C0F0854" w14:textId="77777777" w:rsidR="00DA39FD" w:rsidRPr="00AE4D46" w:rsidRDefault="00217894" w:rsidP="00EC6FAD">
            <w:pPr>
              <w:pStyle w:val="TableHeadings"/>
              <w:rPr>
                <w:color w:val="002060"/>
                <w:szCs w:val="22"/>
              </w:rPr>
            </w:pPr>
            <w:r w:rsidRPr="00886DFF">
              <w:rPr>
                <w:szCs w:val="22"/>
              </w:rPr>
              <w:t>Purpose</w:t>
            </w:r>
          </w:p>
        </w:tc>
      </w:tr>
      <w:tr w:rsidR="00DA39FD" w:rsidRPr="0069218C" w14:paraId="772DF8BE" w14:textId="77777777" w:rsidTr="00464835">
        <w:trPr>
          <w:trHeight w:val="680"/>
        </w:trPr>
        <w:tc>
          <w:tcPr>
            <w:tcW w:w="5000" w:type="pct"/>
            <w:shd w:val="clear" w:color="auto" w:fill="auto"/>
          </w:tcPr>
          <w:p w14:paraId="2844EC67" w14:textId="2EE8BF16" w:rsidR="00DA39FD" w:rsidRPr="00B90CAC" w:rsidRDefault="00CB78CA" w:rsidP="00B90CAC">
            <w:pPr>
              <w:spacing w:after="180"/>
              <w:rPr>
                <w:rFonts w:cs="Arial"/>
                <w:i/>
                <w:szCs w:val="22"/>
              </w:rPr>
            </w:pPr>
            <w:r>
              <w:rPr>
                <w:rFonts w:cs="Arial"/>
                <w:color w:val="000000"/>
                <w:szCs w:val="22"/>
              </w:rPr>
              <w:t>Inland Revenue is</w:t>
            </w:r>
            <w:r w:rsidR="00DA39FD" w:rsidRPr="00886DFF">
              <w:rPr>
                <w:rFonts w:cs="Arial"/>
                <w:color w:val="000000"/>
                <w:szCs w:val="22"/>
              </w:rPr>
              <w:t xml:space="preserve"> solely responsible for the analysis and advice set out in this Regulatory Impact </w:t>
            </w:r>
            <w:r w:rsidR="00241E68">
              <w:rPr>
                <w:rFonts w:cs="Arial"/>
                <w:color w:val="000000"/>
                <w:szCs w:val="22"/>
              </w:rPr>
              <w:t>Assessment</w:t>
            </w:r>
            <w:r w:rsidR="00DA39FD" w:rsidRPr="00886DFF">
              <w:rPr>
                <w:rFonts w:cs="Arial"/>
                <w:color w:val="000000"/>
                <w:szCs w:val="22"/>
              </w:rPr>
              <w:t xml:space="preserve">, except as otherwise explicitly indicated. This analysis and advice </w:t>
            </w:r>
            <w:proofErr w:type="gramStart"/>
            <w:r w:rsidR="00DA39FD" w:rsidRPr="00886DFF">
              <w:rPr>
                <w:rFonts w:cs="Arial"/>
                <w:color w:val="000000"/>
                <w:szCs w:val="22"/>
              </w:rPr>
              <w:t>has</w:t>
            </w:r>
            <w:proofErr w:type="gramEnd"/>
            <w:r w:rsidR="00DA39FD" w:rsidRPr="00886DFF">
              <w:rPr>
                <w:rFonts w:cs="Arial"/>
                <w:color w:val="000000"/>
                <w:szCs w:val="22"/>
              </w:rPr>
              <w:t xml:space="preserve"> been produced for the purpose of informing</w:t>
            </w:r>
            <w:r w:rsidR="00B90CAC">
              <w:rPr>
                <w:rFonts w:cs="Arial"/>
                <w:color w:val="000000"/>
                <w:szCs w:val="22"/>
              </w:rPr>
              <w:t xml:space="preserve"> </w:t>
            </w:r>
            <w:r w:rsidR="00DA39FD" w:rsidRPr="00783846">
              <w:rPr>
                <w:szCs w:val="22"/>
              </w:rPr>
              <w:t>final decisions to proceed with a policy change to be taken by C</w:t>
            </w:r>
            <w:bookmarkStart w:id="0" w:name="_GoBack"/>
            <w:bookmarkEnd w:id="0"/>
            <w:r w:rsidR="00DA39FD" w:rsidRPr="00783846">
              <w:rPr>
                <w:szCs w:val="22"/>
              </w:rPr>
              <w:t>abinet</w:t>
            </w:r>
            <w:r w:rsidR="00B90CAC">
              <w:rPr>
                <w:szCs w:val="22"/>
              </w:rPr>
              <w:t>.</w:t>
            </w:r>
          </w:p>
        </w:tc>
      </w:tr>
    </w:tbl>
    <w:p w14:paraId="39AC7C3F" w14:textId="77777777" w:rsidR="00F81C1E" w:rsidRDefault="00F81C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9FD" w:rsidRPr="0069218C" w14:paraId="64CF73E5" w14:textId="77777777" w:rsidTr="00380585">
        <w:tc>
          <w:tcPr>
            <w:tcW w:w="5000" w:type="pct"/>
            <w:shd w:val="clear" w:color="auto" w:fill="99CDDD"/>
            <w:hideMark/>
          </w:tcPr>
          <w:p w14:paraId="29275408"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0652C6C7" w14:textId="77777777" w:rsidTr="002C4BEB">
        <w:trPr>
          <w:trHeight w:val="8789"/>
        </w:trPr>
        <w:tc>
          <w:tcPr>
            <w:tcW w:w="5000" w:type="pct"/>
            <w:shd w:val="clear" w:color="auto" w:fill="auto"/>
          </w:tcPr>
          <w:p w14:paraId="1C45F5F0" w14:textId="7DEE34CD" w:rsidR="008B6CA6" w:rsidRDefault="008C79E4" w:rsidP="008B6CA6">
            <w:pPr>
              <w:spacing w:after="0" w:line="276" w:lineRule="auto"/>
              <w:jc w:val="both"/>
              <w:rPr>
                <w:rFonts w:cs="Arial"/>
                <w:szCs w:val="22"/>
              </w:rPr>
            </w:pPr>
            <w:r>
              <w:rPr>
                <w:rFonts w:cs="Arial"/>
                <w:szCs w:val="22"/>
              </w:rPr>
              <w:t>T</w:t>
            </w:r>
            <w:r w:rsidR="008B6CA6">
              <w:rPr>
                <w:rFonts w:cs="Arial"/>
                <w:szCs w:val="22"/>
              </w:rPr>
              <w:t>he Government decided to implement the Tax Working Group’s recommendation</w:t>
            </w:r>
            <w:r w:rsidR="00B24518">
              <w:rPr>
                <w:rFonts w:cs="Arial"/>
                <w:szCs w:val="22"/>
              </w:rPr>
              <w:t xml:space="preserve"> </w:t>
            </w:r>
            <w:r w:rsidR="00FE3585">
              <w:rPr>
                <w:rFonts w:cs="Arial"/>
                <w:szCs w:val="22"/>
              </w:rPr>
              <w:t>for</w:t>
            </w:r>
            <w:r w:rsidR="00B24518">
              <w:rPr>
                <w:rFonts w:cs="Arial"/>
                <w:szCs w:val="22"/>
              </w:rPr>
              <w:t xml:space="preserve"> the disclosure of IRD numbers </w:t>
            </w:r>
            <w:r w:rsidR="00E476E6">
              <w:rPr>
                <w:rFonts w:cs="Arial"/>
                <w:szCs w:val="22"/>
              </w:rPr>
              <w:t>on</w:t>
            </w:r>
            <w:r w:rsidR="000A187D">
              <w:rPr>
                <w:rFonts w:cs="Arial"/>
                <w:szCs w:val="22"/>
              </w:rPr>
              <w:t xml:space="preserve"> transfer</w:t>
            </w:r>
            <w:r w:rsidR="00E476E6">
              <w:rPr>
                <w:rFonts w:cs="Arial"/>
                <w:szCs w:val="22"/>
              </w:rPr>
              <w:t>s</w:t>
            </w:r>
            <w:r w:rsidR="000A187D">
              <w:rPr>
                <w:rFonts w:cs="Arial"/>
                <w:szCs w:val="22"/>
              </w:rPr>
              <w:t xml:space="preserve"> of</w:t>
            </w:r>
            <w:r w:rsidR="00E476E6">
              <w:rPr>
                <w:rFonts w:cs="Arial"/>
                <w:szCs w:val="22"/>
              </w:rPr>
              <w:t xml:space="preserve"> </w:t>
            </w:r>
            <w:r w:rsidR="000A187D">
              <w:rPr>
                <w:rFonts w:cs="Arial"/>
                <w:szCs w:val="22"/>
              </w:rPr>
              <w:t>main home</w:t>
            </w:r>
            <w:r w:rsidR="00E476E6">
              <w:rPr>
                <w:rFonts w:cs="Arial"/>
                <w:szCs w:val="22"/>
              </w:rPr>
              <w:t>s</w:t>
            </w:r>
            <w:r w:rsidR="008B6CA6">
              <w:rPr>
                <w:rFonts w:cs="Arial"/>
                <w:szCs w:val="22"/>
              </w:rPr>
              <w:t xml:space="preserve"> as soon as possible</w:t>
            </w:r>
            <w:r w:rsidR="00226F97">
              <w:rPr>
                <w:rFonts w:cs="Arial"/>
                <w:szCs w:val="22"/>
              </w:rPr>
              <w:t>. Therefore,</w:t>
            </w:r>
            <w:r w:rsidR="0063769B">
              <w:rPr>
                <w:rFonts w:cs="Arial"/>
                <w:szCs w:val="22"/>
              </w:rPr>
              <w:t xml:space="preserve"> t</w:t>
            </w:r>
            <w:r w:rsidR="00B14185">
              <w:rPr>
                <w:rFonts w:cs="Arial"/>
                <w:szCs w:val="22"/>
              </w:rPr>
              <w:t>here has been a relatively short time available to prepare this analysi</w:t>
            </w:r>
            <w:r w:rsidR="0063769B">
              <w:rPr>
                <w:rFonts w:cs="Arial"/>
                <w:szCs w:val="22"/>
              </w:rPr>
              <w:t>s</w:t>
            </w:r>
            <w:r w:rsidR="00BE3A55">
              <w:rPr>
                <w:rFonts w:cs="Arial"/>
                <w:szCs w:val="22"/>
              </w:rPr>
              <w:t>, and consultation</w:t>
            </w:r>
            <w:r w:rsidR="00226F97">
              <w:rPr>
                <w:rFonts w:cs="Arial"/>
                <w:szCs w:val="22"/>
              </w:rPr>
              <w:t xml:space="preserve"> with key external stakeholders</w:t>
            </w:r>
            <w:r w:rsidR="00BE3A55">
              <w:rPr>
                <w:rFonts w:cs="Arial"/>
                <w:szCs w:val="22"/>
              </w:rPr>
              <w:t xml:space="preserve"> has been</w:t>
            </w:r>
            <w:r w:rsidR="00226F97">
              <w:rPr>
                <w:rFonts w:cs="Arial"/>
                <w:szCs w:val="22"/>
              </w:rPr>
              <w:t xml:space="preserve"> </w:t>
            </w:r>
            <w:r w:rsidR="00BE3A55">
              <w:rPr>
                <w:rFonts w:cs="Arial"/>
                <w:szCs w:val="22"/>
              </w:rPr>
              <w:t>limited</w:t>
            </w:r>
            <w:r w:rsidR="0063769B">
              <w:rPr>
                <w:rFonts w:cs="Arial"/>
                <w:szCs w:val="22"/>
              </w:rPr>
              <w:t>.</w:t>
            </w:r>
            <w:r w:rsidR="008B6CA6">
              <w:rPr>
                <w:rFonts w:cs="Arial"/>
                <w:szCs w:val="22"/>
              </w:rPr>
              <w:t xml:space="preserve"> </w:t>
            </w:r>
          </w:p>
          <w:p w14:paraId="42F8A944" w14:textId="77777777" w:rsidR="004B2FF3" w:rsidRDefault="004B2FF3" w:rsidP="008B6CA6">
            <w:pPr>
              <w:spacing w:after="0" w:line="276" w:lineRule="auto"/>
              <w:jc w:val="both"/>
              <w:rPr>
                <w:rFonts w:cs="Arial"/>
                <w:szCs w:val="22"/>
              </w:rPr>
            </w:pPr>
          </w:p>
          <w:p w14:paraId="2F7AD0F4" w14:textId="748D9C82" w:rsidR="005C1E0A" w:rsidRDefault="00071A7B" w:rsidP="004B2FF3">
            <w:pPr>
              <w:spacing w:after="0" w:line="276" w:lineRule="auto"/>
              <w:jc w:val="both"/>
              <w:rPr>
                <w:rFonts w:cs="Arial"/>
                <w:szCs w:val="22"/>
              </w:rPr>
            </w:pPr>
            <w:r>
              <w:rPr>
                <w:rFonts w:cs="Arial"/>
                <w:szCs w:val="22"/>
              </w:rPr>
              <w:t>T</w:t>
            </w:r>
            <w:r w:rsidR="009C003A">
              <w:rPr>
                <w:rFonts w:cs="Arial"/>
                <w:szCs w:val="22"/>
              </w:rPr>
              <w:t>here has</w:t>
            </w:r>
            <w:r>
              <w:rPr>
                <w:rFonts w:cs="Arial"/>
                <w:szCs w:val="22"/>
              </w:rPr>
              <w:t xml:space="preserve"> however</w:t>
            </w:r>
            <w:r w:rsidR="009C003A">
              <w:rPr>
                <w:rFonts w:cs="Arial"/>
                <w:szCs w:val="22"/>
              </w:rPr>
              <w:t xml:space="preserve"> been previous analysis of the current proposal. T</w:t>
            </w:r>
            <w:r w:rsidR="004B2FF3">
              <w:rPr>
                <w:rFonts w:cs="Arial"/>
                <w:szCs w:val="22"/>
              </w:rPr>
              <w:t xml:space="preserve">he requirement for an IRD number </w:t>
            </w:r>
            <w:r w:rsidR="00A51482">
              <w:rPr>
                <w:rFonts w:cs="Arial"/>
                <w:szCs w:val="22"/>
              </w:rPr>
              <w:t xml:space="preserve">and overseas tax information </w:t>
            </w:r>
            <w:r w:rsidR="004B2FF3">
              <w:rPr>
                <w:rFonts w:cs="Arial"/>
                <w:szCs w:val="22"/>
              </w:rPr>
              <w:t xml:space="preserve">to be provided upon transfer of property </w:t>
            </w:r>
            <w:r w:rsidR="009C003A">
              <w:rPr>
                <w:rFonts w:cs="Arial"/>
                <w:szCs w:val="22"/>
              </w:rPr>
              <w:t xml:space="preserve">(with an exemption for the main homes of individuals) </w:t>
            </w:r>
            <w:r w:rsidR="004B2FF3">
              <w:rPr>
                <w:rFonts w:cs="Arial"/>
                <w:szCs w:val="22"/>
              </w:rPr>
              <w:t>was introduced in 2015</w:t>
            </w:r>
            <w:r w:rsidR="009C003A">
              <w:rPr>
                <w:rFonts w:cs="Arial"/>
                <w:szCs w:val="22"/>
              </w:rPr>
              <w:t>. Th</w:t>
            </w:r>
            <w:r w:rsidR="006D4638">
              <w:rPr>
                <w:rFonts w:cs="Arial"/>
                <w:szCs w:val="22"/>
              </w:rPr>
              <w:t>e proposal</w:t>
            </w:r>
            <w:r w:rsidR="00B5044C">
              <w:rPr>
                <w:rFonts w:cs="Arial"/>
                <w:szCs w:val="22"/>
              </w:rPr>
              <w:t xml:space="preserve"> to require </w:t>
            </w:r>
            <w:r w:rsidR="00150763">
              <w:rPr>
                <w:rFonts w:cs="Arial"/>
                <w:szCs w:val="22"/>
              </w:rPr>
              <w:t>IRD numbers and tax information numbers from main home owners</w:t>
            </w:r>
            <w:r w:rsidR="006D4638">
              <w:rPr>
                <w:rFonts w:cs="Arial"/>
                <w:szCs w:val="22"/>
              </w:rPr>
              <w:t xml:space="preserve"> was the preferred approach of Inland Revenue</w:t>
            </w:r>
            <w:r w:rsidR="00C8015D">
              <w:rPr>
                <w:rFonts w:cs="Arial"/>
                <w:szCs w:val="22"/>
              </w:rPr>
              <w:t xml:space="preserve">, as stated in </w:t>
            </w:r>
            <w:r w:rsidR="006D4638">
              <w:rPr>
                <w:rFonts w:cs="Arial"/>
                <w:szCs w:val="22"/>
              </w:rPr>
              <w:t xml:space="preserve">the </w:t>
            </w:r>
            <w:r w:rsidR="009C003A">
              <w:rPr>
                <w:rFonts w:cs="Arial"/>
                <w:szCs w:val="22"/>
              </w:rPr>
              <w:t>R</w:t>
            </w:r>
            <w:r w:rsidR="00241E68">
              <w:rPr>
                <w:rFonts w:cs="Arial"/>
                <w:szCs w:val="22"/>
              </w:rPr>
              <w:t>egulatory Impact Statement</w:t>
            </w:r>
            <w:r w:rsidR="009C003A">
              <w:rPr>
                <w:rFonts w:cs="Arial"/>
                <w:szCs w:val="22"/>
              </w:rPr>
              <w:t xml:space="preserve"> that was prepared for the 2015 change</w:t>
            </w:r>
            <w:r w:rsidR="003832F3">
              <w:rPr>
                <w:rStyle w:val="FootnoteReference"/>
                <w:rFonts w:cs="Arial"/>
                <w:szCs w:val="22"/>
              </w:rPr>
              <w:footnoteReference w:id="1"/>
            </w:r>
            <w:r w:rsidR="00EA14EA">
              <w:rPr>
                <w:rFonts w:cs="Arial"/>
                <w:szCs w:val="22"/>
              </w:rPr>
              <w:t>.</w:t>
            </w:r>
            <w:r w:rsidR="009C003A">
              <w:rPr>
                <w:rFonts w:cs="Arial"/>
                <w:szCs w:val="22"/>
              </w:rPr>
              <w:t xml:space="preserve"> </w:t>
            </w:r>
            <w:r w:rsidR="000E20BB">
              <w:rPr>
                <w:rFonts w:cs="Arial"/>
                <w:szCs w:val="22"/>
              </w:rPr>
              <w:t xml:space="preserve">  </w:t>
            </w:r>
          </w:p>
          <w:p w14:paraId="756A2B3D" w14:textId="77777777" w:rsidR="005C1E0A" w:rsidRDefault="005C1E0A" w:rsidP="004B2FF3">
            <w:pPr>
              <w:spacing w:after="0" w:line="276" w:lineRule="auto"/>
              <w:jc w:val="both"/>
              <w:rPr>
                <w:rFonts w:cs="Arial"/>
                <w:szCs w:val="22"/>
              </w:rPr>
            </w:pPr>
          </w:p>
          <w:p w14:paraId="1ED89ADA" w14:textId="4709FEC3" w:rsidR="004B2FF3" w:rsidRDefault="00633226" w:rsidP="008B6CA6">
            <w:pPr>
              <w:spacing w:after="0" w:line="276" w:lineRule="auto"/>
              <w:jc w:val="both"/>
              <w:rPr>
                <w:rFonts w:cs="Arial"/>
                <w:szCs w:val="22"/>
              </w:rPr>
            </w:pPr>
            <w:r w:rsidRPr="005103FD">
              <w:rPr>
                <w:rFonts w:cs="Arial"/>
                <w:szCs w:val="22"/>
              </w:rPr>
              <w:t>Further</w:t>
            </w:r>
            <w:r w:rsidRPr="00BF1849">
              <w:rPr>
                <w:rFonts w:cs="Arial"/>
                <w:szCs w:val="22"/>
              </w:rPr>
              <w:t xml:space="preserve">, this recommendation was </w:t>
            </w:r>
            <w:r w:rsidR="004E6AA1" w:rsidRPr="00C322D1">
              <w:rPr>
                <w:rFonts w:cs="Arial"/>
                <w:szCs w:val="22"/>
              </w:rPr>
              <w:t>made by th</w:t>
            </w:r>
            <w:r w:rsidR="000E20BB" w:rsidRPr="00C322D1">
              <w:rPr>
                <w:rFonts w:cs="Arial"/>
                <w:szCs w:val="22"/>
              </w:rPr>
              <w:t>e T</w:t>
            </w:r>
            <w:r w:rsidR="000E20BB" w:rsidRPr="0057219E">
              <w:rPr>
                <w:rFonts w:cs="Arial"/>
                <w:szCs w:val="22"/>
              </w:rPr>
              <w:t>ax Working Group</w:t>
            </w:r>
            <w:r w:rsidRPr="006D4638">
              <w:rPr>
                <w:rFonts w:cs="Arial"/>
                <w:szCs w:val="22"/>
              </w:rPr>
              <w:t xml:space="preserve"> </w:t>
            </w:r>
            <w:r w:rsidR="004E6AA1" w:rsidRPr="006D4638">
              <w:rPr>
                <w:rFonts w:cs="Arial"/>
                <w:szCs w:val="22"/>
              </w:rPr>
              <w:t>in its final report.  The</w:t>
            </w:r>
            <w:r w:rsidR="00071DF9" w:rsidRPr="006D4638">
              <w:rPr>
                <w:rFonts w:cs="Arial"/>
                <w:szCs w:val="22"/>
              </w:rPr>
              <w:t xml:space="preserve"> Group’s</w:t>
            </w:r>
            <w:r w:rsidRPr="006D4638">
              <w:rPr>
                <w:rFonts w:cs="Arial"/>
                <w:szCs w:val="22"/>
              </w:rPr>
              <w:t xml:space="preserve"> recommendations </w:t>
            </w:r>
            <w:r w:rsidRPr="00D01A30">
              <w:rPr>
                <w:rFonts w:cs="Arial"/>
                <w:szCs w:val="22"/>
              </w:rPr>
              <w:t xml:space="preserve">to the Government to improve the fairness, structure and balance of the tax system were made </w:t>
            </w:r>
            <w:r w:rsidR="000E20BB" w:rsidRPr="005103FD">
              <w:rPr>
                <w:rFonts w:cs="Arial"/>
                <w:szCs w:val="22"/>
              </w:rPr>
              <w:t>follo</w:t>
            </w:r>
            <w:r w:rsidR="000E20BB" w:rsidRPr="00BF1849">
              <w:rPr>
                <w:rFonts w:cs="Arial"/>
                <w:szCs w:val="22"/>
              </w:rPr>
              <w:t xml:space="preserve">wing </w:t>
            </w:r>
            <w:r w:rsidR="00F96BFC" w:rsidRPr="00BF1849">
              <w:rPr>
                <w:rFonts w:cs="Arial"/>
                <w:szCs w:val="22"/>
              </w:rPr>
              <w:t xml:space="preserve">their consideration of </w:t>
            </w:r>
            <w:r w:rsidR="004E6AA1" w:rsidRPr="00C322D1">
              <w:rPr>
                <w:rFonts w:cs="Arial"/>
                <w:szCs w:val="22"/>
              </w:rPr>
              <w:t xml:space="preserve">public </w:t>
            </w:r>
            <w:r w:rsidRPr="00D01A30">
              <w:rPr>
                <w:rFonts w:cs="Arial"/>
                <w:szCs w:val="22"/>
              </w:rPr>
              <w:t>submissions</w:t>
            </w:r>
            <w:r w:rsidR="004E6AA1" w:rsidRPr="00D01A30">
              <w:rPr>
                <w:rFonts w:cs="Arial"/>
                <w:szCs w:val="22"/>
              </w:rPr>
              <w:t xml:space="preserve">. </w:t>
            </w:r>
          </w:p>
          <w:p w14:paraId="657F61F8" w14:textId="77777777" w:rsidR="00D01A30" w:rsidRPr="005E5B75" w:rsidRDefault="00D01A30" w:rsidP="008B6CA6">
            <w:pPr>
              <w:spacing w:after="0" w:line="276" w:lineRule="auto"/>
              <w:jc w:val="both"/>
              <w:rPr>
                <w:rFonts w:cs="Arial"/>
                <w:szCs w:val="22"/>
              </w:rPr>
            </w:pPr>
          </w:p>
          <w:p w14:paraId="408EEEAE" w14:textId="5C13EFE2" w:rsidR="008B6CA6" w:rsidRDefault="008B6CA6" w:rsidP="00C7655A">
            <w:pPr>
              <w:spacing w:after="0" w:line="276" w:lineRule="auto"/>
              <w:jc w:val="both"/>
              <w:rPr>
                <w:rFonts w:cs="Arial"/>
                <w:szCs w:val="22"/>
              </w:rPr>
            </w:pPr>
            <w:r w:rsidRPr="001A7478">
              <w:rPr>
                <w:rFonts w:cs="Arial"/>
                <w:szCs w:val="22"/>
              </w:rPr>
              <w:t xml:space="preserve">There has </w:t>
            </w:r>
            <w:r w:rsidR="00A51C16" w:rsidRPr="001A7478">
              <w:rPr>
                <w:rFonts w:cs="Arial"/>
                <w:szCs w:val="22"/>
              </w:rPr>
              <w:t>been limited</w:t>
            </w:r>
            <w:r w:rsidR="004B2FF3" w:rsidRPr="001A7478">
              <w:rPr>
                <w:rFonts w:cs="Arial"/>
                <w:szCs w:val="22"/>
              </w:rPr>
              <w:t xml:space="preserve"> </w:t>
            </w:r>
            <w:r w:rsidRPr="001A7478">
              <w:rPr>
                <w:rFonts w:cs="Arial"/>
                <w:szCs w:val="22"/>
              </w:rPr>
              <w:t xml:space="preserve">consultation </w:t>
            </w:r>
            <w:r w:rsidR="005041A3" w:rsidRPr="001A7478">
              <w:rPr>
                <w:rFonts w:cs="Arial"/>
                <w:szCs w:val="22"/>
              </w:rPr>
              <w:t xml:space="preserve">specifically </w:t>
            </w:r>
            <w:r w:rsidRPr="001A7478">
              <w:rPr>
                <w:rFonts w:cs="Arial"/>
                <w:szCs w:val="22"/>
              </w:rPr>
              <w:t>on th</w:t>
            </w:r>
            <w:r w:rsidR="009C003A" w:rsidRPr="001A7478">
              <w:rPr>
                <w:rFonts w:cs="Arial"/>
                <w:szCs w:val="22"/>
              </w:rPr>
              <w:t xml:space="preserve">e current </w:t>
            </w:r>
            <w:r w:rsidRPr="001A7478">
              <w:rPr>
                <w:rFonts w:cs="Arial"/>
                <w:szCs w:val="22"/>
              </w:rPr>
              <w:t>policy proposal</w:t>
            </w:r>
            <w:r w:rsidR="005041A3" w:rsidRPr="001A7478">
              <w:rPr>
                <w:rFonts w:cs="Arial"/>
                <w:szCs w:val="22"/>
              </w:rPr>
              <w:t>.</w:t>
            </w:r>
            <w:r w:rsidR="005041A3">
              <w:rPr>
                <w:rFonts w:cs="Arial"/>
                <w:szCs w:val="22"/>
              </w:rPr>
              <w:t xml:space="preserve"> </w:t>
            </w:r>
            <w:r w:rsidR="00071A7B">
              <w:rPr>
                <w:rFonts w:cs="Arial"/>
                <w:szCs w:val="22"/>
              </w:rPr>
              <w:t>One of the important reasons for consultation is identifying likely impacts</w:t>
            </w:r>
            <w:r w:rsidR="005A0BA2">
              <w:rPr>
                <w:rFonts w:cs="Arial"/>
                <w:szCs w:val="22"/>
              </w:rPr>
              <w:t xml:space="preserve"> of a </w:t>
            </w:r>
            <w:r w:rsidR="008C79E4">
              <w:rPr>
                <w:rFonts w:cs="Arial"/>
                <w:szCs w:val="22"/>
              </w:rPr>
              <w:t xml:space="preserve">policy </w:t>
            </w:r>
            <w:r w:rsidR="005A0BA2">
              <w:rPr>
                <w:rFonts w:cs="Arial"/>
                <w:szCs w:val="22"/>
              </w:rPr>
              <w:t>proposal.  We consider that this is a less complex proposal than most tax policy proposals, and therefore unintended consequences are less likely to occur.</w:t>
            </w:r>
            <w:r w:rsidR="002C4BEB">
              <w:rPr>
                <w:rFonts w:cs="Arial"/>
                <w:szCs w:val="22"/>
              </w:rPr>
              <w:t xml:space="preserve"> </w:t>
            </w:r>
            <w:r w:rsidR="005A0BA2">
              <w:rPr>
                <w:rFonts w:cs="Arial"/>
                <w:szCs w:val="22"/>
              </w:rPr>
              <w:t xml:space="preserve">We have also considered the comments raised by submitters who commented </w:t>
            </w:r>
            <w:r w:rsidR="00241E68">
              <w:rPr>
                <w:rFonts w:cs="Arial"/>
                <w:szCs w:val="22"/>
              </w:rPr>
              <w:t xml:space="preserve">in 2015 </w:t>
            </w:r>
            <w:r w:rsidR="005A0BA2">
              <w:rPr>
                <w:rFonts w:cs="Arial"/>
                <w:szCs w:val="22"/>
              </w:rPr>
              <w:t xml:space="preserve">on the </w:t>
            </w:r>
            <w:r w:rsidR="00241E68">
              <w:rPr>
                <w:rFonts w:cs="Arial"/>
                <w:szCs w:val="22"/>
              </w:rPr>
              <w:t>Land Transfer Act Amendment Bill which</w:t>
            </w:r>
            <w:r w:rsidR="000C1990">
              <w:rPr>
                <w:rFonts w:cs="Arial"/>
                <w:szCs w:val="22"/>
              </w:rPr>
              <w:t xml:space="preserve"> </w:t>
            </w:r>
            <w:r w:rsidR="00241E68">
              <w:rPr>
                <w:rFonts w:cs="Arial"/>
                <w:szCs w:val="22"/>
              </w:rPr>
              <w:t>introduced the requirement to provide IRD numbers and overseas</w:t>
            </w:r>
            <w:r w:rsidR="00F43D06">
              <w:rPr>
                <w:rFonts w:cs="Arial"/>
                <w:szCs w:val="22"/>
              </w:rPr>
              <w:t xml:space="preserve"> </w:t>
            </w:r>
            <w:r w:rsidR="00241E68">
              <w:rPr>
                <w:rFonts w:cs="Arial"/>
                <w:szCs w:val="22"/>
              </w:rPr>
              <w:t>tax information upon transfer of property</w:t>
            </w:r>
            <w:r w:rsidR="005A0BA2">
              <w:rPr>
                <w:rFonts w:cs="Arial"/>
                <w:szCs w:val="22"/>
              </w:rPr>
              <w:t xml:space="preserve">.  Some of those submissions </w:t>
            </w:r>
            <w:r w:rsidR="008C79E4">
              <w:rPr>
                <w:rFonts w:cs="Arial"/>
                <w:szCs w:val="22"/>
              </w:rPr>
              <w:t xml:space="preserve">noted disadvantages with the </w:t>
            </w:r>
            <w:r w:rsidR="005A0BA2">
              <w:rPr>
                <w:rFonts w:cs="Arial"/>
                <w:szCs w:val="22"/>
              </w:rPr>
              <w:t>main home exemption</w:t>
            </w:r>
            <w:r w:rsidR="008C79E4">
              <w:rPr>
                <w:rFonts w:cs="Arial"/>
                <w:szCs w:val="22"/>
              </w:rPr>
              <w:t xml:space="preserve">, which included the fact that the exemption was relatively </w:t>
            </w:r>
            <w:r w:rsidR="005A0BA2">
              <w:rPr>
                <w:rFonts w:cs="Arial"/>
                <w:szCs w:val="22"/>
              </w:rPr>
              <w:t>complex</w:t>
            </w:r>
            <w:r w:rsidR="008C79E4">
              <w:rPr>
                <w:rFonts w:cs="Arial"/>
                <w:szCs w:val="22"/>
              </w:rPr>
              <w:t>.</w:t>
            </w:r>
            <w:r w:rsidR="005A0BA2">
              <w:rPr>
                <w:rFonts w:cs="Arial"/>
                <w:szCs w:val="22"/>
              </w:rPr>
              <w:t xml:space="preserve">  We intend to consult with key stakeholders on t</w:t>
            </w:r>
            <w:r w:rsidR="004B2FF3">
              <w:t>he legislative drafting and the design of the forms.</w:t>
            </w:r>
          </w:p>
          <w:p w14:paraId="46675C75" w14:textId="2438E0C8" w:rsidR="00E964A0" w:rsidRDefault="00E964A0" w:rsidP="00C7655A">
            <w:pPr>
              <w:spacing w:after="0" w:line="276" w:lineRule="auto"/>
              <w:jc w:val="both"/>
              <w:rPr>
                <w:rFonts w:cs="Arial"/>
                <w:szCs w:val="22"/>
              </w:rPr>
            </w:pPr>
          </w:p>
          <w:p w14:paraId="6B2CAEB6" w14:textId="77777777" w:rsidR="00E964A0" w:rsidRPr="00E964A0" w:rsidRDefault="00E964A0" w:rsidP="00E964A0">
            <w:pPr>
              <w:rPr>
                <w:rFonts w:cs="Arial"/>
                <w:szCs w:val="22"/>
              </w:rPr>
            </w:pPr>
          </w:p>
          <w:p w14:paraId="35141234" w14:textId="5E0B1B8C" w:rsidR="00184495" w:rsidRPr="00E964A0" w:rsidRDefault="00184495" w:rsidP="00E964A0">
            <w:pPr>
              <w:jc w:val="center"/>
              <w:rPr>
                <w:rFonts w:cs="Arial"/>
                <w:szCs w:val="22"/>
              </w:rPr>
            </w:pPr>
          </w:p>
        </w:tc>
      </w:tr>
      <w:tr w:rsidR="00DA39FD" w:rsidRPr="0069218C" w14:paraId="190FC103" w14:textId="77777777" w:rsidTr="00380585">
        <w:tc>
          <w:tcPr>
            <w:tcW w:w="5000" w:type="pct"/>
            <w:shd w:val="clear" w:color="auto" w:fill="99CDDD"/>
            <w:hideMark/>
          </w:tcPr>
          <w:p w14:paraId="30A084B4" w14:textId="77777777" w:rsidR="00DA39FD" w:rsidRPr="00886DFF" w:rsidRDefault="00DA39FD" w:rsidP="00EC6FAD">
            <w:pPr>
              <w:pStyle w:val="TableHeadings"/>
              <w:rPr>
                <w:szCs w:val="22"/>
              </w:rPr>
            </w:pPr>
            <w:r w:rsidRPr="00886DFF">
              <w:rPr>
                <w:szCs w:val="22"/>
              </w:rPr>
              <w:lastRenderedPageBreak/>
              <w:t>Responsible Manager (signature and date):</w:t>
            </w:r>
          </w:p>
        </w:tc>
      </w:tr>
      <w:tr w:rsidR="00E92509" w:rsidRPr="0069218C" w14:paraId="3D0140BA" w14:textId="77777777" w:rsidTr="002C4BEB">
        <w:trPr>
          <w:trHeight w:val="3313"/>
        </w:trPr>
        <w:tc>
          <w:tcPr>
            <w:tcW w:w="5000" w:type="pct"/>
            <w:shd w:val="clear" w:color="auto" w:fill="FFFFFF"/>
          </w:tcPr>
          <w:p w14:paraId="0C6C5ED8" w14:textId="77777777" w:rsidR="00C90D93" w:rsidRDefault="00C90D93" w:rsidP="00C90D93">
            <w:pPr>
              <w:spacing w:after="0"/>
              <w:rPr>
                <w:szCs w:val="22"/>
              </w:rPr>
            </w:pPr>
          </w:p>
          <w:p w14:paraId="347F3446" w14:textId="7B32A42B" w:rsidR="00C90D93" w:rsidRDefault="00C90D93" w:rsidP="00C90D93">
            <w:pPr>
              <w:spacing w:after="0"/>
              <w:rPr>
                <w:szCs w:val="22"/>
              </w:rPr>
            </w:pPr>
          </w:p>
          <w:p w14:paraId="60D101DA" w14:textId="77777777" w:rsidR="002C4BEB" w:rsidRDefault="002C4BEB" w:rsidP="00C90D93">
            <w:pPr>
              <w:spacing w:after="0"/>
              <w:rPr>
                <w:szCs w:val="22"/>
              </w:rPr>
            </w:pPr>
          </w:p>
          <w:p w14:paraId="0F0536ED" w14:textId="77777777" w:rsidR="00C90D93" w:rsidRDefault="00C90D93" w:rsidP="00C90D93">
            <w:pPr>
              <w:spacing w:after="0"/>
              <w:rPr>
                <w:szCs w:val="22"/>
              </w:rPr>
            </w:pPr>
          </w:p>
          <w:p w14:paraId="5618DF3D" w14:textId="77777777" w:rsidR="00C90D93" w:rsidRDefault="00C90D93" w:rsidP="00C90D93">
            <w:pPr>
              <w:spacing w:after="0"/>
              <w:rPr>
                <w:szCs w:val="22"/>
              </w:rPr>
            </w:pPr>
          </w:p>
          <w:p w14:paraId="13390965" w14:textId="77777777" w:rsidR="00C90D93" w:rsidRDefault="00C90D93" w:rsidP="00C90D93">
            <w:pPr>
              <w:spacing w:after="0"/>
              <w:rPr>
                <w:szCs w:val="22"/>
              </w:rPr>
            </w:pPr>
          </w:p>
          <w:p w14:paraId="0E2A2031" w14:textId="77777777" w:rsidR="00380585" w:rsidRDefault="0006727B" w:rsidP="00C90D93">
            <w:pPr>
              <w:spacing w:after="0"/>
              <w:rPr>
                <w:szCs w:val="22"/>
              </w:rPr>
            </w:pPr>
            <w:r>
              <w:rPr>
                <w:szCs w:val="22"/>
              </w:rPr>
              <w:t>Peter Frawley</w:t>
            </w:r>
          </w:p>
          <w:p w14:paraId="0121A9A2" w14:textId="77777777" w:rsidR="0006727B" w:rsidRDefault="0006727B" w:rsidP="00C90D93">
            <w:pPr>
              <w:spacing w:after="0"/>
              <w:rPr>
                <w:szCs w:val="22"/>
              </w:rPr>
            </w:pPr>
            <w:r>
              <w:rPr>
                <w:szCs w:val="22"/>
              </w:rPr>
              <w:t>Policy Manager</w:t>
            </w:r>
          </w:p>
          <w:p w14:paraId="03755750" w14:textId="77777777" w:rsidR="0006727B" w:rsidRDefault="0006727B" w:rsidP="00C90D93">
            <w:pPr>
              <w:spacing w:after="0"/>
              <w:rPr>
                <w:szCs w:val="22"/>
              </w:rPr>
            </w:pPr>
            <w:r>
              <w:rPr>
                <w:szCs w:val="22"/>
              </w:rPr>
              <w:t xml:space="preserve">Policy and </w:t>
            </w:r>
            <w:r w:rsidR="00C90D93">
              <w:rPr>
                <w:szCs w:val="22"/>
              </w:rPr>
              <w:t>Strategy</w:t>
            </w:r>
          </w:p>
          <w:p w14:paraId="47A35907" w14:textId="21AF8754" w:rsidR="0006727B" w:rsidRDefault="0006727B" w:rsidP="00C90D93">
            <w:pPr>
              <w:spacing w:after="0"/>
              <w:rPr>
                <w:szCs w:val="22"/>
              </w:rPr>
            </w:pPr>
            <w:r>
              <w:rPr>
                <w:szCs w:val="22"/>
              </w:rPr>
              <w:t>Inland Revenue</w:t>
            </w:r>
          </w:p>
          <w:p w14:paraId="65E777FB" w14:textId="77777777" w:rsidR="00F115CE" w:rsidRDefault="00F115CE" w:rsidP="00C90D93">
            <w:pPr>
              <w:spacing w:after="0"/>
              <w:rPr>
                <w:szCs w:val="22"/>
              </w:rPr>
            </w:pPr>
          </w:p>
          <w:p w14:paraId="609B3305" w14:textId="2752C025" w:rsidR="00E92509" w:rsidRPr="00C90D93" w:rsidRDefault="00D01A30" w:rsidP="00C90D93">
            <w:pPr>
              <w:spacing w:after="0"/>
              <w:rPr>
                <w:szCs w:val="22"/>
              </w:rPr>
            </w:pPr>
            <w:r w:rsidRPr="00D01A30">
              <w:rPr>
                <w:szCs w:val="22"/>
              </w:rPr>
              <w:t>17</w:t>
            </w:r>
            <w:r w:rsidR="00C90D93">
              <w:rPr>
                <w:szCs w:val="22"/>
              </w:rPr>
              <w:t xml:space="preserve"> May 2019</w:t>
            </w:r>
          </w:p>
        </w:tc>
      </w:tr>
    </w:tbl>
    <w:p w14:paraId="741CE759" w14:textId="77777777" w:rsidR="00E92509" w:rsidRDefault="00F132B2" w:rsidP="00293FDC">
      <w:pPr>
        <w:pStyle w:val="Heading2"/>
      </w:pPr>
      <w:bookmarkStart w:id="1" w:name="_Toc363047038"/>
      <w:bookmarkStart w:id="2" w:name="_Toc362940530"/>
      <w:bookmarkStart w:id="3" w:name="_Toc362618966"/>
      <w:bookmarkStart w:id="4" w:name="_Toc362434720"/>
      <w:bookmarkStart w:id="5" w:name="_Toc362368098"/>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5734" w:rsidRPr="0069218C" w14:paraId="36C435BE" w14:textId="77777777" w:rsidTr="00800DEC">
        <w:trPr>
          <w:trHeight w:val="77"/>
        </w:trPr>
        <w:tc>
          <w:tcPr>
            <w:tcW w:w="5000" w:type="pct"/>
            <w:shd w:val="clear" w:color="auto" w:fill="99CDDD"/>
            <w:hideMark/>
          </w:tcPr>
          <w:p w14:paraId="13E441FD"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A9B41A8" w14:textId="77777777" w:rsidTr="00C7655A">
        <w:trPr>
          <w:trHeight w:val="1913"/>
        </w:trPr>
        <w:tc>
          <w:tcPr>
            <w:tcW w:w="5000" w:type="pct"/>
            <w:shd w:val="clear" w:color="auto" w:fill="auto"/>
          </w:tcPr>
          <w:p w14:paraId="204E81A8" w14:textId="00566DA8" w:rsidR="00A44520" w:rsidRDefault="00A44520" w:rsidP="00A44520">
            <w:pPr>
              <w:spacing w:after="0" w:line="276" w:lineRule="auto"/>
              <w:jc w:val="both"/>
              <w:rPr>
                <w:rFonts w:cs="Arial"/>
                <w:szCs w:val="22"/>
              </w:rPr>
            </w:pPr>
            <w:r w:rsidRPr="00A44520">
              <w:rPr>
                <w:rFonts w:cs="Arial"/>
                <w:szCs w:val="22"/>
              </w:rPr>
              <w:t>Currently, transferors (sellers) and transferees (purchasers) must each complete a Land Transfer Tax Statement when a property is transferred. The Land Transfer Tax Statement collects information relating to property ownership</w:t>
            </w:r>
            <w:r w:rsidR="00135619">
              <w:rPr>
                <w:rFonts w:cs="Arial"/>
                <w:szCs w:val="22"/>
              </w:rPr>
              <w:t xml:space="preserve">, </w:t>
            </w:r>
            <w:r w:rsidRPr="00A44520">
              <w:rPr>
                <w:rFonts w:cs="Arial"/>
                <w:szCs w:val="22"/>
              </w:rPr>
              <w:t xml:space="preserve">for </w:t>
            </w:r>
            <w:r w:rsidR="00135619">
              <w:rPr>
                <w:rFonts w:cs="Arial"/>
                <w:szCs w:val="22"/>
              </w:rPr>
              <w:t xml:space="preserve">statistical purposes and </w:t>
            </w:r>
            <w:r w:rsidRPr="00A44520">
              <w:rPr>
                <w:rFonts w:cs="Arial"/>
                <w:szCs w:val="22"/>
              </w:rPr>
              <w:t>the purpose of improving compliance with the tax rules around property, including the rules targeting property speculation.</w:t>
            </w:r>
          </w:p>
          <w:p w14:paraId="7ED0D661" w14:textId="77777777" w:rsidR="00A44520" w:rsidRPr="00A44520" w:rsidRDefault="00A44520" w:rsidP="00A44520">
            <w:pPr>
              <w:spacing w:after="0" w:line="276" w:lineRule="auto"/>
              <w:jc w:val="both"/>
              <w:rPr>
                <w:rFonts w:cs="Arial"/>
                <w:szCs w:val="22"/>
              </w:rPr>
            </w:pPr>
          </w:p>
          <w:p w14:paraId="2CBD4AF7" w14:textId="0D55C5C0" w:rsidR="00A44520" w:rsidRDefault="00A44520" w:rsidP="00A44520">
            <w:pPr>
              <w:spacing w:after="0" w:line="276" w:lineRule="auto"/>
              <w:jc w:val="both"/>
              <w:rPr>
                <w:rFonts w:cs="Arial"/>
                <w:szCs w:val="22"/>
              </w:rPr>
            </w:pPr>
            <w:r w:rsidRPr="00A44520">
              <w:rPr>
                <w:rFonts w:cs="Arial"/>
                <w:szCs w:val="22"/>
              </w:rPr>
              <w:t xml:space="preserve">The tax information required for a Land Transfer Tax Statement includes the transferor or transferee’s IRD number and, if applicable, </w:t>
            </w:r>
            <w:r w:rsidR="00D07CD6">
              <w:rPr>
                <w:rFonts w:cs="Arial"/>
                <w:szCs w:val="22"/>
              </w:rPr>
              <w:t>information about the person’s overseas tax residence (</w:t>
            </w:r>
            <w:r w:rsidR="00135619">
              <w:rPr>
                <w:rFonts w:cs="Arial"/>
                <w:szCs w:val="22"/>
              </w:rPr>
              <w:t xml:space="preserve">the person’s </w:t>
            </w:r>
            <w:r w:rsidRPr="00A44520">
              <w:rPr>
                <w:rFonts w:cs="Arial"/>
                <w:szCs w:val="22"/>
              </w:rPr>
              <w:t xml:space="preserve">overseas </w:t>
            </w:r>
            <w:r w:rsidR="00557AC1">
              <w:rPr>
                <w:rFonts w:cs="Arial"/>
                <w:szCs w:val="22"/>
              </w:rPr>
              <w:t>tax information number (TIN)</w:t>
            </w:r>
            <w:r w:rsidRPr="00A44520">
              <w:rPr>
                <w:rFonts w:cs="Arial"/>
                <w:szCs w:val="22"/>
              </w:rPr>
              <w:t xml:space="preserve"> and the jurisdiction </w:t>
            </w:r>
            <w:r w:rsidR="0052623C">
              <w:rPr>
                <w:rFonts w:cs="Arial"/>
                <w:szCs w:val="22"/>
              </w:rPr>
              <w:t>in which they are tax resident)</w:t>
            </w:r>
            <w:r w:rsidRPr="00A44520">
              <w:rPr>
                <w:rFonts w:cs="Arial"/>
                <w:szCs w:val="22"/>
              </w:rPr>
              <w:t xml:space="preserve">. The IRD number and property details are then supplied to Inland Revenue for use in its property tax compliance work. The </w:t>
            </w:r>
            <w:r w:rsidR="0052623C">
              <w:rPr>
                <w:rFonts w:cs="Arial"/>
                <w:szCs w:val="22"/>
              </w:rPr>
              <w:t xml:space="preserve">overseas tax information </w:t>
            </w:r>
            <w:r w:rsidRPr="00A44520">
              <w:rPr>
                <w:rFonts w:cs="Arial"/>
                <w:szCs w:val="22"/>
              </w:rPr>
              <w:t>is</w:t>
            </w:r>
            <w:r w:rsidR="00135619">
              <w:rPr>
                <w:rFonts w:cs="Arial"/>
                <w:szCs w:val="22"/>
              </w:rPr>
              <w:t xml:space="preserve"> supplied to Inland Revenue to share with</w:t>
            </w:r>
            <w:r w:rsidRPr="00A44520">
              <w:rPr>
                <w:rFonts w:cs="Arial"/>
                <w:szCs w:val="22"/>
              </w:rPr>
              <w:t xml:space="preserve"> other countries </w:t>
            </w:r>
            <w:r w:rsidR="0052623C">
              <w:rPr>
                <w:rFonts w:cs="Arial"/>
                <w:szCs w:val="22"/>
              </w:rPr>
              <w:t xml:space="preserve">in accordance with New Zealand’s tax treaties </w:t>
            </w:r>
            <w:r w:rsidRPr="00A44520">
              <w:rPr>
                <w:rFonts w:cs="Arial"/>
                <w:szCs w:val="22"/>
              </w:rPr>
              <w:t>to help prevent global tax evasion.</w:t>
            </w:r>
          </w:p>
          <w:p w14:paraId="74F1A5CB" w14:textId="77777777" w:rsidR="00A44520" w:rsidRPr="00A44520" w:rsidRDefault="00A44520" w:rsidP="00A44520">
            <w:pPr>
              <w:spacing w:after="0" w:line="276" w:lineRule="auto"/>
              <w:jc w:val="both"/>
              <w:rPr>
                <w:rFonts w:cs="Arial"/>
                <w:szCs w:val="22"/>
              </w:rPr>
            </w:pPr>
          </w:p>
          <w:p w14:paraId="75724232" w14:textId="2B342F08" w:rsidR="00F132B2" w:rsidRDefault="00A44520" w:rsidP="00A44520">
            <w:pPr>
              <w:spacing w:after="0" w:line="276" w:lineRule="auto"/>
              <w:jc w:val="both"/>
              <w:rPr>
                <w:rFonts w:cs="Arial"/>
                <w:szCs w:val="22"/>
              </w:rPr>
            </w:pPr>
            <w:r w:rsidRPr="00A44520">
              <w:rPr>
                <w:rFonts w:cs="Arial"/>
                <w:szCs w:val="22"/>
              </w:rPr>
              <w:t xml:space="preserve">Transferors and transferees are not currently required to include their IRD number </w:t>
            </w:r>
            <w:r w:rsidR="0052623C">
              <w:rPr>
                <w:rFonts w:cs="Arial"/>
                <w:szCs w:val="22"/>
              </w:rPr>
              <w:t>and overseas tax information</w:t>
            </w:r>
            <w:r w:rsidR="00135619">
              <w:rPr>
                <w:rFonts w:cs="Arial"/>
                <w:szCs w:val="22"/>
              </w:rPr>
              <w:t xml:space="preserve"> </w:t>
            </w:r>
            <w:r w:rsidRPr="00A44520">
              <w:rPr>
                <w:rFonts w:cs="Arial"/>
                <w:szCs w:val="22"/>
              </w:rPr>
              <w:t xml:space="preserve">if the property </w:t>
            </w:r>
            <w:r w:rsidR="00135619">
              <w:rPr>
                <w:rFonts w:cs="Arial"/>
                <w:szCs w:val="22"/>
              </w:rPr>
              <w:t>transfer</w:t>
            </w:r>
            <w:r w:rsidR="00135619" w:rsidRPr="00A44520">
              <w:rPr>
                <w:rFonts w:cs="Arial"/>
                <w:szCs w:val="22"/>
              </w:rPr>
              <w:t xml:space="preserve"> </w:t>
            </w:r>
            <w:r w:rsidRPr="00A44520">
              <w:rPr>
                <w:rFonts w:cs="Arial"/>
                <w:szCs w:val="22"/>
              </w:rPr>
              <w:t>qualifies as a “non-notifiable transfer</w:t>
            </w:r>
            <w:r w:rsidR="005F590A">
              <w:rPr>
                <w:rFonts w:cs="Arial"/>
                <w:szCs w:val="22"/>
              </w:rPr>
              <w:t>”</w:t>
            </w:r>
            <w:r w:rsidRPr="00A44520">
              <w:rPr>
                <w:rFonts w:cs="Arial"/>
                <w:szCs w:val="22"/>
              </w:rPr>
              <w:t xml:space="preserve">. The most common reason a property </w:t>
            </w:r>
            <w:r w:rsidR="00135619">
              <w:rPr>
                <w:rFonts w:cs="Arial"/>
                <w:szCs w:val="22"/>
              </w:rPr>
              <w:t>transfer</w:t>
            </w:r>
            <w:r w:rsidR="00135619" w:rsidRPr="00A44520">
              <w:rPr>
                <w:rFonts w:cs="Arial"/>
                <w:szCs w:val="22"/>
              </w:rPr>
              <w:t xml:space="preserve"> </w:t>
            </w:r>
            <w:r w:rsidRPr="00A44520">
              <w:rPr>
                <w:rFonts w:cs="Arial"/>
                <w:szCs w:val="22"/>
              </w:rPr>
              <w:t xml:space="preserve">is a non-notifiable transfer is </w:t>
            </w:r>
            <w:r w:rsidR="005F590A">
              <w:rPr>
                <w:rFonts w:cs="Arial"/>
                <w:szCs w:val="22"/>
              </w:rPr>
              <w:t>because</w:t>
            </w:r>
            <w:r w:rsidR="005F590A" w:rsidRPr="00A44520">
              <w:rPr>
                <w:rFonts w:cs="Arial"/>
                <w:szCs w:val="22"/>
              </w:rPr>
              <w:t xml:space="preserve"> </w:t>
            </w:r>
            <w:r w:rsidRPr="00A44520">
              <w:rPr>
                <w:rFonts w:cs="Arial"/>
                <w:szCs w:val="22"/>
              </w:rPr>
              <w:t>the property being transferred is used as the transferor or transferee’s main home.</w:t>
            </w:r>
            <w:r w:rsidR="00A65142">
              <w:rPr>
                <w:rStyle w:val="FootnoteReference"/>
                <w:rFonts w:cs="Arial"/>
                <w:szCs w:val="22"/>
              </w:rPr>
              <w:footnoteReference w:id="2"/>
            </w:r>
          </w:p>
          <w:p w14:paraId="0BFD0D8B" w14:textId="77777777" w:rsidR="00241E68" w:rsidRDefault="00241E68" w:rsidP="00A44520">
            <w:pPr>
              <w:spacing w:after="0" w:line="276" w:lineRule="auto"/>
              <w:jc w:val="both"/>
              <w:rPr>
                <w:rFonts w:cs="Arial"/>
                <w:szCs w:val="22"/>
              </w:rPr>
            </w:pPr>
          </w:p>
          <w:p w14:paraId="3B627645" w14:textId="118FF9C3" w:rsidR="00557AC1" w:rsidRDefault="00241E68" w:rsidP="00A44520">
            <w:pPr>
              <w:spacing w:after="0" w:line="276" w:lineRule="auto"/>
              <w:jc w:val="both"/>
            </w:pPr>
            <w:r>
              <w:t>However, trusts must still provide IRD numbers and overseas tax information, even if it is the settlor’s main home.</w:t>
            </w:r>
          </w:p>
          <w:p w14:paraId="3A1DE3FA" w14:textId="77777777" w:rsidR="00241E68" w:rsidRDefault="00241E68" w:rsidP="00A44520">
            <w:pPr>
              <w:spacing w:after="0" w:line="276" w:lineRule="auto"/>
              <w:jc w:val="both"/>
              <w:rPr>
                <w:rFonts w:cs="Arial"/>
                <w:szCs w:val="22"/>
              </w:rPr>
            </w:pPr>
          </w:p>
          <w:p w14:paraId="3D73BF9C" w14:textId="77C19D02" w:rsidR="00135619" w:rsidRDefault="00557AC1" w:rsidP="00135619">
            <w:pPr>
              <w:spacing w:after="0" w:line="276" w:lineRule="auto"/>
              <w:jc w:val="both"/>
            </w:pPr>
            <w:r w:rsidRPr="00557AC1">
              <w:rPr>
                <w:rFonts w:cs="Arial"/>
                <w:b/>
                <w:szCs w:val="22"/>
              </w:rPr>
              <w:t>Problem</w:t>
            </w:r>
          </w:p>
          <w:p w14:paraId="3DBD05C5" w14:textId="2950CEF6" w:rsidR="00D31D34" w:rsidRDefault="00135619" w:rsidP="00135619">
            <w:pPr>
              <w:spacing w:after="0" w:line="276" w:lineRule="auto"/>
              <w:jc w:val="both"/>
              <w:rPr>
                <w:lang w:eastAsia="en-NZ"/>
              </w:rPr>
            </w:pPr>
            <w:bookmarkStart w:id="6" w:name="_Hlk8389023"/>
            <w:r w:rsidRPr="00AF65AF">
              <w:t>Initial analysis of property transactions by Inland Revenue to determine compliance with the bright-line rule</w:t>
            </w:r>
            <w:r w:rsidR="00241E68">
              <w:rPr>
                <w:rStyle w:val="FootnoteReference"/>
              </w:rPr>
              <w:footnoteReference w:id="3"/>
            </w:r>
            <w:r w:rsidRPr="00AF65AF">
              <w:t xml:space="preserve"> has </w:t>
            </w:r>
            <w:bookmarkEnd w:id="6"/>
            <w:r w:rsidR="004F2C23">
              <w:t>detected some non-compliance</w:t>
            </w:r>
            <w:r w:rsidRPr="00AF65AF">
              <w:t xml:space="preserve">. </w:t>
            </w:r>
            <w:r w:rsidR="00D31D34">
              <w:t>(</w:t>
            </w:r>
            <w:r w:rsidR="00D31D34">
              <w:rPr>
                <w:lang w:eastAsia="en-NZ"/>
              </w:rPr>
              <w:t>The level of non-compliance cannot be accurately determined owing</w:t>
            </w:r>
            <w:r w:rsidR="00EC1110">
              <w:rPr>
                <w:lang w:eastAsia="en-NZ"/>
              </w:rPr>
              <w:t>, in part,</w:t>
            </w:r>
            <w:r w:rsidR="00D31D34">
              <w:rPr>
                <w:lang w:eastAsia="en-NZ"/>
              </w:rPr>
              <w:t xml:space="preserve"> to the incomplete tax information collected for transfers of main homes.)</w:t>
            </w:r>
          </w:p>
          <w:p w14:paraId="0122C095" w14:textId="77777777" w:rsidR="00D31D34" w:rsidRDefault="00D31D34" w:rsidP="00135619">
            <w:pPr>
              <w:spacing w:after="0" w:line="276" w:lineRule="auto"/>
              <w:jc w:val="both"/>
            </w:pPr>
          </w:p>
          <w:p w14:paraId="1F4BD4BF" w14:textId="77777777" w:rsidR="000A187D" w:rsidRDefault="00135619" w:rsidP="00A44520">
            <w:pPr>
              <w:spacing w:after="0" w:line="276" w:lineRule="auto"/>
              <w:jc w:val="both"/>
            </w:pPr>
            <w:r w:rsidRPr="00AF65AF">
              <w:t>The fairness of the tax system is undermined where taxpayers don’t comply with their tax obligations.  Where Inland Revenue suspects instances of non-compliance with the property tax rules, it follows these up</w:t>
            </w:r>
            <w:r>
              <w:t>. H</w:t>
            </w:r>
            <w:r w:rsidRPr="00AF65AF">
              <w:t>owever</w:t>
            </w:r>
            <w:r>
              <w:t>,</w:t>
            </w:r>
            <w:r w:rsidRPr="00AF65AF">
              <w:t xml:space="preserve"> having many transactions for which an IRD number is not supplied, based upon a non-notifiable </w:t>
            </w:r>
            <w:r w:rsidR="009254E6">
              <w:t>transfer</w:t>
            </w:r>
            <w:r w:rsidRPr="00AF65AF">
              <w:t xml:space="preserve"> which is self-determined</w:t>
            </w:r>
            <w:r>
              <w:t>,</w:t>
            </w:r>
            <w:r w:rsidRPr="00AF65AF">
              <w:t xml:space="preserve"> makes it more difficult to detect and therefore remedy the true levels of non-compliance. </w:t>
            </w:r>
          </w:p>
          <w:p w14:paraId="54FCF2DF" w14:textId="77777777" w:rsidR="000A187D" w:rsidRDefault="000A187D" w:rsidP="00A44520">
            <w:pPr>
              <w:spacing w:after="0" w:line="276" w:lineRule="auto"/>
              <w:jc w:val="both"/>
              <w:rPr>
                <w:rFonts w:cs="Arial"/>
                <w:szCs w:val="22"/>
              </w:rPr>
            </w:pPr>
          </w:p>
          <w:p w14:paraId="713FF204" w14:textId="3B2D5404" w:rsidR="00662FF9" w:rsidRDefault="00662FF9" w:rsidP="00A44520">
            <w:pPr>
              <w:spacing w:after="0" w:line="276" w:lineRule="auto"/>
              <w:jc w:val="both"/>
              <w:rPr>
                <w:rFonts w:cs="Arial"/>
                <w:szCs w:val="22"/>
              </w:rPr>
            </w:pPr>
            <w:r w:rsidRPr="00662FF9">
              <w:rPr>
                <w:rFonts w:cs="Arial"/>
                <w:szCs w:val="22"/>
              </w:rPr>
              <w:t xml:space="preserve">The main home exemption for IRD numbers creates a gap in information provided to Inland Revenue and consequently decreases the enforcement benefits from collecting tax information at the point of property transfer. </w:t>
            </w:r>
          </w:p>
          <w:p w14:paraId="3D346802" w14:textId="77777777" w:rsidR="00662FF9" w:rsidRDefault="00662FF9" w:rsidP="00A44520">
            <w:pPr>
              <w:spacing w:after="0" w:line="276" w:lineRule="auto"/>
              <w:jc w:val="both"/>
              <w:rPr>
                <w:rFonts w:cs="Arial"/>
                <w:szCs w:val="22"/>
              </w:rPr>
            </w:pPr>
          </w:p>
          <w:p w14:paraId="1E86E594" w14:textId="59B15D1F" w:rsidR="00662FF9" w:rsidRDefault="00662FF9" w:rsidP="00662FF9">
            <w:pPr>
              <w:spacing w:after="0" w:line="276" w:lineRule="auto"/>
              <w:jc w:val="both"/>
              <w:rPr>
                <w:rFonts w:cs="Arial"/>
                <w:szCs w:val="22"/>
              </w:rPr>
            </w:pPr>
            <w:r w:rsidRPr="00662FF9">
              <w:rPr>
                <w:rFonts w:cs="Arial"/>
                <w:szCs w:val="22"/>
              </w:rPr>
              <w:lastRenderedPageBreak/>
              <w:t xml:space="preserve">The </w:t>
            </w:r>
            <w:r w:rsidR="00135619">
              <w:rPr>
                <w:rFonts w:cs="Arial"/>
                <w:szCs w:val="22"/>
              </w:rPr>
              <w:t>transfer</w:t>
            </w:r>
            <w:r w:rsidR="00135619" w:rsidRPr="00662FF9">
              <w:rPr>
                <w:rFonts w:cs="Arial"/>
                <w:szCs w:val="22"/>
              </w:rPr>
              <w:t xml:space="preserve"> </w:t>
            </w:r>
            <w:r w:rsidRPr="00662FF9">
              <w:rPr>
                <w:rFonts w:cs="Arial"/>
                <w:szCs w:val="22"/>
              </w:rPr>
              <w:t>of a property may be taxable even when a person acquired the property intending to use it as their main home. For example, the sale of these properties can be taxable if:</w:t>
            </w:r>
          </w:p>
          <w:p w14:paraId="382211DE" w14:textId="77777777" w:rsidR="00662FF9" w:rsidRPr="00662FF9" w:rsidRDefault="00662FF9" w:rsidP="00662FF9">
            <w:pPr>
              <w:spacing w:after="0" w:line="276" w:lineRule="auto"/>
              <w:jc w:val="both"/>
              <w:rPr>
                <w:rFonts w:cs="Arial"/>
                <w:szCs w:val="22"/>
              </w:rPr>
            </w:pPr>
          </w:p>
          <w:p w14:paraId="0E1446D8" w14:textId="029D3C0B" w:rsidR="00662FF9" w:rsidRDefault="00662FF9" w:rsidP="00662FF9">
            <w:pPr>
              <w:numPr>
                <w:ilvl w:val="0"/>
                <w:numId w:val="36"/>
              </w:numPr>
              <w:spacing w:after="0" w:line="276" w:lineRule="auto"/>
              <w:jc w:val="both"/>
              <w:rPr>
                <w:rFonts w:cs="Arial"/>
                <w:szCs w:val="22"/>
              </w:rPr>
            </w:pPr>
            <w:r w:rsidRPr="00662FF9">
              <w:rPr>
                <w:rFonts w:cs="Arial"/>
                <w:szCs w:val="22"/>
              </w:rPr>
              <w:t xml:space="preserve">The person changes their use of the property from being their main home to </w:t>
            </w:r>
            <w:proofErr w:type="gramStart"/>
            <w:r w:rsidRPr="00662FF9">
              <w:rPr>
                <w:rFonts w:cs="Arial"/>
                <w:szCs w:val="22"/>
              </w:rPr>
              <w:t>being</w:t>
            </w:r>
            <w:proofErr w:type="gramEnd"/>
            <w:r w:rsidRPr="00662FF9">
              <w:rPr>
                <w:rFonts w:cs="Arial"/>
                <w:szCs w:val="22"/>
              </w:rPr>
              <w:t xml:space="preserve"> an investment property or similar (and the sale is taxable under the bright</w:t>
            </w:r>
            <w:r w:rsidR="00662731">
              <w:rPr>
                <w:rFonts w:cs="Arial"/>
                <w:szCs w:val="22"/>
              </w:rPr>
              <w:t>-</w:t>
            </w:r>
            <w:r w:rsidRPr="00662FF9">
              <w:rPr>
                <w:rFonts w:cs="Arial"/>
                <w:szCs w:val="22"/>
              </w:rPr>
              <w:t>line test or other land-sale rules).</w:t>
            </w:r>
          </w:p>
          <w:p w14:paraId="3AEE941A" w14:textId="77777777" w:rsidR="00662FF9" w:rsidRDefault="00662FF9" w:rsidP="00662FF9">
            <w:pPr>
              <w:numPr>
                <w:ilvl w:val="0"/>
                <w:numId w:val="36"/>
              </w:numPr>
              <w:spacing w:after="0" w:line="276" w:lineRule="auto"/>
              <w:jc w:val="both"/>
              <w:rPr>
                <w:rFonts w:cs="Arial"/>
                <w:szCs w:val="22"/>
              </w:rPr>
            </w:pPr>
            <w:r w:rsidRPr="00662FF9">
              <w:rPr>
                <w:rFonts w:cs="Arial"/>
                <w:szCs w:val="22"/>
              </w:rPr>
              <w:t>The person engages in a regular pattern of selling main homes (for example, habitual renovators).</w:t>
            </w:r>
          </w:p>
          <w:p w14:paraId="6DB475CB" w14:textId="77777777" w:rsidR="00662FF9" w:rsidRPr="00662FF9" w:rsidRDefault="00662FF9" w:rsidP="00662FF9">
            <w:pPr>
              <w:spacing w:after="0" w:line="276" w:lineRule="auto"/>
              <w:ind w:left="720"/>
              <w:jc w:val="both"/>
              <w:rPr>
                <w:rFonts w:cs="Arial"/>
                <w:szCs w:val="22"/>
              </w:rPr>
            </w:pPr>
          </w:p>
          <w:p w14:paraId="3F17F078" w14:textId="08D29398" w:rsidR="00662FF9" w:rsidRDefault="00662FF9" w:rsidP="00662FF9">
            <w:pPr>
              <w:spacing w:after="0" w:line="276" w:lineRule="auto"/>
              <w:jc w:val="both"/>
              <w:rPr>
                <w:rFonts w:cs="Arial"/>
                <w:szCs w:val="22"/>
              </w:rPr>
            </w:pPr>
            <w:r w:rsidRPr="00662FF9">
              <w:rPr>
                <w:rFonts w:cs="Arial"/>
                <w:szCs w:val="22"/>
              </w:rPr>
              <w:t>Not requiring IRD numbers for people’s main homes means Inland Revenue does not have visibility of these situations and means Inland Revenue is unable to obtain a full picture around overall compliance with, and ability to enforce</w:t>
            </w:r>
            <w:r w:rsidR="009254E6">
              <w:rPr>
                <w:rFonts w:cs="Arial"/>
                <w:szCs w:val="22"/>
              </w:rPr>
              <w:t>,</w:t>
            </w:r>
            <w:r w:rsidRPr="00662FF9">
              <w:rPr>
                <w:rFonts w:cs="Arial"/>
                <w:szCs w:val="22"/>
              </w:rPr>
              <w:t xml:space="preserve"> the property tax rules.</w:t>
            </w:r>
          </w:p>
          <w:p w14:paraId="14711206" w14:textId="77777777" w:rsidR="00662FF9" w:rsidRDefault="00662FF9" w:rsidP="00A44520">
            <w:pPr>
              <w:spacing w:after="0" w:line="276" w:lineRule="auto"/>
              <w:jc w:val="both"/>
              <w:rPr>
                <w:rFonts w:cs="Arial"/>
                <w:szCs w:val="22"/>
              </w:rPr>
            </w:pPr>
          </w:p>
          <w:p w14:paraId="50CD2F45" w14:textId="47D4569B" w:rsidR="00557AC1" w:rsidRPr="0069218C" w:rsidRDefault="00557AC1" w:rsidP="00A44520">
            <w:pPr>
              <w:spacing w:after="0" w:line="276" w:lineRule="auto"/>
              <w:jc w:val="both"/>
              <w:rPr>
                <w:rFonts w:cs="Arial"/>
                <w:szCs w:val="22"/>
              </w:rPr>
            </w:pPr>
            <w:r w:rsidRPr="00557AC1">
              <w:rPr>
                <w:rFonts w:cs="Arial"/>
                <w:szCs w:val="22"/>
              </w:rPr>
              <w:t xml:space="preserve">The exemption from providing </w:t>
            </w:r>
            <w:r w:rsidR="0084219D">
              <w:rPr>
                <w:rFonts w:cs="Arial"/>
                <w:szCs w:val="22"/>
              </w:rPr>
              <w:t>information about the person’s overseas tax residence</w:t>
            </w:r>
            <w:r w:rsidRPr="00557AC1">
              <w:rPr>
                <w:rFonts w:cs="Arial"/>
                <w:szCs w:val="22"/>
              </w:rPr>
              <w:t xml:space="preserve"> means that the current rules are not as effective as they could be at deterring global tax evasion.</w:t>
            </w:r>
            <w:r w:rsidR="00F216F6">
              <w:rPr>
                <w:rFonts w:cs="Arial"/>
                <w:szCs w:val="22"/>
              </w:rPr>
              <w:t xml:space="preserve"> It is well known internationally that the provision of TINs generally in third party reporting has a strong deterrent effect </w:t>
            </w:r>
            <w:r w:rsidR="005F590A">
              <w:rPr>
                <w:rFonts w:cs="Arial"/>
                <w:szCs w:val="22"/>
              </w:rPr>
              <w:t>on</w:t>
            </w:r>
            <w:r w:rsidR="00F216F6">
              <w:rPr>
                <w:rFonts w:cs="Arial"/>
                <w:szCs w:val="22"/>
              </w:rPr>
              <w:t xml:space="preserve"> tax evasion.</w:t>
            </w:r>
          </w:p>
        </w:tc>
      </w:tr>
    </w:tbl>
    <w:p w14:paraId="6132B0D5" w14:textId="77777777" w:rsidR="00F132B2" w:rsidRPr="00567434" w:rsidRDefault="00F132B2"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6F69" w:rsidRPr="0069218C" w14:paraId="2D89690D" w14:textId="77777777" w:rsidTr="00800DEC">
        <w:trPr>
          <w:trHeight w:val="77"/>
        </w:trPr>
        <w:tc>
          <w:tcPr>
            <w:tcW w:w="5000" w:type="pct"/>
            <w:shd w:val="clear" w:color="auto" w:fill="99CDDD"/>
          </w:tcPr>
          <w:p w14:paraId="70B6BD4F"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28B21B56" w14:textId="77777777" w:rsidTr="004909E4">
        <w:trPr>
          <w:trHeight w:val="1451"/>
        </w:trPr>
        <w:tc>
          <w:tcPr>
            <w:tcW w:w="5000" w:type="pct"/>
            <w:shd w:val="clear" w:color="auto" w:fill="auto"/>
          </w:tcPr>
          <w:p w14:paraId="0B8FDA30" w14:textId="77173786" w:rsidR="00F132B2" w:rsidRPr="0069218C" w:rsidRDefault="00A52F7C" w:rsidP="00C7655A">
            <w:pPr>
              <w:spacing w:after="0" w:line="276" w:lineRule="auto"/>
              <w:jc w:val="both"/>
              <w:rPr>
                <w:rFonts w:cs="Arial"/>
                <w:szCs w:val="22"/>
              </w:rPr>
            </w:pPr>
            <w:r>
              <w:rPr>
                <w:rFonts w:cs="Arial"/>
                <w:szCs w:val="22"/>
              </w:rPr>
              <w:t xml:space="preserve">The affected parties are property conveyancers and </w:t>
            </w:r>
            <w:r w:rsidR="00A65142">
              <w:rPr>
                <w:rFonts w:cs="Arial"/>
                <w:szCs w:val="22"/>
              </w:rPr>
              <w:t xml:space="preserve">transferors </w:t>
            </w:r>
            <w:r>
              <w:rPr>
                <w:rFonts w:cs="Arial"/>
                <w:szCs w:val="22"/>
              </w:rPr>
              <w:t xml:space="preserve">and </w:t>
            </w:r>
            <w:r w:rsidR="00A65142">
              <w:rPr>
                <w:rFonts w:cs="Arial"/>
                <w:szCs w:val="22"/>
              </w:rPr>
              <w:t xml:space="preserve">transferees </w:t>
            </w:r>
            <w:r>
              <w:rPr>
                <w:rFonts w:cs="Arial"/>
                <w:szCs w:val="22"/>
              </w:rPr>
              <w:t>of main homes. Property conveyancers would be required to include their clients’ IRD numbers and</w:t>
            </w:r>
            <w:r w:rsidR="000A187D">
              <w:rPr>
                <w:rFonts w:cs="Arial"/>
                <w:szCs w:val="22"/>
              </w:rPr>
              <w:t xml:space="preserve"> any</w:t>
            </w:r>
            <w:r>
              <w:rPr>
                <w:rFonts w:cs="Arial"/>
                <w:szCs w:val="22"/>
              </w:rPr>
              <w:t xml:space="preserve"> TINs on Land Transfer Tax Statements even if the property was or will be a client’s main home. </w:t>
            </w:r>
            <w:r w:rsidR="00EA0A04">
              <w:rPr>
                <w:rFonts w:cs="Arial"/>
                <w:szCs w:val="22"/>
              </w:rPr>
              <w:t xml:space="preserve">Transferees </w:t>
            </w:r>
            <w:r>
              <w:rPr>
                <w:rFonts w:cs="Arial"/>
                <w:szCs w:val="22"/>
              </w:rPr>
              <w:t xml:space="preserve">and </w:t>
            </w:r>
            <w:r w:rsidR="006F2FC7" w:rsidRPr="00A44520">
              <w:rPr>
                <w:rFonts w:cs="Arial"/>
                <w:szCs w:val="22"/>
              </w:rPr>
              <w:t>transferors</w:t>
            </w:r>
            <w:r>
              <w:rPr>
                <w:rFonts w:cs="Arial"/>
                <w:szCs w:val="22"/>
              </w:rPr>
              <w:t xml:space="preserve"> of main homes will need to ensure their IRD number and</w:t>
            </w:r>
            <w:r w:rsidR="000A187D">
              <w:rPr>
                <w:rFonts w:cs="Arial"/>
                <w:szCs w:val="22"/>
              </w:rPr>
              <w:t xml:space="preserve"> any </w:t>
            </w:r>
            <w:r>
              <w:rPr>
                <w:rFonts w:cs="Arial"/>
                <w:szCs w:val="22"/>
              </w:rPr>
              <w:t>TIN</w:t>
            </w:r>
            <w:r w:rsidR="000A187D">
              <w:rPr>
                <w:rFonts w:cs="Arial"/>
                <w:szCs w:val="22"/>
              </w:rPr>
              <w:t>s</w:t>
            </w:r>
            <w:r>
              <w:rPr>
                <w:rFonts w:cs="Arial"/>
                <w:szCs w:val="22"/>
              </w:rPr>
              <w:t xml:space="preserve"> </w:t>
            </w:r>
            <w:r w:rsidR="000A187D">
              <w:rPr>
                <w:rFonts w:cs="Arial"/>
                <w:szCs w:val="22"/>
              </w:rPr>
              <w:t>are</w:t>
            </w:r>
            <w:r>
              <w:rPr>
                <w:rFonts w:cs="Arial"/>
                <w:szCs w:val="22"/>
              </w:rPr>
              <w:t xml:space="preserve"> provided to their property conveyancer.</w:t>
            </w:r>
          </w:p>
        </w:tc>
      </w:tr>
    </w:tbl>
    <w:p w14:paraId="53CF790C" w14:textId="77777777" w:rsidR="000C3197" w:rsidRPr="00567434" w:rsidRDefault="000C3197" w:rsidP="00567434">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4CE4" w:rsidRPr="0069218C" w14:paraId="6102FA22" w14:textId="77777777" w:rsidTr="00800DEC">
        <w:trPr>
          <w:trHeight w:val="77"/>
        </w:trPr>
        <w:tc>
          <w:tcPr>
            <w:tcW w:w="5000" w:type="pct"/>
            <w:shd w:val="clear" w:color="auto" w:fill="99CDDD"/>
          </w:tcPr>
          <w:p w14:paraId="5963B426" w14:textId="77777777" w:rsidR="00304CE4" w:rsidRPr="00886DFF" w:rsidRDefault="00F63B99" w:rsidP="00EC6FAD">
            <w:pPr>
              <w:pStyle w:val="TableHeadings"/>
              <w:rPr>
                <w:szCs w:val="22"/>
              </w:rPr>
            </w:pPr>
            <w:r w:rsidRPr="00886DFF">
              <w:rPr>
                <w:szCs w:val="22"/>
              </w:rPr>
              <w:t>2.3</w:t>
            </w:r>
            <w:r w:rsidR="002A56F0" w:rsidRPr="00886DFF">
              <w:rPr>
                <w:szCs w:val="22"/>
              </w:rPr>
              <w:t xml:space="preserve">   </w:t>
            </w:r>
            <w:r w:rsidR="00F132B2" w:rsidRPr="00886DFF">
              <w:rPr>
                <w:szCs w:val="22"/>
              </w:rPr>
              <w:t>Are there any constraints on the scope for decision making</w:t>
            </w:r>
            <w:r w:rsidR="00304CE4" w:rsidRPr="00886DFF">
              <w:rPr>
                <w:szCs w:val="22"/>
              </w:rPr>
              <w:t xml:space="preserve">? </w:t>
            </w:r>
          </w:p>
        </w:tc>
      </w:tr>
      <w:tr w:rsidR="00F132B2" w:rsidRPr="0069218C" w14:paraId="152FAE37" w14:textId="77777777" w:rsidTr="004909E4">
        <w:trPr>
          <w:trHeight w:val="1572"/>
        </w:trPr>
        <w:tc>
          <w:tcPr>
            <w:tcW w:w="5000" w:type="pct"/>
            <w:shd w:val="clear" w:color="auto" w:fill="auto"/>
          </w:tcPr>
          <w:p w14:paraId="7FAC6F1D" w14:textId="38AF64B7" w:rsidR="00F132B2" w:rsidRPr="0069218C" w:rsidRDefault="00A52F7C" w:rsidP="00C7655A">
            <w:pPr>
              <w:spacing w:after="0" w:line="276" w:lineRule="auto"/>
              <w:jc w:val="both"/>
              <w:rPr>
                <w:rFonts w:cs="Arial"/>
                <w:szCs w:val="22"/>
              </w:rPr>
            </w:pPr>
            <w:r w:rsidRPr="00D01A30">
              <w:rPr>
                <w:rFonts w:cs="Arial"/>
                <w:szCs w:val="22"/>
              </w:rPr>
              <w:t xml:space="preserve">Due to the timelines we have been </w:t>
            </w:r>
            <w:r w:rsidR="001E07A3" w:rsidRPr="00D01A30">
              <w:rPr>
                <w:rFonts w:cs="Arial"/>
                <w:szCs w:val="22"/>
              </w:rPr>
              <w:t>only be</w:t>
            </w:r>
            <w:r w:rsidR="002D6A10" w:rsidRPr="00D01A30">
              <w:rPr>
                <w:rFonts w:cs="Arial"/>
                <w:szCs w:val="22"/>
              </w:rPr>
              <w:t>e</w:t>
            </w:r>
            <w:r w:rsidR="001E07A3" w:rsidRPr="00D01A30">
              <w:rPr>
                <w:rFonts w:cs="Arial"/>
                <w:szCs w:val="22"/>
              </w:rPr>
              <w:t>n able to undertake limited consul</w:t>
            </w:r>
            <w:r w:rsidR="002D6A10" w:rsidRPr="00D01A30">
              <w:rPr>
                <w:rFonts w:cs="Arial"/>
                <w:szCs w:val="22"/>
              </w:rPr>
              <w:t>tation</w:t>
            </w:r>
            <w:r w:rsidR="0098499C" w:rsidRPr="00D01A30">
              <w:rPr>
                <w:rFonts w:cs="Arial"/>
                <w:szCs w:val="22"/>
              </w:rPr>
              <w:t xml:space="preserve"> with external stakeholders</w:t>
            </w:r>
            <w:r w:rsidR="002D6A10" w:rsidRPr="00D01A30">
              <w:rPr>
                <w:rFonts w:cs="Arial"/>
                <w:szCs w:val="22"/>
              </w:rPr>
              <w:t>.</w:t>
            </w:r>
            <w:r>
              <w:rPr>
                <w:rFonts w:cs="Arial"/>
                <w:szCs w:val="22"/>
              </w:rPr>
              <w:t xml:space="preserve"> Therefore, we are unable to consider additional options </w:t>
            </w:r>
            <w:r w:rsidR="005306B6">
              <w:rPr>
                <w:rFonts w:cs="Arial"/>
                <w:szCs w:val="22"/>
              </w:rPr>
              <w:t>stakeholders may have raised before seeking a Cabinet decision on the proposal.</w:t>
            </w:r>
          </w:p>
        </w:tc>
      </w:tr>
    </w:tbl>
    <w:p w14:paraId="613B1F10" w14:textId="77777777" w:rsidR="00E92509" w:rsidRDefault="00A552DC" w:rsidP="00293FDC">
      <w:pPr>
        <w:pStyle w:val="Heading2"/>
      </w:pPr>
      <w:r w:rsidRPr="0069218C">
        <w:rPr>
          <w:lang w:val="en-NZ"/>
        </w:rPr>
        <w:br w:type="page"/>
      </w:r>
      <w:r w:rsidR="00BE62EB" w:rsidRPr="002D5734">
        <w:lastRenderedPageBreak/>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51A88" w:rsidRPr="0069218C" w14:paraId="53E494FB" w14:textId="77777777" w:rsidTr="00800DEC">
        <w:trPr>
          <w:trHeight w:val="77"/>
        </w:trPr>
        <w:tc>
          <w:tcPr>
            <w:tcW w:w="5000" w:type="pct"/>
            <w:shd w:val="clear" w:color="auto" w:fill="99CDDD"/>
          </w:tcPr>
          <w:p w14:paraId="342393A9"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618C6C58" w14:textId="77777777" w:rsidTr="00C7655A">
        <w:trPr>
          <w:trHeight w:val="3161"/>
        </w:trPr>
        <w:tc>
          <w:tcPr>
            <w:tcW w:w="5000" w:type="pct"/>
            <w:shd w:val="clear" w:color="auto" w:fill="auto"/>
          </w:tcPr>
          <w:p w14:paraId="0334522E" w14:textId="77777777" w:rsidR="00F132B2" w:rsidRDefault="00557AC1" w:rsidP="00C7655A">
            <w:r>
              <w:t>The following criteria have been used to assess the options:</w:t>
            </w:r>
          </w:p>
          <w:p w14:paraId="09415EE5" w14:textId="713E2D52" w:rsidR="00557AC1" w:rsidRDefault="005306B6" w:rsidP="00557AC1">
            <w:pPr>
              <w:numPr>
                <w:ilvl w:val="0"/>
                <w:numId w:val="35"/>
              </w:numPr>
            </w:pPr>
            <w:r>
              <w:t xml:space="preserve">Enforcement – the option should increase the effective enforcement of current tax rules relating to property transactions and help prevent non-residents from evading foreign tax on their </w:t>
            </w:r>
            <w:r w:rsidR="00135619">
              <w:t>transfer</w:t>
            </w:r>
            <w:r>
              <w:t xml:space="preserve"> of New Zealand property.</w:t>
            </w:r>
          </w:p>
          <w:p w14:paraId="2BE222CE" w14:textId="17E3E05E" w:rsidR="005306B6" w:rsidRDefault="005306B6" w:rsidP="00557AC1">
            <w:pPr>
              <w:numPr>
                <w:ilvl w:val="0"/>
                <w:numId w:val="35"/>
              </w:numPr>
            </w:pPr>
            <w:r>
              <w:t xml:space="preserve">Compliance costs – the option should not unnecessarily increase compliance costs for property conveyancers and </w:t>
            </w:r>
            <w:r w:rsidR="00EA0A04">
              <w:rPr>
                <w:rFonts w:cs="Arial"/>
                <w:szCs w:val="22"/>
              </w:rPr>
              <w:t>transferees</w:t>
            </w:r>
            <w:r>
              <w:t xml:space="preserve"> and </w:t>
            </w:r>
            <w:r w:rsidR="006F2FC7" w:rsidRPr="00A44520">
              <w:rPr>
                <w:rFonts w:cs="Arial"/>
                <w:szCs w:val="22"/>
              </w:rPr>
              <w:t>transferors</w:t>
            </w:r>
            <w:r>
              <w:t xml:space="preserve"> of</w:t>
            </w:r>
            <w:r w:rsidR="00055E0D">
              <w:t xml:space="preserve"> properties.</w:t>
            </w:r>
          </w:p>
          <w:p w14:paraId="1D5DF85E" w14:textId="457B34FF" w:rsidR="00055E0D" w:rsidRDefault="00055E0D" w:rsidP="00557AC1">
            <w:pPr>
              <w:numPr>
                <w:ilvl w:val="0"/>
                <w:numId w:val="35"/>
              </w:numPr>
            </w:pPr>
            <w:r>
              <w:t>Administration costs – the option should not unnecessarily increase administration costs for LINZ and I</w:t>
            </w:r>
            <w:r w:rsidR="00AF662A">
              <w:t>nland Revenue</w:t>
            </w:r>
            <w:r w:rsidR="005F590A">
              <w:t>.</w:t>
            </w:r>
          </w:p>
          <w:p w14:paraId="390DF9F0" w14:textId="77777777" w:rsidR="00C7655A" w:rsidRPr="00557AC1" w:rsidRDefault="00557AC1" w:rsidP="00C7655A">
            <w:pPr>
              <w:rPr>
                <w:b/>
              </w:rPr>
            </w:pPr>
            <w:r w:rsidRPr="00557AC1">
              <w:rPr>
                <w:b/>
              </w:rPr>
              <w:t>Option 1: Status Quo</w:t>
            </w:r>
          </w:p>
          <w:p w14:paraId="683A4ED4" w14:textId="15117B00" w:rsidR="00557AC1" w:rsidRDefault="005306B6" w:rsidP="00C7655A">
            <w:r>
              <w:t xml:space="preserve">Under the status quo, </w:t>
            </w:r>
            <w:r w:rsidR="00055E0D">
              <w:t xml:space="preserve">IRD numbers and </w:t>
            </w:r>
            <w:r w:rsidR="00D07CD6">
              <w:t>overseas tax information (</w:t>
            </w:r>
            <w:r w:rsidR="00055E0D">
              <w:t>TINs</w:t>
            </w:r>
            <w:r w:rsidR="00D07CD6">
              <w:t xml:space="preserve"> and country of residence)</w:t>
            </w:r>
            <w:r w:rsidR="00055E0D">
              <w:t xml:space="preserve"> are not required on the Land Transfer Tax Statement if </w:t>
            </w:r>
            <w:r w:rsidR="005F590A">
              <w:t>the property</w:t>
            </w:r>
            <w:r w:rsidR="00055E0D">
              <w:t xml:space="preserve"> was the </w:t>
            </w:r>
            <w:r w:rsidR="006F2FC7" w:rsidRPr="00A44520">
              <w:rPr>
                <w:rFonts w:cs="Arial"/>
                <w:szCs w:val="22"/>
              </w:rPr>
              <w:t>transferor</w:t>
            </w:r>
            <w:r w:rsidR="00055E0D">
              <w:t xml:space="preserve">’s main home or will be the </w:t>
            </w:r>
            <w:r w:rsidR="00B72440">
              <w:t>t</w:t>
            </w:r>
            <w:r w:rsidR="00EA0A04">
              <w:rPr>
                <w:rFonts w:cs="Arial"/>
                <w:szCs w:val="22"/>
              </w:rPr>
              <w:t>ransferee</w:t>
            </w:r>
            <w:r w:rsidR="00055E0D">
              <w:t>’s main home.</w:t>
            </w:r>
            <w:r w:rsidR="00C90D93">
              <w:t xml:space="preserve"> </w:t>
            </w:r>
          </w:p>
          <w:p w14:paraId="0AE5523A" w14:textId="7052859B" w:rsidR="00557AC1" w:rsidRPr="00557AC1" w:rsidRDefault="00557AC1" w:rsidP="00C7655A">
            <w:pPr>
              <w:rPr>
                <w:b/>
              </w:rPr>
            </w:pPr>
            <w:r w:rsidRPr="00557AC1">
              <w:rPr>
                <w:b/>
              </w:rPr>
              <w:t xml:space="preserve">Option </w:t>
            </w:r>
            <w:r w:rsidR="00662731">
              <w:rPr>
                <w:b/>
              </w:rPr>
              <w:t>2</w:t>
            </w:r>
            <w:r w:rsidRPr="00557AC1">
              <w:rPr>
                <w:b/>
              </w:rPr>
              <w:t xml:space="preserve">: Require IRD numbers and TINs to be provided on the Land Transfer Tax Statement with an </w:t>
            </w:r>
            <w:r w:rsidR="005F590A" w:rsidRPr="00557AC1">
              <w:rPr>
                <w:b/>
              </w:rPr>
              <w:t>indicator</w:t>
            </w:r>
            <w:r w:rsidRPr="00557AC1">
              <w:rPr>
                <w:b/>
              </w:rPr>
              <w:t xml:space="preserve"> of whether the property was or will be a main home (proposed option).</w:t>
            </w:r>
          </w:p>
          <w:p w14:paraId="1A902C27" w14:textId="190FE0E7" w:rsidR="00557AC1" w:rsidRDefault="004D1194" w:rsidP="00C7655A">
            <w:r>
              <w:t>Under this option, IRD numbers and TINs would be required to be provided on the Land Transfer Tax Statement even if the property was or will be a main home</w:t>
            </w:r>
            <w:r w:rsidR="00241E68">
              <w:t>.</w:t>
            </w:r>
            <w:r w:rsidR="001D7776">
              <w:t xml:space="preserve"> </w:t>
            </w:r>
            <w:r w:rsidR="0018274F">
              <w:t xml:space="preserve">Under this option, </w:t>
            </w:r>
            <w:r w:rsidR="00B72440">
              <w:rPr>
                <w:rFonts w:cs="Arial"/>
                <w:szCs w:val="22"/>
              </w:rPr>
              <w:t>transferees</w:t>
            </w:r>
            <w:r w:rsidR="00B72440" w:rsidDel="00B72440">
              <w:t xml:space="preserve"> </w:t>
            </w:r>
            <w:r>
              <w:t xml:space="preserve">and </w:t>
            </w:r>
            <w:r w:rsidR="00EA0A04" w:rsidRPr="00A44520">
              <w:rPr>
                <w:rFonts w:cs="Arial"/>
                <w:szCs w:val="22"/>
              </w:rPr>
              <w:t>transferors</w:t>
            </w:r>
            <w:r>
              <w:t xml:space="preserve"> of property would still need to indicate on the Land Transfer Tax Statement </w:t>
            </w:r>
            <w:r w:rsidR="00794485">
              <w:t>whether</w:t>
            </w:r>
            <w:r>
              <w:t xml:space="preserve"> the property was or will be a main home.</w:t>
            </w:r>
            <w:r w:rsidR="00721A98">
              <w:t xml:space="preserve"> However, </w:t>
            </w:r>
            <w:r w:rsidR="00464835">
              <w:t>it is intended to re-draft this test to make it simpler to apply t</w:t>
            </w:r>
            <w:r w:rsidR="00721A98">
              <w:t xml:space="preserve">han the existing “main home test”.  </w:t>
            </w:r>
          </w:p>
          <w:p w14:paraId="27FA86AC" w14:textId="77777777" w:rsidR="00794485" w:rsidRDefault="00794485" w:rsidP="00794485">
            <w:r>
              <w:t>This option would be the best from an enforcement perspective.</w:t>
            </w:r>
            <w:r w:rsidR="00D009E6">
              <w:t xml:space="preserve"> The provision of IRD numbers </w:t>
            </w:r>
            <w:r w:rsidR="00D134B6">
              <w:t xml:space="preserve">on all property transactions means Inland Revenue will have visibility of situations in which a transaction may be taxable despite involving a main home. Furthermore, the requirement to provide an IRD number on </w:t>
            </w:r>
            <w:r w:rsidR="00B04601">
              <w:t>t</w:t>
            </w:r>
            <w:r w:rsidR="00D134B6">
              <w:t>he Land Transfer Tax Statement</w:t>
            </w:r>
            <w:r w:rsidR="00B04601">
              <w:t xml:space="preserve"> for main homes</w:t>
            </w:r>
            <w:r w:rsidR="00D134B6">
              <w:t xml:space="preserve"> may have a </w:t>
            </w:r>
            <w:r w:rsidR="00F114EF">
              <w:t>deterrent</w:t>
            </w:r>
            <w:r w:rsidR="00D134B6">
              <w:t xml:space="preserve"> effect </w:t>
            </w:r>
            <w:r w:rsidR="00B04601">
              <w:t>on people who may be considering tax evasion through property.</w:t>
            </w:r>
          </w:p>
          <w:p w14:paraId="510D384B" w14:textId="77777777" w:rsidR="00B04601" w:rsidRDefault="00B04601" w:rsidP="00794485">
            <w:r>
              <w:t>Requiring the provision of TINs when transferring main homes without exemptions will help to ensure that data provided to treaty partners is easily available to be matched to the correct person.</w:t>
            </w:r>
          </w:p>
          <w:p w14:paraId="03357DDA" w14:textId="4860F678" w:rsidR="00A51482" w:rsidRDefault="00B04601" w:rsidP="00794485">
            <w:r>
              <w:t>The retention of an indic</w:t>
            </w:r>
            <w:r w:rsidR="005F590A">
              <w:t>a</w:t>
            </w:r>
            <w:r>
              <w:t xml:space="preserve">tor on the Land Transfer Tax Statement </w:t>
            </w:r>
            <w:r w:rsidR="005F590A">
              <w:t>for</w:t>
            </w:r>
            <w:r>
              <w:t xml:space="preserve"> whether a property is a main home would allow Inland Revenue to </w:t>
            </w:r>
            <w:r w:rsidRPr="00B04601">
              <w:t>identify taxpayers who should be sent follow up information and correspondence advising of property tax rules and those who are unlikely to have tax obligations arising from the property transfer.</w:t>
            </w:r>
            <w:r w:rsidR="00A51482">
              <w:t xml:space="preserve"> </w:t>
            </w:r>
          </w:p>
          <w:p w14:paraId="62A7A798" w14:textId="11FD44F1" w:rsidR="00CB6709" w:rsidRDefault="00662731" w:rsidP="00C7655A">
            <w:r>
              <w:t>This</w:t>
            </w:r>
            <w:r w:rsidR="00794485">
              <w:t xml:space="preserve"> option would result in a slight increase in compliance costs relative to the status quo as property conveyancers would need to obtain their client’s IRD number and</w:t>
            </w:r>
            <w:r w:rsidR="000A187D">
              <w:t xml:space="preserve"> any </w:t>
            </w:r>
            <w:r w:rsidR="00794485">
              <w:t>TIN</w:t>
            </w:r>
            <w:r w:rsidR="000A187D">
              <w:t>s</w:t>
            </w:r>
            <w:r w:rsidR="00794485">
              <w:t xml:space="preserve"> and include th</w:t>
            </w:r>
            <w:r w:rsidR="000A187D">
              <w:t>e</w:t>
            </w:r>
            <w:r w:rsidR="00794485">
              <w:t>s</w:t>
            </w:r>
            <w:r w:rsidR="000A187D">
              <w:t>e</w:t>
            </w:r>
            <w:r w:rsidR="00794485">
              <w:t xml:space="preserve"> on the Land Transfer Tax Statement even if the property is a main home.</w:t>
            </w:r>
            <w:r w:rsidR="00A7170C">
              <w:t xml:space="preserve"> </w:t>
            </w:r>
          </w:p>
          <w:p w14:paraId="51389D68" w14:textId="18027CA6" w:rsidR="008358C9" w:rsidRDefault="00CB6709" w:rsidP="00CB6709">
            <w:r>
              <w:lastRenderedPageBreak/>
              <w:t>The RIS that was prepared for the 2015 change commented in relation to this option that: “</w:t>
            </w:r>
            <w:r w:rsidRPr="00F363B4">
              <w:rPr>
                <w:i/>
              </w:rPr>
              <w:t xml:space="preserve">The actual compliance costs likely to be imposed by the proposal have not been accurately </w:t>
            </w:r>
            <w:proofErr w:type="gramStart"/>
            <w:r w:rsidRPr="00F363B4">
              <w:rPr>
                <w:i/>
              </w:rPr>
              <w:t>determined, but</w:t>
            </w:r>
            <w:proofErr w:type="gramEnd"/>
            <w:r w:rsidRPr="00F363B4">
              <w:rPr>
                <w:i/>
              </w:rPr>
              <w:t xml:space="preserve"> are not expected to be high given that identity verification information is already supplied to LINZ. A conveyancer is likely to spend an additional 1-5 minutes entering information into </w:t>
            </w:r>
            <w:proofErr w:type="spellStart"/>
            <w:r w:rsidRPr="00F363B4">
              <w:rPr>
                <w:i/>
              </w:rPr>
              <w:t>Landonline</w:t>
            </w:r>
            <w:proofErr w:type="spellEnd"/>
            <w:r w:rsidRPr="00F363B4">
              <w:rPr>
                <w:i/>
              </w:rPr>
              <w:t>, resulting in an additional cost of between $4 and $20 for purchaser and seller</w:t>
            </w:r>
            <w:r>
              <w:t>.”</w:t>
            </w:r>
            <w:r w:rsidR="008358C9">
              <w:t xml:space="preserve"> </w:t>
            </w:r>
            <w:r w:rsidR="00025D4B">
              <w:t xml:space="preserve"> We do not have further information to suggest whether</w:t>
            </w:r>
            <w:r w:rsidR="000D19C3">
              <w:t xml:space="preserve"> or not</w:t>
            </w:r>
            <w:r w:rsidR="00025D4B">
              <w:t xml:space="preserve"> this assessment was correct</w:t>
            </w:r>
            <w:r w:rsidR="000D19C3">
              <w:t xml:space="preserve">. </w:t>
            </w:r>
          </w:p>
          <w:p w14:paraId="79657F9B" w14:textId="54D553B3" w:rsidR="00A7170C" w:rsidRDefault="00A7170C" w:rsidP="00C7655A">
            <w:r>
              <w:t xml:space="preserve">In the year ended 30 June 2018 there were 179,178 property transfers. Since the Land Transfer Tax Statement was introduced until 28 February 2019 the main home exemption has been claimed by </w:t>
            </w:r>
            <w:r w:rsidR="00EA0A04" w:rsidRPr="00A44520">
              <w:rPr>
                <w:rFonts w:cs="Arial"/>
                <w:szCs w:val="22"/>
              </w:rPr>
              <w:t>transferors</w:t>
            </w:r>
            <w:r w:rsidR="00EA0A04" w:rsidDel="00EA0A04">
              <w:t xml:space="preserve"> </w:t>
            </w:r>
            <w:r>
              <w:t xml:space="preserve">27% of the time and by </w:t>
            </w:r>
            <w:r w:rsidR="0018274F">
              <w:t xml:space="preserve">transferees </w:t>
            </w:r>
            <w:r>
              <w:t>37% of the time.</w:t>
            </w:r>
          </w:p>
          <w:p w14:paraId="4FB75EF1" w14:textId="3F4DAB63" w:rsidR="00B94D94" w:rsidRDefault="00A7170C" w:rsidP="00B94D94">
            <w:r>
              <w:t xml:space="preserve">While this option would increase compliance costs for the 27% of </w:t>
            </w:r>
            <w:r w:rsidR="00EA0A04" w:rsidRPr="00A44520">
              <w:rPr>
                <w:rFonts w:cs="Arial"/>
                <w:szCs w:val="22"/>
              </w:rPr>
              <w:t>transferors</w:t>
            </w:r>
            <w:r w:rsidR="00EA0A04" w:rsidDel="00EA0A04">
              <w:t xml:space="preserve"> </w:t>
            </w:r>
            <w:r>
              <w:t xml:space="preserve">and 37% of </w:t>
            </w:r>
            <w:r w:rsidR="0018274F">
              <w:t xml:space="preserve">transferees </w:t>
            </w:r>
            <w:r>
              <w:t>who claim the main home exemption (and their respective conveyancers), the provision of IRD numbers</w:t>
            </w:r>
            <w:r w:rsidR="00B94D94">
              <w:t xml:space="preserve"> or overseas tax information</w:t>
            </w:r>
            <w:r>
              <w:t xml:space="preserve"> is not an onerous compliance cost.</w:t>
            </w:r>
            <w:r w:rsidR="00662731">
              <w:t xml:space="preserve"> We expect that the vast majority of individuals who own, or will own homes, will already have an IRD number, and be able to find it out relatively simply.</w:t>
            </w:r>
            <w:r>
              <w:t xml:space="preserve"> Furthermore, the </w:t>
            </w:r>
            <w:r w:rsidR="00D009E6">
              <w:t xml:space="preserve">provision of IRD numbers is already required in many other situations such as when a person starts a new job, opens a bank account or switches </w:t>
            </w:r>
            <w:proofErr w:type="spellStart"/>
            <w:r w:rsidR="00D009E6">
              <w:t>KiwiSaver</w:t>
            </w:r>
            <w:proofErr w:type="spellEnd"/>
            <w:r w:rsidR="00D009E6">
              <w:t xml:space="preserve"> provider.</w:t>
            </w:r>
            <w:r w:rsidR="00DD0DFF">
              <w:t xml:space="preserve"> </w:t>
            </w:r>
            <w:r w:rsidR="00B94D94">
              <w:t>Likewise, for homeowners who have a tax residence in another country, and who are not offshore persons, the provision of their TIN and country of tax residence is not expected to be an onerous compliance cost given that this information is now required in other circumstances when dealing with financial institutions (</w:t>
            </w:r>
            <w:r w:rsidR="001D7776">
              <w:t>e.g.</w:t>
            </w:r>
            <w:r w:rsidR="00B94D94">
              <w:t xml:space="preserve"> in order to open a New Zealand bank account). </w:t>
            </w:r>
          </w:p>
          <w:p w14:paraId="5CAD855F" w14:textId="5793C073" w:rsidR="001323CD" w:rsidRDefault="00AA1F2B" w:rsidP="00B94D94">
            <w:r>
              <w:t>However, there is a risk that as IRD numbers and overseas tax information would be required in more circumstances there may be an increase in instances of property transfers being held up owing to this information not being provided.</w:t>
            </w:r>
            <w:r w:rsidR="00826B70">
              <w:t xml:space="preserve"> </w:t>
            </w:r>
          </w:p>
          <w:p w14:paraId="7C18EF44" w14:textId="04D7D5BA" w:rsidR="00317257" w:rsidRDefault="00662731" w:rsidP="00662731">
            <w:r>
              <w:t xml:space="preserve">This option would result in a one-off increase in administration costs for Inland Revenue and LINZ compared to the status quo. These include updating relevant forms, changes to </w:t>
            </w:r>
            <w:proofErr w:type="spellStart"/>
            <w:r>
              <w:t>Landonline</w:t>
            </w:r>
            <w:proofErr w:type="spellEnd"/>
            <w:r w:rsidR="00241E68">
              <w:rPr>
                <w:rStyle w:val="FootnoteReference"/>
              </w:rPr>
              <w:footnoteReference w:id="4"/>
            </w:r>
            <w:r>
              <w:t xml:space="preserve"> and slight modifications to the data interface between LINZ and Inland Revenue. Inland Revenue may also need to make some minor system changes to enable more efficient use of the data for compliance purposes.</w:t>
            </w:r>
            <w:r w:rsidR="00826B70">
              <w:t xml:space="preserve"> </w:t>
            </w:r>
          </w:p>
          <w:p w14:paraId="672F032E" w14:textId="782B6665" w:rsidR="00826B70" w:rsidRDefault="00826B70" w:rsidP="00662731">
            <w:r w:rsidRPr="00DD0DFF">
              <w:t>The increased volume of IRD numbers provided will have a corresponding increase on the manual work required by Inland Revenue to correct any IRD numbers provided in error</w:t>
            </w:r>
            <w:r w:rsidR="00D97E19" w:rsidRPr="00DD0DFF">
              <w:t xml:space="preserve"> (which may involve checking with the conveyancer)</w:t>
            </w:r>
            <w:r w:rsidRPr="00DD0DFF">
              <w:t>.</w:t>
            </w:r>
          </w:p>
          <w:p w14:paraId="0A306AB9" w14:textId="683B139E" w:rsidR="00317257" w:rsidRDefault="00317257" w:rsidP="00662731">
            <w:r>
              <w:t xml:space="preserve">The option may also </w:t>
            </w:r>
            <w:r w:rsidR="001C6753">
              <w:t xml:space="preserve">result in some small one-off administration costs for Statistics New Zealand related to updating systems to handle the changes to the </w:t>
            </w:r>
            <w:r w:rsidR="00B30976">
              <w:t xml:space="preserve">Land Transfer Tax Statement. Inland Revenue and Statistics New Zealand may also need to alter the interface </w:t>
            </w:r>
            <w:r w:rsidR="001F4A5B">
              <w:t xml:space="preserve">used to transfer </w:t>
            </w:r>
            <w:r w:rsidR="00856807">
              <w:t>some additional or altered Land Transfer Tax Statement information.</w:t>
            </w:r>
          </w:p>
          <w:p w14:paraId="5FE91CCB" w14:textId="75C4F8CB" w:rsidR="00662731" w:rsidRDefault="00662731" w:rsidP="00662731">
            <w:r>
              <w:t>The total increase in administration costs from this option is not expected to be significant.</w:t>
            </w:r>
          </w:p>
          <w:p w14:paraId="75824E54" w14:textId="1B59D265" w:rsidR="00662731" w:rsidRPr="00557AC1" w:rsidRDefault="00662731" w:rsidP="00B94D94">
            <w:pPr>
              <w:rPr>
                <w:b/>
              </w:rPr>
            </w:pPr>
            <w:r w:rsidRPr="00557AC1">
              <w:rPr>
                <w:b/>
              </w:rPr>
              <w:t xml:space="preserve">Option </w:t>
            </w:r>
            <w:r>
              <w:rPr>
                <w:b/>
              </w:rPr>
              <w:t>3</w:t>
            </w:r>
            <w:r w:rsidRPr="00557AC1">
              <w:rPr>
                <w:b/>
              </w:rPr>
              <w:t>: Require IRD numbers and TINs to be provided on the Land Transfer Tax Statement with no indicator of whether the property was or will be a main home.</w:t>
            </w:r>
          </w:p>
          <w:p w14:paraId="2303E680" w14:textId="52282EBD" w:rsidR="00662731" w:rsidRDefault="00662731" w:rsidP="00662731">
            <w:r>
              <w:lastRenderedPageBreak/>
              <w:t>Under this option, IRD numbers and TINs would be required to be provided on the Land Transfer Tax Statement even if the property was or will be a main home. However,</w:t>
            </w:r>
            <w:r w:rsidR="00B94D94">
              <w:t xml:space="preserve"> unlike option 2,</w:t>
            </w:r>
            <w:r>
              <w:t xml:space="preserve"> there would be no indicator on the form as to whether a property is or will be a main home.</w:t>
            </w:r>
          </w:p>
          <w:p w14:paraId="67AE8B3F" w14:textId="77777777" w:rsidR="00662731" w:rsidRDefault="00662731" w:rsidP="00662731">
            <w:r>
              <w:t>While this option would likely be better from an enforcement perspective than the status quo, the lack of an indicator of whether a property was or will be a main home would make it difficult for Inland Revenue to distinguish between taxpayers who should be included in property compliance campaigns from those who are unlikely to have tax consequences under the property tax rules.</w:t>
            </w:r>
          </w:p>
          <w:p w14:paraId="2E20EC6B" w14:textId="1988C31F" w:rsidR="00662731" w:rsidRDefault="00B94D94" w:rsidP="00662731">
            <w:r>
              <w:t>Like option 2, this option would result in a slight increase in compliance costs relative to the status quo as</w:t>
            </w:r>
            <w:r w:rsidR="00662731">
              <w:t xml:space="preserve"> property conveyancers would need to obtain their client’s IRD number and/or TIN and include this on the Land Transfer Tax Statement even if the property is a main home.</w:t>
            </w:r>
          </w:p>
          <w:p w14:paraId="52551D46" w14:textId="77777777" w:rsidR="005F590A" w:rsidRDefault="00662731" w:rsidP="00662731">
            <w:r>
              <w:t>Where it is not clear whether a person’s property is a main home, this option would likely reduce compliance costs slightly relative to the status quo as property conveyancers would not need to determine whether a property is a main home. While in many cases it will be obvious whether a property was or will be a main home, it can be difficult to determine in cases when a person owns multiple homes.</w:t>
            </w:r>
          </w:p>
          <w:p w14:paraId="5036CE12" w14:textId="3582A06E" w:rsidR="00662731" w:rsidRPr="0069218C" w:rsidRDefault="00662731" w:rsidP="00C7655A">
            <w:r>
              <w:t>The administration costs of this option are comparable to option 2.</w:t>
            </w:r>
          </w:p>
        </w:tc>
      </w:tr>
    </w:tbl>
    <w:p w14:paraId="632543B5" w14:textId="77777777" w:rsidR="00F132B2" w:rsidRPr="00567434" w:rsidRDefault="00F132B2" w:rsidP="00567434">
      <w:pPr>
        <w:pStyle w:val="space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2D5734" w:rsidRPr="0069218C" w14:paraId="435F9A76" w14:textId="77777777" w:rsidTr="00800DEC">
        <w:trPr>
          <w:trHeight w:val="84"/>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27A36B7E"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5750522" w14:textId="77777777" w:rsidTr="0035047F">
        <w:trPr>
          <w:trHeight w:val="335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5B58AF7" w14:textId="20897557" w:rsidR="00F132B2" w:rsidRDefault="00551579" w:rsidP="0069218C">
            <w:pPr>
              <w:spacing w:after="0" w:line="276" w:lineRule="auto"/>
              <w:jc w:val="both"/>
              <w:rPr>
                <w:rFonts w:cs="Arial"/>
                <w:szCs w:val="22"/>
              </w:rPr>
            </w:pPr>
            <w:r>
              <w:rPr>
                <w:rFonts w:cs="Arial"/>
                <w:szCs w:val="22"/>
              </w:rPr>
              <w:t xml:space="preserve">The proposed approach is option </w:t>
            </w:r>
            <w:r w:rsidR="00662731">
              <w:rPr>
                <w:rFonts w:cs="Arial"/>
                <w:szCs w:val="22"/>
              </w:rPr>
              <w:t>2</w:t>
            </w:r>
            <w:r w:rsidR="00B04601">
              <w:rPr>
                <w:rFonts w:cs="Arial"/>
                <w:szCs w:val="22"/>
              </w:rPr>
              <w:t xml:space="preserve"> as it would best enhance the effective enforcement of current tax rules relating to property. While this option would increase compliance and administration costs relative to the status quo, these increases in costs are likely to be low and are justified by </w:t>
            </w:r>
            <w:r w:rsidR="0035047F">
              <w:rPr>
                <w:rFonts w:cs="Arial"/>
                <w:szCs w:val="22"/>
              </w:rPr>
              <w:t>the improvements to Inland Revenue’s enforcement of tax rules relating to property.</w:t>
            </w:r>
          </w:p>
          <w:p w14:paraId="60A1075C" w14:textId="77777777" w:rsidR="0035047F" w:rsidRDefault="0035047F" w:rsidP="0069218C">
            <w:pPr>
              <w:spacing w:after="0" w:line="276" w:lineRule="auto"/>
              <w:jc w:val="both"/>
              <w:rPr>
                <w:rFonts w:cs="Arial"/>
                <w:szCs w:val="22"/>
              </w:rPr>
            </w:pPr>
          </w:p>
          <w:p w14:paraId="1CA44843" w14:textId="32994D8D" w:rsidR="00F132B2" w:rsidRPr="0069218C" w:rsidRDefault="0035047F" w:rsidP="00C7655A">
            <w:pPr>
              <w:spacing w:after="0" w:line="276" w:lineRule="auto"/>
              <w:jc w:val="both"/>
              <w:rPr>
                <w:rFonts w:cs="Arial"/>
                <w:szCs w:val="22"/>
              </w:rPr>
            </w:pPr>
            <w:r>
              <w:rPr>
                <w:rFonts w:cs="Arial"/>
                <w:szCs w:val="22"/>
              </w:rPr>
              <w:t xml:space="preserve">The proposed approach is generally aligned with the Government’s expectations for the design of regulatory systems. However, </w:t>
            </w:r>
            <w:r w:rsidR="0098499C">
              <w:rPr>
                <w:rFonts w:cs="Arial"/>
                <w:szCs w:val="22"/>
              </w:rPr>
              <w:t xml:space="preserve">there has been limited opportunity for </w:t>
            </w:r>
            <w:r>
              <w:rPr>
                <w:rFonts w:cs="Arial"/>
                <w:szCs w:val="22"/>
              </w:rPr>
              <w:t>affected parties to comment on the proposal before it is formally proposed.</w:t>
            </w:r>
          </w:p>
        </w:tc>
      </w:tr>
    </w:tbl>
    <w:p w14:paraId="5552DE8A" w14:textId="77777777" w:rsidR="00BE4A62" w:rsidRPr="00030EC1" w:rsidRDefault="00D9793F" w:rsidP="00293FDC">
      <w:pPr>
        <w:pStyle w:val="Heading2"/>
      </w:pPr>
      <w:r w:rsidRPr="0069218C">
        <w:rPr>
          <w:rFonts w:cs="Arial"/>
          <w:sz w:val="22"/>
          <w:lang w:val="en-NZ"/>
        </w:rPr>
        <w:br w:type="page"/>
      </w:r>
      <w:r w:rsidR="00E92509" w:rsidRPr="002D5734">
        <w:lastRenderedPageBreak/>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D5BF0" w:rsidRPr="0069218C" w14:paraId="3EDEF570" w14:textId="77777777" w:rsidTr="006D3130">
        <w:trPr>
          <w:trHeight w:val="77"/>
        </w:trPr>
        <w:tc>
          <w:tcPr>
            <w:tcW w:w="5000" w:type="pct"/>
            <w:tcBorders>
              <w:bottom w:val="single" w:sz="4" w:space="0" w:color="auto"/>
            </w:tcBorders>
            <w:shd w:val="clear" w:color="auto" w:fill="99CDDD"/>
            <w:hideMark/>
          </w:tcPr>
          <w:p w14:paraId="67303144"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0A7AAD92" w14:textId="77777777" w:rsidR="00D9793F" w:rsidRPr="0069218C" w:rsidRDefault="00D9793F" w:rsidP="00567434">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5"/>
      </w:tblGrid>
      <w:tr w:rsidR="00380585" w:rsidRPr="0069218C" w14:paraId="734B4230" w14:textId="77777777" w:rsidTr="00030EC1">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80C0D5"/>
          </w:tcPr>
          <w:p w14:paraId="1F617263"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252" w:type="dxa"/>
            <w:tcBorders>
              <w:top w:val="single" w:sz="2" w:space="0" w:color="auto"/>
              <w:left w:val="single" w:sz="2" w:space="0" w:color="auto"/>
              <w:bottom w:val="single" w:sz="2" w:space="0" w:color="auto"/>
              <w:right w:val="single" w:sz="2" w:space="0" w:color="auto"/>
            </w:tcBorders>
            <w:shd w:val="clear" w:color="auto" w:fill="80C0D5"/>
          </w:tcPr>
          <w:p w14:paraId="786E0A37"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Pr="00886DFF">
              <w:rPr>
                <w:rFonts w:eastAsia="Calibri"/>
                <w:color w:val="000000"/>
                <w:sz w:val="22"/>
              </w:rPr>
              <w:t xml:space="preserve"> compliance rates), risks</w:t>
            </w:r>
          </w:p>
        </w:tc>
        <w:tc>
          <w:tcPr>
            <w:tcW w:w="2835" w:type="dxa"/>
            <w:tcBorders>
              <w:top w:val="single" w:sz="2" w:space="0" w:color="auto"/>
              <w:left w:val="single" w:sz="2" w:space="0" w:color="auto"/>
              <w:bottom w:val="single" w:sz="2" w:space="0" w:color="auto"/>
              <w:right w:val="single" w:sz="2" w:space="0" w:color="auto"/>
            </w:tcBorders>
            <w:shd w:val="clear" w:color="auto" w:fill="80C0D5"/>
          </w:tcPr>
          <w:p w14:paraId="308AE069" w14:textId="77777777" w:rsidR="00380585" w:rsidRPr="00886DFF" w:rsidRDefault="00380585" w:rsidP="00784C66">
            <w:pPr>
              <w:pStyle w:val="TableText"/>
              <w:keepNext/>
              <w:rPr>
                <w:rFonts w:eastAsia="Calibri"/>
                <w:b/>
                <w:color w:val="000000"/>
                <w:sz w:val="22"/>
              </w:rPr>
            </w:pPr>
            <w:r w:rsidRPr="00886DFF">
              <w:rPr>
                <w:rFonts w:eastAsia="Calibri"/>
                <w:b/>
                <w:color w:val="000000"/>
                <w:sz w:val="22"/>
              </w:rPr>
              <w:t>Impact</w:t>
            </w:r>
          </w:p>
          <w:p w14:paraId="5ACFDC82" w14:textId="77777777" w:rsidR="00380585" w:rsidRPr="00886DFF" w:rsidRDefault="00380585" w:rsidP="00784C66">
            <w:pPr>
              <w:pStyle w:val="TableText"/>
              <w:keepNext/>
              <w:rPr>
                <w:rFonts w:eastAsia="Calibri"/>
                <w:i/>
                <w:color w:val="000000"/>
                <w:sz w:val="22"/>
              </w:rPr>
            </w:pPr>
            <w:r w:rsidRPr="00886DFF">
              <w:rPr>
                <w:rFonts w:eastAsia="Calibri"/>
                <w:i/>
                <w:color w:val="000000"/>
                <w:sz w:val="22"/>
              </w:rPr>
              <w:t xml:space="preserve">$m present </w:t>
            </w:r>
            <w:proofErr w:type="gramStart"/>
            <w:r w:rsidRPr="00886DFF">
              <w:rPr>
                <w:rFonts w:eastAsia="Calibri"/>
                <w:i/>
                <w:color w:val="000000"/>
                <w:sz w:val="22"/>
              </w:rPr>
              <w:t>value,  for</w:t>
            </w:r>
            <w:proofErr w:type="gramEnd"/>
            <w:r w:rsidRPr="00886DFF">
              <w:rPr>
                <w:rFonts w:eastAsia="Calibri"/>
                <w:i/>
                <w:color w:val="000000"/>
                <w:sz w:val="22"/>
              </w:rPr>
              <w:t xml:space="preserve"> monetised impacts; high, medium or low for non-monetised impacts  </w:t>
            </w:r>
          </w:p>
        </w:tc>
      </w:tr>
      <w:tr w:rsidR="00380585" w:rsidRPr="0069218C" w14:paraId="41C364A8" w14:textId="77777777" w:rsidTr="00567434">
        <w:trPr>
          <w:trHeight w:val="197"/>
        </w:trPr>
        <w:tc>
          <w:tcPr>
            <w:tcW w:w="9069" w:type="dxa"/>
            <w:gridSpan w:val="3"/>
            <w:tcBorders>
              <w:top w:val="single" w:sz="2" w:space="0" w:color="auto"/>
              <w:bottom w:val="single" w:sz="2" w:space="0" w:color="auto"/>
            </w:tcBorders>
          </w:tcPr>
          <w:p w14:paraId="293718E9" w14:textId="77777777" w:rsidR="00380585" w:rsidRPr="00567434" w:rsidRDefault="00380585" w:rsidP="00567434">
            <w:pPr>
              <w:pStyle w:val="spacer"/>
              <w:rPr>
                <w:rFonts w:eastAsia="Calibri"/>
              </w:rPr>
            </w:pPr>
          </w:p>
        </w:tc>
      </w:tr>
      <w:tr w:rsidR="00380585" w:rsidRPr="0069218C" w14:paraId="1C454D01" w14:textId="77777777" w:rsidTr="00030EC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14:paraId="7FF95BD7" w14:textId="77777777" w:rsidR="00380585" w:rsidRPr="0069218C" w:rsidRDefault="00380585" w:rsidP="00784C66">
            <w:pPr>
              <w:keepNext/>
              <w:spacing w:before="40" w:after="20" w:line="240" w:lineRule="auto"/>
              <w:rPr>
                <w:rFonts w:ascii="Arial Narrow" w:eastAsia="Calibri" w:hAnsi="Arial Narrow"/>
                <w:szCs w:val="22"/>
              </w:rPr>
            </w:pPr>
            <w:proofErr w:type="gramStart"/>
            <w:r w:rsidRPr="00886DFF">
              <w:rPr>
                <w:rFonts w:eastAsia="Calibri"/>
                <w:color w:val="000000"/>
                <w:szCs w:val="22"/>
              </w:rPr>
              <w:t>Additional costs of proposed approach,</w:t>
            </w:r>
            <w:proofErr w:type="gramEnd"/>
            <w:r w:rsidRPr="00886DFF">
              <w:rPr>
                <w:rFonts w:eastAsia="Calibri"/>
                <w:color w:val="000000"/>
                <w:szCs w:val="22"/>
              </w:rPr>
              <w:t xml:space="preserve"> compared to taking no action</w:t>
            </w:r>
          </w:p>
        </w:tc>
      </w:tr>
      <w:tr w:rsidR="00380585" w:rsidRPr="0069218C" w14:paraId="09008F72"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9A7E99E" w14:textId="77777777" w:rsidR="00380585" w:rsidRPr="0069218C" w:rsidRDefault="00380585" w:rsidP="00784C66">
            <w:pPr>
              <w:pStyle w:val="TableText"/>
              <w:keepNext/>
              <w:rPr>
                <w:rFonts w:eastAsia="Calibri"/>
                <w:sz w:val="22"/>
              </w:rPr>
            </w:pPr>
            <w:r w:rsidRPr="0069218C">
              <w:rPr>
                <w:rFonts w:eastAsia="Calibri"/>
                <w:sz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9BA2C77" w14:textId="4388FC12" w:rsidR="00380585" w:rsidRPr="0069218C" w:rsidRDefault="0006727B" w:rsidP="00784C66">
            <w:pPr>
              <w:pStyle w:val="TableText"/>
              <w:keepNext/>
              <w:rPr>
                <w:rFonts w:eastAsia="Calibri"/>
                <w:sz w:val="22"/>
              </w:rPr>
            </w:pPr>
            <w:r>
              <w:rPr>
                <w:rFonts w:eastAsia="Calibri"/>
                <w:sz w:val="22"/>
              </w:rPr>
              <w:t xml:space="preserve">Small increase in on-going compliance costs for </w:t>
            </w:r>
            <w:r w:rsidRPr="00B72440">
              <w:rPr>
                <w:rFonts w:eastAsia="Calibri"/>
                <w:sz w:val="22"/>
              </w:rPr>
              <w:t xml:space="preserve">conveyancers and </w:t>
            </w:r>
            <w:r w:rsidR="00EA14EA" w:rsidRPr="00EA14EA">
              <w:rPr>
                <w:rFonts w:cs="Arial"/>
                <w:sz w:val="22"/>
              </w:rPr>
              <w:t>transferees</w:t>
            </w:r>
            <w:r w:rsidR="00EA14EA" w:rsidRPr="00B72440" w:rsidDel="00B72440">
              <w:rPr>
                <w:rFonts w:eastAsia="Calibri"/>
                <w:sz w:val="22"/>
              </w:rPr>
              <w:t xml:space="preserve"> </w:t>
            </w:r>
            <w:r w:rsidR="00EA14EA" w:rsidRPr="00B72440">
              <w:rPr>
                <w:rFonts w:eastAsia="Calibri"/>
                <w:sz w:val="22"/>
              </w:rPr>
              <w:t>and</w:t>
            </w:r>
            <w:r w:rsidR="00EA0A04" w:rsidRPr="00EA14EA">
              <w:rPr>
                <w:rFonts w:cs="Arial"/>
                <w:sz w:val="22"/>
              </w:rPr>
              <w:t xml:space="preserve"> transferors</w:t>
            </w:r>
            <w:r w:rsidR="00EA0A04" w:rsidRPr="00B72440" w:rsidDel="00EA0A04">
              <w:rPr>
                <w:rFonts w:eastAsia="Calibri"/>
                <w:sz w:val="22"/>
              </w:rPr>
              <w:t xml:space="preserve"> </w:t>
            </w:r>
            <w:r w:rsidRPr="00B72440">
              <w:rPr>
                <w:rFonts w:eastAsia="Calibri"/>
                <w:sz w:val="22"/>
              </w:rPr>
              <w:t>of main homes due to the requirement to include ta</w:t>
            </w:r>
            <w:r>
              <w:rPr>
                <w:rFonts w:eastAsia="Calibri"/>
                <w:sz w:val="22"/>
              </w:rPr>
              <w:t>x information on the Land Transfer Tax Statement even if the property is a main home</w:t>
            </w:r>
            <w:r w:rsidR="005F590A">
              <w:rPr>
                <w:rFonts w:eastAsia="Calibri"/>
                <w:sz w:val="22"/>
              </w:rPr>
              <w:t>.</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66489171" w14:textId="77777777" w:rsidR="00380585" w:rsidRPr="0069218C" w:rsidRDefault="0006727B" w:rsidP="00784C66">
            <w:pPr>
              <w:pStyle w:val="TableText"/>
              <w:keepNext/>
              <w:rPr>
                <w:rFonts w:eastAsia="Calibri"/>
                <w:sz w:val="22"/>
              </w:rPr>
            </w:pPr>
            <w:r>
              <w:rPr>
                <w:rFonts w:eastAsia="Calibri"/>
                <w:sz w:val="22"/>
              </w:rPr>
              <w:t>Low</w:t>
            </w:r>
          </w:p>
        </w:tc>
      </w:tr>
      <w:tr w:rsidR="00380585" w:rsidRPr="0069218C" w14:paraId="0BE7EA69"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758BB166" w14:textId="77777777" w:rsidR="00380585" w:rsidRPr="0069218C" w:rsidRDefault="00380585" w:rsidP="00784C66">
            <w:pPr>
              <w:pStyle w:val="TableText"/>
              <w:keepNext/>
              <w:rPr>
                <w:rFonts w:eastAsia="Calibri" w:cs="Arial"/>
                <w:color w:val="000000"/>
                <w:sz w:val="22"/>
              </w:rPr>
            </w:pPr>
            <w:r w:rsidRPr="0069218C">
              <w:rPr>
                <w:rFonts w:eastAsia="Calibri"/>
                <w:color w:val="000000"/>
                <w:sz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B217D9C" w14:textId="3D6C78A7" w:rsidR="00380585" w:rsidRPr="0069218C" w:rsidRDefault="0035047F" w:rsidP="00784C66">
            <w:pPr>
              <w:pStyle w:val="TableText"/>
              <w:keepNext/>
              <w:rPr>
                <w:rFonts w:eastAsia="Calibri"/>
                <w:sz w:val="22"/>
              </w:rPr>
            </w:pPr>
            <w:r>
              <w:rPr>
                <w:rFonts w:eastAsia="Calibri"/>
                <w:sz w:val="22"/>
              </w:rPr>
              <w:t xml:space="preserve">Small one-off administration costs for Inland Revenue and LINZ related to updating forms, </w:t>
            </w:r>
            <w:proofErr w:type="spellStart"/>
            <w:r>
              <w:rPr>
                <w:rFonts w:eastAsia="Calibri"/>
                <w:sz w:val="22"/>
              </w:rPr>
              <w:t>Landonline</w:t>
            </w:r>
            <w:proofErr w:type="spellEnd"/>
            <w:r>
              <w:rPr>
                <w:rFonts w:eastAsia="Calibri"/>
                <w:sz w:val="22"/>
              </w:rPr>
              <w:t xml:space="preserve"> and the data interface between LINZ and Inland Revenue.</w:t>
            </w:r>
            <w:r w:rsidR="00830BE9">
              <w:rPr>
                <w:rFonts w:eastAsia="Calibri"/>
                <w:sz w:val="22"/>
              </w:rPr>
              <w:t xml:space="preserve"> Small one-off administration costs for Statistics New Zealand </w:t>
            </w:r>
            <w:r w:rsidR="004762C0">
              <w:rPr>
                <w:rFonts w:eastAsia="Calibri"/>
                <w:sz w:val="22"/>
              </w:rPr>
              <w:t>related to updating systems</w:t>
            </w:r>
            <w:r w:rsidR="008A1095">
              <w:rPr>
                <w:rFonts w:eastAsia="Calibri"/>
                <w:sz w:val="22"/>
              </w:rPr>
              <w:t xml:space="preserve"> to handle changes to the Land Transfer Tax Statement</w:t>
            </w:r>
            <w:r w:rsidR="004762C0">
              <w:rPr>
                <w:rFonts w:eastAsia="Calibri"/>
                <w:sz w:val="22"/>
              </w:rPr>
              <w:t>.</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1EDC7E59" w14:textId="77777777" w:rsidR="00380585" w:rsidRPr="0069218C" w:rsidRDefault="0035047F" w:rsidP="00784C66">
            <w:pPr>
              <w:pStyle w:val="TableText"/>
              <w:keepNext/>
              <w:rPr>
                <w:rFonts w:eastAsia="Calibri"/>
                <w:sz w:val="22"/>
              </w:rPr>
            </w:pPr>
            <w:r>
              <w:rPr>
                <w:rFonts w:eastAsia="Calibri"/>
                <w:sz w:val="22"/>
              </w:rPr>
              <w:t>Low</w:t>
            </w:r>
          </w:p>
        </w:tc>
      </w:tr>
      <w:tr w:rsidR="00380585" w:rsidRPr="0069218C" w14:paraId="179BE7B1"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B187BF6" w14:textId="77777777" w:rsidR="00380585" w:rsidRPr="0069218C" w:rsidRDefault="00380585" w:rsidP="00784C66">
            <w:pPr>
              <w:pStyle w:val="TableText"/>
              <w:keepNext/>
              <w:rPr>
                <w:rFonts w:eastAsia="Calibri"/>
                <w:color w:val="000000"/>
                <w:sz w:val="22"/>
              </w:rPr>
            </w:pPr>
            <w:r w:rsidRPr="0069218C">
              <w:rPr>
                <w:rFonts w:eastAsia="Calibri"/>
                <w:color w:val="000000"/>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5586096" w14:textId="77777777" w:rsidR="00380585" w:rsidRPr="0069218C" w:rsidRDefault="0006727B" w:rsidP="00784C66">
            <w:pPr>
              <w:pStyle w:val="TableText"/>
              <w:keepNext/>
              <w:rPr>
                <w:rFonts w:eastAsia="Calibri"/>
                <w:sz w:val="22"/>
              </w:rPr>
            </w:pPr>
            <w:r>
              <w:rPr>
                <w:rFonts w:eastAsia="Calibri"/>
                <w:sz w:val="22"/>
              </w:rPr>
              <w:t>N/A</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A7E3AA0" w14:textId="77777777" w:rsidR="00380585" w:rsidRPr="0069218C" w:rsidRDefault="0006727B" w:rsidP="00784C66">
            <w:pPr>
              <w:pStyle w:val="TableText"/>
              <w:keepNext/>
              <w:rPr>
                <w:rFonts w:eastAsia="Calibri"/>
                <w:sz w:val="22"/>
              </w:rPr>
            </w:pPr>
            <w:r>
              <w:rPr>
                <w:rFonts w:eastAsia="Calibri"/>
                <w:sz w:val="22"/>
              </w:rPr>
              <w:t>N/A</w:t>
            </w:r>
          </w:p>
        </w:tc>
      </w:tr>
      <w:tr w:rsidR="00380585" w:rsidRPr="0069218C" w14:paraId="1AF4C7D7"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314236D" w14:textId="77777777" w:rsidR="00380585" w:rsidRPr="0069218C" w:rsidRDefault="00380585" w:rsidP="00784C66">
            <w:pPr>
              <w:pStyle w:val="TableText"/>
              <w:keepNext/>
              <w:rPr>
                <w:rFonts w:eastAsia="Calibri" w:cs="Arial"/>
                <w:color w:val="000000"/>
                <w:sz w:val="22"/>
              </w:rPr>
            </w:pPr>
            <w:r w:rsidRPr="0069218C">
              <w:rPr>
                <w:rFonts w:eastAsia="Calibri"/>
                <w:color w:val="000000"/>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69FFA4B" w14:textId="77777777" w:rsidR="00380585" w:rsidRPr="0069218C" w:rsidRDefault="0006727B" w:rsidP="00784C66">
            <w:pPr>
              <w:pStyle w:val="TableText"/>
              <w:keepNext/>
              <w:rPr>
                <w:rFonts w:eastAsia="Calibri"/>
                <w:sz w:val="22"/>
              </w:rPr>
            </w:pPr>
            <w:r>
              <w:rPr>
                <w:rFonts w:eastAsia="Calibri"/>
                <w:sz w:val="22"/>
              </w:rPr>
              <w:t>N/A</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0251E618" w14:textId="77777777" w:rsidR="00380585" w:rsidRPr="0069218C" w:rsidRDefault="0006727B" w:rsidP="00784C66">
            <w:pPr>
              <w:pStyle w:val="TableText"/>
              <w:keepNext/>
              <w:rPr>
                <w:rFonts w:eastAsia="Calibri"/>
                <w:sz w:val="22"/>
              </w:rPr>
            </w:pPr>
            <w:r>
              <w:rPr>
                <w:rFonts w:eastAsia="Calibri"/>
                <w:sz w:val="22"/>
              </w:rPr>
              <w:t>N/A</w:t>
            </w:r>
          </w:p>
        </w:tc>
      </w:tr>
      <w:tr w:rsidR="00380585" w:rsidRPr="0069218C" w14:paraId="1BC76E8D"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BA34186" w14:textId="77777777" w:rsidR="00380585" w:rsidRPr="0069218C" w:rsidRDefault="00380585" w:rsidP="00784C66">
            <w:pPr>
              <w:pStyle w:val="TableText"/>
              <w:keepNext/>
              <w:rPr>
                <w:rFonts w:eastAsia="Calibri"/>
                <w:b/>
                <w:sz w:val="22"/>
              </w:rPr>
            </w:pPr>
            <w:r w:rsidRPr="0069218C">
              <w:rPr>
                <w:rFonts w:eastAsia="Calibri"/>
                <w:b/>
                <w:sz w:val="22"/>
              </w:rPr>
              <w:t>Total Monetised Cost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11587ED" w14:textId="77777777" w:rsidR="00380585" w:rsidRPr="0069218C" w:rsidRDefault="00380585" w:rsidP="00784C66">
            <w:pPr>
              <w:pStyle w:val="TableText"/>
              <w:keepNext/>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20C4532" w14:textId="77777777" w:rsidR="00380585" w:rsidRPr="0069218C" w:rsidRDefault="0006727B" w:rsidP="00784C66">
            <w:pPr>
              <w:pStyle w:val="TableText"/>
              <w:keepNext/>
              <w:rPr>
                <w:rFonts w:eastAsia="Calibri"/>
                <w:sz w:val="22"/>
              </w:rPr>
            </w:pPr>
            <w:r>
              <w:rPr>
                <w:rFonts w:eastAsia="Calibri"/>
                <w:sz w:val="22"/>
              </w:rPr>
              <w:t>N/A</w:t>
            </w:r>
          </w:p>
        </w:tc>
      </w:tr>
      <w:tr w:rsidR="00380585" w:rsidRPr="0069218C" w14:paraId="66C237E1"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CE8DEF7" w14:textId="77777777" w:rsidR="00380585" w:rsidRPr="0069218C" w:rsidRDefault="00380585" w:rsidP="00784C66">
            <w:pPr>
              <w:pStyle w:val="TableText"/>
              <w:keepNext/>
              <w:rPr>
                <w:rFonts w:eastAsia="Calibri"/>
                <w:b/>
                <w:sz w:val="22"/>
              </w:rPr>
            </w:pPr>
            <w:r w:rsidRPr="0069218C">
              <w:rPr>
                <w:rFonts w:eastAsia="Calibri"/>
                <w:b/>
                <w:sz w:val="22"/>
              </w:rPr>
              <w:t xml:space="preserve">Non-monetised costs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CBE93B8" w14:textId="77777777" w:rsidR="00380585" w:rsidRPr="0069218C" w:rsidRDefault="00380585" w:rsidP="00784C66">
            <w:pPr>
              <w:pStyle w:val="TableText"/>
              <w:keepNext/>
              <w:rPr>
                <w:rFonts w:eastAsia="Calibri"/>
                <w: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5635BDE1" w14:textId="77777777" w:rsidR="00380585" w:rsidRPr="00E62373" w:rsidRDefault="0006727B" w:rsidP="00784C66">
            <w:pPr>
              <w:pStyle w:val="TableText"/>
              <w:keepNext/>
              <w:rPr>
                <w:rFonts w:eastAsia="Calibri"/>
                <w:i/>
                <w:sz w:val="22"/>
              </w:rPr>
            </w:pPr>
            <w:r>
              <w:rPr>
                <w:rFonts w:eastAsia="Calibri"/>
                <w:i/>
                <w:sz w:val="22"/>
              </w:rPr>
              <w:t>Low</w:t>
            </w:r>
          </w:p>
        </w:tc>
      </w:tr>
    </w:tbl>
    <w:p w14:paraId="43E69618" w14:textId="77777777" w:rsidR="00380585" w:rsidRPr="0069218C" w:rsidRDefault="00380585" w:rsidP="00567434">
      <w:pPr>
        <w:pStyle w:val="spacer"/>
      </w:pPr>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380585" w:rsidRPr="0069218C" w14:paraId="56FCB931" w14:textId="77777777" w:rsidTr="00030EC1">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0018EB04" w14:textId="77777777" w:rsidR="00380585" w:rsidRPr="000535CE" w:rsidRDefault="00380585" w:rsidP="00784C66">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0DCD9E6B"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859643F" w14:textId="77777777" w:rsidR="00380585" w:rsidRPr="0069218C" w:rsidRDefault="00380585" w:rsidP="00784C66">
            <w:pPr>
              <w:pStyle w:val="TableText"/>
              <w:rPr>
                <w:rFonts w:eastAsia="Calibri"/>
                <w:sz w:val="22"/>
              </w:rPr>
            </w:pPr>
            <w:r w:rsidRPr="0069218C">
              <w:rPr>
                <w:rFonts w:eastAsia="Calibri"/>
                <w:sz w:val="22"/>
              </w:rPr>
              <w:t>Regulated parties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8678506" w14:textId="77777777" w:rsidR="00380585" w:rsidRPr="0069218C" w:rsidRDefault="0006727B" w:rsidP="00784C66">
            <w:pPr>
              <w:pStyle w:val="TableText"/>
              <w:rPr>
                <w:rFonts w:eastAsia="Calibri"/>
                <w:sz w:val="22"/>
              </w:rPr>
            </w:pPr>
            <w:r>
              <w:rPr>
                <w:rFonts w:eastAsia="Calibri"/>
                <w:sz w:val="22"/>
              </w:rPr>
              <w:t>N/A</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1667239B" w14:textId="77777777" w:rsidR="00380585" w:rsidRPr="0069218C" w:rsidRDefault="0006727B" w:rsidP="00784C66">
            <w:pPr>
              <w:pStyle w:val="TableText"/>
              <w:rPr>
                <w:rFonts w:eastAsia="Calibri"/>
                <w:sz w:val="22"/>
              </w:rPr>
            </w:pPr>
            <w:r>
              <w:rPr>
                <w:rFonts w:eastAsia="Calibri"/>
                <w:sz w:val="22"/>
              </w:rPr>
              <w:t>N/A</w:t>
            </w:r>
          </w:p>
        </w:tc>
      </w:tr>
      <w:tr w:rsidR="00380585" w:rsidRPr="0069218C" w14:paraId="44BD336E"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4432FB0" w14:textId="77777777" w:rsidR="00380585" w:rsidRPr="0069218C" w:rsidRDefault="00380585" w:rsidP="00784C66">
            <w:pPr>
              <w:pStyle w:val="TableText"/>
              <w:rPr>
                <w:rFonts w:eastAsia="Calibri"/>
                <w:sz w:val="22"/>
              </w:rPr>
            </w:pPr>
            <w:r w:rsidRPr="0069218C">
              <w:rPr>
                <w:rFonts w:eastAsia="Calibri"/>
                <w:sz w:val="22"/>
              </w:rPr>
              <w:t>Regulators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0892AFC" w14:textId="77777777" w:rsidR="00380585" w:rsidRPr="0069218C" w:rsidRDefault="00423DB0" w:rsidP="00784C66">
            <w:pPr>
              <w:pStyle w:val="TableText"/>
              <w:rPr>
                <w:rFonts w:eastAsia="Calibri"/>
                <w:sz w:val="22"/>
              </w:rPr>
            </w:pPr>
            <w:r>
              <w:rPr>
                <w:rFonts w:eastAsia="Calibri"/>
                <w:sz w:val="22"/>
              </w:rPr>
              <w:t>Increase in the quality of data provided to Inland Revenue leading to an increase in Inland Revenue’s ability to enforce tax rules relating to property transactions.</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942DA4A" w14:textId="77777777" w:rsidR="00380585" w:rsidRPr="0069218C" w:rsidRDefault="00423DB0" w:rsidP="00784C66">
            <w:pPr>
              <w:pStyle w:val="TableText"/>
              <w:rPr>
                <w:rFonts w:eastAsia="Calibri"/>
                <w:sz w:val="22"/>
              </w:rPr>
            </w:pPr>
            <w:r>
              <w:rPr>
                <w:rFonts w:eastAsia="Calibri"/>
                <w:sz w:val="22"/>
              </w:rPr>
              <w:t>Medium</w:t>
            </w:r>
          </w:p>
        </w:tc>
      </w:tr>
      <w:tr w:rsidR="00380585" w:rsidRPr="0069218C" w14:paraId="2971B205"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96AE80A" w14:textId="77777777" w:rsidR="00380585" w:rsidRPr="0069218C" w:rsidRDefault="00380585" w:rsidP="00784C66">
            <w:pPr>
              <w:pStyle w:val="TableText"/>
              <w:rPr>
                <w:rFonts w:eastAsia="Calibri"/>
                <w:sz w:val="22"/>
              </w:rPr>
            </w:pPr>
            <w:r w:rsidRPr="0069218C">
              <w:rPr>
                <w:rFonts w:eastAsia="Calibri"/>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0554A2C0" w14:textId="380BC022" w:rsidR="00380585" w:rsidRPr="0069218C" w:rsidRDefault="00AF662A" w:rsidP="00784C66">
            <w:pPr>
              <w:pStyle w:val="TableText"/>
              <w:rPr>
                <w:rFonts w:eastAsia="Calibri"/>
                <w:sz w:val="22"/>
              </w:rPr>
            </w:pPr>
            <w:r>
              <w:rPr>
                <w:rFonts w:eastAsia="Calibri"/>
                <w:sz w:val="22"/>
              </w:rPr>
              <w:t>N/A</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1AF44E6F" w14:textId="6440E821" w:rsidR="00380585" w:rsidRPr="0069218C" w:rsidRDefault="00AF662A" w:rsidP="00784C66">
            <w:pPr>
              <w:pStyle w:val="TableText"/>
              <w:rPr>
                <w:rFonts w:eastAsia="Calibri"/>
                <w:sz w:val="22"/>
              </w:rPr>
            </w:pPr>
            <w:r>
              <w:rPr>
                <w:rFonts w:eastAsia="Calibri"/>
                <w:sz w:val="22"/>
              </w:rPr>
              <w:t>N/A</w:t>
            </w:r>
          </w:p>
        </w:tc>
      </w:tr>
      <w:tr w:rsidR="00380585" w:rsidRPr="0069218C" w14:paraId="7086DFAF"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9C73E6A" w14:textId="77777777" w:rsidR="00380585" w:rsidRPr="0069218C" w:rsidRDefault="00380585" w:rsidP="00784C66">
            <w:pPr>
              <w:pStyle w:val="TableText"/>
              <w:rPr>
                <w:rFonts w:eastAsia="Calibri"/>
                <w:sz w:val="22"/>
              </w:rPr>
            </w:pPr>
            <w:r w:rsidRPr="0069218C">
              <w:rPr>
                <w:rFonts w:eastAsia="Calibri"/>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BB21EC2" w14:textId="3883BF95" w:rsidR="00380585" w:rsidRPr="0069218C" w:rsidRDefault="0006727B" w:rsidP="00784C66">
            <w:pPr>
              <w:pStyle w:val="TableText"/>
              <w:rPr>
                <w:rFonts w:eastAsia="Calibri"/>
                <w:sz w:val="22"/>
              </w:rPr>
            </w:pPr>
            <w:r>
              <w:rPr>
                <w:rFonts w:eastAsia="Calibri"/>
                <w:sz w:val="22"/>
              </w:rPr>
              <w:t>Increased ability of overseas tax authorities to detect evasion</w:t>
            </w:r>
            <w:r w:rsidR="00721A98">
              <w:rPr>
                <w:rFonts w:eastAsia="Calibri"/>
                <w:sz w:val="22"/>
              </w:rPr>
              <w:t>, deterrence of tax evasion</w:t>
            </w:r>
            <w:r w:rsidR="005F590A">
              <w:rPr>
                <w:rFonts w:eastAsia="Calibri"/>
                <w:sz w:val="22"/>
              </w:rPr>
              <w:t>.</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3B52BF6F" w14:textId="77777777" w:rsidR="00380585" w:rsidRPr="0069218C" w:rsidRDefault="0035047F" w:rsidP="00784C66">
            <w:pPr>
              <w:pStyle w:val="TableText"/>
              <w:rPr>
                <w:rFonts w:eastAsia="Calibri"/>
                <w:sz w:val="22"/>
              </w:rPr>
            </w:pPr>
            <w:r>
              <w:rPr>
                <w:rFonts w:eastAsia="Calibri"/>
                <w:sz w:val="22"/>
              </w:rPr>
              <w:t>Low</w:t>
            </w:r>
          </w:p>
        </w:tc>
      </w:tr>
      <w:tr w:rsidR="00380585" w:rsidRPr="0069218C" w14:paraId="4926BEF6"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1403F07" w14:textId="77777777" w:rsidR="00380585" w:rsidRPr="0069218C" w:rsidRDefault="00380585" w:rsidP="00784C66">
            <w:pPr>
              <w:pStyle w:val="TableText"/>
              <w:rPr>
                <w:rFonts w:eastAsia="Calibri"/>
                <w:b/>
                <w:sz w:val="22"/>
              </w:rPr>
            </w:pPr>
            <w:r w:rsidRPr="0069218C">
              <w:rPr>
                <w:rFonts w:eastAsia="Calibri"/>
                <w:b/>
                <w:sz w:val="22"/>
              </w:rPr>
              <w:t xml:space="preserve">Total </w:t>
            </w:r>
            <w:proofErr w:type="gramStart"/>
            <w:r w:rsidRPr="0069218C">
              <w:rPr>
                <w:rFonts w:eastAsia="Calibri"/>
                <w:b/>
                <w:sz w:val="22"/>
              </w:rPr>
              <w:t>Monetised  Benefit</w:t>
            </w:r>
            <w:proofErr w:type="gramEnd"/>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8BEAC2A" w14:textId="77777777" w:rsidR="00380585" w:rsidRPr="0069218C" w:rsidRDefault="00380585" w:rsidP="00784C66">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5DF78B6" w14:textId="35D69A37" w:rsidR="00380585" w:rsidRPr="0069218C" w:rsidRDefault="00AF662A" w:rsidP="00784C66">
            <w:pPr>
              <w:pStyle w:val="TableText"/>
              <w:rPr>
                <w:rFonts w:eastAsia="Calibri"/>
                <w:sz w:val="22"/>
              </w:rPr>
            </w:pPr>
            <w:r>
              <w:rPr>
                <w:rFonts w:eastAsia="Calibri"/>
                <w:sz w:val="22"/>
              </w:rPr>
              <w:t>N/A</w:t>
            </w:r>
          </w:p>
        </w:tc>
      </w:tr>
      <w:tr w:rsidR="00380585" w:rsidRPr="0069218C" w14:paraId="0B7BC1B2"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E78C79E" w14:textId="77777777" w:rsidR="00380585" w:rsidRPr="0069218C" w:rsidRDefault="00380585" w:rsidP="00784C66">
            <w:pPr>
              <w:pStyle w:val="TableText"/>
              <w:rPr>
                <w:rFonts w:eastAsia="Calibri"/>
                <w:b/>
                <w:sz w:val="22"/>
              </w:rPr>
            </w:pPr>
            <w:r w:rsidRPr="0069218C">
              <w:rPr>
                <w:rFonts w:eastAsia="Calibri"/>
                <w:b/>
                <w:sz w:val="22"/>
              </w:rPr>
              <w:t>Non-monetised benefits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A8EF9F3" w14:textId="77777777" w:rsidR="00380585" w:rsidRPr="0069218C" w:rsidRDefault="00380585" w:rsidP="00784C66">
            <w:pPr>
              <w:pStyle w:val="TableText"/>
              <w:rPr>
                <w:rFonts w:eastAsia="Calibri"/>
                <w:sz w:val="22"/>
              </w:rPr>
            </w:pP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4A17BB5D" w14:textId="77777777" w:rsidR="00380585" w:rsidRPr="00E62373" w:rsidRDefault="00D953DF" w:rsidP="00784C66">
            <w:pPr>
              <w:pStyle w:val="TableText"/>
              <w:rPr>
                <w:rFonts w:eastAsia="Calibri"/>
                <w:i/>
                <w:sz w:val="22"/>
              </w:rPr>
            </w:pPr>
            <w:r>
              <w:rPr>
                <w:rFonts w:eastAsia="Calibri"/>
                <w:i/>
                <w:sz w:val="22"/>
              </w:rPr>
              <w:t>Medium</w:t>
            </w:r>
          </w:p>
        </w:tc>
      </w:tr>
    </w:tbl>
    <w:p w14:paraId="25C27426" w14:textId="77777777" w:rsidR="00D9793F" w:rsidRPr="000535CE" w:rsidRDefault="00D9793F" w:rsidP="00B47208">
      <w:pPr>
        <w:pStyle w:val="spacer"/>
      </w:pPr>
      <w:r w:rsidRPr="000535CE">
        <w:br w:type="page"/>
      </w:r>
    </w:p>
    <w:p w14:paraId="2FEEAF45" w14:textId="77777777" w:rsidR="00C77099" w:rsidRPr="00886DFF" w:rsidRDefault="00C77099" w:rsidP="000C3197">
      <w:pPr>
        <w:spacing w:after="0"/>
        <w:rPr>
          <w:rFonts w:cs="Arial"/>
          <w:i/>
          <w:color w:val="000000"/>
          <w:szCs w:val="22"/>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7099" w:rsidRPr="0069218C" w14:paraId="4DA434F9" w14:textId="77777777" w:rsidTr="00800DEC">
        <w:trPr>
          <w:trHeight w:val="77"/>
        </w:trPr>
        <w:tc>
          <w:tcPr>
            <w:tcW w:w="5000" w:type="pct"/>
            <w:shd w:val="clear" w:color="auto" w:fill="99CDDD"/>
            <w:hideMark/>
          </w:tcPr>
          <w:p w14:paraId="72C6BF42" w14:textId="77777777"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38EA2054" w14:textId="77777777" w:rsidTr="004909E4">
        <w:trPr>
          <w:trHeight w:val="725"/>
        </w:trPr>
        <w:tc>
          <w:tcPr>
            <w:tcW w:w="5000" w:type="pct"/>
            <w:shd w:val="clear" w:color="auto" w:fill="auto"/>
          </w:tcPr>
          <w:p w14:paraId="56085A72" w14:textId="77777777" w:rsidR="0098649A" w:rsidRDefault="00B72440" w:rsidP="0069218C">
            <w:pPr>
              <w:spacing w:after="0" w:line="276" w:lineRule="auto"/>
              <w:jc w:val="both"/>
              <w:rPr>
                <w:rFonts w:cs="Arial"/>
                <w:szCs w:val="22"/>
              </w:rPr>
            </w:pPr>
            <w:r>
              <w:rPr>
                <w:rFonts w:cs="Arial"/>
                <w:szCs w:val="22"/>
              </w:rPr>
              <w:t xml:space="preserve">There might be a small increase in the data quality available to Statistics New Zealand due to Inland Revenue’s </w:t>
            </w:r>
            <w:r w:rsidR="00401D72">
              <w:rPr>
                <w:rFonts w:cs="Arial"/>
                <w:szCs w:val="22"/>
              </w:rPr>
              <w:t xml:space="preserve">improved </w:t>
            </w:r>
            <w:r>
              <w:rPr>
                <w:rFonts w:cs="Arial"/>
                <w:szCs w:val="22"/>
              </w:rPr>
              <w:t xml:space="preserve">ability to verify data that has been provided. </w:t>
            </w:r>
            <w:r w:rsidR="00603C3B">
              <w:rPr>
                <w:rFonts w:cs="Arial"/>
                <w:szCs w:val="22"/>
              </w:rPr>
              <w:t xml:space="preserve">Acquiring IRD numbers for more transferors and transferees </w:t>
            </w:r>
            <w:r w:rsidR="00F14AD5">
              <w:rPr>
                <w:rFonts w:cs="Arial"/>
                <w:szCs w:val="22"/>
              </w:rPr>
              <w:t>may also improve the ability for additional data to be linked to information gathered from Land Transfer Tax Statements to provide further statistical</w:t>
            </w:r>
            <w:r w:rsidR="00716877">
              <w:rPr>
                <w:rFonts w:cs="Arial"/>
                <w:szCs w:val="22"/>
              </w:rPr>
              <w:t xml:space="preserve"> insights.</w:t>
            </w:r>
          </w:p>
          <w:p w14:paraId="63786E39" w14:textId="77777777" w:rsidR="00401D72" w:rsidRDefault="00401D72" w:rsidP="0069218C">
            <w:pPr>
              <w:spacing w:after="0" w:line="276" w:lineRule="auto"/>
              <w:jc w:val="both"/>
              <w:rPr>
                <w:rFonts w:cs="Arial"/>
                <w:szCs w:val="22"/>
              </w:rPr>
            </w:pPr>
          </w:p>
          <w:p w14:paraId="1E297E97" w14:textId="77777777" w:rsidR="000535CE" w:rsidRPr="0069218C" w:rsidRDefault="00C90D93" w:rsidP="0069218C">
            <w:pPr>
              <w:spacing w:after="0" w:line="276" w:lineRule="auto"/>
              <w:jc w:val="both"/>
              <w:rPr>
                <w:rFonts w:cs="Arial"/>
                <w:szCs w:val="22"/>
              </w:rPr>
            </w:pPr>
            <w:r>
              <w:rPr>
                <w:rFonts w:cs="Arial"/>
                <w:szCs w:val="22"/>
              </w:rPr>
              <w:t>We do not anticipate that the proposed approach would have any other impacts.</w:t>
            </w:r>
            <w:r w:rsidR="00B72440">
              <w:rPr>
                <w:rFonts w:cs="Arial"/>
                <w:szCs w:val="22"/>
              </w:rPr>
              <w:t xml:space="preserve">  </w:t>
            </w:r>
          </w:p>
        </w:tc>
      </w:tr>
    </w:tbl>
    <w:p w14:paraId="08E6F635" w14:textId="77777777" w:rsidR="00B15F56" w:rsidRPr="00886DFF" w:rsidRDefault="00B15F56" w:rsidP="00B15F56">
      <w:pPr>
        <w:spacing w:after="0"/>
        <w:rPr>
          <w:rFonts w:cs="Arial"/>
          <w:i/>
          <w:color w:val="000000"/>
          <w:szCs w:val="22"/>
          <w:lang w:eastAsia="en-AU"/>
        </w:rPr>
      </w:pPr>
    </w:p>
    <w:p w14:paraId="1F8011DE" w14:textId="77777777" w:rsidR="00051A88" w:rsidRDefault="00051A88" w:rsidP="00293FDC">
      <w:pPr>
        <w:pStyle w:val="Heading2"/>
      </w:pPr>
      <w:r w:rsidRPr="002D5734">
        <w:t xml:space="preserve">Section </w:t>
      </w:r>
      <w:r w:rsidR="00C77099">
        <w:t>5</w:t>
      </w:r>
      <w:r w:rsidRPr="002D5734">
        <w:t xml:space="preserve">:  Stakeholder views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051A88" w:rsidRPr="0069218C" w14:paraId="476F4E9D" w14:textId="77777777" w:rsidTr="00800DE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0F3A377C"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2FF49991" w14:textId="77777777" w:rsidTr="00BF624B">
        <w:trPr>
          <w:trHeight w:val="8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B9B6E7" w14:textId="5898ACC2" w:rsidR="00F132B2" w:rsidRDefault="001F2FC7" w:rsidP="0069218C">
            <w:pPr>
              <w:spacing w:after="0" w:line="276" w:lineRule="auto"/>
              <w:jc w:val="both"/>
              <w:rPr>
                <w:rFonts w:cs="Arial"/>
                <w:szCs w:val="22"/>
                <w:highlight w:val="yellow"/>
              </w:rPr>
            </w:pPr>
            <w:r w:rsidRPr="00EA14EA">
              <w:rPr>
                <w:rFonts w:cs="Arial"/>
                <w:szCs w:val="22"/>
              </w:rPr>
              <w:t xml:space="preserve">The Government decided to implement the Tax Working Group’s recommendation as soon as possible.  </w:t>
            </w:r>
            <w:r w:rsidR="005E5B75" w:rsidRPr="00BF624B">
              <w:rPr>
                <w:rFonts w:cs="Arial"/>
                <w:szCs w:val="22"/>
              </w:rPr>
              <w:t>L</w:t>
            </w:r>
            <w:r w:rsidR="00D87F6B" w:rsidRPr="00BF624B">
              <w:rPr>
                <w:rFonts w:cs="Arial"/>
                <w:szCs w:val="22"/>
              </w:rPr>
              <w:t xml:space="preserve">imited </w:t>
            </w:r>
            <w:r w:rsidR="005E5B75" w:rsidRPr="00BF624B">
              <w:rPr>
                <w:rFonts w:cs="Arial"/>
                <w:szCs w:val="22"/>
              </w:rPr>
              <w:t xml:space="preserve">consultation </w:t>
            </w:r>
            <w:r w:rsidR="0098499C" w:rsidRPr="00BF624B">
              <w:rPr>
                <w:rFonts w:cs="Arial"/>
                <w:szCs w:val="22"/>
              </w:rPr>
              <w:t xml:space="preserve">on this proposal </w:t>
            </w:r>
            <w:r w:rsidR="00D87F6B" w:rsidRPr="00BF624B">
              <w:rPr>
                <w:rFonts w:cs="Arial"/>
                <w:szCs w:val="22"/>
              </w:rPr>
              <w:t>has</w:t>
            </w:r>
            <w:r w:rsidR="009254E6" w:rsidRPr="00BF624B">
              <w:rPr>
                <w:rFonts w:cs="Arial"/>
                <w:szCs w:val="22"/>
              </w:rPr>
              <w:t xml:space="preserve"> </w:t>
            </w:r>
            <w:r w:rsidR="00C90D93" w:rsidRPr="00BF624B">
              <w:rPr>
                <w:rFonts w:cs="Arial"/>
                <w:szCs w:val="22"/>
              </w:rPr>
              <w:t xml:space="preserve">been undertaken on the proposed approach </w:t>
            </w:r>
            <w:r w:rsidR="0035047F" w:rsidRPr="00BF624B">
              <w:rPr>
                <w:rFonts w:cs="Arial"/>
                <w:szCs w:val="22"/>
              </w:rPr>
              <w:t>owing to the</w:t>
            </w:r>
            <w:r w:rsidRPr="00BF624B">
              <w:rPr>
                <w:rFonts w:cs="Arial"/>
                <w:szCs w:val="22"/>
              </w:rPr>
              <w:t>se</w:t>
            </w:r>
            <w:r w:rsidR="0035047F" w:rsidRPr="00BF624B">
              <w:rPr>
                <w:rFonts w:cs="Arial"/>
                <w:szCs w:val="22"/>
              </w:rPr>
              <w:t xml:space="preserve"> timelines</w:t>
            </w:r>
            <w:r w:rsidR="00C90D93" w:rsidRPr="00BF624B">
              <w:rPr>
                <w:rFonts w:cs="Arial"/>
                <w:szCs w:val="22"/>
              </w:rPr>
              <w:t>.</w:t>
            </w:r>
            <w:r w:rsidR="0098499C" w:rsidRPr="00BF624B">
              <w:rPr>
                <w:rFonts w:cs="Arial"/>
                <w:szCs w:val="22"/>
              </w:rPr>
              <w:t xml:space="preserve">  </w:t>
            </w:r>
          </w:p>
          <w:p w14:paraId="79BE702D" w14:textId="19E25A79" w:rsidR="00B10B12" w:rsidRDefault="00B10B12" w:rsidP="0069218C">
            <w:pPr>
              <w:spacing w:after="0" w:line="276" w:lineRule="auto"/>
              <w:jc w:val="both"/>
              <w:rPr>
                <w:rFonts w:cs="Arial"/>
                <w:szCs w:val="22"/>
              </w:rPr>
            </w:pPr>
          </w:p>
          <w:p w14:paraId="7B7231BE" w14:textId="51AA2EEF" w:rsidR="00170701" w:rsidRDefault="00B10B12" w:rsidP="0069218C">
            <w:pPr>
              <w:spacing w:after="0" w:line="276" w:lineRule="auto"/>
              <w:jc w:val="both"/>
              <w:rPr>
                <w:rFonts w:cs="Arial"/>
                <w:szCs w:val="22"/>
              </w:rPr>
            </w:pPr>
            <w:r>
              <w:rPr>
                <w:rFonts w:cs="Arial"/>
                <w:szCs w:val="22"/>
              </w:rPr>
              <w:t xml:space="preserve">Feedback from stakeholders has been mixed but </w:t>
            </w:r>
            <w:r w:rsidR="002474E6">
              <w:rPr>
                <w:rFonts w:cs="Arial"/>
                <w:szCs w:val="22"/>
              </w:rPr>
              <w:t>all acknowledged</w:t>
            </w:r>
            <w:r>
              <w:rPr>
                <w:rFonts w:cs="Arial"/>
                <w:szCs w:val="22"/>
              </w:rPr>
              <w:t xml:space="preserve"> the rationale for removing the main home exemption. </w:t>
            </w:r>
          </w:p>
          <w:p w14:paraId="66A21B0D" w14:textId="77777777" w:rsidR="002474E6" w:rsidRDefault="002474E6" w:rsidP="0069218C">
            <w:pPr>
              <w:spacing w:after="0" w:line="276" w:lineRule="auto"/>
              <w:jc w:val="both"/>
              <w:rPr>
                <w:rFonts w:cs="Arial"/>
                <w:szCs w:val="22"/>
              </w:rPr>
            </w:pPr>
          </w:p>
          <w:p w14:paraId="3B2D850C" w14:textId="77777777" w:rsidR="00D97E19" w:rsidRDefault="00B10B12" w:rsidP="0069218C">
            <w:pPr>
              <w:spacing w:after="0" w:line="276" w:lineRule="auto"/>
              <w:jc w:val="both"/>
              <w:rPr>
                <w:rFonts w:cs="Arial"/>
                <w:szCs w:val="22"/>
              </w:rPr>
            </w:pPr>
            <w:r>
              <w:rPr>
                <w:rFonts w:cs="Arial"/>
                <w:szCs w:val="22"/>
              </w:rPr>
              <w:t xml:space="preserve">One stakeholder commented that the proposal would be an improvement on the current process by moving towards a standardised approach for transfers. Another stakeholder commented that the proposal would provide Inland Revenue with richer data on which to enforce the </w:t>
            </w:r>
            <w:proofErr w:type="spellStart"/>
            <w:r>
              <w:rPr>
                <w:rFonts w:cs="Arial"/>
                <w:szCs w:val="22"/>
              </w:rPr>
              <w:t>brightline</w:t>
            </w:r>
            <w:proofErr w:type="spellEnd"/>
            <w:r>
              <w:rPr>
                <w:rFonts w:cs="Arial"/>
                <w:szCs w:val="22"/>
              </w:rPr>
              <w:t xml:space="preserve"> property rules. </w:t>
            </w:r>
          </w:p>
          <w:p w14:paraId="67C2BF2A" w14:textId="77777777" w:rsidR="00D97E19" w:rsidRDefault="00D97E19" w:rsidP="0069218C">
            <w:pPr>
              <w:spacing w:after="0" w:line="276" w:lineRule="auto"/>
              <w:jc w:val="both"/>
              <w:rPr>
                <w:rFonts w:cs="Arial"/>
                <w:szCs w:val="22"/>
              </w:rPr>
            </w:pPr>
          </w:p>
          <w:p w14:paraId="41EF92BC" w14:textId="656AF455" w:rsidR="002474E6" w:rsidRDefault="00AF2CA9" w:rsidP="0069218C">
            <w:pPr>
              <w:spacing w:after="0" w:line="276" w:lineRule="auto"/>
              <w:jc w:val="both"/>
              <w:rPr>
                <w:rFonts w:cs="Arial"/>
                <w:szCs w:val="22"/>
              </w:rPr>
            </w:pPr>
            <w:r>
              <w:rPr>
                <w:rFonts w:cs="Arial"/>
                <w:szCs w:val="22"/>
              </w:rPr>
              <w:t>One stakeholder noted that the current rules had bedded down and that there would be some compliance cost for conveyancing lawyers having to explain the change to clients who would now have to provide their IRD number.</w:t>
            </w:r>
            <w:r w:rsidR="00DD0DFF">
              <w:rPr>
                <w:rFonts w:cs="Arial"/>
                <w:szCs w:val="22"/>
              </w:rPr>
              <w:t xml:space="preserve"> </w:t>
            </w:r>
            <w:r w:rsidR="00D97E19">
              <w:rPr>
                <w:rFonts w:cs="Arial"/>
                <w:szCs w:val="22"/>
              </w:rPr>
              <w:t xml:space="preserve">They </w:t>
            </w:r>
            <w:r w:rsidR="002474E6">
              <w:rPr>
                <w:rFonts w:cs="Arial"/>
                <w:szCs w:val="22"/>
              </w:rPr>
              <w:t>commented that the increase in the number of IRD numbers received would also increase the compliance costs and time involved by Inland Revenue and lawyers to validate and correct any errors in the IRD numbers provided.</w:t>
            </w:r>
          </w:p>
          <w:p w14:paraId="7AE47EA9" w14:textId="2ADC13D4" w:rsidR="002474E6" w:rsidRDefault="002474E6" w:rsidP="0069218C">
            <w:pPr>
              <w:spacing w:after="0" w:line="276" w:lineRule="auto"/>
              <w:jc w:val="both"/>
              <w:rPr>
                <w:rFonts w:cs="Arial"/>
                <w:szCs w:val="22"/>
              </w:rPr>
            </w:pPr>
          </w:p>
          <w:p w14:paraId="7ADEC786" w14:textId="282C5064" w:rsidR="00170701" w:rsidRPr="00EA14EA" w:rsidRDefault="00AF2CA9" w:rsidP="0069218C">
            <w:pPr>
              <w:spacing w:after="0" w:line="276" w:lineRule="auto"/>
              <w:jc w:val="both"/>
              <w:rPr>
                <w:rFonts w:cs="Arial"/>
                <w:szCs w:val="22"/>
              </w:rPr>
            </w:pPr>
            <w:r>
              <w:rPr>
                <w:rFonts w:cs="Arial"/>
                <w:szCs w:val="22"/>
              </w:rPr>
              <w:t xml:space="preserve">One stakeholder commented that given the proposal </w:t>
            </w:r>
            <w:r w:rsidR="00033F0F">
              <w:rPr>
                <w:rFonts w:cs="Arial"/>
                <w:szCs w:val="22"/>
              </w:rPr>
              <w:t>requires more people to provide IRD number</w:t>
            </w:r>
            <w:r w:rsidR="00D97E19">
              <w:rPr>
                <w:rFonts w:cs="Arial"/>
                <w:szCs w:val="22"/>
              </w:rPr>
              <w:t>s</w:t>
            </w:r>
            <w:r w:rsidR="00033F0F">
              <w:rPr>
                <w:rFonts w:cs="Arial"/>
                <w:szCs w:val="22"/>
              </w:rPr>
              <w:t xml:space="preserve">, this process should be simplified as much as practicable. </w:t>
            </w:r>
            <w:r w:rsidR="002474E6">
              <w:rPr>
                <w:rFonts w:cs="Arial"/>
                <w:szCs w:val="22"/>
              </w:rPr>
              <w:t xml:space="preserve">Two stakeholders also commented that it would be desirable to have the current forms streamlined. </w:t>
            </w:r>
          </w:p>
          <w:p w14:paraId="7FAA9B39" w14:textId="77777777" w:rsidR="0035047F" w:rsidRPr="00EA14EA" w:rsidRDefault="0035047F" w:rsidP="0069218C">
            <w:pPr>
              <w:spacing w:after="0" w:line="276" w:lineRule="auto"/>
              <w:jc w:val="both"/>
              <w:rPr>
                <w:rFonts w:cs="Arial"/>
                <w:szCs w:val="22"/>
              </w:rPr>
            </w:pPr>
          </w:p>
          <w:p w14:paraId="4F11DBB5" w14:textId="1F574749" w:rsidR="0035047F" w:rsidRPr="00EA14EA" w:rsidRDefault="00462133" w:rsidP="0069218C">
            <w:pPr>
              <w:spacing w:after="0" w:line="276" w:lineRule="auto"/>
              <w:jc w:val="both"/>
              <w:rPr>
                <w:rFonts w:cs="Arial"/>
                <w:szCs w:val="22"/>
              </w:rPr>
            </w:pPr>
            <w:r>
              <w:rPr>
                <w:rFonts w:cs="Arial"/>
                <w:szCs w:val="22"/>
              </w:rPr>
              <w:t>A</w:t>
            </w:r>
            <w:r w:rsidR="005F590A" w:rsidRPr="00EA14EA">
              <w:rPr>
                <w:rFonts w:cs="Arial"/>
                <w:szCs w:val="22"/>
              </w:rPr>
              <w:t xml:space="preserve"> number of submissions were received </w:t>
            </w:r>
            <w:r w:rsidR="0035047F" w:rsidRPr="00EA14EA">
              <w:rPr>
                <w:rFonts w:cs="Arial"/>
                <w:szCs w:val="22"/>
              </w:rPr>
              <w:t xml:space="preserve">when </w:t>
            </w:r>
            <w:r w:rsidR="00E466FF" w:rsidRPr="00EA14EA">
              <w:rPr>
                <w:rFonts w:cs="Arial"/>
                <w:szCs w:val="22"/>
              </w:rPr>
              <w:t xml:space="preserve">the </w:t>
            </w:r>
            <w:r w:rsidR="009955A3" w:rsidRPr="00EA14EA">
              <w:rPr>
                <w:rFonts w:cs="Arial"/>
                <w:szCs w:val="22"/>
              </w:rPr>
              <w:t xml:space="preserve">requirement to provide IRD numbers to LINZ as part of the land registration process, but with an exemption for the main home, </w:t>
            </w:r>
            <w:r w:rsidR="00E466FF" w:rsidRPr="00EA14EA">
              <w:rPr>
                <w:rFonts w:cs="Arial"/>
                <w:szCs w:val="22"/>
              </w:rPr>
              <w:t>was being considered</w:t>
            </w:r>
            <w:r w:rsidR="00BD5299" w:rsidRPr="00EA14EA">
              <w:rPr>
                <w:rFonts w:cs="Arial"/>
                <w:szCs w:val="22"/>
              </w:rPr>
              <w:t xml:space="preserve"> </w:t>
            </w:r>
            <w:r w:rsidR="009955A3" w:rsidRPr="00EA14EA">
              <w:rPr>
                <w:rFonts w:cs="Arial"/>
                <w:szCs w:val="22"/>
              </w:rPr>
              <w:t>in 2015</w:t>
            </w:r>
            <w:r w:rsidR="00E466FF" w:rsidRPr="00EA14EA">
              <w:rPr>
                <w:rFonts w:cs="Arial"/>
                <w:szCs w:val="22"/>
              </w:rPr>
              <w:t xml:space="preserve"> by the Finance and Expenditure Select Committee</w:t>
            </w:r>
            <w:r w:rsidR="00921D26" w:rsidRPr="00EA14EA">
              <w:rPr>
                <w:rFonts w:cs="Arial"/>
                <w:szCs w:val="22"/>
              </w:rPr>
              <w:t xml:space="preserve"> (FEC)</w:t>
            </w:r>
            <w:r w:rsidR="005F590A" w:rsidRPr="00EA14EA">
              <w:rPr>
                <w:rFonts w:cs="Arial"/>
                <w:szCs w:val="22"/>
              </w:rPr>
              <w:t>.</w:t>
            </w:r>
            <w:r w:rsidR="009955A3" w:rsidRPr="00EA14EA">
              <w:rPr>
                <w:rFonts w:cs="Arial"/>
                <w:szCs w:val="22"/>
              </w:rPr>
              <w:t xml:space="preserve"> </w:t>
            </w:r>
            <w:r w:rsidR="00921D26" w:rsidRPr="00EA14EA">
              <w:rPr>
                <w:rFonts w:cs="Arial"/>
                <w:szCs w:val="22"/>
              </w:rPr>
              <w:t>Several submitters to FEC commented that the</w:t>
            </w:r>
            <w:r w:rsidR="00AF662A">
              <w:rPr>
                <w:rFonts w:cs="Arial"/>
                <w:szCs w:val="22"/>
              </w:rPr>
              <w:t xml:space="preserve"> exemption from providing IRD numbers and overseas tax information for transfers of</w:t>
            </w:r>
            <w:r w:rsidR="00921D26" w:rsidRPr="00EA14EA">
              <w:rPr>
                <w:rFonts w:cs="Arial"/>
                <w:szCs w:val="22"/>
              </w:rPr>
              <w:t xml:space="preserve"> main home</w:t>
            </w:r>
            <w:r w:rsidR="00AF662A">
              <w:rPr>
                <w:rFonts w:cs="Arial"/>
                <w:szCs w:val="22"/>
              </w:rPr>
              <w:t xml:space="preserve">s </w:t>
            </w:r>
            <w:r w:rsidR="005E5B75">
              <w:rPr>
                <w:rFonts w:cs="Arial"/>
                <w:szCs w:val="22"/>
              </w:rPr>
              <w:t>was problematic</w:t>
            </w:r>
            <w:r w:rsidR="00921D26" w:rsidRPr="00EA14EA">
              <w:rPr>
                <w:rFonts w:cs="Arial"/>
                <w:szCs w:val="22"/>
              </w:rPr>
              <w:t xml:space="preserve">. Reasons for this lack of support were that it would increase complexity of the rules and reduce the usefulness of the information for Government. No submitters to the </w:t>
            </w:r>
            <w:r w:rsidR="00D97E19">
              <w:rPr>
                <w:rFonts w:cs="Arial"/>
                <w:szCs w:val="22"/>
              </w:rPr>
              <w:t xml:space="preserve">2015 </w:t>
            </w:r>
            <w:r w:rsidR="00921D26" w:rsidRPr="00EA14EA">
              <w:rPr>
                <w:rFonts w:cs="Arial"/>
                <w:szCs w:val="22"/>
              </w:rPr>
              <w:t>Bill expressed support for the exemption</w:t>
            </w:r>
            <w:r w:rsidR="00AF662A">
              <w:rPr>
                <w:rFonts w:cs="Arial"/>
                <w:szCs w:val="22"/>
              </w:rPr>
              <w:t xml:space="preserve"> from providing tax information for transfers of main homes</w:t>
            </w:r>
            <w:r w:rsidR="00921D26" w:rsidRPr="00EA14EA">
              <w:rPr>
                <w:rFonts w:cs="Arial"/>
                <w:szCs w:val="22"/>
              </w:rPr>
              <w:t>.</w:t>
            </w:r>
          </w:p>
          <w:p w14:paraId="7B268E49" w14:textId="77777777" w:rsidR="00401D72" w:rsidRPr="00EA14EA" w:rsidRDefault="00401D72" w:rsidP="0069218C">
            <w:pPr>
              <w:spacing w:after="0" w:line="276" w:lineRule="auto"/>
              <w:jc w:val="both"/>
              <w:rPr>
                <w:rFonts w:cs="Arial"/>
                <w:szCs w:val="22"/>
              </w:rPr>
            </w:pPr>
          </w:p>
          <w:p w14:paraId="089A35B9" w14:textId="5D2F965F" w:rsidR="00921D26" w:rsidRDefault="00921D26" w:rsidP="0069218C">
            <w:pPr>
              <w:spacing w:after="0" w:line="276" w:lineRule="auto"/>
              <w:jc w:val="both"/>
              <w:rPr>
                <w:rFonts w:cs="Arial"/>
                <w:szCs w:val="22"/>
              </w:rPr>
            </w:pPr>
            <w:r w:rsidRPr="00EA14EA">
              <w:rPr>
                <w:rFonts w:cs="Arial"/>
                <w:szCs w:val="22"/>
              </w:rPr>
              <w:t xml:space="preserve">The proposed option would address </w:t>
            </w:r>
            <w:r w:rsidR="00462133">
              <w:rPr>
                <w:rFonts w:cs="Arial"/>
                <w:szCs w:val="22"/>
              </w:rPr>
              <w:t xml:space="preserve">those </w:t>
            </w:r>
            <w:r w:rsidRPr="00EA14EA">
              <w:rPr>
                <w:rFonts w:cs="Arial"/>
                <w:szCs w:val="22"/>
              </w:rPr>
              <w:t>subm</w:t>
            </w:r>
            <w:r w:rsidR="005D2A0A" w:rsidRPr="00EA14EA">
              <w:rPr>
                <w:rFonts w:cs="Arial"/>
                <w:szCs w:val="22"/>
              </w:rPr>
              <w:t>itters</w:t>
            </w:r>
            <w:r w:rsidR="00E825CE" w:rsidRPr="00EA14EA">
              <w:rPr>
                <w:rFonts w:cs="Arial"/>
                <w:szCs w:val="22"/>
              </w:rPr>
              <w:t>’</w:t>
            </w:r>
            <w:r w:rsidR="005D2A0A" w:rsidRPr="00EA14EA">
              <w:rPr>
                <w:rFonts w:cs="Arial"/>
                <w:szCs w:val="22"/>
              </w:rPr>
              <w:t xml:space="preserve"> concerns that the exemption</w:t>
            </w:r>
            <w:r w:rsidR="00AF662A">
              <w:rPr>
                <w:rFonts w:cs="Arial"/>
                <w:szCs w:val="22"/>
              </w:rPr>
              <w:t xml:space="preserve"> for transfers of main homes</w:t>
            </w:r>
            <w:r w:rsidR="005D2A0A" w:rsidRPr="00EA14EA">
              <w:rPr>
                <w:rFonts w:cs="Arial"/>
                <w:szCs w:val="22"/>
              </w:rPr>
              <w:t xml:space="preserve"> reduces the usefulness of the information for Government. </w:t>
            </w:r>
            <w:r w:rsidR="001F2FC7" w:rsidRPr="00EA14EA">
              <w:rPr>
                <w:rFonts w:cs="Arial"/>
                <w:szCs w:val="22"/>
              </w:rPr>
              <w:t>It</w:t>
            </w:r>
            <w:r w:rsidR="009955A3" w:rsidRPr="00EA14EA">
              <w:rPr>
                <w:rFonts w:cs="Arial"/>
                <w:szCs w:val="22"/>
              </w:rPr>
              <w:t xml:space="preserve"> would address submitters</w:t>
            </w:r>
            <w:r w:rsidR="001F2FC7" w:rsidRPr="00EA14EA">
              <w:rPr>
                <w:rFonts w:cs="Arial"/>
                <w:szCs w:val="22"/>
              </w:rPr>
              <w:t>’</w:t>
            </w:r>
            <w:r w:rsidR="009955A3" w:rsidRPr="00EA14EA">
              <w:rPr>
                <w:rFonts w:cs="Arial"/>
                <w:szCs w:val="22"/>
              </w:rPr>
              <w:t xml:space="preserve"> concerns around the complexity of the rules </w:t>
            </w:r>
            <w:r w:rsidR="001F2FC7" w:rsidRPr="00EA14EA">
              <w:rPr>
                <w:rFonts w:cs="Arial"/>
                <w:szCs w:val="22"/>
              </w:rPr>
              <w:t xml:space="preserve">to some degree, as the </w:t>
            </w:r>
            <w:r w:rsidR="001F2FC7" w:rsidRPr="00EA14EA">
              <w:rPr>
                <w:rFonts w:cs="Arial"/>
                <w:szCs w:val="22"/>
              </w:rPr>
              <w:lastRenderedPageBreak/>
              <w:t>main home indicator is intended to be less complex than the current question relating to</w:t>
            </w:r>
            <w:r w:rsidR="009955A3" w:rsidRPr="00EA14EA">
              <w:rPr>
                <w:rFonts w:cs="Arial"/>
                <w:szCs w:val="22"/>
              </w:rPr>
              <w:t xml:space="preserve"> whether a property is a main home.</w:t>
            </w:r>
          </w:p>
          <w:p w14:paraId="209C8705" w14:textId="7E8E0F19" w:rsidR="00401D72" w:rsidRPr="0069218C" w:rsidRDefault="00401D72" w:rsidP="0069218C">
            <w:pPr>
              <w:spacing w:after="0" w:line="276" w:lineRule="auto"/>
              <w:jc w:val="both"/>
              <w:rPr>
                <w:rFonts w:cs="Arial"/>
                <w:szCs w:val="22"/>
              </w:rPr>
            </w:pPr>
          </w:p>
        </w:tc>
      </w:tr>
    </w:tbl>
    <w:p w14:paraId="55B425D8" w14:textId="77777777" w:rsidR="00EE4E3B" w:rsidRPr="008A6442" w:rsidRDefault="00D9793F" w:rsidP="00293FDC">
      <w:pPr>
        <w:pStyle w:val="Heading2"/>
      </w:pPr>
      <w:r w:rsidRPr="0069218C">
        <w:rPr>
          <w:lang w:val="en-NZ"/>
        </w:rPr>
        <w:lastRenderedPageBreak/>
        <w:br w:type="page"/>
      </w:r>
      <w:r w:rsidR="00EE4E3B" w:rsidRPr="002D5734">
        <w:lastRenderedPageBreak/>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2D5734" w:rsidRPr="0069218C" w14:paraId="14F154E0" w14:textId="77777777" w:rsidTr="00800DEC">
        <w:trPr>
          <w:trHeight w:val="197"/>
        </w:trPr>
        <w:tc>
          <w:tcPr>
            <w:tcW w:w="9072" w:type="dxa"/>
            <w:shd w:val="clear" w:color="auto" w:fill="99CDDD"/>
            <w:hideMark/>
          </w:tcPr>
          <w:p w14:paraId="7B1CA4F5"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087CABAF" w14:textId="77777777" w:rsidTr="004909E4">
        <w:trPr>
          <w:trHeight w:val="6751"/>
        </w:trPr>
        <w:tc>
          <w:tcPr>
            <w:tcW w:w="9072" w:type="dxa"/>
            <w:shd w:val="clear" w:color="auto" w:fill="auto"/>
          </w:tcPr>
          <w:p w14:paraId="0951D13F" w14:textId="77777777" w:rsidR="00F132B2" w:rsidRPr="0069218C" w:rsidRDefault="00F132B2" w:rsidP="0069218C">
            <w:pPr>
              <w:spacing w:after="0" w:line="276" w:lineRule="auto"/>
              <w:jc w:val="both"/>
              <w:rPr>
                <w:rFonts w:cs="Arial"/>
                <w:szCs w:val="22"/>
              </w:rPr>
            </w:pPr>
          </w:p>
          <w:p w14:paraId="22D51662" w14:textId="77777777" w:rsidR="009B5C37" w:rsidRPr="009B5C37" w:rsidRDefault="009B5C37" w:rsidP="009B5C37">
            <w:pPr>
              <w:rPr>
                <w:rFonts w:cs="Arial"/>
                <w:szCs w:val="22"/>
              </w:rPr>
            </w:pPr>
            <w:r w:rsidRPr="009B5C37">
              <w:rPr>
                <w:rFonts w:cs="Arial"/>
                <w:szCs w:val="22"/>
              </w:rPr>
              <w:t xml:space="preserve">Following Cabinet approval of the proposed approach, the required amendments to the Land Transfer Act 2017 will be drafted for inclusion as a Supplementary Order Paper to the Taxation (Annual Rates for 2019-20, GST Offshore Supplier Registration, and Remedial Matters) Bill at the Committee of the whole House stage. The amendments to the Land Transfer Act 2017 would have a commencement date of 1 </w:t>
            </w:r>
            <w:r w:rsidR="00360CF1">
              <w:rPr>
                <w:rFonts w:cs="Arial"/>
                <w:szCs w:val="22"/>
              </w:rPr>
              <w:t>January</w:t>
            </w:r>
            <w:r w:rsidR="005E7C7B">
              <w:rPr>
                <w:rFonts w:cs="Arial"/>
                <w:szCs w:val="22"/>
              </w:rPr>
              <w:t xml:space="preserve"> </w:t>
            </w:r>
            <w:r w:rsidRPr="009B5C37">
              <w:rPr>
                <w:rFonts w:cs="Arial"/>
                <w:szCs w:val="22"/>
              </w:rPr>
              <w:t>2020.</w:t>
            </w:r>
          </w:p>
          <w:p w14:paraId="63C885CA" w14:textId="77777777" w:rsidR="00F132B2" w:rsidRDefault="009B5C37" w:rsidP="0069218C">
            <w:pPr>
              <w:spacing w:after="0" w:line="276" w:lineRule="auto"/>
              <w:jc w:val="both"/>
              <w:rPr>
                <w:rFonts w:cs="Arial"/>
                <w:szCs w:val="22"/>
              </w:rPr>
            </w:pPr>
            <w:r>
              <w:rPr>
                <w:rFonts w:cs="Arial"/>
                <w:szCs w:val="22"/>
              </w:rPr>
              <w:t xml:space="preserve">The proposed option would require new forms to be developed in consultation with key stakeholders and for the required changes to be made in </w:t>
            </w:r>
            <w:proofErr w:type="spellStart"/>
            <w:r>
              <w:rPr>
                <w:rFonts w:cs="Arial"/>
                <w:szCs w:val="22"/>
              </w:rPr>
              <w:t>Landonline</w:t>
            </w:r>
            <w:proofErr w:type="spellEnd"/>
            <w:r>
              <w:rPr>
                <w:rFonts w:cs="Arial"/>
                <w:szCs w:val="22"/>
              </w:rPr>
              <w:t>.</w:t>
            </w:r>
          </w:p>
          <w:p w14:paraId="1EC18E92" w14:textId="77777777" w:rsidR="009B5C37" w:rsidRDefault="009B5C37" w:rsidP="0069218C">
            <w:pPr>
              <w:spacing w:after="0" w:line="276" w:lineRule="auto"/>
              <w:jc w:val="both"/>
              <w:rPr>
                <w:rFonts w:cs="Arial"/>
                <w:szCs w:val="22"/>
              </w:rPr>
            </w:pPr>
          </w:p>
          <w:p w14:paraId="02873802" w14:textId="6E75464E" w:rsidR="009B5C37" w:rsidRDefault="009B5C37" w:rsidP="0069218C">
            <w:pPr>
              <w:spacing w:after="0" w:line="276" w:lineRule="auto"/>
              <w:jc w:val="both"/>
              <w:rPr>
                <w:rFonts w:cs="Arial"/>
                <w:szCs w:val="22"/>
              </w:rPr>
            </w:pPr>
            <w:r>
              <w:rPr>
                <w:rFonts w:cs="Arial"/>
                <w:szCs w:val="22"/>
              </w:rPr>
              <w:t xml:space="preserve">Transitional provisions would be necessary to allow for contracts that have been entered into but not settled </w:t>
            </w:r>
            <w:r w:rsidR="009955A3">
              <w:rPr>
                <w:rFonts w:cs="Arial"/>
                <w:szCs w:val="22"/>
              </w:rPr>
              <w:t xml:space="preserve">at commencement. </w:t>
            </w:r>
            <w:r w:rsidR="009955A3" w:rsidRPr="009955A3">
              <w:rPr>
                <w:rFonts w:cs="Arial"/>
                <w:szCs w:val="22"/>
              </w:rPr>
              <w:t>People will have contracted on the basis of the rules at the time of signing and there is the potential for the legislative amendments to affect existing contracts and therefore impose</w:t>
            </w:r>
            <w:r w:rsidR="00E825CE">
              <w:rPr>
                <w:rFonts w:cs="Arial"/>
                <w:szCs w:val="22"/>
              </w:rPr>
              <w:t xml:space="preserve"> unexpected</w:t>
            </w:r>
            <w:r w:rsidR="009955A3" w:rsidRPr="009955A3">
              <w:rPr>
                <w:rFonts w:cs="Arial"/>
                <w:szCs w:val="22"/>
              </w:rPr>
              <w:t xml:space="preserve"> compliance costs if transitional provisions are not enacted. The transitional provisions in Schedule 1AA of the Land Transfer Amendment Act 2015 (which introduced the Land Transfer Tax Statements) could serve as a model. For example, it could provide that transfers entered into on or before 1 January 2020 and registered before 1 July 2020 are still eligible for the exemption</w:t>
            </w:r>
            <w:r w:rsidR="00AF662A">
              <w:rPr>
                <w:rFonts w:cs="Arial"/>
                <w:szCs w:val="22"/>
              </w:rPr>
              <w:t xml:space="preserve"> from providing IRD numbers and overseas tax information for transfers of main homes</w:t>
            </w:r>
            <w:r w:rsidR="009955A3" w:rsidRPr="009955A3">
              <w:rPr>
                <w:rFonts w:cs="Arial"/>
                <w:szCs w:val="22"/>
              </w:rPr>
              <w:t>.</w:t>
            </w:r>
          </w:p>
          <w:p w14:paraId="187C4459" w14:textId="77777777" w:rsidR="00423DB0" w:rsidRDefault="00423DB0" w:rsidP="0069218C">
            <w:pPr>
              <w:spacing w:after="0" w:line="276" w:lineRule="auto"/>
              <w:jc w:val="both"/>
              <w:rPr>
                <w:rFonts w:cs="Arial"/>
                <w:szCs w:val="22"/>
              </w:rPr>
            </w:pPr>
          </w:p>
          <w:p w14:paraId="7256D6D5" w14:textId="77777777" w:rsidR="009B5C37" w:rsidRPr="0069218C" w:rsidRDefault="009B5C37" w:rsidP="0069218C">
            <w:pPr>
              <w:spacing w:after="0" w:line="276" w:lineRule="auto"/>
              <w:jc w:val="both"/>
              <w:rPr>
                <w:rFonts w:cs="Arial"/>
                <w:szCs w:val="22"/>
              </w:rPr>
            </w:pPr>
            <w:r>
              <w:rPr>
                <w:rFonts w:cs="Arial"/>
                <w:szCs w:val="22"/>
              </w:rPr>
              <w:t>Slight modifications would need to be made to the current LINZ/Inland Revenue data interface to reflect the proposed changes in the data being collected. Inland Revenue ma</w:t>
            </w:r>
            <w:r w:rsidR="00423DB0">
              <w:rPr>
                <w:rFonts w:cs="Arial"/>
                <w:szCs w:val="22"/>
              </w:rPr>
              <w:t xml:space="preserve">y </w:t>
            </w:r>
            <w:r>
              <w:rPr>
                <w:rFonts w:cs="Arial"/>
                <w:szCs w:val="22"/>
              </w:rPr>
              <w:t xml:space="preserve">also need to make some minor </w:t>
            </w:r>
            <w:r w:rsidR="00423DB0">
              <w:rPr>
                <w:rFonts w:cs="Arial"/>
                <w:szCs w:val="22"/>
              </w:rPr>
              <w:t xml:space="preserve">system </w:t>
            </w:r>
            <w:r>
              <w:rPr>
                <w:rFonts w:cs="Arial"/>
                <w:szCs w:val="22"/>
              </w:rPr>
              <w:t xml:space="preserve">changes to </w:t>
            </w:r>
            <w:r w:rsidR="00423DB0">
              <w:rPr>
                <w:rFonts w:cs="Arial"/>
                <w:szCs w:val="22"/>
              </w:rPr>
              <w:t>enable more efficient use of the data for compliance purposes. However, these changes are not expected to be significant.</w:t>
            </w:r>
          </w:p>
        </w:tc>
      </w:tr>
    </w:tbl>
    <w:p w14:paraId="31D30741" w14:textId="77777777" w:rsidR="004909E4" w:rsidRDefault="004909E4" w:rsidP="00293FDC">
      <w:pPr>
        <w:pStyle w:val="Heading2"/>
      </w:pPr>
    </w:p>
    <w:p w14:paraId="07CA28AD" w14:textId="77777777" w:rsidR="00F132B2" w:rsidRPr="008A6442" w:rsidRDefault="00F132B2" w:rsidP="00293FDC">
      <w:pPr>
        <w:pStyle w:val="Heading2"/>
      </w:pPr>
      <w:r w:rsidRPr="00B952B7">
        <w:t xml:space="preserve">Section 7:  Monitoring, </w:t>
      </w:r>
      <w:r w:rsidRPr="00030EC1">
        <w:t>evalu</w:t>
      </w:r>
      <w:r w:rsidRPr="00B952B7">
        <w:t>ation and review</w:t>
      </w:r>
    </w:p>
    <w:tbl>
      <w:tblPr>
        <w:tblW w:w="9072" w:type="dxa"/>
        <w:tblInd w:w="-5" w:type="dxa"/>
        <w:tblLook w:val="0480" w:firstRow="0" w:lastRow="0" w:firstColumn="1" w:lastColumn="0" w:noHBand="0" w:noVBand="1"/>
      </w:tblPr>
      <w:tblGrid>
        <w:gridCol w:w="9072"/>
      </w:tblGrid>
      <w:tr w:rsidR="00F132B2" w:rsidRPr="0069218C" w14:paraId="685992E0" w14:textId="77777777" w:rsidTr="00800DEC">
        <w:trPr>
          <w:trHeight w:val="77"/>
        </w:trPr>
        <w:tc>
          <w:tcPr>
            <w:tcW w:w="9072" w:type="dxa"/>
            <w:tcBorders>
              <w:top w:val="single" w:sz="4" w:space="0" w:color="auto"/>
              <w:left w:val="single" w:sz="4" w:space="0" w:color="auto"/>
              <w:bottom w:val="single" w:sz="4" w:space="0" w:color="auto"/>
              <w:right w:val="single" w:sz="4" w:space="0" w:color="auto"/>
            </w:tcBorders>
            <w:shd w:val="clear" w:color="auto" w:fill="99CDDD"/>
          </w:tcPr>
          <w:p w14:paraId="71872313"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688CF264" w14:textId="77777777" w:rsidTr="004909E4">
        <w:trPr>
          <w:trHeight w:val="1581"/>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F6488B2" w14:textId="77777777" w:rsidR="00F132B2" w:rsidRDefault="004909E4" w:rsidP="00B47208">
            <w:pPr>
              <w:spacing w:after="0" w:line="276" w:lineRule="auto"/>
              <w:jc w:val="both"/>
              <w:rPr>
                <w:rFonts w:cs="Arial"/>
                <w:szCs w:val="22"/>
              </w:rPr>
            </w:pPr>
            <w:r>
              <w:rPr>
                <w:rFonts w:cs="Arial"/>
                <w:szCs w:val="22"/>
              </w:rPr>
              <w:t>Inland Revenue will monitor the outcomes to confirm that they match the policy objectives.</w:t>
            </w:r>
          </w:p>
          <w:p w14:paraId="5EDCEF07" w14:textId="77777777" w:rsidR="004909E4" w:rsidRDefault="004909E4" w:rsidP="00B47208">
            <w:pPr>
              <w:spacing w:after="0" w:line="276" w:lineRule="auto"/>
              <w:jc w:val="both"/>
              <w:rPr>
                <w:rFonts w:cs="Arial"/>
                <w:szCs w:val="22"/>
              </w:rPr>
            </w:pPr>
          </w:p>
          <w:p w14:paraId="5CCABBA1" w14:textId="77777777" w:rsidR="004909E4" w:rsidRPr="0069218C" w:rsidRDefault="004909E4" w:rsidP="00B47208">
            <w:pPr>
              <w:spacing w:after="0" w:line="276" w:lineRule="auto"/>
              <w:jc w:val="both"/>
              <w:rPr>
                <w:rFonts w:cs="Arial"/>
                <w:szCs w:val="22"/>
              </w:rPr>
            </w:pPr>
            <w:r>
              <w:rPr>
                <w:rFonts w:cs="Arial"/>
                <w:szCs w:val="22"/>
              </w:rPr>
              <w:t>Monitoring the impact of the new arrangements will be done through assessing how the additional data collected assists with the effective enforcement of the tax rules relating to property.</w:t>
            </w:r>
          </w:p>
        </w:tc>
      </w:tr>
    </w:tbl>
    <w:p w14:paraId="023BDD8B" w14:textId="77777777" w:rsidR="00F132B2" w:rsidRPr="00567434" w:rsidRDefault="00F132B2" w:rsidP="00567434">
      <w:pPr>
        <w:pStyle w:val="spac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F132B2" w:rsidRPr="0069218C" w14:paraId="468552C7" w14:textId="77777777" w:rsidTr="00800DEC">
        <w:trPr>
          <w:trHeight w:val="77"/>
        </w:trPr>
        <w:tc>
          <w:tcPr>
            <w:tcW w:w="9072" w:type="dxa"/>
            <w:shd w:val="clear" w:color="auto" w:fill="99CDDD"/>
          </w:tcPr>
          <w:p w14:paraId="4DAED099"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4A09BFBF" w14:textId="77777777" w:rsidTr="004909E4">
        <w:trPr>
          <w:trHeight w:val="1641"/>
        </w:trPr>
        <w:tc>
          <w:tcPr>
            <w:tcW w:w="9072" w:type="dxa"/>
            <w:shd w:val="clear" w:color="auto" w:fill="auto"/>
          </w:tcPr>
          <w:p w14:paraId="03C57AEE" w14:textId="7E500AA4" w:rsidR="00F132B2" w:rsidRPr="0069218C" w:rsidRDefault="009955A3" w:rsidP="0069218C">
            <w:pPr>
              <w:spacing w:after="0" w:line="276" w:lineRule="auto"/>
              <w:jc w:val="both"/>
              <w:rPr>
                <w:rFonts w:cs="Arial"/>
                <w:szCs w:val="22"/>
              </w:rPr>
            </w:pPr>
            <w:r>
              <w:rPr>
                <w:rFonts w:cs="Arial"/>
                <w:szCs w:val="22"/>
              </w:rPr>
              <w:t xml:space="preserve">Officials from Inland Revenue expect that, once the proposals are enacted, affected stakeholders will raise with them and/or LINZ any concerns they have with how the rules are working in practice. Any necessary changes identified as a result </w:t>
            </w:r>
            <w:r w:rsidR="00D83B38">
              <w:rPr>
                <w:rFonts w:cs="Arial"/>
                <w:szCs w:val="22"/>
              </w:rPr>
              <w:t xml:space="preserve">could </w:t>
            </w:r>
            <w:r>
              <w:rPr>
                <w:rFonts w:cs="Arial"/>
                <w:szCs w:val="22"/>
              </w:rPr>
              <w:t>be considered for addition to the Government’s tax policy work programme.</w:t>
            </w:r>
          </w:p>
        </w:tc>
      </w:tr>
    </w:tbl>
    <w:p w14:paraId="730DE092" w14:textId="77777777" w:rsidR="00C2708A" w:rsidRPr="00B47208" w:rsidRDefault="00C2708A" w:rsidP="00B47208">
      <w:pPr>
        <w:pStyle w:val="spacer"/>
      </w:pPr>
    </w:p>
    <w:sectPr w:rsidR="00C2708A"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E4B3" w14:textId="77777777" w:rsidR="0041226C" w:rsidRDefault="0041226C">
      <w:pPr>
        <w:spacing w:after="0" w:line="240" w:lineRule="auto"/>
      </w:pPr>
      <w:r>
        <w:separator/>
      </w:r>
    </w:p>
  </w:endnote>
  <w:endnote w:type="continuationSeparator" w:id="0">
    <w:p w14:paraId="51E6A7E8" w14:textId="77777777" w:rsidR="0041226C" w:rsidRDefault="0041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4C31" w14:textId="4CF53222" w:rsidR="00DA06D7" w:rsidRDefault="00E964A0" w:rsidP="00E964A0">
    <w:pPr>
      <w:pStyle w:val="Footer"/>
    </w:pPr>
    <w:bookmarkStart w:id="7" w:name="TsyIMFooter"/>
    <w:r>
      <w:t>Impact Summary: Collection of IRD numbers for the transfer of main homes</w:t>
    </w:r>
    <w:r w:rsidRPr="00957BC2">
      <w:t xml:space="preserve">  </w:t>
    </w:r>
    <w:r w:rsidR="00EA14EA">
      <mc:AlternateContent>
        <mc:Choice Requires="wps">
          <w:drawing>
            <wp:anchor distT="0" distB="0" distL="114300" distR="114300" simplePos="0" relativeHeight="251657728" behindDoc="0" locked="0" layoutInCell="0" allowOverlap="1" wp14:anchorId="721C21DF" wp14:editId="492C5704">
              <wp:simplePos x="0" y="0"/>
              <wp:positionH relativeFrom="page">
                <wp:posOffset>0</wp:posOffset>
              </wp:positionH>
              <wp:positionV relativeFrom="page">
                <wp:posOffset>10234930</wp:posOffset>
              </wp:positionV>
              <wp:extent cx="7560310" cy="266700"/>
              <wp:effectExtent l="0" t="0" r="2540" b="4445"/>
              <wp:wrapNone/>
              <wp:docPr id="1" name="MSIPCMdea944a58d63634e6dc60152" descr="{&quot;HashCode&quot;:40431686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46CD7" w14:textId="77777777" w:rsidR="00A77C07" w:rsidRPr="00A77C07" w:rsidRDefault="00A77C07" w:rsidP="00A77C07">
                          <w:pPr>
                            <w:spacing w:after="0"/>
                            <w:jc w:val="center"/>
                            <w:rPr>
                              <w:rFonts w:ascii="Verdana" w:hAnsi="Verdana"/>
                              <w:color w:val="000000"/>
                              <w:sz w:val="20"/>
                            </w:rPr>
                          </w:pPr>
                          <w:r w:rsidRPr="00A77C07">
                            <w:rPr>
                              <w:rFonts w:ascii="Verdana" w:hAnsi="Verdana"/>
                              <w:color w:val="000000"/>
                              <w:sz w:val="20"/>
                            </w:rPr>
                            <w:t>IN CONFIDENCE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C21DF" id="_x0000_t202" coordsize="21600,21600" o:spt="202" path="m,l,21600r21600,l21600,xe">
              <v:stroke joinstyle="miter"/>
              <v:path gradientshapeok="t" o:connecttype="rect"/>
            </v:shapetype>
            <v:shape id="MSIPCMdea944a58d63634e6dc60152"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" o:allowincell="f" filled="f" stroked="f">
              <v:textbox inset=",0,,0">
                <w:txbxContent>
                  <w:p w14:paraId="7AA46CD7" w14:textId="77777777" w:rsidR="00A77C07" w:rsidRPr="00A77C07" w:rsidRDefault="00A77C07" w:rsidP="00A77C07">
                    <w:pPr>
                      <w:spacing w:after="0"/>
                      <w:jc w:val="center"/>
                      <w:rPr>
                        <w:rFonts w:ascii="Verdana" w:hAnsi="Verdana"/>
                        <w:color w:val="000000"/>
                        <w:sz w:val="20"/>
                      </w:rPr>
                    </w:pPr>
                    <w:r w:rsidRPr="00A77C07">
                      <w:rPr>
                        <w:rFonts w:ascii="Verdana" w:hAnsi="Verdana"/>
                        <w:color w:val="000000"/>
                        <w:sz w:val="20"/>
                      </w:rPr>
                      <w:t>IN CONFIDENCE</w:t>
                    </w:r>
                  </w:p>
                </w:txbxContent>
              </v:textbox>
              <w10:wrap anchorx="page" anchory="page"/>
            </v:shape>
          </w:pict>
        </mc:Fallback>
      </mc:AlternateContent>
    </w:r>
    <w:r w:rsidR="00DA06D7" w:rsidRPr="00DA06D7">
      <w:t xml:space="preserve"> </w:t>
    </w:r>
    <w:bookmarkEnd w:id="7"/>
  </w:p>
  <w:p w14:paraId="037FF8A7" w14:textId="303DC682" w:rsidR="00784C66" w:rsidRPr="00957BC2" w:rsidRDefault="00380585" w:rsidP="00E964A0">
    <w:pPr>
      <w:pStyle w:val="Footer"/>
    </w:pPr>
    <w:r w:rsidRPr="00957BC2">
      <w:t xml:space="preserve">|   </w:t>
    </w:r>
    <w:r w:rsidRPr="00957BC2">
      <w:fldChar w:fldCharType="begin"/>
    </w:r>
    <w:r w:rsidRPr="00957BC2">
      <w:instrText xml:space="preserve"> PAGE </w:instrText>
    </w:r>
    <w:r w:rsidRPr="00957BC2">
      <w:fldChar w:fldCharType="separate"/>
    </w:r>
    <w:r w:rsidR="00293FDC">
      <w:t>1</w:t>
    </w:r>
    <w:r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8745" w14:textId="77777777" w:rsidR="0041226C" w:rsidRDefault="0041226C">
      <w:pPr>
        <w:spacing w:after="0" w:line="240" w:lineRule="auto"/>
      </w:pPr>
      <w:r>
        <w:separator/>
      </w:r>
    </w:p>
  </w:footnote>
  <w:footnote w:type="continuationSeparator" w:id="0">
    <w:p w14:paraId="26548682" w14:textId="77777777" w:rsidR="0041226C" w:rsidRDefault="0041226C">
      <w:pPr>
        <w:spacing w:after="0" w:line="240" w:lineRule="auto"/>
      </w:pPr>
      <w:r>
        <w:continuationSeparator/>
      </w:r>
    </w:p>
  </w:footnote>
  <w:footnote w:id="1">
    <w:p w14:paraId="58D6C606" w14:textId="4969B6B0" w:rsidR="003832F3" w:rsidRPr="00D01A30" w:rsidRDefault="003832F3">
      <w:pPr>
        <w:pStyle w:val="FootnoteText"/>
        <w:rPr>
          <w:lang w:val="en-NZ"/>
        </w:rPr>
      </w:pPr>
      <w:r>
        <w:rPr>
          <w:rStyle w:val="FootnoteReference"/>
        </w:rPr>
        <w:footnoteRef/>
      </w:r>
      <w:r>
        <w:t xml:space="preserve"> The RIS prepared for the 2015 change can be found at: </w:t>
      </w:r>
      <w:hyperlink r:id="rId1" w:history="1">
        <w:r w:rsidR="0057219E" w:rsidRPr="00036FB2">
          <w:rPr>
            <w:rStyle w:val="Hyperlink"/>
          </w:rPr>
          <w:t>http://taxpolicy.ird.govt.nz/publications/2015-ris-liopi-bill/overview</w:t>
        </w:r>
      </w:hyperlink>
      <w:r w:rsidR="0057219E">
        <w:t xml:space="preserve"> </w:t>
      </w:r>
    </w:p>
  </w:footnote>
  <w:footnote w:id="2">
    <w:p w14:paraId="3C4C6571" w14:textId="7FF5C8CC" w:rsidR="00A65142" w:rsidRPr="00F43D06" w:rsidRDefault="00A65142">
      <w:pPr>
        <w:pStyle w:val="FootnoteText"/>
        <w:rPr>
          <w:lang w:val="en-NZ"/>
        </w:rPr>
      </w:pPr>
      <w:r>
        <w:rPr>
          <w:rStyle w:val="FootnoteReference"/>
        </w:rPr>
        <w:footnoteRef/>
      </w:r>
      <w:r>
        <w:t xml:space="preserve"> </w:t>
      </w:r>
      <w:r>
        <w:rPr>
          <w:lang w:val="en-NZ"/>
        </w:rPr>
        <w:t xml:space="preserve">A transfer cannot be a non-notifiable </w:t>
      </w:r>
      <w:r w:rsidR="009254E6">
        <w:rPr>
          <w:lang w:val="en-NZ"/>
        </w:rPr>
        <w:t>transfer</w:t>
      </w:r>
      <w:r>
        <w:rPr>
          <w:lang w:val="en-NZ"/>
        </w:rPr>
        <w:t xml:space="preserve"> if the </w:t>
      </w:r>
      <w:r w:rsidR="009254E6">
        <w:rPr>
          <w:lang w:val="en-NZ"/>
        </w:rPr>
        <w:t>transferor or transferee</w:t>
      </w:r>
      <w:r>
        <w:rPr>
          <w:lang w:val="en-NZ"/>
        </w:rPr>
        <w:t xml:space="preserve"> is an “offshore person” (for example, if they are a non-New Zealand resident and they do not have a residence class visa, or they are a citizen or hold a residence class visa but have not physically been in New Zealand for a certain period of time). </w:t>
      </w:r>
    </w:p>
  </w:footnote>
  <w:footnote w:id="3">
    <w:p w14:paraId="1B64F0DE" w14:textId="34F7A1AA" w:rsidR="00241E68" w:rsidRPr="00F43D06" w:rsidRDefault="00241E68">
      <w:pPr>
        <w:pStyle w:val="FootnoteText"/>
        <w:rPr>
          <w:lang w:val="en-NZ"/>
        </w:rPr>
      </w:pPr>
      <w:r>
        <w:rPr>
          <w:rStyle w:val="FootnoteReference"/>
        </w:rPr>
        <w:footnoteRef/>
      </w:r>
      <w:r>
        <w:t xml:space="preserve"> </w:t>
      </w:r>
      <w:r>
        <w:rPr>
          <w:lang w:val="en-NZ"/>
        </w:rPr>
        <w:t>The bright-line rule was introduced in 2015 and originally deemed the disposal of residential land to be taxable if disposal occurred with 2 years of acquisition. It was amended in 2018 to now apply to residential property disposed of within 5 years of acquisition.</w:t>
      </w:r>
    </w:p>
  </w:footnote>
  <w:footnote w:id="4">
    <w:p w14:paraId="64927F8D" w14:textId="3983ECB6" w:rsidR="00241E68" w:rsidRPr="00F43D06" w:rsidRDefault="00241E68">
      <w:pPr>
        <w:pStyle w:val="FootnoteText"/>
        <w:rPr>
          <w:lang w:val="en-NZ"/>
        </w:rPr>
      </w:pPr>
      <w:r>
        <w:rPr>
          <w:rStyle w:val="FootnoteReference"/>
        </w:rPr>
        <w:footnoteRef/>
      </w:r>
      <w:r w:rsidR="00AF662A">
        <w:t xml:space="preserve"> </w:t>
      </w:r>
      <w:proofErr w:type="spellStart"/>
      <w:r>
        <w:rPr>
          <w:lang w:val="en-NZ"/>
        </w:rPr>
        <w:t>Landonline</w:t>
      </w:r>
      <w:proofErr w:type="spellEnd"/>
      <w:r>
        <w:rPr>
          <w:lang w:val="en-NZ"/>
        </w:rPr>
        <w:t xml:space="preserve"> is </w:t>
      </w:r>
      <w:r w:rsidR="00AF662A">
        <w:rPr>
          <w:lang w:val="en-NZ"/>
        </w:rPr>
        <w:t>an online transaction centre where property professionals can securely search, lodge and update title dealings and survey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4C52" w14:textId="77777777" w:rsidR="00784C66" w:rsidRPr="00EB1B21" w:rsidRDefault="002F57C1"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6F2"/>
    <w:multiLevelType w:val="hybridMultilevel"/>
    <w:tmpl w:val="524A3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8762A4"/>
    <w:multiLevelType w:val="hybridMultilevel"/>
    <w:tmpl w:val="F7D69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8DE5A8D"/>
    <w:multiLevelType w:val="hybridMultilevel"/>
    <w:tmpl w:val="93802A1A"/>
    <w:lvl w:ilvl="0" w:tplc="8E3E8056">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6"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9"/>
  </w:num>
  <w:num w:numId="4">
    <w:abstractNumId w:val="11"/>
  </w:num>
  <w:num w:numId="5">
    <w:abstractNumId w:val="30"/>
  </w:num>
  <w:num w:numId="6">
    <w:abstractNumId w:val="24"/>
  </w:num>
  <w:num w:numId="7">
    <w:abstractNumId w:val="10"/>
  </w:num>
  <w:num w:numId="8">
    <w:abstractNumId w:val="13"/>
  </w:num>
  <w:num w:numId="9">
    <w:abstractNumId w:val="7"/>
  </w:num>
  <w:num w:numId="10">
    <w:abstractNumId w:val="18"/>
  </w:num>
  <w:num w:numId="11">
    <w:abstractNumId w:val="22"/>
  </w:num>
  <w:num w:numId="12">
    <w:abstractNumId w:val="4"/>
  </w:num>
  <w:num w:numId="13">
    <w:abstractNumId w:val="9"/>
  </w:num>
  <w:num w:numId="14">
    <w:abstractNumId w:val="14"/>
  </w:num>
  <w:num w:numId="15">
    <w:abstractNumId w:val="12"/>
  </w:num>
  <w:num w:numId="16">
    <w:abstractNumId w:val="5"/>
  </w:num>
  <w:num w:numId="17">
    <w:abstractNumId w:val="28"/>
  </w:num>
  <w:num w:numId="18">
    <w:abstractNumId w:val="3"/>
  </w:num>
  <w:num w:numId="19">
    <w:abstractNumId w:val="15"/>
  </w:num>
  <w:num w:numId="20">
    <w:abstractNumId w:val="27"/>
  </w:num>
  <w:num w:numId="21">
    <w:abstractNumId w:val="20"/>
  </w:num>
  <w:num w:numId="22">
    <w:abstractNumId w:val="8"/>
  </w:num>
  <w:num w:numId="23">
    <w:abstractNumId w:val="26"/>
  </w:num>
  <w:num w:numId="24">
    <w:abstractNumId w:val="23"/>
  </w:num>
  <w:num w:numId="25">
    <w:abstractNumId w:val="1"/>
  </w:num>
  <w:num w:numId="26">
    <w:abstractNumId w:val="16"/>
  </w:num>
  <w:num w:numId="27">
    <w:abstractNumId w:val="19"/>
  </w:num>
  <w:num w:numId="28">
    <w:abstractNumId w:val="21"/>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6"/>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A5"/>
    <w:rsid w:val="0000360C"/>
    <w:rsid w:val="00025D4B"/>
    <w:rsid w:val="00030EC1"/>
    <w:rsid w:val="00033F0F"/>
    <w:rsid w:val="0003500F"/>
    <w:rsid w:val="000412E8"/>
    <w:rsid w:val="00050422"/>
    <w:rsid w:val="00051A88"/>
    <w:rsid w:val="000535CE"/>
    <w:rsid w:val="00055E0D"/>
    <w:rsid w:val="00056353"/>
    <w:rsid w:val="0006727B"/>
    <w:rsid w:val="00071A7B"/>
    <w:rsid w:val="00071DF9"/>
    <w:rsid w:val="0009009A"/>
    <w:rsid w:val="0009467F"/>
    <w:rsid w:val="000A187D"/>
    <w:rsid w:val="000A3146"/>
    <w:rsid w:val="000C1990"/>
    <w:rsid w:val="000C3197"/>
    <w:rsid w:val="000D19C3"/>
    <w:rsid w:val="000E180F"/>
    <w:rsid w:val="000E20BB"/>
    <w:rsid w:val="000F1FFA"/>
    <w:rsid w:val="00100007"/>
    <w:rsid w:val="001323CD"/>
    <w:rsid w:val="00135619"/>
    <w:rsid w:val="00144191"/>
    <w:rsid w:val="00150763"/>
    <w:rsid w:val="00157D2F"/>
    <w:rsid w:val="001624D2"/>
    <w:rsid w:val="001626F5"/>
    <w:rsid w:val="00170701"/>
    <w:rsid w:val="0018274F"/>
    <w:rsid w:val="00184495"/>
    <w:rsid w:val="00190453"/>
    <w:rsid w:val="0019172D"/>
    <w:rsid w:val="001A7478"/>
    <w:rsid w:val="001B3E1F"/>
    <w:rsid w:val="001C6753"/>
    <w:rsid w:val="001D200F"/>
    <w:rsid w:val="001D7776"/>
    <w:rsid w:val="001E07A3"/>
    <w:rsid w:val="001E0D43"/>
    <w:rsid w:val="001F2FC7"/>
    <w:rsid w:val="001F4A5B"/>
    <w:rsid w:val="00205268"/>
    <w:rsid w:val="00207CEA"/>
    <w:rsid w:val="002104B5"/>
    <w:rsid w:val="002106CB"/>
    <w:rsid w:val="00217894"/>
    <w:rsid w:val="00223E66"/>
    <w:rsid w:val="00226F97"/>
    <w:rsid w:val="00241E68"/>
    <w:rsid w:val="0024289C"/>
    <w:rsid w:val="002474E6"/>
    <w:rsid w:val="00273A42"/>
    <w:rsid w:val="00275D0D"/>
    <w:rsid w:val="002849AD"/>
    <w:rsid w:val="00291FA0"/>
    <w:rsid w:val="00293FDC"/>
    <w:rsid w:val="002A2321"/>
    <w:rsid w:val="002A56F0"/>
    <w:rsid w:val="002A6A33"/>
    <w:rsid w:val="002C4BEB"/>
    <w:rsid w:val="002D54C0"/>
    <w:rsid w:val="002D5734"/>
    <w:rsid w:val="002D63C9"/>
    <w:rsid w:val="002D6A10"/>
    <w:rsid w:val="002F10D4"/>
    <w:rsid w:val="002F57C1"/>
    <w:rsid w:val="0030117A"/>
    <w:rsid w:val="00304CE4"/>
    <w:rsid w:val="00316701"/>
    <w:rsid w:val="00317257"/>
    <w:rsid w:val="0032262A"/>
    <w:rsid w:val="00324230"/>
    <w:rsid w:val="00336018"/>
    <w:rsid w:val="0033708B"/>
    <w:rsid w:val="0035047F"/>
    <w:rsid w:val="00360CF1"/>
    <w:rsid w:val="003730F0"/>
    <w:rsid w:val="00380585"/>
    <w:rsid w:val="003832F3"/>
    <w:rsid w:val="003B29A3"/>
    <w:rsid w:val="003C12FA"/>
    <w:rsid w:val="003D2B86"/>
    <w:rsid w:val="003D568D"/>
    <w:rsid w:val="003F0DF3"/>
    <w:rsid w:val="00401D72"/>
    <w:rsid w:val="00403FCA"/>
    <w:rsid w:val="0041226C"/>
    <w:rsid w:val="00423DB0"/>
    <w:rsid w:val="004347CA"/>
    <w:rsid w:val="00441C7C"/>
    <w:rsid w:val="00456ED6"/>
    <w:rsid w:val="00462133"/>
    <w:rsid w:val="00464835"/>
    <w:rsid w:val="004662D4"/>
    <w:rsid w:val="00470D09"/>
    <w:rsid w:val="00472D95"/>
    <w:rsid w:val="004762C0"/>
    <w:rsid w:val="004909E4"/>
    <w:rsid w:val="004933E0"/>
    <w:rsid w:val="004949B0"/>
    <w:rsid w:val="004976C6"/>
    <w:rsid w:val="004A192D"/>
    <w:rsid w:val="004B26AC"/>
    <w:rsid w:val="004B2FF3"/>
    <w:rsid w:val="004D1194"/>
    <w:rsid w:val="004D4DBF"/>
    <w:rsid w:val="004E6AA1"/>
    <w:rsid w:val="004F2C23"/>
    <w:rsid w:val="005041A3"/>
    <w:rsid w:val="005103FD"/>
    <w:rsid w:val="00521BDE"/>
    <w:rsid w:val="0052623C"/>
    <w:rsid w:val="005306B6"/>
    <w:rsid w:val="0053213E"/>
    <w:rsid w:val="0053333B"/>
    <w:rsid w:val="005429F8"/>
    <w:rsid w:val="00545A9E"/>
    <w:rsid w:val="00546F69"/>
    <w:rsid w:val="00551579"/>
    <w:rsid w:val="00557AC1"/>
    <w:rsid w:val="00562BE6"/>
    <w:rsid w:val="00564647"/>
    <w:rsid w:val="00567434"/>
    <w:rsid w:val="00567CD6"/>
    <w:rsid w:val="0057219E"/>
    <w:rsid w:val="00576256"/>
    <w:rsid w:val="00580BDE"/>
    <w:rsid w:val="00585F37"/>
    <w:rsid w:val="005876C7"/>
    <w:rsid w:val="005876FF"/>
    <w:rsid w:val="00597ABF"/>
    <w:rsid w:val="005A0BA2"/>
    <w:rsid w:val="005A3981"/>
    <w:rsid w:val="005C1E0A"/>
    <w:rsid w:val="005C35F6"/>
    <w:rsid w:val="005D022D"/>
    <w:rsid w:val="005D0F5F"/>
    <w:rsid w:val="005D2A0A"/>
    <w:rsid w:val="005D5BF0"/>
    <w:rsid w:val="005E5B75"/>
    <w:rsid w:val="005E7C7B"/>
    <w:rsid w:val="005F590A"/>
    <w:rsid w:val="00603C3B"/>
    <w:rsid w:val="00633226"/>
    <w:rsid w:val="00636F7B"/>
    <w:rsid w:val="0063769B"/>
    <w:rsid w:val="00651E5E"/>
    <w:rsid w:val="00662731"/>
    <w:rsid w:val="00662FF9"/>
    <w:rsid w:val="00673636"/>
    <w:rsid w:val="0067537D"/>
    <w:rsid w:val="00676708"/>
    <w:rsid w:val="00686B28"/>
    <w:rsid w:val="0069218C"/>
    <w:rsid w:val="00695DAC"/>
    <w:rsid w:val="006A70C4"/>
    <w:rsid w:val="006B1547"/>
    <w:rsid w:val="006B4D2D"/>
    <w:rsid w:val="006C40C2"/>
    <w:rsid w:val="006D3130"/>
    <w:rsid w:val="006D4638"/>
    <w:rsid w:val="006D5192"/>
    <w:rsid w:val="006F1B00"/>
    <w:rsid w:val="006F2FC7"/>
    <w:rsid w:val="006F4195"/>
    <w:rsid w:val="006F5CEE"/>
    <w:rsid w:val="00704377"/>
    <w:rsid w:val="00705DEE"/>
    <w:rsid w:val="007164F6"/>
    <w:rsid w:val="00716877"/>
    <w:rsid w:val="00721A98"/>
    <w:rsid w:val="00734BFA"/>
    <w:rsid w:val="00736E02"/>
    <w:rsid w:val="0077039B"/>
    <w:rsid w:val="00771958"/>
    <w:rsid w:val="00783846"/>
    <w:rsid w:val="00784C66"/>
    <w:rsid w:val="00794485"/>
    <w:rsid w:val="007C77B1"/>
    <w:rsid w:val="00800A3B"/>
    <w:rsid w:val="00800DEC"/>
    <w:rsid w:val="00803716"/>
    <w:rsid w:val="00826B70"/>
    <w:rsid w:val="00826BE8"/>
    <w:rsid w:val="00830BE9"/>
    <w:rsid w:val="008358C9"/>
    <w:rsid w:val="0084219D"/>
    <w:rsid w:val="00856807"/>
    <w:rsid w:val="00860C96"/>
    <w:rsid w:val="00864EBC"/>
    <w:rsid w:val="00865B0F"/>
    <w:rsid w:val="00872D60"/>
    <w:rsid w:val="00886DFF"/>
    <w:rsid w:val="00894A30"/>
    <w:rsid w:val="008A1095"/>
    <w:rsid w:val="008A124E"/>
    <w:rsid w:val="008A6442"/>
    <w:rsid w:val="008B4811"/>
    <w:rsid w:val="008B4D65"/>
    <w:rsid w:val="008B6CA6"/>
    <w:rsid w:val="008C79E4"/>
    <w:rsid w:val="008E0F12"/>
    <w:rsid w:val="00902325"/>
    <w:rsid w:val="0090498A"/>
    <w:rsid w:val="00913F6D"/>
    <w:rsid w:val="00917A22"/>
    <w:rsid w:val="00921D26"/>
    <w:rsid w:val="009254E6"/>
    <w:rsid w:val="0092568A"/>
    <w:rsid w:val="00951ABE"/>
    <w:rsid w:val="00956FB1"/>
    <w:rsid w:val="00957BC2"/>
    <w:rsid w:val="0096111D"/>
    <w:rsid w:val="00962209"/>
    <w:rsid w:val="0098499C"/>
    <w:rsid w:val="0098649A"/>
    <w:rsid w:val="00986DCD"/>
    <w:rsid w:val="009932EE"/>
    <w:rsid w:val="009955A3"/>
    <w:rsid w:val="009A7A20"/>
    <w:rsid w:val="009B4532"/>
    <w:rsid w:val="009B5C37"/>
    <w:rsid w:val="009C003A"/>
    <w:rsid w:val="009C3DF5"/>
    <w:rsid w:val="009D696A"/>
    <w:rsid w:val="00A063B5"/>
    <w:rsid w:val="00A146CA"/>
    <w:rsid w:val="00A33BA0"/>
    <w:rsid w:val="00A358C8"/>
    <w:rsid w:val="00A441F1"/>
    <w:rsid w:val="00A44520"/>
    <w:rsid w:val="00A51482"/>
    <w:rsid w:val="00A51C16"/>
    <w:rsid w:val="00A52F7C"/>
    <w:rsid w:val="00A552DC"/>
    <w:rsid w:val="00A65142"/>
    <w:rsid w:val="00A66590"/>
    <w:rsid w:val="00A7170C"/>
    <w:rsid w:val="00A77C07"/>
    <w:rsid w:val="00AA1F2B"/>
    <w:rsid w:val="00AB73B3"/>
    <w:rsid w:val="00AB7D51"/>
    <w:rsid w:val="00AE4238"/>
    <w:rsid w:val="00AE4D46"/>
    <w:rsid w:val="00AE74DD"/>
    <w:rsid w:val="00AF2CA9"/>
    <w:rsid w:val="00AF3223"/>
    <w:rsid w:val="00AF3A37"/>
    <w:rsid w:val="00AF662A"/>
    <w:rsid w:val="00B037EF"/>
    <w:rsid w:val="00B04601"/>
    <w:rsid w:val="00B10B12"/>
    <w:rsid w:val="00B14185"/>
    <w:rsid w:val="00B15F56"/>
    <w:rsid w:val="00B17B3C"/>
    <w:rsid w:val="00B20765"/>
    <w:rsid w:val="00B23E8A"/>
    <w:rsid w:val="00B24518"/>
    <w:rsid w:val="00B274E5"/>
    <w:rsid w:val="00B30976"/>
    <w:rsid w:val="00B4041D"/>
    <w:rsid w:val="00B47208"/>
    <w:rsid w:val="00B478FE"/>
    <w:rsid w:val="00B5044C"/>
    <w:rsid w:val="00B72440"/>
    <w:rsid w:val="00B84503"/>
    <w:rsid w:val="00B87D57"/>
    <w:rsid w:val="00B90CAC"/>
    <w:rsid w:val="00B94D94"/>
    <w:rsid w:val="00B952B7"/>
    <w:rsid w:val="00BA08C7"/>
    <w:rsid w:val="00BA18C4"/>
    <w:rsid w:val="00BC1C0C"/>
    <w:rsid w:val="00BC2351"/>
    <w:rsid w:val="00BC51B1"/>
    <w:rsid w:val="00BD5299"/>
    <w:rsid w:val="00BE3A55"/>
    <w:rsid w:val="00BE4A62"/>
    <w:rsid w:val="00BE62EB"/>
    <w:rsid w:val="00BF1849"/>
    <w:rsid w:val="00BF624B"/>
    <w:rsid w:val="00C05A4B"/>
    <w:rsid w:val="00C16186"/>
    <w:rsid w:val="00C26490"/>
    <w:rsid w:val="00C2708A"/>
    <w:rsid w:val="00C322D1"/>
    <w:rsid w:val="00C33D79"/>
    <w:rsid w:val="00C45246"/>
    <w:rsid w:val="00C75739"/>
    <w:rsid w:val="00C7655A"/>
    <w:rsid w:val="00C77099"/>
    <w:rsid w:val="00C8015D"/>
    <w:rsid w:val="00C810D9"/>
    <w:rsid w:val="00C90D93"/>
    <w:rsid w:val="00C91995"/>
    <w:rsid w:val="00C93174"/>
    <w:rsid w:val="00C93AA5"/>
    <w:rsid w:val="00CB6709"/>
    <w:rsid w:val="00CB78CA"/>
    <w:rsid w:val="00CB7FF9"/>
    <w:rsid w:val="00CE0F5F"/>
    <w:rsid w:val="00CE697D"/>
    <w:rsid w:val="00CF0C99"/>
    <w:rsid w:val="00CF3E50"/>
    <w:rsid w:val="00D009E6"/>
    <w:rsid w:val="00D019CB"/>
    <w:rsid w:val="00D01A30"/>
    <w:rsid w:val="00D07CD6"/>
    <w:rsid w:val="00D134B6"/>
    <w:rsid w:val="00D236C4"/>
    <w:rsid w:val="00D24298"/>
    <w:rsid w:val="00D26A33"/>
    <w:rsid w:val="00D31D34"/>
    <w:rsid w:val="00D605E9"/>
    <w:rsid w:val="00D83B38"/>
    <w:rsid w:val="00D87F6B"/>
    <w:rsid w:val="00D90032"/>
    <w:rsid w:val="00D953DF"/>
    <w:rsid w:val="00D9793F"/>
    <w:rsid w:val="00D97E19"/>
    <w:rsid w:val="00DA06D7"/>
    <w:rsid w:val="00DA39FD"/>
    <w:rsid w:val="00DC0F0C"/>
    <w:rsid w:val="00DD0DFF"/>
    <w:rsid w:val="00E01A35"/>
    <w:rsid w:val="00E1798C"/>
    <w:rsid w:val="00E20682"/>
    <w:rsid w:val="00E314AA"/>
    <w:rsid w:val="00E42E9F"/>
    <w:rsid w:val="00E466FF"/>
    <w:rsid w:val="00E476E6"/>
    <w:rsid w:val="00E57521"/>
    <w:rsid w:val="00E62373"/>
    <w:rsid w:val="00E666F3"/>
    <w:rsid w:val="00E66CC0"/>
    <w:rsid w:val="00E72D46"/>
    <w:rsid w:val="00E825CE"/>
    <w:rsid w:val="00E92509"/>
    <w:rsid w:val="00E95647"/>
    <w:rsid w:val="00E96043"/>
    <w:rsid w:val="00E964A0"/>
    <w:rsid w:val="00E9759E"/>
    <w:rsid w:val="00EA0A04"/>
    <w:rsid w:val="00EA14EA"/>
    <w:rsid w:val="00EA2449"/>
    <w:rsid w:val="00EB0E8C"/>
    <w:rsid w:val="00EB7B64"/>
    <w:rsid w:val="00EC1110"/>
    <w:rsid w:val="00EC3D8D"/>
    <w:rsid w:val="00EC6FAD"/>
    <w:rsid w:val="00ED1D6B"/>
    <w:rsid w:val="00ED5027"/>
    <w:rsid w:val="00EE4E3B"/>
    <w:rsid w:val="00F114EF"/>
    <w:rsid w:val="00F115CE"/>
    <w:rsid w:val="00F132B2"/>
    <w:rsid w:val="00F14105"/>
    <w:rsid w:val="00F14AD5"/>
    <w:rsid w:val="00F216F6"/>
    <w:rsid w:val="00F43D06"/>
    <w:rsid w:val="00F44166"/>
    <w:rsid w:val="00F63B99"/>
    <w:rsid w:val="00F72C9B"/>
    <w:rsid w:val="00F81C1E"/>
    <w:rsid w:val="00F96BFC"/>
    <w:rsid w:val="00FD0D35"/>
    <w:rsid w:val="00FD5F1F"/>
    <w:rsid w:val="00FE3585"/>
    <w:rsid w:val="00FE691D"/>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2612A"/>
  <w15:chartTrackingRefBased/>
  <w15:docId w15:val="{DFA7100C-A240-4315-A900-2B94E0E0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93FDC"/>
    <w:pPr>
      <w:keepNext/>
      <w:spacing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E964A0"/>
    <w:pPr>
      <w:spacing w:after="0" w:line="240" w:lineRule="auto"/>
      <w:ind w:left="-1985"/>
      <w:jc w:val="right"/>
    </w:pPr>
    <w:rPr>
      <w:noProof/>
      <w:color w:val="0082AB"/>
      <w:spacing w:val="6"/>
      <w:sz w:val="16"/>
      <w:szCs w:val="16"/>
    </w:rPr>
  </w:style>
  <w:style w:type="character" w:customStyle="1" w:styleId="FooterChar">
    <w:name w:val="Footer Char"/>
    <w:link w:val="Footer"/>
    <w:rsid w:val="00E964A0"/>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800DEC"/>
    <w:pPr>
      <w:numPr>
        <w:numId w:val="29"/>
      </w:numPr>
      <w:spacing w:after="180" w:line="280" w:lineRule="exact"/>
    </w:pPr>
    <w:rPr>
      <w:rFonts w:ascii="Arial" w:eastAsia="Times New Roman" w:hAnsi="Arial"/>
      <w:sz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293FDC"/>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styleId="Revision">
    <w:name w:val="Revision"/>
    <w:hidden/>
    <w:uiPriority w:val="99"/>
    <w:semiHidden/>
    <w:rsid w:val="00EA0A04"/>
    <w:rPr>
      <w:rFonts w:ascii="Arial" w:eastAsia="Times New Roman" w:hAnsi="Arial"/>
      <w:sz w:val="22"/>
      <w:lang w:val="en-GB" w:eastAsia="en-GB"/>
    </w:rPr>
  </w:style>
  <w:style w:type="paragraph" w:customStyle="1" w:styleId="NumberedParagraphCabStandard">
    <w:name w:val="Numbered Paragraph (CabStandard)"/>
    <w:basedOn w:val="Normal"/>
    <w:qFormat/>
    <w:rsid w:val="00135619"/>
    <w:pPr>
      <w:numPr>
        <w:numId w:val="37"/>
      </w:numPr>
      <w:tabs>
        <w:tab w:val="clear" w:pos="709"/>
      </w:tabs>
      <w:spacing w:line="240" w:lineRule="auto"/>
      <w:ind w:left="360" w:hanging="360"/>
      <w:jc w:val="both"/>
    </w:pPr>
    <w:rPr>
      <w:rFonts w:eastAsia="Calibri"/>
      <w:sz w:val="24"/>
      <w:szCs w:val="23"/>
      <w:lang w:val="en-NZ" w:eastAsia="en-NZ"/>
    </w:rPr>
  </w:style>
  <w:style w:type="character" w:styleId="UnresolvedMention">
    <w:name w:val="Unresolved Mention"/>
    <w:basedOn w:val="DefaultParagraphFont"/>
    <w:uiPriority w:val="99"/>
    <w:semiHidden/>
    <w:unhideWhenUsed/>
    <w:rsid w:val="00572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4092">
      <w:bodyDiv w:val="1"/>
      <w:marLeft w:val="0"/>
      <w:marRight w:val="0"/>
      <w:marTop w:val="0"/>
      <w:marBottom w:val="0"/>
      <w:divBdr>
        <w:top w:val="none" w:sz="0" w:space="0" w:color="auto"/>
        <w:left w:val="none" w:sz="0" w:space="0" w:color="auto"/>
        <w:bottom w:val="none" w:sz="0" w:space="0" w:color="auto"/>
        <w:right w:val="none" w:sz="0" w:space="0" w:color="auto"/>
      </w:divBdr>
    </w:div>
    <w:div w:id="1508667574">
      <w:bodyDiv w:val="1"/>
      <w:marLeft w:val="0"/>
      <w:marRight w:val="0"/>
      <w:marTop w:val="0"/>
      <w:marBottom w:val="0"/>
      <w:divBdr>
        <w:top w:val="none" w:sz="0" w:space="0" w:color="auto"/>
        <w:left w:val="none" w:sz="0" w:space="0" w:color="auto"/>
        <w:bottom w:val="none" w:sz="0" w:space="0" w:color="auto"/>
        <w:right w:val="none" w:sz="0" w:space="0" w:color="auto"/>
      </w:divBdr>
    </w:div>
    <w:div w:id="1653486815">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xpolicy.ird.govt.nz/publications/2015-ris-liopi-bil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Regulatory impact assessment - Collection of IRD numbers for the transfer of main homes (17 May 2019)</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Collection of IRD numbers for the transfer of main homes (17 May 2019)</dc:title>
  <dc:subject/>
  <dc:creator>Inland Revenue</dc:creator>
  <cp:keywords/>
  <dc:description/>
  <dcterms:created xsi:type="dcterms:W3CDTF">2019-06-16T08:21:00Z</dcterms:created>
  <dcterms:modified xsi:type="dcterms:W3CDTF">2019-06-16T08:23:00Z</dcterms:modified>
</cp:coreProperties>
</file>