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09" w:rsidRPr="0067537D" w:rsidRDefault="00BA08C7" w:rsidP="00293FDC">
      <w:pPr>
        <w:pStyle w:val="Heading1"/>
        <w:spacing w:before="0"/>
      </w:pPr>
      <w:bookmarkStart w:id="0" w:name="_GoBack"/>
      <w:bookmarkEnd w:id="0"/>
      <w:r w:rsidRPr="00B952B7">
        <w:t>Impact Sum</w:t>
      </w:r>
      <w:r w:rsidRPr="006D3130">
        <w:t>m</w:t>
      </w:r>
      <w:r w:rsidRPr="00B952B7">
        <w:t>ary</w:t>
      </w:r>
      <w:r w:rsidR="00783846" w:rsidRPr="00957BC2">
        <w:t>:</w:t>
      </w:r>
      <w:r w:rsidR="007C77B1" w:rsidRPr="00957BC2">
        <w:t xml:space="preserve"> </w:t>
      </w:r>
      <w:r w:rsidR="00E90F76">
        <w:t>New Zealand Memorial Museum Trust – Le Quesnoy:  tax benefits for monetary donations</w:t>
      </w:r>
    </w:p>
    <w:p w:rsidR="00E57521" w:rsidRPr="00E57521" w:rsidRDefault="00E57521" w:rsidP="00EC6FAD">
      <w:pPr>
        <w:pStyle w:val="spacer"/>
        <w:rPr>
          <w:w w:val="90"/>
          <w:sz w:val="22"/>
        </w:rPr>
      </w:pPr>
    </w:p>
    <w:p w:rsidR="00E92509" w:rsidRPr="00B952B7" w:rsidRDefault="00E92509" w:rsidP="00293FDC">
      <w:pPr>
        <w:pStyle w:val="Heading2"/>
      </w:pPr>
      <w:r w:rsidRPr="00B952B7">
        <w:t>Section 1: 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gridCol w:w="33"/>
      </w:tblGrid>
      <w:tr w:rsidR="00DA39FD" w:rsidRPr="0069218C" w:rsidTr="00FC4045">
        <w:trPr>
          <w:gridAfter w:val="1"/>
          <w:wAfter w:w="18" w:type="pct"/>
        </w:trPr>
        <w:tc>
          <w:tcPr>
            <w:tcW w:w="4982" w:type="pct"/>
            <w:shd w:val="clear" w:color="auto" w:fill="99CDDD"/>
            <w:hideMark/>
          </w:tcPr>
          <w:p w:rsidR="00DA39FD" w:rsidRPr="00AE4D46" w:rsidRDefault="00217894" w:rsidP="00EC6FAD">
            <w:pPr>
              <w:pStyle w:val="TableHeadings"/>
              <w:rPr>
                <w:color w:val="002060"/>
                <w:szCs w:val="22"/>
              </w:rPr>
            </w:pPr>
            <w:r w:rsidRPr="00886DFF">
              <w:rPr>
                <w:szCs w:val="22"/>
              </w:rPr>
              <w:t>Purpose</w:t>
            </w:r>
          </w:p>
        </w:tc>
      </w:tr>
      <w:tr w:rsidR="00DA39FD" w:rsidRPr="0069218C" w:rsidTr="00FC4045">
        <w:trPr>
          <w:gridAfter w:val="1"/>
          <w:wAfter w:w="18" w:type="pct"/>
          <w:trHeight w:val="680"/>
        </w:trPr>
        <w:tc>
          <w:tcPr>
            <w:tcW w:w="4982" w:type="pct"/>
            <w:shd w:val="clear" w:color="auto" w:fill="auto"/>
          </w:tcPr>
          <w:p w:rsidR="00DA39FD" w:rsidRPr="003409BC" w:rsidRDefault="003409BC" w:rsidP="00805BC9">
            <w:pPr>
              <w:spacing w:before="120" w:after="180"/>
              <w:rPr>
                <w:szCs w:val="22"/>
              </w:rPr>
            </w:pPr>
            <w:r w:rsidRPr="003409BC">
              <w:rPr>
                <w:rFonts w:cs="Arial"/>
                <w:color w:val="000000"/>
                <w:szCs w:val="22"/>
              </w:rPr>
              <w:t>Inland Revenue is</w:t>
            </w:r>
            <w:r w:rsidR="00DA39FD" w:rsidRPr="003409BC">
              <w:rPr>
                <w:rFonts w:cs="Arial"/>
                <w:color w:val="000000"/>
                <w:szCs w:val="22"/>
              </w:rPr>
              <w:t xml:space="preserve"> solely responsible for the analysis and advice set out in this Regulatory Impact </w:t>
            </w:r>
            <w:r w:rsidR="00B5405D">
              <w:rPr>
                <w:rFonts w:cs="Arial"/>
                <w:color w:val="000000"/>
                <w:szCs w:val="22"/>
              </w:rPr>
              <w:t>Assessment</w:t>
            </w:r>
            <w:r w:rsidR="00DA39FD" w:rsidRPr="003409BC">
              <w:rPr>
                <w:rFonts w:cs="Arial"/>
                <w:color w:val="000000"/>
                <w:szCs w:val="22"/>
              </w:rPr>
              <w:t>, except as otherwise explicitly indicated.</w:t>
            </w:r>
            <w:r>
              <w:rPr>
                <w:rFonts w:cs="Arial"/>
                <w:color w:val="000000"/>
                <w:szCs w:val="22"/>
              </w:rPr>
              <w:t xml:space="preserve"> </w:t>
            </w:r>
            <w:r w:rsidR="00DA39FD" w:rsidRPr="003409BC">
              <w:rPr>
                <w:rFonts w:cs="Arial"/>
                <w:color w:val="000000"/>
                <w:szCs w:val="22"/>
              </w:rPr>
              <w:t xml:space="preserve"> This analysis and advice has been produced for the purpose of informing</w:t>
            </w:r>
            <w:r w:rsidR="00DA39FD" w:rsidRPr="003409BC">
              <w:rPr>
                <w:szCs w:val="22"/>
              </w:rPr>
              <w:t xml:space="preserve"> policy decisions to be taken by Cabinet</w:t>
            </w:r>
            <w:r w:rsidRPr="003409BC">
              <w:rPr>
                <w:szCs w:val="22"/>
              </w:rPr>
              <w:t>.</w:t>
            </w:r>
          </w:p>
        </w:tc>
      </w:tr>
      <w:tr w:rsidR="00DA39FD" w:rsidRPr="0069218C" w:rsidTr="00FC4045">
        <w:tc>
          <w:tcPr>
            <w:tcW w:w="5000" w:type="pct"/>
            <w:gridSpan w:val="2"/>
            <w:shd w:val="clear" w:color="auto" w:fill="99CDDD"/>
            <w:hideMark/>
          </w:tcPr>
          <w:p w:rsidR="00DA39FD" w:rsidRPr="00886DFF" w:rsidRDefault="00DA39FD" w:rsidP="00957BC2">
            <w:pPr>
              <w:pStyle w:val="TableHeadings"/>
              <w:keepNext/>
              <w:rPr>
                <w:szCs w:val="22"/>
              </w:rPr>
            </w:pPr>
            <w:r w:rsidRPr="00886DFF">
              <w:rPr>
                <w:szCs w:val="22"/>
              </w:rPr>
              <w:t>Key Limitations or Constraints on Analysis</w:t>
            </w:r>
          </w:p>
        </w:tc>
      </w:tr>
      <w:tr w:rsidR="00044AAB" w:rsidRPr="0069218C" w:rsidTr="00FC4045">
        <w:trPr>
          <w:trHeight w:val="6637"/>
        </w:trPr>
        <w:tc>
          <w:tcPr>
            <w:tcW w:w="5000" w:type="pct"/>
            <w:gridSpan w:val="2"/>
            <w:shd w:val="clear" w:color="auto" w:fill="auto"/>
          </w:tcPr>
          <w:p w:rsidR="00044AAB" w:rsidRPr="00E032B8" w:rsidRDefault="00044AAB" w:rsidP="00044AAB">
            <w:pPr>
              <w:spacing w:before="120" w:after="120" w:line="276" w:lineRule="auto"/>
              <w:rPr>
                <w:rFonts w:cs="Arial"/>
                <w:b/>
                <w:szCs w:val="22"/>
              </w:rPr>
            </w:pPr>
            <w:r w:rsidRPr="00E032B8">
              <w:rPr>
                <w:rFonts w:cs="Arial"/>
                <w:b/>
                <w:szCs w:val="22"/>
              </w:rPr>
              <w:t>Quality of data used for impact analysis</w:t>
            </w:r>
          </w:p>
          <w:p w:rsidR="00BD6FF2" w:rsidRPr="00E032B8" w:rsidRDefault="00A45C7B" w:rsidP="00030C30">
            <w:pPr>
              <w:spacing w:after="180" w:line="276" w:lineRule="auto"/>
              <w:rPr>
                <w:rFonts w:cs="Arial"/>
                <w:szCs w:val="22"/>
              </w:rPr>
            </w:pPr>
            <w:r w:rsidRPr="00E032B8">
              <w:rPr>
                <w:rFonts w:cs="Arial"/>
                <w:szCs w:val="22"/>
              </w:rPr>
              <w:t xml:space="preserve">In </w:t>
            </w:r>
            <w:r w:rsidR="004504D1" w:rsidRPr="00E032B8">
              <w:rPr>
                <w:rFonts w:cs="Arial"/>
                <w:szCs w:val="22"/>
              </w:rPr>
              <w:t>developing</w:t>
            </w:r>
            <w:r w:rsidRPr="00E032B8">
              <w:rPr>
                <w:rFonts w:cs="Arial"/>
                <w:szCs w:val="22"/>
              </w:rPr>
              <w:t xml:space="preserve"> </w:t>
            </w:r>
            <w:r w:rsidR="004819A9" w:rsidRPr="00E032B8">
              <w:rPr>
                <w:rFonts w:cs="Arial"/>
                <w:szCs w:val="22"/>
              </w:rPr>
              <w:t>this</w:t>
            </w:r>
            <w:r w:rsidRPr="00E032B8">
              <w:rPr>
                <w:rFonts w:cs="Arial"/>
                <w:szCs w:val="22"/>
              </w:rPr>
              <w:t xml:space="preserve"> </w:t>
            </w:r>
            <w:r w:rsidR="004504D1" w:rsidRPr="00E032B8">
              <w:rPr>
                <w:rFonts w:cs="Arial"/>
                <w:szCs w:val="22"/>
              </w:rPr>
              <w:t>Regulatory Impact Assessment (RIA)</w:t>
            </w:r>
            <w:r w:rsidRPr="00E032B8">
              <w:rPr>
                <w:rFonts w:cs="Arial"/>
                <w:szCs w:val="22"/>
              </w:rPr>
              <w:t xml:space="preserve">, </w:t>
            </w:r>
            <w:r w:rsidR="00044AAB" w:rsidRPr="00E032B8">
              <w:rPr>
                <w:rFonts w:cs="Arial"/>
                <w:szCs w:val="22"/>
              </w:rPr>
              <w:t xml:space="preserve">Inland Revenue used information provided by the </w:t>
            </w:r>
            <w:r w:rsidR="00A71111" w:rsidRPr="00E032B8">
              <w:rPr>
                <w:rFonts w:cs="Arial"/>
                <w:szCs w:val="22"/>
              </w:rPr>
              <w:t xml:space="preserve">New Zealand Memorial Museum Trust – Le Quesnoy (the Trust) </w:t>
            </w:r>
            <w:r w:rsidR="00044AAB" w:rsidRPr="00E032B8">
              <w:rPr>
                <w:rFonts w:cs="Arial"/>
                <w:szCs w:val="22"/>
              </w:rPr>
              <w:t>in a</w:t>
            </w:r>
            <w:r w:rsidR="00030DE6" w:rsidRPr="00E032B8">
              <w:rPr>
                <w:rFonts w:cs="Arial"/>
                <w:szCs w:val="22"/>
              </w:rPr>
              <w:t>n in-confidence</w:t>
            </w:r>
            <w:r w:rsidR="00044AAB" w:rsidRPr="00E032B8">
              <w:rPr>
                <w:rFonts w:cs="Arial"/>
                <w:szCs w:val="22"/>
              </w:rPr>
              <w:t xml:space="preserve"> business case</w:t>
            </w:r>
            <w:r w:rsidR="00542FB4">
              <w:rPr>
                <w:rFonts w:cs="Arial"/>
                <w:szCs w:val="22"/>
              </w:rPr>
              <w:t>,</w:t>
            </w:r>
            <w:r w:rsidR="00044AAB" w:rsidRPr="00E032B8">
              <w:rPr>
                <w:rFonts w:cs="Arial"/>
                <w:szCs w:val="22"/>
              </w:rPr>
              <w:t xml:space="preserve"> and subsequent telephone and email contact.  External information about tourism patterns in France were used to verify or test some of the assumptions underpinning the business case.  Not all information in the business case could be verified</w:t>
            </w:r>
            <w:r w:rsidR="00542FB4">
              <w:rPr>
                <w:rFonts w:cs="Arial"/>
                <w:szCs w:val="22"/>
              </w:rPr>
              <w:t>,</w:t>
            </w:r>
            <w:r w:rsidR="00044AAB" w:rsidRPr="00E032B8">
              <w:rPr>
                <w:rFonts w:cs="Arial"/>
                <w:szCs w:val="22"/>
              </w:rPr>
              <w:t xml:space="preserve"> however</w:t>
            </w:r>
            <w:r w:rsidR="00542FB4">
              <w:rPr>
                <w:rFonts w:cs="Arial"/>
                <w:szCs w:val="22"/>
              </w:rPr>
              <w:t>,</w:t>
            </w:r>
            <w:r w:rsidR="00044AAB" w:rsidRPr="00E032B8">
              <w:rPr>
                <w:rFonts w:cs="Arial"/>
                <w:szCs w:val="22"/>
              </w:rPr>
              <w:t xml:space="preserve"> and the level of donor support beyond 2021</w:t>
            </w:r>
            <w:r w:rsidR="00B662DD">
              <w:rPr>
                <w:rFonts w:cs="Arial"/>
                <w:szCs w:val="22"/>
              </w:rPr>
              <w:t>–</w:t>
            </w:r>
            <w:r w:rsidR="00044AAB" w:rsidRPr="00E032B8">
              <w:rPr>
                <w:rFonts w:cs="Arial"/>
                <w:szCs w:val="22"/>
              </w:rPr>
              <w:t xml:space="preserve">22 cannot be readily determined.  </w:t>
            </w:r>
          </w:p>
          <w:p w:rsidR="00044AAB" w:rsidRPr="00E032B8" w:rsidRDefault="00044AAB" w:rsidP="008F6E62">
            <w:pPr>
              <w:spacing w:before="120" w:after="120" w:line="276" w:lineRule="auto"/>
              <w:rPr>
                <w:rFonts w:cs="Arial"/>
                <w:b/>
                <w:szCs w:val="22"/>
              </w:rPr>
            </w:pPr>
            <w:r w:rsidRPr="00E032B8">
              <w:rPr>
                <w:rFonts w:cs="Arial"/>
                <w:b/>
                <w:szCs w:val="22"/>
              </w:rPr>
              <w:t>Options considered</w:t>
            </w:r>
          </w:p>
          <w:p w:rsidR="00044AAB" w:rsidRPr="00E032B8" w:rsidRDefault="00044AAB" w:rsidP="00030C30">
            <w:pPr>
              <w:keepNext/>
              <w:spacing w:after="0" w:line="276" w:lineRule="auto"/>
              <w:rPr>
                <w:rFonts w:cs="Arial"/>
                <w:szCs w:val="22"/>
              </w:rPr>
            </w:pPr>
            <w:r w:rsidRPr="00E032B8">
              <w:rPr>
                <w:rFonts w:cs="Arial"/>
                <w:szCs w:val="22"/>
              </w:rPr>
              <w:t xml:space="preserve">This </w:t>
            </w:r>
            <w:r w:rsidR="00C562C0" w:rsidRPr="00E032B8">
              <w:rPr>
                <w:rFonts w:cs="Arial"/>
                <w:szCs w:val="22"/>
              </w:rPr>
              <w:t xml:space="preserve">RIA </w:t>
            </w:r>
            <w:r w:rsidRPr="00E032B8">
              <w:rPr>
                <w:rFonts w:cs="Arial"/>
                <w:szCs w:val="22"/>
              </w:rPr>
              <w:t xml:space="preserve">considers whether the </w:t>
            </w:r>
            <w:r w:rsidR="0084066F" w:rsidRPr="00E032B8">
              <w:rPr>
                <w:rFonts w:cs="Arial"/>
                <w:szCs w:val="22"/>
              </w:rPr>
              <w:t xml:space="preserve">Trust </w:t>
            </w:r>
            <w:r w:rsidRPr="00E032B8">
              <w:rPr>
                <w:rFonts w:cs="Arial"/>
                <w:szCs w:val="22"/>
              </w:rPr>
              <w:t xml:space="preserve">should be granted overseas donee status.  The decision is binary, and as such, this </w:t>
            </w:r>
            <w:r w:rsidR="00840BA4" w:rsidRPr="00E032B8">
              <w:rPr>
                <w:rFonts w:cs="Arial"/>
                <w:szCs w:val="22"/>
              </w:rPr>
              <w:t>RIA</w:t>
            </w:r>
            <w:r w:rsidRPr="00E032B8">
              <w:rPr>
                <w:rFonts w:cs="Arial"/>
                <w:szCs w:val="22"/>
              </w:rPr>
              <w:t xml:space="preserve"> considers only two options.  </w:t>
            </w:r>
            <w:r w:rsidR="00070A95" w:rsidRPr="00E032B8">
              <w:rPr>
                <w:rFonts w:cs="Arial"/>
                <w:szCs w:val="22"/>
              </w:rPr>
              <w:t xml:space="preserve">There are other options that would provide direct </w:t>
            </w:r>
            <w:r w:rsidR="004E4614" w:rsidRPr="00E032B8">
              <w:rPr>
                <w:rFonts w:cs="Arial"/>
                <w:szCs w:val="22"/>
              </w:rPr>
              <w:t>G</w:t>
            </w:r>
            <w:r w:rsidR="00070A95" w:rsidRPr="00E032B8">
              <w:rPr>
                <w:rFonts w:cs="Arial"/>
                <w:szCs w:val="22"/>
              </w:rPr>
              <w:t>overnment assistance to the Trust, such as grants.  The Trust, however, has signalled that it is not seeking such assistance</w:t>
            </w:r>
            <w:r w:rsidR="00AD6B24" w:rsidRPr="00E032B8">
              <w:rPr>
                <w:rFonts w:cs="Arial"/>
                <w:szCs w:val="22"/>
              </w:rPr>
              <w:t xml:space="preserve"> at this time</w:t>
            </w:r>
            <w:r w:rsidR="00070A95" w:rsidRPr="00E032B8">
              <w:rPr>
                <w:rFonts w:cs="Arial"/>
                <w:szCs w:val="22"/>
              </w:rPr>
              <w:t xml:space="preserve">.  </w:t>
            </w:r>
          </w:p>
          <w:p w:rsidR="008F6E62" w:rsidRPr="00E032B8" w:rsidRDefault="008F6E62" w:rsidP="008F6E62">
            <w:pPr>
              <w:spacing w:before="120" w:after="120" w:line="276" w:lineRule="auto"/>
              <w:rPr>
                <w:rFonts w:cs="Arial"/>
                <w:b/>
                <w:szCs w:val="22"/>
              </w:rPr>
            </w:pPr>
            <w:r w:rsidRPr="00E032B8">
              <w:rPr>
                <w:rFonts w:cs="Arial"/>
                <w:b/>
                <w:szCs w:val="22"/>
              </w:rPr>
              <w:t>Consultation</w:t>
            </w:r>
          </w:p>
          <w:p w:rsidR="00044AAB" w:rsidRPr="00E032B8" w:rsidRDefault="008F6E62" w:rsidP="00070A95">
            <w:pPr>
              <w:spacing w:before="120" w:after="120" w:line="276" w:lineRule="auto"/>
              <w:rPr>
                <w:rFonts w:cs="Arial"/>
                <w:szCs w:val="22"/>
              </w:rPr>
            </w:pPr>
            <w:r w:rsidRPr="00E032B8">
              <w:rPr>
                <w:rFonts w:cs="Arial"/>
                <w:szCs w:val="22"/>
              </w:rPr>
              <w:t xml:space="preserve">Consultation on this issue was in the form of email and telephone conversations between </w:t>
            </w:r>
            <w:r w:rsidR="003669F8" w:rsidRPr="00E032B8">
              <w:rPr>
                <w:rFonts w:cs="Arial"/>
                <w:szCs w:val="22"/>
              </w:rPr>
              <w:t>Government</w:t>
            </w:r>
            <w:r w:rsidR="00862555" w:rsidRPr="00E032B8">
              <w:rPr>
                <w:rFonts w:cs="Arial"/>
                <w:szCs w:val="22"/>
              </w:rPr>
              <w:t xml:space="preserve"> agencies, </w:t>
            </w:r>
            <w:r w:rsidR="00B916E1" w:rsidRPr="00E032B8">
              <w:rPr>
                <w:rFonts w:cs="Arial"/>
                <w:szCs w:val="22"/>
              </w:rPr>
              <w:t>the</w:t>
            </w:r>
            <w:r w:rsidRPr="00E032B8">
              <w:rPr>
                <w:rFonts w:cs="Arial"/>
                <w:szCs w:val="22"/>
              </w:rPr>
              <w:t xml:space="preserve"> Trust</w:t>
            </w:r>
            <w:r w:rsidR="00B916E1" w:rsidRPr="00E032B8">
              <w:rPr>
                <w:rFonts w:cs="Arial"/>
                <w:szCs w:val="22"/>
              </w:rPr>
              <w:t>’s Chair</w:t>
            </w:r>
            <w:r w:rsidRPr="00E032B8">
              <w:rPr>
                <w:rFonts w:cs="Arial"/>
                <w:szCs w:val="22"/>
              </w:rPr>
              <w:t xml:space="preserve"> and </w:t>
            </w:r>
            <w:r w:rsidR="00862555" w:rsidRPr="00E032B8">
              <w:rPr>
                <w:rFonts w:cs="Arial"/>
                <w:szCs w:val="22"/>
              </w:rPr>
              <w:t>the Trust’</w:t>
            </w:r>
            <w:r w:rsidRPr="00E032B8">
              <w:rPr>
                <w:rFonts w:cs="Arial"/>
                <w:szCs w:val="22"/>
              </w:rPr>
              <w:t xml:space="preserve">s advisor.  Private sector consultation was not carried out.  </w:t>
            </w:r>
          </w:p>
          <w:p w:rsidR="00A71111" w:rsidRPr="00E032B8" w:rsidRDefault="00A71111" w:rsidP="00070A95">
            <w:pPr>
              <w:spacing w:before="120" w:after="120" w:line="276" w:lineRule="auto"/>
              <w:rPr>
                <w:rFonts w:cs="Arial"/>
                <w:b/>
                <w:szCs w:val="22"/>
              </w:rPr>
            </w:pPr>
            <w:r w:rsidRPr="00E032B8">
              <w:rPr>
                <w:rFonts w:cs="Arial"/>
                <w:b/>
                <w:szCs w:val="22"/>
              </w:rPr>
              <w:t>Sensitivity to tax benefits</w:t>
            </w:r>
          </w:p>
          <w:p w:rsidR="00C562C0" w:rsidRPr="00E032B8" w:rsidRDefault="00A71111" w:rsidP="00A00AAD">
            <w:pPr>
              <w:spacing w:before="120" w:after="120" w:line="276" w:lineRule="auto"/>
              <w:rPr>
                <w:rFonts w:cs="Arial"/>
                <w:szCs w:val="22"/>
              </w:rPr>
            </w:pPr>
            <w:r w:rsidRPr="00E032B8">
              <w:rPr>
                <w:rFonts w:cs="Arial"/>
                <w:szCs w:val="22"/>
              </w:rPr>
              <w:t>Inland Revenue has been informed by the Trust that its potential donors are sensitive to the tax effects of their donations in their decision-making whether to donate.  Inland Revenue does not</w:t>
            </w:r>
            <w:r w:rsidR="00F60184" w:rsidRPr="00E032B8">
              <w:rPr>
                <w:rFonts w:cs="Arial"/>
                <w:szCs w:val="22"/>
              </w:rPr>
              <w:t xml:space="preserve"> have information to assess</w:t>
            </w:r>
            <w:r w:rsidR="00997B13" w:rsidRPr="00E032B8">
              <w:rPr>
                <w:rFonts w:cs="Arial"/>
                <w:szCs w:val="22"/>
              </w:rPr>
              <w:t xml:space="preserve"> the effect of tax benefits on donor decision to donate</w:t>
            </w:r>
            <w:r w:rsidR="00F60184" w:rsidRPr="00E032B8">
              <w:rPr>
                <w:rFonts w:cs="Arial"/>
                <w:szCs w:val="22"/>
              </w:rPr>
              <w:t xml:space="preserve">.  </w:t>
            </w:r>
          </w:p>
        </w:tc>
      </w:tr>
      <w:tr w:rsidR="00044AAB" w:rsidRPr="0069218C" w:rsidTr="00FC4045">
        <w:tc>
          <w:tcPr>
            <w:tcW w:w="5000" w:type="pct"/>
            <w:gridSpan w:val="2"/>
            <w:shd w:val="clear" w:color="auto" w:fill="99CDDD"/>
            <w:hideMark/>
          </w:tcPr>
          <w:p w:rsidR="00044AAB" w:rsidRPr="00886DFF" w:rsidRDefault="00044AAB" w:rsidP="00EC6FAD">
            <w:pPr>
              <w:pStyle w:val="TableHeadings"/>
              <w:rPr>
                <w:szCs w:val="22"/>
              </w:rPr>
            </w:pPr>
            <w:r w:rsidRPr="00886DFF">
              <w:rPr>
                <w:szCs w:val="22"/>
              </w:rPr>
              <w:t>Responsible Manager (signature and date):</w:t>
            </w:r>
          </w:p>
        </w:tc>
      </w:tr>
      <w:tr w:rsidR="00044AAB" w:rsidRPr="0069218C" w:rsidTr="00FC4045">
        <w:trPr>
          <w:trHeight w:val="2032"/>
        </w:trPr>
        <w:tc>
          <w:tcPr>
            <w:tcW w:w="5000" w:type="pct"/>
            <w:gridSpan w:val="2"/>
            <w:shd w:val="clear" w:color="auto" w:fill="FFFFFF"/>
          </w:tcPr>
          <w:p w:rsidR="00044AAB" w:rsidRDefault="00044AAB" w:rsidP="00F82BF4">
            <w:pPr>
              <w:spacing w:after="180"/>
              <w:rPr>
                <w:szCs w:val="22"/>
              </w:rPr>
            </w:pPr>
          </w:p>
          <w:p w:rsidR="00044AAB" w:rsidRDefault="00044AAB" w:rsidP="00F82BF4">
            <w:pPr>
              <w:spacing w:after="180"/>
              <w:rPr>
                <w:szCs w:val="22"/>
              </w:rPr>
            </w:pPr>
          </w:p>
          <w:p w:rsidR="00044AAB" w:rsidRDefault="00044AAB" w:rsidP="00070A95">
            <w:pPr>
              <w:spacing w:after="0" w:line="240" w:lineRule="auto"/>
              <w:rPr>
                <w:szCs w:val="22"/>
              </w:rPr>
            </w:pPr>
            <w:r>
              <w:rPr>
                <w:szCs w:val="22"/>
              </w:rPr>
              <w:t>Brandon Sloan</w:t>
            </w:r>
          </w:p>
          <w:p w:rsidR="00044AAB" w:rsidRDefault="00044AAB" w:rsidP="00070A95">
            <w:pPr>
              <w:spacing w:after="0" w:line="240" w:lineRule="auto"/>
              <w:rPr>
                <w:szCs w:val="22"/>
              </w:rPr>
            </w:pPr>
            <w:r>
              <w:rPr>
                <w:szCs w:val="22"/>
              </w:rPr>
              <w:t>Policy and Strategy</w:t>
            </w:r>
          </w:p>
          <w:p w:rsidR="00044AAB" w:rsidRPr="00F82BF4" w:rsidRDefault="00044AAB" w:rsidP="00070A95">
            <w:pPr>
              <w:spacing w:after="0" w:line="240" w:lineRule="auto"/>
              <w:rPr>
                <w:szCs w:val="22"/>
              </w:rPr>
            </w:pPr>
            <w:r>
              <w:rPr>
                <w:szCs w:val="22"/>
              </w:rPr>
              <w:t>Inland Revenue</w:t>
            </w:r>
          </w:p>
          <w:p w:rsidR="00044AAB" w:rsidRPr="0069218C" w:rsidRDefault="008E7C4F" w:rsidP="0069218C">
            <w:pPr>
              <w:spacing w:after="180"/>
              <w:rPr>
                <w:rFonts w:cs="Arial"/>
                <w:szCs w:val="22"/>
              </w:rPr>
            </w:pPr>
            <w:r>
              <w:rPr>
                <w:rFonts w:cs="Arial"/>
                <w:szCs w:val="22"/>
              </w:rPr>
              <w:t>26</w:t>
            </w:r>
            <w:r w:rsidR="004E4614">
              <w:rPr>
                <w:rFonts w:cs="Arial"/>
                <w:szCs w:val="22"/>
              </w:rPr>
              <w:t xml:space="preserve"> July 2018</w:t>
            </w:r>
          </w:p>
        </w:tc>
      </w:tr>
    </w:tbl>
    <w:p w:rsidR="00E92509" w:rsidRDefault="00F132B2" w:rsidP="00293FDC">
      <w:pPr>
        <w:pStyle w:val="Heading2"/>
      </w:pPr>
      <w:bookmarkStart w:id="1" w:name="_Toc363047038"/>
      <w:bookmarkStart w:id="2" w:name="_Toc362940530"/>
      <w:bookmarkStart w:id="3" w:name="_Toc362618966"/>
      <w:bookmarkStart w:id="4" w:name="_Toc362434720"/>
      <w:bookmarkStart w:id="5" w:name="_Toc362368098"/>
      <w:r w:rsidRPr="0069218C">
        <w:rPr>
          <w:rFonts w:cs="Arial"/>
          <w:lang w:val="en-NZ"/>
        </w:rPr>
        <w:br w:type="page"/>
      </w:r>
      <w:r w:rsidR="00E92509" w:rsidRPr="002D5734">
        <w:lastRenderedPageBreak/>
        <w:t xml:space="preserve">Section 2:  </w:t>
      </w:r>
      <w:bookmarkEnd w:id="1"/>
      <w:bookmarkEnd w:id="2"/>
      <w:bookmarkEnd w:id="3"/>
      <w:bookmarkEnd w:id="4"/>
      <w:bookmarkEnd w:id="5"/>
      <w:r w:rsidR="00304CE4" w:rsidRPr="002D5734">
        <w:t xml:space="preserve">Problem </w:t>
      </w:r>
      <w:r w:rsidR="0032262A" w:rsidRPr="002D5734">
        <w:t>d</w:t>
      </w:r>
      <w:r w:rsidR="00304CE4" w:rsidRPr="002D5734">
        <w:t>efinition</w:t>
      </w:r>
      <w:r w:rsidR="0032262A" w:rsidRPr="002D5734">
        <w:t xml:space="preserve">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D5734" w:rsidRPr="0069218C" w:rsidTr="00FC4045">
        <w:trPr>
          <w:trHeight w:val="77"/>
        </w:trPr>
        <w:tc>
          <w:tcPr>
            <w:tcW w:w="5000" w:type="pct"/>
            <w:shd w:val="clear" w:color="auto" w:fill="99CDDD"/>
            <w:hideMark/>
          </w:tcPr>
          <w:p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030C30" w:rsidRPr="00030C30" w:rsidTr="006D3F4E">
        <w:trPr>
          <w:trHeight w:val="1181"/>
        </w:trPr>
        <w:tc>
          <w:tcPr>
            <w:tcW w:w="5000" w:type="pct"/>
            <w:shd w:val="clear" w:color="auto" w:fill="auto"/>
          </w:tcPr>
          <w:p w:rsidR="00B20152" w:rsidRDefault="00A00AAD" w:rsidP="00805BC9">
            <w:pPr>
              <w:spacing w:before="120" w:after="120" w:line="276" w:lineRule="auto"/>
            </w:pPr>
            <w:r>
              <w:t>This RIA</w:t>
            </w:r>
            <w:r w:rsidR="00257D02" w:rsidRPr="000453E2">
              <w:t xml:space="preserve"> </w:t>
            </w:r>
            <w:r w:rsidR="003669F8">
              <w:t xml:space="preserve">considers </w:t>
            </w:r>
            <w:r w:rsidR="000453E2" w:rsidRPr="000453E2">
              <w:t>whether a New Zealand charity</w:t>
            </w:r>
            <w:r w:rsidR="000B29EA">
              <w:t xml:space="preserve">, the </w:t>
            </w:r>
            <w:r w:rsidR="000B29EA">
              <w:rPr>
                <w:rFonts w:cs="Arial"/>
                <w:szCs w:val="22"/>
              </w:rPr>
              <w:t xml:space="preserve">New Zealand Memorial Museum Trust – Le </w:t>
            </w:r>
            <w:proofErr w:type="spellStart"/>
            <w:r w:rsidR="000B29EA">
              <w:rPr>
                <w:rFonts w:cs="Arial"/>
                <w:szCs w:val="22"/>
              </w:rPr>
              <w:t>Quesnoy</w:t>
            </w:r>
            <w:proofErr w:type="spellEnd"/>
            <w:r w:rsidR="000B29EA">
              <w:rPr>
                <w:rFonts w:cs="Arial"/>
                <w:szCs w:val="22"/>
              </w:rPr>
              <w:t xml:space="preserve"> </w:t>
            </w:r>
            <w:r w:rsidR="00961C6C">
              <w:t xml:space="preserve">(pronounced le-ken-wah) </w:t>
            </w:r>
            <w:r w:rsidR="000453E2" w:rsidRPr="000453E2">
              <w:t>should be granted overseas donee status by Cabinet.</w:t>
            </w:r>
            <w:r w:rsidR="000453E2">
              <w:t xml:space="preserve">  </w:t>
            </w:r>
          </w:p>
          <w:p w:rsidR="005029F6" w:rsidRPr="000453E2" w:rsidRDefault="005029F6" w:rsidP="005029F6">
            <w:pPr>
              <w:rPr>
                <w:lang w:eastAsia="en-AU"/>
              </w:rPr>
            </w:pPr>
            <w:r>
              <w:rPr>
                <w:lang w:eastAsia="en-AU"/>
              </w:rPr>
              <w:t xml:space="preserve">The </w:t>
            </w:r>
            <w:r w:rsidRPr="00287F04">
              <w:rPr>
                <w:lang w:eastAsia="en-AU"/>
              </w:rPr>
              <w:t>main</w:t>
            </w:r>
            <w:r>
              <w:rPr>
                <w:lang w:eastAsia="en-AU"/>
              </w:rPr>
              <w:t xml:space="preserve"> objective behind the policy underpinning overseas donee status is to indirectly support New Zealand’s overseas development aid programme by providing tax benefits, </w:t>
            </w:r>
            <w:r>
              <w:t xml:space="preserve">such as tax credits or tax deductions, under the Income Tax Act 2007, </w:t>
            </w:r>
            <w:r>
              <w:rPr>
                <w:lang w:eastAsia="en-AU"/>
              </w:rPr>
              <w:t xml:space="preserve">to a specified class of charity whose purposes are </w:t>
            </w:r>
            <w:r w:rsidR="003E2D42">
              <w:rPr>
                <w:lang w:eastAsia="en-AU"/>
              </w:rPr>
              <w:t xml:space="preserve">largely directed at the relief of poverty, or improving education or economic outcomes in developing countries, as set out in </w:t>
            </w:r>
            <w:r>
              <w:rPr>
                <w:lang w:eastAsia="en-AU"/>
              </w:rPr>
              <w:t>criteria set out by Cabinet in 1978.</w:t>
            </w:r>
            <w:r>
              <w:t xml:space="preserve">  The Trust’s purposes fall outside the main objective</w:t>
            </w:r>
            <w:r w:rsidR="00542FB4">
              <w:t>,</w:t>
            </w:r>
            <w:r>
              <w:t xml:space="preserve"> and its approval would be an exception to the current policy framework. </w:t>
            </w:r>
          </w:p>
          <w:p w:rsidR="000453E2" w:rsidRDefault="003E2D42" w:rsidP="00EA773D">
            <w:r>
              <w:t>A decision to grant the Trust overseas donee status could therefore create a precedent for tax purposes</w:t>
            </w:r>
            <w:r w:rsidR="00542FB4">
              <w:t>,</w:t>
            </w:r>
            <w:r>
              <w:t xml:space="preserve"> and raise expectations that Cabinet will look more favourably on future requests from charities whose purposes are not directed at overseas development.  </w:t>
            </w:r>
          </w:p>
          <w:p w:rsidR="00257D02" w:rsidRDefault="00257D02" w:rsidP="008175F3">
            <w:pPr>
              <w:pStyle w:val="Heading3"/>
            </w:pPr>
            <w:r>
              <w:t>New Zealand Memorial Museum Trust – Le Quesnoy</w:t>
            </w:r>
          </w:p>
          <w:p w:rsidR="00646AFB" w:rsidRDefault="00EA773D" w:rsidP="00646AFB">
            <w:r>
              <w:t>T</w:t>
            </w:r>
            <w:r w:rsidR="00257D02">
              <w:t>he</w:t>
            </w:r>
            <w:r w:rsidR="00257D02" w:rsidRPr="006478AF">
              <w:t xml:space="preserve"> Trust </w:t>
            </w:r>
            <w:r w:rsidR="00257D02">
              <w:t>is proposing to create a</w:t>
            </w:r>
            <w:r w:rsidR="00257D02" w:rsidRPr="006478AF">
              <w:t xml:space="preserve"> </w:t>
            </w:r>
            <w:r w:rsidR="00FF0CC9">
              <w:t>m</w:t>
            </w:r>
            <w:r w:rsidR="00257D02" w:rsidRPr="006478AF">
              <w:t>emorial museum</w:t>
            </w:r>
            <w:r w:rsidR="00FF0CC9">
              <w:t xml:space="preserve"> </w:t>
            </w:r>
            <w:r w:rsidR="00FF0CC9" w:rsidRPr="00D5398D">
              <w:t xml:space="preserve">(the Museum) </w:t>
            </w:r>
            <w:r w:rsidR="00257D02" w:rsidRPr="006478AF">
              <w:t xml:space="preserve">in Le Quesnoy, France.  The Trust is currently raising funds to </w:t>
            </w:r>
            <w:r w:rsidR="00257D02">
              <w:t>support the project and wants monetary donations to the Trust to be eligible for tax benefits</w:t>
            </w:r>
            <w:r w:rsidR="00542FB4">
              <w:t>,</w:t>
            </w:r>
            <w:r w:rsidR="00646AFB">
              <w:t xml:space="preserve"> so that it can further its objects and tell the story of </w:t>
            </w:r>
            <w:r w:rsidR="00646AFB" w:rsidRPr="000719D5">
              <w:t xml:space="preserve">Le Quesnoy as the cornerstone of the New Zealand </w:t>
            </w:r>
            <w:r w:rsidR="00646AFB">
              <w:t xml:space="preserve">First World War </w:t>
            </w:r>
            <w:r w:rsidR="00646AFB" w:rsidRPr="000719D5">
              <w:t>military story</w:t>
            </w:r>
            <w:r w:rsidR="00646AFB">
              <w:t xml:space="preserve">.  </w:t>
            </w:r>
          </w:p>
          <w:p w:rsidR="00EA773D" w:rsidRPr="00D5398D" w:rsidRDefault="00EA773D" w:rsidP="00EA773D">
            <w:r w:rsidRPr="00D5398D">
              <w:t>Specifically, the Trust’s purposes are:</w:t>
            </w:r>
          </w:p>
          <w:p w:rsidR="00EA773D" w:rsidRPr="00D5398D" w:rsidRDefault="00EA773D" w:rsidP="00EA773D">
            <w:pPr>
              <w:pStyle w:val="Bullet-list"/>
            </w:pPr>
            <w:r w:rsidRPr="00D5398D">
              <w:t xml:space="preserve">To own and operate </w:t>
            </w:r>
            <w:r w:rsidR="00FF0CC9">
              <w:t xml:space="preserve">a </w:t>
            </w:r>
            <w:r w:rsidRPr="00D5398D">
              <w:t>Museum in Le Quesnoy, France, that will provide information and learning resources to visitors</w:t>
            </w:r>
            <w:r w:rsidR="00542FB4">
              <w:t>,</w:t>
            </w:r>
            <w:r w:rsidRPr="00D5398D">
              <w:t xml:space="preserve"> and raise awareness of New Zealand’s participation in and contribution to the First World War; and</w:t>
            </w:r>
          </w:p>
          <w:p w:rsidR="00EA773D" w:rsidRPr="00D5398D" w:rsidRDefault="00EA773D" w:rsidP="00EA773D">
            <w:pPr>
              <w:pStyle w:val="Bullet-list"/>
            </w:pPr>
            <w:r w:rsidRPr="00D5398D">
              <w:t>Develop a programme of cultural and educational exchanges between New Zealand and Le Quesnoy, France</w:t>
            </w:r>
            <w:r w:rsidR="00542FB4">
              <w:t>,</w:t>
            </w:r>
            <w:r w:rsidRPr="00D5398D">
              <w:t xml:space="preserve"> for all people in New Zealand and in France.   </w:t>
            </w:r>
          </w:p>
          <w:p w:rsidR="00EA773D" w:rsidRPr="00D5398D" w:rsidRDefault="00EA773D" w:rsidP="00EA773D">
            <w:r w:rsidRPr="00D5398D">
              <w:t xml:space="preserve">The trustee’s vision for the Trust is to establish a permanent war memorial in Le Quesnoy, in the form of a Museum, in remembrance of the New Zealanders who fought in France.  The proposed Museum would create a complex with functional exhibition space and include self-catering accommodation facilities, which the Trust believes by 2021 will fund the </w:t>
            </w:r>
            <w:r w:rsidR="003E2D42">
              <w:t>M</w:t>
            </w:r>
            <w:r w:rsidRPr="00D5398D">
              <w:t xml:space="preserve">useum’s ongoing operations.  </w:t>
            </w:r>
            <w:r w:rsidR="003E2D42">
              <w:t xml:space="preserve">Inland Revenue notes that the </w:t>
            </w:r>
            <w:r w:rsidRPr="00D5398D">
              <w:t xml:space="preserve">project is likely to support economic development (tourism) in the region by adding accommodation capacity to the town.  </w:t>
            </w:r>
          </w:p>
          <w:p w:rsidR="00EA773D" w:rsidRPr="00D5398D" w:rsidRDefault="00EA773D" w:rsidP="00EA773D">
            <w:r w:rsidRPr="00D5398D">
              <w:t>The liberation of Le Quesnoy on 4 November 1918 was New Zealand’s last major action during the First World War and, as such, has been viewed as a significant milestone in our military history.  The liberation was achieved without the loss of any civilian lives.  The town of Le Quesnoy maintains links with New Zealand</w:t>
            </w:r>
            <w:r w:rsidR="00542FB4">
              <w:t>,</w:t>
            </w:r>
            <w:r w:rsidRPr="00D5398D">
              <w:t xml:space="preserve"> and a special connection exists between New Zealand and the people of Le Quesnoy.  </w:t>
            </w:r>
          </w:p>
          <w:p w:rsidR="00EA773D" w:rsidRDefault="00EA773D" w:rsidP="00EA773D">
            <w:r w:rsidRPr="00D5398D">
              <w:t xml:space="preserve">Le Quesnoy is located in Northern France (12 km from the Belgium boarder) and </w:t>
            </w:r>
            <w:r w:rsidR="00542FB4">
              <w:t>its</w:t>
            </w:r>
            <w:r w:rsidRPr="00D5398D">
              <w:t xml:space="preserve"> current population is approximately 5,000.  </w:t>
            </w:r>
            <w:r w:rsidR="00542FB4" w:rsidRPr="00D5398D">
              <w:t xml:space="preserve">Le Quesnoy </w:t>
            </w:r>
            <w:r w:rsidR="00542FB4">
              <w:t>has</w:t>
            </w:r>
            <w:r w:rsidRPr="00D5398D">
              <w:t xml:space="preserve"> fairly limited local amenities (shopping, accommodation and entertainment).  The Mayor of Le Quesnoy supports and is an advocate of, the development of the </w:t>
            </w:r>
            <w:r w:rsidR="003E2D42">
              <w:t>M</w:t>
            </w:r>
            <w:r w:rsidRPr="00D5398D">
              <w:t xml:space="preserve">useum and accommodation project.  The Museum is one of a </w:t>
            </w:r>
            <w:r w:rsidRPr="00D5398D">
              <w:lastRenderedPageBreak/>
              <w:t xml:space="preserve">number of economic development activities being carried out in the region.  </w:t>
            </w:r>
          </w:p>
          <w:p w:rsidR="006A7611" w:rsidRDefault="006A7611" w:rsidP="00EA773D">
            <w:r w:rsidRPr="00D5398D">
              <w:rPr>
                <w:rFonts w:cs="Arial"/>
                <w:szCs w:val="22"/>
              </w:rPr>
              <w:t xml:space="preserve">The Trust is not part of any </w:t>
            </w:r>
            <w:r w:rsidR="003669F8">
              <w:rPr>
                <w:rFonts w:cs="Arial"/>
                <w:szCs w:val="22"/>
              </w:rPr>
              <w:t>Government</w:t>
            </w:r>
            <w:r w:rsidRPr="00D5398D">
              <w:rPr>
                <w:rFonts w:cs="Arial"/>
                <w:szCs w:val="22"/>
              </w:rPr>
              <w:t xml:space="preserve"> initiative relating to the First World War Centenary Programme (WW100).  The project is a private endeavour.</w:t>
            </w:r>
          </w:p>
          <w:p w:rsidR="006A7611" w:rsidRDefault="006A7611" w:rsidP="006A7611">
            <w:pPr>
              <w:pStyle w:val="Heading3"/>
            </w:pPr>
            <w:r>
              <w:t>Problem definition</w:t>
            </w:r>
          </w:p>
          <w:p w:rsidR="006A7611" w:rsidRPr="002A7525" w:rsidRDefault="00FC14E6" w:rsidP="00FC14E6">
            <w:r>
              <w:t>T</w:t>
            </w:r>
            <w:r w:rsidR="006A7611">
              <w:t>he Trust’s purposes are outside New Zealand</w:t>
            </w:r>
            <w:r>
              <w:t xml:space="preserve"> and </w:t>
            </w:r>
            <w:r w:rsidR="005C5CCA">
              <w:t xml:space="preserve">its </w:t>
            </w:r>
            <w:r w:rsidR="006A7611">
              <w:t xml:space="preserve">donations do not currently qualify for tax benefits.  Further, the Trust’s purposes fall outside the normal framework used </w:t>
            </w:r>
            <w:r w:rsidR="002A7525">
              <w:t xml:space="preserve">by </w:t>
            </w:r>
            <w:r w:rsidR="00753BEE">
              <w:t>Cabinet</w:t>
            </w:r>
            <w:r w:rsidR="002A7525">
              <w:t xml:space="preserve"> </w:t>
            </w:r>
            <w:r w:rsidR="00FF0CC9">
              <w:t>to</w:t>
            </w:r>
            <w:r w:rsidR="00AC5D2A">
              <w:t xml:space="preserve"> </w:t>
            </w:r>
            <w:r w:rsidR="006A7611">
              <w:t xml:space="preserve">grant overseas donee status </w:t>
            </w:r>
            <w:r w:rsidR="002A7525">
              <w:t xml:space="preserve">(see </w:t>
            </w:r>
            <w:r w:rsidR="002A7525" w:rsidRPr="006A7611">
              <w:rPr>
                <w:b/>
              </w:rPr>
              <w:t>Overseas donee status – Cabinet’s approval criteria</w:t>
            </w:r>
            <w:r w:rsidR="002A7525">
              <w:t xml:space="preserve"> below).  The Trust is therefore seeking to be granted overseas donee status as an exceptional case.  </w:t>
            </w:r>
          </w:p>
          <w:p w:rsidR="006A7611" w:rsidRDefault="003E2D42" w:rsidP="00FC14E6">
            <w:r>
              <w:t>As with all overseas donee status approvals, l</w:t>
            </w:r>
            <w:r w:rsidR="006A7611">
              <w:t>egislation is needed to specify that the Trust is a donee organisation (</w:t>
            </w:r>
            <w:r w:rsidR="005C5CCA">
              <w:t xml:space="preserve">with </w:t>
            </w:r>
            <w:r w:rsidR="006A7611">
              <w:t>overseas donee status) for the purposes of the Income Tax Act 2007 and allow donations to qualify for tax benefits (such as the donations tax credit or tax deductions</w:t>
            </w:r>
            <w:r w:rsidR="00FF0CC9">
              <w:t xml:space="preserve"> – </w:t>
            </w:r>
            <w:r w:rsidR="00753BEE">
              <w:t xml:space="preserve">see </w:t>
            </w:r>
            <w:r w:rsidR="00753BEE" w:rsidRPr="006A7611">
              <w:rPr>
                <w:b/>
              </w:rPr>
              <w:t>Tax benefits for monetary donations to charities</w:t>
            </w:r>
            <w:r w:rsidR="006A7611">
              <w:t>).</w:t>
            </w:r>
          </w:p>
          <w:p w:rsidR="006A7611" w:rsidRDefault="006A7611" w:rsidP="00FC14E6">
            <w:r w:rsidRPr="00D5398D">
              <w:t xml:space="preserve">The trustees want to advise potential donors about the </w:t>
            </w:r>
            <w:r w:rsidR="003669F8">
              <w:t>Government</w:t>
            </w:r>
            <w:r w:rsidRPr="00D5398D">
              <w:t>’s decision to facilitate fundraising well before the commemorations at Le Quesnoy on 4 November 2018.</w:t>
            </w:r>
          </w:p>
          <w:p w:rsidR="00821F65" w:rsidRDefault="00821F65" w:rsidP="00FC14E6">
            <w:r w:rsidRPr="00D5398D">
              <w:rPr>
                <w:rFonts w:cs="Arial"/>
                <w:szCs w:val="22"/>
              </w:rPr>
              <w:t xml:space="preserve">A decision to grant overseas donee status to the Trust would result in the </w:t>
            </w:r>
            <w:r w:rsidR="003669F8">
              <w:rPr>
                <w:rFonts w:cs="Arial"/>
                <w:szCs w:val="22"/>
              </w:rPr>
              <w:t>Government</w:t>
            </w:r>
            <w:r w:rsidRPr="00D5398D">
              <w:rPr>
                <w:rFonts w:cs="Arial"/>
                <w:szCs w:val="22"/>
              </w:rPr>
              <w:t xml:space="preserve"> indirectly committing funds (through reduced tax revenue) to the Le Quesnoy project, albeit on a successful efforts basis given that the support ultimately depends on the trustees’ success in fundraising.</w:t>
            </w:r>
          </w:p>
          <w:p w:rsidR="006A7611" w:rsidRDefault="006A7611" w:rsidP="008175F3">
            <w:pPr>
              <w:pStyle w:val="Heading3"/>
            </w:pPr>
            <w:r>
              <w:t>Tax policy</w:t>
            </w:r>
          </w:p>
          <w:p w:rsidR="00030C30" w:rsidRPr="006A7611" w:rsidRDefault="00030C30" w:rsidP="006A7611">
            <w:pPr>
              <w:rPr>
                <w:b/>
              </w:rPr>
            </w:pPr>
            <w:r w:rsidRPr="006A7611">
              <w:rPr>
                <w:b/>
              </w:rPr>
              <w:t xml:space="preserve">Tax benefits for monetary donations to charities </w:t>
            </w:r>
          </w:p>
          <w:p w:rsidR="00FB5BB9" w:rsidRDefault="00030C30" w:rsidP="00EA773D">
            <w:r w:rsidRPr="00030C30">
              <w:t xml:space="preserve">Since 1962, the tax system has provided tax benefits for monetary donations to New Zealand charities (including benevolent, philanthropic, or cultural organisations) whose purposes are largely limited to New Zealand.  </w:t>
            </w:r>
          </w:p>
          <w:p w:rsidR="00030C30" w:rsidRPr="00030C30" w:rsidRDefault="00030C30" w:rsidP="00EA773D">
            <w:r w:rsidRPr="00030C30">
              <w:t>Under current tax policy settings, the tax benefits include:</w:t>
            </w:r>
          </w:p>
          <w:p w:rsidR="00030C30" w:rsidRPr="00030C30" w:rsidRDefault="00030C30" w:rsidP="00EA773D">
            <w:pPr>
              <w:pStyle w:val="Bullet-list"/>
            </w:pPr>
            <w:r w:rsidRPr="00030C30">
              <w:t>the donation tax credit of 33</w:t>
            </w:r>
            <w:r w:rsidRPr="00030C30">
              <w:rPr>
                <w:vertAlign w:val="superscript"/>
              </w:rPr>
              <w:t>1</w:t>
            </w:r>
            <w:r w:rsidRPr="00030C30">
              <w:t>/</w:t>
            </w:r>
            <w:r w:rsidRPr="00030C30">
              <w:rPr>
                <w:vertAlign w:val="subscript"/>
              </w:rPr>
              <w:t>3</w:t>
            </w:r>
            <w:r w:rsidRPr="00030C30">
              <w:t xml:space="preserve">% of the value of any monetary donations made by a New Zealand resident individual taxpayer, capped to the amount of their taxable income; and </w:t>
            </w:r>
          </w:p>
          <w:p w:rsidR="00030C30" w:rsidRPr="00030C30" w:rsidRDefault="00030C30" w:rsidP="00EA773D">
            <w:pPr>
              <w:pStyle w:val="Bullet-list"/>
            </w:pPr>
            <w:r w:rsidRPr="00030C30">
              <w:t>income tax deductions if the monetary donation is from a New Zealand resident company or Māori authority, capped to the amount of their net income.</w:t>
            </w:r>
          </w:p>
          <w:p w:rsidR="00030C30" w:rsidRPr="00030C30" w:rsidRDefault="00030C30" w:rsidP="00EA773D">
            <w:r w:rsidRPr="00030C30">
              <w:t>Eligibility for the tax benefits is subject to certain statutory limitations on the charities’ purposes and application of funds, which must relate “wholly or mainly” to purposes in New Zealand.</w:t>
            </w:r>
            <w:r w:rsidRPr="00030C30">
              <w:rPr>
                <w:rStyle w:val="FootnoteReference"/>
                <w:rFonts w:cs="Arial"/>
                <w:sz w:val="22"/>
                <w:szCs w:val="22"/>
                <w:vertAlign w:val="superscript"/>
              </w:rPr>
              <w:footnoteReference w:id="1"/>
            </w:r>
            <w:r w:rsidRPr="00030C30">
              <w:t xml:space="preserve">  </w:t>
            </w:r>
            <w:r w:rsidR="00D06A55" w:rsidRPr="00176195">
              <w:rPr>
                <w:rFonts w:cs="Arial"/>
                <w:szCs w:val="22"/>
              </w:rPr>
              <w:t>Generally, the availability of tax benefits for donations is limited to charities with New Zealand purposes only.  New Zealand charities that support activities overseas and want their donors to be eligible for tax benefits (in particular, the donation tax credit) must be specifically listed in the Income Tax Act 2007</w:t>
            </w:r>
            <w:r w:rsidR="00D06A55">
              <w:rPr>
                <w:rFonts w:cs="Arial"/>
                <w:szCs w:val="22"/>
              </w:rPr>
              <w:t xml:space="preserve"> (overseas donee status)</w:t>
            </w:r>
            <w:r w:rsidR="00D06A55" w:rsidRPr="00176195">
              <w:rPr>
                <w:rFonts w:cs="Arial"/>
                <w:szCs w:val="22"/>
              </w:rPr>
              <w:t xml:space="preserve">.  </w:t>
            </w:r>
          </w:p>
          <w:p w:rsidR="00030C30" w:rsidRPr="00030C30" w:rsidRDefault="00030C30" w:rsidP="00EA773D">
            <w:r w:rsidRPr="00030C30">
              <w:t xml:space="preserve">Broadly, </w:t>
            </w:r>
            <w:r w:rsidR="005C5CCA">
              <w:t>g</w:t>
            </w:r>
            <w:r w:rsidR="003669F8">
              <w:t>overnment</w:t>
            </w:r>
            <w:r w:rsidRPr="00030C30">
              <w:t>s seek to promote charitable giving:</w:t>
            </w:r>
          </w:p>
          <w:p w:rsidR="00030C30" w:rsidRPr="00030C30" w:rsidRDefault="00030C30" w:rsidP="00EA773D">
            <w:pPr>
              <w:pStyle w:val="Bullet-list"/>
            </w:pPr>
            <w:r w:rsidRPr="00030C30">
              <w:lastRenderedPageBreak/>
              <w:t>to further social objectives,</w:t>
            </w:r>
          </w:p>
          <w:p w:rsidR="00030C30" w:rsidRPr="00030C30" w:rsidRDefault="00030C30" w:rsidP="00EA773D">
            <w:pPr>
              <w:pStyle w:val="Bullet-list"/>
            </w:pPr>
            <w:r w:rsidRPr="00030C30">
              <w:t>for the wider benefits to society (externalities), which may be over and above the value of the benefit provided via the tax system, and</w:t>
            </w:r>
          </w:p>
          <w:p w:rsidR="00030C30" w:rsidRDefault="00030C30" w:rsidP="00EA773D">
            <w:pPr>
              <w:pStyle w:val="Bullet-list"/>
            </w:pPr>
            <w:r w:rsidRPr="00030C30">
              <w:t xml:space="preserve">because donations can be effective indicators of when extra goods and services should be provided in market conditions that might otherwise not exist.  </w:t>
            </w:r>
          </w:p>
          <w:p w:rsidR="00030C30" w:rsidRPr="006A7611" w:rsidRDefault="00257D02" w:rsidP="006A7611">
            <w:pPr>
              <w:rPr>
                <w:b/>
              </w:rPr>
            </w:pPr>
            <w:r w:rsidRPr="006A7611">
              <w:rPr>
                <w:b/>
              </w:rPr>
              <w:t>O</w:t>
            </w:r>
            <w:r w:rsidR="00030C30" w:rsidRPr="006A7611">
              <w:rPr>
                <w:b/>
              </w:rPr>
              <w:t>verseas donee status – Cabinet’s approval criteria</w:t>
            </w:r>
          </w:p>
          <w:p w:rsidR="00030C30" w:rsidRPr="00030C30" w:rsidRDefault="00030C30" w:rsidP="00EA773D">
            <w:r w:rsidRPr="00030C30">
              <w:t>In 1978, Cabinet refined the policy position set in 1962,</w:t>
            </w:r>
            <w:r w:rsidR="00FA48FA">
              <w:rPr>
                <w:rStyle w:val="FootnoteReference"/>
                <w:rFonts w:cs="Arial"/>
                <w:szCs w:val="22"/>
              </w:rPr>
              <w:footnoteReference w:id="2"/>
            </w:r>
            <w:r w:rsidRPr="00030C30">
              <w:t xml:space="preserve"> by setting the parameters of overseas charitable activities that may be supported by the tax system:</w:t>
            </w:r>
          </w:p>
          <w:p w:rsidR="00030C30" w:rsidRPr="00030C30" w:rsidRDefault="00030C30" w:rsidP="00EA773D">
            <w:pPr>
              <w:rPr>
                <w:i/>
              </w:rPr>
            </w:pPr>
            <w:r w:rsidRPr="00030C30">
              <w:rPr>
                <w:i/>
              </w:rPr>
              <w:t>The basic criteria for adding an organisation to the list of approved “overseas” charities:</w:t>
            </w:r>
          </w:p>
          <w:p w:rsidR="00030C30" w:rsidRPr="00030C30" w:rsidRDefault="00030C30" w:rsidP="00EA773D">
            <w:pPr>
              <w:ind w:left="709"/>
              <w:rPr>
                <w:i/>
              </w:rPr>
            </w:pPr>
            <w:r w:rsidRPr="00030C30">
              <w:rPr>
                <w:i/>
              </w:rPr>
              <w:tab/>
              <w:t>(</w:t>
            </w:r>
            <w:proofErr w:type="spellStart"/>
            <w:r w:rsidRPr="00030C30">
              <w:rPr>
                <w:i/>
              </w:rPr>
              <w:t>i</w:t>
            </w:r>
            <w:proofErr w:type="spellEnd"/>
            <w:r w:rsidRPr="00030C30">
              <w:rPr>
                <w:i/>
              </w:rPr>
              <w:t>)</w:t>
            </w:r>
            <w:r w:rsidRPr="00030C30">
              <w:rPr>
                <w:i/>
              </w:rPr>
              <w:tab/>
              <w:t>the funds of the charity should be principally applied towards:</w:t>
            </w:r>
          </w:p>
          <w:p w:rsidR="00030C30" w:rsidRPr="00030C30" w:rsidRDefault="00030C30" w:rsidP="00EA773D">
            <w:pPr>
              <w:ind w:left="1418"/>
              <w:rPr>
                <w:i/>
              </w:rPr>
            </w:pPr>
            <w:r w:rsidRPr="00030C30">
              <w:rPr>
                <w:i/>
              </w:rPr>
              <w:t xml:space="preserve">the relief of poverty, hunger, sickness or the ravages of war or natural disaster; or </w:t>
            </w:r>
          </w:p>
          <w:p w:rsidR="00030C30" w:rsidRPr="00030C30" w:rsidRDefault="00030C30" w:rsidP="00EA773D">
            <w:pPr>
              <w:ind w:left="1418"/>
              <w:rPr>
                <w:i/>
              </w:rPr>
            </w:pPr>
            <w:r w:rsidRPr="00030C30">
              <w:rPr>
                <w:i/>
              </w:rPr>
              <w:t>the</w:t>
            </w:r>
            <w:r w:rsidRPr="00030C30">
              <w:t xml:space="preserve"> </w:t>
            </w:r>
            <w:r w:rsidRPr="00030C30">
              <w:rPr>
                <w:i/>
              </w:rPr>
              <w:t>economy of developing countries*; or</w:t>
            </w:r>
          </w:p>
          <w:p w:rsidR="00030C30" w:rsidRPr="00030C30" w:rsidRDefault="00030C30" w:rsidP="00EA773D">
            <w:pPr>
              <w:ind w:left="709"/>
              <w:rPr>
                <w:i/>
              </w:rPr>
            </w:pPr>
            <w:r w:rsidRPr="00030C30">
              <w:rPr>
                <w:i/>
              </w:rPr>
              <w:tab/>
            </w:r>
            <w:r w:rsidRPr="00030C30">
              <w:rPr>
                <w:i/>
              </w:rPr>
              <w:tab/>
              <w:t>raising the educational standards of a developing country*;</w:t>
            </w:r>
          </w:p>
          <w:p w:rsidR="00030C30" w:rsidRPr="00030C30" w:rsidRDefault="00030C30" w:rsidP="00EA773D">
            <w:pPr>
              <w:ind w:left="709"/>
              <w:rPr>
                <w:i/>
              </w:rPr>
            </w:pPr>
            <w:r w:rsidRPr="00030C30">
              <w:rPr>
                <w:i/>
              </w:rPr>
              <w:tab/>
              <w:t>(ii)</w:t>
            </w:r>
            <w:r w:rsidRPr="00030C30">
              <w:rPr>
                <w:i/>
              </w:rPr>
              <w:tab/>
              <w:t xml:space="preserve">charities formed for the principal purpose of fostering or administering any </w:t>
            </w:r>
            <w:r w:rsidR="001F4CBA">
              <w:rPr>
                <w:i/>
              </w:rPr>
              <w:tab/>
            </w:r>
            <w:r w:rsidR="001F4CBA">
              <w:rPr>
                <w:i/>
              </w:rPr>
              <w:tab/>
            </w:r>
            <w:r w:rsidRPr="00030C30">
              <w:rPr>
                <w:i/>
              </w:rPr>
              <w:t>religion, cult or political creed should not qualify;</w:t>
            </w:r>
          </w:p>
          <w:p w:rsidR="00030C30" w:rsidRPr="00030C30" w:rsidRDefault="00030C30" w:rsidP="00EA773D">
            <w:pPr>
              <w:ind w:left="709"/>
              <w:rPr>
                <w:i/>
              </w:rPr>
            </w:pPr>
            <w:r w:rsidRPr="00030C30">
              <w:rPr>
                <w:i/>
              </w:rPr>
              <w:tab/>
              <w:t>* developing countries recognised by the United Nations.</w:t>
            </w:r>
          </w:p>
          <w:p w:rsidR="00030C30" w:rsidRPr="00030C30" w:rsidRDefault="00030C30" w:rsidP="008175F3">
            <w:pPr>
              <w:jc w:val="right"/>
            </w:pPr>
            <w:r w:rsidRPr="00030C30">
              <w:t xml:space="preserve"> [CM 78/14/7 refers]</w:t>
            </w:r>
          </w:p>
          <w:p w:rsidR="00030C30" w:rsidRPr="00030C30" w:rsidRDefault="00030C30" w:rsidP="00EA773D">
            <w:r w:rsidRPr="00030C30">
              <w:t xml:space="preserve">The criteria set out in CM 78/14/7 have, except in a few instances, been </w:t>
            </w:r>
            <w:r w:rsidR="005C5CCA" w:rsidRPr="00030C30">
              <w:t xml:space="preserve">applied </w:t>
            </w:r>
            <w:r w:rsidRPr="00030C30">
              <w:t xml:space="preserve">consistently in Cabinet decision-making over the last forty years.  </w:t>
            </w:r>
            <w:r w:rsidR="007E384B" w:rsidRPr="00D5398D">
              <w:rPr>
                <w:rFonts w:cs="Arial"/>
                <w:szCs w:val="22"/>
              </w:rPr>
              <w:t xml:space="preserve">Currently 138 charities and other organisations </w:t>
            </w:r>
            <w:r w:rsidR="005C5CCA">
              <w:rPr>
                <w:rFonts w:cs="Arial"/>
                <w:szCs w:val="22"/>
              </w:rPr>
              <w:t xml:space="preserve">are </w:t>
            </w:r>
            <w:r w:rsidR="007E384B" w:rsidRPr="00D5398D">
              <w:rPr>
                <w:rFonts w:cs="Arial"/>
                <w:szCs w:val="22"/>
              </w:rPr>
              <w:t xml:space="preserve">listed in the Income Tax Act </w:t>
            </w:r>
            <w:r w:rsidR="005C5CCA">
              <w:rPr>
                <w:rFonts w:cs="Arial"/>
                <w:szCs w:val="22"/>
              </w:rPr>
              <w:t>and</w:t>
            </w:r>
            <w:r w:rsidR="007E384B" w:rsidRPr="00D5398D">
              <w:rPr>
                <w:rFonts w:cs="Arial"/>
                <w:szCs w:val="22"/>
              </w:rPr>
              <w:t xml:space="preserve"> have overseas donee status.  All but four of the charities named on the list meet Cabinet’s approval criteria (CM 78/14/7) and are engaged in overseas development.  Of the four organisations that do not meet the criteria and granted overseas donee status, three are </w:t>
            </w:r>
            <w:r w:rsidR="003669F8">
              <w:rPr>
                <w:rFonts w:cs="Arial"/>
                <w:szCs w:val="22"/>
              </w:rPr>
              <w:t>Government</w:t>
            </w:r>
            <w:r w:rsidR="007E384B" w:rsidRPr="00D5398D">
              <w:rPr>
                <w:rFonts w:cs="Arial"/>
                <w:szCs w:val="22"/>
              </w:rPr>
              <w:t xml:space="preserve"> initiatives and have direct </w:t>
            </w:r>
            <w:r w:rsidR="003669F8">
              <w:rPr>
                <w:rFonts w:cs="Arial"/>
                <w:szCs w:val="22"/>
              </w:rPr>
              <w:t>Government</w:t>
            </w:r>
            <w:r w:rsidR="007E384B" w:rsidRPr="00D5398D">
              <w:rPr>
                <w:rFonts w:cs="Arial"/>
                <w:szCs w:val="22"/>
              </w:rPr>
              <w:t xml:space="preserve"> oversight or financial support.  </w:t>
            </w:r>
            <w:r w:rsidR="002C3F22">
              <w:rPr>
                <w:rFonts w:cs="Arial"/>
                <w:szCs w:val="22"/>
              </w:rPr>
              <w:t>The other organisat</w:t>
            </w:r>
            <w:r w:rsidR="00546379">
              <w:rPr>
                <w:rFonts w:cs="Arial"/>
                <w:szCs w:val="22"/>
              </w:rPr>
              <w:t>ion is Amnesty International, a</w:t>
            </w:r>
            <w:r w:rsidR="002C3F22">
              <w:rPr>
                <w:rFonts w:cs="Arial"/>
                <w:szCs w:val="22"/>
              </w:rPr>
              <w:t xml:space="preserve"> large internationally recognised charity with significant New Zealand donor support</w:t>
            </w:r>
            <w:r w:rsidR="00DA3861">
              <w:rPr>
                <w:rFonts w:cs="Arial"/>
                <w:szCs w:val="22"/>
              </w:rPr>
              <w:t>.</w:t>
            </w:r>
          </w:p>
          <w:p w:rsidR="00030C30" w:rsidRPr="00030C30" w:rsidRDefault="00030C30" w:rsidP="00EA773D">
            <w:r w:rsidRPr="00030C30">
              <w:t xml:space="preserve">The eligible purposes set out in the criteria are aligned </w:t>
            </w:r>
            <w:r w:rsidR="00026CC4">
              <w:t>with</w:t>
            </w:r>
            <w:r w:rsidRPr="00030C30">
              <w:t xml:space="preserve"> the </w:t>
            </w:r>
            <w:r w:rsidR="00117ADD">
              <w:t>g</w:t>
            </w:r>
            <w:r w:rsidR="003669F8">
              <w:t>overnment</w:t>
            </w:r>
            <w:r w:rsidRPr="00030C30">
              <w:t>’s overseas development objectives (disaster relief, provision of humanitarian aid, and assisting developing countries)</w:t>
            </w:r>
            <w:r w:rsidR="00FB5BB9">
              <w:t>.  The eligible purposes are</w:t>
            </w:r>
            <w:r w:rsidRPr="00030C30">
              <w:t xml:space="preserve"> narrower than the common</w:t>
            </w:r>
            <w:r w:rsidR="006C2725">
              <w:t>-</w:t>
            </w:r>
            <w:r w:rsidRPr="00030C30">
              <w:t xml:space="preserve">law meaning of “charitable purpose” and the legislative framework in the Charities Act 2005.  </w:t>
            </w:r>
            <w:r w:rsidR="00DA3861">
              <w:t>Assess</w:t>
            </w:r>
            <w:r w:rsidR="006C2725">
              <w:t>ing</w:t>
            </w:r>
            <w:r w:rsidRPr="00030C30">
              <w:t xml:space="preserve"> donee status, including overseas donee status, remains the responsibility of Inland Revenue because of the tax benefits attach</w:t>
            </w:r>
            <w:r w:rsidR="006C2725">
              <w:t>ed</w:t>
            </w:r>
            <w:r w:rsidRPr="00030C30">
              <w:t xml:space="preserve"> to monetary donations.  The process does not overlap the work of the Department of Internal Affairs – Charities Services.  </w:t>
            </w:r>
          </w:p>
          <w:p w:rsidR="00257D02" w:rsidRDefault="005B7B4F" w:rsidP="00EA773D">
            <w:r>
              <w:lastRenderedPageBreak/>
              <w:t xml:space="preserve">Decisions to grant overseas donee status are implemented using legislation.  </w:t>
            </w:r>
          </w:p>
          <w:p w:rsidR="00030C30" w:rsidRPr="00030C30" w:rsidRDefault="00030C30" w:rsidP="00EA773D">
            <w:r w:rsidRPr="00030C30">
              <w:t>In 2016, advice to Inland Revenue from the Legislative Design and Advisory Committee confirmed that the use of legislation to implement decisions to give overseas donee status was appropriate, given that approvals are a special case, because:</w:t>
            </w:r>
          </w:p>
          <w:p w:rsidR="00030C30" w:rsidRPr="00030C30" w:rsidRDefault="00030C30" w:rsidP="008175F3">
            <w:pPr>
              <w:pStyle w:val="Bullet-list"/>
            </w:pPr>
            <w:r w:rsidRPr="00030C30">
              <w:t>determining overseas donee status has (or might have) a political and moral dimension; and</w:t>
            </w:r>
          </w:p>
          <w:p w:rsidR="00030C30" w:rsidRPr="00030C30" w:rsidRDefault="00030C30" w:rsidP="008175F3">
            <w:pPr>
              <w:pStyle w:val="Bullet-list"/>
            </w:pPr>
            <w:r w:rsidRPr="00030C30">
              <w:t xml:space="preserve">it ensures decision-making </w:t>
            </w:r>
            <w:proofErr w:type="gramStart"/>
            <w:r w:rsidRPr="00030C30">
              <w:t>transparency, and</w:t>
            </w:r>
            <w:proofErr w:type="gramEnd"/>
            <w:r w:rsidRPr="00030C30">
              <w:t xml:space="preserve"> promotes a bipartisan approach.</w:t>
            </w:r>
          </w:p>
          <w:p w:rsidR="00030C30" w:rsidRPr="006A7611" w:rsidRDefault="00030C30" w:rsidP="006A7611">
            <w:pPr>
              <w:rPr>
                <w:b/>
                <w:lang w:eastAsia="en-AU"/>
              </w:rPr>
            </w:pPr>
            <w:r w:rsidRPr="006A7611">
              <w:rPr>
                <w:b/>
                <w:lang w:eastAsia="en-AU"/>
              </w:rPr>
              <w:t>Analysing requests for overseas donee status</w:t>
            </w:r>
          </w:p>
          <w:p w:rsidR="00030C30" w:rsidRPr="00030C30" w:rsidRDefault="00030C30" w:rsidP="00EA773D">
            <w:r w:rsidRPr="00030C30">
              <w:t xml:space="preserve">Inland Revenue analyses a number of factors when considering a charity’s request to be </w:t>
            </w:r>
            <w:r w:rsidR="00753BEE">
              <w:t>granted overseas donee status</w:t>
            </w:r>
            <w:r w:rsidRPr="00030C30">
              <w:t>.  The purpose of the analysis, consistent with CM 78/14/7 and CBC Min (09) 12/2,</w:t>
            </w:r>
            <w:r w:rsidRPr="00257D02">
              <w:rPr>
                <w:rStyle w:val="FootnoteReference"/>
                <w:rFonts w:cs="Arial"/>
                <w:sz w:val="22"/>
                <w:szCs w:val="22"/>
                <w:vertAlign w:val="superscript"/>
              </w:rPr>
              <w:footnoteReference w:id="3"/>
            </w:r>
            <w:r w:rsidRPr="00257D02">
              <w:rPr>
                <w:vertAlign w:val="superscript"/>
              </w:rPr>
              <w:t xml:space="preserve"> </w:t>
            </w:r>
            <w:r w:rsidRPr="00030C30">
              <w:t>is to establish whether the charity is capable of meeting its purposes and is accountable for the funds it collects by:</w:t>
            </w:r>
          </w:p>
          <w:p w:rsidR="00030C30" w:rsidRPr="00030C30" w:rsidRDefault="00030C30" w:rsidP="008175F3">
            <w:pPr>
              <w:pStyle w:val="ListParagraph"/>
              <w:numPr>
                <w:ilvl w:val="0"/>
                <w:numId w:val="40"/>
              </w:numPr>
              <w:spacing w:after="120"/>
              <w:ind w:left="714" w:hanging="357"/>
              <w:contextualSpacing w:val="0"/>
            </w:pPr>
            <w:r w:rsidRPr="00030C30">
              <w:t>reviewing the charity’s governing document</w:t>
            </w:r>
            <w:r w:rsidR="00CB67DD">
              <w:t>s</w:t>
            </w:r>
            <w:r w:rsidRPr="00030C30">
              <w:t xml:space="preserve"> (constitution and trust deed) to ensure the activities and purposes are consistent with Cabinet’s criteria,  </w:t>
            </w:r>
          </w:p>
          <w:p w:rsidR="00030C30" w:rsidRPr="00030C30" w:rsidRDefault="00030C30" w:rsidP="008175F3">
            <w:pPr>
              <w:pStyle w:val="ListParagraph"/>
              <w:numPr>
                <w:ilvl w:val="0"/>
                <w:numId w:val="40"/>
              </w:numPr>
              <w:spacing w:after="120"/>
              <w:ind w:left="714" w:hanging="357"/>
              <w:contextualSpacing w:val="0"/>
            </w:pPr>
            <w:r w:rsidRPr="00030C30">
              <w:t>requiring the purposes stated in the charity’s governing document</w:t>
            </w:r>
            <w:r w:rsidR="00DF28A1">
              <w:t>s</w:t>
            </w:r>
            <w:r w:rsidRPr="00030C30">
              <w:t xml:space="preserve"> to be entirely within the scope of paragraph (</w:t>
            </w:r>
            <w:proofErr w:type="spellStart"/>
            <w:r w:rsidRPr="00030C30">
              <w:t>i</w:t>
            </w:r>
            <w:proofErr w:type="spellEnd"/>
            <w:r w:rsidRPr="00030C30">
              <w:t>) of the Cabinet criteria and that no personal pecuniary profit can be derived,</w:t>
            </w:r>
          </w:p>
          <w:p w:rsidR="00030C30" w:rsidRPr="00030C30" w:rsidRDefault="00030C30" w:rsidP="008175F3">
            <w:pPr>
              <w:pStyle w:val="ListParagraph"/>
              <w:numPr>
                <w:ilvl w:val="0"/>
                <w:numId w:val="40"/>
              </w:numPr>
              <w:spacing w:after="120"/>
              <w:ind w:left="714" w:hanging="357"/>
              <w:contextualSpacing w:val="0"/>
            </w:pPr>
            <w:r w:rsidRPr="00030C30">
              <w:t>looking at the clauses governing the nature and extent of the trustees’ discretionary powers, the winding-up clause, and the trustees’ ability to amend the governing document</w:t>
            </w:r>
            <w:r w:rsidR="00DF28A1">
              <w:t>s</w:t>
            </w:r>
            <w:r w:rsidRPr="00030C30">
              <w:t>,</w:t>
            </w:r>
          </w:p>
          <w:p w:rsidR="00030C30" w:rsidRPr="00030C30" w:rsidRDefault="00030C30" w:rsidP="008175F3">
            <w:pPr>
              <w:pStyle w:val="ListParagraph"/>
              <w:numPr>
                <w:ilvl w:val="0"/>
                <w:numId w:val="40"/>
              </w:numPr>
              <w:spacing w:after="120"/>
              <w:ind w:left="714" w:hanging="357"/>
              <w:contextualSpacing w:val="0"/>
            </w:pPr>
            <w:r w:rsidRPr="00030C30">
              <w:t>looking at the charity’s past, current, and proposed activities,</w:t>
            </w:r>
          </w:p>
          <w:p w:rsidR="00030C30" w:rsidRPr="00030C30" w:rsidRDefault="00030C30" w:rsidP="008175F3">
            <w:pPr>
              <w:pStyle w:val="ListParagraph"/>
              <w:numPr>
                <w:ilvl w:val="0"/>
                <w:numId w:val="40"/>
              </w:numPr>
              <w:spacing w:after="120"/>
              <w:ind w:left="714" w:hanging="357"/>
              <w:contextualSpacing w:val="0"/>
            </w:pPr>
            <w:r w:rsidRPr="00030C30">
              <w:t xml:space="preserve">requesting that the trustees provide </w:t>
            </w:r>
            <w:r w:rsidR="002F76BF">
              <w:t>Inland Revenue</w:t>
            </w:r>
            <w:r w:rsidRPr="00030C30">
              <w:t xml:space="preserve"> with the charity’s financial statements,</w:t>
            </w:r>
          </w:p>
          <w:p w:rsidR="00030C30" w:rsidRPr="00030C30" w:rsidRDefault="00030C30" w:rsidP="008175F3">
            <w:pPr>
              <w:pStyle w:val="ListParagraph"/>
              <w:numPr>
                <w:ilvl w:val="0"/>
                <w:numId w:val="40"/>
              </w:numPr>
              <w:spacing w:after="120"/>
              <w:ind w:left="714" w:hanging="357"/>
              <w:contextualSpacing w:val="0"/>
            </w:pPr>
            <w:r w:rsidRPr="00030C30">
              <w:t>considering the trustees’ degree of control over the application of the charity’s funds overseas, and procedures in place to ensure accountability for funds,</w:t>
            </w:r>
          </w:p>
          <w:p w:rsidR="00030C30" w:rsidRPr="00030C30" w:rsidRDefault="00030C30" w:rsidP="008175F3">
            <w:pPr>
              <w:pStyle w:val="ListParagraph"/>
              <w:numPr>
                <w:ilvl w:val="0"/>
                <w:numId w:val="40"/>
              </w:numPr>
              <w:spacing w:after="120"/>
              <w:ind w:left="714" w:hanging="357"/>
              <w:contextualSpacing w:val="0"/>
            </w:pPr>
            <w:r w:rsidRPr="00030C30">
              <w:t xml:space="preserve">considering the planning, monitoring, and evaluation processes used by the trustees in respect of the application of the charity’s funds, including how recipients use the funds, as well as the processes used to select beneficiaries and/or projects to support,  </w:t>
            </w:r>
          </w:p>
          <w:p w:rsidR="00030C30" w:rsidRPr="00030C30" w:rsidRDefault="00030C30" w:rsidP="008175F3">
            <w:pPr>
              <w:pStyle w:val="ListParagraph"/>
              <w:numPr>
                <w:ilvl w:val="0"/>
                <w:numId w:val="40"/>
              </w:numPr>
              <w:spacing w:after="120"/>
              <w:ind w:left="714" w:hanging="357"/>
              <w:contextualSpacing w:val="0"/>
            </w:pPr>
            <w:r w:rsidRPr="00030C30">
              <w:t>asking whether the charity has a legal presence in New Zealand and if it has registered under the Charities Act 2005,</w:t>
            </w:r>
          </w:p>
          <w:p w:rsidR="00030C30" w:rsidRPr="00030C30" w:rsidRDefault="00030C30" w:rsidP="008175F3">
            <w:pPr>
              <w:pStyle w:val="ListParagraph"/>
              <w:numPr>
                <w:ilvl w:val="0"/>
                <w:numId w:val="40"/>
              </w:numPr>
              <w:spacing w:after="120"/>
              <w:ind w:left="714" w:hanging="357"/>
              <w:contextualSpacing w:val="0"/>
            </w:pPr>
            <w:r w:rsidRPr="00030C30">
              <w:t xml:space="preserve">considering each request on the basis of other generic tax policy objectives, such as fiscal implications (including risk to the New Zealand tax base), consistency with other current </w:t>
            </w:r>
            <w:r w:rsidR="003669F8">
              <w:t>Government</w:t>
            </w:r>
            <w:r w:rsidRPr="00030C30">
              <w:t xml:space="preserve"> policy objectives, and the precedent effect, and </w:t>
            </w:r>
          </w:p>
          <w:p w:rsidR="00030C30" w:rsidRPr="00030C30" w:rsidRDefault="00030C30" w:rsidP="008175F3">
            <w:pPr>
              <w:pStyle w:val="ListParagraph"/>
              <w:numPr>
                <w:ilvl w:val="0"/>
                <w:numId w:val="40"/>
              </w:numPr>
              <w:spacing w:after="120"/>
              <w:ind w:left="714" w:hanging="357"/>
              <w:contextualSpacing w:val="0"/>
            </w:pPr>
            <w:r w:rsidRPr="00030C30">
              <w:t xml:space="preserve">consulting with other </w:t>
            </w:r>
            <w:r w:rsidR="003669F8">
              <w:t>Government</w:t>
            </w:r>
            <w:r w:rsidRPr="00030C30">
              <w:t xml:space="preserve"> agencies such as the Treasury and the Department of Internal Affairs – Charities Services.  The Ministry of Foreign Affairs and Trade is also consulted to identify if any concerns exist with the charity or sensitivities with the countries in which the charity operates.  Inland Revenue also uses the New Zealand Police’s vetting service in connection with the charity’s trustees or directors.</w:t>
            </w:r>
          </w:p>
          <w:p w:rsidR="00030C30" w:rsidRPr="00030C30" w:rsidRDefault="00030C30" w:rsidP="00F633BF">
            <w:pPr>
              <w:rPr>
                <w:lang w:eastAsia="en-AU"/>
              </w:rPr>
            </w:pPr>
            <w:r w:rsidRPr="00030C30">
              <w:rPr>
                <w:lang w:eastAsia="en-AU"/>
              </w:rPr>
              <w:lastRenderedPageBreak/>
              <w:t>In this particular case, points 1 and 2 were ignored</w:t>
            </w:r>
            <w:r w:rsidR="00CB67DD">
              <w:rPr>
                <w:lang w:eastAsia="en-AU"/>
              </w:rPr>
              <w:t>, as the purposes of the Trust fall outside the scope of the Cabinet criteria</w:t>
            </w:r>
            <w:r w:rsidRPr="00030C30">
              <w:rPr>
                <w:lang w:eastAsia="en-AU"/>
              </w:rPr>
              <w:t xml:space="preserve">.  </w:t>
            </w:r>
            <w:r w:rsidR="00DA68EC">
              <w:rPr>
                <w:lang w:eastAsia="en-AU"/>
              </w:rPr>
              <w:t xml:space="preserve">However, the Trust’s deed has the required constraints prohibiting the </w:t>
            </w:r>
            <w:r w:rsidR="003023D2">
              <w:rPr>
                <w:lang w:eastAsia="en-AU"/>
              </w:rPr>
              <w:t xml:space="preserve">trustees from </w:t>
            </w:r>
            <w:r w:rsidR="00F043AA">
              <w:rPr>
                <w:lang w:eastAsia="en-AU"/>
              </w:rPr>
              <w:t xml:space="preserve">deriving </w:t>
            </w:r>
            <w:r w:rsidR="003023D2">
              <w:rPr>
                <w:lang w:eastAsia="en-AU"/>
              </w:rPr>
              <w:t>any</w:t>
            </w:r>
            <w:r w:rsidR="00F633BF">
              <w:t xml:space="preserve"> personal pecuniary profit</w:t>
            </w:r>
            <w:r w:rsidR="00F92697">
              <w:t xml:space="preserve"> from the Trust’s activities</w:t>
            </w:r>
            <w:r w:rsidR="003D791F">
              <w:t>, over and above what would be expected from an arm’s length transaction</w:t>
            </w:r>
            <w:r w:rsidR="00F633BF">
              <w:t xml:space="preserve">.  </w:t>
            </w:r>
          </w:p>
        </w:tc>
      </w:tr>
      <w:tr w:rsidR="00546F69" w:rsidRPr="0069218C" w:rsidTr="00FC4045">
        <w:trPr>
          <w:trHeight w:val="77"/>
        </w:trPr>
        <w:tc>
          <w:tcPr>
            <w:tcW w:w="5000" w:type="pct"/>
            <w:shd w:val="clear" w:color="auto" w:fill="99CDDD"/>
          </w:tcPr>
          <w:p w:rsidR="00546F69" w:rsidRPr="00886DFF" w:rsidRDefault="00546F69" w:rsidP="00EC6FAD">
            <w:pPr>
              <w:pStyle w:val="TableHeadings"/>
              <w:rPr>
                <w:b w:val="0"/>
                <w:color w:val="1F4E79"/>
                <w:szCs w:val="22"/>
                <w:lang w:val="en-NZ"/>
              </w:rPr>
            </w:pPr>
            <w:r w:rsidRPr="00886DFF">
              <w:rPr>
                <w:szCs w:val="22"/>
                <w:lang w:val="en-NZ"/>
              </w:rPr>
              <w:lastRenderedPageBreak/>
              <w:t xml:space="preserve">2.2    </w:t>
            </w:r>
            <w:r w:rsidR="00C45246" w:rsidRPr="00886DFF">
              <w:rPr>
                <w:rFonts w:eastAsia="Calibri"/>
                <w:szCs w:val="22"/>
                <w:lang w:val="en-NZ" w:eastAsia="en-US"/>
              </w:rPr>
              <w:t xml:space="preserve">Who is affected and how? </w:t>
            </w:r>
          </w:p>
        </w:tc>
      </w:tr>
      <w:tr w:rsidR="00030C30" w:rsidRPr="00E032B8" w:rsidTr="00E032B8">
        <w:trPr>
          <w:trHeight w:val="1404"/>
        </w:trPr>
        <w:tc>
          <w:tcPr>
            <w:tcW w:w="5000" w:type="pct"/>
            <w:shd w:val="clear" w:color="auto" w:fill="auto"/>
          </w:tcPr>
          <w:p w:rsidR="00FC14E6" w:rsidRPr="00E032B8" w:rsidRDefault="00FC14E6" w:rsidP="00805BC9">
            <w:pPr>
              <w:spacing w:before="120" w:after="120" w:line="276" w:lineRule="auto"/>
              <w:rPr>
                <w:rFonts w:cs="Arial"/>
                <w:szCs w:val="22"/>
              </w:rPr>
            </w:pPr>
            <w:r w:rsidRPr="00E032B8">
              <w:t xml:space="preserve">The Trust is currently raising funds to support the project and wants monetary donations to the Trust to be eligible for tax benefits.  </w:t>
            </w:r>
            <w:r w:rsidRPr="00E032B8">
              <w:rPr>
                <w:rFonts w:cs="Arial"/>
                <w:szCs w:val="22"/>
              </w:rPr>
              <w:t>The trustees have informed Inland Revenue that its potential donors are tax sensitive, and may not make donations to the Trust if they do not give rise to tax benefits.</w:t>
            </w:r>
          </w:p>
        </w:tc>
      </w:tr>
      <w:tr w:rsidR="00304CE4" w:rsidRPr="0069218C" w:rsidTr="00FC4045">
        <w:trPr>
          <w:trHeight w:val="77"/>
        </w:trPr>
        <w:tc>
          <w:tcPr>
            <w:tcW w:w="5000" w:type="pct"/>
            <w:shd w:val="clear" w:color="auto" w:fill="99CDDD"/>
          </w:tcPr>
          <w:p w:rsidR="00304CE4" w:rsidRPr="00886DFF" w:rsidRDefault="00F63B99" w:rsidP="00EC6FAD">
            <w:pPr>
              <w:pStyle w:val="TableHeadings"/>
              <w:rPr>
                <w:szCs w:val="22"/>
              </w:rPr>
            </w:pPr>
            <w:r w:rsidRPr="00886DFF">
              <w:rPr>
                <w:szCs w:val="22"/>
              </w:rPr>
              <w:t>2.3</w:t>
            </w:r>
            <w:r w:rsidR="002A56F0" w:rsidRPr="00886DFF">
              <w:rPr>
                <w:szCs w:val="22"/>
              </w:rPr>
              <w:t xml:space="preserve">   </w:t>
            </w:r>
            <w:r w:rsidR="00F132B2" w:rsidRPr="00886DFF">
              <w:rPr>
                <w:szCs w:val="22"/>
              </w:rPr>
              <w:t>Are there any constraints on the scope for decision making</w:t>
            </w:r>
            <w:r w:rsidR="00304CE4" w:rsidRPr="00886DFF">
              <w:rPr>
                <w:szCs w:val="22"/>
              </w:rPr>
              <w:t xml:space="preserve">? </w:t>
            </w:r>
          </w:p>
        </w:tc>
      </w:tr>
      <w:tr w:rsidR="00F132B2" w:rsidRPr="00E032B8" w:rsidTr="00FC4045">
        <w:trPr>
          <w:trHeight w:val="2391"/>
        </w:trPr>
        <w:tc>
          <w:tcPr>
            <w:tcW w:w="5000" w:type="pct"/>
            <w:shd w:val="clear" w:color="auto" w:fill="auto"/>
          </w:tcPr>
          <w:p w:rsidR="00F132B2" w:rsidRPr="00E032B8" w:rsidRDefault="00821F65" w:rsidP="00805BC9">
            <w:pPr>
              <w:spacing w:before="120" w:after="120" w:line="276" w:lineRule="auto"/>
            </w:pPr>
            <w:r w:rsidRPr="00E032B8">
              <w:t xml:space="preserve">For present purposes, the Trust </w:t>
            </w:r>
            <w:r w:rsidR="00933EBB" w:rsidRPr="00E032B8">
              <w:t>wants</w:t>
            </w:r>
            <w:r w:rsidRPr="00E032B8">
              <w:t xml:space="preserve"> to </w:t>
            </w:r>
            <w:r w:rsidR="00150013" w:rsidRPr="00E032B8">
              <w:t>influence</w:t>
            </w:r>
            <w:r w:rsidRPr="00E032B8">
              <w:t xml:space="preserve"> donor decision</w:t>
            </w:r>
            <w:r w:rsidR="00933EBB" w:rsidRPr="00E032B8">
              <w:t>-</w:t>
            </w:r>
            <w:r w:rsidRPr="00E032B8">
              <w:t xml:space="preserve">making by offering tax benefits for </w:t>
            </w:r>
            <w:r w:rsidR="00117ADD">
              <w:t xml:space="preserve">the </w:t>
            </w:r>
            <w:r w:rsidRPr="00E032B8">
              <w:t xml:space="preserve">monetary donations it receives.  </w:t>
            </w:r>
            <w:r w:rsidR="00933EBB" w:rsidRPr="00E032B8">
              <w:t xml:space="preserve">This has </w:t>
            </w:r>
            <w:r w:rsidR="00150013" w:rsidRPr="00E032B8">
              <w:t>narrowed</w:t>
            </w:r>
            <w:r w:rsidR="00933EBB" w:rsidRPr="00E032B8">
              <w:t xml:space="preserve"> the options considered in this </w:t>
            </w:r>
            <w:r w:rsidR="00CB4DE2" w:rsidRPr="00E032B8">
              <w:t>RIA</w:t>
            </w:r>
            <w:r w:rsidR="005B40C9" w:rsidRPr="00E032B8">
              <w:t xml:space="preserve"> to those that concern the tax system</w:t>
            </w:r>
            <w:r w:rsidR="00933EBB" w:rsidRPr="00E032B8">
              <w:t xml:space="preserve">.  </w:t>
            </w:r>
          </w:p>
          <w:p w:rsidR="00F132B2" w:rsidRPr="00E032B8" w:rsidRDefault="005B40C9" w:rsidP="002A3FA9">
            <w:r w:rsidRPr="00E032B8">
              <w:t>Alternative</w:t>
            </w:r>
            <w:r w:rsidR="00933EBB" w:rsidRPr="00E032B8">
              <w:t xml:space="preserve"> </w:t>
            </w:r>
            <w:r w:rsidR="003669F8" w:rsidRPr="00E032B8">
              <w:t>Government</w:t>
            </w:r>
            <w:r w:rsidR="00933EBB" w:rsidRPr="00E032B8">
              <w:t xml:space="preserve"> responses, such as financially supporting the Trust via </w:t>
            </w:r>
            <w:r w:rsidR="00E2702E" w:rsidRPr="00E032B8">
              <w:t xml:space="preserve">grants or alternative </w:t>
            </w:r>
            <w:r w:rsidR="008C7963" w:rsidRPr="00E032B8">
              <w:t>co-governance</w:t>
            </w:r>
            <w:r w:rsidR="00345C4C" w:rsidRPr="00E032B8">
              <w:t xml:space="preserve"> structures</w:t>
            </w:r>
            <w:r w:rsidR="008C7963" w:rsidRPr="00E032B8">
              <w:t xml:space="preserve"> (public/private partnerships) have not been considered.  </w:t>
            </w:r>
            <w:r w:rsidR="00345C4C" w:rsidRPr="00E032B8">
              <w:t xml:space="preserve">The Trust is not at this time wanting direct </w:t>
            </w:r>
            <w:r w:rsidR="003669F8" w:rsidRPr="00E032B8">
              <w:t>Government</w:t>
            </w:r>
            <w:r w:rsidR="00345C4C" w:rsidRPr="00E032B8">
              <w:t xml:space="preserve"> support.  </w:t>
            </w:r>
          </w:p>
          <w:p w:rsidR="00047DBC" w:rsidRPr="00E032B8" w:rsidRDefault="00117ADD" w:rsidP="00650020">
            <w:r>
              <w:t>T</w:t>
            </w:r>
            <w:r w:rsidR="00047DBC" w:rsidRPr="00E032B8">
              <w:t xml:space="preserve">his analysis </w:t>
            </w:r>
            <w:r>
              <w:t xml:space="preserve">therefore </w:t>
            </w:r>
            <w:r w:rsidR="00047DBC" w:rsidRPr="00E032B8">
              <w:t xml:space="preserve">does not consider the wider issue </w:t>
            </w:r>
            <w:r w:rsidR="00650020">
              <w:t xml:space="preserve">of </w:t>
            </w:r>
            <w:r w:rsidR="00047DBC" w:rsidRPr="00E032B8">
              <w:t xml:space="preserve">whether </w:t>
            </w:r>
            <w:r w:rsidR="00C81593" w:rsidRPr="00E032B8">
              <w:t xml:space="preserve">the </w:t>
            </w:r>
            <w:r w:rsidR="00047DBC" w:rsidRPr="00E032B8">
              <w:t xml:space="preserve">New Zealand </w:t>
            </w:r>
            <w:r w:rsidR="00C81593" w:rsidRPr="00E032B8">
              <w:t xml:space="preserve">Government </w:t>
            </w:r>
            <w:r w:rsidR="00047DBC" w:rsidRPr="00E032B8">
              <w:t xml:space="preserve">should </w:t>
            </w:r>
            <w:r w:rsidR="002F76BF" w:rsidRPr="00E032B8">
              <w:t>directly support (financially or otherwise) the creation of a war memorial museum in France</w:t>
            </w:r>
            <w:r w:rsidR="00047DBC" w:rsidRPr="00E032B8">
              <w:t xml:space="preserve">.  </w:t>
            </w:r>
          </w:p>
        </w:tc>
      </w:tr>
    </w:tbl>
    <w:p w:rsidR="005E69DC" w:rsidRDefault="005E69DC" w:rsidP="005E69DC">
      <w:pPr>
        <w:pStyle w:val="spacer"/>
        <w:rPr>
          <w:lang w:val="en-NZ"/>
        </w:rPr>
      </w:pPr>
    </w:p>
    <w:p w:rsidR="00E92509" w:rsidRDefault="00BE62EB" w:rsidP="00293FDC">
      <w:pPr>
        <w:pStyle w:val="Heading2"/>
      </w:pPr>
      <w:r w:rsidRPr="002D5734">
        <w:t xml:space="preserve">Section </w:t>
      </w:r>
      <w:r w:rsidR="00051A88">
        <w:t>3</w:t>
      </w:r>
      <w:r w:rsidRPr="002D5734">
        <w:t xml:space="preserve">:  </w:t>
      </w:r>
      <w:r w:rsidR="00304CE4" w:rsidRPr="002D5734">
        <w:t xml:space="preserve">Options </w:t>
      </w:r>
      <w:r w:rsidR="00BE4A62" w:rsidRPr="002D5734">
        <w:t>identific</w:t>
      </w:r>
      <w:r w:rsidR="00304CE4" w:rsidRPr="002D5734">
        <w: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51A88" w:rsidRPr="0069218C" w:rsidTr="00800DEC">
        <w:trPr>
          <w:trHeight w:val="77"/>
        </w:trPr>
        <w:tc>
          <w:tcPr>
            <w:tcW w:w="5000" w:type="pct"/>
            <w:shd w:val="clear" w:color="auto" w:fill="99CDDD"/>
          </w:tcPr>
          <w:p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AA6B0E" w:rsidRPr="0069218C" w:rsidTr="003673D7">
        <w:trPr>
          <w:trHeight w:val="2301"/>
        </w:trPr>
        <w:tc>
          <w:tcPr>
            <w:tcW w:w="5000" w:type="pct"/>
            <w:shd w:val="clear" w:color="auto" w:fill="auto"/>
          </w:tcPr>
          <w:p w:rsidR="00AA6B0E" w:rsidRPr="00E032B8" w:rsidRDefault="00AA6B0E" w:rsidP="00805BC9">
            <w:pPr>
              <w:spacing w:before="120" w:after="120" w:line="276" w:lineRule="auto"/>
              <w:rPr>
                <w:lang w:eastAsia="en-AU"/>
              </w:rPr>
            </w:pPr>
            <w:r w:rsidRPr="00E032B8">
              <w:rPr>
                <w:lang w:eastAsia="en-AU"/>
              </w:rPr>
              <w:t>Acknowledging that the Trust is seeking overseas donee status to support its fundraising efforts, the following criteria have been applied to assess the options</w:t>
            </w:r>
            <w:r w:rsidR="0007033C">
              <w:rPr>
                <w:lang w:eastAsia="en-AU"/>
              </w:rPr>
              <w:t>:</w:t>
            </w:r>
            <w:r w:rsidRPr="00E032B8">
              <w:rPr>
                <w:lang w:eastAsia="en-AU"/>
              </w:rPr>
              <w:t xml:space="preserve">  </w:t>
            </w:r>
          </w:p>
          <w:p w:rsidR="00AA6B0E" w:rsidRPr="00E032B8" w:rsidRDefault="00AA6B0E" w:rsidP="00AA6B0E">
            <w:pPr>
              <w:pStyle w:val="Bullet-list"/>
            </w:pPr>
            <w:r w:rsidRPr="00E032B8">
              <w:rPr>
                <w:i/>
              </w:rPr>
              <w:t>Effectiveness</w:t>
            </w:r>
            <w:r w:rsidRPr="00E032B8">
              <w:t>:  Do</w:t>
            </w:r>
            <w:r w:rsidR="00525DC9" w:rsidRPr="00E032B8">
              <w:t>es</w:t>
            </w:r>
            <w:r w:rsidRPr="00E032B8">
              <w:t xml:space="preserve"> the option incentivise donations to the </w:t>
            </w:r>
            <w:r w:rsidR="00917DFA" w:rsidRPr="00E032B8">
              <w:t>T</w:t>
            </w:r>
            <w:r w:rsidRPr="00E032B8">
              <w:t>rust</w:t>
            </w:r>
            <w:r w:rsidR="003673D7">
              <w:t>?</w:t>
            </w:r>
            <w:r w:rsidRPr="00E032B8">
              <w:t xml:space="preserve">  </w:t>
            </w:r>
          </w:p>
          <w:p w:rsidR="00AA6B0E" w:rsidRPr="00E032B8" w:rsidRDefault="00AA6B0E" w:rsidP="00AA6B0E">
            <w:pPr>
              <w:pStyle w:val="Bullet-list"/>
            </w:pPr>
            <w:r w:rsidRPr="00E032B8">
              <w:rPr>
                <w:i/>
              </w:rPr>
              <w:t>Sustainability</w:t>
            </w:r>
            <w:r w:rsidRPr="00E032B8">
              <w:t>:  Do</w:t>
            </w:r>
            <w:r w:rsidR="00525DC9" w:rsidRPr="00E032B8">
              <w:t>es</w:t>
            </w:r>
            <w:r w:rsidRPr="00E032B8">
              <w:t xml:space="preserve"> the option maintain the integrity of the tax system and operate cohe</w:t>
            </w:r>
            <w:r w:rsidR="003673D7">
              <w:t>rently with the frameworks used?</w:t>
            </w:r>
          </w:p>
          <w:p w:rsidR="00AA6B0E" w:rsidRPr="00E032B8" w:rsidRDefault="00AA6B0E" w:rsidP="00AA6B0E">
            <w:pPr>
              <w:pStyle w:val="Bullet-list"/>
            </w:pPr>
            <w:r w:rsidRPr="00E032B8">
              <w:rPr>
                <w:i/>
              </w:rPr>
              <w:t>Fairness and equity</w:t>
            </w:r>
            <w:r w:rsidRPr="00E032B8">
              <w:t xml:space="preserve">:  </w:t>
            </w:r>
            <w:r w:rsidR="00525DC9" w:rsidRPr="00E032B8">
              <w:t>Is</w:t>
            </w:r>
            <w:r w:rsidRPr="00E032B8">
              <w:t xml:space="preserve"> the option consistent with previous decisions regarding</w:t>
            </w:r>
            <w:r w:rsidR="003673D7">
              <w:t xml:space="preserve"> granting overseas donee status?</w:t>
            </w:r>
          </w:p>
          <w:p w:rsidR="00AA6B0E" w:rsidRPr="00E032B8" w:rsidRDefault="00AA6B0E" w:rsidP="00AA6B0E">
            <w:pPr>
              <w:pStyle w:val="Bullet-list"/>
            </w:pPr>
            <w:r w:rsidRPr="00E032B8">
              <w:rPr>
                <w:i/>
              </w:rPr>
              <w:t>Tax administration</w:t>
            </w:r>
            <w:r w:rsidRPr="00E032B8">
              <w:t>:  Do</w:t>
            </w:r>
            <w:r w:rsidR="00525DC9" w:rsidRPr="00E032B8">
              <w:t>es</w:t>
            </w:r>
            <w:r w:rsidRPr="00E032B8">
              <w:t xml:space="preserve"> the option introduce complexity in tax administration</w:t>
            </w:r>
            <w:r w:rsidR="003673D7">
              <w:t>?</w:t>
            </w:r>
            <w:r w:rsidRPr="00E032B8">
              <w:t xml:space="preserve">   </w:t>
            </w:r>
          </w:p>
          <w:p w:rsidR="00AA6B0E" w:rsidRPr="00E032B8" w:rsidRDefault="00AA6B0E" w:rsidP="00AA6B0E">
            <w:pPr>
              <w:rPr>
                <w:lang w:eastAsia="en-AU"/>
              </w:rPr>
            </w:pPr>
            <w:r w:rsidRPr="00E032B8">
              <w:rPr>
                <w:lang w:eastAsia="en-AU"/>
              </w:rPr>
              <w:t xml:space="preserve">Tax compliance </w:t>
            </w:r>
            <w:r w:rsidR="00525DC9" w:rsidRPr="00E032B8">
              <w:rPr>
                <w:lang w:eastAsia="en-AU"/>
              </w:rPr>
              <w:t xml:space="preserve">implications have not been considered </w:t>
            </w:r>
            <w:r w:rsidRPr="00E032B8">
              <w:rPr>
                <w:lang w:eastAsia="en-AU"/>
              </w:rPr>
              <w:t xml:space="preserve">because there is little difference between the options in terms of impact on </w:t>
            </w:r>
            <w:r w:rsidR="008267E8" w:rsidRPr="00E032B8">
              <w:rPr>
                <w:lang w:eastAsia="en-AU"/>
              </w:rPr>
              <w:t>the Trust</w:t>
            </w:r>
            <w:r w:rsidRPr="00E032B8">
              <w:rPr>
                <w:lang w:eastAsia="en-AU"/>
              </w:rPr>
              <w:t xml:space="preserve">.  </w:t>
            </w:r>
          </w:p>
          <w:p w:rsidR="00AA6B0E" w:rsidRPr="00E032B8" w:rsidRDefault="00AA6B0E" w:rsidP="00AA6B0E">
            <w:pPr>
              <w:rPr>
                <w:lang w:eastAsia="en-AU"/>
              </w:rPr>
            </w:pPr>
            <w:r w:rsidRPr="00E032B8">
              <w:rPr>
                <w:lang w:eastAsia="en-AU"/>
              </w:rPr>
              <w:t>From the Trust’s perspective</w:t>
            </w:r>
            <w:r w:rsidR="0007033C">
              <w:rPr>
                <w:lang w:eastAsia="en-AU"/>
              </w:rPr>
              <w:t>,</w:t>
            </w:r>
            <w:r w:rsidRPr="00E032B8">
              <w:rPr>
                <w:lang w:eastAsia="en-AU"/>
              </w:rPr>
              <w:t xml:space="preserve"> the main </w:t>
            </w:r>
            <w:r w:rsidR="00004791" w:rsidRPr="00E032B8">
              <w:rPr>
                <w:lang w:eastAsia="en-AU"/>
              </w:rPr>
              <w:t>criterion</w:t>
            </w:r>
            <w:r w:rsidRPr="00E032B8">
              <w:rPr>
                <w:lang w:eastAsia="en-AU"/>
              </w:rPr>
              <w:t xml:space="preserve"> is effectiveness</w:t>
            </w:r>
            <w:r w:rsidR="003673D7">
              <w:rPr>
                <w:lang w:eastAsia="en-AU"/>
              </w:rPr>
              <w:t xml:space="preserve"> in terms of encouraging donations to the Trust</w:t>
            </w:r>
            <w:r w:rsidRPr="00E032B8">
              <w:rPr>
                <w:lang w:eastAsia="en-AU"/>
              </w:rPr>
              <w:t>.  From Inland Revenue</w:t>
            </w:r>
            <w:r w:rsidR="008267E8" w:rsidRPr="00E032B8">
              <w:rPr>
                <w:lang w:eastAsia="en-AU"/>
              </w:rPr>
              <w:t xml:space="preserve">’s </w:t>
            </w:r>
            <w:r w:rsidRPr="00E032B8">
              <w:rPr>
                <w:lang w:eastAsia="en-AU"/>
              </w:rPr>
              <w:t>perspective</w:t>
            </w:r>
            <w:r w:rsidR="0007033C">
              <w:rPr>
                <w:lang w:eastAsia="en-AU"/>
              </w:rPr>
              <w:t>,</w:t>
            </w:r>
            <w:r w:rsidRPr="00E032B8">
              <w:rPr>
                <w:lang w:eastAsia="en-AU"/>
              </w:rPr>
              <w:t xml:space="preserve"> the main criterion is sustainability</w:t>
            </w:r>
            <w:r w:rsidR="003673D7">
              <w:rPr>
                <w:lang w:eastAsia="en-AU"/>
              </w:rPr>
              <w:t>, that is, the option should be consistent with current tax frameworks</w:t>
            </w:r>
            <w:r w:rsidRPr="00E032B8">
              <w:rPr>
                <w:lang w:eastAsia="en-AU"/>
              </w:rPr>
              <w:t xml:space="preserve">.  </w:t>
            </w:r>
          </w:p>
          <w:p w:rsidR="00AA6B0E" w:rsidRPr="00E032B8" w:rsidRDefault="00AA6B0E" w:rsidP="00AA6B0E">
            <w:pPr>
              <w:rPr>
                <w:lang w:eastAsia="en-AU"/>
              </w:rPr>
            </w:pPr>
            <w:r w:rsidRPr="00E032B8">
              <w:rPr>
                <w:lang w:eastAsia="en-AU"/>
              </w:rPr>
              <w:t>As entitlement to tax benefits for monetary donations to charities with overseas purposes is prescribed by legislation, non-legislative responses, apart from the status quo, are not viable.</w:t>
            </w:r>
          </w:p>
          <w:p w:rsidR="00AA6B0E" w:rsidRPr="00E032B8" w:rsidRDefault="00AA6B0E" w:rsidP="00AA6B0E">
            <w:pPr>
              <w:rPr>
                <w:rFonts w:cs="Arial"/>
                <w:szCs w:val="22"/>
                <w:lang w:eastAsia="en-AU"/>
              </w:rPr>
            </w:pPr>
            <w:r w:rsidRPr="00E032B8">
              <w:rPr>
                <w:rFonts w:cs="Arial"/>
                <w:szCs w:val="22"/>
                <w:lang w:eastAsia="en-AU"/>
              </w:rPr>
              <w:t>Two options have been considered:</w:t>
            </w:r>
          </w:p>
          <w:p w:rsidR="00AA6B0E" w:rsidRPr="00E032B8" w:rsidRDefault="00AA6B0E" w:rsidP="00AA6B0E">
            <w:pPr>
              <w:pStyle w:val="Bullet-list"/>
            </w:pPr>
            <w:r w:rsidRPr="00E032B8">
              <w:lastRenderedPageBreak/>
              <w:t xml:space="preserve">the </w:t>
            </w:r>
            <w:r w:rsidR="00252ED9" w:rsidRPr="00E032B8">
              <w:t>Trust’s</w:t>
            </w:r>
            <w:r w:rsidRPr="00E032B8">
              <w:t xml:space="preserve"> request for overseas donee status is declined (status quo option); or</w:t>
            </w:r>
          </w:p>
          <w:p w:rsidR="00AA6B0E" w:rsidRPr="00E032B8" w:rsidRDefault="00252ED9" w:rsidP="00AA6B0E">
            <w:pPr>
              <w:pStyle w:val="Bullet-list"/>
            </w:pPr>
            <w:r w:rsidRPr="00E032B8">
              <w:t>t</w:t>
            </w:r>
            <w:r w:rsidR="00AA6B0E" w:rsidRPr="00E032B8">
              <w:t>he Trust</w:t>
            </w:r>
            <w:r w:rsidRPr="00E032B8">
              <w:t>’s</w:t>
            </w:r>
            <w:r w:rsidR="00AA6B0E" w:rsidRPr="00E032B8">
              <w:t xml:space="preserve"> request for overseas donee status is accepted (exception option)</w:t>
            </w:r>
          </w:p>
          <w:p w:rsidR="00AA6B0E" w:rsidRPr="00E032B8" w:rsidRDefault="00AA6B0E" w:rsidP="003C513F">
            <w:pPr>
              <w:pStyle w:val="Heading3"/>
              <w:rPr>
                <w:lang w:eastAsia="en-AU"/>
              </w:rPr>
            </w:pPr>
            <w:r w:rsidRPr="00E032B8">
              <w:rPr>
                <w:lang w:eastAsia="en-AU"/>
              </w:rPr>
              <w:t xml:space="preserve">Option one: </w:t>
            </w:r>
            <w:r w:rsidR="009C255F" w:rsidRPr="00E032B8">
              <w:rPr>
                <w:lang w:eastAsia="en-AU"/>
              </w:rPr>
              <w:t xml:space="preserve"> </w:t>
            </w:r>
            <w:r w:rsidRPr="00E032B8">
              <w:rPr>
                <w:lang w:eastAsia="en-AU"/>
              </w:rPr>
              <w:t>Decline the Trust’s request for overseas donee status</w:t>
            </w:r>
            <w:r w:rsidR="009F71E0" w:rsidRPr="00E032B8">
              <w:rPr>
                <w:lang w:eastAsia="en-AU"/>
              </w:rPr>
              <w:t xml:space="preserve"> (maintain the status quo)</w:t>
            </w:r>
          </w:p>
          <w:p w:rsidR="00592BE3" w:rsidRPr="00E032B8" w:rsidRDefault="009F71E0" w:rsidP="00592BE3">
            <w:pPr>
              <w:rPr>
                <w:lang w:eastAsia="en-AU"/>
              </w:rPr>
            </w:pPr>
            <w:r w:rsidRPr="00E032B8">
              <w:rPr>
                <w:lang w:eastAsia="en-AU"/>
              </w:rPr>
              <w:t xml:space="preserve">Under the </w:t>
            </w:r>
            <w:r w:rsidR="003C513F" w:rsidRPr="00E032B8">
              <w:rPr>
                <w:lang w:eastAsia="en-AU"/>
              </w:rPr>
              <w:t xml:space="preserve">status quo, monetary donations to the Trust would be ineligible for tax benefits.  </w:t>
            </w:r>
            <w:r w:rsidR="007F6CB5" w:rsidRPr="00E032B8">
              <w:rPr>
                <w:lang w:eastAsia="en-AU"/>
              </w:rPr>
              <w:t>This would affect the Trust’s ability to fundraise and</w:t>
            </w:r>
            <w:r w:rsidR="0007033C">
              <w:rPr>
                <w:lang w:eastAsia="en-AU"/>
              </w:rPr>
              <w:t>,</w:t>
            </w:r>
            <w:r w:rsidR="007F6CB5" w:rsidRPr="00E032B8">
              <w:rPr>
                <w:lang w:eastAsia="en-AU"/>
              </w:rPr>
              <w:t xml:space="preserve"> among other things affect the completion of the proposed Museum.  </w:t>
            </w:r>
            <w:r w:rsidR="004436F9" w:rsidRPr="00E032B8">
              <w:rPr>
                <w:lang w:eastAsia="en-AU"/>
              </w:rPr>
              <w:t xml:space="preserve">As such, </w:t>
            </w:r>
            <w:r w:rsidR="003673D7">
              <w:rPr>
                <w:lang w:eastAsia="en-AU"/>
              </w:rPr>
              <w:t>this option</w:t>
            </w:r>
            <w:r w:rsidR="004436F9" w:rsidRPr="00E032B8">
              <w:rPr>
                <w:lang w:eastAsia="en-AU"/>
              </w:rPr>
              <w:t xml:space="preserve"> does not meet</w:t>
            </w:r>
            <w:r w:rsidR="003673D7">
              <w:rPr>
                <w:lang w:eastAsia="en-AU"/>
              </w:rPr>
              <w:t xml:space="preserve"> the</w:t>
            </w:r>
            <w:r w:rsidR="004436F9" w:rsidRPr="00E032B8">
              <w:rPr>
                <w:lang w:eastAsia="en-AU"/>
              </w:rPr>
              <w:t xml:space="preserve"> effectiveness criterion.  </w:t>
            </w:r>
            <w:r w:rsidR="007F6CB5" w:rsidRPr="00E032B8">
              <w:rPr>
                <w:lang w:eastAsia="en-AU"/>
              </w:rPr>
              <w:t>It is noted that</w:t>
            </w:r>
            <w:r w:rsidR="0007033C">
              <w:rPr>
                <w:lang w:eastAsia="en-AU"/>
              </w:rPr>
              <w:t>,</w:t>
            </w:r>
            <w:r w:rsidR="007F6CB5" w:rsidRPr="00E032B8">
              <w:rPr>
                <w:lang w:eastAsia="en-AU"/>
              </w:rPr>
              <w:t xml:space="preserve"> irrespective of the Trust being granted overseas donee status</w:t>
            </w:r>
            <w:r w:rsidR="0007033C">
              <w:rPr>
                <w:lang w:eastAsia="en-AU"/>
              </w:rPr>
              <w:t>,</w:t>
            </w:r>
            <w:r w:rsidR="007F6CB5" w:rsidRPr="00E032B8">
              <w:rPr>
                <w:lang w:eastAsia="en-AU"/>
              </w:rPr>
              <w:t xml:space="preserve"> other environmental factors, such as the location of Le Quesnoy, and the absence of tourism infrastructure in the area, may</w:t>
            </w:r>
            <w:r w:rsidR="00592BE3" w:rsidRPr="00E032B8">
              <w:rPr>
                <w:lang w:eastAsia="en-AU"/>
              </w:rPr>
              <w:t xml:space="preserve"> have a more direct </w:t>
            </w:r>
            <w:r w:rsidR="00304420" w:rsidRPr="00E032B8">
              <w:rPr>
                <w:lang w:eastAsia="en-AU"/>
              </w:rPr>
              <w:t xml:space="preserve">impact </w:t>
            </w:r>
            <w:r w:rsidR="00004791" w:rsidRPr="00E032B8">
              <w:rPr>
                <w:lang w:eastAsia="en-AU"/>
              </w:rPr>
              <w:t>on the viability of the project promoted by the Trust</w:t>
            </w:r>
            <w:r w:rsidR="00304420" w:rsidRPr="00E032B8">
              <w:rPr>
                <w:lang w:eastAsia="en-AU"/>
              </w:rPr>
              <w:t>.</w:t>
            </w:r>
          </w:p>
          <w:p w:rsidR="006B3356" w:rsidRPr="00E032B8" w:rsidRDefault="00967500" w:rsidP="00592BE3">
            <w:pPr>
              <w:rPr>
                <w:lang w:eastAsia="en-AU"/>
              </w:rPr>
            </w:pPr>
            <w:r w:rsidRPr="00E032B8">
              <w:rPr>
                <w:lang w:eastAsia="en-AU"/>
              </w:rPr>
              <w:t xml:space="preserve">Declining the Trust’s request for overseas donee </w:t>
            </w:r>
            <w:r w:rsidR="0024427D" w:rsidRPr="00E032B8">
              <w:rPr>
                <w:lang w:eastAsia="en-AU"/>
              </w:rPr>
              <w:t xml:space="preserve">status </w:t>
            </w:r>
            <w:r w:rsidR="00477FAF" w:rsidRPr="00E032B8">
              <w:rPr>
                <w:lang w:eastAsia="en-AU"/>
              </w:rPr>
              <w:t>meets the</w:t>
            </w:r>
            <w:r w:rsidR="006B0131" w:rsidRPr="00E032B8">
              <w:rPr>
                <w:lang w:eastAsia="en-AU"/>
              </w:rPr>
              <w:t xml:space="preserve"> sustainability</w:t>
            </w:r>
            <w:r w:rsidR="00C65504" w:rsidRPr="00E032B8">
              <w:rPr>
                <w:lang w:eastAsia="en-AU"/>
              </w:rPr>
              <w:t xml:space="preserve"> </w:t>
            </w:r>
            <w:r w:rsidR="0024427D" w:rsidRPr="00E032B8">
              <w:rPr>
                <w:lang w:eastAsia="en-AU"/>
              </w:rPr>
              <w:t>and</w:t>
            </w:r>
            <w:r w:rsidR="00C65504" w:rsidRPr="00E032B8">
              <w:rPr>
                <w:lang w:eastAsia="en-AU"/>
              </w:rPr>
              <w:t xml:space="preserve"> fairness and equity</w:t>
            </w:r>
            <w:r w:rsidR="00477FAF" w:rsidRPr="00E032B8">
              <w:rPr>
                <w:lang w:eastAsia="en-AU"/>
              </w:rPr>
              <w:t xml:space="preserve"> criteria</w:t>
            </w:r>
            <w:r w:rsidR="0024427D" w:rsidRPr="00E032B8">
              <w:rPr>
                <w:lang w:eastAsia="en-AU"/>
              </w:rPr>
              <w:t xml:space="preserve"> </w:t>
            </w:r>
            <w:r w:rsidR="00FB0F21" w:rsidRPr="00E032B8">
              <w:rPr>
                <w:lang w:eastAsia="en-AU"/>
              </w:rPr>
              <w:t>because</w:t>
            </w:r>
            <w:r w:rsidR="006B3356" w:rsidRPr="00E032B8">
              <w:rPr>
                <w:lang w:eastAsia="en-AU"/>
              </w:rPr>
              <w:t>:</w:t>
            </w:r>
          </w:p>
          <w:p w:rsidR="006B3356" w:rsidRPr="00E032B8" w:rsidRDefault="00FB0F21" w:rsidP="006B3356">
            <w:pPr>
              <w:pStyle w:val="Bullet-list"/>
            </w:pPr>
            <w:r w:rsidRPr="00E032B8">
              <w:t xml:space="preserve">the Trust’s purposes are outside the scope of Cabinet’s approval </w:t>
            </w:r>
            <w:r w:rsidR="006B3356" w:rsidRPr="00E032B8">
              <w:t>criteria (CM 78/14/7 refers), and</w:t>
            </w:r>
          </w:p>
          <w:p w:rsidR="006B3356" w:rsidRPr="00E032B8" w:rsidRDefault="006B3356" w:rsidP="006B3356">
            <w:pPr>
              <w:pStyle w:val="Bullet-list"/>
            </w:pPr>
            <w:r w:rsidRPr="00E032B8">
              <w:t>declining the request would be consistent with earlier Cabinet decisions to decline overseas donee status for charities that do not meet the criteria in CM 78/14/7</w:t>
            </w:r>
            <w:r w:rsidR="00C65504" w:rsidRPr="00E032B8">
              <w:t>.</w:t>
            </w:r>
            <w:r w:rsidR="00305261" w:rsidRPr="00E032B8">
              <w:t xml:space="preserve">  </w:t>
            </w:r>
          </w:p>
          <w:p w:rsidR="00967500" w:rsidRPr="00E032B8" w:rsidRDefault="00E97070" w:rsidP="00592BE3">
            <w:pPr>
              <w:rPr>
                <w:rFonts w:cs="Arial"/>
                <w:szCs w:val="22"/>
              </w:rPr>
            </w:pPr>
            <w:r w:rsidRPr="00E032B8">
              <w:rPr>
                <w:lang w:eastAsia="en-AU"/>
              </w:rPr>
              <w:t xml:space="preserve">There are wider issues to do with whether New Zealand should have a war memorial museum in France to commemorate the military service of New Zealand during the First and Second World Wars, but this question is beyond the immediate scope of this </w:t>
            </w:r>
            <w:r w:rsidR="00F0662E" w:rsidRPr="00E032B8">
              <w:rPr>
                <w:lang w:eastAsia="en-AU"/>
              </w:rPr>
              <w:t>RIA</w:t>
            </w:r>
            <w:r w:rsidRPr="00E032B8">
              <w:rPr>
                <w:lang w:eastAsia="en-AU"/>
              </w:rPr>
              <w:t xml:space="preserve">.  </w:t>
            </w:r>
          </w:p>
          <w:p w:rsidR="00986299" w:rsidRPr="00E032B8" w:rsidRDefault="006E6D6B" w:rsidP="00592BE3">
            <w:r w:rsidRPr="00E032B8">
              <w:rPr>
                <w:lang w:eastAsia="en-AU"/>
              </w:rPr>
              <w:t xml:space="preserve">Declining the Trust’s request for overseas donee status </w:t>
            </w:r>
            <w:r w:rsidR="003963CE" w:rsidRPr="00E032B8">
              <w:rPr>
                <w:lang w:eastAsia="en-AU"/>
              </w:rPr>
              <w:t xml:space="preserve">does not impact on Inland Revenue’s administration of the tax system and confirms existing </w:t>
            </w:r>
            <w:r w:rsidR="0025489A" w:rsidRPr="00E032B8">
              <w:rPr>
                <w:lang w:eastAsia="en-AU"/>
              </w:rPr>
              <w:t xml:space="preserve">policy frameworks and practices. </w:t>
            </w:r>
          </w:p>
          <w:p w:rsidR="00AA6B0E" w:rsidRPr="00E032B8" w:rsidRDefault="00011699" w:rsidP="00592BE3">
            <w:pPr>
              <w:rPr>
                <w:lang w:eastAsia="en-AU"/>
              </w:rPr>
            </w:pPr>
            <w:r w:rsidRPr="00E032B8">
              <w:rPr>
                <w:lang w:eastAsia="en-AU"/>
              </w:rPr>
              <w:t xml:space="preserve">Feedback from </w:t>
            </w:r>
            <w:r w:rsidR="0007033C">
              <w:rPr>
                <w:lang w:eastAsia="en-AU"/>
              </w:rPr>
              <w:t>g</w:t>
            </w:r>
            <w:r w:rsidR="00507F11" w:rsidRPr="00E032B8">
              <w:rPr>
                <w:lang w:eastAsia="en-AU"/>
              </w:rPr>
              <w:t xml:space="preserve">overnment agencies who were consulted as part of Inland Revenue’s analysis of the Trust </w:t>
            </w:r>
            <w:r w:rsidR="0007033C">
              <w:rPr>
                <w:lang w:eastAsia="en-AU"/>
              </w:rPr>
              <w:t>supported its</w:t>
            </w:r>
            <w:r w:rsidRPr="00E032B8">
              <w:rPr>
                <w:lang w:eastAsia="en-AU"/>
              </w:rPr>
              <w:t xml:space="preserve"> request for overseas donee status being declined.  </w:t>
            </w:r>
          </w:p>
          <w:p w:rsidR="009C255F" w:rsidRPr="00E032B8" w:rsidRDefault="009C255F" w:rsidP="009C255F">
            <w:pPr>
              <w:pStyle w:val="Heading3"/>
              <w:rPr>
                <w:lang w:eastAsia="en-AU"/>
              </w:rPr>
            </w:pPr>
            <w:r w:rsidRPr="00E032B8">
              <w:rPr>
                <w:lang w:eastAsia="en-AU"/>
              </w:rPr>
              <w:t>Option two:  Grant the Trust’s request for overseas donee status</w:t>
            </w:r>
          </w:p>
          <w:p w:rsidR="005D5A94" w:rsidRPr="00E032B8" w:rsidRDefault="0012644B" w:rsidP="00072031">
            <w:pPr>
              <w:rPr>
                <w:rFonts w:cs="Arial"/>
                <w:szCs w:val="22"/>
              </w:rPr>
            </w:pPr>
            <w:r w:rsidRPr="00E032B8">
              <w:rPr>
                <w:lang w:eastAsia="en-AU"/>
              </w:rPr>
              <w:t>Under option two</w:t>
            </w:r>
            <w:r w:rsidR="00F0662E" w:rsidRPr="00E032B8">
              <w:rPr>
                <w:lang w:eastAsia="en-AU"/>
              </w:rPr>
              <w:t>,</w:t>
            </w:r>
            <w:r w:rsidRPr="00E032B8">
              <w:rPr>
                <w:lang w:eastAsia="en-AU"/>
              </w:rPr>
              <w:t xml:space="preserve"> monetary donations to the Trust would be eligible for tax benefits. </w:t>
            </w:r>
            <w:r w:rsidR="005D5A94" w:rsidRPr="00E032B8">
              <w:rPr>
                <w:lang w:eastAsia="en-AU"/>
              </w:rPr>
              <w:t xml:space="preserve"> </w:t>
            </w:r>
            <w:r w:rsidR="00F0662E" w:rsidRPr="00E032B8">
              <w:rPr>
                <w:lang w:eastAsia="en-AU"/>
              </w:rPr>
              <w:t xml:space="preserve">This meets the effectiveness criterion.  </w:t>
            </w:r>
            <w:r w:rsidR="00796B2E" w:rsidRPr="00E032B8">
              <w:rPr>
                <w:lang w:eastAsia="en-AU"/>
              </w:rPr>
              <w:t>Ultimately, however, the benefit accruing to the Trust depend</w:t>
            </w:r>
            <w:r w:rsidR="0039026F">
              <w:rPr>
                <w:lang w:eastAsia="en-AU"/>
              </w:rPr>
              <w:t>s</w:t>
            </w:r>
            <w:r w:rsidR="00796B2E" w:rsidRPr="00E032B8">
              <w:rPr>
                <w:lang w:eastAsia="en-AU"/>
              </w:rPr>
              <w:t xml:space="preserve"> on its fundraising efforts, as this option only provides indirect </w:t>
            </w:r>
            <w:r w:rsidR="003669F8" w:rsidRPr="00E032B8">
              <w:rPr>
                <w:lang w:eastAsia="en-AU"/>
              </w:rPr>
              <w:t>Government</w:t>
            </w:r>
            <w:r w:rsidR="00796B2E" w:rsidRPr="00E032B8">
              <w:rPr>
                <w:lang w:eastAsia="en-AU"/>
              </w:rPr>
              <w:t xml:space="preserve"> support to the Trust’s project </w:t>
            </w:r>
            <w:r w:rsidR="00922536" w:rsidRPr="00E032B8">
              <w:rPr>
                <w:lang w:eastAsia="en-AU"/>
              </w:rPr>
              <w:t xml:space="preserve">on a successful efforts basis.  </w:t>
            </w:r>
            <w:r w:rsidR="00072031" w:rsidRPr="00E032B8">
              <w:rPr>
                <w:rFonts w:cs="Arial"/>
                <w:szCs w:val="22"/>
              </w:rPr>
              <w:t>The trustees report that about $6 million of donations would be mad</w:t>
            </w:r>
            <w:r w:rsidR="00491896">
              <w:rPr>
                <w:rFonts w:cs="Arial"/>
                <w:szCs w:val="22"/>
              </w:rPr>
              <w:t>e in the current tax year (2018–</w:t>
            </w:r>
            <w:r w:rsidR="00072031" w:rsidRPr="00E032B8">
              <w:rPr>
                <w:rFonts w:cs="Arial"/>
                <w:szCs w:val="22"/>
              </w:rPr>
              <w:t>19) if the Trust received overseas donee status.  The trustees estimate that $15 million is needed to complete the complex to a point where it can open to the public.</w:t>
            </w:r>
          </w:p>
          <w:p w:rsidR="003C69DB" w:rsidRPr="00E032B8" w:rsidRDefault="004436F9" w:rsidP="005D5A94">
            <w:pPr>
              <w:rPr>
                <w:lang w:eastAsia="en-AU"/>
              </w:rPr>
            </w:pPr>
            <w:r w:rsidRPr="00E032B8">
              <w:rPr>
                <w:lang w:eastAsia="en-AU"/>
              </w:rPr>
              <w:t>Option two does not meet the other</w:t>
            </w:r>
            <w:r w:rsidR="00026596" w:rsidRPr="00E032B8">
              <w:rPr>
                <w:lang w:eastAsia="en-AU"/>
              </w:rPr>
              <w:t xml:space="preserve"> criteria</w:t>
            </w:r>
            <w:r w:rsidR="004A0227">
              <w:rPr>
                <w:lang w:eastAsia="en-AU"/>
              </w:rPr>
              <w:t xml:space="preserve"> because</w:t>
            </w:r>
            <w:r w:rsidR="00026596" w:rsidRPr="00E032B8">
              <w:rPr>
                <w:lang w:eastAsia="en-AU"/>
              </w:rPr>
              <w:t>:</w:t>
            </w:r>
          </w:p>
          <w:p w:rsidR="00E63D26" w:rsidRPr="00E032B8" w:rsidRDefault="00E63D26" w:rsidP="00304420">
            <w:pPr>
              <w:pStyle w:val="Bullet-list"/>
              <w:rPr>
                <w:lang w:eastAsia="en-AU"/>
              </w:rPr>
            </w:pPr>
            <w:r w:rsidRPr="00E032B8">
              <w:rPr>
                <w:lang w:eastAsia="en-AU"/>
              </w:rPr>
              <w:t xml:space="preserve">From a sustainability process </w:t>
            </w:r>
            <w:r w:rsidRPr="00E032B8">
              <w:t>granting the Trust overseas donee status would create a precedent.  It could raise expectations that Cabinet will look favourably on future requests from charities whose purposes are not directed at overseas development.</w:t>
            </w:r>
          </w:p>
          <w:p w:rsidR="00B825D8" w:rsidRPr="00E032B8" w:rsidRDefault="00B825D8" w:rsidP="00304420">
            <w:pPr>
              <w:pStyle w:val="Bullet-list"/>
            </w:pPr>
            <w:r w:rsidRPr="00E032B8">
              <w:t xml:space="preserve">From a fairness and equity perspective, granting the Trust overseas </w:t>
            </w:r>
            <w:r w:rsidR="00DB3BDC" w:rsidRPr="00E032B8">
              <w:t xml:space="preserve">donee status would be inconsistent with previous </w:t>
            </w:r>
            <w:r w:rsidR="004A3E08" w:rsidRPr="00E032B8">
              <w:t xml:space="preserve">historical </w:t>
            </w:r>
            <w:r w:rsidRPr="00E032B8">
              <w:t xml:space="preserve">Cabinet </w:t>
            </w:r>
            <w:r w:rsidR="00DB3BDC" w:rsidRPr="00E032B8">
              <w:t>decisions</w:t>
            </w:r>
            <w:r w:rsidRPr="00E032B8">
              <w:t xml:space="preserve"> </w:t>
            </w:r>
            <w:r w:rsidR="00DB3BDC" w:rsidRPr="00E032B8">
              <w:t xml:space="preserve">that have </w:t>
            </w:r>
            <w:r w:rsidRPr="00E032B8">
              <w:t>declin</w:t>
            </w:r>
            <w:r w:rsidR="00DB3BDC" w:rsidRPr="00E032B8">
              <w:t>ed</w:t>
            </w:r>
            <w:r w:rsidRPr="00E032B8">
              <w:t xml:space="preserve"> charities with</w:t>
            </w:r>
            <w:r w:rsidR="00917DFA" w:rsidRPr="00E032B8">
              <w:t>, for example,</w:t>
            </w:r>
            <w:r w:rsidRPr="00E032B8">
              <w:t xml:space="preserve"> religious purposes, plant conservation purposes, animal welfare purposes, and animal conservation purposes.  </w:t>
            </w:r>
          </w:p>
          <w:p w:rsidR="009C255F" w:rsidRPr="00E032B8" w:rsidRDefault="00B825D8" w:rsidP="00586DC9">
            <w:pPr>
              <w:pStyle w:val="Bullet-list"/>
              <w:rPr>
                <w:lang w:eastAsia="en-AU"/>
              </w:rPr>
            </w:pPr>
            <w:r w:rsidRPr="00E032B8">
              <w:lastRenderedPageBreak/>
              <w:t>From a tax administration perspective</w:t>
            </w:r>
            <w:r w:rsidR="00491896">
              <w:t>,</w:t>
            </w:r>
            <w:r w:rsidRPr="00E032B8">
              <w:t xml:space="preserve"> granting the Trust overseas donee status may introduce uncertainty about the decision-making process for granting overseas donee status.  This could affect the cohesiveness of the approval process and make </w:t>
            </w:r>
            <w:r w:rsidR="00491896">
              <w:t xml:space="preserve">it more difficult to </w:t>
            </w:r>
            <w:r w:rsidRPr="00E032B8">
              <w:t>manag</w:t>
            </w:r>
            <w:r w:rsidR="00491896">
              <w:t>e</w:t>
            </w:r>
            <w:r w:rsidRPr="00E032B8">
              <w:t xml:space="preserve"> charities’ expectations about being granted overseas donee status.</w:t>
            </w:r>
            <w:r w:rsidR="00F0662E" w:rsidRPr="00E032B8">
              <w:t xml:space="preserve">  </w:t>
            </w:r>
            <w:r w:rsidR="000C0F89" w:rsidRPr="00E032B8">
              <w:t xml:space="preserve">Tax policy concerns aside, granting the Trust overseas donee status does not create any implementation concerns, provided that legislation implementing the approval is enacted before 31 March 2019.  There are no implications for Inland Revenue’s Business Transformation Programme.  </w:t>
            </w:r>
          </w:p>
        </w:tc>
      </w:tr>
      <w:tr w:rsidR="002D5734" w:rsidRPr="0069218C" w:rsidTr="00FC404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84"/>
        </w:trPr>
        <w:tc>
          <w:tcPr>
            <w:tcW w:w="5000" w:type="pct"/>
            <w:tcBorders>
              <w:top w:val="single" w:sz="4" w:space="0" w:color="auto"/>
              <w:left w:val="single" w:sz="4" w:space="0" w:color="auto"/>
              <w:bottom w:val="single" w:sz="4" w:space="0" w:color="auto"/>
              <w:right w:val="single" w:sz="4" w:space="0" w:color="auto"/>
            </w:tcBorders>
            <w:shd w:val="clear" w:color="auto" w:fill="99CDDD"/>
          </w:tcPr>
          <w:p w:rsidR="00E92509" w:rsidRPr="00886DFF" w:rsidRDefault="00B23E8A" w:rsidP="00EC6FAD">
            <w:pPr>
              <w:pStyle w:val="TableHeadings"/>
              <w:rPr>
                <w:szCs w:val="22"/>
                <w:lang w:val="en-NZ"/>
              </w:rPr>
            </w:pPr>
            <w:r w:rsidRPr="00886DFF">
              <w:rPr>
                <w:szCs w:val="22"/>
                <w:lang w:val="en-NZ"/>
              </w:rPr>
              <w:lastRenderedPageBreak/>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rsidTr="00FC4045">
        <w:tblPrEx>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Ex>
        <w:trPr>
          <w:trHeight w:val="672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638F5" w:rsidRPr="00E032B8" w:rsidRDefault="009F0757" w:rsidP="00805BC9">
            <w:pPr>
              <w:spacing w:before="120" w:after="120" w:line="276" w:lineRule="auto"/>
            </w:pPr>
            <w:r w:rsidRPr="00E032B8">
              <w:t>Inland Revenue</w:t>
            </w:r>
            <w:r w:rsidR="000C0F89" w:rsidRPr="00E032B8">
              <w:t xml:space="preserve">’s preferred option is that </w:t>
            </w:r>
            <w:r w:rsidR="00CF2930" w:rsidRPr="00E032B8">
              <w:t xml:space="preserve">the Trust’s </w:t>
            </w:r>
            <w:r w:rsidR="007638F5" w:rsidRPr="00E032B8">
              <w:t xml:space="preserve">request </w:t>
            </w:r>
            <w:r w:rsidR="00586DC9">
              <w:t>is</w:t>
            </w:r>
            <w:r w:rsidR="007638F5" w:rsidRPr="00E032B8">
              <w:t xml:space="preserve"> declined for the following</w:t>
            </w:r>
            <w:r w:rsidR="000C0F89" w:rsidRPr="00E032B8">
              <w:t xml:space="preserve"> reasons</w:t>
            </w:r>
            <w:r w:rsidR="007638F5" w:rsidRPr="00E032B8">
              <w:t>:</w:t>
            </w:r>
          </w:p>
          <w:p w:rsidR="007638F5" w:rsidRPr="00E032B8" w:rsidRDefault="007638F5" w:rsidP="007638F5">
            <w:pPr>
              <w:pStyle w:val="Heading3"/>
            </w:pPr>
            <w:r w:rsidRPr="00E032B8">
              <w:t>Concerns over visitor assumptions and financial viability</w:t>
            </w:r>
          </w:p>
          <w:p w:rsidR="00657317" w:rsidRDefault="00C62259" w:rsidP="00C62259">
            <w:r w:rsidRPr="00E032B8">
              <w:t xml:space="preserve">The information and assumptions supporting the project suggest that the viability of the project, in the absence of an additional direct long-term financial commitment from the </w:t>
            </w:r>
            <w:r w:rsidR="003669F8" w:rsidRPr="00E032B8">
              <w:t>Government</w:t>
            </w:r>
            <w:r w:rsidRPr="00E032B8">
              <w:t>, is doubtful</w:t>
            </w:r>
            <w:r w:rsidR="00657317">
              <w:t>, if</w:t>
            </w:r>
          </w:p>
          <w:p w:rsidR="00657317" w:rsidRDefault="007E6522" w:rsidP="007E6522">
            <w:pPr>
              <w:pStyle w:val="Bullet-list"/>
            </w:pPr>
            <w:r>
              <w:t>f</w:t>
            </w:r>
            <w:r w:rsidR="00657317">
              <w:t>orecasting donor support does not materialise,</w:t>
            </w:r>
          </w:p>
          <w:p w:rsidR="00657317" w:rsidRDefault="007E6522" w:rsidP="007E6522">
            <w:pPr>
              <w:pStyle w:val="Bullet-list"/>
            </w:pPr>
            <w:r>
              <w:t>e</w:t>
            </w:r>
            <w:r w:rsidR="00657317">
              <w:t>xpected visitor numbers to the Museum and the number of those who stay at the accommodation complex are not realised</w:t>
            </w:r>
            <w:r>
              <w:t>.</w:t>
            </w:r>
          </w:p>
          <w:p w:rsidR="007638F5" w:rsidRPr="00E032B8" w:rsidRDefault="00C62259" w:rsidP="00C62259">
            <w:r w:rsidRPr="00E032B8">
              <w:t xml:space="preserve">The business case notes that the Museum will be a loss-making exercise and relies on projected revenue from the accommodation complex to produce a surplus.  </w:t>
            </w:r>
          </w:p>
          <w:p w:rsidR="00091F8A" w:rsidRPr="00E032B8" w:rsidRDefault="00091F8A" w:rsidP="00091F8A">
            <w:r w:rsidRPr="00E032B8">
              <w:t xml:space="preserve">Le Quesnoy is in Northern France (12 km from the Belgium boarder) and the current population is approximately 5,000.  There are fairly limited local amenities (shopping, accommodation and entertainment) in Le Quesnoy.  </w:t>
            </w:r>
            <w:r w:rsidR="00D92418" w:rsidRPr="00E032B8">
              <w:t xml:space="preserve">Research to develop </w:t>
            </w:r>
            <w:proofErr w:type="spellStart"/>
            <w:r w:rsidR="00D92418" w:rsidRPr="00E032B8">
              <w:t>Ngā</w:t>
            </w:r>
            <w:proofErr w:type="spellEnd"/>
            <w:r w:rsidR="00D92418" w:rsidRPr="00E032B8">
              <w:t xml:space="preserve"> </w:t>
            </w:r>
            <w:proofErr w:type="spellStart"/>
            <w:r w:rsidR="00D92418" w:rsidRPr="00E032B8">
              <w:t>Tapuwae</w:t>
            </w:r>
            <w:proofErr w:type="spellEnd"/>
            <w:r w:rsidR="00775CEF" w:rsidRPr="00E032B8">
              <w:t xml:space="preserve"> </w:t>
            </w:r>
            <w:r w:rsidR="00D13459" w:rsidRPr="00E032B8">
              <w:t>(</w:t>
            </w:r>
            <w:r w:rsidR="00D92418" w:rsidRPr="00E032B8">
              <w:t>a</w:t>
            </w:r>
            <w:r w:rsidR="0064472A" w:rsidRPr="00E032B8">
              <w:t xml:space="preserve"> Government</w:t>
            </w:r>
            <w:r w:rsidR="00D92418" w:rsidRPr="00E032B8">
              <w:t xml:space="preserve"> WW100 initiative</w:t>
            </w:r>
            <w:r w:rsidR="00C92522">
              <w:t>,</w:t>
            </w:r>
            <w:r w:rsidR="00D92418" w:rsidRPr="00E032B8">
              <w:t xml:space="preserve"> which developed a trail of key First World War sites relating to New Zealand, which includes Le Quesnoy</w:t>
            </w:r>
            <w:r w:rsidR="00D13459" w:rsidRPr="00E032B8">
              <w:t>)</w:t>
            </w:r>
            <w:r w:rsidR="00D92418" w:rsidRPr="00E032B8">
              <w:t xml:space="preserve"> noted that ma</w:t>
            </w:r>
            <w:r w:rsidR="00D13459" w:rsidRPr="00E032B8">
              <w:t>n</w:t>
            </w:r>
            <w:r w:rsidR="00D92418" w:rsidRPr="00E032B8">
              <w:t>y New Zealanders who visit the battlefields in F</w:t>
            </w:r>
            <w:r w:rsidR="00C92522">
              <w:t>rance use Arras, which has well-</w:t>
            </w:r>
            <w:r w:rsidR="00D92418" w:rsidRPr="00E032B8">
              <w:t>developed tourist infrastructure, as a base to visit Le Quesnoy.</w:t>
            </w:r>
          </w:p>
          <w:p w:rsidR="004D1B86" w:rsidRPr="00E032B8" w:rsidRDefault="004D1B86" w:rsidP="004D1B86">
            <w:r w:rsidRPr="00E032B8">
              <w:t>Revenue assumptions regarding visitors to the Museum and visitor occupation (30,000 per annum, from an unofficial estimated annual day-tripper visitor base of 100,000)</w:t>
            </w:r>
            <w:r w:rsidRPr="00E032B8">
              <w:rPr>
                <w:rStyle w:val="FootnoteReference"/>
                <w:rFonts w:cs="Arial"/>
                <w:sz w:val="22"/>
                <w:szCs w:val="22"/>
                <w:vertAlign w:val="superscript"/>
              </w:rPr>
              <w:footnoteReference w:id="4"/>
            </w:r>
            <w:r w:rsidRPr="00E032B8">
              <w:t xml:space="preserve"> appear high</w:t>
            </w:r>
            <w:r w:rsidR="00C92522">
              <w:t>,</w:t>
            </w:r>
            <w:r w:rsidRPr="00E032B8">
              <w:t xml:space="preserve"> relative to official visitor numbers in the region and to more well-known and established memorials.  For example, in 2017</w:t>
            </w:r>
            <w:r w:rsidR="00C92522">
              <w:t>,</w:t>
            </w:r>
            <w:r w:rsidRPr="00E032B8">
              <w:t xml:space="preserve"> the Tourism Office in Le Quesnoy had 5,205 in-person visitor centre enquiries and 10,000 visitors in its Leisure park, while official statistics record:</w:t>
            </w:r>
            <w:r w:rsidRPr="00E032B8">
              <w:rPr>
                <w:rStyle w:val="FootnoteReference"/>
                <w:rFonts w:cs="Arial"/>
                <w:sz w:val="22"/>
                <w:szCs w:val="22"/>
                <w:vertAlign w:val="superscript"/>
              </w:rPr>
              <w:footnoteReference w:id="5"/>
            </w:r>
            <w:r w:rsidRPr="00E032B8">
              <w:rPr>
                <w:vertAlign w:val="superscript"/>
              </w:rPr>
              <w:t xml:space="preserve"> </w:t>
            </w:r>
            <w:r w:rsidRPr="00E032B8">
              <w:t xml:space="preserve"> </w:t>
            </w:r>
          </w:p>
          <w:p w:rsidR="004D1B86" w:rsidRPr="00E032B8" w:rsidRDefault="004D1B86" w:rsidP="005F27E0">
            <w:pPr>
              <w:pStyle w:val="Bullet-list"/>
            </w:pPr>
            <w:proofErr w:type="spellStart"/>
            <w:r w:rsidRPr="00E032B8">
              <w:t>Mémorial</w:t>
            </w:r>
            <w:proofErr w:type="spellEnd"/>
            <w:r w:rsidRPr="00E032B8">
              <w:t xml:space="preserve"> </w:t>
            </w:r>
            <w:proofErr w:type="spellStart"/>
            <w:r w:rsidRPr="00E032B8">
              <w:t>Canadien</w:t>
            </w:r>
            <w:proofErr w:type="spellEnd"/>
            <w:r w:rsidRPr="00E032B8">
              <w:t xml:space="preserve">, </w:t>
            </w:r>
            <w:proofErr w:type="spellStart"/>
            <w:r w:rsidRPr="00E032B8">
              <w:t>Vimy</w:t>
            </w:r>
            <w:proofErr w:type="spellEnd"/>
            <w:r w:rsidR="003673D7">
              <w:rPr>
                <w:rStyle w:val="FootnoteReference"/>
              </w:rPr>
              <w:footnoteReference w:id="6"/>
            </w:r>
            <w:r w:rsidR="00B662DD">
              <w:t xml:space="preserve"> (</w:t>
            </w:r>
            <w:r w:rsidR="00B662DD" w:rsidRPr="00E032B8">
              <w:t>opened 2005</w:t>
            </w:r>
            <w:r w:rsidR="00B662DD">
              <w:t>)</w:t>
            </w:r>
            <w:r w:rsidRPr="00E032B8">
              <w:t>;  121,000+ visits</w:t>
            </w:r>
            <w:r w:rsidR="003673D7">
              <w:t>,</w:t>
            </w:r>
            <w:r w:rsidR="00091F8A" w:rsidRPr="00E032B8">
              <w:t xml:space="preserve">  </w:t>
            </w:r>
          </w:p>
          <w:p w:rsidR="004D1B86" w:rsidRPr="00E032B8" w:rsidRDefault="004D1B86" w:rsidP="005F27E0">
            <w:pPr>
              <w:pStyle w:val="Bullet-list"/>
            </w:pPr>
            <w:r w:rsidRPr="00E032B8">
              <w:t xml:space="preserve">La </w:t>
            </w:r>
            <w:proofErr w:type="spellStart"/>
            <w:r w:rsidRPr="00E032B8">
              <w:t>Carrière</w:t>
            </w:r>
            <w:proofErr w:type="spellEnd"/>
            <w:r w:rsidRPr="00E032B8">
              <w:t xml:space="preserve"> Wellington, Arras</w:t>
            </w:r>
            <w:r w:rsidR="00B662DD">
              <w:t xml:space="preserve"> (</w:t>
            </w:r>
            <w:r w:rsidR="00B662DD" w:rsidRPr="00E032B8">
              <w:t>opened in 2008</w:t>
            </w:r>
            <w:r w:rsidR="00B662DD">
              <w:t>)</w:t>
            </w:r>
            <w:r w:rsidRPr="00E032B8">
              <w:t>;</w:t>
            </w:r>
            <w:r w:rsidRPr="00E032B8">
              <w:rPr>
                <w:rStyle w:val="FootnoteReference"/>
                <w:rFonts w:cs="Arial"/>
                <w:sz w:val="22"/>
                <w:szCs w:val="22"/>
                <w:vertAlign w:val="superscript"/>
              </w:rPr>
              <w:footnoteReference w:id="7"/>
            </w:r>
            <w:r w:rsidRPr="00E032B8">
              <w:t xml:space="preserve">  65,000+ visits, and </w:t>
            </w:r>
          </w:p>
          <w:p w:rsidR="004D1B86" w:rsidRDefault="004D1B86" w:rsidP="005F27E0">
            <w:pPr>
              <w:pStyle w:val="Bullet-list"/>
            </w:pPr>
            <w:r w:rsidRPr="00E032B8">
              <w:lastRenderedPageBreak/>
              <w:t>Australian Memorial at Fromelles</w:t>
            </w:r>
            <w:r w:rsidR="00B662DD">
              <w:t xml:space="preserve"> (</w:t>
            </w:r>
            <w:r w:rsidR="00B662DD" w:rsidRPr="00E032B8">
              <w:t>opened in 1998</w:t>
            </w:r>
            <w:proofErr w:type="gramStart"/>
            <w:r w:rsidR="00B662DD">
              <w:t>)</w:t>
            </w:r>
            <w:r w:rsidRPr="00E032B8">
              <w:t>;</w:t>
            </w:r>
            <w:r w:rsidR="006B19B3">
              <w:t xml:space="preserve"> </w:t>
            </w:r>
            <w:r w:rsidRPr="00E032B8">
              <w:t xml:space="preserve"> 32,000</w:t>
            </w:r>
            <w:proofErr w:type="gramEnd"/>
            <w:r w:rsidRPr="00E032B8">
              <w:t xml:space="preserve"> visits.</w:t>
            </w:r>
          </w:p>
          <w:p w:rsidR="002962D0" w:rsidRDefault="00CB21D5" w:rsidP="00121A5F">
            <w:r>
              <w:t>The Trust is proposing to charge €6 (euros) entry</w:t>
            </w:r>
            <w:r w:rsidR="00057DBE">
              <w:t xml:space="preserve"> to the Museum</w:t>
            </w:r>
            <w:r>
              <w:t>.</w:t>
            </w:r>
            <w:r w:rsidR="00D944BF">
              <w:t xml:space="preserve"> </w:t>
            </w:r>
            <w:r>
              <w:t xml:space="preserve"> </w:t>
            </w:r>
            <w:r w:rsidR="00121A5F">
              <w:t>C</w:t>
            </w:r>
            <w:r>
              <w:t>omparable memorials</w:t>
            </w:r>
            <w:r w:rsidR="00AA7BB4">
              <w:t xml:space="preserve"> are free – </w:t>
            </w:r>
            <w:r w:rsidR="00CA1453">
              <w:t xml:space="preserve">such as </w:t>
            </w:r>
            <w:r w:rsidR="00AA7BB4">
              <w:t xml:space="preserve">the Canadian National </w:t>
            </w:r>
            <w:proofErr w:type="spellStart"/>
            <w:r w:rsidR="00AA7BB4">
              <w:t>Vimy</w:t>
            </w:r>
            <w:proofErr w:type="spellEnd"/>
            <w:r w:rsidR="00AA7BB4">
              <w:t xml:space="preserve"> Memorial, and </w:t>
            </w:r>
            <w:r w:rsidR="00CA1453">
              <w:t xml:space="preserve">the St John Monash Centre, Australian National Memorial, Villers-Bretonneux </w:t>
            </w:r>
            <w:r w:rsidR="00AA7BB4">
              <w:t>(the latter</w:t>
            </w:r>
            <w:r w:rsidR="00CA1453">
              <w:t xml:space="preserve"> is cutting edge in terms of museum design and co</w:t>
            </w:r>
            <w:r w:rsidR="002962D0">
              <w:t>ntent</w:t>
            </w:r>
            <w:r w:rsidR="00121A5F">
              <w:t>).</w:t>
            </w:r>
          </w:p>
          <w:p w:rsidR="007638F5" w:rsidRPr="00E032B8" w:rsidRDefault="007638F5" w:rsidP="007638F5">
            <w:pPr>
              <w:pStyle w:val="Heading3"/>
            </w:pPr>
            <w:r w:rsidRPr="00E032B8">
              <w:t>Concerns about whether the Trust can meet i</w:t>
            </w:r>
            <w:r w:rsidR="00091F8A" w:rsidRPr="00E032B8">
              <w:t>t</w:t>
            </w:r>
            <w:r w:rsidRPr="00E032B8">
              <w:t>s charitable purposes</w:t>
            </w:r>
          </w:p>
          <w:p w:rsidR="008464B3" w:rsidRPr="00E032B8" w:rsidRDefault="00C62259" w:rsidP="00775CEF">
            <w:r w:rsidRPr="00E032B8">
              <w:t xml:space="preserve">Inland Revenue notes that detailed provisions have not been made for </w:t>
            </w:r>
            <w:r w:rsidR="00C9010A" w:rsidRPr="00E032B8">
              <w:t xml:space="preserve">the cost of </w:t>
            </w:r>
            <w:r w:rsidRPr="00E032B8">
              <w:t>acquiring artefacts or curating the Museum</w:t>
            </w:r>
            <w:r w:rsidR="008464B3" w:rsidRPr="00E032B8">
              <w:t xml:space="preserve">.  Artefacts that are over 100 years old are subject to an approval process </w:t>
            </w:r>
            <w:r w:rsidR="004C60F0" w:rsidRPr="00E032B8">
              <w:t xml:space="preserve">under the Protected Objects Act 1975 </w:t>
            </w:r>
            <w:r w:rsidR="008464B3" w:rsidRPr="00E032B8">
              <w:t xml:space="preserve">if </w:t>
            </w:r>
            <w:r w:rsidR="004C60F0" w:rsidRPr="00E032B8">
              <w:t xml:space="preserve">they are </w:t>
            </w:r>
            <w:r w:rsidR="008464B3" w:rsidRPr="00E032B8">
              <w:t xml:space="preserve">leaving New Zealand.  </w:t>
            </w:r>
          </w:p>
          <w:p w:rsidR="00C62259" w:rsidRPr="00E032B8" w:rsidRDefault="008464B3" w:rsidP="00775CEF">
            <w:r w:rsidRPr="00E032B8">
              <w:t>The Trust has not developed plans or policies to</w:t>
            </w:r>
            <w:r w:rsidR="00C62259" w:rsidRPr="00E032B8">
              <w:t xml:space="preserve"> implement the cultural exchange programme that underpinned its registration as a charity under the Charities Act 2005.  </w:t>
            </w:r>
            <w:r w:rsidR="00D95F23" w:rsidRPr="00E032B8">
              <w:t>The Trust has explained that cultural exchanges are not a priority at this time.</w:t>
            </w:r>
          </w:p>
          <w:p w:rsidR="007638F5" w:rsidRPr="00E032B8" w:rsidRDefault="00976E7D" w:rsidP="00976E7D">
            <w:pPr>
              <w:pStyle w:val="Heading3"/>
            </w:pPr>
            <w:r w:rsidRPr="00E032B8">
              <w:t>Purposes of the Trust are inconsistent with current policy frameworks</w:t>
            </w:r>
          </w:p>
          <w:p w:rsidR="00976E7D" w:rsidRPr="00E032B8" w:rsidRDefault="00976E7D" w:rsidP="00976E7D">
            <w:r w:rsidRPr="00E032B8">
              <w:t xml:space="preserve">The project being advanced by the Trust is a private endeavour, and </w:t>
            </w:r>
            <w:r w:rsidR="00561BF0">
              <w:t>although</w:t>
            </w:r>
            <w:r w:rsidRPr="00E032B8">
              <w:t xml:space="preserve"> it is not seeking direct </w:t>
            </w:r>
            <w:r w:rsidR="00D92418" w:rsidRPr="00E032B8">
              <w:t>G</w:t>
            </w:r>
            <w:r w:rsidRPr="00E032B8">
              <w:t>overnment assistance, it wants indirect assistance in the form of tax benefits for monetary donations.  To achieve this aim, the Trust is asking to be granted overseas donee status as an exceptional case.</w:t>
            </w:r>
          </w:p>
          <w:p w:rsidR="00976E7D" w:rsidRPr="00E032B8" w:rsidRDefault="00976E7D" w:rsidP="00775CEF">
            <w:r w:rsidRPr="00E032B8">
              <w:t>Granting overseas donee status is a Government decision, and it has in four instances granted overseas donee status to organisations that do not meet the normal Cabinet criteria to further wider government objectives.  Typically, organisations granted overseas donee status in these circumstance</w:t>
            </w:r>
            <w:r w:rsidR="00507B35" w:rsidRPr="00E032B8">
              <w:t>s</w:t>
            </w:r>
            <w:r w:rsidRPr="00E032B8">
              <w:t xml:space="preserve"> are either directly funded by the Government or the Government has governance oversight.  </w:t>
            </w:r>
            <w:r w:rsidR="00D92418" w:rsidRPr="00E032B8">
              <w:rPr>
                <w:rFonts w:cs="Arial"/>
                <w:szCs w:val="22"/>
              </w:rPr>
              <w:t>The</w:t>
            </w:r>
            <w:r w:rsidR="00775CEF" w:rsidRPr="00E032B8">
              <w:rPr>
                <w:rFonts w:cs="Arial"/>
                <w:szCs w:val="22"/>
              </w:rPr>
              <w:t xml:space="preserve"> only </w:t>
            </w:r>
            <w:r w:rsidR="00D92418" w:rsidRPr="00E032B8">
              <w:rPr>
                <w:rFonts w:cs="Arial"/>
                <w:szCs w:val="22"/>
              </w:rPr>
              <w:t>other exception is Amnesty International, which was granted overseas donee status in 1983 on the grounds that it was widely respected, recognised worldwide and was strongly supported in New Zealand.</w:t>
            </w:r>
            <w:r w:rsidR="006C67BA">
              <w:rPr>
                <w:rFonts w:cs="Arial"/>
                <w:szCs w:val="22"/>
              </w:rPr>
              <w:t xml:space="preserve">  </w:t>
            </w:r>
            <w:r w:rsidR="006D3F4E" w:rsidRPr="00743432">
              <w:rPr>
                <w:rFonts w:cs="Arial"/>
                <w:szCs w:val="22"/>
              </w:rPr>
              <w:t xml:space="preserve">The last exception was made in 1987 for the </w:t>
            </w:r>
            <w:r w:rsidR="006D3F4E" w:rsidRPr="00743432">
              <w:rPr>
                <w:rFonts w:cs="Arial"/>
                <w:szCs w:val="22"/>
                <w:lang w:val="en"/>
              </w:rPr>
              <w:t>Hillary Commission for Recreation and Sport</w:t>
            </w:r>
            <w:r w:rsidR="00EC5CF4">
              <w:rPr>
                <w:rFonts w:cs="Arial"/>
                <w:szCs w:val="22"/>
                <w:lang w:val="en"/>
              </w:rPr>
              <w:t>, a public authority</w:t>
            </w:r>
            <w:r w:rsidR="006D3F4E">
              <w:rPr>
                <w:rFonts w:cs="Arial"/>
                <w:szCs w:val="22"/>
                <w:lang w:val="en"/>
              </w:rPr>
              <w:t>.</w:t>
            </w:r>
          </w:p>
          <w:p w:rsidR="00976E7D" w:rsidRPr="00E032B8" w:rsidRDefault="00976E7D" w:rsidP="00976E7D">
            <w:r w:rsidRPr="00E032B8">
              <w:t>Neither the direct Government support principle nor all the ground</w:t>
            </w:r>
            <w:r w:rsidR="003E1A9E" w:rsidRPr="00E032B8">
              <w:t>s</w:t>
            </w:r>
            <w:r w:rsidRPr="00E032B8">
              <w:t xml:space="preserve"> applying to Amnesty International are present in support of the Trust’s </w:t>
            </w:r>
            <w:r w:rsidR="00313028">
              <w:t>request that</w:t>
            </w:r>
            <w:r w:rsidRPr="00E032B8">
              <w:t xml:space="preserve"> it be granted overseas donee status.  </w:t>
            </w:r>
          </w:p>
          <w:p w:rsidR="007638F5" w:rsidRPr="00E032B8" w:rsidRDefault="003E1A9E" w:rsidP="003E1A9E">
            <w:pPr>
              <w:pStyle w:val="Heading3"/>
            </w:pPr>
            <w:r w:rsidRPr="00E032B8">
              <w:t>Conclusion</w:t>
            </w:r>
          </w:p>
          <w:p w:rsidR="00775CEF" w:rsidRPr="00E032B8" w:rsidRDefault="00775CEF" w:rsidP="00775CEF">
            <w:r w:rsidRPr="00E032B8">
              <w:t>Inland Revenue considers the Trust should not be given overseas donee status because:</w:t>
            </w:r>
          </w:p>
          <w:p w:rsidR="00775CEF" w:rsidRPr="00E032B8" w:rsidRDefault="006A1EF5" w:rsidP="00775CEF">
            <w:pPr>
              <w:pStyle w:val="Bullet-list"/>
            </w:pPr>
            <w:r w:rsidRPr="00E032B8">
              <w:t xml:space="preserve">the </w:t>
            </w:r>
            <w:r w:rsidR="00775CEF" w:rsidRPr="00E032B8">
              <w:t>Trust’s purposes are outside the normal policy parameters for approving overseas donee status, and</w:t>
            </w:r>
          </w:p>
          <w:p w:rsidR="00775CEF" w:rsidRPr="00E032B8" w:rsidRDefault="00775CEF" w:rsidP="00775CEF">
            <w:pPr>
              <w:pStyle w:val="Bullet-list"/>
            </w:pPr>
            <w:r w:rsidRPr="00E032B8">
              <w:t>the future viability of the Trust</w:t>
            </w:r>
            <w:r w:rsidR="00651F8A">
              <w:t xml:space="preserve">, </w:t>
            </w:r>
            <w:proofErr w:type="gramStart"/>
            <w:r w:rsidR="00651F8A">
              <w:t>at this point in time</w:t>
            </w:r>
            <w:proofErr w:type="gramEnd"/>
            <w:r w:rsidR="00651F8A">
              <w:t>,</w:t>
            </w:r>
            <w:r w:rsidRPr="00E032B8">
              <w:t xml:space="preserve"> is far from certain.   </w:t>
            </w:r>
          </w:p>
          <w:p w:rsidR="00F132B2" w:rsidRPr="00E032B8" w:rsidRDefault="00EA1F92" w:rsidP="003673D7">
            <w:r w:rsidRPr="00E032B8">
              <w:t xml:space="preserve">Neither option has areas of </w:t>
            </w:r>
            <w:r w:rsidR="003673D7" w:rsidRPr="00E032B8">
              <w:t>incompat</w:t>
            </w:r>
            <w:r w:rsidR="003673D7">
              <w:t>i</w:t>
            </w:r>
            <w:r w:rsidR="003673D7" w:rsidRPr="00E032B8">
              <w:t>b</w:t>
            </w:r>
            <w:r w:rsidR="003673D7">
              <w:t xml:space="preserve">ility </w:t>
            </w:r>
            <w:r w:rsidRPr="00E032B8">
              <w:t xml:space="preserve">with the </w:t>
            </w:r>
            <w:r w:rsidR="003669F8" w:rsidRPr="00E032B8">
              <w:t>Government</w:t>
            </w:r>
            <w:r w:rsidRPr="00E032B8">
              <w:t xml:space="preserve">’s expectation for the design of regulatory systems.  </w:t>
            </w:r>
          </w:p>
        </w:tc>
      </w:tr>
    </w:tbl>
    <w:p w:rsidR="00BE4A62" w:rsidRPr="00030EC1" w:rsidRDefault="00D9793F" w:rsidP="00293FDC">
      <w:pPr>
        <w:pStyle w:val="Heading2"/>
      </w:pPr>
      <w:r w:rsidRPr="0069218C">
        <w:rPr>
          <w:rFonts w:cs="Arial"/>
          <w:sz w:val="22"/>
          <w:lang w:val="en-NZ"/>
        </w:rPr>
        <w:lastRenderedPageBreak/>
        <w:br w:type="page"/>
      </w:r>
      <w:r w:rsidR="00E92509" w:rsidRPr="002D5734">
        <w:lastRenderedPageBreak/>
        <w:t xml:space="preserve">Section </w:t>
      </w:r>
      <w:r w:rsidR="00C77099">
        <w:t>4</w:t>
      </w:r>
      <w:r w:rsidR="00E92509" w:rsidRPr="002D5734">
        <w:t xml:space="preserve">:  </w:t>
      </w:r>
      <w:r w:rsidR="00A33BA0" w:rsidRPr="002D5734">
        <w:t>Impact Analysis</w:t>
      </w:r>
      <w:r w:rsidR="000A6D43">
        <w:t xml:space="preserve">: granting overseas donee status to the New Zealand Memorial Museum Trust – Le </w:t>
      </w:r>
      <w:r w:rsidR="0050557E">
        <w:t>Quesnoy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D5BF0" w:rsidRPr="0069218C" w:rsidTr="00E1767D">
        <w:trPr>
          <w:trHeight w:val="77"/>
        </w:trPr>
        <w:tc>
          <w:tcPr>
            <w:tcW w:w="5000" w:type="pct"/>
            <w:shd w:val="clear" w:color="auto" w:fill="99CDDD"/>
            <w:hideMark/>
          </w:tcPr>
          <w:p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r w:rsidR="00FC4045" w:rsidRPr="0069218C" w:rsidTr="00E1767D">
        <w:trPr>
          <w:trHeight w:val="77"/>
        </w:trPr>
        <w:tc>
          <w:tcPr>
            <w:tcW w:w="5000" w:type="pct"/>
            <w:tcBorders>
              <w:bottom w:val="single" w:sz="4" w:space="0" w:color="auto"/>
            </w:tcBorders>
            <w:shd w:val="clear" w:color="auto" w:fill="auto"/>
          </w:tcPr>
          <w:p w:rsidR="00FC4045" w:rsidRPr="00FC4045" w:rsidRDefault="00C0731D" w:rsidP="003200EB">
            <w:pPr>
              <w:pStyle w:val="TableHeadings"/>
              <w:spacing w:before="120" w:after="120" w:line="276" w:lineRule="auto"/>
              <w:rPr>
                <w:b w:val="0"/>
                <w:szCs w:val="22"/>
                <w:lang w:val="en-NZ"/>
              </w:rPr>
            </w:pPr>
            <w:r>
              <w:rPr>
                <w:b w:val="0"/>
              </w:rPr>
              <w:t xml:space="preserve">To make the impact analysis in this section more meaningful, </w:t>
            </w:r>
            <w:r w:rsidR="003200EB">
              <w:rPr>
                <w:b w:val="0"/>
              </w:rPr>
              <w:t>it has</w:t>
            </w:r>
            <w:r w:rsidR="00FC4045" w:rsidRPr="00FC4045">
              <w:rPr>
                <w:b w:val="0"/>
              </w:rPr>
              <w:t xml:space="preserve"> been prepared illustrating the costs and benefits if the New Zealand Memorial Museum Trust – Le Quesnoy was granted overseas donee status.  The cost and benefits are therefore those that may arise when contrasted against the status quo (no overseas donee status).</w:t>
            </w:r>
          </w:p>
        </w:tc>
      </w:tr>
    </w:tbl>
    <w:p w:rsidR="00B71C2A" w:rsidRDefault="00B71C2A" w:rsidP="00B71C2A">
      <w:pPr>
        <w:pStyle w:val="spacer"/>
      </w:pPr>
    </w:p>
    <w:tbl>
      <w:tblPr>
        <w:tblpPr w:leftFromText="180" w:rightFromText="180" w:vertAnchor="text" w:tblpX="6" w:tblpY="1"/>
        <w:tblOverlap w:val="neve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030"/>
        <w:gridCol w:w="4353"/>
        <w:gridCol w:w="2903"/>
      </w:tblGrid>
      <w:tr w:rsidR="00380585" w:rsidRPr="0069218C" w:rsidTr="00E1767D">
        <w:trPr>
          <w:trHeight w:val="732"/>
        </w:trPr>
        <w:tc>
          <w:tcPr>
            <w:tcW w:w="1093" w:type="pct"/>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784C66">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2344" w:type="pct"/>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784C66">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Pr="00886DFF">
              <w:rPr>
                <w:rFonts w:eastAsia="Calibri"/>
                <w:color w:val="000000"/>
                <w:sz w:val="22"/>
              </w:rPr>
              <w:t xml:space="preserve"> compliance rates), risks</w:t>
            </w:r>
          </w:p>
        </w:tc>
        <w:tc>
          <w:tcPr>
            <w:tcW w:w="1563" w:type="pct"/>
            <w:tcBorders>
              <w:top w:val="single" w:sz="2" w:space="0" w:color="auto"/>
              <w:left w:val="single" w:sz="2" w:space="0" w:color="auto"/>
              <w:bottom w:val="single" w:sz="2" w:space="0" w:color="auto"/>
              <w:right w:val="single" w:sz="2" w:space="0" w:color="auto"/>
            </w:tcBorders>
            <w:shd w:val="clear" w:color="auto" w:fill="80C0D5"/>
          </w:tcPr>
          <w:p w:rsidR="00380585" w:rsidRPr="00886DFF" w:rsidRDefault="00380585" w:rsidP="00784C66">
            <w:pPr>
              <w:pStyle w:val="TableText"/>
              <w:keepNext/>
              <w:rPr>
                <w:rFonts w:eastAsia="Calibri"/>
                <w:b/>
                <w:color w:val="000000"/>
                <w:sz w:val="22"/>
              </w:rPr>
            </w:pPr>
            <w:r w:rsidRPr="00886DFF">
              <w:rPr>
                <w:rFonts w:eastAsia="Calibri"/>
                <w:b/>
                <w:color w:val="000000"/>
                <w:sz w:val="22"/>
              </w:rPr>
              <w:t>Impact</w:t>
            </w:r>
          </w:p>
          <w:p w:rsidR="00380585" w:rsidRPr="00886DFF" w:rsidRDefault="00380585" w:rsidP="00784C66">
            <w:pPr>
              <w:pStyle w:val="TableText"/>
              <w:keepNext/>
              <w:rPr>
                <w:rFonts w:eastAsia="Calibri"/>
                <w:i/>
                <w:color w:val="000000"/>
                <w:sz w:val="22"/>
              </w:rPr>
            </w:pPr>
            <w:r w:rsidRPr="00886DFF">
              <w:rPr>
                <w:rFonts w:eastAsia="Calibri"/>
                <w:i/>
                <w:color w:val="000000"/>
                <w:sz w:val="22"/>
              </w:rPr>
              <w:t xml:space="preserve">$m present value,  for monetised impacts; high, medium or low for non-monetised impacts  </w:t>
            </w:r>
          </w:p>
        </w:tc>
      </w:tr>
      <w:tr w:rsidR="00380585" w:rsidRPr="0069218C" w:rsidTr="00E1767D">
        <w:trPr>
          <w:trHeight w:val="197"/>
        </w:trPr>
        <w:tc>
          <w:tcPr>
            <w:tcW w:w="5000" w:type="pct"/>
            <w:gridSpan w:val="3"/>
            <w:tcBorders>
              <w:top w:val="single" w:sz="2" w:space="0" w:color="auto"/>
              <w:bottom w:val="single" w:sz="2" w:space="0" w:color="auto"/>
            </w:tcBorders>
          </w:tcPr>
          <w:p w:rsidR="00380585" w:rsidRPr="00567434" w:rsidRDefault="00380585" w:rsidP="00567434">
            <w:pPr>
              <w:pStyle w:val="spacer"/>
              <w:rPr>
                <w:rFonts w:eastAsia="Calibri"/>
              </w:rPr>
            </w:pPr>
          </w:p>
        </w:tc>
      </w:tr>
      <w:tr w:rsidR="00380585" w:rsidRPr="0069218C" w:rsidTr="00E1767D">
        <w:trPr>
          <w:trHeight w:val="253"/>
        </w:trPr>
        <w:tc>
          <w:tcPr>
            <w:tcW w:w="5000" w:type="pct"/>
            <w:gridSpan w:val="3"/>
            <w:tcBorders>
              <w:top w:val="single" w:sz="2" w:space="0" w:color="auto"/>
              <w:left w:val="single" w:sz="2" w:space="0" w:color="auto"/>
              <w:bottom w:val="single" w:sz="2" w:space="0" w:color="auto"/>
              <w:right w:val="single" w:sz="2" w:space="0" w:color="auto"/>
            </w:tcBorders>
            <w:shd w:val="clear" w:color="auto" w:fill="80C0D5"/>
          </w:tcPr>
          <w:p w:rsidR="00380585" w:rsidRPr="0069218C" w:rsidRDefault="005F27E0" w:rsidP="005F27E0">
            <w:pPr>
              <w:keepNext/>
              <w:spacing w:before="40" w:after="20" w:line="240" w:lineRule="auto"/>
              <w:rPr>
                <w:rFonts w:ascii="Arial Narrow" w:eastAsia="Calibri" w:hAnsi="Arial Narrow"/>
                <w:szCs w:val="22"/>
              </w:rPr>
            </w:pPr>
            <w:r>
              <w:rPr>
                <w:rFonts w:eastAsia="Calibri"/>
                <w:color w:val="000000"/>
                <w:szCs w:val="22"/>
              </w:rPr>
              <w:t xml:space="preserve">Additional costs if the Trust is granted overseas donee </w:t>
            </w:r>
            <w:r w:rsidR="008C2415">
              <w:rPr>
                <w:rFonts w:eastAsia="Calibri"/>
                <w:color w:val="000000"/>
                <w:szCs w:val="22"/>
              </w:rPr>
              <w:t>status</w:t>
            </w:r>
            <w:r w:rsidR="00380585" w:rsidRPr="00886DFF">
              <w:rPr>
                <w:rFonts w:eastAsia="Calibri"/>
                <w:color w:val="000000"/>
                <w:szCs w:val="22"/>
              </w:rPr>
              <w:t>, compared to taking no action</w:t>
            </w:r>
          </w:p>
        </w:tc>
      </w:tr>
      <w:tr w:rsidR="00380585" w:rsidRPr="0069218C" w:rsidTr="00E1767D">
        <w:trPr>
          <w:trHeight w:val="253"/>
        </w:trPr>
        <w:tc>
          <w:tcPr>
            <w:tcW w:w="109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sz w:val="22"/>
              </w:rPr>
            </w:pPr>
            <w:r w:rsidRPr="0069218C">
              <w:rPr>
                <w:rFonts w:eastAsia="Calibri"/>
                <w:sz w:val="22"/>
              </w:rPr>
              <w:t>Regulated parties</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DA171E" w:rsidP="003406B8">
            <w:pPr>
              <w:pStyle w:val="TableText"/>
              <w:keepNext/>
              <w:rPr>
                <w:rFonts w:eastAsia="Calibri"/>
                <w:sz w:val="22"/>
              </w:rPr>
            </w:pPr>
            <w:r>
              <w:rPr>
                <w:rFonts w:eastAsia="Calibri"/>
                <w:sz w:val="22"/>
              </w:rPr>
              <w:t xml:space="preserve">On-going compliance costs of the Trust’s preferred option are comparable to the status quo.  </w:t>
            </w:r>
          </w:p>
        </w:tc>
        <w:tc>
          <w:tcPr>
            <w:tcW w:w="156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DA171E" w:rsidP="00784C66">
            <w:pPr>
              <w:pStyle w:val="TableText"/>
              <w:keepNext/>
              <w:rPr>
                <w:rFonts w:eastAsia="Calibri"/>
                <w:sz w:val="22"/>
              </w:rPr>
            </w:pPr>
            <w:r>
              <w:rPr>
                <w:rFonts w:eastAsia="Calibri"/>
                <w:sz w:val="22"/>
              </w:rPr>
              <w:t>Low</w:t>
            </w:r>
          </w:p>
        </w:tc>
      </w:tr>
      <w:tr w:rsidR="00380585" w:rsidRPr="0069218C" w:rsidTr="00E1767D">
        <w:trPr>
          <w:trHeight w:val="253"/>
        </w:trPr>
        <w:tc>
          <w:tcPr>
            <w:tcW w:w="109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cs="Arial"/>
                <w:color w:val="000000"/>
                <w:sz w:val="22"/>
              </w:rPr>
            </w:pPr>
            <w:r w:rsidRPr="0069218C">
              <w:rPr>
                <w:rFonts w:eastAsia="Calibri"/>
                <w:color w:val="000000"/>
                <w:sz w:val="22"/>
              </w:rPr>
              <w:t>Regulators</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DA171E" w:rsidP="005F27E0">
            <w:pPr>
              <w:pStyle w:val="TableText"/>
              <w:keepNext/>
              <w:rPr>
                <w:rFonts w:eastAsia="Calibri"/>
                <w:sz w:val="22"/>
              </w:rPr>
            </w:pPr>
            <w:r>
              <w:rPr>
                <w:rFonts w:eastAsia="Calibri"/>
                <w:sz w:val="22"/>
              </w:rPr>
              <w:t xml:space="preserve">Administration costs </w:t>
            </w:r>
            <w:r w:rsidR="003406B8">
              <w:rPr>
                <w:rFonts w:eastAsia="Calibri"/>
                <w:sz w:val="22"/>
              </w:rPr>
              <w:t>increase in response to uncertainty in the decision-making process for overseas donee status.</w:t>
            </w:r>
          </w:p>
        </w:tc>
        <w:tc>
          <w:tcPr>
            <w:tcW w:w="156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5F27E0" w:rsidP="00784C66">
            <w:pPr>
              <w:pStyle w:val="TableText"/>
              <w:keepNext/>
              <w:rPr>
                <w:rFonts w:eastAsia="Calibri"/>
                <w:sz w:val="22"/>
              </w:rPr>
            </w:pPr>
            <w:r>
              <w:rPr>
                <w:rFonts w:eastAsia="Calibri"/>
                <w:sz w:val="22"/>
              </w:rPr>
              <w:t>Medium</w:t>
            </w:r>
          </w:p>
        </w:tc>
      </w:tr>
      <w:tr w:rsidR="00380585" w:rsidRPr="0069218C" w:rsidTr="00E1767D">
        <w:trPr>
          <w:trHeight w:val="253"/>
        </w:trPr>
        <w:tc>
          <w:tcPr>
            <w:tcW w:w="109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color w:val="000000"/>
                <w:sz w:val="22"/>
              </w:rPr>
            </w:pPr>
            <w:r w:rsidRPr="0069218C">
              <w:rPr>
                <w:rFonts w:eastAsia="Calibri"/>
                <w:color w:val="000000"/>
                <w:sz w:val="22"/>
              </w:rPr>
              <w:t>Wider government</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E032B8" w:rsidRDefault="004018FB" w:rsidP="006A08E4">
            <w:pPr>
              <w:pStyle w:val="TableText"/>
              <w:keepNext/>
              <w:rPr>
                <w:rFonts w:eastAsia="Calibri"/>
                <w:sz w:val="22"/>
              </w:rPr>
            </w:pPr>
            <w:r w:rsidRPr="00E032B8">
              <w:rPr>
                <w:rFonts w:eastAsia="Calibri"/>
                <w:sz w:val="22"/>
              </w:rPr>
              <w:t xml:space="preserve">It is possible that granting the Trust overseas donee status may raise the expectations of the Trust and the town of Le Quesnoy, that the New Zealand Government may contribute further </w:t>
            </w:r>
            <w:r w:rsidR="00255CB4" w:rsidRPr="00E032B8">
              <w:rPr>
                <w:rFonts w:eastAsia="Calibri"/>
                <w:sz w:val="22"/>
              </w:rPr>
              <w:t xml:space="preserve">additional funds </w:t>
            </w:r>
            <w:r w:rsidRPr="00E032B8">
              <w:rPr>
                <w:rFonts w:eastAsia="Calibri"/>
                <w:sz w:val="22"/>
              </w:rPr>
              <w:t>(either directly or indirectly) to the project to ensure the Trust’s continued operations</w:t>
            </w:r>
            <w:r w:rsidR="004867FC" w:rsidRPr="00E032B8">
              <w:rPr>
                <w:rFonts w:eastAsia="Calibri"/>
                <w:sz w:val="22"/>
              </w:rPr>
              <w:t xml:space="preserve">.  </w:t>
            </w:r>
            <w:r w:rsidR="004867FC" w:rsidRPr="00E032B8">
              <w:rPr>
                <w:rFonts w:cs="Arial"/>
                <w:sz w:val="22"/>
              </w:rPr>
              <w:t xml:space="preserve"> </w:t>
            </w:r>
          </w:p>
        </w:tc>
        <w:tc>
          <w:tcPr>
            <w:tcW w:w="156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DA171E" w:rsidP="00784C66">
            <w:pPr>
              <w:pStyle w:val="TableText"/>
              <w:keepNext/>
              <w:rPr>
                <w:rFonts w:eastAsia="Calibri"/>
                <w:sz w:val="22"/>
              </w:rPr>
            </w:pPr>
            <w:r>
              <w:rPr>
                <w:rFonts w:eastAsia="Calibri"/>
                <w:sz w:val="22"/>
              </w:rPr>
              <w:t>Unknown</w:t>
            </w:r>
          </w:p>
        </w:tc>
      </w:tr>
      <w:tr w:rsidR="00380585" w:rsidRPr="0069218C" w:rsidTr="00E1767D">
        <w:trPr>
          <w:trHeight w:val="253"/>
        </w:trPr>
        <w:tc>
          <w:tcPr>
            <w:tcW w:w="109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cs="Arial"/>
                <w:color w:val="000000"/>
                <w:sz w:val="22"/>
              </w:rPr>
            </w:pPr>
            <w:r w:rsidRPr="0069218C">
              <w:rPr>
                <w:rFonts w:eastAsia="Calibri"/>
                <w:color w:val="000000"/>
                <w:sz w:val="22"/>
              </w:rPr>
              <w:t xml:space="preserve">Other parties </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DA171E" w:rsidP="00784C66">
            <w:pPr>
              <w:pStyle w:val="TableText"/>
              <w:keepNext/>
              <w:rPr>
                <w:rFonts w:eastAsia="Calibri"/>
                <w:sz w:val="22"/>
              </w:rPr>
            </w:pPr>
            <w:r>
              <w:rPr>
                <w:rFonts w:eastAsia="Calibri"/>
                <w:sz w:val="22"/>
              </w:rPr>
              <w:t>None</w:t>
            </w:r>
          </w:p>
        </w:tc>
        <w:tc>
          <w:tcPr>
            <w:tcW w:w="156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9B3543" w:rsidP="00784C66">
            <w:pPr>
              <w:pStyle w:val="TableText"/>
              <w:keepNext/>
              <w:rPr>
                <w:rFonts w:eastAsia="Calibri"/>
                <w:sz w:val="22"/>
              </w:rPr>
            </w:pPr>
            <w:r>
              <w:rPr>
                <w:rFonts w:eastAsia="Calibri"/>
                <w:sz w:val="22"/>
              </w:rPr>
              <w:t>N/A</w:t>
            </w:r>
          </w:p>
        </w:tc>
      </w:tr>
      <w:tr w:rsidR="00E103C8" w:rsidRPr="0069218C" w:rsidTr="00E1767D">
        <w:trPr>
          <w:trHeight w:val="253"/>
        </w:trPr>
        <w:tc>
          <w:tcPr>
            <w:tcW w:w="1093" w:type="pct"/>
            <w:tcBorders>
              <w:top w:val="single" w:sz="2" w:space="0" w:color="auto"/>
              <w:left w:val="single" w:sz="2" w:space="0" w:color="auto"/>
              <w:bottom w:val="single" w:sz="2" w:space="0" w:color="auto"/>
              <w:right w:val="single" w:sz="2" w:space="0" w:color="auto"/>
            </w:tcBorders>
            <w:shd w:val="clear" w:color="auto" w:fill="auto"/>
          </w:tcPr>
          <w:p w:rsidR="00E103C8" w:rsidRPr="0069218C" w:rsidRDefault="00E103C8" w:rsidP="00E103C8">
            <w:pPr>
              <w:pStyle w:val="TableText"/>
              <w:keepNext/>
              <w:rPr>
                <w:rFonts w:eastAsia="Calibri"/>
                <w:b/>
                <w:sz w:val="22"/>
              </w:rPr>
            </w:pPr>
            <w:r w:rsidRPr="0069218C">
              <w:rPr>
                <w:rFonts w:eastAsia="Calibri"/>
                <w:b/>
                <w:sz w:val="22"/>
              </w:rPr>
              <w:t>Total Monetised Cost</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E103C8" w:rsidRPr="00020963" w:rsidRDefault="00E103C8" w:rsidP="00E103C8">
            <w:pPr>
              <w:pStyle w:val="TableText"/>
              <w:keepNext/>
              <w:rPr>
                <w:rFonts w:eastAsia="Calibri"/>
                <w:sz w:val="22"/>
              </w:rPr>
            </w:pPr>
          </w:p>
        </w:tc>
        <w:tc>
          <w:tcPr>
            <w:tcW w:w="1563" w:type="pct"/>
            <w:tcBorders>
              <w:top w:val="single" w:sz="2" w:space="0" w:color="auto"/>
              <w:left w:val="single" w:sz="2" w:space="0" w:color="auto"/>
              <w:bottom w:val="single" w:sz="2" w:space="0" w:color="auto"/>
              <w:right w:val="single" w:sz="2" w:space="0" w:color="auto"/>
            </w:tcBorders>
            <w:shd w:val="clear" w:color="auto" w:fill="auto"/>
          </w:tcPr>
          <w:p w:rsidR="00E103C8" w:rsidRPr="00020963" w:rsidRDefault="00E103C8" w:rsidP="00E103C8">
            <w:pPr>
              <w:pStyle w:val="TableText"/>
              <w:keepNext/>
              <w:rPr>
                <w:rFonts w:eastAsia="Calibri"/>
                <w:sz w:val="22"/>
              </w:rPr>
            </w:pPr>
            <w:r w:rsidRPr="00020963">
              <w:rPr>
                <w:rFonts w:eastAsia="Calibri"/>
                <w:sz w:val="22"/>
              </w:rPr>
              <w:t>$5 million + reduction in Government revenue over the forecast period</w:t>
            </w:r>
            <w:r w:rsidR="00F75263">
              <w:rPr>
                <w:rFonts w:eastAsia="Calibri"/>
                <w:sz w:val="22"/>
              </w:rPr>
              <w:t xml:space="preserve"> 2018 to 2021.</w:t>
            </w:r>
          </w:p>
        </w:tc>
      </w:tr>
      <w:tr w:rsidR="00380585" w:rsidRPr="0069218C" w:rsidTr="00E1767D">
        <w:trPr>
          <w:trHeight w:val="253"/>
        </w:trPr>
        <w:tc>
          <w:tcPr>
            <w:tcW w:w="1093"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b/>
                <w:sz w:val="22"/>
              </w:rPr>
            </w:pPr>
            <w:r w:rsidRPr="0069218C">
              <w:rPr>
                <w:rFonts w:eastAsia="Calibri"/>
                <w:b/>
                <w:sz w:val="22"/>
              </w:rPr>
              <w:t xml:space="preserve">Non-monetised costs </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keepNext/>
              <w:rPr>
                <w:rFonts w:eastAsia="Calibri"/>
                <w:i/>
                <w:sz w:val="22"/>
              </w:rPr>
            </w:pPr>
          </w:p>
        </w:tc>
        <w:tc>
          <w:tcPr>
            <w:tcW w:w="1563" w:type="pct"/>
            <w:tcBorders>
              <w:top w:val="single" w:sz="2" w:space="0" w:color="auto"/>
              <w:left w:val="single" w:sz="2" w:space="0" w:color="auto"/>
              <w:bottom w:val="single" w:sz="2" w:space="0" w:color="auto"/>
              <w:right w:val="single" w:sz="2" w:space="0" w:color="auto"/>
            </w:tcBorders>
            <w:shd w:val="clear" w:color="auto" w:fill="auto"/>
          </w:tcPr>
          <w:p w:rsidR="00380585" w:rsidRPr="00E62373" w:rsidRDefault="00E103C8" w:rsidP="00784C66">
            <w:pPr>
              <w:pStyle w:val="TableText"/>
              <w:keepNext/>
              <w:rPr>
                <w:rFonts w:eastAsia="Calibri"/>
                <w:i/>
                <w:sz w:val="22"/>
              </w:rPr>
            </w:pPr>
            <w:r>
              <w:rPr>
                <w:rFonts w:eastAsia="Calibri"/>
                <w:i/>
                <w:sz w:val="22"/>
              </w:rPr>
              <w:t>Medium</w:t>
            </w:r>
          </w:p>
        </w:tc>
      </w:tr>
    </w:tbl>
    <w:p w:rsidR="00380585" w:rsidRPr="0069218C" w:rsidRDefault="00380585" w:rsidP="00567434">
      <w:pPr>
        <w:pStyle w:val="spacer"/>
      </w:pPr>
    </w:p>
    <w:tbl>
      <w:tblPr>
        <w:tblpPr w:leftFromText="180" w:rightFromText="180" w:vertAnchor="text" w:tblpX="6" w:tblpY="1"/>
        <w:tblOverlap w:val="neve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028"/>
        <w:gridCol w:w="4353"/>
        <w:gridCol w:w="2905"/>
      </w:tblGrid>
      <w:tr w:rsidR="00380585" w:rsidRPr="0069218C" w:rsidTr="00E1767D">
        <w:trPr>
          <w:trHeight w:val="253"/>
        </w:trPr>
        <w:tc>
          <w:tcPr>
            <w:tcW w:w="5000" w:type="pct"/>
            <w:gridSpan w:val="3"/>
            <w:tcBorders>
              <w:top w:val="single" w:sz="2" w:space="0" w:color="auto"/>
              <w:left w:val="single" w:sz="2" w:space="0" w:color="auto"/>
              <w:bottom w:val="single" w:sz="2" w:space="0" w:color="auto"/>
              <w:right w:val="single" w:sz="2" w:space="0" w:color="auto"/>
            </w:tcBorders>
            <w:shd w:val="clear" w:color="auto" w:fill="80C0D5"/>
          </w:tcPr>
          <w:p w:rsidR="00380585" w:rsidRPr="000535CE" w:rsidRDefault="00380585" w:rsidP="008C2415">
            <w:pPr>
              <w:spacing w:before="40" w:after="20" w:line="240" w:lineRule="auto"/>
              <w:rPr>
                <w:rFonts w:ascii="Arial Narrow" w:eastAsia="Calibri" w:hAnsi="Arial Narrow"/>
                <w:szCs w:val="22"/>
              </w:rPr>
            </w:pPr>
            <w:r w:rsidRPr="00886DFF">
              <w:rPr>
                <w:rFonts w:eastAsia="Calibri"/>
                <w:color w:val="000000"/>
                <w:szCs w:val="22"/>
              </w:rPr>
              <w:t xml:space="preserve">Expected benefits </w:t>
            </w:r>
            <w:r w:rsidR="008C2415">
              <w:rPr>
                <w:rFonts w:eastAsia="Calibri"/>
                <w:color w:val="000000"/>
                <w:szCs w:val="22"/>
              </w:rPr>
              <w:t>if the Trust is granted overseas donee status</w:t>
            </w:r>
            <w:r w:rsidRPr="00886DFF">
              <w:rPr>
                <w:rFonts w:eastAsia="Calibri"/>
                <w:color w:val="000000"/>
                <w:szCs w:val="22"/>
              </w:rPr>
              <w:t>, compared to taking no action</w:t>
            </w:r>
          </w:p>
        </w:tc>
      </w:tr>
      <w:tr w:rsidR="00380585" w:rsidRPr="0069218C" w:rsidTr="00E1767D">
        <w:trPr>
          <w:trHeight w:val="253"/>
        </w:trPr>
        <w:tc>
          <w:tcPr>
            <w:tcW w:w="1092"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r w:rsidRPr="0069218C">
              <w:rPr>
                <w:rFonts w:eastAsia="Calibri"/>
                <w:sz w:val="22"/>
              </w:rPr>
              <w:t>Regulated parties</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406B8" w:rsidP="00784C66">
            <w:pPr>
              <w:pStyle w:val="TableText"/>
              <w:rPr>
                <w:rFonts w:eastAsia="Calibri"/>
                <w:sz w:val="22"/>
              </w:rPr>
            </w:pPr>
            <w:r>
              <w:rPr>
                <w:rFonts w:eastAsia="Calibri"/>
                <w:sz w:val="22"/>
              </w:rPr>
              <w:t>Improves the Trust’s chances of raising the required $15 million to complete the Memorial Museum project.</w:t>
            </w:r>
          </w:p>
        </w:tc>
        <w:tc>
          <w:tcPr>
            <w:tcW w:w="156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9727AB" w:rsidP="00784C66">
            <w:pPr>
              <w:pStyle w:val="TableText"/>
              <w:rPr>
                <w:rFonts w:eastAsia="Calibri"/>
                <w:sz w:val="22"/>
              </w:rPr>
            </w:pPr>
            <w:r>
              <w:rPr>
                <w:rFonts w:eastAsia="Calibri"/>
                <w:sz w:val="22"/>
              </w:rPr>
              <w:t xml:space="preserve">Medium </w:t>
            </w:r>
          </w:p>
        </w:tc>
      </w:tr>
      <w:tr w:rsidR="00380585" w:rsidRPr="0069218C" w:rsidTr="00E1767D">
        <w:trPr>
          <w:trHeight w:val="253"/>
        </w:trPr>
        <w:tc>
          <w:tcPr>
            <w:tcW w:w="1092"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r w:rsidRPr="0069218C">
              <w:rPr>
                <w:rFonts w:eastAsia="Calibri"/>
                <w:sz w:val="22"/>
              </w:rPr>
              <w:t>Regulators</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26178B" w:rsidP="00784C66">
            <w:pPr>
              <w:pStyle w:val="TableText"/>
              <w:rPr>
                <w:rFonts w:eastAsia="Calibri"/>
                <w:sz w:val="22"/>
              </w:rPr>
            </w:pPr>
            <w:r>
              <w:rPr>
                <w:rFonts w:eastAsia="Calibri"/>
                <w:sz w:val="22"/>
              </w:rPr>
              <w:t>None</w:t>
            </w:r>
          </w:p>
        </w:tc>
        <w:tc>
          <w:tcPr>
            <w:tcW w:w="156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9B3543" w:rsidP="00784C66">
            <w:pPr>
              <w:pStyle w:val="TableText"/>
              <w:rPr>
                <w:rFonts w:eastAsia="Calibri"/>
                <w:sz w:val="22"/>
              </w:rPr>
            </w:pPr>
            <w:r>
              <w:rPr>
                <w:rFonts w:eastAsia="Calibri"/>
                <w:sz w:val="22"/>
              </w:rPr>
              <w:t>N/A</w:t>
            </w:r>
            <w:r w:rsidR="0026178B">
              <w:rPr>
                <w:rFonts w:eastAsia="Calibri"/>
                <w:sz w:val="22"/>
              </w:rPr>
              <w:t xml:space="preserve"> </w:t>
            </w:r>
          </w:p>
        </w:tc>
      </w:tr>
      <w:tr w:rsidR="00380585" w:rsidRPr="0069218C" w:rsidTr="00E1767D">
        <w:trPr>
          <w:trHeight w:val="253"/>
        </w:trPr>
        <w:tc>
          <w:tcPr>
            <w:tcW w:w="1092"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r w:rsidRPr="0069218C">
              <w:rPr>
                <w:rFonts w:eastAsia="Calibri"/>
                <w:sz w:val="22"/>
              </w:rPr>
              <w:t>Wider government</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6A08E4" w:rsidP="00784C66">
            <w:pPr>
              <w:pStyle w:val="TableText"/>
              <w:rPr>
                <w:rFonts w:eastAsia="Calibri"/>
                <w:sz w:val="22"/>
              </w:rPr>
            </w:pPr>
            <w:r>
              <w:rPr>
                <w:rFonts w:eastAsia="Calibri"/>
                <w:sz w:val="22"/>
              </w:rPr>
              <w:t>None</w:t>
            </w:r>
          </w:p>
        </w:tc>
        <w:tc>
          <w:tcPr>
            <w:tcW w:w="156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9B3543" w:rsidP="00784C66">
            <w:pPr>
              <w:pStyle w:val="TableText"/>
              <w:rPr>
                <w:rFonts w:eastAsia="Calibri"/>
                <w:sz w:val="22"/>
              </w:rPr>
            </w:pPr>
            <w:r>
              <w:rPr>
                <w:rFonts w:eastAsia="Calibri"/>
                <w:sz w:val="22"/>
              </w:rPr>
              <w:t>N/A</w:t>
            </w:r>
          </w:p>
        </w:tc>
      </w:tr>
      <w:tr w:rsidR="00380585" w:rsidRPr="0069218C" w:rsidTr="00E1767D">
        <w:trPr>
          <w:trHeight w:val="253"/>
        </w:trPr>
        <w:tc>
          <w:tcPr>
            <w:tcW w:w="1092"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r w:rsidRPr="0069218C">
              <w:rPr>
                <w:rFonts w:eastAsia="Calibri"/>
                <w:sz w:val="22"/>
              </w:rPr>
              <w:t xml:space="preserve">Other parties </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805B57" w:rsidP="00805B57">
            <w:pPr>
              <w:pStyle w:val="TableText"/>
              <w:rPr>
                <w:rFonts w:eastAsia="Calibri"/>
                <w:sz w:val="22"/>
              </w:rPr>
            </w:pPr>
            <w:r>
              <w:rPr>
                <w:rFonts w:eastAsia="Calibri"/>
                <w:sz w:val="22"/>
              </w:rPr>
              <w:t>D</w:t>
            </w:r>
            <w:r w:rsidR="00DA171E">
              <w:rPr>
                <w:rFonts w:eastAsia="Calibri"/>
                <w:sz w:val="22"/>
              </w:rPr>
              <w:t xml:space="preserve">onors are eligible for monetary donations made to the Trust.  </w:t>
            </w:r>
          </w:p>
        </w:tc>
        <w:tc>
          <w:tcPr>
            <w:tcW w:w="156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805B57" w:rsidP="00805B57">
            <w:pPr>
              <w:pStyle w:val="TableText"/>
              <w:rPr>
                <w:rFonts w:eastAsia="Calibri"/>
                <w:sz w:val="22"/>
              </w:rPr>
            </w:pPr>
            <w:r>
              <w:rPr>
                <w:rFonts w:eastAsia="Calibri"/>
                <w:sz w:val="22"/>
              </w:rPr>
              <w:t xml:space="preserve">Estimated tax benefit to donors is $5 million +. </w:t>
            </w:r>
          </w:p>
        </w:tc>
      </w:tr>
      <w:tr w:rsidR="00F75263" w:rsidRPr="0069218C" w:rsidTr="00E1767D">
        <w:trPr>
          <w:trHeight w:val="253"/>
        </w:trPr>
        <w:tc>
          <w:tcPr>
            <w:tcW w:w="1092" w:type="pct"/>
            <w:tcBorders>
              <w:top w:val="single" w:sz="2" w:space="0" w:color="auto"/>
              <w:left w:val="single" w:sz="2" w:space="0" w:color="auto"/>
              <w:bottom w:val="single" w:sz="2" w:space="0" w:color="auto"/>
              <w:right w:val="single" w:sz="2" w:space="0" w:color="auto"/>
            </w:tcBorders>
            <w:shd w:val="clear" w:color="auto" w:fill="auto"/>
          </w:tcPr>
          <w:p w:rsidR="00F75263" w:rsidRPr="0069218C" w:rsidRDefault="00F75263" w:rsidP="00F75263">
            <w:pPr>
              <w:pStyle w:val="TableText"/>
              <w:rPr>
                <w:rFonts w:eastAsia="Calibri"/>
                <w:b/>
                <w:sz w:val="22"/>
              </w:rPr>
            </w:pPr>
            <w:r w:rsidRPr="0069218C">
              <w:rPr>
                <w:rFonts w:eastAsia="Calibri"/>
                <w:b/>
                <w:sz w:val="22"/>
              </w:rPr>
              <w:lastRenderedPageBreak/>
              <w:t>Total Monetised  Benefit</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F75263" w:rsidRPr="0069218C" w:rsidRDefault="00F75263" w:rsidP="00F75263">
            <w:pPr>
              <w:pStyle w:val="TableText"/>
              <w:rPr>
                <w:rFonts w:eastAsia="Calibri"/>
                <w:sz w:val="22"/>
              </w:rPr>
            </w:pPr>
          </w:p>
        </w:tc>
        <w:tc>
          <w:tcPr>
            <w:tcW w:w="1564" w:type="pct"/>
            <w:tcBorders>
              <w:top w:val="single" w:sz="2" w:space="0" w:color="auto"/>
              <w:left w:val="single" w:sz="2" w:space="0" w:color="auto"/>
              <w:bottom w:val="single" w:sz="2" w:space="0" w:color="auto"/>
              <w:right w:val="single" w:sz="2" w:space="0" w:color="auto"/>
            </w:tcBorders>
            <w:shd w:val="clear" w:color="auto" w:fill="auto"/>
          </w:tcPr>
          <w:p w:rsidR="00F75263" w:rsidRPr="00020963" w:rsidRDefault="00F75263" w:rsidP="00F75263">
            <w:pPr>
              <w:pStyle w:val="TableText"/>
              <w:keepNext/>
              <w:rPr>
                <w:rFonts w:eastAsia="Calibri"/>
                <w:sz w:val="22"/>
              </w:rPr>
            </w:pPr>
            <w:r w:rsidRPr="00020963">
              <w:rPr>
                <w:rFonts w:eastAsia="Calibri"/>
                <w:sz w:val="22"/>
              </w:rPr>
              <w:t>$5 million + reduction in Government revenue over the forecast period</w:t>
            </w:r>
            <w:r>
              <w:rPr>
                <w:rFonts w:eastAsia="Calibri"/>
                <w:sz w:val="22"/>
              </w:rPr>
              <w:t xml:space="preserve"> 2018 to 2021.</w:t>
            </w:r>
          </w:p>
        </w:tc>
      </w:tr>
      <w:tr w:rsidR="00380585" w:rsidRPr="0069218C" w:rsidTr="00E1767D">
        <w:trPr>
          <w:trHeight w:val="253"/>
        </w:trPr>
        <w:tc>
          <w:tcPr>
            <w:tcW w:w="1092"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b/>
                <w:sz w:val="22"/>
              </w:rPr>
            </w:pPr>
            <w:r w:rsidRPr="0069218C">
              <w:rPr>
                <w:rFonts w:eastAsia="Calibri"/>
                <w:b/>
                <w:sz w:val="22"/>
              </w:rPr>
              <w:t>Non-monetised benefits</w:t>
            </w:r>
          </w:p>
        </w:tc>
        <w:tc>
          <w:tcPr>
            <w:tcW w:w="2344" w:type="pct"/>
            <w:tcBorders>
              <w:top w:val="single" w:sz="2" w:space="0" w:color="auto"/>
              <w:left w:val="single" w:sz="2" w:space="0" w:color="auto"/>
              <w:bottom w:val="single" w:sz="2" w:space="0" w:color="auto"/>
              <w:right w:val="single" w:sz="2" w:space="0" w:color="auto"/>
            </w:tcBorders>
            <w:shd w:val="clear" w:color="auto" w:fill="auto"/>
          </w:tcPr>
          <w:p w:rsidR="00380585" w:rsidRPr="0069218C" w:rsidRDefault="00380585" w:rsidP="00784C66">
            <w:pPr>
              <w:pStyle w:val="TableText"/>
              <w:rPr>
                <w:rFonts w:eastAsia="Calibri"/>
                <w:sz w:val="22"/>
              </w:rPr>
            </w:pPr>
          </w:p>
        </w:tc>
        <w:tc>
          <w:tcPr>
            <w:tcW w:w="1564" w:type="pct"/>
            <w:tcBorders>
              <w:top w:val="single" w:sz="2" w:space="0" w:color="auto"/>
              <w:left w:val="single" w:sz="2" w:space="0" w:color="auto"/>
              <w:bottom w:val="single" w:sz="2" w:space="0" w:color="auto"/>
              <w:right w:val="single" w:sz="2" w:space="0" w:color="auto"/>
            </w:tcBorders>
            <w:shd w:val="clear" w:color="auto" w:fill="auto"/>
          </w:tcPr>
          <w:p w:rsidR="00380585" w:rsidRPr="00E62373" w:rsidRDefault="003C4C54" w:rsidP="00784C66">
            <w:pPr>
              <w:pStyle w:val="TableText"/>
              <w:rPr>
                <w:rFonts w:eastAsia="Calibri"/>
                <w:i/>
                <w:sz w:val="22"/>
              </w:rPr>
            </w:pPr>
            <w:r>
              <w:rPr>
                <w:rFonts w:eastAsia="Calibri"/>
                <w:i/>
                <w:sz w:val="22"/>
              </w:rPr>
              <w:t>Medium</w:t>
            </w:r>
          </w:p>
        </w:tc>
      </w:tr>
    </w:tbl>
    <w:p w:rsidR="00D15242" w:rsidRDefault="00D15242" w:rsidP="00D15242">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77099" w:rsidRPr="0069218C" w:rsidTr="00E1767D">
        <w:trPr>
          <w:trHeight w:val="77"/>
        </w:trPr>
        <w:tc>
          <w:tcPr>
            <w:tcW w:w="5000" w:type="pct"/>
            <w:shd w:val="clear" w:color="auto" w:fill="99CDDD"/>
            <w:hideMark/>
          </w:tcPr>
          <w:p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rsidTr="00E1767D">
        <w:trPr>
          <w:trHeight w:val="1763"/>
        </w:trPr>
        <w:tc>
          <w:tcPr>
            <w:tcW w:w="5000" w:type="pct"/>
            <w:shd w:val="clear" w:color="auto" w:fill="auto"/>
          </w:tcPr>
          <w:p w:rsidR="000535CE" w:rsidRPr="0069218C" w:rsidRDefault="008E3D8C" w:rsidP="00805BC9">
            <w:pPr>
              <w:spacing w:before="120" w:after="120" w:line="276" w:lineRule="auto"/>
            </w:pPr>
            <w:r>
              <w:rPr>
                <w:rFonts w:cs="Arial"/>
                <w:szCs w:val="22"/>
              </w:rPr>
              <w:t xml:space="preserve">Inland Revenue notes that, at this point of time, </w:t>
            </w:r>
            <w:r w:rsidRPr="003B7585">
              <w:rPr>
                <w:rFonts w:cs="Arial"/>
                <w:szCs w:val="22"/>
              </w:rPr>
              <w:t>t</w:t>
            </w:r>
            <w:r w:rsidRPr="003B7585">
              <w:t xml:space="preserve">here are too many unknowns regarding the proposed operation of the </w:t>
            </w:r>
            <w:r w:rsidR="00CD7357">
              <w:t>M</w:t>
            </w:r>
            <w:r w:rsidRPr="003B7585">
              <w:t>useum and accommodation complex</w:t>
            </w:r>
            <w:r w:rsidR="00497CA4">
              <w:t>,</w:t>
            </w:r>
            <w:r w:rsidRPr="003B7585">
              <w:t xml:space="preserve"> and it is hard to assess the viability of the proposal.</w:t>
            </w:r>
            <w:r>
              <w:t xml:space="preserve">  </w:t>
            </w:r>
            <w:r w:rsidR="000A3E15">
              <w:t>A</w:t>
            </w:r>
            <w:r w:rsidR="000A3E15" w:rsidRPr="00D5398D">
              <w:t xml:space="preserve"> </w:t>
            </w:r>
            <w:r w:rsidR="00777A52">
              <w:t xml:space="preserve">potential risk </w:t>
            </w:r>
            <w:r w:rsidR="000A3E15" w:rsidRPr="00D5398D">
              <w:t xml:space="preserve">arising from </w:t>
            </w:r>
            <w:r w:rsidR="00CD7357">
              <w:t>the project promoted by the Trust i</w:t>
            </w:r>
            <w:r w:rsidR="000A3E15" w:rsidRPr="00D5398D">
              <w:t xml:space="preserve">s that it </w:t>
            </w:r>
            <w:r w:rsidR="001C02F2">
              <w:t>may</w:t>
            </w:r>
            <w:r w:rsidR="00D33447">
              <w:t xml:space="preserve"> put pressure on the Government to provide </w:t>
            </w:r>
            <w:r w:rsidR="000A3E15" w:rsidRPr="00D5398D">
              <w:t xml:space="preserve">additional and ongoing </w:t>
            </w:r>
            <w:r w:rsidR="003669F8">
              <w:t>Government</w:t>
            </w:r>
            <w:r w:rsidR="000A3E15" w:rsidRPr="00D5398D">
              <w:t xml:space="preserve"> contributions (either direct or indirect) to ensure the Trust’s </w:t>
            </w:r>
            <w:r w:rsidR="00D33447">
              <w:t>long-term and continued operations</w:t>
            </w:r>
            <w:r w:rsidR="000A3E15" w:rsidRPr="00D5398D">
              <w:t>.</w:t>
            </w:r>
          </w:p>
        </w:tc>
      </w:tr>
    </w:tbl>
    <w:p w:rsidR="00B15F56" w:rsidRPr="00886DFF" w:rsidRDefault="00B15F56" w:rsidP="005E69DC">
      <w:pPr>
        <w:pStyle w:val="spacer"/>
      </w:pPr>
    </w:p>
    <w:p w:rsidR="00051A88" w:rsidRDefault="00051A88" w:rsidP="00293FDC">
      <w:pPr>
        <w:pStyle w:val="Heading2"/>
      </w:pPr>
      <w:r w:rsidRPr="002D5734">
        <w:t xml:space="preserve">Section </w:t>
      </w:r>
      <w:r w:rsidR="00C77099">
        <w:t>5</w:t>
      </w:r>
      <w:r w:rsidRPr="002D5734">
        <w:t xml:space="preserve">:  Stakeholder views </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286"/>
      </w:tblGrid>
      <w:tr w:rsidR="00051A88" w:rsidRPr="0069218C" w:rsidTr="00800DE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99CDDD"/>
          </w:tcPr>
          <w:p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B825D8" w:rsidRPr="0069218C" w:rsidTr="00E1767D">
        <w:trPr>
          <w:trHeight w:val="232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825D8" w:rsidRPr="0049467D" w:rsidRDefault="008221A5" w:rsidP="00805BC9">
            <w:pPr>
              <w:spacing w:before="120" w:after="120" w:line="276" w:lineRule="auto"/>
              <w:rPr>
                <w:lang w:eastAsia="en-AU"/>
              </w:rPr>
            </w:pPr>
            <w:r>
              <w:t xml:space="preserve">The Treasury, the Ministry of Foreign Affairs and Trade, the Ministry for Culture and Heritage, and the New Zealand Defence Force were consulted in the preparation of the attached Cabinet paper.  Comments from agencies generally questioned the need for the war memorial museum as promoted by the Trust (there are a number of existing memorials commemorating New Zealand’s service during the First World War, including a memorial wall at Le Quesnoy).  </w:t>
            </w:r>
            <w:r w:rsidR="00546379">
              <w:t>The Department of Internal Affairs – Charities Services was also consulted</w:t>
            </w:r>
            <w:r w:rsidR="00497CA4">
              <w:t>,</w:t>
            </w:r>
            <w:r w:rsidR="00546379">
              <w:t xml:space="preserve"> and the New Zealand Police’s vetting service was used for the trustees of the Trust.  </w:t>
            </w:r>
            <w:r w:rsidR="00367483">
              <w:t xml:space="preserve">The Department of the Prime Minister and Cabinet were informed.  </w:t>
            </w:r>
          </w:p>
        </w:tc>
      </w:tr>
    </w:tbl>
    <w:p w:rsidR="00E1767D" w:rsidRDefault="00E1767D" w:rsidP="005E69DC">
      <w:pPr>
        <w:pStyle w:val="spacer"/>
      </w:pPr>
    </w:p>
    <w:p w:rsidR="00EE4E3B" w:rsidRPr="008A6442" w:rsidRDefault="00EE4E3B" w:rsidP="00293FDC">
      <w:pPr>
        <w:pStyle w:val="Heading2"/>
      </w:pPr>
      <w:r w:rsidRPr="002D5734">
        <w:t xml:space="preserve">Section </w:t>
      </w:r>
      <w:r w:rsidR="0033708B" w:rsidRPr="002D5734">
        <w:t>6</w:t>
      </w:r>
      <w:r w:rsidRPr="002D5734">
        <w:t xml:space="preserve">:  </w:t>
      </w:r>
      <w:r w:rsidR="0033708B" w:rsidRPr="002D5734">
        <w:t>Implementation and o</w:t>
      </w:r>
      <w:r w:rsidR="005D5BF0" w:rsidRPr="002D5734">
        <w:t xml:space="preserve">peration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2D5734" w:rsidRPr="0069218C" w:rsidTr="00800DEC">
        <w:trPr>
          <w:trHeight w:val="197"/>
        </w:trPr>
        <w:tc>
          <w:tcPr>
            <w:tcW w:w="9072" w:type="dxa"/>
            <w:shd w:val="clear" w:color="auto" w:fill="99CDDD"/>
            <w:hideMark/>
          </w:tcPr>
          <w:p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rsidTr="00E1767D">
        <w:trPr>
          <w:trHeight w:val="4171"/>
        </w:trPr>
        <w:tc>
          <w:tcPr>
            <w:tcW w:w="9072" w:type="dxa"/>
            <w:shd w:val="clear" w:color="auto" w:fill="auto"/>
          </w:tcPr>
          <w:p w:rsidR="002E64F4" w:rsidRDefault="002E64F4" w:rsidP="00805BC9">
            <w:pPr>
              <w:spacing w:before="120" w:after="120" w:line="276" w:lineRule="auto"/>
              <w:rPr>
                <w:lang w:val="en-AU"/>
              </w:rPr>
            </w:pPr>
            <w:r w:rsidRPr="00F73EDF">
              <w:rPr>
                <w:lang w:val="en-AU"/>
              </w:rPr>
              <w:t>Legislative change to the Income Tax Act</w:t>
            </w:r>
            <w:r>
              <w:rPr>
                <w:lang w:val="en-AU"/>
              </w:rPr>
              <w:t xml:space="preserve"> 2007</w:t>
            </w:r>
            <w:r w:rsidRPr="00F73EDF">
              <w:rPr>
                <w:lang w:val="en-AU"/>
              </w:rPr>
              <w:t xml:space="preserve"> </w:t>
            </w:r>
            <w:r>
              <w:rPr>
                <w:lang w:val="en-AU"/>
              </w:rPr>
              <w:t>is</w:t>
            </w:r>
            <w:r w:rsidRPr="00F73EDF">
              <w:rPr>
                <w:lang w:val="en-AU"/>
              </w:rPr>
              <w:t xml:space="preserve"> necessary to implement option </w:t>
            </w:r>
            <w:r>
              <w:rPr>
                <w:lang w:val="en-AU"/>
              </w:rPr>
              <w:t>two</w:t>
            </w:r>
            <w:r w:rsidRPr="00F73EDF">
              <w:rPr>
                <w:lang w:val="en-AU"/>
              </w:rPr>
              <w:t xml:space="preserve">.  </w:t>
            </w:r>
            <w:r>
              <w:rPr>
                <w:lang w:val="en-AU"/>
              </w:rPr>
              <w:t>If the Trust is granted overseas donee status</w:t>
            </w:r>
            <w:r w:rsidR="00497CA4">
              <w:rPr>
                <w:lang w:val="en-AU"/>
              </w:rPr>
              <w:t>,</w:t>
            </w:r>
            <w:r>
              <w:rPr>
                <w:lang w:val="en-AU"/>
              </w:rPr>
              <w:t xml:space="preserve"> a Supplementary Order Paper to the </w:t>
            </w:r>
            <w:r w:rsidR="00497CA4">
              <w:rPr>
                <w:lang w:val="en-AU"/>
              </w:rPr>
              <w:t>Taxation (Annual Rates for 2018</w:t>
            </w:r>
            <w:r w:rsidR="00497CA4">
              <w:rPr>
                <w:rFonts w:cs="Arial"/>
                <w:lang w:val="en-AU"/>
              </w:rPr>
              <w:t>–</w:t>
            </w:r>
            <w:r>
              <w:rPr>
                <w:lang w:val="en-AU"/>
              </w:rPr>
              <w:t xml:space="preserve">19, Modernising Tax Administration, and Remedial Matters) Bill will be prepared.  </w:t>
            </w:r>
            <w:r w:rsidRPr="00F73EDF">
              <w:rPr>
                <w:lang w:val="en-AU"/>
              </w:rPr>
              <w:t xml:space="preserve">The changes would </w:t>
            </w:r>
            <w:r>
              <w:rPr>
                <w:lang w:val="en-AU"/>
              </w:rPr>
              <w:t xml:space="preserve">apply to monetary donations made on and after 1 April 2018.    </w:t>
            </w:r>
          </w:p>
          <w:p w:rsidR="002E64F4" w:rsidRDefault="002E64F4" w:rsidP="002E64F4">
            <w:pPr>
              <w:rPr>
                <w:lang w:val="en-AU"/>
              </w:rPr>
            </w:pPr>
            <w:r>
              <w:rPr>
                <w:lang w:val="en-AU"/>
              </w:rPr>
              <w:t xml:space="preserve">The Trust </w:t>
            </w:r>
            <w:r w:rsidR="001247E7">
              <w:rPr>
                <w:lang w:val="en-AU"/>
              </w:rPr>
              <w:t xml:space="preserve">has </w:t>
            </w:r>
            <w:r>
              <w:rPr>
                <w:lang w:val="en-AU"/>
              </w:rPr>
              <w:t xml:space="preserve">not highlighted any concerns regarding compliance </w:t>
            </w:r>
            <w:r w:rsidR="008D07AC">
              <w:rPr>
                <w:lang w:val="en-AU"/>
              </w:rPr>
              <w:t xml:space="preserve">with the Inland Revenue Acts if is granted overseas donee status.  </w:t>
            </w:r>
          </w:p>
          <w:p w:rsidR="00F132B2" w:rsidRPr="0069218C" w:rsidRDefault="002E64F4" w:rsidP="00497CA4">
            <w:pPr>
              <w:rPr>
                <w:rFonts w:cs="Arial"/>
                <w:szCs w:val="22"/>
              </w:rPr>
            </w:pPr>
            <w:r w:rsidRPr="00F73EDF">
              <w:rPr>
                <w:lang w:val="en-AU"/>
              </w:rPr>
              <w:t>Inland Revenue would administer the proposed legislative changes.  Enforcement of the changes would be managed by Inland Revenue as business as usual</w:t>
            </w:r>
            <w:r>
              <w:rPr>
                <w:lang w:val="en-AU"/>
              </w:rPr>
              <w:t xml:space="preserve">.  Inland Revenue has assessed the magnitude of the administrative impacts and considers that </w:t>
            </w:r>
            <w:r w:rsidR="009F69D7">
              <w:rPr>
                <w:lang w:val="en-AU"/>
              </w:rPr>
              <w:t>a decision to grant the Trust overseas donee status</w:t>
            </w:r>
            <w:r>
              <w:rPr>
                <w:lang w:val="en-AU"/>
              </w:rPr>
              <w:t xml:space="preserve"> can be implemented </w:t>
            </w:r>
            <w:r w:rsidR="00462DB7">
              <w:rPr>
                <w:lang w:val="en-AU"/>
              </w:rPr>
              <w:t xml:space="preserve">for </w:t>
            </w:r>
            <w:r>
              <w:rPr>
                <w:lang w:val="en-AU"/>
              </w:rPr>
              <w:t>the start of the 2018</w:t>
            </w:r>
            <w:r w:rsidR="00497CA4">
              <w:rPr>
                <w:rFonts w:cs="Arial"/>
                <w:lang w:val="en-AU"/>
              </w:rPr>
              <w:t>–</w:t>
            </w:r>
            <w:r>
              <w:rPr>
                <w:lang w:val="en-AU"/>
              </w:rPr>
              <w:t>19 income year</w:t>
            </w:r>
            <w:r w:rsidR="00462DB7">
              <w:rPr>
                <w:lang w:val="en-AU"/>
              </w:rPr>
              <w:t xml:space="preserve"> (1 April 2018)</w:t>
            </w:r>
            <w:r w:rsidR="00046CDC">
              <w:rPr>
                <w:lang w:val="en-AU"/>
              </w:rPr>
              <w:t>, subject to amending legislation being enacted before 31 March 2019</w:t>
            </w:r>
            <w:r>
              <w:rPr>
                <w:lang w:val="en-AU"/>
              </w:rPr>
              <w:t>.</w:t>
            </w:r>
          </w:p>
        </w:tc>
      </w:tr>
    </w:tbl>
    <w:p w:rsidR="005E69DC" w:rsidRDefault="005E69DC" w:rsidP="005E69DC">
      <w:pPr>
        <w:pStyle w:val="spacer"/>
      </w:pPr>
    </w:p>
    <w:p w:rsidR="00F132B2" w:rsidRPr="008A6442" w:rsidRDefault="00F132B2" w:rsidP="00293FDC">
      <w:pPr>
        <w:pStyle w:val="Heading2"/>
      </w:pPr>
      <w:r w:rsidRPr="00B952B7">
        <w:lastRenderedPageBreak/>
        <w:t xml:space="preserve">Section 7:  Monitoring, </w:t>
      </w:r>
      <w:r w:rsidRPr="00030EC1">
        <w:t>evalu</w:t>
      </w:r>
      <w:r w:rsidRPr="00B952B7">
        <w:t>ation and review</w:t>
      </w:r>
    </w:p>
    <w:tbl>
      <w:tblPr>
        <w:tblW w:w="9072" w:type="dxa"/>
        <w:tblInd w:w="-5" w:type="dxa"/>
        <w:tblLook w:val="0480" w:firstRow="0" w:lastRow="0" w:firstColumn="1" w:lastColumn="0" w:noHBand="0" w:noVBand="1"/>
      </w:tblPr>
      <w:tblGrid>
        <w:gridCol w:w="9072"/>
      </w:tblGrid>
      <w:tr w:rsidR="00F132B2" w:rsidRPr="0069218C" w:rsidTr="00800DEC">
        <w:trPr>
          <w:trHeight w:val="77"/>
        </w:trPr>
        <w:tc>
          <w:tcPr>
            <w:tcW w:w="9072" w:type="dxa"/>
            <w:tcBorders>
              <w:top w:val="single" w:sz="4" w:space="0" w:color="auto"/>
              <w:left w:val="single" w:sz="4" w:space="0" w:color="auto"/>
              <w:bottom w:val="single" w:sz="4" w:space="0" w:color="auto"/>
              <w:right w:val="single" w:sz="4" w:space="0" w:color="auto"/>
            </w:tcBorders>
            <w:shd w:val="clear" w:color="auto" w:fill="99CDDD"/>
          </w:tcPr>
          <w:p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rsidTr="00E1767D">
        <w:trPr>
          <w:trHeight w:val="2045"/>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C030B" w:rsidRDefault="00AC030B" w:rsidP="00805BC9">
            <w:pPr>
              <w:spacing w:before="120"/>
            </w:pPr>
            <w:r>
              <w:t xml:space="preserve">Inland Revenue would monitor the </w:t>
            </w:r>
            <w:r w:rsidR="00493D58">
              <w:t>Trust</w:t>
            </w:r>
            <w:r>
              <w:t xml:space="preserve"> to confirm that </w:t>
            </w:r>
            <w:r w:rsidR="00493D58">
              <w:t>it</w:t>
            </w:r>
            <w:r w:rsidR="005846C4">
              <w:t xml:space="preserve"> is meeting its </w:t>
            </w:r>
            <w:r w:rsidR="006227E8">
              <w:t>purposes</w:t>
            </w:r>
            <w:r w:rsidR="005846C4">
              <w:t xml:space="preserve"> if it is granted overseas donee status</w:t>
            </w:r>
            <w:r>
              <w:t xml:space="preserve">.  </w:t>
            </w:r>
          </w:p>
          <w:p w:rsidR="00F132B2" w:rsidRPr="0069218C" w:rsidRDefault="00AC030B" w:rsidP="00497CA4">
            <w:pPr>
              <w:rPr>
                <w:rFonts w:cs="Arial"/>
                <w:szCs w:val="22"/>
              </w:rPr>
            </w:pPr>
            <w:r>
              <w:t xml:space="preserve">Monitoring the </w:t>
            </w:r>
            <w:r w:rsidR="002D499E">
              <w:t>Trust</w:t>
            </w:r>
            <w:r w:rsidR="00C92871">
              <w:t xml:space="preserve"> would </w:t>
            </w:r>
            <w:r>
              <w:t>be done through existing relationships Inland Revenue has with relevant stakeholders and their advisors</w:t>
            </w:r>
            <w:r w:rsidR="00D013B5">
              <w:t>,</w:t>
            </w:r>
            <w:r w:rsidR="003476AE">
              <w:t xml:space="preserve"> as part of its administration of the Inland Revenue Acts (the Income Tax Act 2007, the Tax Administration Act 1994</w:t>
            </w:r>
            <w:r w:rsidR="00492010">
              <w:t>,</w:t>
            </w:r>
            <w:r w:rsidR="003476AE">
              <w:t xml:space="preserve"> and the Goods and Services Tax Act 1985</w:t>
            </w:r>
            <w:r w:rsidR="008A63C6">
              <w:t>)</w:t>
            </w:r>
            <w:r>
              <w:t xml:space="preserve">.  </w:t>
            </w:r>
          </w:p>
        </w:tc>
      </w:tr>
      <w:tr w:rsidR="00F132B2" w:rsidRPr="0069218C" w:rsidTr="00800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9072" w:type="dxa"/>
            <w:shd w:val="clear" w:color="auto" w:fill="99CDDD"/>
          </w:tcPr>
          <w:p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rsidTr="00E17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9"/>
        </w:trPr>
        <w:tc>
          <w:tcPr>
            <w:tcW w:w="9072" w:type="dxa"/>
            <w:shd w:val="clear" w:color="auto" w:fill="auto"/>
          </w:tcPr>
          <w:p w:rsidR="00F132B2" w:rsidRDefault="00AC030B" w:rsidP="00805BC9">
            <w:pPr>
              <w:spacing w:before="120"/>
            </w:pPr>
            <w:r>
              <w:t xml:space="preserve">The process for granting overseas donee status is based on an upfront analysis and vetting process.  Charities that are granted overseas donee status may be the subject of routine audit or investigation by Inland Revenue if information comes </w:t>
            </w:r>
            <w:r w:rsidR="002253F8">
              <w:t xml:space="preserve">to </w:t>
            </w:r>
            <w:r>
              <w:t>hand that warrant</w:t>
            </w:r>
            <w:r w:rsidR="0061527A">
              <w:t>s</w:t>
            </w:r>
            <w:r>
              <w:t xml:space="preserve"> administrative intervention.  </w:t>
            </w:r>
          </w:p>
          <w:p w:rsidR="002253F8" w:rsidRDefault="002253F8" w:rsidP="00B36918">
            <w:r>
              <w:t>Irrespective of Inland Revenue</w:t>
            </w:r>
            <w:r w:rsidR="00977B66">
              <w:t>’s</w:t>
            </w:r>
            <w:r>
              <w:t xml:space="preserve"> tax administration, charities that are granted overseas donee status are required to comply with the requirements of the Charities Act 2005.  </w:t>
            </w:r>
          </w:p>
          <w:p w:rsidR="002253F8" w:rsidRPr="0069218C" w:rsidRDefault="002253F8" w:rsidP="0061527A">
            <w:pPr>
              <w:rPr>
                <w:rFonts w:cs="Arial"/>
                <w:szCs w:val="22"/>
              </w:rPr>
            </w:pPr>
            <w:r>
              <w:t>Non-compliance with the Charities Act</w:t>
            </w:r>
            <w:r w:rsidR="00841B2A">
              <w:t>, evidence of wrong-doing,</w:t>
            </w:r>
            <w:r>
              <w:t xml:space="preserve"> or </w:t>
            </w:r>
            <w:r w:rsidR="00841B2A">
              <w:t xml:space="preserve">other </w:t>
            </w:r>
            <w:r>
              <w:t xml:space="preserve">action that is contrary to the application of the Inland Revenue </w:t>
            </w:r>
            <w:r w:rsidR="001854C4">
              <w:t xml:space="preserve">Acts </w:t>
            </w:r>
            <w:r>
              <w:t xml:space="preserve">may warrant </w:t>
            </w:r>
            <w:r w:rsidR="00DB5B83">
              <w:t xml:space="preserve">further advice to </w:t>
            </w:r>
            <w:r w:rsidR="00497CA4">
              <w:t xml:space="preserve">the </w:t>
            </w:r>
            <w:r w:rsidR="003669F8">
              <w:t>Government</w:t>
            </w:r>
            <w:r w:rsidR="00DB5B83">
              <w:t xml:space="preserve"> </w:t>
            </w:r>
            <w:r w:rsidR="00841B2A">
              <w:t>to the effect that</w:t>
            </w:r>
            <w:r w:rsidR="00DB5B83">
              <w:t xml:space="preserve"> the charity’s overseas donee status </w:t>
            </w:r>
            <w:r w:rsidR="00497CA4">
              <w:t xml:space="preserve">should </w:t>
            </w:r>
            <w:r w:rsidR="00DB5B83">
              <w:t xml:space="preserve">be removed.  </w:t>
            </w:r>
          </w:p>
        </w:tc>
      </w:tr>
    </w:tbl>
    <w:p w:rsidR="00C2708A" w:rsidRPr="00B47208" w:rsidRDefault="00C2708A" w:rsidP="00B47208">
      <w:pPr>
        <w:pStyle w:val="spacer"/>
      </w:pPr>
    </w:p>
    <w:p w:rsidR="009B3543" w:rsidRPr="00B47208" w:rsidRDefault="009B3543">
      <w:pPr>
        <w:pStyle w:val="spacer"/>
      </w:pPr>
    </w:p>
    <w:sectPr w:rsidR="009B3543"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EDA" w:rsidRDefault="008D6EDA">
      <w:pPr>
        <w:spacing w:after="0" w:line="240" w:lineRule="auto"/>
      </w:pPr>
      <w:r>
        <w:separator/>
      </w:r>
    </w:p>
  </w:endnote>
  <w:endnote w:type="continuationSeparator" w:id="0">
    <w:p w:rsidR="008D6EDA" w:rsidRDefault="008D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DA" w:rsidRDefault="008D6EDA" w:rsidP="00957BC2">
    <w:pPr>
      <w:pStyle w:val="Footer"/>
      <w:rPr>
        <w:sz w:val="14"/>
      </w:rPr>
    </w:pPr>
    <w:bookmarkStart w:id="6" w:name="TsyIMFooter"/>
    <w:r>
      <w:rPr>
        <w:sz w:val="14"/>
      </w:rPr>
      <w:t>New Zealand Memorial Museum Trust – Le Quesnoy:  tax benefits for monetary donations (overseas donee status)</w:t>
    </w:r>
    <w:bookmarkEnd w:id="6"/>
  </w:p>
  <w:p w:rsidR="008D6EDA" w:rsidRPr="00957BC2" w:rsidRDefault="008D6EDA" w:rsidP="00957BC2">
    <w:pPr>
      <w:pStyle w:val="Footer"/>
    </w:pPr>
    <w:r w:rsidRPr="00957BC2">
      <w:t xml:space="preserve">  Impact Summary</w:t>
    </w:r>
    <w:r>
      <w:t xml:space="preserve"> Template</w:t>
    </w:r>
    <w:r w:rsidRPr="00957BC2">
      <w:t xml:space="preserve">   |   </w:t>
    </w:r>
    <w:r w:rsidRPr="00957BC2">
      <w:fldChar w:fldCharType="begin"/>
    </w:r>
    <w:r w:rsidRPr="00957BC2">
      <w:instrText xml:space="preserve"> PAGE </w:instrText>
    </w:r>
    <w:r w:rsidRPr="00957BC2">
      <w:fldChar w:fldCharType="separate"/>
    </w:r>
    <w:r w:rsidR="00C24A22">
      <w:t>12</w:t>
    </w:r>
    <w:r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EDA" w:rsidRDefault="008D6EDA">
      <w:pPr>
        <w:spacing w:after="0" w:line="240" w:lineRule="auto"/>
      </w:pPr>
      <w:r>
        <w:separator/>
      </w:r>
    </w:p>
  </w:footnote>
  <w:footnote w:type="continuationSeparator" w:id="0">
    <w:p w:rsidR="008D6EDA" w:rsidRDefault="008D6EDA">
      <w:pPr>
        <w:spacing w:after="0" w:line="240" w:lineRule="auto"/>
      </w:pPr>
      <w:r>
        <w:continuationSeparator/>
      </w:r>
    </w:p>
  </w:footnote>
  <w:footnote w:id="1">
    <w:p w:rsidR="008D6EDA" w:rsidRPr="003A5D4E" w:rsidRDefault="008D6EDA" w:rsidP="00030C30">
      <w:pPr>
        <w:pStyle w:val="FootnoteText"/>
        <w:tabs>
          <w:tab w:val="clear" w:pos="425"/>
          <w:tab w:val="left" w:pos="142"/>
        </w:tabs>
        <w:spacing w:after="0"/>
        <w:ind w:left="142" w:hanging="142"/>
        <w:rPr>
          <w:i/>
        </w:rPr>
      </w:pPr>
      <w:r w:rsidRPr="00966342">
        <w:rPr>
          <w:rStyle w:val="FootnoteReference"/>
        </w:rPr>
        <w:footnoteRef/>
      </w:r>
      <w:r w:rsidRPr="00966342">
        <w:t xml:space="preserve"> </w:t>
      </w:r>
      <w:r w:rsidRPr="0064472A">
        <w:t>There are a number of interpretations of the phrase “wholly or mainly”.  Inland Revenue is currently analysing submissions on a draft interpretation statement PUB00295 Income Tax: Donee organisations – meaning of wholly or mainly applying funds to specified purposes within New Zealand.</w:t>
      </w:r>
      <w:r>
        <w:rPr>
          <w:i/>
        </w:rPr>
        <w:t xml:space="preserve">  </w:t>
      </w:r>
    </w:p>
  </w:footnote>
  <w:footnote w:id="2">
    <w:p w:rsidR="008D6EDA" w:rsidRPr="00FA48FA" w:rsidRDefault="008D6EDA" w:rsidP="00753BEE">
      <w:pPr>
        <w:spacing w:line="240" w:lineRule="auto"/>
        <w:ind w:left="142" w:hanging="142"/>
        <w:rPr>
          <w:lang w:val="en-NZ"/>
        </w:rPr>
      </w:pPr>
      <w:r>
        <w:rPr>
          <w:rStyle w:val="FootnoteReference"/>
        </w:rPr>
        <w:footnoteRef/>
      </w:r>
      <w:r>
        <w:t xml:space="preserve"> </w:t>
      </w:r>
      <w:r w:rsidRPr="00257D02">
        <w:rPr>
          <w:rFonts w:cs="Arial"/>
          <w:sz w:val="18"/>
          <w:szCs w:val="18"/>
        </w:rPr>
        <w:t xml:space="preserve">At the time, four charities with overseas purposes were specifically named as </w:t>
      </w:r>
      <w:r w:rsidR="00DA3861">
        <w:rPr>
          <w:rFonts w:cs="Arial"/>
          <w:sz w:val="18"/>
          <w:szCs w:val="18"/>
        </w:rPr>
        <w:t>donee organisations for income tax purposes</w:t>
      </w:r>
      <w:r w:rsidRPr="00257D02">
        <w:rPr>
          <w:rFonts w:cs="Arial"/>
          <w:sz w:val="18"/>
          <w:szCs w:val="18"/>
        </w:rPr>
        <w:t xml:space="preserve">, and the government acknowledged that charities could be added to the list of names from time to time as comparable cases arise.  </w:t>
      </w:r>
      <w:r w:rsidRPr="00257D02">
        <w:rPr>
          <w:sz w:val="18"/>
          <w:szCs w:val="18"/>
        </w:rPr>
        <w:t xml:space="preserve">The four charities were:  the Red Cross Society Incorporated, the Council of Organisations for Relief Services Overseas (CORSO), and two leprosy missions. </w:t>
      </w:r>
      <w:r w:rsidR="00CB67DD">
        <w:rPr>
          <w:sz w:val="18"/>
          <w:szCs w:val="18"/>
        </w:rPr>
        <w:t xml:space="preserve"> Source: 1962 Budget statement.</w:t>
      </w:r>
    </w:p>
  </w:footnote>
  <w:footnote w:id="3">
    <w:p w:rsidR="008D6EDA" w:rsidRPr="00FA5806" w:rsidRDefault="008D6EDA" w:rsidP="00030C30">
      <w:pPr>
        <w:pStyle w:val="FootnoteText"/>
        <w:tabs>
          <w:tab w:val="clear" w:pos="425"/>
          <w:tab w:val="left" w:pos="142"/>
        </w:tabs>
        <w:ind w:left="142" w:hanging="142"/>
        <w:rPr>
          <w:rFonts w:cs="Arial"/>
        </w:rPr>
      </w:pPr>
      <w:r w:rsidRPr="00FA5806">
        <w:rPr>
          <w:rStyle w:val="FootnoteReference"/>
          <w:rFonts w:cs="Arial"/>
        </w:rPr>
        <w:footnoteRef/>
      </w:r>
      <w:r w:rsidRPr="00FA5806">
        <w:rPr>
          <w:rFonts w:cs="Arial"/>
        </w:rPr>
        <w:t xml:space="preserve"> </w:t>
      </w:r>
      <w:r w:rsidRPr="00FA5806">
        <w:rPr>
          <w:rFonts w:cs="Arial"/>
          <w:szCs w:val="18"/>
        </w:rPr>
        <w:t xml:space="preserve">In November 2009, Cabinet endorsed the processes used by tax policy officials to analyse charities requesting overseas donee status, resulting in the release of </w:t>
      </w:r>
      <w:r w:rsidRPr="00FA5806">
        <w:rPr>
          <w:rFonts w:cs="Arial"/>
          <w:i/>
          <w:szCs w:val="18"/>
        </w:rPr>
        <w:t xml:space="preserve">Guidelines for using the Cabinet Criteria </w:t>
      </w:r>
      <w:r w:rsidR="00873504">
        <w:rPr>
          <w:rFonts w:cs="Arial"/>
          <w:i/>
          <w:szCs w:val="18"/>
        </w:rPr>
        <w:t>for</w:t>
      </w:r>
      <w:r w:rsidRPr="00FA5806">
        <w:rPr>
          <w:rFonts w:cs="Arial"/>
          <w:i/>
          <w:szCs w:val="18"/>
        </w:rPr>
        <w:t xml:space="preserve"> Overseas Donee Status</w:t>
      </w:r>
      <w:r w:rsidRPr="00FA5806">
        <w:rPr>
          <w:rFonts w:cs="Arial"/>
          <w:szCs w:val="18"/>
        </w:rPr>
        <w:t>.</w:t>
      </w:r>
    </w:p>
  </w:footnote>
  <w:footnote w:id="4">
    <w:p w:rsidR="004D1B86" w:rsidRPr="00FF1DB3" w:rsidRDefault="004D1B86" w:rsidP="004D1B86">
      <w:pPr>
        <w:pStyle w:val="FootnoteText"/>
        <w:rPr>
          <w:rFonts w:cs="Arial"/>
          <w:szCs w:val="18"/>
        </w:rPr>
      </w:pPr>
      <w:r w:rsidRPr="00FF1DB3">
        <w:rPr>
          <w:rStyle w:val="FootnoteReference"/>
          <w:rFonts w:cs="Arial"/>
          <w:sz w:val="18"/>
          <w:szCs w:val="18"/>
        </w:rPr>
        <w:footnoteRef/>
      </w:r>
      <w:r w:rsidRPr="00FF1DB3">
        <w:rPr>
          <w:rFonts w:cs="Arial"/>
          <w:szCs w:val="18"/>
        </w:rPr>
        <w:t xml:space="preserve"> The Trust notes that a planned cycle way connecting the local towns in the area may increase tourist numbers.  </w:t>
      </w:r>
    </w:p>
  </w:footnote>
  <w:footnote w:id="5">
    <w:p w:rsidR="004D1B86" w:rsidRPr="0052691A" w:rsidRDefault="004D1B86" w:rsidP="004D1B86">
      <w:pPr>
        <w:pStyle w:val="FootnoteText"/>
        <w:rPr>
          <w:rFonts w:cs="Arial"/>
          <w:sz w:val="16"/>
          <w:szCs w:val="16"/>
        </w:rPr>
      </w:pPr>
      <w:r w:rsidRPr="0052691A">
        <w:rPr>
          <w:rStyle w:val="FootnoteReference"/>
          <w:rFonts w:cs="Arial"/>
        </w:rPr>
        <w:footnoteRef/>
      </w:r>
      <w:r>
        <w:rPr>
          <w:rFonts w:cs="Arial"/>
          <w:sz w:val="16"/>
          <w:szCs w:val="16"/>
        </w:rPr>
        <w:t xml:space="preserve"> </w:t>
      </w:r>
      <w:r w:rsidRPr="00FF1DB3">
        <w:rPr>
          <w:rFonts w:cs="Arial"/>
          <w:szCs w:val="18"/>
        </w:rPr>
        <w:t>Source: Hauts-de-France Tourism Council 2017/18</w:t>
      </w:r>
      <w:r>
        <w:rPr>
          <w:rFonts w:cs="Arial"/>
          <w:sz w:val="16"/>
          <w:szCs w:val="16"/>
        </w:rPr>
        <w:t>.</w:t>
      </w:r>
    </w:p>
  </w:footnote>
  <w:footnote w:id="6">
    <w:p w:rsidR="003673D7" w:rsidRPr="003673D7" w:rsidRDefault="003673D7">
      <w:pPr>
        <w:pStyle w:val="FootnoteText"/>
        <w:rPr>
          <w:lang w:val="en-NZ"/>
        </w:rPr>
      </w:pPr>
      <w:r>
        <w:rPr>
          <w:rStyle w:val="FootnoteReference"/>
        </w:rPr>
        <w:footnoteRef/>
      </w:r>
      <w:r>
        <w:t xml:space="preserve"> </w:t>
      </w:r>
      <w:r w:rsidRPr="00E032B8">
        <w:t>The Canadian National Vimy Memorial has iconic national status for Canadians.</w:t>
      </w:r>
    </w:p>
  </w:footnote>
  <w:footnote w:id="7">
    <w:p w:rsidR="004D1B86" w:rsidRDefault="004D1B86" w:rsidP="005F27E0">
      <w:pPr>
        <w:pStyle w:val="FootnoteText"/>
        <w:tabs>
          <w:tab w:val="clear" w:pos="425"/>
          <w:tab w:val="left" w:pos="142"/>
        </w:tabs>
        <w:ind w:left="142" w:hanging="142"/>
      </w:pPr>
      <w:r>
        <w:rPr>
          <w:rStyle w:val="FootnoteReference"/>
        </w:rPr>
        <w:footnoteRef/>
      </w:r>
      <w:r>
        <w:t xml:space="preserve"> </w:t>
      </w:r>
      <w:r w:rsidRPr="00FF1DB3">
        <w:rPr>
          <w:rFonts w:cs="Arial"/>
          <w:szCs w:val="18"/>
        </w:rPr>
        <w:t xml:space="preserve">A local French funded project, the Wellington Quarry in Arras, is an </w:t>
      </w:r>
      <w:r w:rsidRPr="00FF1DB3">
        <w:rPr>
          <w:rFonts w:cs="Arial"/>
          <w:szCs w:val="18"/>
          <w:lang w:val="en"/>
        </w:rPr>
        <w:t xml:space="preserve">underground museum founded to the memory of the British Army and Dominion Forces and tells the story of the New Zealand </w:t>
      </w:r>
      <w:r w:rsidR="00D92418" w:rsidRPr="00FF1DB3">
        <w:rPr>
          <w:rFonts w:cs="Arial"/>
          <w:szCs w:val="18"/>
          <w:lang w:val="en"/>
        </w:rPr>
        <w:t>Tunneling</w:t>
      </w:r>
      <w:r w:rsidRPr="00FF1DB3">
        <w:rPr>
          <w:rFonts w:cs="Arial"/>
          <w:szCs w:val="18"/>
          <w:lang w:val="en"/>
        </w:rPr>
        <w:t xml:space="preserve"> Company.</w:t>
      </w:r>
      <w:r>
        <w:rPr>
          <w:rFonts w:cs="Arial"/>
          <w:sz w:val="16"/>
          <w:szCs w:val="16"/>
          <w:lang w:val="en"/>
        </w:rPr>
        <w:t xml:space="preserve">  </w:t>
      </w:r>
      <w:r w:rsidR="00AA7BB4">
        <w:t>The community project charges €7 (euros), but this is situated in a big city and has an attraction beyond battlefield visitors.  Arras is typically used as a base from which tourist</w:t>
      </w:r>
      <w:r w:rsidR="0013736A">
        <w:t>s</w:t>
      </w:r>
      <w:r w:rsidR="00AA7BB4">
        <w:t xml:space="preserve"> visit other </w:t>
      </w:r>
      <w:r w:rsidR="0013736A">
        <w:t xml:space="preserve">war </w:t>
      </w:r>
      <w:r w:rsidR="00AA7BB4">
        <w:t>memorials</w:t>
      </w:r>
      <w:r w:rsidR="0013736A">
        <w:t xml:space="preserve"> in the region</w:t>
      </w:r>
      <w:r w:rsidR="00AA7BB4">
        <w:t>, including Le Quesnoy</w:t>
      </w:r>
      <w:r w:rsidR="001373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DA" w:rsidRPr="00EB1B21" w:rsidRDefault="008D6EDA"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122A632"/>
    <w:lvl w:ilvl="0">
      <w:start w:val="1"/>
      <w:numFmt w:val="decimal"/>
      <w:pStyle w:val="ListNumber2"/>
      <w:lvlText w:val="%1."/>
      <w:lvlJc w:val="left"/>
      <w:pPr>
        <w:tabs>
          <w:tab w:val="num" w:pos="643"/>
        </w:tabs>
        <w:ind w:left="643" w:hanging="360"/>
      </w:pPr>
    </w:lvl>
  </w:abstractNum>
  <w:abstractNum w:abstractNumId="1" w15:restartNumberingAfterBreak="0">
    <w:nsid w:val="049C773C"/>
    <w:multiLevelType w:val="hybridMultilevel"/>
    <w:tmpl w:val="2466C0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08E6655"/>
    <w:multiLevelType w:val="hybridMultilevel"/>
    <w:tmpl w:val="1188F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1AC5BCC"/>
    <w:multiLevelType w:val="multilevel"/>
    <w:tmpl w:val="329294B2"/>
    <w:lvl w:ilvl="0">
      <w:start w:val="1"/>
      <w:numFmt w:val="decimal"/>
      <w:pStyle w:val="CabStandard"/>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DE5A8D"/>
    <w:multiLevelType w:val="hybridMultilevel"/>
    <w:tmpl w:val="93802A1A"/>
    <w:lvl w:ilvl="0" w:tplc="8E3E8056">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A8458F"/>
    <w:multiLevelType w:val="hybridMultilevel"/>
    <w:tmpl w:val="F1C25F1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4"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1C749CE"/>
    <w:multiLevelType w:val="hybridMultilevel"/>
    <w:tmpl w:val="723E0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CFA71DD"/>
    <w:multiLevelType w:val="hybridMultilevel"/>
    <w:tmpl w:val="FEFEE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36" w15:restartNumberingAfterBreak="0">
    <w:nsid w:val="7B9A1EFC"/>
    <w:multiLevelType w:val="hybridMultilevel"/>
    <w:tmpl w:val="DFC63DB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32"/>
  </w:num>
  <w:num w:numId="4">
    <w:abstractNumId w:val="12"/>
  </w:num>
  <w:num w:numId="5">
    <w:abstractNumId w:val="34"/>
  </w:num>
  <w:num w:numId="6">
    <w:abstractNumId w:val="27"/>
  </w:num>
  <w:num w:numId="7">
    <w:abstractNumId w:val="10"/>
  </w:num>
  <w:num w:numId="8">
    <w:abstractNumId w:val="15"/>
  </w:num>
  <w:num w:numId="9">
    <w:abstractNumId w:val="7"/>
  </w:num>
  <w:num w:numId="10">
    <w:abstractNumId w:val="21"/>
  </w:num>
  <w:num w:numId="11">
    <w:abstractNumId w:val="25"/>
  </w:num>
  <w:num w:numId="12">
    <w:abstractNumId w:val="5"/>
  </w:num>
  <w:num w:numId="13">
    <w:abstractNumId w:val="9"/>
  </w:num>
  <w:num w:numId="14">
    <w:abstractNumId w:val="16"/>
  </w:num>
  <w:num w:numId="15">
    <w:abstractNumId w:val="14"/>
  </w:num>
  <w:num w:numId="16">
    <w:abstractNumId w:val="6"/>
  </w:num>
  <w:num w:numId="17">
    <w:abstractNumId w:val="31"/>
  </w:num>
  <w:num w:numId="18">
    <w:abstractNumId w:val="4"/>
  </w:num>
  <w:num w:numId="19">
    <w:abstractNumId w:val="17"/>
  </w:num>
  <w:num w:numId="20">
    <w:abstractNumId w:val="30"/>
  </w:num>
  <w:num w:numId="21">
    <w:abstractNumId w:val="23"/>
  </w:num>
  <w:num w:numId="22">
    <w:abstractNumId w:val="8"/>
  </w:num>
  <w:num w:numId="23">
    <w:abstractNumId w:val="29"/>
  </w:num>
  <w:num w:numId="24">
    <w:abstractNumId w:val="26"/>
  </w:num>
  <w:num w:numId="25">
    <w:abstractNumId w:val="2"/>
  </w:num>
  <w:num w:numId="26">
    <w:abstractNumId w:val="18"/>
  </w:num>
  <w:num w:numId="27">
    <w:abstractNumId w:val="22"/>
  </w:num>
  <w:num w:numId="28">
    <w:abstractNumId w:val="24"/>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35"/>
  </w:num>
  <w:num w:numId="36">
    <w:abstractNumId w:val="0"/>
  </w:num>
  <w:num w:numId="37">
    <w:abstractNumId w:val="0"/>
    <w:lvlOverride w:ilvl="0">
      <w:startOverride w:val="1"/>
    </w:lvlOverride>
  </w:num>
  <w:num w:numId="38">
    <w:abstractNumId w:val="13"/>
  </w:num>
  <w:num w:numId="39">
    <w:abstractNumId w:val="33"/>
  </w:num>
  <w:num w:numId="40">
    <w:abstractNumId w:val="1"/>
  </w:num>
  <w:num w:numId="41">
    <w:abstractNumId w:val="28"/>
  </w:num>
  <w:num w:numId="42">
    <w:abstractNumId w:val="11"/>
  </w:num>
  <w:num w:numId="43">
    <w:abstractNumId w:val="36"/>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AA5"/>
    <w:rsid w:val="00000EBF"/>
    <w:rsid w:val="00004791"/>
    <w:rsid w:val="00011699"/>
    <w:rsid w:val="00020963"/>
    <w:rsid w:val="00026596"/>
    <w:rsid w:val="00026CC4"/>
    <w:rsid w:val="00030C30"/>
    <w:rsid w:val="00030DE6"/>
    <w:rsid w:val="00030EC1"/>
    <w:rsid w:val="0003500F"/>
    <w:rsid w:val="00044AAB"/>
    <w:rsid w:val="000453E2"/>
    <w:rsid w:val="00046CDC"/>
    <w:rsid w:val="00046E8D"/>
    <w:rsid w:val="00047DBC"/>
    <w:rsid w:val="00051A88"/>
    <w:rsid w:val="000535CE"/>
    <w:rsid w:val="00056353"/>
    <w:rsid w:val="00057DBE"/>
    <w:rsid w:val="0007033C"/>
    <w:rsid w:val="00070A95"/>
    <w:rsid w:val="00072031"/>
    <w:rsid w:val="00083206"/>
    <w:rsid w:val="0009009A"/>
    <w:rsid w:val="00090712"/>
    <w:rsid w:val="00091F8A"/>
    <w:rsid w:val="000945E6"/>
    <w:rsid w:val="0009467F"/>
    <w:rsid w:val="000A3146"/>
    <w:rsid w:val="000A3E15"/>
    <w:rsid w:val="000A4287"/>
    <w:rsid w:val="000A6D43"/>
    <w:rsid w:val="000B29EA"/>
    <w:rsid w:val="000C0F89"/>
    <w:rsid w:val="000C3197"/>
    <w:rsid w:val="000D51DC"/>
    <w:rsid w:val="000E180F"/>
    <w:rsid w:val="00100007"/>
    <w:rsid w:val="00101E46"/>
    <w:rsid w:val="00117ADD"/>
    <w:rsid w:val="00121A5F"/>
    <w:rsid w:val="001247E7"/>
    <w:rsid w:val="0012644B"/>
    <w:rsid w:val="00130F3C"/>
    <w:rsid w:val="0013736A"/>
    <w:rsid w:val="00144191"/>
    <w:rsid w:val="00150013"/>
    <w:rsid w:val="001624D2"/>
    <w:rsid w:val="001854C4"/>
    <w:rsid w:val="00190453"/>
    <w:rsid w:val="001B3E1F"/>
    <w:rsid w:val="001C02F2"/>
    <w:rsid w:val="001D200F"/>
    <w:rsid w:val="001D31D9"/>
    <w:rsid w:val="001E0D43"/>
    <w:rsid w:val="001F4CBA"/>
    <w:rsid w:val="001F6B16"/>
    <w:rsid w:val="00207CEA"/>
    <w:rsid w:val="002106CB"/>
    <w:rsid w:val="00217894"/>
    <w:rsid w:val="00223E66"/>
    <w:rsid w:val="002253F8"/>
    <w:rsid w:val="0024289C"/>
    <w:rsid w:val="0024427D"/>
    <w:rsid w:val="00252ED9"/>
    <w:rsid w:val="0025489A"/>
    <w:rsid w:val="00255CB4"/>
    <w:rsid w:val="00257D02"/>
    <w:rsid w:val="0026178B"/>
    <w:rsid w:val="00273A42"/>
    <w:rsid w:val="00275D0D"/>
    <w:rsid w:val="002878F3"/>
    <w:rsid w:val="00287F04"/>
    <w:rsid w:val="00293FDC"/>
    <w:rsid w:val="002962D0"/>
    <w:rsid w:val="002A3FA9"/>
    <w:rsid w:val="002A56F0"/>
    <w:rsid w:val="002A6A33"/>
    <w:rsid w:val="002A7525"/>
    <w:rsid w:val="002B0132"/>
    <w:rsid w:val="002C3F22"/>
    <w:rsid w:val="002C6C5E"/>
    <w:rsid w:val="002D499E"/>
    <w:rsid w:val="002D54C0"/>
    <w:rsid w:val="002D5734"/>
    <w:rsid w:val="002D63C9"/>
    <w:rsid w:val="002E3C54"/>
    <w:rsid w:val="002E64F4"/>
    <w:rsid w:val="002F57C1"/>
    <w:rsid w:val="002F76BF"/>
    <w:rsid w:val="0030117A"/>
    <w:rsid w:val="003023D2"/>
    <w:rsid w:val="00304420"/>
    <w:rsid w:val="00304CE4"/>
    <w:rsid w:val="00305261"/>
    <w:rsid w:val="00313028"/>
    <w:rsid w:val="00316701"/>
    <w:rsid w:val="003200EB"/>
    <w:rsid w:val="00321EF6"/>
    <w:rsid w:val="0032262A"/>
    <w:rsid w:val="00324230"/>
    <w:rsid w:val="00330C1F"/>
    <w:rsid w:val="00336018"/>
    <w:rsid w:val="0033708B"/>
    <w:rsid w:val="003406B8"/>
    <w:rsid w:val="003409BC"/>
    <w:rsid w:val="00345C4C"/>
    <w:rsid w:val="003476AE"/>
    <w:rsid w:val="003669F8"/>
    <w:rsid w:val="00367174"/>
    <w:rsid w:val="003673D7"/>
    <w:rsid w:val="00367483"/>
    <w:rsid w:val="003730F0"/>
    <w:rsid w:val="00380585"/>
    <w:rsid w:val="00380CE1"/>
    <w:rsid w:val="00382F88"/>
    <w:rsid w:val="0039026F"/>
    <w:rsid w:val="003963CE"/>
    <w:rsid w:val="003B25DE"/>
    <w:rsid w:val="003B29A3"/>
    <w:rsid w:val="003B4177"/>
    <w:rsid w:val="003B7585"/>
    <w:rsid w:val="003C12FA"/>
    <w:rsid w:val="003C4C54"/>
    <w:rsid w:val="003C513F"/>
    <w:rsid w:val="003C69DB"/>
    <w:rsid w:val="003D2B86"/>
    <w:rsid w:val="003D791F"/>
    <w:rsid w:val="003E1A9E"/>
    <w:rsid w:val="003E2D42"/>
    <w:rsid w:val="003F0DF3"/>
    <w:rsid w:val="004018FB"/>
    <w:rsid w:val="00403FCA"/>
    <w:rsid w:val="004347CA"/>
    <w:rsid w:val="00441C7C"/>
    <w:rsid w:val="004436F9"/>
    <w:rsid w:val="004504D1"/>
    <w:rsid w:val="00456ED6"/>
    <w:rsid w:val="0046147B"/>
    <w:rsid w:val="00462DB7"/>
    <w:rsid w:val="00470D09"/>
    <w:rsid w:val="00472D95"/>
    <w:rsid w:val="00477FAF"/>
    <w:rsid w:val="004819A9"/>
    <w:rsid w:val="004867FC"/>
    <w:rsid w:val="00491896"/>
    <w:rsid w:val="00492010"/>
    <w:rsid w:val="004933E0"/>
    <w:rsid w:val="00493D58"/>
    <w:rsid w:val="004949B0"/>
    <w:rsid w:val="004976C6"/>
    <w:rsid w:val="00497CA4"/>
    <w:rsid w:val="004A0227"/>
    <w:rsid w:val="004A192D"/>
    <w:rsid w:val="004A3E08"/>
    <w:rsid w:val="004B26AC"/>
    <w:rsid w:val="004C1EF8"/>
    <w:rsid w:val="004C4F11"/>
    <w:rsid w:val="004C60F0"/>
    <w:rsid w:val="004D1B86"/>
    <w:rsid w:val="004E4614"/>
    <w:rsid w:val="005029F6"/>
    <w:rsid w:val="0050557E"/>
    <w:rsid w:val="00507B35"/>
    <w:rsid w:val="00507F11"/>
    <w:rsid w:val="00511D2E"/>
    <w:rsid w:val="00521BDE"/>
    <w:rsid w:val="00525DC9"/>
    <w:rsid w:val="0053213E"/>
    <w:rsid w:val="005429F8"/>
    <w:rsid w:val="00542FB4"/>
    <w:rsid w:val="00546379"/>
    <w:rsid w:val="00546F69"/>
    <w:rsid w:val="0054708F"/>
    <w:rsid w:val="00561BF0"/>
    <w:rsid w:val="00562BE6"/>
    <w:rsid w:val="00564647"/>
    <w:rsid w:val="00567434"/>
    <w:rsid w:val="00580BDE"/>
    <w:rsid w:val="005846C4"/>
    <w:rsid w:val="00585F37"/>
    <w:rsid w:val="00586DC9"/>
    <w:rsid w:val="005876C7"/>
    <w:rsid w:val="005876FF"/>
    <w:rsid w:val="00587CAA"/>
    <w:rsid w:val="00592BE3"/>
    <w:rsid w:val="005A3981"/>
    <w:rsid w:val="005B40C9"/>
    <w:rsid w:val="005B60CF"/>
    <w:rsid w:val="005B7B4F"/>
    <w:rsid w:val="005C35F6"/>
    <w:rsid w:val="005C5CCA"/>
    <w:rsid w:val="005D0F5F"/>
    <w:rsid w:val="005D5A94"/>
    <w:rsid w:val="005D5BF0"/>
    <w:rsid w:val="005E69DC"/>
    <w:rsid w:val="005F27E0"/>
    <w:rsid w:val="005F3DED"/>
    <w:rsid w:val="0061527A"/>
    <w:rsid w:val="006227E8"/>
    <w:rsid w:val="0064472A"/>
    <w:rsid w:val="00646AFB"/>
    <w:rsid w:val="00650020"/>
    <w:rsid w:val="00651F8A"/>
    <w:rsid w:val="00657317"/>
    <w:rsid w:val="0067537D"/>
    <w:rsid w:val="00676708"/>
    <w:rsid w:val="00686B28"/>
    <w:rsid w:val="00687262"/>
    <w:rsid w:val="0069218C"/>
    <w:rsid w:val="00692F27"/>
    <w:rsid w:val="00695DAC"/>
    <w:rsid w:val="00696BA1"/>
    <w:rsid w:val="006A08E4"/>
    <w:rsid w:val="006A1EF5"/>
    <w:rsid w:val="006A3A09"/>
    <w:rsid w:val="006A70C4"/>
    <w:rsid w:val="006A7611"/>
    <w:rsid w:val="006B0131"/>
    <w:rsid w:val="006B1547"/>
    <w:rsid w:val="006B19B3"/>
    <w:rsid w:val="006B3356"/>
    <w:rsid w:val="006B4D2D"/>
    <w:rsid w:val="006B4FB8"/>
    <w:rsid w:val="006C2725"/>
    <w:rsid w:val="006C40C2"/>
    <w:rsid w:val="006C67BA"/>
    <w:rsid w:val="006C69B4"/>
    <w:rsid w:val="006D3130"/>
    <w:rsid w:val="006D3F4E"/>
    <w:rsid w:val="006D5192"/>
    <w:rsid w:val="006E6D6B"/>
    <w:rsid w:val="006F1B00"/>
    <w:rsid w:val="006F4195"/>
    <w:rsid w:val="006F5CEE"/>
    <w:rsid w:val="00704377"/>
    <w:rsid w:val="00705DEE"/>
    <w:rsid w:val="0071234B"/>
    <w:rsid w:val="00714464"/>
    <w:rsid w:val="007164F6"/>
    <w:rsid w:val="00725A1F"/>
    <w:rsid w:val="00730D3F"/>
    <w:rsid w:val="007336E9"/>
    <w:rsid w:val="00736E02"/>
    <w:rsid w:val="00753BEE"/>
    <w:rsid w:val="007564C0"/>
    <w:rsid w:val="007638C8"/>
    <w:rsid w:val="007638F5"/>
    <w:rsid w:val="00771958"/>
    <w:rsid w:val="00775CEF"/>
    <w:rsid w:val="00777A52"/>
    <w:rsid w:val="00783846"/>
    <w:rsid w:val="00784C66"/>
    <w:rsid w:val="00796B2E"/>
    <w:rsid w:val="007C2D80"/>
    <w:rsid w:val="007C4B51"/>
    <w:rsid w:val="007C77B1"/>
    <w:rsid w:val="007E384B"/>
    <w:rsid w:val="007E6522"/>
    <w:rsid w:val="007F5182"/>
    <w:rsid w:val="007F6CB5"/>
    <w:rsid w:val="00800A3B"/>
    <w:rsid w:val="00800DEC"/>
    <w:rsid w:val="00805B57"/>
    <w:rsid w:val="00805BC9"/>
    <w:rsid w:val="008175F3"/>
    <w:rsid w:val="00821F65"/>
    <w:rsid w:val="008221A5"/>
    <w:rsid w:val="008267E8"/>
    <w:rsid w:val="00826BE8"/>
    <w:rsid w:val="00831F7E"/>
    <w:rsid w:val="0084066F"/>
    <w:rsid w:val="00840BA4"/>
    <w:rsid w:val="00841B2A"/>
    <w:rsid w:val="008425B0"/>
    <w:rsid w:val="008426BB"/>
    <w:rsid w:val="008464B3"/>
    <w:rsid w:val="008616EB"/>
    <w:rsid w:val="00862555"/>
    <w:rsid w:val="00864EBC"/>
    <w:rsid w:val="00865B0F"/>
    <w:rsid w:val="00865B6A"/>
    <w:rsid w:val="00865D65"/>
    <w:rsid w:val="00872D60"/>
    <w:rsid w:val="00873504"/>
    <w:rsid w:val="00886DFF"/>
    <w:rsid w:val="00894FBC"/>
    <w:rsid w:val="008A124E"/>
    <w:rsid w:val="008A1ADA"/>
    <w:rsid w:val="008A63C6"/>
    <w:rsid w:val="008A6442"/>
    <w:rsid w:val="008B7028"/>
    <w:rsid w:val="008C2415"/>
    <w:rsid w:val="008C7963"/>
    <w:rsid w:val="008D07AC"/>
    <w:rsid w:val="008D6EDA"/>
    <w:rsid w:val="008E0F12"/>
    <w:rsid w:val="008E1BCC"/>
    <w:rsid w:val="008E3D8C"/>
    <w:rsid w:val="008E7C4F"/>
    <w:rsid w:val="008F6E62"/>
    <w:rsid w:val="009116F4"/>
    <w:rsid w:val="00913F6D"/>
    <w:rsid w:val="00917A22"/>
    <w:rsid w:val="00917DFA"/>
    <w:rsid w:val="00922536"/>
    <w:rsid w:val="00933EBB"/>
    <w:rsid w:val="00951ABE"/>
    <w:rsid w:val="009529E8"/>
    <w:rsid w:val="009559D3"/>
    <w:rsid w:val="0095645E"/>
    <w:rsid w:val="00956FB1"/>
    <w:rsid w:val="00957BC2"/>
    <w:rsid w:val="0096111D"/>
    <w:rsid w:val="00961C6C"/>
    <w:rsid w:val="00962209"/>
    <w:rsid w:val="00964CBA"/>
    <w:rsid w:val="00967500"/>
    <w:rsid w:val="00971F82"/>
    <w:rsid w:val="009727AB"/>
    <w:rsid w:val="00975CEB"/>
    <w:rsid w:val="00976E7D"/>
    <w:rsid w:val="00977B66"/>
    <w:rsid w:val="00986299"/>
    <w:rsid w:val="00986DCD"/>
    <w:rsid w:val="009932EE"/>
    <w:rsid w:val="00997B13"/>
    <w:rsid w:val="009A3114"/>
    <w:rsid w:val="009A7A20"/>
    <w:rsid w:val="009B3543"/>
    <w:rsid w:val="009B4532"/>
    <w:rsid w:val="009C1953"/>
    <w:rsid w:val="009C255F"/>
    <w:rsid w:val="009C3DF5"/>
    <w:rsid w:val="009D6E71"/>
    <w:rsid w:val="009E016A"/>
    <w:rsid w:val="009F0757"/>
    <w:rsid w:val="009F69D7"/>
    <w:rsid w:val="009F71E0"/>
    <w:rsid w:val="00A00AAD"/>
    <w:rsid w:val="00A063B5"/>
    <w:rsid w:val="00A146CA"/>
    <w:rsid w:val="00A33BA0"/>
    <w:rsid w:val="00A34F4A"/>
    <w:rsid w:val="00A358C8"/>
    <w:rsid w:val="00A441F1"/>
    <w:rsid w:val="00A45C7B"/>
    <w:rsid w:val="00A552DC"/>
    <w:rsid w:val="00A66590"/>
    <w:rsid w:val="00A71111"/>
    <w:rsid w:val="00A84122"/>
    <w:rsid w:val="00AA6B0E"/>
    <w:rsid w:val="00AA7BB4"/>
    <w:rsid w:val="00AB73B3"/>
    <w:rsid w:val="00AC030B"/>
    <w:rsid w:val="00AC5D2A"/>
    <w:rsid w:val="00AD6B24"/>
    <w:rsid w:val="00AE4238"/>
    <w:rsid w:val="00AE4D46"/>
    <w:rsid w:val="00AE74DD"/>
    <w:rsid w:val="00AF3223"/>
    <w:rsid w:val="00AF3A37"/>
    <w:rsid w:val="00AF7A43"/>
    <w:rsid w:val="00B037EF"/>
    <w:rsid w:val="00B14159"/>
    <w:rsid w:val="00B15F56"/>
    <w:rsid w:val="00B17B3C"/>
    <w:rsid w:val="00B20152"/>
    <w:rsid w:val="00B20765"/>
    <w:rsid w:val="00B23E8A"/>
    <w:rsid w:val="00B274E5"/>
    <w:rsid w:val="00B36918"/>
    <w:rsid w:val="00B4041D"/>
    <w:rsid w:val="00B47208"/>
    <w:rsid w:val="00B478FE"/>
    <w:rsid w:val="00B5405D"/>
    <w:rsid w:val="00B662DD"/>
    <w:rsid w:val="00B71C2A"/>
    <w:rsid w:val="00B825D8"/>
    <w:rsid w:val="00B834F9"/>
    <w:rsid w:val="00B84503"/>
    <w:rsid w:val="00B916E1"/>
    <w:rsid w:val="00B952B7"/>
    <w:rsid w:val="00BA08C7"/>
    <w:rsid w:val="00BA18C4"/>
    <w:rsid w:val="00BB3C0C"/>
    <w:rsid w:val="00BC2351"/>
    <w:rsid w:val="00BC51B1"/>
    <w:rsid w:val="00BC5EB8"/>
    <w:rsid w:val="00BD6FF2"/>
    <w:rsid w:val="00BE2560"/>
    <w:rsid w:val="00BE4A62"/>
    <w:rsid w:val="00BE4B9F"/>
    <w:rsid w:val="00BE62EB"/>
    <w:rsid w:val="00C05A4B"/>
    <w:rsid w:val="00C0731D"/>
    <w:rsid w:val="00C16186"/>
    <w:rsid w:val="00C22E30"/>
    <w:rsid w:val="00C24A22"/>
    <w:rsid w:val="00C2708A"/>
    <w:rsid w:val="00C3178B"/>
    <w:rsid w:val="00C33D79"/>
    <w:rsid w:val="00C37C9A"/>
    <w:rsid w:val="00C45246"/>
    <w:rsid w:val="00C47101"/>
    <w:rsid w:val="00C562C0"/>
    <w:rsid w:val="00C61C82"/>
    <w:rsid w:val="00C62259"/>
    <w:rsid w:val="00C65504"/>
    <w:rsid w:val="00C75739"/>
    <w:rsid w:val="00C7655A"/>
    <w:rsid w:val="00C77099"/>
    <w:rsid w:val="00C810D9"/>
    <w:rsid w:val="00C81593"/>
    <w:rsid w:val="00C9010A"/>
    <w:rsid w:val="00C92522"/>
    <w:rsid w:val="00C92871"/>
    <w:rsid w:val="00C93AA5"/>
    <w:rsid w:val="00CA1453"/>
    <w:rsid w:val="00CB21D5"/>
    <w:rsid w:val="00CB4DE2"/>
    <w:rsid w:val="00CB67DD"/>
    <w:rsid w:val="00CB7FF9"/>
    <w:rsid w:val="00CC73CF"/>
    <w:rsid w:val="00CD7357"/>
    <w:rsid w:val="00CE0F5F"/>
    <w:rsid w:val="00CE5770"/>
    <w:rsid w:val="00CF0C99"/>
    <w:rsid w:val="00CF2930"/>
    <w:rsid w:val="00D013B5"/>
    <w:rsid w:val="00D019CB"/>
    <w:rsid w:val="00D06A55"/>
    <w:rsid w:val="00D13459"/>
    <w:rsid w:val="00D15242"/>
    <w:rsid w:val="00D17B9A"/>
    <w:rsid w:val="00D236C4"/>
    <w:rsid w:val="00D24298"/>
    <w:rsid w:val="00D26A33"/>
    <w:rsid w:val="00D33447"/>
    <w:rsid w:val="00D657E9"/>
    <w:rsid w:val="00D6708F"/>
    <w:rsid w:val="00D90032"/>
    <w:rsid w:val="00D92418"/>
    <w:rsid w:val="00D944BF"/>
    <w:rsid w:val="00D95F23"/>
    <w:rsid w:val="00D9793F"/>
    <w:rsid w:val="00DA06D7"/>
    <w:rsid w:val="00DA171E"/>
    <w:rsid w:val="00DA3861"/>
    <w:rsid w:val="00DA39FD"/>
    <w:rsid w:val="00DA68EC"/>
    <w:rsid w:val="00DB3BDC"/>
    <w:rsid w:val="00DB5B83"/>
    <w:rsid w:val="00DD129E"/>
    <w:rsid w:val="00DE31E4"/>
    <w:rsid w:val="00DF28A1"/>
    <w:rsid w:val="00E01A35"/>
    <w:rsid w:val="00E032B8"/>
    <w:rsid w:val="00E103C8"/>
    <w:rsid w:val="00E16BAB"/>
    <w:rsid w:val="00E1767D"/>
    <w:rsid w:val="00E2702E"/>
    <w:rsid w:val="00E337A1"/>
    <w:rsid w:val="00E42E9F"/>
    <w:rsid w:val="00E51605"/>
    <w:rsid w:val="00E57521"/>
    <w:rsid w:val="00E62373"/>
    <w:rsid w:val="00E63D26"/>
    <w:rsid w:val="00E666F3"/>
    <w:rsid w:val="00E66CC0"/>
    <w:rsid w:val="00E774F8"/>
    <w:rsid w:val="00E858C4"/>
    <w:rsid w:val="00E90F76"/>
    <w:rsid w:val="00E92509"/>
    <w:rsid w:val="00E95647"/>
    <w:rsid w:val="00E96043"/>
    <w:rsid w:val="00E97070"/>
    <w:rsid w:val="00E9759E"/>
    <w:rsid w:val="00EA1F92"/>
    <w:rsid w:val="00EA2449"/>
    <w:rsid w:val="00EA36B1"/>
    <w:rsid w:val="00EA773D"/>
    <w:rsid w:val="00EB0E8C"/>
    <w:rsid w:val="00EB7B64"/>
    <w:rsid w:val="00EC3D8D"/>
    <w:rsid w:val="00EC5272"/>
    <w:rsid w:val="00EC5CF4"/>
    <w:rsid w:val="00EC6FAD"/>
    <w:rsid w:val="00ED1D6B"/>
    <w:rsid w:val="00EE4E3B"/>
    <w:rsid w:val="00F043AA"/>
    <w:rsid w:val="00F0662E"/>
    <w:rsid w:val="00F132B2"/>
    <w:rsid w:val="00F14105"/>
    <w:rsid w:val="00F24203"/>
    <w:rsid w:val="00F32B68"/>
    <w:rsid w:val="00F44166"/>
    <w:rsid w:val="00F60184"/>
    <w:rsid w:val="00F633BF"/>
    <w:rsid w:val="00F63B99"/>
    <w:rsid w:val="00F72C9B"/>
    <w:rsid w:val="00F75263"/>
    <w:rsid w:val="00F81C1E"/>
    <w:rsid w:val="00F82878"/>
    <w:rsid w:val="00F82BF4"/>
    <w:rsid w:val="00F86B1D"/>
    <w:rsid w:val="00F92697"/>
    <w:rsid w:val="00F92FA5"/>
    <w:rsid w:val="00F930B5"/>
    <w:rsid w:val="00FA0118"/>
    <w:rsid w:val="00FA48FA"/>
    <w:rsid w:val="00FB0F21"/>
    <w:rsid w:val="00FB2373"/>
    <w:rsid w:val="00FB5BB9"/>
    <w:rsid w:val="00FC14E6"/>
    <w:rsid w:val="00FC4045"/>
    <w:rsid w:val="00FD0D35"/>
    <w:rsid w:val="00FD5F1F"/>
    <w:rsid w:val="00FE691D"/>
    <w:rsid w:val="00FF0CC9"/>
    <w:rsid w:val="00FF1DB3"/>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604F791F-AF4B-4919-89E5-3B844DC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93FDC"/>
    <w:pPr>
      <w:keepNext/>
      <w:spacing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957BC2"/>
    <w:pPr>
      <w:spacing w:after="0" w:line="240" w:lineRule="auto"/>
      <w:ind w:left="-1985"/>
      <w:jc w:val="right"/>
    </w:pPr>
    <w:rPr>
      <w:noProof/>
      <w:color w:val="0082AB"/>
      <w:spacing w:val="6"/>
      <w:sz w:val="16"/>
      <w:szCs w:val="16"/>
    </w:rPr>
  </w:style>
  <w:style w:type="character" w:customStyle="1" w:styleId="FooterChar">
    <w:name w:val="Footer Char"/>
    <w:link w:val="Footer"/>
    <w:rsid w:val="00957BC2"/>
    <w:rPr>
      <w:rFonts w:ascii="Arial" w:eastAsia="Times New Roman" w:hAnsi="Arial" w:cs="Times New Roman"/>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800DEC"/>
    <w:pPr>
      <w:numPr>
        <w:numId w:val="29"/>
      </w:numPr>
      <w:spacing w:after="180" w:line="280" w:lineRule="exact"/>
    </w:pPr>
    <w:rPr>
      <w:rFonts w:ascii="Arial" w:eastAsia="Times New Roman" w:hAnsi="Arial"/>
      <w:sz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rsid w:val="00EC6FAD"/>
    <w:rPr>
      <w:rFonts w:ascii="Arial" w:hAnsi="Arial"/>
      <w:color w:val="auto"/>
      <w:position w:val="8"/>
      <w:sz w:val="16"/>
    </w:rPr>
  </w:style>
  <w:style w:type="paragraph" w:styleId="FootnoteText">
    <w:name w:val="footnote text"/>
    <w:basedOn w:val="Normal"/>
    <w:link w:val="FootnoteTextChar"/>
    <w:rsid w:val="00EC6FAD"/>
    <w:pPr>
      <w:tabs>
        <w:tab w:val="left" w:pos="425"/>
      </w:tabs>
      <w:spacing w:after="60" w:line="240" w:lineRule="auto"/>
      <w:ind w:left="425" w:hanging="425"/>
    </w:pPr>
    <w:rPr>
      <w:sz w:val="18"/>
    </w:rPr>
  </w:style>
  <w:style w:type="character" w:customStyle="1" w:styleId="FootnoteTextChar">
    <w:name w:val="Footnote Text Char"/>
    <w:link w:val="FootnoteText"/>
    <w:rsid w:val="00EC6FAD"/>
    <w:rPr>
      <w:rFonts w:ascii="Arial" w:eastAsia="Times New Roman" w:hAnsi="Arial" w:cs="Times New Roman"/>
      <w:sz w:val="18"/>
      <w:szCs w:val="20"/>
      <w:lang w:val="en-GB" w:eastAsia="en-GB"/>
    </w:rPr>
  </w:style>
  <w:style w:type="character" w:customStyle="1" w:styleId="Heading2Char">
    <w:name w:val="Heading 2 Char"/>
    <w:link w:val="Heading2"/>
    <w:rsid w:val="00293FDC"/>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TRBodyText">
    <w:name w:val="_TRBody Text"/>
    <w:link w:val="TRBodyTextChar1"/>
    <w:rsid w:val="00030C30"/>
    <w:pPr>
      <w:spacing w:line="300" w:lineRule="atLeast"/>
      <w:jc w:val="both"/>
    </w:pPr>
    <w:rPr>
      <w:rFonts w:ascii="Times New Roman" w:eastAsia="Times New Roman" w:hAnsi="Times New Roman"/>
      <w:sz w:val="24"/>
      <w:lang w:eastAsia="en-AU"/>
    </w:rPr>
  </w:style>
  <w:style w:type="character" w:customStyle="1" w:styleId="TRBodyTextChar1">
    <w:name w:val="_TRBody Text Char1"/>
    <w:link w:val="TRBodyText"/>
    <w:rsid w:val="00030C30"/>
    <w:rPr>
      <w:rFonts w:ascii="Times New Roman" w:eastAsia="Times New Roman" w:hAnsi="Times New Roman"/>
      <w:sz w:val="24"/>
      <w:lang w:eastAsia="en-AU"/>
    </w:rPr>
  </w:style>
  <w:style w:type="paragraph" w:customStyle="1" w:styleId="TRNormal">
    <w:name w:val="_TRNormal"/>
    <w:link w:val="TRNormalChar"/>
    <w:rsid w:val="00030C30"/>
    <w:pPr>
      <w:spacing w:line="300" w:lineRule="atLeast"/>
      <w:jc w:val="both"/>
    </w:pPr>
    <w:rPr>
      <w:rFonts w:ascii="Times New Roman" w:eastAsia="Times New Roman" w:hAnsi="Times New Roman"/>
      <w:sz w:val="24"/>
      <w:lang w:eastAsia="en-AU"/>
    </w:rPr>
  </w:style>
  <w:style w:type="paragraph" w:customStyle="1" w:styleId="TRListBullet">
    <w:name w:val="_TRList Bullet"/>
    <w:basedOn w:val="TRNormal"/>
    <w:rsid w:val="00030C30"/>
    <w:pPr>
      <w:numPr>
        <w:numId w:val="35"/>
      </w:numPr>
      <w:tabs>
        <w:tab w:val="clear" w:pos="1134"/>
      </w:tabs>
      <w:spacing w:after="200"/>
      <w:ind w:left="539" w:hanging="539"/>
    </w:pPr>
  </w:style>
  <w:style w:type="character" w:customStyle="1" w:styleId="TRNormalChar">
    <w:name w:val="_TRNormal Char"/>
    <w:basedOn w:val="DefaultParagraphFont"/>
    <w:link w:val="TRNormal"/>
    <w:rsid w:val="00030C30"/>
    <w:rPr>
      <w:rFonts w:ascii="Times New Roman" w:eastAsia="Times New Roman" w:hAnsi="Times New Roman"/>
      <w:sz w:val="24"/>
      <w:lang w:eastAsia="en-AU"/>
    </w:rPr>
  </w:style>
  <w:style w:type="paragraph" w:styleId="ListNumber2">
    <w:name w:val="List Number 2"/>
    <w:basedOn w:val="Normal"/>
    <w:unhideWhenUsed/>
    <w:qFormat/>
    <w:rsid w:val="00030C30"/>
    <w:pPr>
      <w:numPr>
        <w:numId w:val="36"/>
      </w:numPr>
      <w:contextualSpacing/>
    </w:pPr>
  </w:style>
  <w:style w:type="paragraph" w:customStyle="1" w:styleId="CabStandard">
    <w:name w:val="CabStandard"/>
    <w:basedOn w:val="Normal"/>
    <w:rsid w:val="00EA773D"/>
    <w:pPr>
      <w:numPr>
        <w:numId w:val="38"/>
      </w:numPr>
      <w:spacing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022486">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Regulatory impact assessment - New Zealand Memorial Museum Trust – Le Quesnoy: tax benefits for monetary donations (26 July 2018)</vt:lpstr>
    </vt:vector>
  </TitlesOfParts>
  <Company>Inland Revenue</Company>
  <LinksUpToDate>false</LinksUpToDate>
  <CharactersWithSpaces>29765</CharactersWithSpaces>
  <SharedDoc>false</SharedDoc>
  <HLinks>
    <vt:vector size="36" baseType="variant">
      <vt:variant>
        <vt:i4>8257662</vt:i4>
      </vt:variant>
      <vt:variant>
        <vt:i4>15</vt:i4>
      </vt:variant>
      <vt:variant>
        <vt:i4>0</vt:i4>
      </vt:variant>
      <vt:variant>
        <vt:i4>5</vt:i4>
      </vt:variant>
      <vt:variant>
        <vt:lpwstr>http://www.treasury.govt.nz/publications/guidance/planning/costbenefitanalysis</vt:lpwstr>
      </vt:variant>
      <vt:variant>
        <vt:lpwstr/>
      </vt:variant>
      <vt:variant>
        <vt:i4>2949239</vt:i4>
      </vt:variant>
      <vt:variant>
        <vt:i4>12</vt:i4>
      </vt:variant>
      <vt:variant>
        <vt:i4>0</vt:i4>
      </vt:variant>
      <vt:variant>
        <vt:i4>5</vt:i4>
      </vt:variant>
      <vt:variant>
        <vt:lpwstr>http://www.treasury.govt.nz/publications/guidance/planning/costbenefitanalysis/x/x-guide-oct15.pdf</vt:lpwstr>
      </vt:variant>
      <vt:variant>
        <vt:lpwstr/>
      </vt:variant>
      <vt:variant>
        <vt:i4>2687029</vt:i4>
      </vt:variant>
      <vt:variant>
        <vt:i4>9</vt:i4>
      </vt:variant>
      <vt:variant>
        <vt:i4>0</vt:i4>
      </vt:variant>
      <vt:variant>
        <vt:i4>5</vt:i4>
      </vt:variant>
      <vt:variant>
        <vt:lpwstr>http://www.treasury.govt.nz/regulation/expectations</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New Zealand Memorial Museum Trust – Le Quesnoy: tax benefits for monetary donations (26 July 2018)</dc:title>
  <dc:creator>Policy and Strategy</dc:creator>
  <dc:description>Published February 2019.</dc:description>
  <dcterms:created xsi:type="dcterms:W3CDTF">2019-02-07T22:17:00Z</dcterms:created>
  <dcterms:modified xsi:type="dcterms:W3CDTF">2019-02-07T22:27:00Z</dcterms:modified>
</cp:coreProperties>
</file>