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D4" w:rsidRPr="00895C9F" w:rsidRDefault="00B374D4" w:rsidP="00B374D4">
      <w:pPr>
        <w:spacing w:after="0" w:line="240" w:lineRule="auto"/>
        <w:rPr>
          <w:b/>
          <w:sz w:val="36"/>
          <w:szCs w:val="32"/>
        </w:rPr>
      </w:pPr>
      <w:bookmarkStart w:id="0" w:name="_Toc244580362"/>
      <w:bookmarkStart w:id="1" w:name="_Toc244587038"/>
      <w:bookmarkStart w:id="2" w:name="_Toc244857272"/>
      <w:bookmarkStart w:id="3" w:name="_Toc244912537"/>
      <w:bookmarkStart w:id="4" w:name="_Toc244916994"/>
      <w:bookmarkStart w:id="5" w:name="_GoBack"/>
      <w:bookmarkEnd w:id="5"/>
      <w:r w:rsidRPr="00895C9F">
        <w:rPr>
          <w:b/>
          <w:sz w:val="36"/>
          <w:szCs w:val="32"/>
        </w:rPr>
        <w:t>Coversheet: Research and Development Tax Incentive</w:t>
      </w:r>
      <w:r>
        <w:rPr>
          <w:b/>
          <w:sz w:val="36"/>
          <w:szCs w:val="32"/>
        </w:rPr>
        <w:t xml:space="preserve"> - Refundability</w:t>
      </w:r>
    </w:p>
    <w:p w:rsidR="00B374D4" w:rsidRDefault="00B374D4" w:rsidP="00B374D4">
      <w:pPr>
        <w:spacing w:after="0" w:line="240" w:lineRule="auto"/>
        <w:rPr>
          <w:sz w:val="32"/>
          <w:szCs w:val="32"/>
        </w:rPr>
      </w:pPr>
    </w:p>
    <w:tbl>
      <w:tblPr>
        <w:tblStyle w:val="TableGrid"/>
        <w:tblW w:w="0" w:type="auto"/>
        <w:tblLook w:val="04A0" w:firstRow="1" w:lastRow="0" w:firstColumn="1" w:lastColumn="0" w:noHBand="0" w:noVBand="1"/>
      </w:tblPr>
      <w:tblGrid>
        <w:gridCol w:w="2376"/>
        <w:gridCol w:w="6911"/>
      </w:tblGrid>
      <w:tr w:rsidR="00B374D4" w:rsidTr="00B374D4">
        <w:tc>
          <w:tcPr>
            <w:tcW w:w="2376" w:type="dxa"/>
          </w:tcPr>
          <w:p w:rsidR="00B374D4" w:rsidRPr="00895C9F" w:rsidRDefault="00B374D4" w:rsidP="00B374D4">
            <w:pPr>
              <w:spacing w:after="0" w:line="240" w:lineRule="auto"/>
              <w:rPr>
                <w:sz w:val="24"/>
                <w:szCs w:val="24"/>
              </w:rPr>
            </w:pPr>
            <w:r w:rsidRPr="00895C9F">
              <w:rPr>
                <w:sz w:val="24"/>
                <w:szCs w:val="24"/>
              </w:rPr>
              <w:t>Advising agencies</w:t>
            </w:r>
          </w:p>
        </w:tc>
        <w:tc>
          <w:tcPr>
            <w:tcW w:w="6911" w:type="dxa"/>
          </w:tcPr>
          <w:p w:rsidR="00B374D4" w:rsidRDefault="00B374D4" w:rsidP="00B374D4">
            <w:pPr>
              <w:spacing w:after="0" w:line="240" w:lineRule="auto"/>
              <w:rPr>
                <w:sz w:val="24"/>
                <w:szCs w:val="24"/>
              </w:rPr>
            </w:pPr>
            <w:r>
              <w:rPr>
                <w:sz w:val="24"/>
                <w:szCs w:val="24"/>
              </w:rPr>
              <w:t>Ministry of Business, Innovation and Employment (MBIE)</w:t>
            </w:r>
          </w:p>
          <w:p w:rsidR="00B374D4" w:rsidRDefault="00B374D4" w:rsidP="00B374D4">
            <w:pPr>
              <w:spacing w:after="0" w:line="240" w:lineRule="auto"/>
              <w:rPr>
                <w:sz w:val="24"/>
                <w:szCs w:val="24"/>
              </w:rPr>
            </w:pPr>
            <w:r>
              <w:rPr>
                <w:sz w:val="24"/>
                <w:szCs w:val="24"/>
              </w:rPr>
              <w:t>Inland Revenue (IR)</w:t>
            </w:r>
          </w:p>
          <w:p w:rsidR="00B374D4" w:rsidRDefault="00B374D4" w:rsidP="00B374D4">
            <w:pPr>
              <w:spacing w:after="0" w:line="240" w:lineRule="auto"/>
              <w:rPr>
                <w:sz w:val="24"/>
                <w:szCs w:val="24"/>
              </w:rPr>
            </w:pPr>
            <w:r>
              <w:rPr>
                <w:sz w:val="24"/>
                <w:szCs w:val="24"/>
              </w:rPr>
              <w:t>The Treasury</w:t>
            </w:r>
          </w:p>
          <w:p w:rsidR="00B374D4" w:rsidRPr="00895C9F" w:rsidRDefault="00B374D4" w:rsidP="00B374D4">
            <w:pPr>
              <w:spacing w:after="0" w:line="240" w:lineRule="auto"/>
              <w:rPr>
                <w:sz w:val="24"/>
                <w:szCs w:val="24"/>
              </w:rPr>
            </w:pPr>
            <w:r>
              <w:rPr>
                <w:sz w:val="24"/>
                <w:szCs w:val="24"/>
              </w:rPr>
              <w:t>Callaghan Innovation</w:t>
            </w:r>
          </w:p>
        </w:tc>
      </w:tr>
      <w:tr w:rsidR="00B374D4" w:rsidTr="00B374D4">
        <w:tc>
          <w:tcPr>
            <w:tcW w:w="2376" w:type="dxa"/>
          </w:tcPr>
          <w:p w:rsidR="00B374D4" w:rsidRPr="00895C9F" w:rsidRDefault="00B374D4" w:rsidP="00B374D4">
            <w:pPr>
              <w:spacing w:after="0" w:line="240" w:lineRule="auto"/>
              <w:rPr>
                <w:sz w:val="24"/>
                <w:szCs w:val="24"/>
              </w:rPr>
            </w:pPr>
            <w:r>
              <w:rPr>
                <w:sz w:val="24"/>
                <w:szCs w:val="24"/>
              </w:rPr>
              <w:t>Decision sought</w:t>
            </w:r>
          </w:p>
        </w:tc>
        <w:tc>
          <w:tcPr>
            <w:tcW w:w="6911" w:type="dxa"/>
          </w:tcPr>
          <w:p w:rsidR="00B374D4" w:rsidRPr="00895C9F" w:rsidRDefault="00B374D4" w:rsidP="0021288C">
            <w:pPr>
              <w:spacing w:after="0" w:line="240" w:lineRule="auto"/>
              <w:rPr>
                <w:sz w:val="24"/>
                <w:szCs w:val="24"/>
              </w:rPr>
            </w:pPr>
            <w:r>
              <w:rPr>
                <w:sz w:val="24"/>
                <w:szCs w:val="24"/>
              </w:rPr>
              <w:t xml:space="preserve">Broader refundability for the R&amp;D </w:t>
            </w:r>
            <w:r w:rsidR="0021288C">
              <w:rPr>
                <w:sz w:val="24"/>
                <w:szCs w:val="24"/>
              </w:rPr>
              <w:t>T</w:t>
            </w:r>
            <w:r>
              <w:rPr>
                <w:sz w:val="24"/>
                <w:szCs w:val="24"/>
              </w:rPr>
              <w:t xml:space="preserve">ax </w:t>
            </w:r>
            <w:r w:rsidR="0021288C">
              <w:rPr>
                <w:sz w:val="24"/>
                <w:szCs w:val="24"/>
              </w:rPr>
              <w:t>I</w:t>
            </w:r>
            <w:r>
              <w:rPr>
                <w:sz w:val="24"/>
                <w:szCs w:val="24"/>
              </w:rPr>
              <w:t>ncentive</w:t>
            </w:r>
          </w:p>
        </w:tc>
      </w:tr>
      <w:tr w:rsidR="00B374D4" w:rsidTr="00B374D4">
        <w:tc>
          <w:tcPr>
            <w:tcW w:w="2376" w:type="dxa"/>
          </w:tcPr>
          <w:p w:rsidR="00B374D4" w:rsidRPr="00895C9F" w:rsidRDefault="00B374D4" w:rsidP="00B374D4">
            <w:pPr>
              <w:spacing w:after="0" w:line="240" w:lineRule="auto"/>
              <w:rPr>
                <w:sz w:val="24"/>
                <w:szCs w:val="24"/>
              </w:rPr>
            </w:pPr>
            <w:r>
              <w:rPr>
                <w:sz w:val="24"/>
                <w:szCs w:val="24"/>
              </w:rPr>
              <w:t>Proposing Ministers</w:t>
            </w:r>
          </w:p>
        </w:tc>
        <w:tc>
          <w:tcPr>
            <w:tcW w:w="6911" w:type="dxa"/>
          </w:tcPr>
          <w:p w:rsidR="00B374D4" w:rsidRDefault="00B374D4" w:rsidP="00B374D4">
            <w:pPr>
              <w:spacing w:after="0" w:line="240" w:lineRule="auto"/>
              <w:rPr>
                <w:sz w:val="24"/>
                <w:szCs w:val="24"/>
              </w:rPr>
            </w:pPr>
            <w:r>
              <w:rPr>
                <w:sz w:val="24"/>
                <w:szCs w:val="24"/>
              </w:rPr>
              <w:t>Hon Dr Megan Woods (Minister for Research, Science and Innovation)</w:t>
            </w:r>
          </w:p>
          <w:p w:rsidR="00B374D4" w:rsidRPr="00895C9F" w:rsidRDefault="00B374D4" w:rsidP="00B374D4">
            <w:pPr>
              <w:spacing w:after="0" w:line="240" w:lineRule="auto"/>
              <w:rPr>
                <w:sz w:val="24"/>
                <w:szCs w:val="24"/>
              </w:rPr>
            </w:pPr>
            <w:r>
              <w:rPr>
                <w:sz w:val="24"/>
                <w:szCs w:val="24"/>
              </w:rPr>
              <w:t>Hon Stuart Nash (Minister of Revenue)</w:t>
            </w:r>
          </w:p>
        </w:tc>
      </w:tr>
    </w:tbl>
    <w:p w:rsidR="00B374D4" w:rsidRDefault="00B374D4" w:rsidP="00B374D4">
      <w:pPr>
        <w:spacing w:after="0" w:line="240" w:lineRule="auto"/>
        <w:rPr>
          <w:sz w:val="32"/>
          <w:szCs w:val="32"/>
        </w:rPr>
      </w:pPr>
    </w:p>
    <w:p w:rsidR="00B374D4" w:rsidRDefault="00B374D4" w:rsidP="00B374D4">
      <w:pPr>
        <w:spacing w:after="0" w:line="240" w:lineRule="auto"/>
        <w:rPr>
          <w:b/>
          <w:sz w:val="28"/>
          <w:szCs w:val="28"/>
        </w:rPr>
      </w:pPr>
      <w:r w:rsidRPr="00895C9F">
        <w:rPr>
          <w:b/>
          <w:sz w:val="28"/>
          <w:szCs w:val="28"/>
        </w:rPr>
        <w:t xml:space="preserve">Summary: </w:t>
      </w:r>
      <w:r>
        <w:rPr>
          <w:b/>
          <w:sz w:val="28"/>
          <w:szCs w:val="28"/>
        </w:rPr>
        <w:t>P</w:t>
      </w:r>
      <w:r w:rsidRPr="00895C9F">
        <w:rPr>
          <w:b/>
          <w:sz w:val="28"/>
          <w:szCs w:val="28"/>
        </w:rPr>
        <w:t>roblem and proposed approach</w:t>
      </w:r>
    </w:p>
    <w:p w:rsidR="00B374D4" w:rsidRPr="00895C9F" w:rsidRDefault="00B374D4" w:rsidP="00B374D4">
      <w:pPr>
        <w:spacing w:after="0" w:line="240" w:lineRule="auto"/>
        <w:rPr>
          <w:sz w:val="28"/>
          <w:szCs w:val="28"/>
        </w:rPr>
      </w:pPr>
    </w:p>
    <w:tbl>
      <w:tblPr>
        <w:tblStyle w:val="TableGrid"/>
        <w:tblW w:w="0" w:type="auto"/>
        <w:tblLook w:val="04A0" w:firstRow="1" w:lastRow="0" w:firstColumn="1" w:lastColumn="0" w:noHBand="0" w:noVBand="1"/>
      </w:tblPr>
      <w:tblGrid>
        <w:gridCol w:w="9287"/>
      </w:tblGrid>
      <w:tr w:rsidR="00B374D4" w:rsidTr="00B374D4">
        <w:tc>
          <w:tcPr>
            <w:tcW w:w="9287" w:type="dxa"/>
            <w:shd w:val="clear" w:color="auto" w:fill="8DB3E2" w:themeFill="text2" w:themeFillTint="66"/>
          </w:tcPr>
          <w:p w:rsidR="00B374D4" w:rsidRDefault="00B374D4" w:rsidP="001F5B10">
            <w:pPr>
              <w:spacing w:before="60" w:after="60" w:line="240" w:lineRule="auto"/>
              <w:rPr>
                <w:b/>
                <w:sz w:val="24"/>
                <w:szCs w:val="24"/>
              </w:rPr>
            </w:pPr>
            <w:r w:rsidRPr="00895C9F">
              <w:rPr>
                <w:b/>
                <w:sz w:val="24"/>
                <w:szCs w:val="24"/>
              </w:rPr>
              <w:t>Problem Definition</w:t>
            </w:r>
          </w:p>
          <w:p w:rsidR="00B374D4" w:rsidRPr="00895C9F" w:rsidRDefault="00B374D4" w:rsidP="001F5B10">
            <w:pPr>
              <w:spacing w:before="60" w:after="60" w:line="240" w:lineRule="auto"/>
              <w:rPr>
                <w:b/>
                <w:sz w:val="24"/>
                <w:szCs w:val="24"/>
              </w:rPr>
            </w:pPr>
            <w:r>
              <w:rPr>
                <w:b/>
                <w:sz w:val="24"/>
                <w:szCs w:val="24"/>
              </w:rPr>
              <w:t>What problem or opportunity does this proposal seek to address? Why is Government intervention required?</w:t>
            </w:r>
          </w:p>
        </w:tc>
      </w:tr>
      <w:tr w:rsidR="00B374D4" w:rsidTr="00B374D4">
        <w:tc>
          <w:tcPr>
            <w:tcW w:w="9287" w:type="dxa"/>
          </w:tcPr>
          <w:p w:rsidR="002B03F7" w:rsidRDefault="002B03F7" w:rsidP="002B03F7">
            <w:pPr>
              <w:spacing w:before="120" w:after="120"/>
              <w:rPr>
                <w:sz w:val="24"/>
                <w:szCs w:val="28"/>
              </w:rPr>
            </w:pPr>
            <w:r>
              <w:rPr>
                <w:sz w:val="24"/>
                <w:szCs w:val="28"/>
              </w:rPr>
              <w:t xml:space="preserve">The Taxation (Research and Development Tax Credits) </w:t>
            </w:r>
            <w:r w:rsidR="00B70AE0">
              <w:rPr>
                <w:sz w:val="24"/>
                <w:szCs w:val="28"/>
              </w:rPr>
              <w:t>Act</w:t>
            </w:r>
            <w:r>
              <w:rPr>
                <w:sz w:val="24"/>
                <w:szCs w:val="28"/>
              </w:rPr>
              <w:t xml:space="preserve"> (the </w:t>
            </w:r>
            <w:r w:rsidR="00B70AE0">
              <w:rPr>
                <w:sz w:val="24"/>
                <w:szCs w:val="28"/>
              </w:rPr>
              <w:t>Act</w:t>
            </w:r>
            <w:r>
              <w:rPr>
                <w:sz w:val="24"/>
                <w:szCs w:val="28"/>
              </w:rPr>
              <w:t>), implement</w:t>
            </w:r>
            <w:r w:rsidR="00B70AE0">
              <w:rPr>
                <w:sz w:val="24"/>
                <w:szCs w:val="28"/>
              </w:rPr>
              <w:t>s</w:t>
            </w:r>
            <w:r>
              <w:rPr>
                <w:sz w:val="24"/>
                <w:szCs w:val="28"/>
              </w:rPr>
              <w:t xml:space="preserve"> an R&amp;D </w:t>
            </w:r>
            <w:r w:rsidR="0025588B">
              <w:rPr>
                <w:sz w:val="24"/>
                <w:szCs w:val="28"/>
              </w:rPr>
              <w:t>T</w:t>
            </w:r>
            <w:r>
              <w:rPr>
                <w:sz w:val="24"/>
                <w:szCs w:val="28"/>
              </w:rPr>
              <w:t xml:space="preserve">ax </w:t>
            </w:r>
            <w:r w:rsidR="0025588B">
              <w:rPr>
                <w:sz w:val="24"/>
                <w:szCs w:val="28"/>
              </w:rPr>
              <w:t>I</w:t>
            </w:r>
            <w:r>
              <w:rPr>
                <w:sz w:val="24"/>
                <w:szCs w:val="28"/>
              </w:rPr>
              <w:t xml:space="preserve">ncentive in New Zealand. </w:t>
            </w:r>
            <w:r w:rsidR="00B70AE0">
              <w:rPr>
                <w:sz w:val="24"/>
                <w:szCs w:val="28"/>
              </w:rPr>
              <w:t>T</w:t>
            </w:r>
            <w:r>
              <w:rPr>
                <w:sz w:val="24"/>
                <w:szCs w:val="28"/>
              </w:rPr>
              <w:t>he R&amp;D Tax Incentive appl</w:t>
            </w:r>
            <w:r w:rsidR="00B70AE0">
              <w:rPr>
                <w:sz w:val="24"/>
                <w:szCs w:val="28"/>
              </w:rPr>
              <w:t>ies</w:t>
            </w:r>
            <w:r>
              <w:rPr>
                <w:sz w:val="24"/>
                <w:szCs w:val="28"/>
              </w:rPr>
              <w:t xml:space="preserve"> from </w:t>
            </w:r>
            <w:r w:rsidR="00631A7B">
              <w:rPr>
                <w:sz w:val="24"/>
                <w:szCs w:val="28"/>
              </w:rPr>
              <w:t>1 April 2019 for most businesses</w:t>
            </w:r>
            <w:r>
              <w:rPr>
                <w:sz w:val="24"/>
                <w:szCs w:val="28"/>
              </w:rPr>
              <w:t xml:space="preserve">. </w:t>
            </w:r>
            <w:r w:rsidR="0025588B">
              <w:rPr>
                <w:sz w:val="24"/>
                <w:szCs w:val="28"/>
              </w:rPr>
              <w:t xml:space="preserve">Under the scheme, firms can receive a tax credit equal to 15% of their eligible R&amp;D expenditure. Profitable firms will be able to use this tax credit </w:t>
            </w:r>
            <w:r w:rsidR="0025588B" w:rsidRPr="0025588B">
              <w:rPr>
                <w:sz w:val="24"/>
                <w:szCs w:val="28"/>
              </w:rPr>
              <w:t xml:space="preserve">to reduce their </w:t>
            </w:r>
            <w:r w:rsidR="0025588B">
              <w:rPr>
                <w:sz w:val="24"/>
                <w:szCs w:val="28"/>
              </w:rPr>
              <w:t xml:space="preserve">income </w:t>
            </w:r>
            <w:r w:rsidR="00036B51">
              <w:rPr>
                <w:sz w:val="24"/>
                <w:szCs w:val="28"/>
              </w:rPr>
              <w:t xml:space="preserve">tax liability. </w:t>
            </w:r>
            <w:r>
              <w:rPr>
                <w:sz w:val="24"/>
                <w:szCs w:val="28"/>
              </w:rPr>
              <w:t xml:space="preserve">The </w:t>
            </w:r>
            <w:r w:rsidR="00B70AE0">
              <w:rPr>
                <w:sz w:val="24"/>
                <w:szCs w:val="28"/>
              </w:rPr>
              <w:t xml:space="preserve">Act </w:t>
            </w:r>
            <w:r>
              <w:rPr>
                <w:sz w:val="24"/>
                <w:szCs w:val="28"/>
              </w:rPr>
              <w:t xml:space="preserve">allows for </w:t>
            </w:r>
            <w:r w:rsidR="00B44EE4">
              <w:rPr>
                <w:sz w:val="24"/>
                <w:szCs w:val="28"/>
              </w:rPr>
              <w:t xml:space="preserve">certain </w:t>
            </w:r>
            <w:r>
              <w:rPr>
                <w:sz w:val="24"/>
                <w:szCs w:val="28"/>
              </w:rPr>
              <w:t xml:space="preserve">firms that </w:t>
            </w:r>
            <w:r w:rsidR="00B44EE4">
              <w:rPr>
                <w:sz w:val="24"/>
                <w:szCs w:val="28"/>
              </w:rPr>
              <w:t>have little or no income tax to pay</w:t>
            </w:r>
            <w:r>
              <w:rPr>
                <w:sz w:val="24"/>
                <w:szCs w:val="28"/>
              </w:rPr>
              <w:t xml:space="preserve"> to receive a </w:t>
            </w:r>
            <w:r w:rsidR="00B44EE4">
              <w:rPr>
                <w:sz w:val="24"/>
                <w:szCs w:val="28"/>
              </w:rPr>
              <w:t xml:space="preserve">R&amp;D tax credit </w:t>
            </w:r>
            <w:r>
              <w:rPr>
                <w:sz w:val="24"/>
                <w:szCs w:val="28"/>
              </w:rPr>
              <w:t>refund of up to $255,000 per income year. Credits that are not refund</w:t>
            </w:r>
            <w:r w:rsidR="00036B51">
              <w:rPr>
                <w:sz w:val="24"/>
                <w:szCs w:val="28"/>
              </w:rPr>
              <w:t>ed</w:t>
            </w:r>
            <w:r>
              <w:rPr>
                <w:sz w:val="24"/>
                <w:szCs w:val="28"/>
              </w:rPr>
              <w:t xml:space="preserve"> can be carried forward to future income years provided shareholder continuity criteria are met. </w:t>
            </w:r>
          </w:p>
          <w:p w:rsidR="00446860" w:rsidRDefault="00446860" w:rsidP="00356259">
            <w:pPr>
              <w:spacing w:before="120" w:after="120"/>
              <w:rPr>
                <w:sz w:val="24"/>
                <w:szCs w:val="28"/>
              </w:rPr>
            </w:pPr>
            <w:r>
              <w:rPr>
                <w:sz w:val="24"/>
                <w:szCs w:val="28"/>
              </w:rPr>
              <w:t xml:space="preserve">The </w:t>
            </w:r>
            <w:r w:rsidR="00121FD8">
              <w:rPr>
                <w:sz w:val="24"/>
                <w:szCs w:val="28"/>
              </w:rPr>
              <w:t>limited refundabil</w:t>
            </w:r>
            <w:r w:rsidR="001272D1">
              <w:rPr>
                <w:sz w:val="24"/>
                <w:szCs w:val="28"/>
              </w:rPr>
              <w:t>ity</w:t>
            </w:r>
            <w:r w:rsidR="00B44EE4">
              <w:rPr>
                <w:sz w:val="24"/>
                <w:szCs w:val="28"/>
              </w:rPr>
              <w:t xml:space="preserve"> </w:t>
            </w:r>
            <w:r w:rsidR="001272D1">
              <w:rPr>
                <w:sz w:val="24"/>
                <w:szCs w:val="28"/>
              </w:rPr>
              <w:t xml:space="preserve">rules </w:t>
            </w:r>
            <w:r w:rsidR="00325340">
              <w:rPr>
                <w:sz w:val="24"/>
                <w:szCs w:val="28"/>
              </w:rPr>
              <w:t xml:space="preserve">in the Act are based on </w:t>
            </w:r>
            <w:r w:rsidR="001272D1">
              <w:rPr>
                <w:sz w:val="24"/>
                <w:szCs w:val="28"/>
              </w:rPr>
              <w:t xml:space="preserve">the R&amp;D </w:t>
            </w:r>
            <w:r w:rsidR="00325340">
              <w:rPr>
                <w:sz w:val="24"/>
                <w:szCs w:val="28"/>
              </w:rPr>
              <w:t>T</w:t>
            </w:r>
            <w:r w:rsidR="001272D1">
              <w:rPr>
                <w:sz w:val="24"/>
                <w:szCs w:val="28"/>
              </w:rPr>
              <w:t xml:space="preserve">ax </w:t>
            </w:r>
            <w:r w:rsidR="00325340">
              <w:rPr>
                <w:sz w:val="24"/>
                <w:szCs w:val="28"/>
              </w:rPr>
              <w:t>L</w:t>
            </w:r>
            <w:r w:rsidR="001272D1">
              <w:rPr>
                <w:sz w:val="24"/>
                <w:szCs w:val="28"/>
              </w:rPr>
              <w:t xml:space="preserve">oss </w:t>
            </w:r>
            <w:r w:rsidR="00325340">
              <w:rPr>
                <w:sz w:val="24"/>
                <w:szCs w:val="28"/>
              </w:rPr>
              <w:t>C</w:t>
            </w:r>
            <w:r w:rsidR="001272D1">
              <w:rPr>
                <w:sz w:val="24"/>
                <w:szCs w:val="28"/>
              </w:rPr>
              <w:t xml:space="preserve">ash </w:t>
            </w:r>
            <w:r w:rsidR="00325340">
              <w:rPr>
                <w:sz w:val="24"/>
                <w:szCs w:val="28"/>
              </w:rPr>
              <w:t>O</w:t>
            </w:r>
            <w:r w:rsidR="001272D1">
              <w:rPr>
                <w:sz w:val="24"/>
                <w:szCs w:val="28"/>
              </w:rPr>
              <w:t xml:space="preserve">ut scheme. </w:t>
            </w:r>
            <w:r w:rsidR="00325340">
              <w:rPr>
                <w:sz w:val="24"/>
                <w:szCs w:val="28"/>
              </w:rPr>
              <w:t xml:space="preserve">Under these rules, </w:t>
            </w:r>
            <w:r>
              <w:rPr>
                <w:sz w:val="24"/>
                <w:szCs w:val="28"/>
              </w:rPr>
              <w:t xml:space="preserve">eligibility for refunds </w:t>
            </w:r>
            <w:r w:rsidR="00325340">
              <w:rPr>
                <w:sz w:val="24"/>
                <w:szCs w:val="28"/>
              </w:rPr>
              <w:t xml:space="preserve">is restricted </w:t>
            </w:r>
            <w:r>
              <w:rPr>
                <w:sz w:val="24"/>
                <w:szCs w:val="28"/>
              </w:rPr>
              <w:t xml:space="preserve">to </w:t>
            </w:r>
            <w:r w:rsidR="00602BA8">
              <w:rPr>
                <w:sz w:val="24"/>
                <w:szCs w:val="28"/>
              </w:rPr>
              <w:t>un</w:t>
            </w:r>
            <w:r w:rsidR="00545CC1">
              <w:rPr>
                <w:sz w:val="24"/>
                <w:szCs w:val="28"/>
              </w:rPr>
              <w:t xml:space="preserve">listed </w:t>
            </w:r>
            <w:r>
              <w:rPr>
                <w:sz w:val="24"/>
                <w:szCs w:val="28"/>
              </w:rPr>
              <w:t xml:space="preserve">companies </w:t>
            </w:r>
            <w:r w:rsidR="00545CC1">
              <w:rPr>
                <w:sz w:val="24"/>
                <w:szCs w:val="28"/>
              </w:rPr>
              <w:t xml:space="preserve">that meet a 20% R&amp;D wage intensity </w:t>
            </w:r>
            <w:r w:rsidR="00992184">
              <w:rPr>
                <w:sz w:val="24"/>
                <w:szCs w:val="28"/>
              </w:rPr>
              <w:t>test and do not derive non-dividend exempt income</w:t>
            </w:r>
            <w:r w:rsidR="00635D8B">
              <w:rPr>
                <w:sz w:val="24"/>
                <w:szCs w:val="28"/>
              </w:rPr>
              <w:t>.</w:t>
            </w:r>
          </w:p>
          <w:p w:rsidR="00446860" w:rsidRDefault="005165E1" w:rsidP="00356259">
            <w:pPr>
              <w:spacing w:before="120" w:after="120"/>
              <w:rPr>
                <w:sz w:val="24"/>
                <w:szCs w:val="28"/>
              </w:rPr>
            </w:pPr>
            <w:r>
              <w:rPr>
                <w:sz w:val="24"/>
                <w:szCs w:val="28"/>
              </w:rPr>
              <w:t xml:space="preserve">These criteria mean that many businesses will not be eligible for refundable tax credits under the R&amp;D Tax Incentive. </w:t>
            </w:r>
            <w:r w:rsidR="00904B6E">
              <w:rPr>
                <w:sz w:val="24"/>
                <w:szCs w:val="28"/>
              </w:rPr>
              <w:t>Partnerships, trusts</w:t>
            </w:r>
            <w:r>
              <w:rPr>
                <w:sz w:val="24"/>
                <w:szCs w:val="28"/>
              </w:rPr>
              <w:t xml:space="preserve">, listed companies, and </w:t>
            </w:r>
            <w:r w:rsidR="00904B6E">
              <w:rPr>
                <w:sz w:val="24"/>
                <w:szCs w:val="28"/>
              </w:rPr>
              <w:t xml:space="preserve">companies who receive some exempt income or </w:t>
            </w:r>
            <w:r w:rsidR="00650106">
              <w:rPr>
                <w:sz w:val="24"/>
                <w:szCs w:val="28"/>
              </w:rPr>
              <w:t xml:space="preserve">do not meet the wage intensity test </w:t>
            </w:r>
            <w:r w:rsidR="006C24CE">
              <w:rPr>
                <w:sz w:val="24"/>
                <w:szCs w:val="28"/>
              </w:rPr>
              <w:t>will be excluded. Additionally, certain atypical organisations, such as levy bodies,</w:t>
            </w:r>
            <w:r w:rsidR="00E31F49">
              <w:rPr>
                <w:sz w:val="24"/>
                <w:szCs w:val="28"/>
              </w:rPr>
              <w:t xml:space="preserve"> </w:t>
            </w:r>
            <w:r w:rsidR="00310C7C">
              <w:rPr>
                <w:sz w:val="24"/>
                <w:szCs w:val="28"/>
              </w:rPr>
              <w:t>some M</w:t>
            </w:r>
            <w:r w:rsidR="00162CAD">
              <w:rPr>
                <w:sz w:val="24"/>
                <w:szCs w:val="28"/>
              </w:rPr>
              <w:t>ā</w:t>
            </w:r>
            <w:r w:rsidR="00310C7C">
              <w:rPr>
                <w:sz w:val="24"/>
                <w:szCs w:val="28"/>
              </w:rPr>
              <w:t>ori entities, charities, and local authorities</w:t>
            </w:r>
            <w:r w:rsidR="007A1826">
              <w:rPr>
                <w:sz w:val="24"/>
                <w:szCs w:val="28"/>
              </w:rPr>
              <w:t>, will be excluded</w:t>
            </w:r>
            <w:r w:rsidR="00310C7C">
              <w:rPr>
                <w:sz w:val="24"/>
                <w:szCs w:val="28"/>
              </w:rPr>
              <w:t>. It is desirable to ensure the law provides clarity as to whether these entities should benefit from the R&amp;D Tax Incentive through the design of a more comprehensive refundability policy.</w:t>
            </w:r>
          </w:p>
          <w:p w:rsidR="00325340" w:rsidRDefault="00325340" w:rsidP="00356259">
            <w:pPr>
              <w:spacing w:before="120" w:after="120"/>
              <w:rPr>
                <w:sz w:val="24"/>
                <w:szCs w:val="28"/>
              </w:rPr>
            </w:pPr>
            <w:r>
              <w:rPr>
                <w:sz w:val="24"/>
                <w:szCs w:val="28"/>
              </w:rPr>
              <w:t>The limited timeframe for developing the Act meant it was not possible to design broad refundability rules for year one. The Government has committed to developing a more comprehensive policy for refundability to apply from year two of the Tax Incentive.</w:t>
            </w:r>
          </w:p>
          <w:p w:rsidR="00D23C16" w:rsidRDefault="00717538" w:rsidP="00121FD8">
            <w:pPr>
              <w:spacing w:before="120" w:after="120"/>
              <w:rPr>
                <w:sz w:val="24"/>
                <w:szCs w:val="28"/>
              </w:rPr>
            </w:pPr>
            <w:r>
              <w:rPr>
                <w:sz w:val="24"/>
                <w:szCs w:val="28"/>
              </w:rPr>
              <w:t>The rationale</w:t>
            </w:r>
            <w:r w:rsidR="00D23C16" w:rsidRPr="00356259">
              <w:rPr>
                <w:sz w:val="24"/>
                <w:szCs w:val="28"/>
              </w:rPr>
              <w:t xml:space="preserve"> for the R&amp;D Tax Incentive and the importance of raising </w:t>
            </w:r>
            <w:r w:rsidR="00335818">
              <w:rPr>
                <w:sz w:val="24"/>
                <w:szCs w:val="28"/>
              </w:rPr>
              <w:t>business expenditure on R&amp;D (</w:t>
            </w:r>
            <w:r w:rsidR="00D23C16" w:rsidRPr="00356259">
              <w:rPr>
                <w:sz w:val="24"/>
                <w:szCs w:val="28"/>
              </w:rPr>
              <w:t>BERD</w:t>
            </w:r>
            <w:r w:rsidR="00335818">
              <w:rPr>
                <w:sz w:val="24"/>
                <w:szCs w:val="28"/>
              </w:rPr>
              <w:t>)</w:t>
            </w:r>
            <w:r w:rsidR="00D23C16" w:rsidRPr="00356259">
              <w:rPr>
                <w:sz w:val="24"/>
                <w:szCs w:val="28"/>
              </w:rPr>
              <w:t xml:space="preserve"> was explained in </w:t>
            </w:r>
            <w:r w:rsidR="00356259">
              <w:rPr>
                <w:sz w:val="24"/>
                <w:szCs w:val="28"/>
              </w:rPr>
              <w:t xml:space="preserve">the previous </w:t>
            </w:r>
            <w:r w:rsidR="00D23C16" w:rsidRPr="00356259">
              <w:rPr>
                <w:sz w:val="24"/>
                <w:szCs w:val="28"/>
              </w:rPr>
              <w:t>R</w:t>
            </w:r>
            <w:r>
              <w:rPr>
                <w:sz w:val="24"/>
                <w:szCs w:val="28"/>
              </w:rPr>
              <w:t xml:space="preserve">egulatory </w:t>
            </w:r>
            <w:r w:rsidR="00D23C16" w:rsidRPr="00356259">
              <w:rPr>
                <w:sz w:val="24"/>
                <w:szCs w:val="28"/>
              </w:rPr>
              <w:t>I</w:t>
            </w:r>
            <w:r>
              <w:rPr>
                <w:sz w:val="24"/>
                <w:szCs w:val="28"/>
              </w:rPr>
              <w:t xml:space="preserve">mpact </w:t>
            </w:r>
            <w:r w:rsidR="00D23C16" w:rsidRPr="00356259">
              <w:rPr>
                <w:sz w:val="24"/>
                <w:szCs w:val="28"/>
              </w:rPr>
              <w:t>S</w:t>
            </w:r>
            <w:r>
              <w:rPr>
                <w:sz w:val="24"/>
                <w:szCs w:val="28"/>
              </w:rPr>
              <w:t>tatement (RIS)</w:t>
            </w:r>
            <w:r w:rsidR="00D23C16" w:rsidRPr="00356259">
              <w:rPr>
                <w:sz w:val="24"/>
                <w:szCs w:val="28"/>
              </w:rPr>
              <w:t xml:space="preserve"> </w:t>
            </w:r>
            <w:r w:rsidR="002348FE">
              <w:rPr>
                <w:sz w:val="24"/>
                <w:szCs w:val="28"/>
              </w:rPr>
              <w:t xml:space="preserve">for the R&amp;D Tax Incentive </w:t>
            </w:r>
            <w:r w:rsidR="00D23C16" w:rsidRPr="00356259">
              <w:rPr>
                <w:sz w:val="24"/>
                <w:szCs w:val="28"/>
              </w:rPr>
              <w:t>(</w:t>
            </w:r>
            <w:hyperlink r:id="rId7" w:history="1">
              <w:r w:rsidR="002348FE" w:rsidRPr="00E4149F">
                <w:rPr>
                  <w:rStyle w:val="Hyperlink"/>
                  <w:sz w:val="24"/>
                  <w:szCs w:val="28"/>
                </w:rPr>
                <w:t>http://taxpolicy.ird.govt.nz/publications/2018-ria-rdtc-bill/overview</w:t>
              </w:r>
            </w:hyperlink>
            <w:r w:rsidR="00D23C16" w:rsidRPr="00356259">
              <w:rPr>
                <w:sz w:val="24"/>
                <w:szCs w:val="28"/>
              </w:rPr>
              <w:t>)</w:t>
            </w:r>
            <w:r w:rsidR="00121FD8">
              <w:rPr>
                <w:sz w:val="24"/>
                <w:szCs w:val="28"/>
              </w:rPr>
              <w:t>.</w:t>
            </w:r>
          </w:p>
          <w:p w:rsidR="00B374D4" w:rsidRPr="00E57438" w:rsidRDefault="00121FD8" w:rsidP="00325340">
            <w:pPr>
              <w:spacing w:before="120" w:after="120"/>
              <w:rPr>
                <w:sz w:val="28"/>
                <w:szCs w:val="28"/>
              </w:rPr>
            </w:pPr>
            <w:r>
              <w:rPr>
                <w:sz w:val="24"/>
                <w:szCs w:val="28"/>
              </w:rPr>
              <w:t xml:space="preserve">This </w:t>
            </w:r>
            <w:r w:rsidR="00D23C16">
              <w:rPr>
                <w:sz w:val="24"/>
                <w:szCs w:val="28"/>
              </w:rPr>
              <w:t xml:space="preserve">RIS </w:t>
            </w:r>
            <w:r>
              <w:rPr>
                <w:sz w:val="24"/>
                <w:szCs w:val="28"/>
              </w:rPr>
              <w:t xml:space="preserve">is focused on </w:t>
            </w:r>
            <w:r w:rsidR="00717538">
              <w:rPr>
                <w:sz w:val="24"/>
                <w:szCs w:val="28"/>
              </w:rPr>
              <w:t xml:space="preserve">options </w:t>
            </w:r>
            <w:r>
              <w:rPr>
                <w:sz w:val="24"/>
                <w:szCs w:val="28"/>
              </w:rPr>
              <w:t>to b</w:t>
            </w:r>
            <w:r w:rsidR="00B374D4" w:rsidRPr="00E57438">
              <w:rPr>
                <w:sz w:val="24"/>
                <w:szCs w:val="28"/>
              </w:rPr>
              <w:t>roade</w:t>
            </w:r>
            <w:r>
              <w:rPr>
                <w:sz w:val="24"/>
                <w:szCs w:val="28"/>
              </w:rPr>
              <w:t>n</w:t>
            </w:r>
            <w:r w:rsidR="00B374D4" w:rsidRPr="00E57438">
              <w:rPr>
                <w:sz w:val="24"/>
                <w:szCs w:val="28"/>
              </w:rPr>
              <w:t xml:space="preserve"> </w:t>
            </w:r>
            <w:r>
              <w:rPr>
                <w:sz w:val="24"/>
                <w:szCs w:val="28"/>
              </w:rPr>
              <w:t xml:space="preserve">the </w:t>
            </w:r>
            <w:r w:rsidR="00B374D4" w:rsidRPr="00E57438">
              <w:rPr>
                <w:sz w:val="24"/>
                <w:szCs w:val="28"/>
              </w:rPr>
              <w:t xml:space="preserve">refundability </w:t>
            </w:r>
            <w:r>
              <w:rPr>
                <w:sz w:val="24"/>
                <w:szCs w:val="28"/>
              </w:rPr>
              <w:t>of the R&amp;D Tax Incentive</w:t>
            </w:r>
            <w:r w:rsidR="00940C66">
              <w:rPr>
                <w:sz w:val="24"/>
                <w:szCs w:val="28"/>
              </w:rPr>
              <w:t xml:space="preserve">. If refundability is not broadened, it is expected that </w:t>
            </w:r>
            <w:r>
              <w:rPr>
                <w:sz w:val="24"/>
                <w:szCs w:val="28"/>
              </w:rPr>
              <w:t xml:space="preserve">the </w:t>
            </w:r>
            <w:r w:rsidR="00717538">
              <w:rPr>
                <w:sz w:val="24"/>
                <w:szCs w:val="28"/>
              </w:rPr>
              <w:t xml:space="preserve">Tax Incentive </w:t>
            </w:r>
            <w:r w:rsidR="00940C66">
              <w:rPr>
                <w:sz w:val="24"/>
                <w:szCs w:val="28"/>
              </w:rPr>
              <w:t>will not be as effective as</w:t>
            </w:r>
            <w:r w:rsidR="00B374D4" w:rsidRPr="00E57438">
              <w:rPr>
                <w:sz w:val="24"/>
                <w:szCs w:val="28"/>
              </w:rPr>
              <w:t xml:space="preserve"> intended</w:t>
            </w:r>
            <w:r w:rsidR="00325340">
              <w:rPr>
                <w:sz w:val="24"/>
                <w:szCs w:val="28"/>
              </w:rPr>
              <w:t xml:space="preserve"> at incentivising additional </w:t>
            </w:r>
            <w:r w:rsidR="002B03F7">
              <w:rPr>
                <w:sz w:val="24"/>
                <w:szCs w:val="28"/>
              </w:rPr>
              <w:t>R&amp;D</w:t>
            </w:r>
            <w:r>
              <w:rPr>
                <w:sz w:val="24"/>
                <w:szCs w:val="28"/>
              </w:rPr>
              <w:t>.</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Default="00B374D4" w:rsidP="00C6154A">
            <w:pPr>
              <w:keepNext/>
              <w:spacing w:before="60" w:after="60" w:line="240" w:lineRule="auto"/>
              <w:rPr>
                <w:b/>
                <w:sz w:val="24"/>
                <w:szCs w:val="24"/>
              </w:rPr>
            </w:pPr>
            <w:r>
              <w:rPr>
                <w:b/>
                <w:sz w:val="24"/>
                <w:szCs w:val="24"/>
              </w:rPr>
              <w:t>Proposed Approach</w:t>
            </w:r>
          </w:p>
          <w:p w:rsidR="00B374D4" w:rsidRPr="00895C9F" w:rsidRDefault="00B374D4" w:rsidP="00C6154A">
            <w:pPr>
              <w:keepNext/>
              <w:spacing w:before="60" w:after="60" w:line="240" w:lineRule="auto"/>
              <w:rPr>
                <w:b/>
                <w:sz w:val="24"/>
                <w:szCs w:val="24"/>
              </w:rPr>
            </w:pPr>
            <w:r>
              <w:rPr>
                <w:b/>
                <w:sz w:val="24"/>
                <w:szCs w:val="24"/>
              </w:rPr>
              <w:t>How will Government intervention work to bring about the desired change? How is this the best option?</w:t>
            </w:r>
          </w:p>
        </w:tc>
      </w:tr>
      <w:tr w:rsidR="00B374D4" w:rsidTr="003949D5">
        <w:tc>
          <w:tcPr>
            <w:tcW w:w="9287" w:type="dxa"/>
          </w:tcPr>
          <w:p w:rsidR="00395DF6" w:rsidRPr="00D87E18" w:rsidRDefault="00395DF6" w:rsidP="00395DF6">
            <w:pPr>
              <w:spacing w:before="120" w:after="120"/>
              <w:rPr>
                <w:i/>
                <w:sz w:val="24"/>
                <w:szCs w:val="28"/>
              </w:rPr>
            </w:pPr>
            <w:r>
              <w:rPr>
                <w:i/>
                <w:sz w:val="24"/>
                <w:szCs w:val="28"/>
              </w:rPr>
              <w:t>Broadening eligibility for refundability</w:t>
            </w:r>
          </w:p>
          <w:p w:rsidR="00395DF6" w:rsidRDefault="00395DF6" w:rsidP="00D12B66">
            <w:pPr>
              <w:spacing w:before="120" w:after="120"/>
              <w:rPr>
                <w:sz w:val="24"/>
                <w:szCs w:val="28"/>
              </w:rPr>
            </w:pPr>
            <w:r>
              <w:rPr>
                <w:sz w:val="24"/>
                <w:szCs w:val="28"/>
              </w:rPr>
              <w:t>The proposed approach is to change the existing limited refundability rules so that R&amp;D tax credit refunds are available to more businesses.</w:t>
            </w:r>
          </w:p>
          <w:p w:rsidR="00395DF6" w:rsidRDefault="00395DF6" w:rsidP="00D12B66">
            <w:pPr>
              <w:spacing w:before="120" w:after="120"/>
              <w:rPr>
                <w:sz w:val="24"/>
                <w:szCs w:val="28"/>
              </w:rPr>
            </w:pPr>
            <w:r>
              <w:rPr>
                <w:sz w:val="24"/>
                <w:szCs w:val="28"/>
              </w:rPr>
              <w:t>It is proposed that all businesses would be eligible for refundability, irrespective of their legal form or whether they are listed. The 20% wage intensity test would also be removed.</w:t>
            </w:r>
          </w:p>
          <w:p w:rsidR="00D12B66" w:rsidRDefault="00D12B66" w:rsidP="00D12B66">
            <w:pPr>
              <w:spacing w:before="120" w:after="120"/>
              <w:rPr>
                <w:sz w:val="24"/>
                <w:szCs w:val="28"/>
              </w:rPr>
            </w:pPr>
            <w:r>
              <w:rPr>
                <w:sz w:val="24"/>
                <w:szCs w:val="28"/>
              </w:rPr>
              <w:t xml:space="preserve">We expect that making the tax credit available to more </w:t>
            </w:r>
            <w:r w:rsidRPr="009F65BF">
              <w:rPr>
                <w:sz w:val="24"/>
                <w:szCs w:val="28"/>
              </w:rPr>
              <w:t xml:space="preserve">R&amp;D-performing </w:t>
            </w:r>
            <w:r>
              <w:rPr>
                <w:sz w:val="24"/>
                <w:szCs w:val="28"/>
              </w:rPr>
              <w:t>firms</w:t>
            </w:r>
            <w:r w:rsidRPr="009F65BF">
              <w:rPr>
                <w:sz w:val="24"/>
                <w:szCs w:val="28"/>
              </w:rPr>
              <w:t xml:space="preserve"> (and higher incentives for </w:t>
            </w:r>
            <w:r>
              <w:rPr>
                <w:sz w:val="24"/>
                <w:szCs w:val="28"/>
              </w:rPr>
              <w:t xml:space="preserve">firms </w:t>
            </w:r>
            <w:r w:rsidRPr="009F65BF">
              <w:rPr>
                <w:sz w:val="24"/>
                <w:szCs w:val="28"/>
              </w:rPr>
              <w:t xml:space="preserve">to engage in R&amp;D) </w:t>
            </w:r>
            <w:r w:rsidR="00ED1BD9">
              <w:rPr>
                <w:sz w:val="24"/>
                <w:szCs w:val="28"/>
              </w:rPr>
              <w:t xml:space="preserve">will increase the amount of R&amp;D undertaken, which will in turn </w:t>
            </w:r>
            <w:r w:rsidRPr="009F65BF">
              <w:rPr>
                <w:sz w:val="24"/>
                <w:szCs w:val="28"/>
              </w:rPr>
              <w:t xml:space="preserve">result in an increase in </w:t>
            </w:r>
            <w:r w:rsidR="00892007">
              <w:rPr>
                <w:sz w:val="24"/>
                <w:szCs w:val="28"/>
              </w:rPr>
              <w:t>knowledge creation</w:t>
            </w:r>
            <w:r w:rsidRPr="009F65BF">
              <w:rPr>
                <w:sz w:val="24"/>
                <w:szCs w:val="28"/>
              </w:rPr>
              <w:t>, employment, and labour productivity growth</w:t>
            </w:r>
            <w:r w:rsidR="00892007">
              <w:rPr>
                <w:sz w:val="24"/>
                <w:szCs w:val="28"/>
              </w:rPr>
              <w:t>.</w:t>
            </w:r>
            <w:r w:rsidRPr="009F65BF">
              <w:rPr>
                <w:sz w:val="24"/>
                <w:szCs w:val="28"/>
              </w:rPr>
              <w:t xml:space="preserve"> </w:t>
            </w:r>
            <w:r w:rsidR="00892007">
              <w:rPr>
                <w:sz w:val="24"/>
                <w:szCs w:val="28"/>
              </w:rPr>
              <w:t>Knowledge created by R&amp;D flows between firms because of worker mobility, product imitation and reverse engineering.</w:t>
            </w:r>
          </w:p>
          <w:p w:rsidR="00D12B66" w:rsidRDefault="00892007" w:rsidP="00D12B66">
            <w:pPr>
              <w:spacing w:before="120" w:after="120"/>
              <w:rPr>
                <w:sz w:val="24"/>
                <w:szCs w:val="28"/>
              </w:rPr>
            </w:pPr>
            <w:r>
              <w:rPr>
                <w:sz w:val="24"/>
                <w:szCs w:val="28"/>
              </w:rPr>
              <w:t xml:space="preserve">This means </w:t>
            </w:r>
            <w:r w:rsidR="00D12B66">
              <w:rPr>
                <w:sz w:val="24"/>
                <w:szCs w:val="28"/>
              </w:rPr>
              <w:t>firms do not capture the full benefits of their R&amp;D</w:t>
            </w:r>
            <w:r>
              <w:rPr>
                <w:sz w:val="24"/>
                <w:szCs w:val="28"/>
              </w:rPr>
              <w:t xml:space="preserve"> and so</w:t>
            </w:r>
            <w:r w:rsidR="00D12B66" w:rsidRPr="001F6E10">
              <w:rPr>
                <w:sz w:val="24"/>
                <w:szCs w:val="28"/>
              </w:rPr>
              <w:t xml:space="preserve"> they underinvest relative to the socially optimal level</w:t>
            </w:r>
            <w:r>
              <w:rPr>
                <w:sz w:val="24"/>
                <w:szCs w:val="28"/>
              </w:rPr>
              <w:t xml:space="preserve">. This is why most governments have </w:t>
            </w:r>
            <w:r w:rsidR="0046043A">
              <w:rPr>
                <w:sz w:val="24"/>
                <w:szCs w:val="28"/>
              </w:rPr>
              <w:t>a policy that will stimulate firms to undertake more R&amp;D.</w:t>
            </w:r>
          </w:p>
          <w:p w:rsidR="00B374D4" w:rsidRDefault="00335818" w:rsidP="00940C66">
            <w:pPr>
              <w:spacing w:before="120" w:after="120"/>
              <w:rPr>
                <w:sz w:val="24"/>
                <w:szCs w:val="28"/>
              </w:rPr>
            </w:pPr>
            <w:r w:rsidRPr="00356259">
              <w:rPr>
                <w:sz w:val="24"/>
                <w:szCs w:val="28"/>
              </w:rPr>
              <w:t xml:space="preserve">Providing refundable tax credits </w:t>
            </w:r>
            <w:r>
              <w:rPr>
                <w:sz w:val="24"/>
                <w:szCs w:val="28"/>
              </w:rPr>
              <w:t xml:space="preserve">will enhance </w:t>
            </w:r>
            <w:r w:rsidRPr="00356259">
              <w:rPr>
                <w:sz w:val="24"/>
                <w:szCs w:val="28"/>
              </w:rPr>
              <w:t xml:space="preserve">the effectiveness of the R&amp;D Tax Incentive </w:t>
            </w:r>
            <w:r>
              <w:rPr>
                <w:sz w:val="24"/>
                <w:szCs w:val="28"/>
              </w:rPr>
              <w:t xml:space="preserve">at stimulating </w:t>
            </w:r>
            <w:r w:rsidRPr="00356259">
              <w:rPr>
                <w:sz w:val="24"/>
                <w:szCs w:val="28"/>
              </w:rPr>
              <w:t xml:space="preserve">growth </w:t>
            </w:r>
            <w:r>
              <w:rPr>
                <w:sz w:val="24"/>
                <w:szCs w:val="28"/>
              </w:rPr>
              <w:t xml:space="preserve">in </w:t>
            </w:r>
            <w:r w:rsidRPr="00356259">
              <w:rPr>
                <w:sz w:val="24"/>
                <w:szCs w:val="28"/>
              </w:rPr>
              <w:t>BERD</w:t>
            </w:r>
            <w:r w:rsidR="00892007">
              <w:rPr>
                <w:sz w:val="24"/>
                <w:szCs w:val="28"/>
              </w:rPr>
              <w:t>, because</w:t>
            </w:r>
            <w:r w:rsidR="00B374D4" w:rsidRPr="00E57438">
              <w:rPr>
                <w:sz w:val="24"/>
                <w:szCs w:val="28"/>
              </w:rPr>
              <w:t xml:space="preserve"> it provides cash </w:t>
            </w:r>
            <w:r w:rsidR="00940C66">
              <w:rPr>
                <w:sz w:val="24"/>
                <w:szCs w:val="28"/>
              </w:rPr>
              <w:t xml:space="preserve">closer to </w:t>
            </w:r>
            <w:r w:rsidR="00B374D4" w:rsidRPr="00E57438">
              <w:rPr>
                <w:sz w:val="24"/>
                <w:szCs w:val="28"/>
              </w:rPr>
              <w:t>the point when firms</w:t>
            </w:r>
            <w:r w:rsidR="00940C66">
              <w:rPr>
                <w:sz w:val="24"/>
                <w:szCs w:val="28"/>
              </w:rPr>
              <w:t>,</w:t>
            </w:r>
            <w:r w:rsidR="00B374D4" w:rsidRPr="00E57438">
              <w:rPr>
                <w:sz w:val="24"/>
                <w:szCs w:val="28"/>
              </w:rPr>
              <w:t xml:space="preserve"> particularly R&amp;D intensive firms</w:t>
            </w:r>
            <w:r w:rsidR="00650106">
              <w:rPr>
                <w:sz w:val="24"/>
                <w:szCs w:val="28"/>
              </w:rPr>
              <w:t xml:space="preserve"> in the early stages of their development</w:t>
            </w:r>
            <w:r w:rsidR="00940C66">
              <w:rPr>
                <w:sz w:val="24"/>
                <w:szCs w:val="28"/>
              </w:rPr>
              <w:t>,</w:t>
            </w:r>
            <w:r w:rsidR="00B374D4" w:rsidRPr="00E57438">
              <w:rPr>
                <w:sz w:val="24"/>
                <w:szCs w:val="28"/>
              </w:rPr>
              <w:t xml:space="preserve"> are undertaking their R&amp;D</w:t>
            </w:r>
            <w:r w:rsidR="00940C66">
              <w:rPr>
                <w:sz w:val="24"/>
                <w:szCs w:val="28"/>
              </w:rPr>
              <w:t>.</w:t>
            </w:r>
            <w:r w:rsidR="00ED775A">
              <w:rPr>
                <w:sz w:val="24"/>
                <w:szCs w:val="28"/>
              </w:rPr>
              <w:t xml:space="preserve"> </w:t>
            </w:r>
          </w:p>
          <w:p w:rsidR="00B374D4" w:rsidRDefault="00EE6BC0" w:rsidP="00EE6BC0">
            <w:pPr>
              <w:spacing w:before="120" w:after="120"/>
              <w:rPr>
                <w:sz w:val="24"/>
                <w:szCs w:val="28"/>
              </w:rPr>
            </w:pPr>
            <w:r>
              <w:rPr>
                <w:sz w:val="24"/>
                <w:szCs w:val="28"/>
              </w:rPr>
              <w:t xml:space="preserve">This </w:t>
            </w:r>
            <w:r w:rsidR="00B374D4" w:rsidRPr="00E57438">
              <w:rPr>
                <w:sz w:val="24"/>
                <w:szCs w:val="28"/>
              </w:rPr>
              <w:t xml:space="preserve">means the tax credit is more likely to incentivise </w:t>
            </w:r>
            <w:r w:rsidR="0006552E">
              <w:rPr>
                <w:sz w:val="24"/>
                <w:szCs w:val="28"/>
              </w:rPr>
              <w:t xml:space="preserve">the performance of </w:t>
            </w:r>
            <w:r w:rsidR="00B374D4" w:rsidRPr="00E57438">
              <w:rPr>
                <w:sz w:val="24"/>
                <w:szCs w:val="28"/>
              </w:rPr>
              <w:t xml:space="preserve">additional R&amp;D </w:t>
            </w:r>
            <w:r w:rsidR="0006552E">
              <w:rPr>
                <w:sz w:val="24"/>
                <w:szCs w:val="28"/>
              </w:rPr>
              <w:t>by businesses</w:t>
            </w:r>
            <w:r w:rsidR="00B553FB">
              <w:rPr>
                <w:sz w:val="24"/>
                <w:szCs w:val="28"/>
              </w:rPr>
              <w:t xml:space="preserve">, which is </w:t>
            </w:r>
            <w:r w:rsidR="00B553FB" w:rsidRPr="00E57438">
              <w:rPr>
                <w:sz w:val="24"/>
                <w:szCs w:val="28"/>
              </w:rPr>
              <w:t>the goal of the policy</w:t>
            </w:r>
            <w:r w:rsidR="0006552E">
              <w:rPr>
                <w:sz w:val="24"/>
                <w:szCs w:val="28"/>
              </w:rPr>
              <w:t>.</w:t>
            </w:r>
          </w:p>
          <w:p w:rsidR="00477B72" w:rsidRDefault="00EE6BC0" w:rsidP="0079377C">
            <w:pPr>
              <w:spacing w:before="120" w:after="120"/>
              <w:rPr>
                <w:sz w:val="24"/>
                <w:szCs w:val="28"/>
              </w:rPr>
            </w:pPr>
            <w:r>
              <w:rPr>
                <w:sz w:val="24"/>
                <w:szCs w:val="28"/>
              </w:rPr>
              <w:t xml:space="preserve">Broadening the refundability </w:t>
            </w:r>
            <w:r w:rsidR="0079377C">
              <w:rPr>
                <w:sz w:val="24"/>
                <w:szCs w:val="28"/>
              </w:rPr>
              <w:t xml:space="preserve">available from that provided </w:t>
            </w:r>
            <w:r>
              <w:rPr>
                <w:sz w:val="24"/>
                <w:szCs w:val="28"/>
              </w:rPr>
              <w:t xml:space="preserve">for year one </w:t>
            </w:r>
            <w:r w:rsidR="001B4F6C">
              <w:rPr>
                <w:sz w:val="24"/>
                <w:szCs w:val="28"/>
              </w:rPr>
              <w:t xml:space="preserve">of the </w:t>
            </w:r>
            <w:r w:rsidR="00DF6667">
              <w:rPr>
                <w:sz w:val="24"/>
                <w:szCs w:val="28"/>
              </w:rPr>
              <w:t xml:space="preserve">R&amp;D </w:t>
            </w:r>
            <w:r w:rsidR="001B4F6C">
              <w:rPr>
                <w:sz w:val="24"/>
                <w:szCs w:val="28"/>
              </w:rPr>
              <w:t>Tax Incentive</w:t>
            </w:r>
            <w:r w:rsidR="00897077">
              <w:rPr>
                <w:sz w:val="24"/>
                <w:szCs w:val="28"/>
              </w:rPr>
              <w:t xml:space="preserve"> has always been the intent, and </w:t>
            </w:r>
            <w:r>
              <w:rPr>
                <w:sz w:val="24"/>
                <w:szCs w:val="28"/>
              </w:rPr>
              <w:t xml:space="preserve">will </w:t>
            </w:r>
            <w:r w:rsidR="001B4F6C">
              <w:rPr>
                <w:sz w:val="24"/>
                <w:szCs w:val="28"/>
              </w:rPr>
              <w:t xml:space="preserve">broaden the reach and effect of the </w:t>
            </w:r>
            <w:r w:rsidR="00DF6667">
              <w:rPr>
                <w:sz w:val="24"/>
                <w:szCs w:val="28"/>
              </w:rPr>
              <w:t xml:space="preserve">R&amp;D </w:t>
            </w:r>
            <w:r w:rsidR="001B4F6C">
              <w:rPr>
                <w:sz w:val="24"/>
                <w:szCs w:val="28"/>
              </w:rPr>
              <w:t>Tax Incentive.</w:t>
            </w:r>
          </w:p>
          <w:p w:rsidR="003F7890" w:rsidRPr="00D87E18" w:rsidRDefault="003F7890" w:rsidP="003F7890">
            <w:pPr>
              <w:spacing w:before="120" w:after="120"/>
              <w:rPr>
                <w:i/>
                <w:sz w:val="24"/>
                <w:szCs w:val="28"/>
              </w:rPr>
            </w:pPr>
            <w:r>
              <w:rPr>
                <w:i/>
                <w:sz w:val="24"/>
                <w:szCs w:val="28"/>
              </w:rPr>
              <w:t>Ensuring integrity and managing fraud risk</w:t>
            </w:r>
          </w:p>
          <w:p w:rsidR="003F7890" w:rsidRDefault="003F7890" w:rsidP="0079377C">
            <w:pPr>
              <w:spacing w:before="120" w:after="120"/>
              <w:rPr>
                <w:sz w:val="24"/>
                <w:szCs w:val="28"/>
              </w:rPr>
            </w:pPr>
            <w:r>
              <w:rPr>
                <w:sz w:val="24"/>
                <w:szCs w:val="28"/>
              </w:rPr>
              <w:t xml:space="preserve">In addition to </w:t>
            </w:r>
            <w:r w:rsidR="00892007">
              <w:rPr>
                <w:sz w:val="24"/>
                <w:szCs w:val="28"/>
              </w:rPr>
              <w:t>extending</w:t>
            </w:r>
            <w:r>
              <w:rPr>
                <w:sz w:val="24"/>
                <w:szCs w:val="28"/>
              </w:rPr>
              <w:t xml:space="preserve"> refundability </w:t>
            </w:r>
            <w:r w:rsidR="00892007">
              <w:rPr>
                <w:sz w:val="24"/>
                <w:szCs w:val="28"/>
              </w:rPr>
              <w:t>to all businesses</w:t>
            </w:r>
            <w:r>
              <w:rPr>
                <w:sz w:val="24"/>
                <w:szCs w:val="28"/>
              </w:rPr>
              <w:t xml:space="preserve">, </w:t>
            </w:r>
            <w:r w:rsidR="00C21DC3">
              <w:rPr>
                <w:sz w:val="24"/>
                <w:szCs w:val="28"/>
              </w:rPr>
              <w:t xml:space="preserve">it is </w:t>
            </w:r>
            <w:r>
              <w:rPr>
                <w:sz w:val="24"/>
                <w:szCs w:val="28"/>
              </w:rPr>
              <w:t xml:space="preserve">proposed </w:t>
            </w:r>
            <w:r w:rsidR="00C21DC3">
              <w:rPr>
                <w:sz w:val="24"/>
                <w:szCs w:val="28"/>
              </w:rPr>
              <w:t xml:space="preserve">to remove </w:t>
            </w:r>
            <w:r>
              <w:rPr>
                <w:sz w:val="24"/>
                <w:szCs w:val="28"/>
              </w:rPr>
              <w:t>the existing $255,000 cap on refundability</w:t>
            </w:r>
            <w:r w:rsidR="00C21DC3">
              <w:rPr>
                <w:sz w:val="24"/>
                <w:szCs w:val="28"/>
              </w:rPr>
              <w:t>.</w:t>
            </w:r>
            <w:r>
              <w:rPr>
                <w:sz w:val="24"/>
                <w:szCs w:val="28"/>
              </w:rPr>
              <w:t xml:space="preserve"> Instead, it is proposed </w:t>
            </w:r>
            <w:r w:rsidR="00C21DC3">
              <w:rPr>
                <w:sz w:val="24"/>
                <w:szCs w:val="28"/>
              </w:rPr>
              <w:t xml:space="preserve">to limit the amount of credits refundable to businesses through a </w:t>
            </w:r>
            <w:r>
              <w:rPr>
                <w:sz w:val="24"/>
                <w:szCs w:val="28"/>
              </w:rPr>
              <w:t>cap based on the amount of payroll taxes paid by each business.</w:t>
            </w:r>
            <w:r w:rsidR="008D0EC6">
              <w:rPr>
                <w:sz w:val="24"/>
                <w:szCs w:val="28"/>
              </w:rPr>
              <w:t xml:space="preserve"> </w:t>
            </w:r>
            <w:r>
              <w:rPr>
                <w:sz w:val="24"/>
                <w:szCs w:val="28"/>
              </w:rPr>
              <w:t xml:space="preserve">This payroll cap would include PAYE, </w:t>
            </w:r>
            <w:r w:rsidR="008D0EC6">
              <w:rPr>
                <w:sz w:val="24"/>
                <w:szCs w:val="28"/>
              </w:rPr>
              <w:t>fringe benefit tax (</w:t>
            </w:r>
            <w:r>
              <w:rPr>
                <w:sz w:val="24"/>
                <w:szCs w:val="28"/>
              </w:rPr>
              <w:t>FBT</w:t>
            </w:r>
            <w:r w:rsidR="008D0EC6">
              <w:rPr>
                <w:sz w:val="24"/>
                <w:szCs w:val="28"/>
              </w:rPr>
              <w:t>)</w:t>
            </w:r>
            <w:r>
              <w:rPr>
                <w:sz w:val="24"/>
                <w:szCs w:val="28"/>
              </w:rPr>
              <w:t xml:space="preserve">, </w:t>
            </w:r>
            <w:r w:rsidR="008D0EC6" w:rsidRPr="008D0EC6">
              <w:rPr>
                <w:sz w:val="24"/>
                <w:szCs w:val="28"/>
              </w:rPr>
              <w:t>employer superannuation contribution tax (ESCT) and withholding tax on schedular payments (WT)</w:t>
            </w:r>
            <w:r w:rsidR="008D0EC6">
              <w:rPr>
                <w:sz w:val="24"/>
                <w:szCs w:val="28"/>
              </w:rPr>
              <w:t xml:space="preserve"> </w:t>
            </w:r>
            <w:r>
              <w:rPr>
                <w:sz w:val="24"/>
                <w:szCs w:val="28"/>
              </w:rPr>
              <w:t>paid by a business.</w:t>
            </w:r>
          </w:p>
          <w:p w:rsidR="002C0861" w:rsidRDefault="002C0861" w:rsidP="0079377C">
            <w:pPr>
              <w:spacing w:before="120" w:after="120"/>
              <w:rPr>
                <w:sz w:val="24"/>
                <w:szCs w:val="28"/>
              </w:rPr>
            </w:pPr>
            <w:r>
              <w:rPr>
                <w:sz w:val="24"/>
                <w:szCs w:val="28"/>
              </w:rPr>
              <w:t>A payroll cap will help ensure the integrity of the scheme is maintained. It is necessary to reduce the risk of fraudulent claims for R&amp;D tax credit refunds which ha</w:t>
            </w:r>
            <w:r w:rsidR="00E22808">
              <w:rPr>
                <w:sz w:val="24"/>
                <w:szCs w:val="28"/>
              </w:rPr>
              <w:t>ve</w:t>
            </w:r>
            <w:r>
              <w:rPr>
                <w:sz w:val="24"/>
                <w:szCs w:val="28"/>
              </w:rPr>
              <w:t xml:space="preserve"> been problematic (</w:t>
            </w:r>
            <w:r w:rsidR="00E22808">
              <w:rPr>
                <w:sz w:val="24"/>
                <w:szCs w:val="28"/>
              </w:rPr>
              <w:t xml:space="preserve">along with an associated </w:t>
            </w:r>
            <w:r>
              <w:rPr>
                <w:sz w:val="24"/>
                <w:szCs w:val="28"/>
              </w:rPr>
              <w:t>fiscal risk) in other jurisdictions with refundable R&amp;D tax credits.</w:t>
            </w:r>
          </w:p>
          <w:p w:rsidR="00E1206A" w:rsidRDefault="00E1206A" w:rsidP="00E1206A">
            <w:pPr>
              <w:spacing w:before="120" w:after="120"/>
              <w:rPr>
                <w:sz w:val="24"/>
                <w:szCs w:val="28"/>
              </w:rPr>
            </w:pPr>
            <w:r>
              <w:rPr>
                <w:sz w:val="24"/>
                <w:szCs w:val="28"/>
              </w:rPr>
              <w:t>The payroll cap would not apply to limit refundability of R&amp;D tax credits resulting from payments to Approved Research Providers because it will be easy to verify that these payments have been incurred by a business.</w:t>
            </w:r>
          </w:p>
          <w:p w:rsidR="002C0861" w:rsidRDefault="002C0861" w:rsidP="0079377C">
            <w:pPr>
              <w:spacing w:before="120" w:after="120"/>
              <w:rPr>
                <w:sz w:val="24"/>
                <w:szCs w:val="28"/>
              </w:rPr>
            </w:pPr>
            <w:r>
              <w:rPr>
                <w:sz w:val="24"/>
                <w:szCs w:val="28"/>
              </w:rPr>
              <w:t xml:space="preserve">The payroll cap would not apply to limit the R&amp;D tax credits refunded to levy bodies. </w:t>
            </w:r>
            <w:r w:rsidR="00CB6775">
              <w:rPr>
                <w:sz w:val="24"/>
                <w:szCs w:val="28"/>
              </w:rPr>
              <w:t>L</w:t>
            </w:r>
            <w:r>
              <w:rPr>
                <w:sz w:val="24"/>
                <w:szCs w:val="28"/>
              </w:rPr>
              <w:t xml:space="preserve">evy bodies are empowered to collect levies by statute, definitely have an economic presence in New Zealand, and consequently pose </w:t>
            </w:r>
            <w:r w:rsidR="00CB6775">
              <w:rPr>
                <w:sz w:val="24"/>
                <w:szCs w:val="28"/>
              </w:rPr>
              <w:t xml:space="preserve">a reduced </w:t>
            </w:r>
            <w:r>
              <w:rPr>
                <w:sz w:val="24"/>
                <w:szCs w:val="28"/>
              </w:rPr>
              <w:t>risk</w:t>
            </w:r>
            <w:r w:rsidR="00E1206A">
              <w:rPr>
                <w:sz w:val="24"/>
                <w:szCs w:val="28"/>
              </w:rPr>
              <w:t xml:space="preserve"> that refunded R&amp;D tax credits will be unrecoverable.</w:t>
            </w:r>
          </w:p>
          <w:p w:rsidR="00803681" w:rsidRPr="00803681" w:rsidRDefault="00803681" w:rsidP="0079377C">
            <w:pPr>
              <w:spacing w:before="120" w:after="120"/>
              <w:rPr>
                <w:i/>
                <w:sz w:val="24"/>
                <w:szCs w:val="28"/>
              </w:rPr>
            </w:pPr>
            <w:r w:rsidRPr="00803681">
              <w:rPr>
                <w:i/>
                <w:sz w:val="24"/>
                <w:szCs w:val="28"/>
              </w:rPr>
              <w:lastRenderedPageBreak/>
              <w:t>Exempt income recipients</w:t>
            </w:r>
          </w:p>
          <w:p w:rsidR="003F7890" w:rsidRDefault="00803681" w:rsidP="0079377C">
            <w:pPr>
              <w:spacing w:before="120" w:after="120"/>
              <w:rPr>
                <w:sz w:val="24"/>
                <w:szCs w:val="28"/>
              </w:rPr>
            </w:pPr>
            <w:r>
              <w:rPr>
                <w:sz w:val="24"/>
                <w:szCs w:val="28"/>
              </w:rPr>
              <w:t>Recipients of exempt income are currently ineligible for limited refundability, unless the only exempt income they receive is from dividends.</w:t>
            </w:r>
          </w:p>
          <w:p w:rsidR="00803681" w:rsidRDefault="00803681" w:rsidP="0079377C">
            <w:pPr>
              <w:spacing w:before="120" w:after="120"/>
              <w:rPr>
                <w:sz w:val="24"/>
                <w:szCs w:val="28"/>
              </w:rPr>
            </w:pPr>
            <w:r>
              <w:rPr>
                <w:sz w:val="24"/>
                <w:szCs w:val="28"/>
              </w:rPr>
              <w:t>Without refundability, entities that only derive exempt income, such as charities, are unable to receive any cash benefit from the R&amp;D Tax Incentive. This is because they do not have any income tax to pay. As the</w:t>
            </w:r>
            <w:r w:rsidR="00182AE6">
              <w:rPr>
                <w:sz w:val="24"/>
                <w:szCs w:val="28"/>
              </w:rPr>
              <w:t>s</w:t>
            </w:r>
            <w:r>
              <w:rPr>
                <w:sz w:val="24"/>
                <w:szCs w:val="28"/>
              </w:rPr>
              <w:t>e entities are outside the tax system, it is proposed that they should not benefit further from incentives provided from within the tax system and that they should be ineligible for the R&amp;D Tax Incentive.</w:t>
            </w:r>
          </w:p>
          <w:p w:rsidR="00062276" w:rsidRDefault="00182AE6" w:rsidP="0079377C">
            <w:pPr>
              <w:spacing w:before="120" w:after="120"/>
              <w:rPr>
                <w:sz w:val="24"/>
                <w:szCs w:val="28"/>
              </w:rPr>
            </w:pPr>
            <w:r>
              <w:rPr>
                <w:sz w:val="24"/>
                <w:szCs w:val="28"/>
              </w:rPr>
              <w:t>It is proposed that a</w:t>
            </w:r>
            <w:r w:rsidR="00062276">
              <w:rPr>
                <w:sz w:val="24"/>
                <w:szCs w:val="28"/>
              </w:rPr>
              <w:t xml:space="preserve">n exception apply for levy bodies, however, which do not receive </w:t>
            </w:r>
            <w:r w:rsidR="00062276" w:rsidRPr="00B70AE0">
              <w:rPr>
                <w:sz w:val="24"/>
                <w:szCs w:val="28"/>
                <w:lang w:val="en-NZ"/>
              </w:rPr>
              <w:t xml:space="preserve">the same tax concessions as charities (such as </w:t>
            </w:r>
            <w:proofErr w:type="spellStart"/>
            <w:r w:rsidR="00062276" w:rsidRPr="00B70AE0">
              <w:rPr>
                <w:sz w:val="24"/>
                <w:szCs w:val="28"/>
                <w:lang w:val="en-NZ"/>
              </w:rPr>
              <w:t>donee</w:t>
            </w:r>
            <w:proofErr w:type="spellEnd"/>
            <w:r w:rsidR="00062276" w:rsidRPr="00B70AE0">
              <w:rPr>
                <w:sz w:val="24"/>
                <w:szCs w:val="28"/>
                <w:lang w:val="en-NZ"/>
              </w:rPr>
              <w:t xml:space="preserve"> tax credit status, GST and FBT concessions)</w:t>
            </w:r>
            <w:r w:rsidR="00062276">
              <w:rPr>
                <w:sz w:val="24"/>
                <w:szCs w:val="28"/>
                <w:lang w:val="en-NZ"/>
              </w:rPr>
              <w:t xml:space="preserve">. </w:t>
            </w:r>
            <w:r>
              <w:rPr>
                <w:sz w:val="24"/>
                <w:szCs w:val="28"/>
                <w:lang w:val="en-NZ"/>
              </w:rPr>
              <w:t xml:space="preserve">The R&amp;D performed by and funded through levy bodies is fundamentally business R&amp;D. </w:t>
            </w:r>
            <w:r w:rsidR="00062276">
              <w:rPr>
                <w:sz w:val="24"/>
                <w:szCs w:val="28"/>
                <w:lang w:val="en-NZ"/>
              </w:rPr>
              <w:t>Accordingly, i</w:t>
            </w:r>
            <w:r w:rsidR="00062276" w:rsidRPr="00282011">
              <w:rPr>
                <w:sz w:val="24"/>
                <w:szCs w:val="28"/>
                <w:lang w:val="en-NZ"/>
              </w:rPr>
              <w:t xml:space="preserve">t is proposed </w:t>
            </w:r>
            <w:r w:rsidR="00062276">
              <w:rPr>
                <w:sz w:val="24"/>
                <w:szCs w:val="28"/>
                <w:lang w:val="en-NZ"/>
              </w:rPr>
              <w:t>that</w:t>
            </w:r>
            <w:r w:rsidR="00062276" w:rsidRPr="00282011">
              <w:rPr>
                <w:sz w:val="24"/>
                <w:szCs w:val="28"/>
                <w:lang w:val="en-NZ"/>
              </w:rPr>
              <w:t xml:space="preserve"> </w:t>
            </w:r>
            <w:r w:rsidR="00062276">
              <w:rPr>
                <w:sz w:val="24"/>
                <w:szCs w:val="28"/>
                <w:lang w:val="en-NZ"/>
              </w:rPr>
              <w:t>levy bodies</w:t>
            </w:r>
            <w:r w:rsidR="00062276" w:rsidRPr="00282011">
              <w:rPr>
                <w:sz w:val="24"/>
                <w:szCs w:val="28"/>
                <w:lang w:val="en-NZ"/>
              </w:rPr>
              <w:t xml:space="preserve"> are eligible for the R&amp;D Tax Incentive</w:t>
            </w:r>
            <w:r w:rsidR="00062276">
              <w:rPr>
                <w:sz w:val="24"/>
                <w:szCs w:val="28"/>
                <w:lang w:val="en-NZ"/>
              </w:rPr>
              <w:t xml:space="preserve"> (including refundability), even if they receive exempt income.</w:t>
            </w:r>
          </w:p>
          <w:p w:rsidR="00F83AC1" w:rsidRPr="00447247" w:rsidRDefault="00BA0682" w:rsidP="00F964B3">
            <w:pPr>
              <w:spacing w:before="120" w:after="120"/>
              <w:rPr>
                <w:sz w:val="24"/>
                <w:szCs w:val="28"/>
                <w:lang w:val="en-NZ"/>
              </w:rPr>
            </w:pPr>
            <w:r>
              <w:rPr>
                <w:sz w:val="24"/>
                <w:szCs w:val="28"/>
                <w:lang w:val="en-NZ"/>
              </w:rPr>
              <w:t xml:space="preserve">Further details and the implications of this proposal for particular </w:t>
            </w:r>
            <w:r w:rsidRPr="00447247">
              <w:rPr>
                <w:sz w:val="24"/>
                <w:szCs w:val="28"/>
                <w:lang w:val="en-NZ"/>
              </w:rPr>
              <w:t xml:space="preserve">atypical organisations </w:t>
            </w:r>
            <w:r w:rsidR="00447247" w:rsidRPr="00447247">
              <w:rPr>
                <w:sz w:val="24"/>
                <w:szCs w:val="28"/>
                <w:lang w:val="en-NZ"/>
              </w:rPr>
              <w:t>(including charities,</w:t>
            </w:r>
            <w:r w:rsidR="00447247">
              <w:rPr>
                <w:sz w:val="24"/>
                <w:szCs w:val="28"/>
                <w:lang w:val="en-NZ"/>
              </w:rPr>
              <w:t xml:space="preserve"> </w:t>
            </w:r>
            <w:r w:rsidR="0055142A">
              <w:rPr>
                <w:sz w:val="24"/>
                <w:szCs w:val="28"/>
              </w:rPr>
              <w:t>M</w:t>
            </w:r>
            <w:r w:rsidR="00447247" w:rsidRPr="00447247">
              <w:rPr>
                <w:sz w:val="24"/>
                <w:szCs w:val="28"/>
              </w:rPr>
              <w:t>āori businesses, and local authorities</w:t>
            </w:r>
            <w:r w:rsidR="00447247" w:rsidRPr="00447247">
              <w:rPr>
                <w:sz w:val="24"/>
                <w:szCs w:val="28"/>
                <w:lang w:val="en-NZ"/>
              </w:rPr>
              <w:t>)</w:t>
            </w:r>
            <w:r w:rsidR="00447247">
              <w:rPr>
                <w:sz w:val="24"/>
                <w:szCs w:val="28"/>
                <w:lang w:val="en-NZ"/>
              </w:rPr>
              <w:t xml:space="preserve"> </w:t>
            </w:r>
            <w:r>
              <w:rPr>
                <w:sz w:val="24"/>
                <w:szCs w:val="28"/>
                <w:lang w:val="en-NZ"/>
              </w:rPr>
              <w:t>are discussed further at 3.</w:t>
            </w:r>
            <w:r w:rsidR="00F964B3">
              <w:rPr>
                <w:sz w:val="24"/>
                <w:szCs w:val="28"/>
                <w:lang w:val="en-NZ"/>
              </w:rPr>
              <w:t>2</w:t>
            </w:r>
            <w:r w:rsidR="00447247">
              <w:rPr>
                <w:sz w:val="24"/>
                <w:szCs w:val="28"/>
                <w:lang w:val="en-NZ"/>
              </w:rPr>
              <w:t>.</w:t>
            </w:r>
          </w:p>
        </w:tc>
      </w:tr>
    </w:tbl>
    <w:p w:rsidR="00B374D4" w:rsidRDefault="00B374D4" w:rsidP="00B374D4">
      <w:pPr>
        <w:spacing w:after="0" w:line="240" w:lineRule="auto"/>
        <w:rPr>
          <w:b/>
          <w:sz w:val="28"/>
          <w:szCs w:val="28"/>
        </w:rPr>
      </w:pPr>
    </w:p>
    <w:p w:rsidR="00B374D4" w:rsidRDefault="00B374D4" w:rsidP="00B269B6">
      <w:pPr>
        <w:keepNext/>
        <w:spacing w:after="0" w:line="240" w:lineRule="auto"/>
        <w:rPr>
          <w:b/>
          <w:sz w:val="28"/>
          <w:szCs w:val="28"/>
        </w:rPr>
      </w:pPr>
      <w:r>
        <w:rPr>
          <w:b/>
          <w:sz w:val="28"/>
          <w:szCs w:val="28"/>
        </w:rPr>
        <w:t>Section B: Summary impacts - benefits and costs</w:t>
      </w:r>
    </w:p>
    <w:p w:rsidR="00B374D4" w:rsidRDefault="00B374D4" w:rsidP="00B269B6">
      <w:pPr>
        <w:keepNext/>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269B6">
            <w:pPr>
              <w:keepNext/>
              <w:spacing w:before="60" w:after="60" w:line="240" w:lineRule="auto"/>
              <w:rPr>
                <w:b/>
                <w:sz w:val="24"/>
                <w:szCs w:val="24"/>
              </w:rPr>
            </w:pPr>
            <w:r>
              <w:rPr>
                <w:b/>
                <w:sz w:val="24"/>
                <w:szCs w:val="24"/>
              </w:rPr>
              <w:t>Who are the main expected beneficiaries and what is the nature of the expected benefit?</w:t>
            </w:r>
          </w:p>
        </w:tc>
      </w:tr>
      <w:tr w:rsidR="00B374D4" w:rsidTr="00B374D4">
        <w:tc>
          <w:tcPr>
            <w:tcW w:w="9287" w:type="dxa"/>
          </w:tcPr>
          <w:p w:rsidR="00A20600" w:rsidRDefault="003A5491" w:rsidP="00A20600">
            <w:pPr>
              <w:spacing w:before="120" w:after="120"/>
              <w:rPr>
                <w:sz w:val="24"/>
                <w:szCs w:val="28"/>
              </w:rPr>
            </w:pPr>
            <w:r>
              <w:rPr>
                <w:sz w:val="24"/>
                <w:szCs w:val="28"/>
              </w:rPr>
              <w:t xml:space="preserve">Businesses in tax loss, or with insufficient </w:t>
            </w:r>
            <w:r w:rsidR="00D4204A">
              <w:rPr>
                <w:sz w:val="24"/>
                <w:szCs w:val="28"/>
              </w:rPr>
              <w:t>income tax liability</w:t>
            </w:r>
            <w:r>
              <w:rPr>
                <w:sz w:val="24"/>
                <w:szCs w:val="28"/>
              </w:rPr>
              <w:t xml:space="preserve"> </w:t>
            </w:r>
            <w:r w:rsidRPr="00E57438">
              <w:rPr>
                <w:sz w:val="24"/>
                <w:szCs w:val="28"/>
              </w:rPr>
              <w:t xml:space="preserve">to </w:t>
            </w:r>
            <w:r>
              <w:rPr>
                <w:sz w:val="24"/>
                <w:szCs w:val="28"/>
              </w:rPr>
              <w:t xml:space="preserve">fully </w:t>
            </w:r>
            <w:r w:rsidRPr="00E57438">
              <w:rPr>
                <w:sz w:val="24"/>
                <w:szCs w:val="28"/>
              </w:rPr>
              <w:t xml:space="preserve">utilise </w:t>
            </w:r>
            <w:r>
              <w:rPr>
                <w:sz w:val="24"/>
                <w:szCs w:val="28"/>
              </w:rPr>
              <w:t xml:space="preserve">non-refundable tax </w:t>
            </w:r>
            <w:r w:rsidRPr="00E57438">
              <w:rPr>
                <w:sz w:val="24"/>
                <w:szCs w:val="28"/>
              </w:rPr>
              <w:t>credits</w:t>
            </w:r>
            <w:r w:rsidR="00B553FB">
              <w:rPr>
                <w:sz w:val="24"/>
                <w:szCs w:val="28"/>
              </w:rPr>
              <w:t>,</w:t>
            </w:r>
            <w:r>
              <w:rPr>
                <w:sz w:val="24"/>
                <w:szCs w:val="28"/>
              </w:rPr>
              <w:t xml:space="preserve"> will </w:t>
            </w:r>
            <w:r w:rsidR="00A20600">
              <w:rPr>
                <w:sz w:val="24"/>
                <w:szCs w:val="28"/>
              </w:rPr>
              <w:t xml:space="preserve">be the main </w:t>
            </w:r>
            <w:r>
              <w:rPr>
                <w:sz w:val="24"/>
                <w:szCs w:val="28"/>
              </w:rPr>
              <w:t>benefi</w:t>
            </w:r>
            <w:r w:rsidR="00A20600">
              <w:rPr>
                <w:sz w:val="24"/>
                <w:szCs w:val="28"/>
              </w:rPr>
              <w:t>ciaries</w:t>
            </w:r>
            <w:r>
              <w:rPr>
                <w:sz w:val="24"/>
                <w:szCs w:val="28"/>
              </w:rPr>
              <w:t xml:space="preserve"> from broader refundability.</w:t>
            </w:r>
            <w:r w:rsidR="00140120" w:rsidRPr="004C77F3">
              <w:rPr>
                <w:sz w:val="24"/>
                <w:szCs w:val="28"/>
              </w:rPr>
              <w:t xml:space="preserve"> </w:t>
            </w:r>
            <w:r w:rsidR="00A20600" w:rsidRPr="0061409E">
              <w:rPr>
                <w:sz w:val="24"/>
                <w:szCs w:val="28"/>
              </w:rPr>
              <w:t>Refundability can be particularly beneficial for young, innovative firms, at the stage of investing in developing and launching their products</w:t>
            </w:r>
            <w:r w:rsidR="00A20600">
              <w:rPr>
                <w:sz w:val="24"/>
                <w:szCs w:val="28"/>
              </w:rPr>
              <w:t xml:space="preserve"> </w:t>
            </w:r>
            <w:r w:rsidR="00A20600" w:rsidRPr="00831CC8">
              <w:rPr>
                <w:sz w:val="24"/>
                <w:szCs w:val="28"/>
              </w:rPr>
              <w:t>(</w:t>
            </w:r>
            <w:proofErr w:type="spellStart"/>
            <w:r w:rsidR="00A20600" w:rsidRPr="00831CC8">
              <w:rPr>
                <w:sz w:val="24"/>
                <w:szCs w:val="28"/>
              </w:rPr>
              <w:t>Appelt</w:t>
            </w:r>
            <w:proofErr w:type="spellEnd"/>
            <w:r w:rsidR="00A20600" w:rsidRPr="00831CC8">
              <w:rPr>
                <w:sz w:val="24"/>
                <w:szCs w:val="28"/>
              </w:rPr>
              <w:t xml:space="preserve"> et al., 2016)</w:t>
            </w:r>
            <w:r w:rsidR="00A20600" w:rsidRPr="0061409E">
              <w:rPr>
                <w:sz w:val="24"/>
                <w:szCs w:val="28"/>
              </w:rPr>
              <w:t>.</w:t>
            </w:r>
          </w:p>
          <w:p w:rsidR="003A5491" w:rsidRDefault="00460964" w:rsidP="003A5491">
            <w:pPr>
              <w:spacing w:before="120" w:after="120"/>
              <w:rPr>
                <w:sz w:val="24"/>
                <w:szCs w:val="28"/>
              </w:rPr>
            </w:pPr>
            <w:r>
              <w:rPr>
                <w:sz w:val="24"/>
                <w:szCs w:val="28"/>
              </w:rPr>
              <w:t xml:space="preserve">The population of firms performing R&amp;D and in a tax loss position is estimated at </w:t>
            </w:r>
            <w:r w:rsidR="00BE7D1E">
              <w:rPr>
                <w:sz w:val="24"/>
                <w:szCs w:val="28"/>
              </w:rPr>
              <w:t>750-1200</w:t>
            </w:r>
            <w:r w:rsidR="00140120" w:rsidRPr="001024E5">
              <w:rPr>
                <w:sz w:val="24"/>
                <w:szCs w:val="28"/>
              </w:rPr>
              <w:t>.</w:t>
            </w:r>
            <w:r>
              <w:rPr>
                <w:sz w:val="24"/>
                <w:szCs w:val="28"/>
              </w:rPr>
              <w:t xml:space="preserve"> These are the expected beneficiaries. Under current rules only 350-650 firms are expected to qualify for refundability, and of those 65-130 are expected to hit the cap on refundability. </w:t>
            </w:r>
          </w:p>
          <w:p w:rsidR="009A7FFD" w:rsidRPr="009A7FFD" w:rsidRDefault="009A7FFD" w:rsidP="009A7FFD">
            <w:pPr>
              <w:spacing w:before="120" w:after="120"/>
              <w:rPr>
                <w:sz w:val="24"/>
                <w:szCs w:val="28"/>
              </w:rPr>
            </w:pPr>
            <w:r>
              <w:rPr>
                <w:sz w:val="24"/>
                <w:szCs w:val="28"/>
              </w:rPr>
              <w:t xml:space="preserve">Partnerships, trusts, listed companies, companies who receive some exempt income or do not meet the wage intensity test, </w:t>
            </w:r>
            <w:r w:rsidR="00403716">
              <w:rPr>
                <w:sz w:val="24"/>
                <w:szCs w:val="28"/>
              </w:rPr>
              <w:t xml:space="preserve">and atypical organisations such as </w:t>
            </w:r>
            <w:r w:rsidR="007B221E">
              <w:rPr>
                <w:sz w:val="24"/>
                <w:szCs w:val="28"/>
              </w:rPr>
              <w:t>levy bodies</w:t>
            </w:r>
            <w:r w:rsidR="002F0CF2">
              <w:rPr>
                <w:sz w:val="24"/>
                <w:szCs w:val="28"/>
              </w:rPr>
              <w:t xml:space="preserve"> and some </w:t>
            </w:r>
            <w:r w:rsidR="002F0CF2">
              <w:rPr>
                <w:sz w:val="24"/>
                <w:szCs w:val="28"/>
                <w:lang w:val="en-NZ"/>
              </w:rPr>
              <w:t xml:space="preserve">Māori </w:t>
            </w:r>
            <w:r w:rsidR="002F0CF2">
              <w:rPr>
                <w:sz w:val="24"/>
                <w:szCs w:val="28"/>
              </w:rPr>
              <w:t>business entities will also benefit from the R&amp;D Tax Incentive through the design of a more comp</w:t>
            </w:r>
            <w:r w:rsidR="00BE7D1E">
              <w:rPr>
                <w:sz w:val="24"/>
                <w:szCs w:val="28"/>
              </w:rPr>
              <w:t>rehensive refundability policy.</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ED13CB">
            <w:pPr>
              <w:keepNext/>
              <w:spacing w:before="60" w:after="60" w:line="240" w:lineRule="auto"/>
              <w:rPr>
                <w:b/>
                <w:sz w:val="24"/>
                <w:szCs w:val="24"/>
              </w:rPr>
            </w:pPr>
            <w:r>
              <w:rPr>
                <w:b/>
                <w:sz w:val="24"/>
                <w:szCs w:val="24"/>
              </w:rPr>
              <w:lastRenderedPageBreak/>
              <w:t>Where do the costs fall?</w:t>
            </w:r>
          </w:p>
        </w:tc>
      </w:tr>
      <w:tr w:rsidR="00B374D4" w:rsidTr="003949D5">
        <w:tc>
          <w:tcPr>
            <w:tcW w:w="9287" w:type="dxa"/>
          </w:tcPr>
          <w:p w:rsidR="00BB314D" w:rsidRPr="00BB314D" w:rsidRDefault="00BB314D" w:rsidP="00ED13CB">
            <w:pPr>
              <w:keepNext/>
              <w:spacing w:before="120" w:after="120"/>
              <w:rPr>
                <w:i/>
                <w:sz w:val="24"/>
                <w:szCs w:val="28"/>
              </w:rPr>
            </w:pPr>
            <w:r w:rsidRPr="00BB314D">
              <w:rPr>
                <w:i/>
                <w:sz w:val="24"/>
                <w:szCs w:val="28"/>
              </w:rPr>
              <w:t>Fiscal costs</w:t>
            </w:r>
          </w:p>
          <w:p w:rsidR="0031129C" w:rsidRPr="0014255E" w:rsidRDefault="0031129C" w:rsidP="0031129C">
            <w:pPr>
              <w:keepNext/>
              <w:spacing w:before="120" w:after="120"/>
              <w:rPr>
                <w:sz w:val="24"/>
                <w:szCs w:val="28"/>
              </w:rPr>
            </w:pPr>
            <w:r w:rsidRPr="0014255E">
              <w:rPr>
                <w:sz w:val="24"/>
                <w:szCs w:val="28"/>
              </w:rPr>
              <w:t xml:space="preserve">The </w:t>
            </w:r>
            <w:r>
              <w:rPr>
                <w:sz w:val="24"/>
                <w:szCs w:val="28"/>
              </w:rPr>
              <w:t>budget</w:t>
            </w:r>
            <w:r w:rsidRPr="0014255E">
              <w:rPr>
                <w:sz w:val="24"/>
                <w:szCs w:val="28"/>
              </w:rPr>
              <w:t xml:space="preserve"> for the Tax Incentive </w:t>
            </w:r>
            <w:r>
              <w:rPr>
                <w:sz w:val="24"/>
                <w:szCs w:val="28"/>
              </w:rPr>
              <w:t xml:space="preserve">provides </w:t>
            </w:r>
            <w:r w:rsidRPr="0014255E">
              <w:rPr>
                <w:sz w:val="24"/>
                <w:szCs w:val="28"/>
              </w:rPr>
              <w:t>for the fiscal cost</w:t>
            </w:r>
            <w:r>
              <w:rPr>
                <w:sz w:val="24"/>
                <w:szCs w:val="28"/>
              </w:rPr>
              <w:t xml:space="preserve"> of </w:t>
            </w:r>
            <w:r w:rsidRPr="0014255E">
              <w:rPr>
                <w:sz w:val="24"/>
                <w:szCs w:val="28"/>
              </w:rPr>
              <w:t>full refundability. In Budget 2018 the Government appropriated $1,020</w:t>
            </w:r>
            <w:r>
              <w:rPr>
                <w:sz w:val="24"/>
                <w:szCs w:val="28"/>
              </w:rPr>
              <w:t xml:space="preserve"> million</w:t>
            </w:r>
            <w:r w:rsidRPr="0014255E">
              <w:rPr>
                <w:sz w:val="24"/>
                <w:szCs w:val="28"/>
              </w:rPr>
              <w:t xml:space="preserve"> over</w:t>
            </w:r>
            <w:r>
              <w:rPr>
                <w:sz w:val="24"/>
                <w:szCs w:val="28"/>
              </w:rPr>
              <w:t xml:space="preserve"> the</w:t>
            </w:r>
            <w:r w:rsidRPr="0014255E">
              <w:rPr>
                <w:sz w:val="24"/>
                <w:szCs w:val="28"/>
              </w:rPr>
              <w:t xml:space="preserve"> first four fiscal years for the R&amp;D Tax Incentive. On 10 Sep</w:t>
            </w:r>
            <w:r>
              <w:rPr>
                <w:sz w:val="24"/>
                <w:szCs w:val="28"/>
              </w:rPr>
              <w:t>tember 2018, Cabinet agreed to</w:t>
            </w:r>
            <w:r w:rsidRPr="0014255E">
              <w:rPr>
                <w:sz w:val="24"/>
                <w:szCs w:val="28"/>
              </w:rPr>
              <w:t xml:space="preserve"> reprioritise the remaining funding ($528</w:t>
            </w:r>
            <w:r>
              <w:rPr>
                <w:sz w:val="24"/>
                <w:szCs w:val="28"/>
              </w:rPr>
              <w:t xml:space="preserve"> </w:t>
            </w:r>
            <w:r w:rsidRPr="0014255E">
              <w:rPr>
                <w:sz w:val="24"/>
                <w:szCs w:val="28"/>
              </w:rPr>
              <w:t>m</w:t>
            </w:r>
            <w:r>
              <w:rPr>
                <w:sz w:val="24"/>
                <w:szCs w:val="28"/>
              </w:rPr>
              <w:t>illion</w:t>
            </w:r>
            <w:r w:rsidRPr="0014255E">
              <w:rPr>
                <w:sz w:val="24"/>
                <w:szCs w:val="28"/>
              </w:rPr>
              <w:t xml:space="preserve">) already allocated for Growth Grants over the same period [CAB-18-MIN-0434 refers]. </w:t>
            </w:r>
          </w:p>
          <w:p w:rsidR="0014255E" w:rsidRPr="0014255E" w:rsidRDefault="0014255E" w:rsidP="00ED13CB">
            <w:pPr>
              <w:keepNext/>
              <w:spacing w:before="120" w:after="120"/>
              <w:rPr>
                <w:sz w:val="24"/>
                <w:szCs w:val="28"/>
              </w:rPr>
            </w:pPr>
            <w:r w:rsidRPr="0014255E">
              <w:rPr>
                <w:sz w:val="24"/>
                <w:szCs w:val="28"/>
              </w:rPr>
              <w:t xml:space="preserve">We anticipate that allowing </w:t>
            </w:r>
            <w:r w:rsidR="00BB314D">
              <w:rPr>
                <w:sz w:val="24"/>
                <w:szCs w:val="28"/>
              </w:rPr>
              <w:t xml:space="preserve">broad </w:t>
            </w:r>
            <w:r w:rsidRPr="0014255E">
              <w:rPr>
                <w:sz w:val="24"/>
                <w:szCs w:val="28"/>
              </w:rPr>
              <w:t>refundability will increase the take-up of the Tax Incentive</w:t>
            </w:r>
            <w:r w:rsidR="00BB314D">
              <w:rPr>
                <w:sz w:val="24"/>
                <w:szCs w:val="28"/>
              </w:rPr>
              <w:t xml:space="preserve"> compared to limited refundability</w:t>
            </w:r>
            <w:r w:rsidRPr="0014255E">
              <w:rPr>
                <w:sz w:val="24"/>
                <w:szCs w:val="28"/>
              </w:rPr>
              <w:t xml:space="preserve">. This in turn will increase the R&amp;D expenditure performed by firms, and the amount claimed under the Tax Incentive. These fiscal costs will be borne </w:t>
            </w:r>
            <w:r w:rsidR="00B268B0">
              <w:rPr>
                <w:sz w:val="24"/>
                <w:szCs w:val="28"/>
              </w:rPr>
              <w:t xml:space="preserve">directly </w:t>
            </w:r>
            <w:r w:rsidRPr="0014255E">
              <w:rPr>
                <w:sz w:val="24"/>
                <w:szCs w:val="28"/>
              </w:rPr>
              <w:t>by Government</w:t>
            </w:r>
            <w:r w:rsidR="00B268B0">
              <w:rPr>
                <w:sz w:val="24"/>
                <w:szCs w:val="28"/>
              </w:rPr>
              <w:t xml:space="preserve"> and indirectly by the taxpayer</w:t>
            </w:r>
            <w:r w:rsidRPr="0014255E">
              <w:rPr>
                <w:sz w:val="24"/>
                <w:szCs w:val="28"/>
              </w:rPr>
              <w:t>.</w:t>
            </w:r>
          </w:p>
          <w:p w:rsidR="00CA613B" w:rsidRDefault="00CA613B" w:rsidP="00ED13CB">
            <w:pPr>
              <w:keepNext/>
              <w:spacing w:before="120" w:after="120"/>
              <w:rPr>
                <w:sz w:val="24"/>
                <w:szCs w:val="28"/>
              </w:rPr>
            </w:pPr>
            <w:r>
              <w:rPr>
                <w:sz w:val="24"/>
                <w:szCs w:val="28"/>
              </w:rPr>
              <w:t xml:space="preserve">Additional fiscal cost due to broader refundability, compared with the limited refundability available in year one of the R&amp;D Tax incentive, </w:t>
            </w:r>
            <w:r w:rsidR="00BB314D">
              <w:rPr>
                <w:sz w:val="24"/>
                <w:szCs w:val="28"/>
              </w:rPr>
              <w:t>could be for the below reasons:</w:t>
            </w:r>
          </w:p>
          <w:p w:rsidR="00BB314D" w:rsidRPr="00BB314D" w:rsidRDefault="00BB314D" w:rsidP="00BB314D">
            <w:pPr>
              <w:pStyle w:val="ListParagraph"/>
              <w:keepNext/>
              <w:numPr>
                <w:ilvl w:val="0"/>
                <w:numId w:val="29"/>
              </w:numPr>
              <w:spacing w:before="120" w:after="120"/>
              <w:rPr>
                <w:sz w:val="24"/>
                <w:szCs w:val="28"/>
              </w:rPr>
            </w:pPr>
            <w:r>
              <w:rPr>
                <w:sz w:val="24"/>
                <w:szCs w:val="28"/>
              </w:rPr>
              <w:t xml:space="preserve">Increased </w:t>
            </w:r>
            <w:r w:rsidRPr="00BB314D">
              <w:rPr>
                <w:sz w:val="24"/>
                <w:szCs w:val="28"/>
              </w:rPr>
              <w:t xml:space="preserve">R&amp;D </w:t>
            </w:r>
            <w:r>
              <w:rPr>
                <w:sz w:val="24"/>
                <w:szCs w:val="28"/>
              </w:rPr>
              <w:t>activity from existing R&amp;D performers</w:t>
            </w:r>
          </w:p>
          <w:p w:rsidR="00BB314D" w:rsidRPr="00BB314D" w:rsidRDefault="00BB314D" w:rsidP="00BB314D">
            <w:pPr>
              <w:pStyle w:val="ListParagraph"/>
              <w:keepNext/>
              <w:numPr>
                <w:ilvl w:val="0"/>
                <w:numId w:val="29"/>
              </w:numPr>
              <w:spacing w:before="120" w:after="120"/>
              <w:rPr>
                <w:sz w:val="24"/>
                <w:szCs w:val="28"/>
              </w:rPr>
            </w:pPr>
            <w:r w:rsidRPr="00BB314D">
              <w:rPr>
                <w:sz w:val="24"/>
                <w:szCs w:val="28"/>
              </w:rPr>
              <w:t>Firms n</w:t>
            </w:r>
            <w:r>
              <w:rPr>
                <w:sz w:val="24"/>
                <w:szCs w:val="28"/>
              </w:rPr>
              <w:t>e</w:t>
            </w:r>
            <w:r w:rsidRPr="00BB314D">
              <w:rPr>
                <w:sz w:val="24"/>
                <w:szCs w:val="28"/>
              </w:rPr>
              <w:t>w to R&amp;D enter the scheme</w:t>
            </w:r>
          </w:p>
          <w:p w:rsidR="007B6D3E" w:rsidRDefault="007B6D3E" w:rsidP="00ED13CB">
            <w:pPr>
              <w:keepNext/>
              <w:spacing w:before="120" w:after="120"/>
              <w:rPr>
                <w:sz w:val="24"/>
                <w:szCs w:val="28"/>
              </w:rPr>
            </w:pPr>
            <w:r>
              <w:rPr>
                <w:sz w:val="24"/>
                <w:szCs w:val="28"/>
              </w:rPr>
              <w:t xml:space="preserve">We have estimated the fiscal costs of the R&amp;D Tax Incentive with full refundability to be approximately $1,345 million </w:t>
            </w:r>
            <w:r w:rsidRPr="0014255E">
              <w:rPr>
                <w:sz w:val="24"/>
                <w:szCs w:val="28"/>
              </w:rPr>
              <w:t>over</w:t>
            </w:r>
            <w:r>
              <w:rPr>
                <w:sz w:val="24"/>
                <w:szCs w:val="28"/>
              </w:rPr>
              <w:t xml:space="preserve"> the</w:t>
            </w:r>
            <w:r w:rsidRPr="0014255E">
              <w:rPr>
                <w:sz w:val="24"/>
                <w:szCs w:val="28"/>
              </w:rPr>
              <w:t xml:space="preserve"> first four fiscal years for the R&amp;D Tax Incentive</w:t>
            </w:r>
            <w:r>
              <w:rPr>
                <w:sz w:val="24"/>
                <w:szCs w:val="28"/>
              </w:rPr>
              <w:t xml:space="preserve"> (from when it comes into effect on 1 April 2019 through until 30 June 2022).</w:t>
            </w:r>
            <w:r w:rsidRPr="0014255E">
              <w:rPr>
                <w:sz w:val="24"/>
                <w:szCs w:val="28"/>
              </w:rPr>
              <w:t xml:space="preserve"> The model used to prepare these estimates assumed that firms claim the full amount of the eligible R&amp;D expenditure to which they are entitled in the year in which it is incurred. More specifically, it assumes that firms in loss claim the full amount of the Tax Incentive, even without full refundability.</w:t>
            </w:r>
          </w:p>
          <w:p w:rsidR="0014255E" w:rsidRPr="0014255E" w:rsidRDefault="007336EE" w:rsidP="00ED13CB">
            <w:pPr>
              <w:keepNext/>
              <w:spacing w:before="120" w:after="120"/>
              <w:rPr>
                <w:sz w:val="24"/>
                <w:szCs w:val="28"/>
              </w:rPr>
            </w:pPr>
            <w:r>
              <w:rPr>
                <w:sz w:val="24"/>
                <w:szCs w:val="28"/>
              </w:rPr>
              <w:t>A</w:t>
            </w:r>
            <w:r w:rsidR="0014255E" w:rsidRPr="0014255E">
              <w:rPr>
                <w:sz w:val="24"/>
                <w:szCs w:val="28"/>
              </w:rPr>
              <w:t>necdotal evidence from overseas jurisdictions shows that those that have allowed more generous refundability have experienced much greater rise in the costs of their R&amp;D tax incentive</w:t>
            </w:r>
            <w:r w:rsidR="007B6D3E">
              <w:rPr>
                <w:sz w:val="24"/>
                <w:szCs w:val="28"/>
              </w:rPr>
              <w:t>s</w:t>
            </w:r>
            <w:r w:rsidR="0014255E" w:rsidRPr="0014255E">
              <w:rPr>
                <w:sz w:val="24"/>
                <w:szCs w:val="28"/>
              </w:rPr>
              <w:t>. In Australia, R&amp;D in the part of the scheme that was refundable (which applied to small-and-medium enterprises) grew at approximately 15 percent per annum whereas R&amp;D in the non-refundable part experienced no growth.</w:t>
            </w:r>
          </w:p>
          <w:p w:rsidR="0014255E" w:rsidRPr="0014255E" w:rsidRDefault="0014255E" w:rsidP="00ED13CB">
            <w:pPr>
              <w:keepNext/>
              <w:spacing w:before="120" w:after="120"/>
              <w:rPr>
                <w:sz w:val="24"/>
                <w:szCs w:val="28"/>
              </w:rPr>
            </w:pPr>
            <w:r w:rsidRPr="0014255E">
              <w:rPr>
                <w:sz w:val="24"/>
                <w:szCs w:val="28"/>
              </w:rPr>
              <w:t xml:space="preserve">We cannot extrapolate exactly from the Australian experience to New Zealand because in New Zealand </w:t>
            </w:r>
            <w:r w:rsidR="007336EE">
              <w:rPr>
                <w:sz w:val="24"/>
                <w:szCs w:val="28"/>
              </w:rPr>
              <w:t xml:space="preserve">broad </w:t>
            </w:r>
            <w:r w:rsidRPr="0014255E">
              <w:rPr>
                <w:sz w:val="24"/>
                <w:szCs w:val="28"/>
              </w:rPr>
              <w:t>refundability will be available to all businesses, regardless of size</w:t>
            </w:r>
            <w:r w:rsidR="007B6D3E">
              <w:rPr>
                <w:sz w:val="24"/>
                <w:szCs w:val="28"/>
              </w:rPr>
              <w:t xml:space="preserve"> (subject to exclusions discussed above)</w:t>
            </w:r>
            <w:r w:rsidRPr="0014255E">
              <w:rPr>
                <w:sz w:val="24"/>
                <w:szCs w:val="28"/>
              </w:rPr>
              <w:t xml:space="preserve">. Moreover, without further analysis, it is not possible to conclude that the presence of refundability drove all the higher </w:t>
            </w:r>
            <w:r w:rsidR="00E02BE1" w:rsidRPr="0014255E">
              <w:rPr>
                <w:sz w:val="24"/>
                <w:szCs w:val="28"/>
              </w:rPr>
              <w:t>growth</w:t>
            </w:r>
            <w:r w:rsidR="00E02BE1">
              <w:rPr>
                <w:sz w:val="24"/>
                <w:szCs w:val="28"/>
              </w:rPr>
              <w:t xml:space="preserve"> in Australia; a</w:t>
            </w:r>
            <w:r w:rsidR="00E02BE1" w:rsidRPr="0014255E">
              <w:rPr>
                <w:sz w:val="24"/>
                <w:szCs w:val="28"/>
              </w:rPr>
              <w:t xml:space="preserve"> number of other factors are likely to have also contributed. Nevertheless</w:t>
            </w:r>
            <w:r w:rsidRPr="0014255E">
              <w:rPr>
                <w:sz w:val="24"/>
                <w:szCs w:val="28"/>
              </w:rPr>
              <w:t>, if New Zealand were to experience R&amp;D growth equivalent to the refundable part of the Australian scheme, we have estimated that it might add approximately $40</w:t>
            </w:r>
            <w:r w:rsidR="00C02722">
              <w:rPr>
                <w:sz w:val="24"/>
                <w:szCs w:val="28"/>
              </w:rPr>
              <w:t xml:space="preserve"> million</w:t>
            </w:r>
            <w:r w:rsidRPr="0014255E">
              <w:rPr>
                <w:sz w:val="24"/>
                <w:szCs w:val="28"/>
              </w:rPr>
              <w:t xml:space="preserve"> </w:t>
            </w:r>
            <w:r w:rsidR="000D2A5F">
              <w:rPr>
                <w:sz w:val="24"/>
                <w:szCs w:val="28"/>
              </w:rPr>
              <w:t xml:space="preserve">(over the period of the appropriation) </w:t>
            </w:r>
            <w:r w:rsidRPr="0014255E">
              <w:rPr>
                <w:sz w:val="24"/>
                <w:szCs w:val="28"/>
              </w:rPr>
              <w:t xml:space="preserve">to our estimates of the fiscal costs of </w:t>
            </w:r>
            <w:r w:rsidR="00C02722">
              <w:rPr>
                <w:sz w:val="24"/>
                <w:szCs w:val="28"/>
              </w:rPr>
              <w:t xml:space="preserve">the </w:t>
            </w:r>
            <w:r w:rsidRPr="0014255E">
              <w:rPr>
                <w:sz w:val="24"/>
                <w:szCs w:val="28"/>
              </w:rPr>
              <w:t>R&amp;D Tax Incentive.</w:t>
            </w:r>
          </w:p>
          <w:p w:rsidR="00BB314D" w:rsidRPr="00BB314D" w:rsidRDefault="00BB314D" w:rsidP="00BB314D">
            <w:pPr>
              <w:keepNext/>
              <w:spacing w:before="120" w:after="120"/>
              <w:rPr>
                <w:i/>
                <w:sz w:val="24"/>
                <w:szCs w:val="28"/>
              </w:rPr>
            </w:pPr>
            <w:r w:rsidRPr="00BB314D">
              <w:rPr>
                <w:i/>
                <w:sz w:val="24"/>
                <w:szCs w:val="28"/>
              </w:rPr>
              <w:t>Administration costs</w:t>
            </w:r>
          </w:p>
          <w:p w:rsidR="00BB314D" w:rsidRDefault="00BB314D" w:rsidP="00BB314D">
            <w:pPr>
              <w:keepNext/>
              <w:spacing w:before="120" w:after="120"/>
              <w:rPr>
                <w:sz w:val="24"/>
                <w:szCs w:val="28"/>
              </w:rPr>
            </w:pPr>
            <w:r>
              <w:rPr>
                <w:sz w:val="24"/>
                <w:szCs w:val="28"/>
              </w:rPr>
              <w:t>The increased attractiveness of the regime will increase legitimate claims but may also increase fraudulent claims. The increased risk of fraudulent claims may mean more administrative costs to ensure the legitimacy of claims. However, as the R&amp;D Tax Incentive scheme has already been designed with relatively thorough checks on the R&amp;D activities that are the subject of the claims, it is expected that any increase in administrative costs resulting from broader refundability will be negligible.</w:t>
            </w:r>
          </w:p>
          <w:p w:rsidR="00BB314D" w:rsidRPr="00BB314D" w:rsidRDefault="00BB314D" w:rsidP="00BB314D">
            <w:pPr>
              <w:keepNext/>
              <w:spacing w:before="120" w:after="120"/>
              <w:rPr>
                <w:i/>
                <w:sz w:val="24"/>
                <w:szCs w:val="28"/>
                <w:lang w:val="en-NZ"/>
              </w:rPr>
            </w:pPr>
            <w:r w:rsidRPr="00BB314D">
              <w:rPr>
                <w:i/>
                <w:sz w:val="24"/>
                <w:szCs w:val="28"/>
              </w:rPr>
              <w:t>Compliance costs</w:t>
            </w:r>
          </w:p>
          <w:p w:rsidR="00BB314D" w:rsidRPr="00BD69C3" w:rsidRDefault="00BB314D" w:rsidP="00BB314D">
            <w:pPr>
              <w:keepNext/>
              <w:spacing w:before="120" w:after="120"/>
              <w:rPr>
                <w:sz w:val="24"/>
                <w:szCs w:val="28"/>
              </w:rPr>
            </w:pPr>
            <w:r>
              <w:rPr>
                <w:sz w:val="24"/>
                <w:szCs w:val="28"/>
              </w:rPr>
              <w:t xml:space="preserve">Compared with the limited refundability rules in year one, compliance costs to firms </w:t>
            </w:r>
            <w:r>
              <w:rPr>
                <w:sz w:val="24"/>
                <w:szCs w:val="28"/>
              </w:rPr>
              <w:lastRenderedPageBreak/>
              <w:t>under broader refundability should either decrease or stay the same. The year one refundability rules use the existing corporate eligibility and wage intensity criteria from the R&amp;D tax loss cash-out rules, which are relatively complex. The proposed eligibility rules from year two are simpler, so compliance costs could decrease under the proposals. In addition, more firms will have their credits fully refunded rather than carrying them forward. This reduces the complexity of tracking historic credits and testing for continuity breaches.</w:t>
            </w:r>
          </w:p>
        </w:tc>
      </w:tr>
    </w:tbl>
    <w:p w:rsidR="0044455D" w:rsidRDefault="0044455D"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D51321">
            <w:pPr>
              <w:spacing w:before="60" w:after="60" w:line="240" w:lineRule="auto"/>
              <w:rPr>
                <w:b/>
                <w:sz w:val="24"/>
                <w:szCs w:val="24"/>
              </w:rPr>
            </w:pPr>
            <w:r>
              <w:rPr>
                <w:b/>
                <w:sz w:val="24"/>
                <w:szCs w:val="24"/>
              </w:rPr>
              <w:t>What are the likely risks and unintended impacts, how significant are they and how will they be minimised or mitigated?</w:t>
            </w:r>
          </w:p>
        </w:tc>
      </w:tr>
      <w:tr w:rsidR="00B374D4" w:rsidTr="003949D5">
        <w:tc>
          <w:tcPr>
            <w:tcW w:w="9287" w:type="dxa"/>
          </w:tcPr>
          <w:p w:rsidR="00AF75D7" w:rsidRPr="00756B5F" w:rsidRDefault="00AF75D7" w:rsidP="00327FE8">
            <w:pPr>
              <w:spacing w:before="120" w:after="120"/>
              <w:rPr>
                <w:b/>
                <w:i/>
                <w:sz w:val="24"/>
                <w:szCs w:val="28"/>
              </w:rPr>
            </w:pPr>
            <w:r w:rsidRPr="00756B5F">
              <w:rPr>
                <w:b/>
                <w:i/>
                <w:sz w:val="24"/>
                <w:szCs w:val="28"/>
              </w:rPr>
              <w:t>Risks</w:t>
            </w:r>
          </w:p>
          <w:p w:rsidR="00327FE8" w:rsidRPr="00756B5F" w:rsidRDefault="00327FE8" w:rsidP="00327FE8">
            <w:pPr>
              <w:spacing w:before="120" w:after="120"/>
              <w:rPr>
                <w:sz w:val="24"/>
                <w:szCs w:val="28"/>
              </w:rPr>
            </w:pPr>
            <w:r w:rsidRPr="00756B5F">
              <w:rPr>
                <w:sz w:val="24"/>
                <w:szCs w:val="28"/>
              </w:rPr>
              <w:t xml:space="preserve">There are three </w:t>
            </w:r>
            <w:r w:rsidR="00FB309E" w:rsidRPr="00756B5F">
              <w:rPr>
                <w:sz w:val="24"/>
                <w:szCs w:val="28"/>
              </w:rPr>
              <w:t xml:space="preserve">main </w:t>
            </w:r>
            <w:r w:rsidRPr="00756B5F">
              <w:rPr>
                <w:sz w:val="24"/>
                <w:szCs w:val="28"/>
              </w:rPr>
              <w:t>risks associated with broader refundability which must be considered</w:t>
            </w:r>
            <w:r w:rsidR="00004B13">
              <w:rPr>
                <w:sz w:val="24"/>
                <w:szCs w:val="28"/>
              </w:rPr>
              <w:t xml:space="preserve"> as part of the design</w:t>
            </w:r>
            <w:r w:rsidR="00FB309E" w:rsidRPr="00756B5F">
              <w:rPr>
                <w:sz w:val="24"/>
                <w:szCs w:val="28"/>
              </w:rPr>
              <w:t>. These are</w:t>
            </w:r>
            <w:r w:rsidRPr="00756B5F">
              <w:rPr>
                <w:sz w:val="24"/>
                <w:szCs w:val="28"/>
              </w:rPr>
              <w:t xml:space="preserve"> fiscal risk, fraud risk, and integrity risk.</w:t>
            </w:r>
          </w:p>
          <w:p w:rsidR="00327FE8" w:rsidRPr="00756B5F" w:rsidRDefault="00327FE8" w:rsidP="00327FE8">
            <w:pPr>
              <w:spacing w:before="120" w:after="120"/>
              <w:rPr>
                <w:sz w:val="24"/>
                <w:szCs w:val="28"/>
              </w:rPr>
            </w:pPr>
            <w:r w:rsidRPr="00756B5F">
              <w:rPr>
                <w:i/>
                <w:sz w:val="24"/>
                <w:szCs w:val="28"/>
              </w:rPr>
              <w:t>Fiscal risk</w:t>
            </w:r>
          </w:p>
          <w:p w:rsidR="00327FE8" w:rsidRPr="00327FE8" w:rsidRDefault="00E25350" w:rsidP="00327FE8">
            <w:pPr>
              <w:spacing w:before="120" w:after="120"/>
              <w:rPr>
                <w:sz w:val="24"/>
                <w:szCs w:val="28"/>
              </w:rPr>
            </w:pPr>
            <w:r w:rsidRPr="00756B5F">
              <w:rPr>
                <w:sz w:val="24"/>
                <w:szCs w:val="28"/>
              </w:rPr>
              <w:t xml:space="preserve">Overseas experience indicates that </w:t>
            </w:r>
            <w:r w:rsidR="003A3688">
              <w:rPr>
                <w:sz w:val="24"/>
                <w:szCs w:val="28"/>
              </w:rPr>
              <w:t xml:space="preserve">R&amp;D and hence </w:t>
            </w:r>
            <w:r w:rsidRPr="00756B5F">
              <w:rPr>
                <w:sz w:val="24"/>
                <w:szCs w:val="28"/>
              </w:rPr>
              <w:t xml:space="preserve">fiscal cost growth is faster for the refundable parts of R&amp;D tax credit </w:t>
            </w:r>
            <w:r w:rsidR="003C621F">
              <w:rPr>
                <w:sz w:val="24"/>
                <w:szCs w:val="28"/>
              </w:rPr>
              <w:t>schemes</w:t>
            </w:r>
            <w:r w:rsidRPr="00756B5F">
              <w:rPr>
                <w:sz w:val="24"/>
                <w:szCs w:val="28"/>
              </w:rPr>
              <w:t xml:space="preserve">. This is not a risk in and of itself, because an increase in expenditure because of increased R&amp;D would go towards achieving the objective of the incentive. A </w:t>
            </w:r>
            <w:r w:rsidR="002545BC">
              <w:rPr>
                <w:sz w:val="24"/>
                <w:szCs w:val="28"/>
              </w:rPr>
              <w:t>‘payroll</w:t>
            </w:r>
            <w:r w:rsidR="00D762A6">
              <w:rPr>
                <w:sz w:val="24"/>
                <w:szCs w:val="28"/>
              </w:rPr>
              <w:t>’</w:t>
            </w:r>
            <w:r w:rsidR="002545BC">
              <w:rPr>
                <w:sz w:val="24"/>
                <w:szCs w:val="28"/>
              </w:rPr>
              <w:t xml:space="preserve"> cap</w:t>
            </w:r>
            <w:r w:rsidRPr="00756B5F">
              <w:rPr>
                <w:sz w:val="24"/>
                <w:szCs w:val="28"/>
              </w:rPr>
              <w:t xml:space="preserve"> </w:t>
            </w:r>
            <w:r w:rsidR="002545BC">
              <w:rPr>
                <w:sz w:val="24"/>
                <w:szCs w:val="28"/>
              </w:rPr>
              <w:t>is</w:t>
            </w:r>
            <w:r w:rsidRPr="00756B5F">
              <w:rPr>
                <w:sz w:val="24"/>
                <w:szCs w:val="28"/>
              </w:rPr>
              <w:t xml:space="preserve"> proposed to help mitigate fiscal risk</w:t>
            </w:r>
            <w:r w:rsidR="00FB309E" w:rsidRPr="00756B5F">
              <w:rPr>
                <w:sz w:val="24"/>
                <w:szCs w:val="28"/>
              </w:rPr>
              <w:t xml:space="preserve"> associated with illegitimate R&amp;D tax credit claims</w:t>
            </w:r>
            <w:r w:rsidRPr="00756B5F">
              <w:rPr>
                <w:sz w:val="24"/>
                <w:szCs w:val="28"/>
              </w:rPr>
              <w:t>. If the Government decided to constrain expenditure</w:t>
            </w:r>
            <w:r w:rsidR="00FB309E" w:rsidRPr="00756B5F">
              <w:rPr>
                <w:sz w:val="24"/>
                <w:szCs w:val="28"/>
              </w:rPr>
              <w:t xml:space="preserve"> on the incentive</w:t>
            </w:r>
            <w:r w:rsidRPr="00756B5F">
              <w:rPr>
                <w:sz w:val="24"/>
                <w:szCs w:val="28"/>
              </w:rPr>
              <w:t xml:space="preserve"> in future, the tax credit rate of 15% could be adjusted downwards.</w:t>
            </w:r>
            <w:r>
              <w:rPr>
                <w:sz w:val="24"/>
                <w:szCs w:val="28"/>
              </w:rPr>
              <w:t xml:space="preserve"> </w:t>
            </w:r>
          </w:p>
          <w:p w:rsidR="00327FE8" w:rsidRDefault="00E25350" w:rsidP="00327FE8">
            <w:pPr>
              <w:spacing w:before="120" w:after="120"/>
              <w:rPr>
                <w:sz w:val="24"/>
                <w:szCs w:val="28"/>
              </w:rPr>
            </w:pPr>
            <w:r>
              <w:rPr>
                <w:i/>
                <w:sz w:val="24"/>
                <w:szCs w:val="28"/>
              </w:rPr>
              <w:t>Fraud risk</w:t>
            </w:r>
          </w:p>
          <w:p w:rsidR="003A3688" w:rsidRDefault="00E25350" w:rsidP="003A3688">
            <w:pPr>
              <w:spacing w:before="120" w:after="120"/>
              <w:rPr>
                <w:sz w:val="24"/>
                <w:szCs w:val="28"/>
              </w:rPr>
            </w:pPr>
            <w:r>
              <w:rPr>
                <w:sz w:val="24"/>
                <w:szCs w:val="28"/>
              </w:rPr>
              <w:t xml:space="preserve">This is </w:t>
            </w:r>
            <w:r w:rsidR="003C621F">
              <w:rPr>
                <w:sz w:val="24"/>
                <w:szCs w:val="28"/>
              </w:rPr>
              <w:t>the risk of a person</w:t>
            </w:r>
            <w:r>
              <w:rPr>
                <w:sz w:val="24"/>
                <w:szCs w:val="28"/>
              </w:rPr>
              <w:t xml:space="preserve"> deliberately attempt</w:t>
            </w:r>
            <w:r w:rsidR="003C621F">
              <w:rPr>
                <w:sz w:val="24"/>
                <w:szCs w:val="28"/>
              </w:rPr>
              <w:t>ing</w:t>
            </w:r>
            <w:r>
              <w:rPr>
                <w:sz w:val="24"/>
                <w:szCs w:val="28"/>
              </w:rPr>
              <w:t xml:space="preserve"> to extract money from the tax system dishonestly. Broader refundability provides additional incentives to perpetrate fraud and allows additional opportunities to perpetrate fraud. </w:t>
            </w:r>
            <w:r w:rsidR="003A3688">
              <w:rPr>
                <w:sz w:val="24"/>
                <w:szCs w:val="28"/>
              </w:rPr>
              <w:t>It is more difficult to recover money paid out in cash via a refund than to cancel a tax credit.</w:t>
            </w:r>
          </w:p>
          <w:p w:rsidR="00327FE8" w:rsidRDefault="00AF75D7" w:rsidP="00E25350">
            <w:pPr>
              <w:spacing w:before="120" w:after="120"/>
              <w:rPr>
                <w:sz w:val="24"/>
                <w:szCs w:val="28"/>
              </w:rPr>
            </w:pPr>
            <w:r>
              <w:rPr>
                <w:sz w:val="24"/>
                <w:szCs w:val="28"/>
              </w:rPr>
              <w:t xml:space="preserve">To minimise the risk of fraudulent claims, the proposed </w:t>
            </w:r>
            <w:r w:rsidR="002545BC">
              <w:rPr>
                <w:sz w:val="24"/>
                <w:szCs w:val="28"/>
              </w:rPr>
              <w:t>‘payroll</w:t>
            </w:r>
            <w:r w:rsidR="00D762A6">
              <w:rPr>
                <w:sz w:val="24"/>
                <w:szCs w:val="28"/>
              </w:rPr>
              <w:t>’</w:t>
            </w:r>
            <w:r w:rsidR="002545BC">
              <w:rPr>
                <w:sz w:val="24"/>
                <w:szCs w:val="28"/>
              </w:rPr>
              <w:t xml:space="preserve"> cap</w:t>
            </w:r>
            <w:r>
              <w:rPr>
                <w:sz w:val="24"/>
                <w:szCs w:val="28"/>
              </w:rPr>
              <w:t xml:space="preserve"> ensures the existence of a business and its </w:t>
            </w:r>
            <w:r w:rsidR="002545BC">
              <w:rPr>
                <w:sz w:val="24"/>
                <w:szCs w:val="28"/>
              </w:rPr>
              <w:t xml:space="preserve">economic presence </w:t>
            </w:r>
            <w:r>
              <w:rPr>
                <w:sz w:val="24"/>
                <w:szCs w:val="28"/>
              </w:rPr>
              <w:t xml:space="preserve">are verified before a R&amp;D tax credit refund is paid to the business. </w:t>
            </w:r>
          </w:p>
          <w:p w:rsidR="00C248C8" w:rsidRDefault="00C248C8" w:rsidP="00C248C8">
            <w:pPr>
              <w:spacing w:before="120" w:after="120"/>
              <w:rPr>
                <w:sz w:val="24"/>
                <w:szCs w:val="28"/>
              </w:rPr>
            </w:pPr>
            <w:r>
              <w:rPr>
                <w:sz w:val="24"/>
                <w:szCs w:val="28"/>
              </w:rPr>
              <w:t>The risk of fraudulent claims will also be mitigated through the following steps:</w:t>
            </w:r>
          </w:p>
          <w:p w:rsidR="00C248C8" w:rsidRDefault="00C248C8" w:rsidP="00C248C8">
            <w:pPr>
              <w:pStyle w:val="ListParagraph"/>
              <w:numPr>
                <w:ilvl w:val="0"/>
                <w:numId w:val="8"/>
              </w:numPr>
              <w:spacing w:before="120" w:after="120"/>
              <w:rPr>
                <w:sz w:val="24"/>
                <w:szCs w:val="28"/>
              </w:rPr>
            </w:pPr>
            <w:r>
              <w:rPr>
                <w:sz w:val="24"/>
                <w:szCs w:val="28"/>
              </w:rPr>
              <w:t xml:space="preserve">An in-year approval process (included in the </w:t>
            </w:r>
            <w:r w:rsidR="00C47D59">
              <w:rPr>
                <w:sz w:val="24"/>
                <w:szCs w:val="28"/>
              </w:rPr>
              <w:t>Act</w:t>
            </w:r>
            <w:r>
              <w:rPr>
                <w:sz w:val="24"/>
                <w:szCs w:val="28"/>
              </w:rPr>
              <w:t xml:space="preserve">), which requires claimants to obtain approval of their R&amp;D activities before they file a claim for their R&amp;D tax credits. </w:t>
            </w:r>
          </w:p>
          <w:p w:rsidR="00C248C8" w:rsidRDefault="00C248C8" w:rsidP="00C248C8">
            <w:pPr>
              <w:pStyle w:val="ListParagraph"/>
              <w:numPr>
                <w:ilvl w:val="0"/>
                <w:numId w:val="8"/>
              </w:numPr>
              <w:spacing w:before="120" w:after="120"/>
              <w:rPr>
                <w:sz w:val="24"/>
                <w:szCs w:val="28"/>
              </w:rPr>
            </w:pPr>
            <w:r w:rsidRPr="004C77F3">
              <w:rPr>
                <w:sz w:val="24"/>
                <w:szCs w:val="28"/>
              </w:rPr>
              <w:t>A $50,000 minimum threshold</w:t>
            </w:r>
            <w:r>
              <w:rPr>
                <w:sz w:val="24"/>
                <w:szCs w:val="28"/>
              </w:rPr>
              <w:t xml:space="preserve"> </w:t>
            </w:r>
            <w:r w:rsidR="003C621F">
              <w:rPr>
                <w:sz w:val="24"/>
                <w:szCs w:val="28"/>
              </w:rPr>
              <w:t>of eligible expenditure</w:t>
            </w:r>
            <w:r w:rsidR="003C621F">
              <w:rPr>
                <w:rStyle w:val="FootnoteReference"/>
                <w:szCs w:val="28"/>
              </w:rPr>
              <w:footnoteReference w:id="1"/>
            </w:r>
            <w:r w:rsidR="003C621F">
              <w:rPr>
                <w:sz w:val="24"/>
                <w:szCs w:val="28"/>
              </w:rPr>
              <w:t xml:space="preserve"> </w:t>
            </w:r>
            <w:r>
              <w:rPr>
                <w:sz w:val="24"/>
                <w:szCs w:val="28"/>
              </w:rPr>
              <w:t xml:space="preserve">(included in the </w:t>
            </w:r>
            <w:r w:rsidR="00C47D59">
              <w:rPr>
                <w:sz w:val="24"/>
                <w:szCs w:val="28"/>
              </w:rPr>
              <w:t>Act</w:t>
            </w:r>
            <w:r>
              <w:rPr>
                <w:sz w:val="24"/>
                <w:szCs w:val="28"/>
              </w:rPr>
              <w:t>)</w:t>
            </w:r>
            <w:r w:rsidRPr="004C77F3">
              <w:rPr>
                <w:sz w:val="24"/>
                <w:szCs w:val="28"/>
              </w:rPr>
              <w:t>. Experience in other countries, such as the United Kingdom, indicates that without a minimum threshold</w:t>
            </w:r>
            <w:r>
              <w:rPr>
                <w:sz w:val="24"/>
                <w:szCs w:val="28"/>
              </w:rPr>
              <w:t xml:space="preserve"> there can be</w:t>
            </w:r>
            <w:r w:rsidRPr="004C77F3">
              <w:rPr>
                <w:sz w:val="24"/>
                <w:szCs w:val="28"/>
              </w:rPr>
              <w:t xml:space="preserve"> a flood of smaller</w:t>
            </w:r>
            <w:r>
              <w:rPr>
                <w:sz w:val="24"/>
                <w:szCs w:val="28"/>
              </w:rPr>
              <w:t>, lower-quality</w:t>
            </w:r>
            <w:r w:rsidRPr="004C77F3">
              <w:rPr>
                <w:sz w:val="24"/>
                <w:szCs w:val="28"/>
              </w:rPr>
              <w:t xml:space="preserve"> </w:t>
            </w:r>
            <w:r>
              <w:rPr>
                <w:sz w:val="24"/>
                <w:szCs w:val="28"/>
              </w:rPr>
              <w:t xml:space="preserve">tax credit </w:t>
            </w:r>
            <w:r w:rsidRPr="004C77F3">
              <w:rPr>
                <w:sz w:val="24"/>
                <w:szCs w:val="28"/>
              </w:rPr>
              <w:t>claims</w:t>
            </w:r>
            <w:r w:rsidR="00756B5F">
              <w:rPr>
                <w:sz w:val="24"/>
                <w:szCs w:val="28"/>
              </w:rPr>
              <w:t>.</w:t>
            </w:r>
            <w:r w:rsidRPr="004C77F3">
              <w:rPr>
                <w:sz w:val="24"/>
                <w:szCs w:val="28"/>
              </w:rPr>
              <w:t xml:space="preserve"> </w:t>
            </w:r>
          </w:p>
          <w:p w:rsidR="00AF75D7" w:rsidRDefault="00AF75D7" w:rsidP="00E25350">
            <w:pPr>
              <w:spacing w:before="120" w:after="120"/>
              <w:rPr>
                <w:sz w:val="24"/>
                <w:szCs w:val="28"/>
              </w:rPr>
            </w:pPr>
            <w:r>
              <w:rPr>
                <w:i/>
                <w:sz w:val="24"/>
                <w:szCs w:val="28"/>
              </w:rPr>
              <w:t>Integrity risk</w:t>
            </w:r>
          </w:p>
          <w:p w:rsidR="00AF75D7" w:rsidRPr="00AF75D7" w:rsidRDefault="00AF75D7" w:rsidP="00E25350">
            <w:pPr>
              <w:spacing w:before="120" w:after="120"/>
              <w:rPr>
                <w:sz w:val="24"/>
                <w:szCs w:val="28"/>
              </w:rPr>
            </w:pPr>
            <w:r>
              <w:rPr>
                <w:sz w:val="24"/>
                <w:szCs w:val="28"/>
              </w:rPr>
              <w:t xml:space="preserve">This is the risk that compliance with the R&amp;D </w:t>
            </w:r>
            <w:r w:rsidR="00534C70">
              <w:rPr>
                <w:sz w:val="24"/>
                <w:szCs w:val="28"/>
              </w:rPr>
              <w:t>Tax Incentive</w:t>
            </w:r>
            <w:r>
              <w:rPr>
                <w:sz w:val="24"/>
                <w:szCs w:val="28"/>
              </w:rPr>
              <w:t xml:space="preserve"> </w:t>
            </w:r>
            <w:r w:rsidR="003C621F">
              <w:rPr>
                <w:sz w:val="24"/>
                <w:szCs w:val="28"/>
              </w:rPr>
              <w:t>scheme may</w:t>
            </w:r>
            <w:r>
              <w:rPr>
                <w:sz w:val="24"/>
                <w:szCs w:val="28"/>
              </w:rPr>
              <w:t xml:space="preserve"> deteriorate </w:t>
            </w:r>
            <w:r w:rsidR="003C621F">
              <w:rPr>
                <w:sz w:val="24"/>
                <w:szCs w:val="28"/>
              </w:rPr>
              <w:t xml:space="preserve">if it is </w:t>
            </w:r>
            <w:r>
              <w:rPr>
                <w:sz w:val="24"/>
                <w:szCs w:val="28"/>
              </w:rPr>
              <w:t xml:space="preserve">perceived </w:t>
            </w:r>
            <w:r w:rsidR="003C621F">
              <w:rPr>
                <w:sz w:val="24"/>
                <w:szCs w:val="28"/>
              </w:rPr>
              <w:t>to be abused by some claimants</w:t>
            </w:r>
            <w:r>
              <w:rPr>
                <w:sz w:val="24"/>
                <w:szCs w:val="28"/>
              </w:rPr>
              <w:t xml:space="preserve">. This risk can be mitigated by ensuring the </w:t>
            </w:r>
            <w:r w:rsidR="00534C70">
              <w:rPr>
                <w:sz w:val="24"/>
                <w:szCs w:val="28"/>
              </w:rPr>
              <w:t>T</w:t>
            </w:r>
            <w:r>
              <w:rPr>
                <w:sz w:val="24"/>
                <w:szCs w:val="28"/>
              </w:rPr>
              <w:t xml:space="preserve">ax </w:t>
            </w:r>
            <w:r w:rsidR="00534C70">
              <w:rPr>
                <w:sz w:val="24"/>
                <w:szCs w:val="28"/>
              </w:rPr>
              <w:t>I</w:t>
            </w:r>
            <w:r>
              <w:rPr>
                <w:sz w:val="24"/>
                <w:szCs w:val="28"/>
              </w:rPr>
              <w:t xml:space="preserve">ncentive is seen to be robust. </w:t>
            </w:r>
            <w:r w:rsidR="003C621F">
              <w:rPr>
                <w:sz w:val="24"/>
                <w:szCs w:val="28"/>
              </w:rPr>
              <w:t>I</w:t>
            </w:r>
            <w:r>
              <w:rPr>
                <w:sz w:val="24"/>
                <w:szCs w:val="28"/>
              </w:rPr>
              <w:t xml:space="preserve">n-year approval </w:t>
            </w:r>
            <w:r w:rsidR="00C248C8">
              <w:rPr>
                <w:sz w:val="24"/>
                <w:szCs w:val="28"/>
              </w:rPr>
              <w:t xml:space="preserve">(included in the </w:t>
            </w:r>
            <w:r w:rsidR="00C47D59">
              <w:rPr>
                <w:sz w:val="24"/>
                <w:szCs w:val="28"/>
              </w:rPr>
              <w:t>Act</w:t>
            </w:r>
            <w:r w:rsidR="00C248C8">
              <w:rPr>
                <w:sz w:val="24"/>
                <w:szCs w:val="28"/>
              </w:rPr>
              <w:t>)</w:t>
            </w:r>
            <w:r>
              <w:rPr>
                <w:sz w:val="24"/>
                <w:szCs w:val="28"/>
              </w:rPr>
              <w:t xml:space="preserve"> and the proposed </w:t>
            </w:r>
            <w:r w:rsidR="002545BC">
              <w:rPr>
                <w:sz w:val="24"/>
                <w:szCs w:val="28"/>
              </w:rPr>
              <w:t>‘payroll</w:t>
            </w:r>
            <w:r w:rsidR="00D762A6">
              <w:rPr>
                <w:sz w:val="24"/>
                <w:szCs w:val="28"/>
              </w:rPr>
              <w:t>’</w:t>
            </w:r>
            <w:r w:rsidR="002545BC">
              <w:rPr>
                <w:sz w:val="24"/>
                <w:szCs w:val="28"/>
              </w:rPr>
              <w:t xml:space="preserve"> cap </w:t>
            </w:r>
            <w:r>
              <w:rPr>
                <w:sz w:val="24"/>
                <w:szCs w:val="28"/>
              </w:rPr>
              <w:t xml:space="preserve">should help mitigate this integrity risk. </w:t>
            </w:r>
          </w:p>
          <w:p w:rsidR="00AF75D7" w:rsidRPr="00AF75D7" w:rsidRDefault="00FB309E" w:rsidP="00D5729F">
            <w:pPr>
              <w:spacing w:before="120" w:after="120"/>
              <w:rPr>
                <w:b/>
                <w:i/>
                <w:sz w:val="24"/>
                <w:szCs w:val="28"/>
              </w:rPr>
            </w:pPr>
            <w:r>
              <w:rPr>
                <w:b/>
                <w:i/>
                <w:sz w:val="24"/>
                <w:szCs w:val="28"/>
              </w:rPr>
              <w:t>Learning from o</w:t>
            </w:r>
            <w:r w:rsidR="00AF75D7">
              <w:rPr>
                <w:b/>
                <w:i/>
                <w:sz w:val="24"/>
                <w:szCs w:val="28"/>
              </w:rPr>
              <w:t>verseas experience</w:t>
            </w:r>
          </w:p>
          <w:p w:rsidR="001046A7" w:rsidRPr="001046A7" w:rsidRDefault="001F7AC3" w:rsidP="001046A7">
            <w:pPr>
              <w:spacing w:before="120" w:after="120"/>
              <w:rPr>
                <w:sz w:val="24"/>
                <w:szCs w:val="28"/>
                <w:lang w:val="en-NZ"/>
              </w:rPr>
            </w:pPr>
            <w:r w:rsidRPr="001F7AC3">
              <w:rPr>
                <w:sz w:val="24"/>
                <w:szCs w:val="28"/>
                <w:lang w:val="en-NZ"/>
              </w:rPr>
              <w:t xml:space="preserve">Most overseas R&amp;D tax credit </w:t>
            </w:r>
            <w:r w:rsidR="003C621F">
              <w:rPr>
                <w:sz w:val="24"/>
                <w:szCs w:val="28"/>
                <w:lang w:val="en-NZ"/>
              </w:rPr>
              <w:t>schemes</w:t>
            </w:r>
            <w:r w:rsidRPr="001F7AC3">
              <w:rPr>
                <w:sz w:val="24"/>
                <w:szCs w:val="28"/>
                <w:lang w:val="en-NZ"/>
              </w:rPr>
              <w:t xml:space="preserve"> with refundability have some constraints, </w:t>
            </w:r>
            <w:r w:rsidRPr="001F7AC3">
              <w:rPr>
                <w:sz w:val="24"/>
                <w:szCs w:val="28"/>
                <w:lang w:val="en-NZ"/>
              </w:rPr>
              <w:lastRenderedPageBreak/>
              <w:t>such as capping the amount of refundable tax credit to the amount of other taxes paid by a business</w:t>
            </w:r>
            <w:r w:rsidR="009721C3">
              <w:rPr>
                <w:sz w:val="24"/>
                <w:szCs w:val="28"/>
                <w:lang w:val="en-NZ"/>
              </w:rPr>
              <w:t xml:space="preserve"> </w:t>
            </w:r>
            <w:r w:rsidR="009721C3" w:rsidRPr="001F7AC3">
              <w:rPr>
                <w:sz w:val="24"/>
                <w:szCs w:val="28"/>
                <w:lang w:val="en-NZ"/>
              </w:rPr>
              <w:t>(such as PAYE</w:t>
            </w:r>
            <w:r w:rsidR="009721C3">
              <w:rPr>
                <w:sz w:val="24"/>
                <w:szCs w:val="28"/>
                <w:lang w:val="en-NZ"/>
              </w:rPr>
              <w:t xml:space="preserve"> paid on behalf of employees</w:t>
            </w:r>
            <w:r w:rsidR="009721C3" w:rsidRPr="001F7AC3">
              <w:rPr>
                <w:sz w:val="24"/>
                <w:szCs w:val="28"/>
                <w:lang w:val="en-NZ"/>
              </w:rPr>
              <w:t>)</w:t>
            </w:r>
            <w:r w:rsidRPr="001F7AC3">
              <w:rPr>
                <w:sz w:val="24"/>
                <w:szCs w:val="28"/>
                <w:lang w:val="en-NZ"/>
              </w:rPr>
              <w:t xml:space="preserve">. </w:t>
            </w:r>
            <w:r w:rsidR="001046A7" w:rsidRPr="001046A7">
              <w:rPr>
                <w:sz w:val="24"/>
                <w:szCs w:val="28"/>
                <w:lang w:val="en-NZ"/>
              </w:rPr>
              <w:t xml:space="preserve">Appendix 1 summarises the policies applied in other OECD countries that provide refunds and describes the strengths and drawbacks of each policy. </w:t>
            </w:r>
          </w:p>
          <w:p w:rsidR="001046A7" w:rsidRPr="001046A7" w:rsidRDefault="001046A7" w:rsidP="001046A7">
            <w:pPr>
              <w:spacing w:before="120" w:after="120"/>
              <w:rPr>
                <w:sz w:val="24"/>
                <w:szCs w:val="28"/>
                <w:lang w:val="en-NZ"/>
              </w:rPr>
            </w:pPr>
            <w:r w:rsidRPr="001046A7">
              <w:rPr>
                <w:sz w:val="24"/>
                <w:szCs w:val="28"/>
                <w:lang w:val="en-NZ"/>
              </w:rPr>
              <w:t>There is no uniformity as to how constraints are applied, but some broad observations are:</w:t>
            </w:r>
          </w:p>
          <w:p w:rsidR="001046A7" w:rsidRPr="001046A7" w:rsidRDefault="001046A7" w:rsidP="001046A7">
            <w:pPr>
              <w:pStyle w:val="ListParagraph"/>
              <w:numPr>
                <w:ilvl w:val="0"/>
                <w:numId w:val="14"/>
              </w:numPr>
              <w:spacing w:before="120" w:after="120"/>
              <w:rPr>
                <w:sz w:val="24"/>
                <w:szCs w:val="28"/>
              </w:rPr>
            </w:pPr>
            <w:r w:rsidRPr="001046A7">
              <w:rPr>
                <w:sz w:val="24"/>
                <w:szCs w:val="28"/>
              </w:rPr>
              <w:t>Some constraint on refundability is the norm</w:t>
            </w:r>
            <w:r w:rsidR="00FB309E">
              <w:rPr>
                <w:sz w:val="24"/>
                <w:szCs w:val="28"/>
              </w:rPr>
              <w:t>.</w:t>
            </w:r>
            <w:r w:rsidRPr="001046A7">
              <w:rPr>
                <w:sz w:val="24"/>
                <w:szCs w:val="28"/>
              </w:rPr>
              <w:t xml:space="preserve"> </w:t>
            </w:r>
            <w:r w:rsidR="00FB309E">
              <w:rPr>
                <w:sz w:val="24"/>
                <w:szCs w:val="28"/>
              </w:rPr>
              <w:t>A</w:t>
            </w:r>
            <w:r w:rsidRPr="001046A7">
              <w:rPr>
                <w:sz w:val="24"/>
                <w:szCs w:val="28"/>
              </w:rPr>
              <w:t xml:space="preserve"> system with no restrictions on refundability would be an outlier amongst OECD countries</w:t>
            </w:r>
            <w:r>
              <w:rPr>
                <w:sz w:val="24"/>
                <w:szCs w:val="28"/>
              </w:rPr>
              <w:t>.</w:t>
            </w:r>
          </w:p>
          <w:p w:rsidR="001046A7" w:rsidRPr="001046A7" w:rsidRDefault="001046A7" w:rsidP="001046A7">
            <w:pPr>
              <w:pStyle w:val="ListParagraph"/>
              <w:numPr>
                <w:ilvl w:val="0"/>
                <w:numId w:val="14"/>
              </w:numPr>
              <w:spacing w:before="120" w:after="120"/>
              <w:rPr>
                <w:sz w:val="24"/>
                <w:szCs w:val="28"/>
              </w:rPr>
            </w:pPr>
            <w:r>
              <w:rPr>
                <w:sz w:val="24"/>
                <w:szCs w:val="28"/>
              </w:rPr>
              <w:t>T</w:t>
            </w:r>
            <w:r w:rsidRPr="001046A7">
              <w:rPr>
                <w:sz w:val="24"/>
                <w:szCs w:val="28"/>
              </w:rPr>
              <w:t>he different ways in which refundability is limited often reflect differences in the underlying tax incentive scheme</w:t>
            </w:r>
            <w:r>
              <w:rPr>
                <w:sz w:val="24"/>
                <w:szCs w:val="28"/>
              </w:rPr>
              <w:t>.</w:t>
            </w:r>
          </w:p>
          <w:p w:rsidR="001046A7" w:rsidRPr="001046A7" w:rsidRDefault="001046A7" w:rsidP="001046A7">
            <w:pPr>
              <w:pStyle w:val="ListParagraph"/>
              <w:numPr>
                <w:ilvl w:val="0"/>
                <w:numId w:val="14"/>
              </w:numPr>
              <w:spacing w:before="120" w:after="120"/>
              <w:rPr>
                <w:sz w:val="24"/>
                <w:szCs w:val="28"/>
              </w:rPr>
            </w:pPr>
            <w:r>
              <w:rPr>
                <w:sz w:val="24"/>
                <w:szCs w:val="28"/>
              </w:rPr>
              <w:t>S</w:t>
            </w:r>
            <w:r w:rsidRPr="001046A7">
              <w:rPr>
                <w:sz w:val="24"/>
                <w:szCs w:val="28"/>
              </w:rPr>
              <w:t>ome countries limit refundability to SMEs and start-ups</w:t>
            </w:r>
            <w:r>
              <w:rPr>
                <w:sz w:val="24"/>
                <w:szCs w:val="28"/>
              </w:rPr>
              <w:t>.</w:t>
            </w:r>
          </w:p>
          <w:p w:rsidR="001F7AC3" w:rsidRDefault="001046A7" w:rsidP="001046A7">
            <w:pPr>
              <w:pStyle w:val="ListParagraph"/>
              <w:numPr>
                <w:ilvl w:val="0"/>
                <w:numId w:val="14"/>
              </w:numPr>
              <w:spacing w:before="120" w:after="120"/>
              <w:rPr>
                <w:sz w:val="24"/>
                <w:szCs w:val="28"/>
              </w:rPr>
            </w:pPr>
            <w:r>
              <w:rPr>
                <w:sz w:val="24"/>
                <w:szCs w:val="28"/>
              </w:rPr>
              <w:t>I</w:t>
            </w:r>
            <w:r w:rsidRPr="001046A7">
              <w:rPr>
                <w:sz w:val="24"/>
                <w:szCs w:val="28"/>
              </w:rPr>
              <w:t>t is relatively common to limit refunds by reference to other taxes paid by the firm.</w:t>
            </w:r>
          </w:p>
          <w:p w:rsidR="001046A7" w:rsidRDefault="009B24ED" w:rsidP="00D5729F">
            <w:pPr>
              <w:spacing w:before="120" w:after="120"/>
              <w:rPr>
                <w:sz w:val="24"/>
                <w:szCs w:val="28"/>
                <w:lang w:val="en-NZ"/>
              </w:rPr>
            </w:pPr>
            <w:r w:rsidRPr="009B24ED">
              <w:rPr>
                <w:sz w:val="24"/>
                <w:szCs w:val="28"/>
                <w:lang w:val="en-NZ"/>
              </w:rPr>
              <w:t>A common approach in other jurisdictions is to limit refunds to the amount paid in other taxes such as PAYE.</w:t>
            </w:r>
            <w:r w:rsidR="00FB309E" w:rsidRPr="009B24ED">
              <w:rPr>
                <w:sz w:val="24"/>
                <w:szCs w:val="28"/>
                <w:vertAlign w:val="superscript"/>
                <w:lang w:val="en-NZ"/>
              </w:rPr>
              <w:footnoteReference w:id="2"/>
            </w:r>
            <w:r w:rsidRPr="009B24ED">
              <w:rPr>
                <w:sz w:val="24"/>
                <w:szCs w:val="28"/>
                <w:lang w:val="en-NZ"/>
              </w:rPr>
              <w:t xml:space="preserve"> This ensures a firm has a tangible economic </w:t>
            </w:r>
            <w:r w:rsidR="009721C3" w:rsidRPr="009B24ED">
              <w:rPr>
                <w:sz w:val="24"/>
                <w:szCs w:val="28"/>
                <w:lang w:val="en-NZ"/>
              </w:rPr>
              <w:t>presence</w:t>
            </w:r>
            <w:r w:rsidR="009721C3">
              <w:rPr>
                <w:sz w:val="24"/>
                <w:szCs w:val="28"/>
                <w:lang w:val="en-NZ"/>
              </w:rPr>
              <w:t xml:space="preserve"> in the country where the claim is being made</w:t>
            </w:r>
            <w:r w:rsidR="009721C3" w:rsidRPr="009B24ED">
              <w:rPr>
                <w:sz w:val="24"/>
                <w:szCs w:val="28"/>
                <w:lang w:val="en-NZ"/>
              </w:rPr>
              <w:t>,</w:t>
            </w:r>
            <w:r w:rsidR="009721C3">
              <w:rPr>
                <w:sz w:val="24"/>
                <w:szCs w:val="28"/>
                <w:lang w:val="en-NZ"/>
              </w:rPr>
              <w:t xml:space="preserve"> the amount refunded is commensurate to activity in the jurisdiction and it reduces the risk that the claim is made by a non-existent entity. </w:t>
            </w:r>
            <w:r w:rsidR="00C248C8" w:rsidRPr="001F7AC3">
              <w:rPr>
                <w:sz w:val="24"/>
                <w:szCs w:val="28"/>
                <w:lang w:val="en-NZ"/>
              </w:rPr>
              <w:t xml:space="preserve">Considering the risks associated with refundability and learnings from overseas, </w:t>
            </w:r>
            <w:r w:rsidR="00C248C8">
              <w:rPr>
                <w:sz w:val="24"/>
                <w:szCs w:val="28"/>
                <w:lang w:val="en-NZ"/>
              </w:rPr>
              <w:t>we</w:t>
            </w:r>
            <w:r w:rsidR="00C248C8" w:rsidRPr="001F7AC3">
              <w:rPr>
                <w:sz w:val="24"/>
                <w:szCs w:val="28"/>
                <w:lang w:val="en-NZ"/>
              </w:rPr>
              <w:t xml:space="preserve"> propose broadening the refundability available in year </w:t>
            </w:r>
            <w:r w:rsidR="00C248C8">
              <w:rPr>
                <w:sz w:val="24"/>
                <w:szCs w:val="28"/>
                <w:lang w:val="en-NZ"/>
              </w:rPr>
              <w:t>one</w:t>
            </w:r>
            <w:r w:rsidR="00C248C8" w:rsidRPr="001F7AC3">
              <w:rPr>
                <w:sz w:val="24"/>
                <w:szCs w:val="28"/>
                <w:lang w:val="en-NZ"/>
              </w:rPr>
              <w:t xml:space="preserve"> but having some constraints to mitigate risk.</w:t>
            </w:r>
          </w:p>
          <w:p w:rsidR="001F7AC3" w:rsidRDefault="00FB309E" w:rsidP="00FB309E">
            <w:pPr>
              <w:spacing w:before="120" w:after="120"/>
              <w:ind w:left="1440" w:hanging="1440"/>
              <w:rPr>
                <w:sz w:val="24"/>
                <w:szCs w:val="28"/>
              </w:rPr>
            </w:pPr>
            <w:r>
              <w:rPr>
                <w:b/>
                <w:i/>
                <w:sz w:val="24"/>
                <w:szCs w:val="28"/>
              </w:rPr>
              <w:t xml:space="preserve">Constraints to mitigate the risks associated with broader refundability </w:t>
            </w:r>
          </w:p>
          <w:p w:rsidR="00C55EC1" w:rsidRDefault="00C55EC1" w:rsidP="004C77F3">
            <w:pPr>
              <w:spacing w:before="120" w:after="120"/>
              <w:rPr>
                <w:sz w:val="24"/>
                <w:szCs w:val="28"/>
              </w:rPr>
            </w:pPr>
            <w:r>
              <w:rPr>
                <w:sz w:val="24"/>
                <w:szCs w:val="28"/>
              </w:rPr>
              <w:t xml:space="preserve">The proposal to broaden eligibility for refundability includes </w:t>
            </w:r>
            <w:r w:rsidR="00E94F80">
              <w:rPr>
                <w:sz w:val="24"/>
                <w:szCs w:val="28"/>
              </w:rPr>
              <w:t>a ‘payroll</w:t>
            </w:r>
            <w:r w:rsidR="00054925">
              <w:rPr>
                <w:sz w:val="24"/>
                <w:szCs w:val="28"/>
              </w:rPr>
              <w:t>’</w:t>
            </w:r>
            <w:r w:rsidR="00E94F80">
              <w:rPr>
                <w:sz w:val="24"/>
                <w:szCs w:val="28"/>
              </w:rPr>
              <w:t xml:space="preserve"> cap on refunds </w:t>
            </w:r>
            <w:r w:rsidR="00C248C8">
              <w:rPr>
                <w:sz w:val="24"/>
                <w:szCs w:val="28"/>
              </w:rPr>
              <w:t xml:space="preserve">to mitigate the fraud, </w:t>
            </w:r>
            <w:r>
              <w:rPr>
                <w:sz w:val="24"/>
                <w:szCs w:val="28"/>
              </w:rPr>
              <w:t>fiscal</w:t>
            </w:r>
            <w:r w:rsidR="00C248C8">
              <w:rPr>
                <w:sz w:val="24"/>
                <w:szCs w:val="28"/>
              </w:rPr>
              <w:t>, and integrity</w:t>
            </w:r>
            <w:r>
              <w:rPr>
                <w:sz w:val="24"/>
                <w:szCs w:val="28"/>
              </w:rPr>
              <w:t xml:space="preserve"> risks ass</w:t>
            </w:r>
            <w:r w:rsidR="009755E6">
              <w:rPr>
                <w:sz w:val="24"/>
                <w:szCs w:val="28"/>
              </w:rPr>
              <w:t xml:space="preserve">ociated with paying out </w:t>
            </w:r>
            <w:r w:rsidR="009721C3">
              <w:rPr>
                <w:sz w:val="24"/>
                <w:szCs w:val="28"/>
              </w:rPr>
              <w:t>cash</w:t>
            </w:r>
            <w:r w:rsidR="009755E6">
              <w:rPr>
                <w:sz w:val="24"/>
                <w:szCs w:val="28"/>
              </w:rPr>
              <w:t>.</w:t>
            </w:r>
          </w:p>
          <w:p w:rsidR="00E94F80" w:rsidRPr="00E94F80" w:rsidRDefault="00D762A6" w:rsidP="00E94F80">
            <w:pPr>
              <w:spacing w:before="120" w:after="120"/>
              <w:rPr>
                <w:sz w:val="24"/>
                <w:szCs w:val="28"/>
                <w:lang w:val="en-NZ"/>
              </w:rPr>
            </w:pPr>
            <w:r>
              <w:rPr>
                <w:sz w:val="24"/>
                <w:szCs w:val="28"/>
              </w:rPr>
              <w:t xml:space="preserve">It is proposed that </w:t>
            </w:r>
            <w:r w:rsidR="002A3E21" w:rsidRPr="00E94F80">
              <w:rPr>
                <w:sz w:val="24"/>
                <w:szCs w:val="28"/>
                <w:lang w:val="en-NZ"/>
              </w:rPr>
              <w:t>all</w:t>
            </w:r>
            <w:r w:rsidR="00E94F80" w:rsidRPr="00E94F80">
              <w:rPr>
                <w:sz w:val="24"/>
                <w:szCs w:val="28"/>
                <w:lang w:val="en-NZ"/>
              </w:rPr>
              <w:t xml:space="preserve"> firms are entitled to a full refund of their R&amp;D </w:t>
            </w:r>
            <w:r>
              <w:rPr>
                <w:sz w:val="24"/>
                <w:szCs w:val="28"/>
                <w:lang w:val="en-NZ"/>
              </w:rPr>
              <w:t>tax credits</w:t>
            </w:r>
            <w:r w:rsidR="00E94F80" w:rsidRPr="00E94F80">
              <w:rPr>
                <w:sz w:val="24"/>
                <w:szCs w:val="28"/>
                <w:lang w:val="en-NZ"/>
              </w:rPr>
              <w:t xml:space="preserve">, to the extent their R&amp;D tax credits are equal to or less than the amount of ‘payroll’ taxes paid by a firm in the relevant income year (proposed </w:t>
            </w:r>
            <w:r w:rsidR="007B67F1">
              <w:rPr>
                <w:sz w:val="24"/>
                <w:szCs w:val="28"/>
                <w:lang w:val="en-NZ"/>
              </w:rPr>
              <w:t xml:space="preserve">payroll </w:t>
            </w:r>
            <w:r w:rsidR="00E94F80" w:rsidRPr="00E94F80">
              <w:rPr>
                <w:sz w:val="24"/>
                <w:szCs w:val="28"/>
                <w:lang w:val="en-NZ"/>
              </w:rPr>
              <w:t>cap).</w:t>
            </w:r>
            <w:r w:rsidR="00E94F80" w:rsidRPr="00E94F80">
              <w:rPr>
                <w:sz w:val="24"/>
                <w:szCs w:val="28"/>
                <w:vertAlign w:val="superscript"/>
                <w:lang w:val="en-NZ"/>
              </w:rPr>
              <w:footnoteReference w:id="3"/>
            </w:r>
          </w:p>
          <w:p w:rsidR="00E94F80" w:rsidRPr="00E94F80" w:rsidRDefault="00E94F80" w:rsidP="00E94F80">
            <w:pPr>
              <w:spacing w:before="120" w:after="120"/>
              <w:rPr>
                <w:sz w:val="24"/>
                <w:szCs w:val="28"/>
                <w:lang w:val="en-NZ"/>
              </w:rPr>
            </w:pPr>
            <w:r w:rsidRPr="00E94F80">
              <w:rPr>
                <w:sz w:val="24"/>
                <w:szCs w:val="28"/>
                <w:lang w:val="en-NZ"/>
              </w:rPr>
              <w:t xml:space="preserve">The proposed </w:t>
            </w:r>
            <w:r w:rsidR="007B67F1">
              <w:rPr>
                <w:sz w:val="24"/>
                <w:szCs w:val="28"/>
                <w:lang w:val="en-NZ"/>
              </w:rPr>
              <w:t xml:space="preserve">payroll </w:t>
            </w:r>
            <w:r w:rsidRPr="00E94F80">
              <w:rPr>
                <w:sz w:val="24"/>
                <w:szCs w:val="28"/>
                <w:lang w:val="en-NZ"/>
              </w:rPr>
              <w:t xml:space="preserve">cap would not apply to limit tax credits resulting from payments to </w:t>
            </w:r>
            <w:r w:rsidR="0085627A">
              <w:rPr>
                <w:sz w:val="24"/>
                <w:szCs w:val="28"/>
                <w:lang w:val="en-NZ"/>
              </w:rPr>
              <w:t>A</w:t>
            </w:r>
            <w:r w:rsidRPr="00E94F80">
              <w:rPr>
                <w:sz w:val="24"/>
                <w:szCs w:val="28"/>
                <w:lang w:val="en-NZ"/>
              </w:rPr>
              <w:t xml:space="preserve">pproved </w:t>
            </w:r>
            <w:r w:rsidR="0085627A">
              <w:rPr>
                <w:sz w:val="24"/>
                <w:szCs w:val="28"/>
                <w:lang w:val="en-NZ"/>
              </w:rPr>
              <w:t>R</w:t>
            </w:r>
            <w:r w:rsidRPr="00E94F80">
              <w:rPr>
                <w:sz w:val="24"/>
                <w:szCs w:val="28"/>
                <w:lang w:val="en-NZ"/>
              </w:rPr>
              <w:t xml:space="preserve">esearch </w:t>
            </w:r>
            <w:r w:rsidR="0085627A">
              <w:rPr>
                <w:sz w:val="24"/>
                <w:szCs w:val="28"/>
                <w:lang w:val="en-NZ"/>
              </w:rPr>
              <w:t>P</w:t>
            </w:r>
            <w:r w:rsidRPr="00E94F80">
              <w:rPr>
                <w:sz w:val="24"/>
                <w:szCs w:val="28"/>
                <w:lang w:val="en-NZ"/>
              </w:rPr>
              <w:t xml:space="preserve">roviders. </w:t>
            </w:r>
          </w:p>
          <w:p w:rsidR="00E94F80" w:rsidRPr="00E94F80" w:rsidRDefault="00E94F80" w:rsidP="00E94F80">
            <w:pPr>
              <w:spacing w:before="120" w:after="120"/>
              <w:rPr>
                <w:sz w:val="24"/>
                <w:szCs w:val="28"/>
                <w:lang w:val="en-NZ"/>
              </w:rPr>
            </w:pPr>
            <w:r w:rsidRPr="00E94F80">
              <w:rPr>
                <w:sz w:val="24"/>
                <w:szCs w:val="28"/>
                <w:lang w:val="en-NZ"/>
              </w:rPr>
              <w:t xml:space="preserve">The proposed </w:t>
            </w:r>
            <w:r w:rsidR="007B67F1">
              <w:rPr>
                <w:sz w:val="24"/>
                <w:szCs w:val="28"/>
                <w:lang w:val="en-NZ"/>
              </w:rPr>
              <w:t xml:space="preserve">payroll </w:t>
            </w:r>
            <w:r w:rsidRPr="00E94F80">
              <w:rPr>
                <w:sz w:val="24"/>
                <w:szCs w:val="28"/>
                <w:lang w:val="en-NZ"/>
              </w:rPr>
              <w:t xml:space="preserve">cap would not apply to R&amp;D tax credits refunded to </w:t>
            </w:r>
            <w:r w:rsidR="00C47D59">
              <w:rPr>
                <w:sz w:val="24"/>
                <w:szCs w:val="28"/>
                <w:lang w:val="en-NZ"/>
              </w:rPr>
              <w:t>levy bodies</w:t>
            </w:r>
            <w:r w:rsidRPr="00E94F80">
              <w:rPr>
                <w:sz w:val="24"/>
                <w:szCs w:val="28"/>
                <w:lang w:val="en-NZ"/>
              </w:rPr>
              <w:t>.</w:t>
            </w:r>
          </w:p>
          <w:p w:rsidR="00E94F80" w:rsidRPr="00E94F80" w:rsidRDefault="00E94F80" w:rsidP="00E94F80">
            <w:pPr>
              <w:spacing w:before="120" w:after="120"/>
              <w:rPr>
                <w:sz w:val="24"/>
                <w:szCs w:val="28"/>
                <w:lang w:val="en-NZ"/>
              </w:rPr>
            </w:pPr>
            <w:r w:rsidRPr="00E94F80">
              <w:rPr>
                <w:sz w:val="24"/>
                <w:szCs w:val="28"/>
                <w:lang w:val="en-NZ"/>
              </w:rPr>
              <w:t xml:space="preserve">The proposed </w:t>
            </w:r>
            <w:r w:rsidR="007B67F1">
              <w:rPr>
                <w:sz w:val="24"/>
                <w:szCs w:val="28"/>
                <w:lang w:val="en-NZ"/>
              </w:rPr>
              <w:t xml:space="preserve">payroll </w:t>
            </w:r>
            <w:r w:rsidRPr="00E94F80">
              <w:rPr>
                <w:sz w:val="24"/>
                <w:szCs w:val="28"/>
                <w:lang w:val="en-NZ"/>
              </w:rPr>
              <w:t xml:space="preserve">cap is designed to prevent refundable tax credits being paid out to firms who are fraudulently claiming the tax credit. </w:t>
            </w:r>
            <w:r w:rsidR="009755E6">
              <w:rPr>
                <w:sz w:val="24"/>
                <w:szCs w:val="28"/>
                <w:lang w:val="en-NZ"/>
              </w:rPr>
              <w:t>L</w:t>
            </w:r>
            <w:r w:rsidRPr="00E94F80">
              <w:rPr>
                <w:sz w:val="24"/>
                <w:szCs w:val="28"/>
                <w:lang w:val="en-NZ"/>
              </w:rPr>
              <w:t xml:space="preserve">imiting R&amp;D tax credit payments to the amount of PAYE paid by </w:t>
            </w:r>
            <w:r w:rsidR="009755E6">
              <w:rPr>
                <w:sz w:val="24"/>
                <w:szCs w:val="28"/>
                <w:lang w:val="en-NZ"/>
              </w:rPr>
              <w:t xml:space="preserve">a </w:t>
            </w:r>
            <w:r w:rsidRPr="00E94F80">
              <w:rPr>
                <w:sz w:val="24"/>
                <w:szCs w:val="28"/>
                <w:lang w:val="en-NZ"/>
              </w:rPr>
              <w:t>firm</w:t>
            </w:r>
            <w:r w:rsidR="009755E6">
              <w:rPr>
                <w:sz w:val="24"/>
                <w:szCs w:val="28"/>
                <w:lang w:val="en-NZ"/>
              </w:rPr>
              <w:t xml:space="preserve">, as is done in many overseas jurisdictions, </w:t>
            </w:r>
            <w:r w:rsidRPr="00E94F80">
              <w:rPr>
                <w:sz w:val="24"/>
                <w:szCs w:val="28"/>
                <w:lang w:val="en-NZ"/>
              </w:rPr>
              <w:t xml:space="preserve">is a simple and unobtrusive </w:t>
            </w:r>
            <w:r w:rsidR="009755E6">
              <w:rPr>
                <w:sz w:val="24"/>
                <w:szCs w:val="28"/>
                <w:lang w:val="en-NZ"/>
              </w:rPr>
              <w:t xml:space="preserve">measure </w:t>
            </w:r>
            <w:r w:rsidRPr="00E94F80">
              <w:rPr>
                <w:sz w:val="24"/>
                <w:szCs w:val="28"/>
                <w:lang w:val="en-NZ"/>
              </w:rPr>
              <w:t>but overlooks that some firms may legitimately pay little PAYE</w:t>
            </w:r>
            <w:r w:rsidR="003E649F">
              <w:rPr>
                <w:sz w:val="24"/>
                <w:szCs w:val="28"/>
                <w:lang w:val="en-NZ"/>
              </w:rPr>
              <w:t>.</w:t>
            </w:r>
            <w:r w:rsidRPr="00E94F80">
              <w:rPr>
                <w:sz w:val="24"/>
                <w:szCs w:val="28"/>
                <w:vertAlign w:val="superscript"/>
                <w:lang w:val="en-NZ"/>
              </w:rPr>
              <w:footnoteReference w:id="4"/>
            </w:r>
            <w:r w:rsidRPr="00E94F80">
              <w:rPr>
                <w:sz w:val="24"/>
                <w:szCs w:val="28"/>
                <w:lang w:val="en-NZ"/>
              </w:rPr>
              <w:t xml:space="preserve"> Consequently, </w:t>
            </w:r>
            <w:r w:rsidR="009755E6">
              <w:rPr>
                <w:sz w:val="24"/>
                <w:szCs w:val="28"/>
                <w:lang w:val="en-NZ"/>
              </w:rPr>
              <w:t xml:space="preserve">it is </w:t>
            </w:r>
            <w:r w:rsidRPr="00E94F80">
              <w:rPr>
                <w:sz w:val="24"/>
                <w:szCs w:val="28"/>
                <w:lang w:val="en-NZ"/>
              </w:rPr>
              <w:t>propose</w:t>
            </w:r>
            <w:r w:rsidR="009755E6">
              <w:rPr>
                <w:sz w:val="24"/>
                <w:szCs w:val="28"/>
                <w:lang w:val="en-NZ"/>
              </w:rPr>
              <w:t>d</w:t>
            </w:r>
            <w:r w:rsidRPr="00E94F80">
              <w:rPr>
                <w:sz w:val="24"/>
                <w:szCs w:val="28"/>
                <w:lang w:val="en-NZ"/>
              </w:rPr>
              <w:t xml:space="preserve"> that additional </w:t>
            </w:r>
            <w:r w:rsidR="007B67F1">
              <w:rPr>
                <w:sz w:val="24"/>
                <w:szCs w:val="28"/>
                <w:lang w:val="en-NZ"/>
              </w:rPr>
              <w:t xml:space="preserve">payroll </w:t>
            </w:r>
            <w:r w:rsidRPr="00E94F80">
              <w:rPr>
                <w:sz w:val="24"/>
                <w:szCs w:val="28"/>
                <w:lang w:val="en-NZ"/>
              </w:rPr>
              <w:t xml:space="preserve">taxes paid be included to reduce the impact of this constraint. </w:t>
            </w:r>
          </w:p>
          <w:p w:rsidR="00A81B74" w:rsidRDefault="00705216" w:rsidP="00E94F80">
            <w:pPr>
              <w:spacing w:before="120" w:after="120"/>
              <w:rPr>
                <w:sz w:val="24"/>
                <w:szCs w:val="28"/>
                <w:lang w:val="en-NZ"/>
              </w:rPr>
            </w:pPr>
            <w:r>
              <w:rPr>
                <w:sz w:val="24"/>
                <w:szCs w:val="28"/>
                <w:lang w:val="en-NZ"/>
              </w:rPr>
              <w:t>P</w:t>
            </w:r>
            <w:r w:rsidR="00E94F80" w:rsidRPr="00E94F80">
              <w:rPr>
                <w:sz w:val="24"/>
                <w:szCs w:val="28"/>
                <w:lang w:val="en-NZ"/>
              </w:rPr>
              <w:t xml:space="preserve">ayments to Approved Research Providers </w:t>
            </w:r>
            <w:r w:rsidR="003E649F">
              <w:rPr>
                <w:sz w:val="24"/>
                <w:szCs w:val="28"/>
                <w:lang w:val="en-NZ"/>
              </w:rPr>
              <w:t xml:space="preserve">will not be capped </w:t>
            </w:r>
            <w:r>
              <w:rPr>
                <w:sz w:val="24"/>
                <w:szCs w:val="28"/>
                <w:lang w:val="en-NZ"/>
              </w:rPr>
              <w:t xml:space="preserve">as </w:t>
            </w:r>
            <w:r w:rsidRPr="00E94F80">
              <w:rPr>
                <w:sz w:val="24"/>
                <w:szCs w:val="28"/>
                <w:lang w:val="en-NZ"/>
              </w:rPr>
              <w:t xml:space="preserve">it will be easy to verify that </w:t>
            </w:r>
            <w:r>
              <w:rPr>
                <w:sz w:val="24"/>
                <w:szCs w:val="28"/>
                <w:lang w:val="en-NZ"/>
              </w:rPr>
              <w:t xml:space="preserve">these payments </w:t>
            </w:r>
            <w:r w:rsidR="00E94F80" w:rsidRPr="00E94F80">
              <w:rPr>
                <w:sz w:val="24"/>
                <w:szCs w:val="28"/>
                <w:lang w:val="en-NZ"/>
              </w:rPr>
              <w:t>have actually been incurred by a firm.</w:t>
            </w:r>
            <w:r>
              <w:rPr>
                <w:sz w:val="24"/>
                <w:szCs w:val="28"/>
                <w:lang w:val="en-NZ"/>
              </w:rPr>
              <w:t xml:space="preserve"> </w:t>
            </w:r>
            <w:r w:rsidR="003E649F">
              <w:rPr>
                <w:sz w:val="24"/>
                <w:szCs w:val="28"/>
                <w:lang w:val="en-NZ"/>
              </w:rPr>
              <w:t>That is, R&amp;D credits generated from eligible expenditure on Approved Research Providers will be refundable, even if a business has not paid any payroll taxes.</w:t>
            </w:r>
          </w:p>
          <w:p w:rsidR="00E94F80" w:rsidRDefault="00C47D59" w:rsidP="00E94F80">
            <w:pPr>
              <w:spacing w:before="120" w:after="120"/>
              <w:rPr>
                <w:sz w:val="24"/>
                <w:szCs w:val="28"/>
              </w:rPr>
            </w:pPr>
            <w:r>
              <w:rPr>
                <w:sz w:val="24"/>
                <w:szCs w:val="28"/>
                <w:lang w:val="en-NZ"/>
              </w:rPr>
              <w:t>L</w:t>
            </w:r>
            <w:r w:rsidR="00A81B74">
              <w:rPr>
                <w:sz w:val="24"/>
                <w:szCs w:val="28"/>
                <w:lang w:val="en-NZ"/>
              </w:rPr>
              <w:t xml:space="preserve">evy bodies </w:t>
            </w:r>
            <w:r w:rsidR="00705216">
              <w:rPr>
                <w:sz w:val="24"/>
                <w:szCs w:val="28"/>
                <w:lang w:val="en-NZ"/>
              </w:rPr>
              <w:t xml:space="preserve">may have </w:t>
            </w:r>
            <w:r w:rsidR="00513831">
              <w:rPr>
                <w:sz w:val="24"/>
                <w:szCs w:val="28"/>
                <w:lang w:val="en-NZ"/>
              </w:rPr>
              <w:t>low ‘payroll’ taxes where R&amp;D is largely contracted out</w:t>
            </w:r>
            <w:r>
              <w:rPr>
                <w:sz w:val="24"/>
                <w:szCs w:val="28"/>
                <w:lang w:val="en-NZ"/>
              </w:rPr>
              <w:t xml:space="preserve">, but </w:t>
            </w:r>
            <w:r>
              <w:rPr>
                <w:sz w:val="24"/>
                <w:szCs w:val="28"/>
                <w:lang w:val="en-NZ"/>
              </w:rPr>
              <w:lastRenderedPageBreak/>
              <w:t>they are not subject to the cap due to reduced risk that refunded R&amp;D tax credits will be unrecoverable</w:t>
            </w:r>
            <w:r w:rsidR="00513831">
              <w:rPr>
                <w:sz w:val="24"/>
                <w:szCs w:val="28"/>
                <w:lang w:val="en-NZ"/>
              </w:rPr>
              <w:t>.</w:t>
            </w:r>
          </w:p>
          <w:p w:rsidR="005B0CBD" w:rsidRDefault="005B0CBD" w:rsidP="005B0CBD">
            <w:pPr>
              <w:spacing w:before="120" w:after="120"/>
              <w:rPr>
                <w:b/>
                <w:i/>
                <w:sz w:val="24"/>
                <w:szCs w:val="28"/>
              </w:rPr>
            </w:pPr>
            <w:r>
              <w:rPr>
                <w:b/>
                <w:i/>
                <w:sz w:val="24"/>
                <w:szCs w:val="28"/>
              </w:rPr>
              <w:t>Conclusion</w:t>
            </w:r>
          </w:p>
          <w:p w:rsidR="005B0CBD" w:rsidRPr="005B0CBD" w:rsidRDefault="00705216" w:rsidP="007136F1">
            <w:pPr>
              <w:spacing w:before="120" w:after="120"/>
              <w:rPr>
                <w:sz w:val="24"/>
                <w:szCs w:val="28"/>
              </w:rPr>
            </w:pPr>
            <w:r>
              <w:rPr>
                <w:sz w:val="24"/>
                <w:szCs w:val="28"/>
                <w:lang w:val="en-NZ"/>
              </w:rPr>
              <w:t>The above</w:t>
            </w:r>
            <w:r w:rsidR="005B0CBD" w:rsidRPr="0061567A">
              <w:rPr>
                <w:sz w:val="24"/>
                <w:szCs w:val="28"/>
                <w:lang w:val="en-NZ"/>
              </w:rPr>
              <w:t xml:space="preserve"> constraint is not anticipated to restrict refunds for the </w:t>
            </w:r>
            <w:r w:rsidR="00054F22">
              <w:rPr>
                <w:sz w:val="24"/>
                <w:szCs w:val="28"/>
                <w:lang w:val="en-NZ"/>
              </w:rPr>
              <w:t xml:space="preserve">vast </w:t>
            </w:r>
            <w:r w:rsidR="005B0CBD" w:rsidRPr="0061567A">
              <w:rPr>
                <w:sz w:val="24"/>
                <w:szCs w:val="28"/>
                <w:lang w:val="en-NZ"/>
              </w:rPr>
              <w:t xml:space="preserve">majority of R&amp;D performers. It means that all firms would have some </w:t>
            </w:r>
            <w:r w:rsidR="007136F1">
              <w:rPr>
                <w:sz w:val="24"/>
                <w:szCs w:val="28"/>
                <w:lang w:val="en-NZ"/>
              </w:rPr>
              <w:t>immediate benefit</w:t>
            </w:r>
            <w:r w:rsidR="005B0CBD" w:rsidRPr="0061567A">
              <w:rPr>
                <w:sz w:val="24"/>
                <w:szCs w:val="28"/>
                <w:lang w:val="en-NZ"/>
              </w:rPr>
              <w:t xml:space="preserve"> and a few would have less than full refundability.</w:t>
            </w:r>
            <w:r w:rsidR="005B0CBD">
              <w:rPr>
                <w:sz w:val="24"/>
                <w:szCs w:val="28"/>
                <w:lang w:val="en-NZ"/>
              </w:rPr>
              <w:t xml:space="preserve"> </w:t>
            </w:r>
            <w:r w:rsidR="005B0CBD" w:rsidRPr="0061567A">
              <w:rPr>
                <w:sz w:val="24"/>
                <w:szCs w:val="28"/>
                <w:lang w:val="en-NZ"/>
              </w:rPr>
              <w:t xml:space="preserve">Given the R&amp;D </w:t>
            </w:r>
            <w:r w:rsidR="005B0CBD">
              <w:rPr>
                <w:sz w:val="24"/>
                <w:szCs w:val="28"/>
                <w:lang w:val="en-NZ"/>
              </w:rPr>
              <w:t>T</w:t>
            </w:r>
            <w:r w:rsidR="005B0CBD" w:rsidRPr="0061567A">
              <w:rPr>
                <w:sz w:val="24"/>
                <w:szCs w:val="28"/>
                <w:lang w:val="en-NZ"/>
              </w:rPr>
              <w:t xml:space="preserve">ax </w:t>
            </w:r>
            <w:r w:rsidR="005B0CBD">
              <w:rPr>
                <w:sz w:val="24"/>
                <w:szCs w:val="28"/>
                <w:lang w:val="en-NZ"/>
              </w:rPr>
              <w:t xml:space="preserve">Incentive </w:t>
            </w:r>
            <w:r w:rsidR="007136F1">
              <w:rPr>
                <w:sz w:val="24"/>
                <w:szCs w:val="28"/>
                <w:lang w:val="en-NZ"/>
              </w:rPr>
              <w:t>scheme</w:t>
            </w:r>
            <w:r w:rsidR="005B0CBD">
              <w:rPr>
                <w:sz w:val="24"/>
                <w:szCs w:val="28"/>
                <w:lang w:val="en-NZ"/>
              </w:rPr>
              <w:t xml:space="preserve"> </w:t>
            </w:r>
            <w:r w:rsidR="005B0CBD" w:rsidRPr="0061567A">
              <w:rPr>
                <w:sz w:val="24"/>
                <w:szCs w:val="28"/>
                <w:lang w:val="en-NZ"/>
              </w:rPr>
              <w:t>is relatively broad and accessible, the proposed refundability restrictions do not fundamentally alter the incentives of the scheme.</w:t>
            </w:r>
            <w:r w:rsidR="005B0CBD">
              <w:rPr>
                <w:sz w:val="24"/>
                <w:szCs w:val="28"/>
                <w:lang w:val="en-NZ"/>
              </w:rPr>
              <w:t xml:space="preserve"> </w:t>
            </w:r>
            <w:r w:rsidR="005B0CBD" w:rsidRPr="001046A7">
              <w:rPr>
                <w:sz w:val="24"/>
                <w:szCs w:val="28"/>
                <w:lang w:val="en-NZ"/>
              </w:rPr>
              <w:t>Overall, and compared with most other jurisdictions, the proposed policy for New Zealand represents a comprehensive approach to refundability.</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904F79">
            <w:pPr>
              <w:keepNext/>
              <w:spacing w:before="60" w:after="60" w:line="240" w:lineRule="auto"/>
              <w:rPr>
                <w:b/>
                <w:sz w:val="24"/>
                <w:szCs w:val="24"/>
              </w:rPr>
            </w:pPr>
            <w:r>
              <w:rPr>
                <w:b/>
                <w:sz w:val="24"/>
                <w:szCs w:val="24"/>
              </w:rPr>
              <w:t>Identify any significant incompatibility with the Government’s “Expectations for the design of regulatory systems”.</w:t>
            </w:r>
          </w:p>
        </w:tc>
      </w:tr>
      <w:tr w:rsidR="00B374D4" w:rsidTr="00B374D4">
        <w:tc>
          <w:tcPr>
            <w:tcW w:w="9287" w:type="dxa"/>
          </w:tcPr>
          <w:p w:rsidR="00B374D4" w:rsidRPr="001A00D6" w:rsidRDefault="001A00D6" w:rsidP="001A00D6">
            <w:pPr>
              <w:spacing w:before="120" w:after="120"/>
              <w:rPr>
                <w:sz w:val="24"/>
                <w:szCs w:val="28"/>
              </w:rPr>
            </w:pPr>
            <w:r w:rsidRPr="001A00D6">
              <w:rPr>
                <w:sz w:val="24"/>
                <w:szCs w:val="28"/>
              </w:rPr>
              <w:t>There is no incompatibility between this regulatory proposal and the Government’s ‘Expectations for the design of regulatory systems’.</w:t>
            </w:r>
          </w:p>
        </w:tc>
      </w:tr>
    </w:tbl>
    <w:p w:rsidR="00B374D4" w:rsidRDefault="00B374D4" w:rsidP="00B374D4">
      <w:pPr>
        <w:spacing w:after="0" w:line="240" w:lineRule="auto"/>
        <w:rPr>
          <w:b/>
          <w:sz w:val="28"/>
          <w:szCs w:val="28"/>
        </w:rPr>
      </w:pPr>
    </w:p>
    <w:p w:rsidR="00B374D4" w:rsidRDefault="00B374D4" w:rsidP="00B374D4">
      <w:pPr>
        <w:spacing w:after="0" w:line="240" w:lineRule="auto"/>
        <w:rPr>
          <w:b/>
          <w:sz w:val="28"/>
          <w:szCs w:val="28"/>
        </w:rPr>
      </w:pPr>
      <w:r>
        <w:rPr>
          <w:b/>
          <w:sz w:val="28"/>
          <w:szCs w:val="28"/>
        </w:rPr>
        <w:t>Section C: Evidence certainty and quality assurance</w:t>
      </w:r>
    </w:p>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1F5B10">
            <w:pPr>
              <w:spacing w:before="60" w:after="60" w:line="240" w:lineRule="auto"/>
              <w:rPr>
                <w:b/>
                <w:sz w:val="24"/>
                <w:szCs w:val="24"/>
              </w:rPr>
            </w:pPr>
            <w:r>
              <w:rPr>
                <w:b/>
                <w:sz w:val="24"/>
                <w:szCs w:val="24"/>
              </w:rPr>
              <w:t>Agency rating of evidence certainty?</w:t>
            </w:r>
          </w:p>
        </w:tc>
      </w:tr>
      <w:tr w:rsidR="00B374D4" w:rsidTr="00B374D4">
        <w:tc>
          <w:tcPr>
            <w:tcW w:w="9287" w:type="dxa"/>
          </w:tcPr>
          <w:p w:rsidR="00B374D4" w:rsidRPr="005A4B9B" w:rsidRDefault="005A4B9B" w:rsidP="005026DC">
            <w:pPr>
              <w:spacing w:before="120" w:after="120"/>
              <w:rPr>
                <w:sz w:val="24"/>
                <w:szCs w:val="28"/>
              </w:rPr>
            </w:pPr>
            <w:r>
              <w:rPr>
                <w:sz w:val="24"/>
                <w:szCs w:val="28"/>
              </w:rPr>
              <w:t xml:space="preserve">We are confident of the evidence that refundable R&amp;D tax credit </w:t>
            </w:r>
            <w:r w:rsidR="007136F1">
              <w:rPr>
                <w:sz w:val="24"/>
                <w:szCs w:val="28"/>
              </w:rPr>
              <w:t>schemes</w:t>
            </w:r>
            <w:r>
              <w:rPr>
                <w:sz w:val="24"/>
                <w:szCs w:val="28"/>
              </w:rPr>
              <w:t xml:space="preserve"> are effective at increasing business R&amp;D</w:t>
            </w:r>
            <w:r w:rsidR="007136F1">
              <w:rPr>
                <w:sz w:val="24"/>
                <w:szCs w:val="28"/>
              </w:rPr>
              <w:t>.</w:t>
            </w:r>
            <w:r>
              <w:rPr>
                <w:sz w:val="24"/>
                <w:szCs w:val="28"/>
              </w:rPr>
              <w:t xml:space="preserve"> </w:t>
            </w:r>
            <w:r w:rsidR="007136F1">
              <w:rPr>
                <w:sz w:val="24"/>
                <w:szCs w:val="28"/>
              </w:rPr>
              <w:t xml:space="preserve">This </w:t>
            </w:r>
            <w:r>
              <w:rPr>
                <w:sz w:val="24"/>
                <w:szCs w:val="28"/>
              </w:rPr>
              <w:t>is based on a</w:t>
            </w:r>
            <w:r w:rsidR="00257BA9">
              <w:rPr>
                <w:sz w:val="24"/>
                <w:szCs w:val="28"/>
              </w:rPr>
              <w:t xml:space="preserve"> range of international studies</w:t>
            </w:r>
            <w:r>
              <w:rPr>
                <w:sz w:val="24"/>
                <w:szCs w:val="28"/>
              </w:rPr>
              <w:t xml:space="preserve">. It is difficult to predict the actual level by which R&amp;D will increase as a result of broader refundability. Written and oral submissions on the </w:t>
            </w:r>
            <w:r w:rsidR="005026DC">
              <w:rPr>
                <w:sz w:val="24"/>
                <w:szCs w:val="28"/>
              </w:rPr>
              <w:t>Act</w:t>
            </w:r>
            <w:r>
              <w:rPr>
                <w:sz w:val="24"/>
                <w:szCs w:val="28"/>
              </w:rPr>
              <w:t xml:space="preserve"> emphasised the importance of refundability for supporting R&amp;D. Consultation recently undertaken with businesses on broader refundability has reaffirmed the importance of refundability for incentivising R&amp;D intensive firms to continue to invest in and grow their R&amp;D activities. </w:t>
            </w:r>
          </w:p>
        </w:tc>
      </w:tr>
    </w:tbl>
    <w:p w:rsidR="00B374D4" w:rsidRDefault="00B374D4" w:rsidP="00B374D4">
      <w:pPr>
        <w:spacing w:after="0" w:line="240" w:lineRule="auto"/>
        <w:rPr>
          <w:b/>
          <w:sz w:val="28"/>
          <w:szCs w:val="28"/>
        </w:rPr>
      </w:pPr>
    </w:p>
    <w:p w:rsidR="00ED13CB" w:rsidRDefault="00ED13CB" w:rsidP="00B374D4">
      <w:pPr>
        <w:spacing w:after="0" w:line="240" w:lineRule="auto"/>
        <w:rPr>
          <w:b/>
          <w:sz w:val="28"/>
          <w:szCs w:val="28"/>
        </w:rPr>
      </w:pPr>
    </w:p>
    <w:p w:rsidR="00ED13CB" w:rsidRDefault="00ED13CB" w:rsidP="00B374D4">
      <w:pPr>
        <w:spacing w:after="0" w:line="240" w:lineRule="auto"/>
        <w:rPr>
          <w:b/>
          <w:sz w:val="28"/>
          <w:szCs w:val="28"/>
        </w:rPr>
      </w:pPr>
    </w:p>
    <w:p w:rsidR="005A4B9B" w:rsidRPr="005A4B9B" w:rsidRDefault="005A4B9B" w:rsidP="00B374D4">
      <w:pPr>
        <w:spacing w:after="0" w:line="240" w:lineRule="auto"/>
        <w:rPr>
          <w:sz w:val="24"/>
          <w:szCs w:val="28"/>
        </w:rPr>
      </w:pPr>
      <w:r w:rsidRPr="005A4B9B">
        <w:rPr>
          <w:i/>
          <w:sz w:val="24"/>
          <w:szCs w:val="28"/>
        </w:rPr>
        <w:t>To be completed by quality assurers:</w:t>
      </w:r>
    </w:p>
    <w:p w:rsidR="005A4B9B" w:rsidRDefault="005A4B9B" w:rsidP="00B374D4">
      <w:pPr>
        <w:spacing w:after="0" w:line="240" w:lineRule="auto"/>
        <w:rPr>
          <w:sz w:val="28"/>
          <w:szCs w:val="28"/>
        </w:rPr>
      </w:pPr>
    </w:p>
    <w:tbl>
      <w:tblPr>
        <w:tblStyle w:val="TableGrid"/>
        <w:tblW w:w="0" w:type="auto"/>
        <w:tblLook w:val="04A0" w:firstRow="1" w:lastRow="0" w:firstColumn="1" w:lastColumn="0" w:noHBand="0" w:noVBand="1"/>
      </w:tblPr>
      <w:tblGrid>
        <w:gridCol w:w="9287"/>
      </w:tblGrid>
      <w:tr w:rsidR="001F5B10" w:rsidRPr="00895C9F" w:rsidTr="002E1C7B">
        <w:tc>
          <w:tcPr>
            <w:tcW w:w="9287" w:type="dxa"/>
            <w:shd w:val="clear" w:color="auto" w:fill="8DB3E2" w:themeFill="text2" w:themeFillTint="66"/>
          </w:tcPr>
          <w:p w:rsidR="001F5B10" w:rsidRPr="001F5B10" w:rsidRDefault="001F5B10" w:rsidP="001F5B10">
            <w:pPr>
              <w:spacing w:before="60" w:after="60" w:line="240" w:lineRule="auto"/>
              <w:rPr>
                <w:sz w:val="24"/>
                <w:szCs w:val="24"/>
              </w:rPr>
            </w:pPr>
            <w:r w:rsidRPr="001F5B10">
              <w:rPr>
                <w:sz w:val="24"/>
                <w:szCs w:val="24"/>
              </w:rPr>
              <w:t>Quality Assurance Reviewing Agency:</w:t>
            </w:r>
          </w:p>
        </w:tc>
      </w:tr>
      <w:tr w:rsidR="001F5B10" w:rsidRPr="005A4B9B" w:rsidTr="002E1C7B">
        <w:tc>
          <w:tcPr>
            <w:tcW w:w="9287" w:type="dxa"/>
          </w:tcPr>
          <w:p w:rsidR="001F5B10" w:rsidRPr="005A4B9B" w:rsidRDefault="00D96C56" w:rsidP="00EB7CD5">
            <w:pPr>
              <w:spacing w:before="120" w:after="120"/>
              <w:rPr>
                <w:sz w:val="24"/>
                <w:szCs w:val="28"/>
              </w:rPr>
            </w:pPr>
            <w:r>
              <w:rPr>
                <w:sz w:val="24"/>
                <w:szCs w:val="28"/>
              </w:rPr>
              <w:t>M</w:t>
            </w:r>
            <w:r w:rsidR="00EB7CD5">
              <w:rPr>
                <w:sz w:val="24"/>
                <w:szCs w:val="28"/>
              </w:rPr>
              <w:t>BIE’s Regulatory Impact Analysis Review Panel has reviewed this Regulatory Impact Statement.</w:t>
            </w:r>
          </w:p>
        </w:tc>
      </w:tr>
      <w:tr w:rsidR="001F5B10" w:rsidRPr="001F5B10" w:rsidTr="001F5B10">
        <w:tc>
          <w:tcPr>
            <w:tcW w:w="9287" w:type="dxa"/>
            <w:shd w:val="clear" w:color="auto" w:fill="8DB3E2" w:themeFill="text2" w:themeFillTint="66"/>
          </w:tcPr>
          <w:p w:rsidR="001F5B10" w:rsidRPr="001F5B10" w:rsidRDefault="001F5B10" w:rsidP="001F5B10">
            <w:pPr>
              <w:spacing w:before="60" w:after="60" w:line="240" w:lineRule="auto"/>
              <w:rPr>
                <w:sz w:val="24"/>
                <w:szCs w:val="24"/>
              </w:rPr>
            </w:pPr>
            <w:r>
              <w:rPr>
                <w:sz w:val="24"/>
                <w:szCs w:val="24"/>
              </w:rPr>
              <w:t>Quality Assurance Assessment:</w:t>
            </w:r>
          </w:p>
        </w:tc>
      </w:tr>
      <w:tr w:rsidR="001F5B10" w:rsidRPr="005A4B9B" w:rsidTr="001F5B10">
        <w:tc>
          <w:tcPr>
            <w:tcW w:w="9287" w:type="dxa"/>
          </w:tcPr>
          <w:p w:rsidR="001F5B10" w:rsidRPr="005A4B9B" w:rsidRDefault="00EB7CD5" w:rsidP="00D96C56">
            <w:pPr>
              <w:spacing w:before="120" w:after="120"/>
              <w:rPr>
                <w:sz w:val="24"/>
                <w:szCs w:val="28"/>
              </w:rPr>
            </w:pPr>
            <w:r>
              <w:rPr>
                <w:sz w:val="24"/>
                <w:szCs w:val="28"/>
              </w:rPr>
              <w:t>The Panel considers that the information and analysis summarised in the Regulatory Impact Statement meets the criteria necessary for Ministers to make informed decisions.</w:t>
            </w:r>
          </w:p>
        </w:tc>
      </w:tr>
    </w:tbl>
    <w:p w:rsidR="00B374D4" w:rsidRDefault="00B374D4" w:rsidP="00B374D4">
      <w:pPr>
        <w:spacing w:after="0" w:line="240" w:lineRule="auto"/>
        <w:rPr>
          <w:b/>
          <w:sz w:val="28"/>
          <w:szCs w:val="28"/>
        </w:rPr>
      </w:pPr>
      <w:r>
        <w:rPr>
          <w:b/>
          <w:sz w:val="28"/>
          <w:szCs w:val="28"/>
        </w:rPr>
        <w:br w:type="page"/>
      </w:r>
      <w:r>
        <w:rPr>
          <w:b/>
          <w:sz w:val="36"/>
          <w:szCs w:val="32"/>
        </w:rPr>
        <w:lastRenderedPageBreak/>
        <w:t>Impact Statement: R&amp;D Tax Incentive - Refundability</w:t>
      </w:r>
    </w:p>
    <w:p w:rsidR="00B374D4" w:rsidRDefault="00B374D4" w:rsidP="00B374D4">
      <w:pPr>
        <w:spacing w:after="0" w:line="240" w:lineRule="auto"/>
        <w:rPr>
          <w:b/>
          <w:sz w:val="28"/>
          <w:szCs w:val="28"/>
        </w:rPr>
      </w:pPr>
    </w:p>
    <w:p w:rsidR="00B374D4" w:rsidRDefault="00B374D4" w:rsidP="00B374D4">
      <w:pPr>
        <w:spacing w:after="0" w:line="240" w:lineRule="auto"/>
        <w:rPr>
          <w:b/>
          <w:sz w:val="28"/>
          <w:szCs w:val="28"/>
        </w:rPr>
      </w:pPr>
      <w:r>
        <w:rPr>
          <w:b/>
          <w:sz w:val="28"/>
          <w:szCs w:val="28"/>
        </w:rPr>
        <w:t>Section 1</w:t>
      </w:r>
      <w:r w:rsidRPr="00895C9F">
        <w:rPr>
          <w:b/>
          <w:sz w:val="28"/>
          <w:szCs w:val="28"/>
        </w:rPr>
        <w:t xml:space="preserve">: </w:t>
      </w:r>
      <w:r>
        <w:rPr>
          <w:b/>
          <w:sz w:val="28"/>
          <w:szCs w:val="28"/>
        </w:rPr>
        <w:t>General information</w:t>
      </w:r>
    </w:p>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4643"/>
        <w:gridCol w:w="4644"/>
      </w:tblGrid>
      <w:tr w:rsidR="00B374D4" w:rsidTr="00B374D4">
        <w:tc>
          <w:tcPr>
            <w:tcW w:w="9287" w:type="dxa"/>
            <w:gridSpan w:val="2"/>
            <w:shd w:val="clear" w:color="auto" w:fill="8DB3E2" w:themeFill="text2" w:themeFillTint="66"/>
          </w:tcPr>
          <w:p w:rsidR="00B374D4" w:rsidRPr="00895C9F" w:rsidRDefault="00B374D4" w:rsidP="001F5B10">
            <w:pPr>
              <w:spacing w:before="60" w:after="60" w:line="240" w:lineRule="auto"/>
              <w:rPr>
                <w:b/>
                <w:sz w:val="24"/>
                <w:szCs w:val="24"/>
              </w:rPr>
            </w:pPr>
            <w:r w:rsidRPr="00895C9F">
              <w:rPr>
                <w:b/>
                <w:sz w:val="24"/>
                <w:szCs w:val="24"/>
              </w:rPr>
              <w:t>Purpose</w:t>
            </w:r>
          </w:p>
        </w:tc>
      </w:tr>
      <w:tr w:rsidR="00B374D4" w:rsidTr="00B374D4">
        <w:tc>
          <w:tcPr>
            <w:tcW w:w="9287" w:type="dxa"/>
            <w:gridSpan w:val="2"/>
          </w:tcPr>
          <w:p w:rsidR="00B374D4" w:rsidRDefault="00B374D4" w:rsidP="00B04159">
            <w:pPr>
              <w:spacing w:before="120" w:after="120"/>
              <w:rPr>
                <w:rFonts w:ascii="ArialMT" w:hAnsi="ArialMT" w:cs="ArialMT"/>
                <w:sz w:val="24"/>
                <w:szCs w:val="24"/>
                <w:lang w:val="en-NZ" w:eastAsia="en-NZ"/>
              </w:rPr>
            </w:pPr>
            <w:r w:rsidRPr="00895C9F">
              <w:rPr>
                <w:rFonts w:ascii="ArialMT" w:hAnsi="ArialMT" w:cs="ArialMT"/>
                <w:sz w:val="24"/>
                <w:szCs w:val="24"/>
                <w:lang w:val="en-NZ" w:eastAsia="en-NZ"/>
              </w:rPr>
              <w:t xml:space="preserve">This analysis and advice has been produced </w:t>
            </w:r>
            <w:r w:rsidR="00B04159">
              <w:rPr>
                <w:rFonts w:ascii="ArialMT" w:hAnsi="ArialMT" w:cs="ArialMT"/>
                <w:sz w:val="24"/>
                <w:szCs w:val="24"/>
                <w:lang w:val="en-NZ" w:eastAsia="en-NZ"/>
              </w:rPr>
              <w:t xml:space="preserve">to </w:t>
            </w:r>
            <w:r w:rsidRPr="00895C9F">
              <w:rPr>
                <w:rFonts w:ascii="ArialMT" w:hAnsi="ArialMT" w:cs="ArialMT"/>
                <w:sz w:val="24"/>
                <w:szCs w:val="24"/>
                <w:lang w:val="en-NZ" w:eastAsia="en-NZ"/>
              </w:rPr>
              <w:t>inform</w:t>
            </w:r>
            <w:r w:rsidR="00B04159">
              <w:rPr>
                <w:rFonts w:ascii="ArialMT" w:hAnsi="ArialMT" w:cs="ArialMT"/>
                <w:sz w:val="24"/>
                <w:szCs w:val="24"/>
                <w:lang w:val="en-NZ" w:eastAsia="en-NZ"/>
              </w:rPr>
              <w:t xml:space="preserve"> </w:t>
            </w:r>
            <w:r w:rsidRPr="00895C9F">
              <w:rPr>
                <w:rFonts w:ascii="ArialMT" w:hAnsi="ArialMT" w:cs="ArialMT"/>
                <w:sz w:val="24"/>
                <w:szCs w:val="24"/>
                <w:lang w:val="en-NZ" w:eastAsia="en-NZ"/>
              </w:rPr>
              <w:t>key policy decisions to be taken by Cabinet</w:t>
            </w:r>
            <w:r w:rsidR="00B04159">
              <w:rPr>
                <w:rFonts w:ascii="ArialMT" w:hAnsi="ArialMT" w:cs="ArialMT"/>
                <w:sz w:val="24"/>
                <w:szCs w:val="24"/>
                <w:lang w:val="en-NZ" w:eastAsia="en-NZ"/>
              </w:rPr>
              <w:t xml:space="preserve"> around broadening the refundability available under the R&amp;D Tax Incentive</w:t>
            </w:r>
            <w:r w:rsidRPr="00895C9F">
              <w:rPr>
                <w:rFonts w:ascii="ArialMT" w:hAnsi="ArialMT" w:cs="ArialMT"/>
                <w:sz w:val="24"/>
                <w:szCs w:val="24"/>
                <w:lang w:val="en-NZ" w:eastAsia="en-NZ"/>
              </w:rPr>
              <w:t>.</w:t>
            </w:r>
          </w:p>
          <w:p w:rsidR="00B04159" w:rsidRPr="00B04159" w:rsidRDefault="00B04159" w:rsidP="00B04159">
            <w:pPr>
              <w:spacing w:before="120" w:after="120"/>
              <w:rPr>
                <w:rFonts w:ascii="ArialMT" w:hAnsi="ArialMT" w:cs="ArialMT"/>
                <w:sz w:val="24"/>
                <w:szCs w:val="24"/>
                <w:lang w:val="en-NZ" w:eastAsia="en-NZ"/>
              </w:rPr>
            </w:pPr>
            <w:r w:rsidRPr="00895C9F">
              <w:rPr>
                <w:rFonts w:ascii="ArialMT" w:hAnsi="ArialMT" w:cs="ArialMT"/>
                <w:sz w:val="24"/>
                <w:szCs w:val="24"/>
                <w:lang w:val="en-NZ" w:eastAsia="en-NZ"/>
              </w:rPr>
              <w:t xml:space="preserve">MBIE and IR are solely responsible for the analysis and advice set out in this Regulatory Impact Assessment, except as </w:t>
            </w:r>
            <w:r>
              <w:rPr>
                <w:rFonts w:ascii="ArialMT" w:hAnsi="ArialMT" w:cs="ArialMT"/>
                <w:sz w:val="24"/>
                <w:szCs w:val="24"/>
                <w:lang w:val="en-NZ" w:eastAsia="en-NZ"/>
              </w:rPr>
              <w:t>otherwise explicitly indicated.</w:t>
            </w:r>
          </w:p>
        </w:tc>
      </w:tr>
      <w:tr w:rsidR="00B374D4" w:rsidTr="00B374D4">
        <w:tc>
          <w:tcPr>
            <w:tcW w:w="9287" w:type="dxa"/>
            <w:gridSpan w:val="2"/>
            <w:shd w:val="clear" w:color="auto" w:fill="8DB3E2" w:themeFill="text2" w:themeFillTint="66"/>
          </w:tcPr>
          <w:p w:rsidR="00B374D4" w:rsidRPr="00895C9F" w:rsidRDefault="00B374D4" w:rsidP="001F5B10">
            <w:pPr>
              <w:spacing w:before="60" w:after="60" w:line="240" w:lineRule="auto"/>
              <w:rPr>
                <w:b/>
                <w:sz w:val="24"/>
                <w:szCs w:val="24"/>
              </w:rPr>
            </w:pPr>
            <w:r w:rsidRPr="00895C9F">
              <w:rPr>
                <w:b/>
                <w:sz w:val="24"/>
                <w:szCs w:val="24"/>
              </w:rPr>
              <w:t>Key limitations or constraints on analysis</w:t>
            </w:r>
          </w:p>
        </w:tc>
      </w:tr>
      <w:tr w:rsidR="00B374D4" w:rsidTr="00B374D4">
        <w:tc>
          <w:tcPr>
            <w:tcW w:w="9287" w:type="dxa"/>
            <w:gridSpan w:val="2"/>
          </w:tcPr>
          <w:p w:rsidR="001872EA" w:rsidRDefault="001F5B10" w:rsidP="001872EA">
            <w:pPr>
              <w:spacing w:before="120" w:after="120"/>
              <w:rPr>
                <w:sz w:val="24"/>
                <w:szCs w:val="24"/>
              </w:rPr>
            </w:pPr>
            <w:r>
              <w:rPr>
                <w:sz w:val="24"/>
                <w:szCs w:val="24"/>
              </w:rPr>
              <w:t xml:space="preserve">Estimating the impact of broader refundability on the amount of R&amp;D undertaken and its overall impact on the economy is complicated. Evidence on the impact on both of these is imprecise. </w:t>
            </w:r>
          </w:p>
          <w:p w:rsidR="00B374D4" w:rsidRPr="001872EA" w:rsidRDefault="0061493E" w:rsidP="003C33AF">
            <w:pPr>
              <w:spacing w:before="120" w:after="120"/>
              <w:rPr>
                <w:sz w:val="24"/>
                <w:szCs w:val="24"/>
              </w:rPr>
            </w:pPr>
            <w:r>
              <w:rPr>
                <w:sz w:val="24"/>
                <w:szCs w:val="24"/>
              </w:rPr>
              <w:t>There has been no analysis on or impact evaluation of the R&amp;D tax incentive implemented in New Zealand in 2008</w:t>
            </w:r>
            <w:r w:rsidR="003B6610">
              <w:rPr>
                <w:sz w:val="24"/>
                <w:szCs w:val="24"/>
              </w:rPr>
              <w:t xml:space="preserve"> (</w:t>
            </w:r>
            <w:r>
              <w:rPr>
                <w:sz w:val="24"/>
                <w:szCs w:val="24"/>
              </w:rPr>
              <w:t xml:space="preserve">which was </w:t>
            </w:r>
            <w:r w:rsidR="000B06F1">
              <w:rPr>
                <w:sz w:val="24"/>
                <w:szCs w:val="24"/>
              </w:rPr>
              <w:t>fully</w:t>
            </w:r>
            <w:r>
              <w:rPr>
                <w:sz w:val="24"/>
                <w:szCs w:val="24"/>
              </w:rPr>
              <w:t xml:space="preserve"> refundable</w:t>
            </w:r>
            <w:r w:rsidR="003B6610">
              <w:rPr>
                <w:sz w:val="24"/>
                <w:szCs w:val="24"/>
              </w:rPr>
              <w:t>).</w:t>
            </w:r>
            <w:r>
              <w:rPr>
                <w:sz w:val="24"/>
                <w:szCs w:val="24"/>
              </w:rPr>
              <w:t xml:space="preserve"> </w:t>
            </w:r>
            <w:r w:rsidR="003B6610">
              <w:rPr>
                <w:sz w:val="24"/>
                <w:szCs w:val="24"/>
              </w:rPr>
              <w:t>S</w:t>
            </w:r>
            <w:r>
              <w:rPr>
                <w:sz w:val="24"/>
                <w:szCs w:val="24"/>
              </w:rPr>
              <w:t xml:space="preserve">o there is no New Zealand evidence </w:t>
            </w:r>
            <w:r w:rsidR="003C33AF">
              <w:rPr>
                <w:sz w:val="24"/>
                <w:szCs w:val="24"/>
              </w:rPr>
              <w:t>to guide our analysis of the impacts of refundability</w:t>
            </w:r>
            <w:r>
              <w:rPr>
                <w:sz w:val="24"/>
                <w:szCs w:val="24"/>
              </w:rPr>
              <w:t xml:space="preserve">. As a result, the estimates of the anticipated response are based upon evidence from international studies that may not correspond to the situation in New Zealand. Nevertheless, this is the best information available. </w:t>
            </w:r>
          </w:p>
        </w:tc>
      </w:tr>
      <w:tr w:rsidR="00B374D4" w:rsidTr="00B374D4">
        <w:tc>
          <w:tcPr>
            <w:tcW w:w="9287" w:type="dxa"/>
            <w:gridSpan w:val="2"/>
            <w:tcBorders>
              <w:bottom w:val="single" w:sz="4" w:space="0" w:color="auto"/>
            </w:tcBorders>
            <w:shd w:val="clear" w:color="auto" w:fill="8DB3E2" w:themeFill="text2" w:themeFillTint="66"/>
          </w:tcPr>
          <w:p w:rsidR="00B374D4" w:rsidRPr="00895C9F" w:rsidRDefault="00B374D4" w:rsidP="001F5B10">
            <w:pPr>
              <w:spacing w:before="60" w:after="60" w:line="240" w:lineRule="auto"/>
              <w:rPr>
                <w:b/>
                <w:sz w:val="24"/>
                <w:szCs w:val="24"/>
              </w:rPr>
            </w:pPr>
            <w:r w:rsidRPr="00895C9F">
              <w:rPr>
                <w:b/>
                <w:sz w:val="24"/>
                <w:szCs w:val="24"/>
              </w:rPr>
              <w:t>Responsible Managers (signature and date)</w:t>
            </w:r>
          </w:p>
        </w:tc>
      </w:tr>
      <w:tr w:rsidR="00B374D4" w:rsidTr="00B374D4">
        <w:tc>
          <w:tcPr>
            <w:tcW w:w="4643" w:type="dxa"/>
            <w:tcBorders>
              <w:right w:val="nil"/>
            </w:tcBorders>
          </w:tcPr>
          <w:p w:rsidR="00B374D4" w:rsidRDefault="00B374D4" w:rsidP="00B374D4">
            <w:pPr>
              <w:spacing w:after="0" w:line="240" w:lineRule="auto"/>
              <w:rPr>
                <w:sz w:val="24"/>
                <w:szCs w:val="24"/>
              </w:rPr>
            </w:pPr>
          </w:p>
          <w:p w:rsidR="009E40C3" w:rsidRDefault="0042374F" w:rsidP="00B374D4">
            <w:pPr>
              <w:spacing w:after="0" w:line="240" w:lineRule="auto"/>
              <w:rPr>
                <w:sz w:val="24"/>
                <w:szCs w:val="24"/>
              </w:rPr>
            </w:pPr>
            <w:r>
              <w:rPr>
                <w:noProof/>
                <w:lang w:eastAsia="en-NZ"/>
              </w:rPr>
              <w:drawing>
                <wp:inline distT="0" distB="0" distL="0" distR="0" wp14:anchorId="310C6FFA" wp14:editId="45308816">
                  <wp:extent cx="1554480" cy="5594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214" cy="559694"/>
                          </a:xfrm>
                          <a:prstGeom prst="rect">
                            <a:avLst/>
                          </a:prstGeom>
                          <a:noFill/>
                          <a:ln>
                            <a:noFill/>
                          </a:ln>
                        </pic:spPr>
                      </pic:pic>
                    </a:graphicData>
                  </a:graphic>
                </wp:inline>
              </w:drawing>
            </w:r>
          </w:p>
          <w:p w:rsidR="00B374D4" w:rsidRPr="00895C9F" w:rsidRDefault="00B374D4" w:rsidP="00B374D4">
            <w:pPr>
              <w:spacing w:after="0" w:line="240" w:lineRule="auto"/>
              <w:rPr>
                <w:sz w:val="24"/>
                <w:szCs w:val="24"/>
              </w:rPr>
            </w:pPr>
          </w:p>
          <w:p w:rsidR="00B374D4" w:rsidRPr="00895C9F" w:rsidRDefault="00B374D4" w:rsidP="009E40C3">
            <w:pPr>
              <w:spacing w:after="0" w:line="240" w:lineRule="auto"/>
              <w:jc w:val="left"/>
              <w:rPr>
                <w:sz w:val="24"/>
                <w:szCs w:val="24"/>
              </w:rPr>
            </w:pPr>
            <w:r w:rsidRPr="00895C9F">
              <w:rPr>
                <w:sz w:val="24"/>
                <w:szCs w:val="24"/>
              </w:rPr>
              <w:t>Kirsty Hutchison</w:t>
            </w:r>
          </w:p>
          <w:p w:rsidR="00B374D4" w:rsidRPr="00895C9F" w:rsidRDefault="00B374D4" w:rsidP="009E40C3">
            <w:pPr>
              <w:spacing w:after="0" w:line="240" w:lineRule="auto"/>
              <w:jc w:val="left"/>
              <w:rPr>
                <w:sz w:val="24"/>
                <w:szCs w:val="24"/>
              </w:rPr>
            </w:pPr>
            <w:r w:rsidRPr="00895C9F">
              <w:rPr>
                <w:sz w:val="24"/>
                <w:szCs w:val="24"/>
              </w:rPr>
              <w:t>Manager – Innovation Policy</w:t>
            </w:r>
          </w:p>
          <w:p w:rsidR="00B374D4" w:rsidRPr="00895C9F" w:rsidRDefault="00B374D4" w:rsidP="009E40C3">
            <w:pPr>
              <w:spacing w:after="0" w:line="240" w:lineRule="auto"/>
              <w:jc w:val="left"/>
              <w:rPr>
                <w:sz w:val="24"/>
                <w:szCs w:val="24"/>
              </w:rPr>
            </w:pPr>
            <w:r w:rsidRPr="00895C9F">
              <w:rPr>
                <w:sz w:val="24"/>
                <w:szCs w:val="24"/>
              </w:rPr>
              <w:t>Ministry of Business, Innovation and Employment</w:t>
            </w:r>
          </w:p>
          <w:p w:rsidR="00B374D4" w:rsidRPr="00895C9F" w:rsidRDefault="00AE0492" w:rsidP="007D158A">
            <w:pPr>
              <w:spacing w:after="0" w:line="240" w:lineRule="auto"/>
              <w:jc w:val="left"/>
              <w:rPr>
                <w:sz w:val="24"/>
                <w:szCs w:val="24"/>
              </w:rPr>
            </w:pPr>
            <w:r>
              <w:rPr>
                <w:sz w:val="24"/>
                <w:szCs w:val="24"/>
              </w:rPr>
              <w:t>10</w:t>
            </w:r>
            <w:r w:rsidR="007D158A">
              <w:rPr>
                <w:sz w:val="24"/>
                <w:szCs w:val="24"/>
              </w:rPr>
              <w:t xml:space="preserve"> / 05 / 2019</w:t>
            </w:r>
          </w:p>
        </w:tc>
        <w:tc>
          <w:tcPr>
            <w:tcW w:w="4644" w:type="dxa"/>
            <w:tcBorders>
              <w:left w:val="nil"/>
            </w:tcBorders>
          </w:tcPr>
          <w:p w:rsidR="00B374D4" w:rsidRDefault="00B374D4" w:rsidP="00B374D4">
            <w:pPr>
              <w:spacing w:after="0" w:line="240" w:lineRule="auto"/>
              <w:rPr>
                <w:sz w:val="24"/>
                <w:szCs w:val="24"/>
              </w:rPr>
            </w:pPr>
          </w:p>
          <w:p w:rsidR="009E40C3" w:rsidRDefault="0042374F" w:rsidP="00B374D4">
            <w:pPr>
              <w:spacing w:after="0" w:line="240" w:lineRule="auto"/>
              <w:rPr>
                <w:sz w:val="24"/>
                <w:szCs w:val="24"/>
              </w:rPr>
            </w:pPr>
            <w:r>
              <w:rPr>
                <w:noProof/>
                <w:lang w:val="en-NZ" w:eastAsia="en-NZ"/>
              </w:rPr>
              <w:drawing>
                <wp:inline distT="0" distB="0" distL="0" distR="0">
                  <wp:extent cx="1562100" cy="499642"/>
                  <wp:effectExtent l="0" t="0" r="0" b="0"/>
                  <wp:docPr id="1" name="Picture 1" descr="cid:image001.png@01D50B25.EABE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50B25.EABE67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00" cy="499642"/>
                          </a:xfrm>
                          <a:prstGeom prst="rect">
                            <a:avLst/>
                          </a:prstGeom>
                          <a:noFill/>
                          <a:ln>
                            <a:noFill/>
                          </a:ln>
                        </pic:spPr>
                      </pic:pic>
                    </a:graphicData>
                  </a:graphic>
                </wp:inline>
              </w:drawing>
            </w:r>
          </w:p>
          <w:p w:rsidR="009E40C3" w:rsidRPr="00895C9F" w:rsidRDefault="009E40C3" w:rsidP="00B374D4">
            <w:pPr>
              <w:spacing w:after="0" w:line="240" w:lineRule="auto"/>
              <w:rPr>
                <w:sz w:val="24"/>
                <w:szCs w:val="24"/>
              </w:rPr>
            </w:pPr>
          </w:p>
          <w:p w:rsidR="00B374D4" w:rsidRPr="00895C9F" w:rsidRDefault="00B374D4" w:rsidP="009E40C3">
            <w:pPr>
              <w:spacing w:after="0" w:line="240" w:lineRule="auto"/>
              <w:jc w:val="left"/>
              <w:rPr>
                <w:sz w:val="24"/>
                <w:szCs w:val="24"/>
              </w:rPr>
            </w:pPr>
            <w:r w:rsidRPr="00895C9F">
              <w:rPr>
                <w:sz w:val="24"/>
                <w:szCs w:val="24"/>
              </w:rPr>
              <w:t>Keith Taylor</w:t>
            </w:r>
          </w:p>
          <w:p w:rsidR="00B374D4" w:rsidRPr="00895C9F" w:rsidRDefault="00B374D4" w:rsidP="009E40C3">
            <w:pPr>
              <w:spacing w:after="0" w:line="240" w:lineRule="auto"/>
              <w:jc w:val="left"/>
              <w:rPr>
                <w:sz w:val="24"/>
                <w:szCs w:val="24"/>
              </w:rPr>
            </w:pPr>
            <w:r w:rsidRPr="00895C9F">
              <w:rPr>
                <w:sz w:val="24"/>
                <w:szCs w:val="24"/>
              </w:rPr>
              <w:t>Policy Manager</w:t>
            </w:r>
          </w:p>
          <w:p w:rsidR="00B374D4" w:rsidRPr="00895C9F" w:rsidRDefault="00B374D4" w:rsidP="009E40C3">
            <w:pPr>
              <w:spacing w:after="0" w:line="240" w:lineRule="auto"/>
              <w:jc w:val="left"/>
              <w:rPr>
                <w:sz w:val="24"/>
                <w:szCs w:val="24"/>
              </w:rPr>
            </w:pPr>
            <w:r w:rsidRPr="00895C9F">
              <w:rPr>
                <w:sz w:val="24"/>
                <w:szCs w:val="24"/>
              </w:rPr>
              <w:t>Inland Revenue</w:t>
            </w:r>
          </w:p>
          <w:p w:rsidR="00B374D4" w:rsidRPr="00895C9F" w:rsidRDefault="00AE0492" w:rsidP="009E40C3">
            <w:pPr>
              <w:spacing w:after="0" w:line="240" w:lineRule="auto"/>
              <w:jc w:val="left"/>
              <w:rPr>
                <w:sz w:val="24"/>
                <w:szCs w:val="24"/>
              </w:rPr>
            </w:pPr>
            <w:r>
              <w:rPr>
                <w:sz w:val="24"/>
                <w:szCs w:val="24"/>
              </w:rPr>
              <w:t>10</w:t>
            </w:r>
            <w:r w:rsidR="007D158A">
              <w:rPr>
                <w:sz w:val="24"/>
                <w:szCs w:val="24"/>
              </w:rPr>
              <w:t xml:space="preserve"> / 05 / 2019</w:t>
            </w:r>
          </w:p>
        </w:tc>
      </w:tr>
    </w:tbl>
    <w:p w:rsidR="00B374D4" w:rsidRDefault="00B374D4" w:rsidP="00B374D4">
      <w:pPr>
        <w:spacing w:after="0" w:line="240" w:lineRule="auto"/>
        <w:rPr>
          <w:b/>
          <w:sz w:val="28"/>
          <w:szCs w:val="28"/>
        </w:rPr>
      </w:pPr>
    </w:p>
    <w:p w:rsidR="00B374D4" w:rsidRDefault="00B374D4" w:rsidP="00B374D4">
      <w:pPr>
        <w:spacing w:after="0" w:line="240" w:lineRule="auto"/>
        <w:rPr>
          <w:sz w:val="28"/>
          <w:szCs w:val="28"/>
        </w:rPr>
      </w:pPr>
      <w:r>
        <w:rPr>
          <w:b/>
          <w:sz w:val="28"/>
          <w:szCs w:val="28"/>
        </w:rPr>
        <w:t>Section 2: Problem definition and objectives</w:t>
      </w:r>
    </w:p>
    <w:p w:rsidR="00B374D4" w:rsidRDefault="00B374D4" w:rsidP="00B374D4">
      <w:pPr>
        <w:spacing w:after="0" w:line="240" w:lineRule="auto"/>
        <w:rPr>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2.1 What is the context within which action is proposed?</w:t>
            </w:r>
          </w:p>
        </w:tc>
      </w:tr>
      <w:tr w:rsidR="00B374D4" w:rsidTr="003949D5">
        <w:tc>
          <w:tcPr>
            <w:tcW w:w="9287" w:type="dxa"/>
          </w:tcPr>
          <w:p w:rsidR="0061493E" w:rsidRDefault="0061493E" w:rsidP="00BB2355">
            <w:pPr>
              <w:spacing w:before="120" w:after="120"/>
              <w:rPr>
                <w:sz w:val="24"/>
                <w:szCs w:val="28"/>
              </w:rPr>
            </w:pPr>
            <w:r>
              <w:rPr>
                <w:sz w:val="24"/>
                <w:szCs w:val="28"/>
              </w:rPr>
              <w:t>New Zealand</w:t>
            </w:r>
            <w:r w:rsidR="00EA16F7">
              <w:rPr>
                <w:sz w:val="24"/>
                <w:szCs w:val="28"/>
              </w:rPr>
              <w:t xml:space="preserve"> has a</w:t>
            </w:r>
            <w:r>
              <w:rPr>
                <w:sz w:val="24"/>
                <w:szCs w:val="28"/>
              </w:rPr>
              <w:t xml:space="preserve"> low overall expenditure on R&amp;D</w:t>
            </w:r>
            <w:r w:rsidR="00A107DD">
              <w:rPr>
                <w:rStyle w:val="FootnoteReference"/>
                <w:szCs w:val="28"/>
              </w:rPr>
              <w:footnoteReference w:id="5"/>
            </w:r>
            <w:r>
              <w:rPr>
                <w:sz w:val="24"/>
                <w:szCs w:val="28"/>
              </w:rPr>
              <w:t xml:space="preserve"> </w:t>
            </w:r>
            <w:r w:rsidR="00EA16F7">
              <w:rPr>
                <w:sz w:val="24"/>
                <w:szCs w:val="28"/>
              </w:rPr>
              <w:t xml:space="preserve">primarily due to </w:t>
            </w:r>
            <w:r>
              <w:rPr>
                <w:sz w:val="24"/>
                <w:szCs w:val="28"/>
              </w:rPr>
              <w:t xml:space="preserve">low business investment in R&amp;D in New Zealand. </w:t>
            </w:r>
          </w:p>
          <w:p w:rsidR="0061493E" w:rsidRDefault="0061493E" w:rsidP="00BB2355">
            <w:pPr>
              <w:spacing w:before="120" w:after="120"/>
              <w:rPr>
                <w:sz w:val="24"/>
                <w:szCs w:val="28"/>
              </w:rPr>
            </w:pPr>
            <w:r>
              <w:rPr>
                <w:sz w:val="24"/>
                <w:szCs w:val="28"/>
              </w:rPr>
              <w:t>New Zealand’s low business investment in R&amp;D can be explained, in part, by its industrial structure. New Zealand firms have low R&amp;D intensity (</w:t>
            </w:r>
            <w:proofErr w:type="spellStart"/>
            <w:r>
              <w:rPr>
                <w:sz w:val="24"/>
                <w:szCs w:val="28"/>
              </w:rPr>
              <w:t>Mazoyer</w:t>
            </w:r>
            <w:proofErr w:type="spellEnd"/>
            <w:r>
              <w:rPr>
                <w:sz w:val="24"/>
                <w:szCs w:val="28"/>
              </w:rPr>
              <w:t xml:space="preserve">, 1999); the size of traditionally R&amp;D intensive industries (such as pharmaceuticals and aircraft manufacturing) in New Zealand is small (Di </w:t>
            </w:r>
            <w:proofErr w:type="spellStart"/>
            <w:r>
              <w:rPr>
                <w:sz w:val="24"/>
                <w:szCs w:val="28"/>
              </w:rPr>
              <w:t>Maio</w:t>
            </w:r>
            <w:proofErr w:type="spellEnd"/>
            <w:r>
              <w:rPr>
                <w:sz w:val="24"/>
                <w:szCs w:val="28"/>
              </w:rPr>
              <w:t xml:space="preserve"> and Blakeley, 2004); and there are few very large</w:t>
            </w:r>
            <w:r w:rsidR="009D6FD5">
              <w:rPr>
                <w:sz w:val="24"/>
                <w:szCs w:val="28"/>
              </w:rPr>
              <w:t xml:space="preserve"> firms</w:t>
            </w:r>
            <w:r>
              <w:rPr>
                <w:sz w:val="24"/>
                <w:szCs w:val="28"/>
              </w:rPr>
              <w:t xml:space="preserve">, </w:t>
            </w:r>
            <w:r w:rsidR="009D6FD5">
              <w:rPr>
                <w:sz w:val="24"/>
                <w:szCs w:val="28"/>
              </w:rPr>
              <w:t xml:space="preserve">who tend to be more </w:t>
            </w:r>
            <w:r>
              <w:rPr>
                <w:sz w:val="24"/>
                <w:szCs w:val="28"/>
              </w:rPr>
              <w:t xml:space="preserve">research-active (OECD, 2017). </w:t>
            </w:r>
          </w:p>
          <w:p w:rsidR="0061493E" w:rsidRDefault="0061493E" w:rsidP="00BB2355">
            <w:pPr>
              <w:spacing w:before="120" w:after="120"/>
              <w:rPr>
                <w:sz w:val="24"/>
                <w:szCs w:val="28"/>
              </w:rPr>
            </w:pPr>
            <w:r>
              <w:rPr>
                <w:sz w:val="24"/>
                <w:szCs w:val="28"/>
              </w:rPr>
              <w:t>Evidence suggests that there are other reasons for the low business investment in R&amp;D. Th</w:t>
            </w:r>
            <w:r w:rsidR="000B06F1">
              <w:rPr>
                <w:sz w:val="24"/>
                <w:szCs w:val="28"/>
              </w:rPr>
              <w:t>ese</w:t>
            </w:r>
            <w:r>
              <w:rPr>
                <w:sz w:val="24"/>
                <w:szCs w:val="28"/>
              </w:rPr>
              <w:t xml:space="preserve"> include returns to innovation being relatively low in New Zealand </w:t>
            </w:r>
            <w:r>
              <w:rPr>
                <w:sz w:val="24"/>
                <w:szCs w:val="28"/>
              </w:rPr>
              <w:lastRenderedPageBreak/>
              <w:t xml:space="preserve">(Wakeman and Conway, 2017), which means New Zealand firms do not have the same incentive to invest in activities that will increase their innovative output. The average rate of public support for business R&amp;D is also “well below the socially efficient level indicated by international empirical studies” (OECD, 2017). This evidence indicates that there is scope for productivity gains from increasing the overall level of support for R&amp;D expenditure. </w:t>
            </w:r>
          </w:p>
          <w:p w:rsidR="00481D95" w:rsidRDefault="0061493E" w:rsidP="0061493E">
            <w:pPr>
              <w:spacing w:before="120" w:after="120"/>
              <w:rPr>
                <w:sz w:val="24"/>
                <w:szCs w:val="28"/>
              </w:rPr>
            </w:pPr>
            <w:r w:rsidRPr="0061493E">
              <w:rPr>
                <w:sz w:val="24"/>
                <w:szCs w:val="28"/>
              </w:rPr>
              <w:t>The Government announced a goal of increasing New Zealand’s R&amp;D expenditure to 2 per cent of GDP by 2027</w:t>
            </w:r>
            <w:r w:rsidR="00D00DFF">
              <w:rPr>
                <w:sz w:val="24"/>
                <w:szCs w:val="28"/>
              </w:rPr>
              <w:t>.</w:t>
            </w:r>
            <w:r w:rsidRPr="0061493E">
              <w:rPr>
                <w:sz w:val="24"/>
                <w:szCs w:val="28"/>
              </w:rPr>
              <w:t xml:space="preserve"> </w:t>
            </w:r>
            <w:r w:rsidR="00D00DFF">
              <w:rPr>
                <w:sz w:val="24"/>
                <w:szCs w:val="28"/>
              </w:rPr>
              <w:t>T</w:t>
            </w:r>
            <w:r w:rsidRPr="0061493E">
              <w:rPr>
                <w:sz w:val="24"/>
                <w:szCs w:val="28"/>
              </w:rPr>
              <w:t>o reach this target</w:t>
            </w:r>
            <w:r w:rsidR="00D00DFF">
              <w:rPr>
                <w:sz w:val="24"/>
                <w:szCs w:val="28"/>
              </w:rPr>
              <w:t>,</w:t>
            </w:r>
            <w:r w:rsidRPr="0061493E">
              <w:rPr>
                <w:sz w:val="24"/>
                <w:szCs w:val="28"/>
              </w:rPr>
              <w:t xml:space="preserve"> a significant amount of the growth in R&amp;D expenditure is expected to come from business. </w:t>
            </w:r>
          </w:p>
          <w:p w:rsidR="0061493E" w:rsidRDefault="0061493E" w:rsidP="0061493E">
            <w:pPr>
              <w:spacing w:before="120" w:after="120"/>
              <w:rPr>
                <w:sz w:val="24"/>
                <w:szCs w:val="28"/>
              </w:rPr>
            </w:pPr>
            <w:r w:rsidRPr="0061493E">
              <w:rPr>
                <w:sz w:val="24"/>
                <w:szCs w:val="28"/>
              </w:rPr>
              <w:t>New Zealand BERD</w:t>
            </w:r>
            <w:r w:rsidR="00481D95">
              <w:rPr>
                <w:sz w:val="24"/>
                <w:szCs w:val="28"/>
              </w:rPr>
              <w:t xml:space="preserve"> </w:t>
            </w:r>
            <w:r w:rsidRPr="0061493E">
              <w:rPr>
                <w:sz w:val="24"/>
                <w:szCs w:val="28"/>
              </w:rPr>
              <w:t>is relatively low and remains concentrated among a small set of firms. To achieve a further boost in BERD, as well as to transform the economy to become more knowledge intensive, requires broadening the base of R&amp;D performing firms within New Zealand while continuing to increase the R</w:t>
            </w:r>
            <w:r w:rsidR="00C50DE7">
              <w:rPr>
                <w:sz w:val="24"/>
                <w:szCs w:val="28"/>
              </w:rPr>
              <w:t>&amp;</w:t>
            </w:r>
            <w:r w:rsidRPr="0061493E">
              <w:rPr>
                <w:sz w:val="24"/>
                <w:szCs w:val="28"/>
              </w:rPr>
              <w:t>D</w:t>
            </w:r>
            <w:r w:rsidR="00C50DE7">
              <w:rPr>
                <w:sz w:val="24"/>
                <w:szCs w:val="28"/>
              </w:rPr>
              <w:t xml:space="preserve"> expenditure</w:t>
            </w:r>
            <w:r w:rsidRPr="0061493E">
              <w:rPr>
                <w:sz w:val="24"/>
                <w:szCs w:val="28"/>
              </w:rPr>
              <w:t xml:space="preserve"> of existing R&amp;D-performing firms.</w:t>
            </w:r>
          </w:p>
          <w:p w:rsidR="00887FCD" w:rsidRPr="00294350" w:rsidRDefault="006E105F" w:rsidP="00C50DE7">
            <w:pPr>
              <w:spacing w:before="120" w:after="120"/>
              <w:rPr>
                <w:sz w:val="24"/>
                <w:szCs w:val="28"/>
              </w:rPr>
            </w:pPr>
            <w:r>
              <w:rPr>
                <w:sz w:val="24"/>
                <w:szCs w:val="28"/>
              </w:rPr>
              <w:t>R&amp;D performing firms, particularly at the early phase of their development, will often be loss-making. Therefore, p</w:t>
            </w:r>
            <w:r w:rsidR="00445C78" w:rsidRPr="00356259">
              <w:rPr>
                <w:sz w:val="24"/>
                <w:szCs w:val="28"/>
              </w:rPr>
              <w:t xml:space="preserve">roviding refundable tax credits to businesses </w:t>
            </w:r>
            <w:r w:rsidR="00887FCD">
              <w:rPr>
                <w:sz w:val="24"/>
                <w:szCs w:val="28"/>
              </w:rPr>
              <w:t xml:space="preserve">in tax loss </w:t>
            </w:r>
            <w:r w:rsidR="00445C78" w:rsidRPr="00356259">
              <w:rPr>
                <w:sz w:val="24"/>
                <w:szCs w:val="28"/>
              </w:rPr>
              <w:t>is a key element of the effectiveness of the R&amp;D Tax Incentive in achieving significant growth in BERD</w:t>
            </w:r>
            <w:r w:rsidR="00C8641D">
              <w:rPr>
                <w:sz w:val="24"/>
                <w:szCs w:val="28"/>
              </w:rPr>
              <w:t>.</w:t>
            </w:r>
            <w:r w:rsidR="009B676B">
              <w:rPr>
                <w:sz w:val="24"/>
                <w:szCs w:val="28"/>
              </w:rPr>
              <w:t xml:space="preserve"> </w:t>
            </w:r>
            <w:r w:rsidR="00C50DE7">
              <w:rPr>
                <w:sz w:val="24"/>
                <w:szCs w:val="28"/>
              </w:rPr>
              <w:t>Without a refundable tax incentive businesses in tax loss will have minimal incentive to invest in additional R&amp;D</w:t>
            </w:r>
            <w:r w:rsidR="009B676B">
              <w:rPr>
                <w:sz w:val="24"/>
                <w:szCs w:val="28"/>
              </w:rPr>
              <w:t>.</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2.2 What regulatory system, or systems, are already in place?</w:t>
            </w:r>
          </w:p>
        </w:tc>
      </w:tr>
      <w:tr w:rsidR="00B374D4" w:rsidTr="003949D5">
        <w:trPr>
          <w:trHeight w:val="579"/>
        </w:trPr>
        <w:tc>
          <w:tcPr>
            <w:tcW w:w="9287" w:type="dxa"/>
          </w:tcPr>
          <w:p w:rsidR="00D00DFF" w:rsidRDefault="00D00DFF" w:rsidP="00BB2355">
            <w:pPr>
              <w:spacing w:before="120" w:after="120"/>
              <w:rPr>
                <w:sz w:val="24"/>
                <w:szCs w:val="28"/>
              </w:rPr>
            </w:pPr>
            <w:r>
              <w:rPr>
                <w:sz w:val="24"/>
                <w:szCs w:val="28"/>
              </w:rPr>
              <w:t xml:space="preserve">The Taxation (Research and Development Tax Credits) </w:t>
            </w:r>
            <w:r w:rsidR="000F1CE6">
              <w:rPr>
                <w:sz w:val="24"/>
                <w:szCs w:val="28"/>
              </w:rPr>
              <w:t xml:space="preserve">Act </w:t>
            </w:r>
            <w:r>
              <w:rPr>
                <w:sz w:val="24"/>
                <w:szCs w:val="28"/>
              </w:rPr>
              <w:t xml:space="preserve">(the </w:t>
            </w:r>
            <w:r w:rsidR="000F1CE6">
              <w:rPr>
                <w:sz w:val="24"/>
                <w:szCs w:val="28"/>
              </w:rPr>
              <w:t>Act</w:t>
            </w:r>
            <w:r>
              <w:rPr>
                <w:sz w:val="24"/>
                <w:szCs w:val="28"/>
              </w:rPr>
              <w:t>), introduced in October 2018, implement</w:t>
            </w:r>
            <w:r w:rsidR="000F1CE6">
              <w:rPr>
                <w:sz w:val="24"/>
                <w:szCs w:val="28"/>
              </w:rPr>
              <w:t>s</w:t>
            </w:r>
            <w:r>
              <w:rPr>
                <w:sz w:val="24"/>
                <w:szCs w:val="28"/>
              </w:rPr>
              <w:t xml:space="preserve"> an R&amp;D tax incentive in New Zealand. </w:t>
            </w:r>
            <w:r w:rsidR="000F1CE6">
              <w:rPr>
                <w:sz w:val="24"/>
                <w:szCs w:val="28"/>
              </w:rPr>
              <w:t>T</w:t>
            </w:r>
            <w:r>
              <w:rPr>
                <w:sz w:val="24"/>
                <w:szCs w:val="28"/>
              </w:rPr>
              <w:t xml:space="preserve">he R&amp;D </w:t>
            </w:r>
            <w:r w:rsidR="00B5517B">
              <w:rPr>
                <w:sz w:val="24"/>
                <w:szCs w:val="28"/>
              </w:rPr>
              <w:t>T</w:t>
            </w:r>
            <w:r>
              <w:rPr>
                <w:sz w:val="24"/>
                <w:szCs w:val="28"/>
              </w:rPr>
              <w:t xml:space="preserve">ax </w:t>
            </w:r>
            <w:r w:rsidR="00B5517B">
              <w:rPr>
                <w:sz w:val="24"/>
                <w:szCs w:val="28"/>
              </w:rPr>
              <w:t>I</w:t>
            </w:r>
            <w:r>
              <w:rPr>
                <w:sz w:val="24"/>
                <w:szCs w:val="28"/>
              </w:rPr>
              <w:t xml:space="preserve">ncentive </w:t>
            </w:r>
            <w:r w:rsidR="008678F9">
              <w:rPr>
                <w:sz w:val="24"/>
                <w:szCs w:val="28"/>
              </w:rPr>
              <w:t>scheme</w:t>
            </w:r>
            <w:r>
              <w:rPr>
                <w:sz w:val="24"/>
                <w:szCs w:val="28"/>
              </w:rPr>
              <w:t xml:space="preserve"> appl</w:t>
            </w:r>
            <w:r w:rsidR="000F1CE6">
              <w:rPr>
                <w:sz w:val="24"/>
                <w:szCs w:val="28"/>
              </w:rPr>
              <w:t>ies</w:t>
            </w:r>
            <w:r>
              <w:rPr>
                <w:sz w:val="24"/>
                <w:szCs w:val="28"/>
              </w:rPr>
              <w:t xml:space="preserve"> from the beginning of the </w:t>
            </w:r>
            <w:r w:rsidR="006E105F">
              <w:rPr>
                <w:sz w:val="24"/>
                <w:szCs w:val="28"/>
              </w:rPr>
              <w:t xml:space="preserve">2019/20 </w:t>
            </w:r>
            <w:r>
              <w:rPr>
                <w:sz w:val="24"/>
                <w:szCs w:val="28"/>
              </w:rPr>
              <w:t xml:space="preserve">income year. The </w:t>
            </w:r>
            <w:r w:rsidR="000F1CE6">
              <w:rPr>
                <w:sz w:val="24"/>
                <w:szCs w:val="28"/>
              </w:rPr>
              <w:t xml:space="preserve">Act </w:t>
            </w:r>
            <w:r>
              <w:rPr>
                <w:sz w:val="24"/>
                <w:szCs w:val="28"/>
              </w:rPr>
              <w:t>allows for</w:t>
            </w:r>
            <w:r w:rsidR="002856B1">
              <w:rPr>
                <w:sz w:val="24"/>
                <w:szCs w:val="28"/>
              </w:rPr>
              <w:t xml:space="preserve"> firms that make a loss for tax purposes and </w:t>
            </w:r>
            <w:r>
              <w:rPr>
                <w:sz w:val="24"/>
                <w:szCs w:val="28"/>
              </w:rPr>
              <w:t xml:space="preserve">satisfy certain criteria to receive </w:t>
            </w:r>
            <w:r w:rsidR="003651F6">
              <w:rPr>
                <w:sz w:val="24"/>
                <w:szCs w:val="28"/>
              </w:rPr>
              <w:t xml:space="preserve">a refund of </w:t>
            </w:r>
            <w:r>
              <w:rPr>
                <w:sz w:val="24"/>
                <w:szCs w:val="28"/>
              </w:rPr>
              <w:t xml:space="preserve">up to $255,000 of tax credits per income year. Credits that are not refunded can be carried forward to future income years provided shareholder continuity criteria are met. </w:t>
            </w:r>
          </w:p>
          <w:p w:rsidR="00172834" w:rsidRDefault="00172834" w:rsidP="00172834">
            <w:pPr>
              <w:spacing w:before="120" w:after="120"/>
              <w:rPr>
                <w:sz w:val="24"/>
                <w:szCs w:val="28"/>
              </w:rPr>
            </w:pPr>
            <w:r>
              <w:rPr>
                <w:sz w:val="24"/>
                <w:szCs w:val="28"/>
              </w:rPr>
              <w:t xml:space="preserve">Appendix 2 provides examples that illustrate how without refundability, firms do not receive a cash benefit from a tax credit if they are in loss or have insufficient income tax liability. </w:t>
            </w:r>
          </w:p>
          <w:p w:rsidR="00F8425F" w:rsidRDefault="00CA3F7C" w:rsidP="00172834">
            <w:pPr>
              <w:spacing w:before="120" w:after="120"/>
              <w:rPr>
                <w:sz w:val="24"/>
                <w:szCs w:val="28"/>
              </w:rPr>
            </w:pPr>
            <w:r>
              <w:rPr>
                <w:sz w:val="24"/>
                <w:szCs w:val="28"/>
              </w:rPr>
              <w:t xml:space="preserve">The </w:t>
            </w:r>
            <w:r w:rsidR="00375B7F">
              <w:rPr>
                <w:sz w:val="24"/>
                <w:szCs w:val="28"/>
              </w:rPr>
              <w:t>Act</w:t>
            </w:r>
            <w:r>
              <w:rPr>
                <w:sz w:val="24"/>
                <w:szCs w:val="28"/>
              </w:rPr>
              <w:t xml:space="preserve"> also includes </w:t>
            </w:r>
            <w:r w:rsidR="00F8425F">
              <w:rPr>
                <w:sz w:val="24"/>
                <w:szCs w:val="28"/>
                <w:lang w:val="en-NZ"/>
              </w:rPr>
              <w:t>a</w:t>
            </w:r>
            <w:r w:rsidR="00F8425F" w:rsidRPr="00011695">
              <w:rPr>
                <w:sz w:val="24"/>
                <w:szCs w:val="28"/>
                <w:lang w:val="en-NZ"/>
              </w:rPr>
              <w:t xml:space="preserve">n in-year approval process, which requires claimants </w:t>
            </w:r>
            <w:r w:rsidR="00F8425F">
              <w:rPr>
                <w:sz w:val="24"/>
                <w:szCs w:val="28"/>
                <w:lang w:val="en-NZ"/>
              </w:rPr>
              <w:t xml:space="preserve">to </w:t>
            </w:r>
            <w:r w:rsidR="00F8425F" w:rsidRPr="00011695">
              <w:rPr>
                <w:sz w:val="24"/>
                <w:szCs w:val="28"/>
                <w:lang w:val="en-NZ"/>
              </w:rPr>
              <w:t>obtain approval of their R&amp;D activities before they file a claim for their R&amp;D tax credits.</w:t>
            </w:r>
          </w:p>
          <w:p w:rsidR="00AA0721" w:rsidRDefault="00D00DFF" w:rsidP="00BB2355">
            <w:pPr>
              <w:spacing w:before="120" w:after="120"/>
              <w:rPr>
                <w:sz w:val="24"/>
                <w:szCs w:val="28"/>
              </w:rPr>
            </w:pPr>
            <w:r>
              <w:rPr>
                <w:sz w:val="24"/>
                <w:szCs w:val="28"/>
              </w:rPr>
              <w:t xml:space="preserve">In addition to the R&amp;D </w:t>
            </w:r>
            <w:r w:rsidR="00B5517B">
              <w:rPr>
                <w:sz w:val="24"/>
                <w:szCs w:val="28"/>
              </w:rPr>
              <w:t>T</w:t>
            </w:r>
            <w:r>
              <w:rPr>
                <w:sz w:val="24"/>
                <w:szCs w:val="28"/>
              </w:rPr>
              <w:t xml:space="preserve">ax </w:t>
            </w:r>
            <w:r w:rsidR="00B5517B">
              <w:rPr>
                <w:sz w:val="24"/>
                <w:szCs w:val="28"/>
              </w:rPr>
              <w:t>I</w:t>
            </w:r>
            <w:r>
              <w:rPr>
                <w:sz w:val="24"/>
                <w:szCs w:val="28"/>
              </w:rPr>
              <w:t xml:space="preserve">ncentive, there are Callaghan Innovation grants which provide R&amp;D subsidies. </w:t>
            </w:r>
          </w:p>
          <w:p w:rsidR="00D00DFF" w:rsidRDefault="00D00DFF" w:rsidP="00BB2355">
            <w:pPr>
              <w:spacing w:before="120" w:after="120"/>
              <w:rPr>
                <w:sz w:val="24"/>
                <w:szCs w:val="28"/>
              </w:rPr>
            </w:pPr>
            <w:r>
              <w:rPr>
                <w:sz w:val="24"/>
                <w:szCs w:val="28"/>
              </w:rPr>
              <w:t>These grants include:</w:t>
            </w:r>
          </w:p>
          <w:p w:rsidR="00D00DFF" w:rsidRDefault="00D00DFF" w:rsidP="00D00DFF">
            <w:pPr>
              <w:pStyle w:val="ListParagraph"/>
              <w:numPr>
                <w:ilvl w:val="0"/>
                <w:numId w:val="9"/>
              </w:numPr>
              <w:spacing w:before="120" w:after="120"/>
              <w:rPr>
                <w:sz w:val="24"/>
                <w:szCs w:val="28"/>
              </w:rPr>
            </w:pPr>
            <w:r w:rsidRPr="00D00DFF">
              <w:rPr>
                <w:sz w:val="24"/>
                <w:szCs w:val="28"/>
              </w:rPr>
              <w:t>Growth Grants: A non-discretionary grant paid to all businesses that spend more than $300,000 and 1.5 per cent of revenue on R&amp;D over the prior two years. The grant funds 20 per cent of a business R&amp;D programme up to a limit of $5 million per year (i.e., $25</w:t>
            </w:r>
            <w:r>
              <w:rPr>
                <w:sz w:val="24"/>
                <w:szCs w:val="28"/>
              </w:rPr>
              <w:t>m</w:t>
            </w:r>
            <w:r w:rsidRPr="00D00DFF">
              <w:rPr>
                <w:sz w:val="24"/>
                <w:szCs w:val="28"/>
              </w:rPr>
              <w:t xml:space="preserve"> of R&amp;D spending), initially for a period of three years with automatic two-year extensions conditional on continuing to meet the criteria. The aim is to provide experienced R&amp;D performers with the funding certainty and stability they need to grow their R&amp;D spending in the long term. There were 316 recipients in 2017/18 at an (estimated) fiscal cost of $172.2M.</w:t>
            </w:r>
            <w:r w:rsidR="00AA0721">
              <w:rPr>
                <w:sz w:val="24"/>
                <w:szCs w:val="28"/>
              </w:rPr>
              <w:t xml:space="preserve"> The Growth Grant </w:t>
            </w:r>
            <w:r w:rsidR="008678F9">
              <w:rPr>
                <w:sz w:val="24"/>
                <w:szCs w:val="28"/>
              </w:rPr>
              <w:t>scheme</w:t>
            </w:r>
            <w:r w:rsidR="00AA0721">
              <w:rPr>
                <w:sz w:val="24"/>
                <w:szCs w:val="28"/>
              </w:rPr>
              <w:t xml:space="preserve"> will cease on 31 March 202</w:t>
            </w:r>
            <w:r w:rsidR="00881E7E">
              <w:rPr>
                <w:sz w:val="24"/>
                <w:szCs w:val="28"/>
              </w:rPr>
              <w:t>1</w:t>
            </w:r>
            <w:r w:rsidR="00AA0721">
              <w:rPr>
                <w:sz w:val="24"/>
                <w:szCs w:val="28"/>
              </w:rPr>
              <w:t xml:space="preserve">. No new applications can be made, but existing Growth Grant recipients </w:t>
            </w:r>
            <w:r w:rsidR="006E105F">
              <w:rPr>
                <w:sz w:val="24"/>
                <w:szCs w:val="28"/>
              </w:rPr>
              <w:t xml:space="preserve">can </w:t>
            </w:r>
            <w:r w:rsidR="00AA0721">
              <w:rPr>
                <w:sz w:val="24"/>
                <w:szCs w:val="28"/>
              </w:rPr>
              <w:t xml:space="preserve">extend their Growth Grants until the </w:t>
            </w:r>
            <w:r w:rsidR="008678F9">
              <w:rPr>
                <w:sz w:val="24"/>
                <w:szCs w:val="28"/>
              </w:rPr>
              <w:t>scheme</w:t>
            </w:r>
            <w:r w:rsidR="00AA0721">
              <w:rPr>
                <w:sz w:val="24"/>
                <w:szCs w:val="28"/>
              </w:rPr>
              <w:t xml:space="preserve"> end date. </w:t>
            </w:r>
          </w:p>
          <w:p w:rsidR="00D00DFF" w:rsidRPr="00D00DFF" w:rsidRDefault="00D00DFF" w:rsidP="00D00DFF">
            <w:pPr>
              <w:pStyle w:val="ListParagraph"/>
              <w:spacing w:before="120" w:after="120"/>
              <w:rPr>
                <w:sz w:val="24"/>
                <w:szCs w:val="28"/>
              </w:rPr>
            </w:pPr>
          </w:p>
          <w:p w:rsidR="00D00DFF" w:rsidRPr="00D00DFF" w:rsidRDefault="00D00DFF" w:rsidP="00D00DFF">
            <w:pPr>
              <w:pStyle w:val="ListParagraph"/>
              <w:numPr>
                <w:ilvl w:val="0"/>
                <w:numId w:val="9"/>
              </w:numPr>
              <w:spacing w:before="120" w:after="120"/>
              <w:rPr>
                <w:sz w:val="24"/>
                <w:szCs w:val="28"/>
              </w:rPr>
            </w:pPr>
            <w:r w:rsidRPr="00D00DFF">
              <w:rPr>
                <w:sz w:val="24"/>
                <w:szCs w:val="28"/>
              </w:rPr>
              <w:lastRenderedPageBreak/>
              <w:t>Project Grants: A discretionary grant, allocated to less-experienced R&amp;D performers that do not meet the conditions for a Growth Grant for R&amp;D. It funds 40 per cent of the first $800,000 of the eligible costs of a pre-specified project and 20 per cent of the remainder. There were 344 recipients in 2017/18 at an estimated fiscal cost of $20.3M.</w:t>
            </w:r>
          </w:p>
          <w:p w:rsidR="00B374D4" w:rsidRDefault="00AA0721" w:rsidP="00AA0721">
            <w:pPr>
              <w:spacing w:before="120" w:after="120"/>
              <w:rPr>
                <w:sz w:val="24"/>
                <w:szCs w:val="28"/>
              </w:rPr>
            </w:pPr>
            <w:r>
              <w:rPr>
                <w:sz w:val="24"/>
                <w:szCs w:val="28"/>
              </w:rPr>
              <w:t xml:space="preserve">There are restrictions on the availability of the R&amp;D </w:t>
            </w:r>
            <w:r w:rsidR="00B5517B">
              <w:rPr>
                <w:sz w:val="24"/>
                <w:szCs w:val="28"/>
              </w:rPr>
              <w:t>T</w:t>
            </w:r>
            <w:r>
              <w:rPr>
                <w:sz w:val="24"/>
                <w:szCs w:val="28"/>
              </w:rPr>
              <w:t xml:space="preserve">ax </w:t>
            </w:r>
            <w:r w:rsidR="00B5517B">
              <w:rPr>
                <w:sz w:val="24"/>
                <w:szCs w:val="28"/>
              </w:rPr>
              <w:t>I</w:t>
            </w:r>
            <w:r>
              <w:rPr>
                <w:sz w:val="24"/>
                <w:szCs w:val="28"/>
              </w:rPr>
              <w:t xml:space="preserve">ncentive for recipients of existing grants. </w:t>
            </w:r>
          </w:p>
          <w:p w:rsidR="00AA0721" w:rsidRDefault="00AA0721" w:rsidP="00AA0721">
            <w:pPr>
              <w:spacing w:before="120" w:after="120"/>
              <w:rPr>
                <w:sz w:val="24"/>
                <w:szCs w:val="28"/>
              </w:rPr>
            </w:pPr>
            <w:r w:rsidRPr="00AA0721">
              <w:rPr>
                <w:sz w:val="24"/>
                <w:szCs w:val="28"/>
              </w:rPr>
              <w:t>New Zealand also provides support for businesses performing R&amp;D through the R&amp;D loss tax credit (also known as the R&amp;D tax-loss cash out). New Zealand-resident businesses are able to apply for 28 per cent of their losses associated with eligible R&amp;D expenditure (up to a cap) to be paid out in cash, rather than carrying forward those losses until future years. 350 firms currently claim R&amp;D loss tax credits.</w:t>
            </w:r>
          </w:p>
          <w:p w:rsidR="00E50AF0" w:rsidRPr="00294350" w:rsidRDefault="00E50AF0" w:rsidP="00AA0721">
            <w:pPr>
              <w:spacing w:before="120" w:after="120"/>
              <w:rPr>
                <w:b/>
                <w:sz w:val="28"/>
                <w:szCs w:val="28"/>
              </w:rPr>
            </w:pPr>
            <w:r>
              <w:rPr>
                <w:sz w:val="24"/>
                <w:szCs w:val="28"/>
              </w:rPr>
              <w:t>There are also tax deductions available for R&amp;D expenditure, and the ability to defer these tax deductions so as not to lose them due to a breach of the shareholder continuity rules.</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2.3 What is the policy problem or opportunity?</w:t>
            </w:r>
          </w:p>
        </w:tc>
      </w:tr>
      <w:tr w:rsidR="00B374D4" w:rsidTr="00B374D4">
        <w:tc>
          <w:tcPr>
            <w:tcW w:w="9287" w:type="dxa"/>
          </w:tcPr>
          <w:p w:rsidR="003C1179" w:rsidRDefault="006E105F" w:rsidP="003C1179">
            <w:pPr>
              <w:spacing w:before="120" w:after="120"/>
              <w:rPr>
                <w:sz w:val="24"/>
                <w:szCs w:val="28"/>
              </w:rPr>
            </w:pPr>
            <w:r>
              <w:rPr>
                <w:sz w:val="24"/>
                <w:szCs w:val="28"/>
              </w:rPr>
              <w:t>T</w:t>
            </w:r>
            <w:r w:rsidR="001833CB">
              <w:rPr>
                <w:sz w:val="24"/>
                <w:szCs w:val="28"/>
              </w:rPr>
              <w:t xml:space="preserve">he objective of the R&amp;D Tax Incentive is to </w:t>
            </w:r>
            <w:r>
              <w:rPr>
                <w:sz w:val="24"/>
                <w:szCs w:val="28"/>
              </w:rPr>
              <w:t xml:space="preserve">address New Zealand’s low levels of R&amp;D, specifically by </w:t>
            </w:r>
            <w:r w:rsidR="001833CB">
              <w:rPr>
                <w:sz w:val="24"/>
                <w:szCs w:val="28"/>
              </w:rPr>
              <w:t>increas</w:t>
            </w:r>
            <w:r>
              <w:rPr>
                <w:sz w:val="24"/>
                <w:szCs w:val="28"/>
              </w:rPr>
              <w:t>ing</w:t>
            </w:r>
            <w:r w:rsidR="001833CB">
              <w:rPr>
                <w:sz w:val="24"/>
                <w:szCs w:val="28"/>
              </w:rPr>
              <w:t xml:space="preserve"> BERD, which has a central role in driving innovation and economic growth. </w:t>
            </w:r>
          </w:p>
          <w:p w:rsidR="0065393B" w:rsidRDefault="001833CB" w:rsidP="005D3160">
            <w:pPr>
              <w:spacing w:before="120" w:after="120"/>
              <w:rPr>
                <w:sz w:val="24"/>
                <w:szCs w:val="28"/>
              </w:rPr>
            </w:pPr>
            <w:r>
              <w:rPr>
                <w:sz w:val="24"/>
                <w:szCs w:val="28"/>
              </w:rPr>
              <w:t xml:space="preserve">The </w:t>
            </w:r>
            <w:r w:rsidR="005A492A">
              <w:rPr>
                <w:sz w:val="24"/>
                <w:szCs w:val="28"/>
              </w:rPr>
              <w:t>R&amp;D Tax Incentive</w:t>
            </w:r>
            <w:r>
              <w:rPr>
                <w:sz w:val="24"/>
                <w:szCs w:val="28"/>
              </w:rPr>
              <w:t xml:space="preserve"> </w:t>
            </w:r>
            <w:r w:rsidR="006E105F">
              <w:rPr>
                <w:sz w:val="24"/>
                <w:szCs w:val="28"/>
              </w:rPr>
              <w:t xml:space="preserve">as introduced in the </w:t>
            </w:r>
            <w:r w:rsidR="00D82BE9">
              <w:rPr>
                <w:sz w:val="24"/>
                <w:szCs w:val="28"/>
              </w:rPr>
              <w:t>Act</w:t>
            </w:r>
            <w:r w:rsidR="006E105F">
              <w:rPr>
                <w:sz w:val="24"/>
                <w:szCs w:val="28"/>
              </w:rPr>
              <w:t xml:space="preserve"> has limited refundability. </w:t>
            </w:r>
            <w:r w:rsidR="0065393B">
              <w:rPr>
                <w:sz w:val="24"/>
                <w:szCs w:val="28"/>
              </w:rPr>
              <w:t xml:space="preserve">Limited refundability is available to unlisted companies who satisfy corporate eligibility and wage intensity criteria, up to a cap of $255,000. Any remaining R&amp;D tax credits can be carried forward to the next income year provided shareholder continuity requirements are met. </w:t>
            </w:r>
          </w:p>
          <w:p w:rsidR="00583C9D" w:rsidRPr="00583C9D" w:rsidRDefault="00583C9D" w:rsidP="005D3160">
            <w:pPr>
              <w:spacing w:before="120" w:after="120"/>
              <w:rPr>
                <w:i/>
                <w:sz w:val="24"/>
                <w:szCs w:val="28"/>
              </w:rPr>
            </w:pPr>
            <w:r w:rsidRPr="00583C9D">
              <w:rPr>
                <w:i/>
                <w:sz w:val="24"/>
                <w:szCs w:val="28"/>
              </w:rPr>
              <w:t>Entity eligibility</w:t>
            </w:r>
          </w:p>
          <w:p w:rsidR="00F81A7C" w:rsidRDefault="0065393B" w:rsidP="00F81A7C">
            <w:pPr>
              <w:spacing w:before="120" w:after="120"/>
              <w:rPr>
                <w:sz w:val="24"/>
                <w:szCs w:val="28"/>
              </w:rPr>
            </w:pPr>
            <w:r>
              <w:rPr>
                <w:sz w:val="24"/>
                <w:szCs w:val="28"/>
              </w:rPr>
              <w:t>Limited refundability is not available for entities</w:t>
            </w:r>
            <w:r w:rsidR="00BC3397">
              <w:rPr>
                <w:sz w:val="24"/>
                <w:szCs w:val="28"/>
              </w:rPr>
              <w:t xml:space="preserve">, </w:t>
            </w:r>
            <w:r>
              <w:rPr>
                <w:sz w:val="24"/>
                <w:szCs w:val="28"/>
              </w:rPr>
              <w:t>such as levy bodies</w:t>
            </w:r>
            <w:r w:rsidR="00BC3397">
              <w:rPr>
                <w:sz w:val="24"/>
                <w:szCs w:val="28"/>
              </w:rPr>
              <w:t>,</w:t>
            </w:r>
            <w:r>
              <w:rPr>
                <w:sz w:val="24"/>
                <w:szCs w:val="28"/>
              </w:rPr>
              <w:t xml:space="preserve"> which receive tax exempt income </w:t>
            </w:r>
            <w:r w:rsidR="00BC3397">
              <w:rPr>
                <w:sz w:val="24"/>
                <w:szCs w:val="28"/>
              </w:rPr>
              <w:t>(</w:t>
            </w:r>
            <w:r>
              <w:rPr>
                <w:sz w:val="24"/>
                <w:szCs w:val="28"/>
              </w:rPr>
              <w:t>other than dividends</w:t>
            </w:r>
            <w:r w:rsidR="00BC3397">
              <w:rPr>
                <w:sz w:val="24"/>
                <w:szCs w:val="28"/>
              </w:rPr>
              <w:t>)</w:t>
            </w:r>
            <w:r>
              <w:rPr>
                <w:sz w:val="24"/>
                <w:szCs w:val="28"/>
              </w:rPr>
              <w:t xml:space="preserve">. </w:t>
            </w:r>
            <w:r w:rsidR="00F81A7C" w:rsidRPr="00E30017">
              <w:rPr>
                <w:sz w:val="24"/>
                <w:szCs w:val="28"/>
              </w:rPr>
              <w:t xml:space="preserve">Discussions of the proposals with levy bodies has indicated that should levy bodies be ineligible for refundable R&amp;D tax credits, this could lead to some </w:t>
            </w:r>
            <w:r w:rsidR="00F81A7C">
              <w:rPr>
                <w:sz w:val="24"/>
                <w:szCs w:val="28"/>
              </w:rPr>
              <w:t xml:space="preserve">levy body </w:t>
            </w:r>
            <w:r w:rsidR="00F81A7C" w:rsidRPr="00E30017">
              <w:rPr>
                <w:sz w:val="24"/>
                <w:szCs w:val="28"/>
              </w:rPr>
              <w:t>members preferring to fund their own R&amp;D. The incentive is not intended to change business behaviour in this way.</w:t>
            </w:r>
          </w:p>
          <w:p w:rsidR="0065393B" w:rsidRDefault="00F81A7C" w:rsidP="005D3160">
            <w:pPr>
              <w:spacing w:before="120" w:after="120"/>
              <w:rPr>
                <w:sz w:val="24"/>
                <w:szCs w:val="28"/>
              </w:rPr>
            </w:pPr>
            <w:r>
              <w:rPr>
                <w:sz w:val="24"/>
                <w:szCs w:val="28"/>
              </w:rPr>
              <w:t xml:space="preserve">Limited refundability </w:t>
            </w:r>
            <w:r w:rsidR="0065393B">
              <w:rPr>
                <w:sz w:val="24"/>
                <w:szCs w:val="28"/>
              </w:rPr>
              <w:t xml:space="preserve">is </w:t>
            </w:r>
            <w:r w:rsidR="00EA16F7">
              <w:rPr>
                <w:sz w:val="24"/>
                <w:szCs w:val="28"/>
              </w:rPr>
              <w:t xml:space="preserve">also </w:t>
            </w:r>
            <w:r w:rsidR="0065393B">
              <w:rPr>
                <w:sz w:val="24"/>
                <w:szCs w:val="28"/>
              </w:rPr>
              <w:t xml:space="preserve">not available for listed companies, partnerships, </w:t>
            </w:r>
            <w:r w:rsidR="005A492A">
              <w:rPr>
                <w:sz w:val="24"/>
                <w:szCs w:val="28"/>
              </w:rPr>
              <w:t>or</w:t>
            </w:r>
            <w:r w:rsidR="0065393B">
              <w:rPr>
                <w:sz w:val="24"/>
                <w:szCs w:val="28"/>
              </w:rPr>
              <w:t xml:space="preserve"> trusts. This is problematic, because it is likely that </w:t>
            </w:r>
            <w:r w:rsidR="00EC4066">
              <w:rPr>
                <w:sz w:val="24"/>
                <w:szCs w:val="28"/>
              </w:rPr>
              <w:t xml:space="preserve">– without refundability – </w:t>
            </w:r>
            <w:r w:rsidR="0065393B">
              <w:rPr>
                <w:sz w:val="24"/>
                <w:szCs w:val="28"/>
              </w:rPr>
              <w:t xml:space="preserve">some of these businesses will have insufficient income tax </w:t>
            </w:r>
            <w:r w:rsidR="00413914">
              <w:rPr>
                <w:sz w:val="24"/>
                <w:szCs w:val="28"/>
              </w:rPr>
              <w:t xml:space="preserve">liability </w:t>
            </w:r>
            <w:r w:rsidR="0065393B">
              <w:rPr>
                <w:sz w:val="24"/>
                <w:szCs w:val="28"/>
              </w:rPr>
              <w:t xml:space="preserve">to </w:t>
            </w:r>
            <w:r w:rsidR="00EC4066">
              <w:rPr>
                <w:sz w:val="24"/>
                <w:szCs w:val="28"/>
              </w:rPr>
              <w:t xml:space="preserve">benefit from </w:t>
            </w:r>
            <w:r w:rsidR="0065393B">
              <w:rPr>
                <w:sz w:val="24"/>
                <w:szCs w:val="28"/>
              </w:rPr>
              <w:t>their R&amp;D tax credits.</w:t>
            </w:r>
            <w:r w:rsidR="00BC3397">
              <w:rPr>
                <w:sz w:val="24"/>
                <w:szCs w:val="28"/>
              </w:rPr>
              <w:t xml:space="preserve"> </w:t>
            </w:r>
            <w:r w:rsidR="008678F9">
              <w:rPr>
                <w:sz w:val="24"/>
                <w:szCs w:val="28"/>
              </w:rPr>
              <w:t>T</w:t>
            </w:r>
            <w:r w:rsidR="00BC3397">
              <w:rPr>
                <w:sz w:val="24"/>
                <w:szCs w:val="28"/>
              </w:rPr>
              <w:t xml:space="preserve">he </w:t>
            </w:r>
            <w:r w:rsidR="00EA16F7">
              <w:rPr>
                <w:sz w:val="24"/>
                <w:szCs w:val="28"/>
              </w:rPr>
              <w:t xml:space="preserve">Tax </w:t>
            </w:r>
            <w:r w:rsidR="008678F9">
              <w:rPr>
                <w:sz w:val="24"/>
                <w:szCs w:val="28"/>
              </w:rPr>
              <w:t>I</w:t>
            </w:r>
            <w:r w:rsidR="00BC3397">
              <w:rPr>
                <w:sz w:val="24"/>
                <w:szCs w:val="28"/>
              </w:rPr>
              <w:t>ncentive is intended to have broad application and treat all businesses the same</w:t>
            </w:r>
            <w:r w:rsidR="00EC4066">
              <w:rPr>
                <w:sz w:val="24"/>
                <w:szCs w:val="28"/>
              </w:rPr>
              <w:t>,</w:t>
            </w:r>
            <w:r w:rsidR="00BC3397">
              <w:rPr>
                <w:sz w:val="24"/>
                <w:szCs w:val="28"/>
              </w:rPr>
              <w:t xml:space="preserve"> irrespective of their legal form. </w:t>
            </w:r>
            <w:r w:rsidR="00EC4066">
              <w:rPr>
                <w:sz w:val="24"/>
                <w:szCs w:val="28"/>
              </w:rPr>
              <w:t>However, excluding some types of firm from the Tax Incentive biases it toward firms in traditional arrangements (particularly, limited liability companies).</w:t>
            </w:r>
          </w:p>
          <w:p w:rsidR="00583C9D" w:rsidRPr="00583C9D" w:rsidRDefault="00583C9D" w:rsidP="005D3160">
            <w:pPr>
              <w:spacing w:before="120" w:after="120"/>
              <w:rPr>
                <w:i/>
                <w:sz w:val="24"/>
                <w:szCs w:val="28"/>
              </w:rPr>
            </w:pPr>
            <w:r w:rsidRPr="00583C9D">
              <w:rPr>
                <w:i/>
                <w:sz w:val="24"/>
                <w:szCs w:val="28"/>
              </w:rPr>
              <w:t>Capped refundability</w:t>
            </w:r>
          </w:p>
          <w:p w:rsidR="003C1179" w:rsidRPr="005D3160" w:rsidRDefault="00EA16F7" w:rsidP="006D5EDE">
            <w:pPr>
              <w:spacing w:before="120" w:after="120"/>
              <w:rPr>
                <w:sz w:val="24"/>
                <w:szCs w:val="28"/>
              </w:rPr>
            </w:pPr>
            <w:r>
              <w:rPr>
                <w:sz w:val="24"/>
                <w:szCs w:val="28"/>
              </w:rPr>
              <w:t xml:space="preserve">Some </w:t>
            </w:r>
            <w:r w:rsidR="000C64A9">
              <w:rPr>
                <w:sz w:val="24"/>
                <w:szCs w:val="28"/>
              </w:rPr>
              <w:t xml:space="preserve">businesses </w:t>
            </w:r>
            <w:r>
              <w:rPr>
                <w:sz w:val="24"/>
                <w:szCs w:val="28"/>
              </w:rPr>
              <w:t xml:space="preserve">may be </w:t>
            </w:r>
            <w:r w:rsidR="0065393B">
              <w:rPr>
                <w:sz w:val="24"/>
                <w:szCs w:val="28"/>
              </w:rPr>
              <w:t xml:space="preserve">eligible for limited refundability but </w:t>
            </w:r>
            <w:r>
              <w:rPr>
                <w:sz w:val="24"/>
                <w:szCs w:val="28"/>
              </w:rPr>
              <w:t xml:space="preserve">unable to </w:t>
            </w:r>
            <w:r w:rsidR="0065393B">
              <w:rPr>
                <w:sz w:val="24"/>
                <w:szCs w:val="28"/>
              </w:rPr>
              <w:t>cash out all of their R&amp;D tax credits because of the $255</w:t>
            </w:r>
            <w:r w:rsidR="00023658">
              <w:rPr>
                <w:sz w:val="24"/>
                <w:szCs w:val="28"/>
              </w:rPr>
              <w:t>,000</w:t>
            </w:r>
            <w:r w:rsidR="0065393B">
              <w:rPr>
                <w:sz w:val="24"/>
                <w:szCs w:val="28"/>
              </w:rPr>
              <w:t xml:space="preserve"> cap</w:t>
            </w:r>
            <w:r>
              <w:rPr>
                <w:sz w:val="24"/>
                <w:szCs w:val="28"/>
              </w:rPr>
              <w:t xml:space="preserve">.  These businesses </w:t>
            </w:r>
            <w:r w:rsidR="000C64A9">
              <w:rPr>
                <w:sz w:val="24"/>
                <w:szCs w:val="28"/>
              </w:rPr>
              <w:t xml:space="preserve">will have to carry their R&amp;D tax credits forward </w:t>
            </w:r>
            <w:r w:rsidR="008678F9">
              <w:rPr>
                <w:sz w:val="24"/>
                <w:szCs w:val="28"/>
              </w:rPr>
              <w:t xml:space="preserve">into future years </w:t>
            </w:r>
            <w:r w:rsidR="000C64A9">
              <w:rPr>
                <w:sz w:val="24"/>
                <w:szCs w:val="28"/>
              </w:rPr>
              <w:t xml:space="preserve">until they have sufficient income </w:t>
            </w:r>
            <w:r w:rsidR="00861441">
              <w:rPr>
                <w:sz w:val="24"/>
                <w:szCs w:val="28"/>
              </w:rPr>
              <w:t xml:space="preserve">tax liability </w:t>
            </w:r>
            <w:r w:rsidR="000C64A9">
              <w:rPr>
                <w:sz w:val="24"/>
                <w:szCs w:val="28"/>
              </w:rPr>
              <w:t>to utilise their credits.</w:t>
            </w:r>
            <w:r>
              <w:rPr>
                <w:sz w:val="24"/>
                <w:szCs w:val="28"/>
              </w:rPr>
              <w:t xml:space="preserve"> T</w:t>
            </w:r>
            <w:r w:rsidR="00861441">
              <w:rPr>
                <w:sz w:val="24"/>
                <w:szCs w:val="28"/>
              </w:rPr>
              <w:t>h</w:t>
            </w:r>
            <w:r>
              <w:rPr>
                <w:sz w:val="24"/>
                <w:szCs w:val="28"/>
              </w:rPr>
              <w:t xml:space="preserve">e ability to carry the credit forward </w:t>
            </w:r>
            <w:r w:rsidR="00861441">
              <w:rPr>
                <w:sz w:val="24"/>
                <w:szCs w:val="28"/>
              </w:rPr>
              <w:t xml:space="preserve">is subject to </w:t>
            </w:r>
            <w:r>
              <w:rPr>
                <w:sz w:val="24"/>
                <w:szCs w:val="28"/>
              </w:rPr>
              <w:t xml:space="preserve">a </w:t>
            </w:r>
            <w:r w:rsidR="00861441">
              <w:rPr>
                <w:sz w:val="24"/>
                <w:szCs w:val="28"/>
              </w:rPr>
              <w:t>shareholder continuity rule that require</w:t>
            </w:r>
            <w:r>
              <w:rPr>
                <w:sz w:val="24"/>
                <w:szCs w:val="28"/>
              </w:rPr>
              <w:t>s</w:t>
            </w:r>
            <w:r w:rsidR="00861441">
              <w:rPr>
                <w:sz w:val="24"/>
                <w:szCs w:val="28"/>
              </w:rPr>
              <w:t xml:space="preserve"> a minimum of 49%</w:t>
            </w:r>
            <w:r>
              <w:rPr>
                <w:sz w:val="24"/>
                <w:szCs w:val="28"/>
              </w:rPr>
              <w:t xml:space="preserve"> shareholder</w:t>
            </w:r>
            <w:r w:rsidR="00861441">
              <w:rPr>
                <w:sz w:val="24"/>
                <w:szCs w:val="28"/>
              </w:rPr>
              <w:t xml:space="preserve"> continuity to be maintained in order for R&amp;D tax credits to be carried forward. </w:t>
            </w:r>
            <w:r w:rsidR="00BC3397">
              <w:rPr>
                <w:sz w:val="24"/>
                <w:szCs w:val="28"/>
              </w:rPr>
              <w:t xml:space="preserve">This is problematic, because R&amp;D intensive start-ups are more likely to </w:t>
            </w:r>
            <w:r w:rsidR="00861441">
              <w:rPr>
                <w:sz w:val="24"/>
                <w:szCs w:val="28"/>
              </w:rPr>
              <w:t xml:space="preserve">undergo a significant change in their shareholder base when </w:t>
            </w:r>
            <w:r w:rsidR="00BC3397">
              <w:rPr>
                <w:sz w:val="24"/>
                <w:szCs w:val="28"/>
              </w:rPr>
              <w:t xml:space="preserve">they seek to raise capital through new investors. </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2.4 Are there any constraints on the scope for decision making?</w:t>
            </w:r>
          </w:p>
        </w:tc>
      </w:tr>
      <w:tr w:rsidR="00B374D4" w:rsidTr="00B374D4">
        <w:tc>
          <w:tcPr>
            <w:tcW w:w="9287" w:type="dxa"/>
          </w:tcPr>
          <w:p w:rsidR="00BB2355" w:rsidRDefault="00B374D4" w:rsidP="00BB2355">
            <w:pPr>
              <w:spacing w:before="120" w:after="120"/>
              <w:rPr>
                <w:sz w:val="24"/>
                <w:szCs w:val="28"/>
              </w:rPr>
            </w:pPr>
            <w:r w:rsidRPr="00294350">
              <w:rPr>
                <w:sz w:val="24"/>
                <w:szCs w:val="28"/>
              </w:rPr>
              <w:t xml:space="preserve">The Government has introduced </w:t>
            </w:r>
            <w:r w:rsidR="00AD48B2">
              <w:rPr>
                <w:sz w:val="24"/>
                <w:szCs w:val="28"/>
              </w:rPr>
              <w:t xml:space="preserve">the R&amp;D Tax Incentive </w:t>
            </w:r>
            <w:r w:rsidRPr="00294350">
              <w:rPr>
                <w:sz w:val="24"/>
                <w:szCs w:val="28"/>
              </w:rPr>
              <w:t>and indicated that it wants to expand the coverage of refundability</w:t>
            </w:r>
            <w:r w:rsidR="00AD48B2">
              <w:rPr>
                <w:sz w:val="24"/>
                <w:szCs w:val="28"/>
              </w:rPr>
              <w:t>.</w:t>
            </w:r>
          </w:p>
          <w:p w:rsidR="00B374D4" w:rsidRDefault="00AD48B2" w:rsidP="00631E9F">
            <w:pPr>
              <w:spacing w:before="120" w:after="120"/>
              <w:rPr>
                <w:b/>
                <w:sz w:val="28"/>
                <w:szCs w:val="28"/>
              </w:rPr>
            </w:pPr>
            <w:r>
              <w:rPr>
                <w:sz w:val="24"/>
                <w:szCs w:val="28"/>
              </w:rPr>
              <w:t xml:space="preserve">The Government has committed to developing a more comprehensive policy for refundability </w:t>
            </w:r>
            <w:r w:rsidR="00631E9F">
              <w:rPr>
                <w:sz w:val="24"/>
                <w:szCs w:val="28"/>
              </w:rPr>
              <w:t>from</w:t>
            </w:r>
            <w:r>
              <w:rPr>
                <w:sz w:val="24"/>
                <w:szCs w:val="28"/>
              </w:rPr>
              <w:t xml:space="preserve"> year two of the Tax Incentive (corresponding to businesses’ 2020/21 income year).</w:t>
            </w:r>
            <w:r w:rsidR="006809C2">
              <w:rPr>
                <w:sz w:val="24"/>
                <w:szCs w:val="28"/>
              </w:rPr>
              <w:t xml:space="preserve"> There is a need to use existing legislative vehicles to achieve enactment of policy changes in time </w:t>
            </w:r>
            <w:r w:rsidR="00356AC2">
              <w:rPr>
                <w:sz w:val="24"/>
                <w:szCs w:val="28"/>
              </w:rPr>
              <w:t xml:space="preserve">for them </w:t>
            </w:r>
            <w:r w:rsidR="006809C2">
              <w:rPr>
                <w:sz w:val="24"/>
                <w:szCs w:val="28"/>
              </w:rPr>
              <w:t xml:space="preserve">to apply </w:t>
            </w:r>
            <w:r w:rsidR="00631E9F">
              <w:rPr>
                <w:sz w:val="24"/>
                <w:szCs w:val="28"/>
              </w:rPr>
              <w:t>from</w:t>
            </w:r>
            <w:r w:rsidR="006809C2">
              <w:rPr>
                <w:sz w:val="24"/>
                <w:szCs w:val="28"/>
              </w:rPr>
              <w:t xml:space="preserve"> year two of the Tax Incentive.</w:t>
            </w:r>
          </w:p>
        </w:tc>
      </w:tr>
    </w:tbl>
    <w:p w:rsidR="00B374D4" w:rsidRDefault="00B374D4" w:rsidP="00B374D4">
      <w:pPr>
        <w:spacing w:after="0" w:line="240" w:lineRule="auto"/>
        <w:rPr>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58733D" w:rsidP="0058733D">
            <w:pPr>
              <w:spacing w:after="0" w:line="240" w:lineRule="auto"/>
              <w:rPr>
                <w:b/>
                <w:sz w:val="24"/>
                <w:szCs w:val="24"/>
              </w:rPr>
            </w:pPr>
            <w:r>
              <w:rPr>
                <w:b/>
                <w:sz w:val="24"/>
                <w:szCs w:val="24"/>
              </w:rPr>
              <w:t xml:space="preserve">2.5 </w:t>
            </w:r>
            <w:r w:rsidR="00B374D4">
              <w:rPr>
                <w:b/>
                <w:sz w:val="24"/>
                <w:szCs w:val="24"/>
              </w:rPr>
              <w:t>What do stakeholders think?</w:t>
            </w:r>
          </w:p>
        </w:tc>
      </w:tr>
      <w:tr w:rsidR="00B374D4" w:rsidTr="00B374D4">
        <w:tc>
          <w:tcPr>
            <w:tcW w:w="9287" w:type="dxa"/>
          </w:tcPr>
          <w:p w:rsidR="00DD759D" w:rsidRDefault="00DD759D" w:rsidP="00BB2355">
            <w:pPr>
              <w:spacing w:before="120" w:after="120"/>
              <w:rPr>
                <w:sz w:val="24"/>
                <w:szCs w:val="28"/>
              </w:rPr>
            </w:pPr>
            <w:r w:rsidRPr="00DD759D">
              <w:rPr>
                <w:sz w:val="24"/>
                <w:szCs w:val="28"/>
                <w:lang w:val="en-NZ"/>
              </w:rPr>
              <w:t xml:space="preserve">This </w:t>
            </w:r>
            <w:r>
              <w:rPr>
                <w:sz w:val="24"/>
                <w:szCs w:val="28"/>
                <w:lang w:val="en-NZ"/>
              </w:rPr>
              <w:t xml:space="preserve">proposal </w:t>
            </w:r>
            <w:r w:rsidRPr="00DD759D">
              <w:rPr>
                <w:sz w:val="24"/>
                <w:szCs w:val="28"/>
                <w:lang w:val="en-NZ"/>
              </w:rPr>
              <w:t xml:space="preserve">has </w:t>
            </w:r>
            <w:r>
              <w:rPr>
                <w:sz w:val="24"/>
                <w:szCs w:val="28"/>
                <w:lang w:val="en-NZ"/>
              </w:rPr>
              <w:t xml:space="preserve">been informed by </w:t>
            </w:r>
            <w:r w:rsidRPr="00DD759D">
              <w:rPr>
                <w:sz w:val="24"/>
                <w:szCs w:val="28"/>
                <w:lang w:val="en-NZ"/>
              </w:rPr>
              <w:t>input from a wide array of private sector organisations</w:t>
            </w:r>
            <w:r>
              <w:rPr>
                <w:sz w:val="24"/>
                <w:szCs w:val="28"/>
                <w:lang w:val="en-NZ"/>
              </w:rPr>
              <w:t>.</w:t>
            </w:r>
          </w:p>
          <w:p w:rsidR="00C965D1" w:rsidRDefault="00C965D1" w:rsidP="00BB2355">
            <w:pPr>
              <w:spacing w:before="120" w:after="120"/>
              <w:rPr>
                <w:sz w:val="24"/>
                <w:szCs w:val="28"/>
              </w:rPr>
            </w:pPr>
            <w:r>
              <w:rPr>
                <w:sz w:val="24"/>
                <w:szCs w:val="28"/>
              </w:rPr>
              <w:t>The importance of broad refundability in incentivising business investment in R&amp;D was a strong theme from the consultation conducted by MBIE, I</w:t>
            </w:r>
            <w:r w:rsidR="00631E9F">
              <w:rPr>
                <w:sz w:val="24"/>
                <w:szCs w:val="28"/>
              </w:rPr>
              <w:t xml:space="preserve">nland </w:t>
            </w:r>
            <w:r>
              <w:rPr>
                <w:sz w:val="24"/>
                <w:szCs w:val="28"/>
              </w:rPr>
              <w:t>R</w:t>
            </w:r>
            <w:r w:rsidR="00631E9F">
              <w:rPr>
                <w:sz w:val="24"/>
                <w:szCs w:val="28"/>
              </w:rPr>
              <w:t>evenue</w:t>
            </w:r>
            <w:r>
              <w:rPr>
                <w:sz w:val="24"/>
                <w:szCs w:val="28"/>
              </w:rPr>
              <w:t xml:space="preserve"> and Callaghan Innovation following the </w:t>
            </w:r>
            <w:r w:rsidRPr="008B3B07">
              <w:rPr>
                <w:sz w:val="24"/>
                <w:szCs w:val="28"/>
              </w:rPr>
              <w:t xml:space="preserve">release of the Government Discussion Document </w:t>
            </w:r>
            <w:r>
              <w:rPr>
                <w:sz w:val="24"/>
                <w:szCs w:val="28"/>
              </w:rPr>
              <w:t>on the R&amp;D Tax Incentive</w:t>
            </w:r>
            <w:r w:rsidR="004B6BA5">
              <w:rPr>
                <w:sz w:val="24"/>
                <w:szCs w:val="28"/>
              </w:rPr>
              <w:t xml:space="preserve"> in mid-2018</w:t>
            </w:r>
            <w:r w:rsidRPr="008B3B07">
              <w:rPr>
                <w:sz w:val="24"/>
                <w:szCs w:val="28"/>
              </w:rPr>
              <w:t>.</w:t>
            </w:r>
            <w:r>
              <w:rPr>
                <w:sz w:val="24"/>
                <w:szCs w:val="28"/>
              </w:rPr>
              <w:t xml:space="preserve"> The need for broader refundability was also emphasized in submissions received by the </w:t>
            </w:r>
            <w:r w:rsidRPr="00B256B9">
              <w:rPr>
                <w:sz w:val="24"/>
                <w:szCs w:val="28"/>
                <w:lang w:val="en"/>
              </w:rPr>
              <w:t>Finance and Expenditure Select Committee</w:t>
            </w:r>
            <w:r>
              <w:rPr>
                <w:sz w:val="24"/>
                <w:szCs w:val="28"/>
              </w:rPr>
              <w:t xml:space="preserve"> on the Bill, and through additional stakeholder meetings.</w:t>
            </w:r>
          </w:p>
          <w:p w:rsidR="002F7A47" w:rsidRDefault="00C965D1" w:rsidP="002F7A47">
            <w:pPr>
              <w:spacing w:before="120" w:after="120"/>
              <w:rPr>
                <w:sz w:val="24"/>
                <w:szCs w:val="28"/>
              </w:rPr>
            </w:pPr>
            <w:r>
              <w:rPr>
                <w:sz w:val="24"/>
                <w:szCs w:val="28"/>
              </w:rPr>
              <w:t>MBIE, I</w:t>
            </w:r>
            <w:r w:rsidR="00631E9F">
              <w:rPr>
                <w:sz w:val="24"/>
                <w:szCs w:val="28"/>
              </w:rPr>
              <w:t xml:space="preserve">nland </w:t>
            </w:r>
            <w:r>
              <w:rPr>
                <w:sz w:val="24"/>
                <w:szCs w:val="28"/>
              </w:rPr>
              <w:t>R</w:t>
            </w:r>
            <w:r w:rsidR="00631E9F">
              <w:rPr>
                <w:sz w:val="24"/>
                <w:szCs w:val="28"/>
              </w:rPr>
              <w:t>evenue</w:t>
            </w:r>
            <w:r>
              <w:rPr>
                <w:sz w:val="24"/>
                <w:szCs w:val="28"/>
              </w:rPr>
              <w:t xml:space="preserve"> and Callaghan have discussed refundability proposals with the Corporate Taxpayers’ Group; Chartered Accountants Australia and New Zealand; representatives from PwC, KPMG, Deloitte and EY; approximately 25 representatives from R&amp;D performing businesses in</w:t>
            </w:r>
            <w:r w:rsidR="00DD759D">
              <w:rPr>
                <w:sz w:val="24"/>
                <w:szCs w:val="28"/>
              </w:rPr>
              <w:t xml:space="preserve"> tax</w:t>
            </w:r>
            <w:r>
              <w:rPr>
                <w:sz w:val="24"/>
                <w:szCs w:val="28"/>
              </w:rPr>
              <w:t xml:space="preserve"> loss or with insufficient taxable income to fully </w:t>
            </w:r>
            <w:r w:rsidR="00631E9F">
              <w:rPr>
                <w:sz w:val="24"/>
                <w:szCs w:val="28"/>
              </w:rPr>
              <w:t>use</w:t>
            </w:r>
            <w:r>
              <w:rPr>
                <w:sz w:val="24"/>
                <w:szCs w:val="28"/>
              </w:rPr>
              <w:t xml:space="preserve"> non-refundable R&amp;D tax credits; levy bodies; charities; and M</w:t>
            </w:r>
            <w:r w:rsidR="00E50AF0" w:rsidRPr="00BF44A5">
              <w:rPr>
                <w:sz w:val="24"/>
                <w:szCs w:val="28"/>
                <w:lang w:val="en-NZ"/>
              </w:rPr>
              <w:t>ā</w:t>
            </w:r>
            <w:proofErr w:type="spellStart"/>
            <w:r>
              <w:rPr>
                <w:sz w:val="24"/>
                <w:szCs w:val="28"/>
              </w:rPr>
              <w:t>ori</w:t>
            </w:r>
            <w:proofErr w:type="spellEnd"/>
            <w:r>
              <w:rPr>
                <w:sz w:val="24"/>
                <w:szCs w:val="28"/>
              </w:rPr>
              <w:t xml:space="preserve"> business representatives. These discussions have help</w:t>
            </w:r>
            <w:r w:rsidR="001669A0">
              <w:rPr>
                <w:sz w:val="24"/>
                <w:szCs w:val="28"/>
              </w:rPr>
              <w:t>ed</w:t>
            </w:r>
            <w:r>
              <w:rPr>
                <w:sz w:val="24"/>
                <w:szCs w:val="28"/>
              </w:rPr>
              <w:t xml:space="preserve"> shape the broader refundability proposals</w:t>
            </w:r>
            <w:r w:rsidR="002F7A47">
              <w:rPr>
                <w:sz w:val="24"/>
                <w:szCs w:val="28"/>
              </w:rPr>
              <w:t>, and have</w:t>
            </w:r>
            <w:r>
              <w:rPr>
                <w:sz w:val="24"/>
                <w:szCs w:val="28"/>
              </w:rPr>
              <w:t xml:space="preserve"> highlighted the </w:t>
            </w:r>
            <w:r w:rsidR="00C5083C">
              <w:rPr>
                <w:sz w:val="24"/>
                <w:szCs w:val="28"/>
              </w:rPr>
              <w:t xml:space="preserve">desirability of </w:t>
            </w:r>
            <w:r>
              <w:rPr>
                <w:sz w:val="24"/>
                <w:szCs w:val="28"/>
              </w:rPr>
              <w:t>broad eligibility and an accessible process.</w:t>
            </w:r>
            <w:r w:rsidR="002F7A47">
              <w:rPr>
                <w:sz w:val="24"/>
                <w:szCs w:val="28"/>
              </w:rPr>
              <w:t xml:space="preserve"> </w:t>
            </w:r>
          </w:p>
          <w:p w:rsidR="005B55A2" w:rsidRDefault="009C3E65" w:rsidP="008D4C22">
            <w:pPr>
              <w:spacing w:before="120" w:after="120"/>
              <w:rPr>
                <w:sz w:val="24"/>
                <w:szCs w:val="28"/>
              </w:rPr>
            </w:pPr>
            <w:r>
              <w:rPr>
                <w:sz w:val="24"/>
                <w:szCs w:val="28"/>
              </w:rPr>
              <w:t>Agencies asked</w:t>
            </w:r>
            <w:r w:rsidR="008D4C22">
              <w:rPr>
                <w:sz w:val="24"/>
                <w:szCs w:val="28"/>
              </w:rPr>
              <w:t xml:space="preserve"> stakeholders to consider the impact of a $5 million cap and a PAYE cap (used as a proxy to test tangible economic presence). </w:t>
            </w:r>
          </w:p>
          <w:p w:rsidR="005B55A2" w:rsidRPr="005B55A2" w:rsidRDefault="005B55A2" w:rsidP="008D4C22">
            <w:pPr>
              <w:spacing w:before="120" w:after="120"/>
              <w:rPr>
                <w:i/>
                <w:sz w:val="24"/>
                <w:szCs w:val="28"/>
              </w:rPr>
            </w:pPr>
            <w:r w:rsidRPr="005B55A2">
              <w:rPr>
                <w:i/>
                <w:sz w:val="24"/>
                <w:szCs w:val="28"/>
              </w:rPr>
              <w:t>Feedback on $5 million cap</w:t>
            </w:r>
          </w:p>
          <w:p w:rsidR="005B55A2" w:rsidRPr="008D4C22" w:rsidRDefault="005B55A2" w:rsidP="005B55A2">
            <w:pPr>
              <w:spacing w:before="120" w:after="120"/>
              <w:rPr>
                <w:sz w:val="24"/>
                <w:szCs w:val="28"/>
                <w:lang w:val="en-NZ"/>
              </w:rPr>
            </w:pPr>
            <w:r w:rsidRPr="008D4C22">
              <w:rPr>
                <w:sz w:val="24"/>
                <w:szCs w:val="28"/>
                <w:lang w:val="en-NZ"/>
              </w:rPr>
              <w:t xml:space="preserve">Stakeholder engagement revealed that there were a small number of established R&amp;D performers who would be constrained by </w:t>
            </w:r>
            <w:r w:rsidR="00260966">
              <w:rPr>
                <w:sz w:val="24"/>
                <w:szCs w:val="28"/>
                <w:lang w:val="en-NZ"/>
              </w:rPr>
              <w:t>a</w:t>
            </w:r>
            <w:r w:rsidRPr="008D4C22">
              <w:rPr>
                <w:sz w:val="24"/>
                <w:szCs w:val="28"/>
                <w:lang w:val="en-NZ"/>
              </w:rPr>
              <w:t xml:space="preserve"> $5 million cap. For example</w:t>
            </w:r>
            <w:r w:rsidR="00BC2AD9">
              <w:rPr>
                <w:sz w:val="24"/>
                <w:szCs w:val="28"/>
                <w:lang w:val="en-NZ"/>
              </w:rPr>
              <w:t>,</w:t>
            </w:r>
            <w:r w:rsidRPr="008D4C22">
              <w:rPr>
                <w:sz w:val="24"/>
                <w:szCs w:val="28"/>
                <w:lang w:val="en-NZ"/>
              </w:rPr>
              <w:t xml:space="preserve"> a </w:t>
            </w:r>
            <w:r w:rsidR="00BC2AD9">
              <w:rPr>
                <w:sz w:val="24"/>
                <w:szCs w:val="28"/>
                <w:lang w:val="en-NZ"/>
              </w:rPr>
              <w:t>business</w:t>
            </w:r>
            <w:r w:rsidRPr="008D4C22">
              <w:rPr>
                <w:sz w:val="24"/>
                <w:szCs w:val="28"/>
                <w:lang w:val="en-NZ"/>
              </w:rPr>
              <w:t xml:space="preserve"> in a loss making position undertaking around $80 million of R&amp;D annually would be eligible for $12 million of R&amp;D tax credits. Under </w:t>
            </w:r>
            <w:r>
              <w:rPr>
                <w:sz w:val="24"/>
                <w:szCs w:val="28"/>
                <w:lang w:val="en-NZ"/>
              </w:rPr>
              <w:t>a $5 million</w:t>
            </w:r>
            <w:r w:rsidRPr="008D4C22">
              <w:rPr>
                <w:sz w:val="24"/>
                <w:szCs w:val="28"/>
                <w:lang w:val="en-NZ"/>
              </w:rPr>
              <w:t xml:space="preserve"> cap the </w:t>
            </w:r>
            <w:r w:rsidR="00BC2AD9">
              <w:rPr>
                <w:sz w:val="24"/>
                <w:szCs w:val="28"/>
                <w:lang w:val="en-NZ"/>
              </w:rPr>
              <w:t xml:space="preserve">business </w:t>
            </w:r>
            <w:r w:rsidRPr="008D4C22">
              <w:rPr>
                <w:sz w:val="24"/>
                <w:szCs w:val="28"/>
                <w:lang w:val="en-NZ"/>
              </w:rPr>
              <w:t xml:space="preserve">would receive a $5 million refund and would have to </w:t>
            </w:r>
            <w:r w:rsidR="009F0461">
              <w:rPr>
                <w:sz w:val="24"/>
                <w:szCs w:val="28"/>
                <w:lang w:val="en-NZ"/>
              </w:rPr>
              <w:t xml:space="preserve">carry forward </w:t>
            </w:r>
            <w:r w:rsidRPr="008D4C22">
              <w:rPr>
                <w:sz w:val="24"/>
                <w:szCs w:val="28"/>
                <w:lang w:val="en-NZ"/>
              </w:rPr>
              <w:t xml:space="preserve">the remaining $7 million </w:t>
            </w:r>
            <w:r w:rsidR="009F0461">
              <w:rPr>
                <w:sz w:val="24"/>
                <w:szCs w:val="28"/>
                <w:lang w:val="en-NZ"/>
              </w:rPr>
              <w:t xml:space="preserve">of </w:t>
            </w:r>
            <w:r w:rsidR="009F0461" w:rsidRPr="008D4C22">
              <w:rPr>
                <w:sz w:val="24"/>
                <w:szCs w:val="28"/>
                <w:lang w:val="en-NZ"/>
              </w:rPr>
              <w:t xml:space="preserve">R&amp;D tax credits </w:t>
            </w:r>
            <w:r w:rsidRPr="008D4C22">
              <w:rPr>
                <w:sz w:val="24"/>
                <w:szCs w:val="28"/>
                <w:lang w:val="en-NZ"/>
              </w:rPr>
              <w:t xml:space="preserve">into future years. </w:t>
            </w:r>
            <w:r w:rsidR="009F0461">
              <w:rPr>
                <w:sz w:val="24"/>
                <w:szCs w:val="28"/>
                <w:lang w:val="en-NZ"/>
              </w:rPr>
              <w:t>B</w:t>
            </w:r>
            <w:r w:rsidRPr="008D4C22">
              <w:rPr>
                <w:sz w:val="24"/>
                <w:szCs w:val="28"/>
                <w:lang w:val="en-NZ"/>
              </w:rPr>
              <w:t xml:space="preserve">ecause the </w:t>
            </w:r>
            <w:r w:rsidR="00BC2AD9">
              <w:rPr>
                <w:sz w:val="24"/>
                <w:szCs w:val="28"/>
                <w:lang w:val="en-NZ"/>
              </w:rPr>
              <w:t xml:space="preserve">business </w:t>
            </w:r>
            <w:r w:rsidRPr="008D4C22">
              <w:rPr>
                <w:sz w:val="24"/>
                <w:szCs w:val="28"/>
                <w:lang w:val="en-NZ"/>
              </w:rPr>
              <w:t xml:space="preserve">spends a large amount of R&amp;D on an on-going basis they are unlikely to be able to </w:t>
            </w:r>
            <w:r w:rsidR="009F0461">
              <w:rPr>
                <w:sz w:val="24"/>
                <w:szCs w:val="28"/>
                <w:lang w:val="en-NZ"/>
              </w:rPr>
              <w:t xml:space="preserve">fully </w:t>
            </w:r>
            <w:r w:rsidRPr="008D4C22">
              <w:rPr>
                <w:sz w:val="24"/>
                <w:szCs w:val="28"/>
                <w:lang w:val="en-NZ"/>
              </w:rPr>
              <w:t>cash out their accumulation of R&amp;D credits</w:t>
            </w:r>
            <w:r w:rsidR="009F0461">
              <w:rPr>
                <w:sz w:val="24"/>
                <w:szCs w:val="28"/>
                <w:lang w:val="en-NZ"/>
              </w:rPr>
              <w:t xml:space="preserve"> </w:t>
            </w:r>
            <w:r w:rsidR="009F0461" w:rsidRPr="008D4C22">
              <w:rPr>
                <w:sz w:val="24"/>
                <w:szCs w:val="28"/>
                <w:lang w:val="en-NZ"/>
              </w:rPr>
              <w:t>carr</w:t>
            </w:r>
            <w:r w:rsidR="009F0461">
              <w:rPr>
                <w:sz w:val="24"/>
                <w:szCs w:val="28"/>
                <w:lang w:val="en-NZ"/>
              </w:rPr>
              <w:t xml:space="preserve">ied </w:t>
            </w:r>
            <w:r w:rsidR="009F0461" w:rsidRPr="008D4C22">
              <w:rPr>
                <w:sz w:val="24"/>
                <w:szCs w:val="28"/>
                <w:lang w:val="en-NZ"/>
              </w:rPr>
              <w:t>forward</w:t>
            </w:r>
            <w:r w:rsidRPr="008D4C22">
              <w:rPr>
                <w:sz w:val="24"/>
                <w:szCs w:val="28"/>
                <w:lang w:val="en-NZ"/>
              </w:rPr>
              <w:t xml:space="preserve">. </w:t>
            </w:r>
          </w:p>
          <w:p w:rsidR="005B55A2" w:rsidRPr="008D4C22" w:rsidRDefault="005B55A2" w:rsidP="005B55A2">
            <w:pPr>
              <w:spacing w:before="120" w:after="120"/>
              <w:rPr>
                <w:sz w:val="24"/>
                <w:szCs w:val="28"/>
                <w:lang w:val="en-NZ"/>
              </w:rPr>
            </w:pPr>
            <w:r w:rsidRPr="008D4C22">
              <w:rPr>
                <w:sz w:val="24"/>
                <w:szCs w:val="28"/>
                <w:lang w:val="en-NZ"/>
              </w:rPr>
              <w:t xml:space="preserve">There </w:t>
            </w:r>
            <w:r w:rsidR="00BC2AD9">
              <w:rPr>
                <w:sz w:val="24"/>
                <w:szCs w:val="28"/>
                <w:lang w:val="en-NZ"/>
              </w:rPr>
              <w:t xml:space="preserve">were also </w:t>
            </w:r>
            <w:r w:rsidRPr="008D4C22">
              <w:rPr>
                <w:sz w:val="24"/>
                <w:szCs w:val="28"/>
                <w:lang w:val="en-NZ"/>
              </w:rPr>
              <w:t xml:space="preserve">a number of established R&amp;D performers who valued the security refundability would bring to their R&amp;D programmes. These </w:t>
            </w:r>
            <w:r w:rsidR="00BC2AD9">
              <w:rPr>
                <w:sz w:val="24"/>
                <w:szCs w:val="28"/>
                <w:lang w:val="en-NZ"/>
              </w:rPr>
              <w:t xml:space="preserve">businesses </w:t>
            </w:r>
            <w:r w:rsidRPr="008D4C22">
              <w:rPr>
                <w:sz w:val="24"/>
                <w:szCs w:val="28"/>
                <w:lang w:val="en-NZ"/>
              </w:rPr>
              <w:t>are mainly in a tax-paying situation but depending on market fluctuations they could be in a temporary loss-making position in future. Refundability would give these firms surety, allowing them to continue their R&amp;D investment during market down-turns. Some of these established R&amp;D performers would also be constrained by a $5 million cap.</w:t>
            </w:r>
          </w:p>
          <w:p w:rsidR="00BC2AD9" w:rsidRDefault="00BC2AD9" w:rsidP="00BC2AD9">
            <w:pPr>
              <w:spacing w:before="120" w:after="120"/>
              <w:rPr>
                <w:sz w:val="24"/>
                <w:szCs w:val="28"/>
                <w:lang w:val="en-NZ"/>
              </w:rPr>
            </w:pPr>
            <w:r>
              <w:rPr>
                <w:sz w:val="24"/>
                <w:szCs w:val="28"/>
                <w:lang w:val="en-NZ"/>
              </w:rPr>
              <w:t>The proposal</w:t>
            </w:r>
            <w:r w:rsidRPr="008D4C22">
              <w:rPr>
                <w:sz w:val="24"/>
                <w:szCs w:val="28"/>
                <w:lang w:val="en-NZ"/>
              </w:rPr>
              <w:t xml:space="preserve"> </w:t>
            </w:r>
            <w:r>
              <w:rPr>
                <w:sz w:val="24"/>
                <w:szCs w:val="28"/>
                <w:lang w:val="en-NZ"/>
              </w:rPr>
              <w:t xml:space="preserve">for broader refundability </w:t>
            </w:r>
            <w:r w:rsidRPr="008D4C22">
              <w:rPr>
                <w:sz w:val="24"/>
                <w:szCs w:val="28"/>
                <w:lang w:val="en-NZ"/>
              </w:rPr>
              <w:t>removes the previous</w:t>
            </w:r>
            <w:r>
              <w:rPr>
                <w:sz w:val="24"/>
                <w:szCs w:val="28"/>
                <w:lang w:val="en-NZ"/>
              </w:rPr>
              <w:t>ly</w:t>
            </w:r>
            <w:r w:rsidRPr="008D4C22">
              <w:rPr>
                <w:sz w:val="24"/>
                <w:szCs w:val="28"/>
                <w:lang w:val="en-NZ"/>
              </w:rPr>
              <w:t xml:space="preserve"> proposed $5 million cap on refundability. </w:t>
            </w:r>
          </w:p>
          <w:p w:rsidR="006D5EDE" w:rsidRDefault="006D5EDE" w:rsidP="00BC2AD9">
            <w:pPr>
              <w:spacing w:before="120" w:after="120"/>
              <w:rPr>
                <w:sz w:val="24"/>
                <w:szCs w:val="28"/>
                <w:lang w:val="en-NZ"/>
              </w:rPr>
            </w:pPr>
          </w:p>
          <w:p w:rsidR="00BC2AD9" w:rsidRPr="005B55A2" w:rsidRDefault="006707DC" w:rsidP="00BC2AD9">
            <w:pPr>
              <w:spacing w:before="120" w:after="120"/>
              <w:rPr>
                <w:i/>
                <w:sz w:val="24"/>
                <w:szCs w:val="28"/>
              </w:rPr>
            </w:pPr>
            <w:r>
              <w:rPr>
                <w:i/>
                <w:sz w:val="24"/>
                <w:szCs w:val="28"/>
              </w:rPr>
              <w:lastRenderedPageBreak/>
              <w:t>Feedback on PAYE</w:t>
            </w:r>
            <w:r w:rsidR="00BC2AD9" w:rsidRPr="005B55A2">
              <w:rPr>
                <w:i/>
                <w:sz w:val="24"/>
                <w:szCs w:val="28"/>
              </w:rPr>
              <w:t xml:space="preserve"> cap</w:t>
            </w:r>
          </w:p>
          <w:p w:rsidR="008D4C22" w:rsidRDefault="008D4C22" w:rsidP="008D4C22">
            <w:pPr>
              <w:spacing w:before="120" w:after="120"/>
              <w:rPr>
                <w:sz w:val="24"/>
                <w:szCs w:val="28"/>
              </w:rPr>
            </w:pPr>
            <w:r>
              <w:rPr>
                <w:sz w:val="24"/>
                <w:szCs w:val="28"/>
              </w:rPr>
              <w:t xml:space="preserve">The PAYE cap, which would limit the amount of R&amp;D tax credits refunded to a firm to the amount of PAYE paid by the firm in the relevant year, was seen as problematic. </w:t>
            </w:r>
          </w:p>
          <w:p w:rsidR="008D4C22" w:rsidRDefault="008D4C22" w:rsidP="008D4C22">
            <w:pPr>
              <w:spacing w:before="120" w:after="120"/>
              <w:rPr>
                <w:sz w:val="24"/>
                <w:szCs w:val="28"/>
              </w:rPr>
            </w:pPr>
            <w:r>
              <w:rPr>
                <w:sz w:val="24"/>
                <w:szCs w:val="28"/>
              </w:rPr>
              <w:t xml:space="preserve">Stakeholders advised that a PAYE cap would significantly constrain the benefit </w:t>
            </w:r>
            <w:r w:rsidR="0068167C">
              <w:rPr>
                <w:sz w:val="24"/>
                <w:szCs w:val="28"/>
              </w:rPr>
              <w:t xml:space="preserve">that </w:t>
            </w:r>
            <w:r>
              <w:rPr>
                <w:sz w:val="24"/>
                <w:szCs w:val="28"/>
              </w:rPr>
              <w:t xml:space="preserve">loss-making start-ups would </w:t>
            </w:r>
            <w:r w:rsidR="0068167C">
              <w:rPr>
                <w:sz w:val="24"/>
                <w:szCs w:val="28"/>
              </w:rPr>
              <w:t xml:space="preserve">get </w:t>
            </w:r>
            <w:r>
              <w:rPr>
                <w:sz w:val="24"/>
                <w:szCs w:val="28"/>
              </w:rPr>
              <w:t xml:space="preserve">from the credit. Many start-ups that perform R&amp;D have few employees </w:t>
            </w:r>
            <w:r w:rsidR="0068167C">
              <w:rPr>
                <w:sz w:val="24"/>
                <w:szCs w:val="28"/>
              </w:rPr>
              <w:t xml:space="preserve">and rely on </w:t>
            </w:r>
            <w:r>
              <w:rPr>
                <w:sz w:val="24"/>
                <w:szCs w:val="28"/>
              </w:rPr>
              <w:t xml:space="preserve">contractors </w:t>
            </w:r>
            <w:r w:rsidR="0068167C">
              <w:rPr>
                <w:sz w:val="24"/>
                <w:szCs w:val="28"/>
              </w:rPr>
              <w:t>to develop their business</w:t>
            </w:r>
            <w:r>
              <w:rPr>
                <w:sz w:val="24"/>
                <w:szCs w:val="28"/>
              </w:rPr>
              <w:t xml:space="preserve"> because of the comparative flexibility afforded by contracting arrangements. R&amp;D intensive start-ups may have fewer non-R&amp;D employees (compared with larger firms), and may also have a higher proportion of non-employee R&amp;D expenditure (such as expenditure on capital assets or consumables).</w:t>
            </w:r>
          </w:p>
          <w:p w:rsidR="006707DC" w:rsidRPr="00937080" w:rsidRDefault="00365104" w:rsidP="008D4C22">
            <w:pPr>
              <w:spacing w:before="120" w:after="120"/>
              <w:rPr>
                <w:i/>
                <w:sz w:val="24"/>
                <w:szCs w:val="28"/>
              </w:rPr>
            </w:pPr>
            <w:r>
              <w:rPr>
                <w:i/>
                <w:sz w:val="24"/>
                <w:szCs w:val="28"/>
              </w:rPr>
              <w:t>Tangible economic presence</w:t>
            </w:r>
            <w:r w:rsidR="00937080" w:rsidRPr="00937080">
              <w:rPr>
                <w:i/>
                <w:sz w:val="24"/>
                <w:szCs w:val="28"/>
              </w:rPr>
              <w:t xml:space="preserve"> test</w:t>
            </w:r>
          </w:p>
          <w:p w:rsidR="00365104" w:rsidRPr="008D4C22" w:rsidRDefault="00365104" w:rsidP="00365104">
            <w:pPr>
              <w:spacing w:before="120" w:after="120"/>
              <w:rPr>
                <w:sz w:val="24"/>
                <w:szCs w:val="28"/>
                <w:lang w:val="en-NZ"/>
              </w:rPr>
            </w:pPr>
            <w:r w:rsidRPr="008D4C22">
              <w:rPr>
                <w:sz w:val="24"/>
                <w:szCs w:val="28"/>
                <w:lang w:val="en-NZ"/>
              </w:rPr>
              <w:t>As a result of the stakeholder</w:t>
            </w:r>
            <w:r w:rsidR="0068167C">
              <w:rPr>
                <w:sz w:val="24"/>
                <w:szCs w:val="28"/>
                <w:lang w:val="en-NZ"/>
              </w:rPr>
              <w:t xml:space="preserve"> feedback on the two options above, </w:t>
            </w:r>
            <w:r w:rsidRPr="008D4C22">
              <w:rPr>
                <w:sz w:val="24"/>
                <w:szCs w:val="28"/>
                <w:lang w:val="en-NZ"/>
              </w:rPr>
              <w:t xml:space="preserve">officials explored a tangible economic presence (TEP) test. The TEP test developed </w:t>
            </w:r>
            <w:r w:rsidR="0068167C">
              <w:rPr>
                <w:sz w:val="24"/>
                <w:szCs w:val="28"/>
                <w:lang w:val="en-NZ"/>
              </w:rPr>
              <w:t xml:space="preserve">would have </w:t>
            </w:r>
            <w:r>
              <w:rPr>
                <w:sz w:val="24"/>
                <w:szCs w:val="28"/>
                <w:lang w:val="en-NZ"/>
              </w:rPr>
              <w:t xml:space="preserve">allowed </w:t>
            </w:r>
            <w:r w:rsidRPr="008D4C22">
              <w:rPr>
                <w:sz w:val="24"/>
                <w:szCs w:val="28"/>
                <w:lang w:val="en-NZ"/>
              </w:rPr>
              <w:t xml:space="preserve">firms </w:t>
            </w:r>
            <w:r w:rsidR="002C32E2">
              <w:rPr>
                <w:sz w:val="24"/>
                <w:szCs w:val="28"/>
                <w:lang w:val="en-NZ"/>
              </w:rPr>
              <w:t>that</w:t>
            </w:r>
            <w:r>
              <w:rPr>
                <w:sz w:val="24"/>
                <w:szCs w:val="28"/>
                <w:lang w:val="en-NZ"/>
              </w:rPr>
              <w:t xml:space="preserve"> did not satisfy a PAYE cap </w:t>
            </w:r>
            <w:r w:rsidR="002C32E2">
              <w:rPr>
                <w:sz w:val="24"/>
                <w:szCs w:val="28"/>
                <w:lang w:val="en-NZ"/>
              </w:rPr>
              <w:t xml:space="preserve">to </w:t>
            </w:r>
            <w:r w:rsidR="0068167C">
              <w:rPr>
                <w:sz w:val="24"/>
                <w:szCs w:val="28"/>
                <w:lang w:val="en-NZ"/>
              </w:rPr>
              <w:t xml:space="preserve">be verified for </w:t>
            </w:r>
            <w:r w:rsidR="002C32E2">
              <w:rPr>
                <w:sz w:val="24"/>
                <w:szCs w:val="28"/>
                <w:lang w:val="en-NZ"/>
              </w:rPr>
              <w:t>TEP</w:t>
            </w:r>
            <w:r w:rsidR="002C32E2">
              <w:rPr>
                <w:sz w:val="24"/>
                <w:szCs w:val="28"/>
              </w:rPr>
              <w:t xml:space="preserve"> from either an external certifier (such as a chartered accountant or lawyer), or directly from Inland Revenue through additional checks.</w:t>
            </w:r>
          </w:p>
          <w:p w:rsidR="008D4C22" w:rsidRDefault="008D4C22" w:rsidP="008D4C22">
            <w:pPr>
              <w:spacing w:before="120" w:after="120"/>
              <w:rPr>
                <w:sz w:val="24"/>
                <w:szCs w:val="28"/>
              </w:rPr>
            </w:pPr>
            <w:r>
              <w:rPr>
                <w:sz w:val="24"/>
                <w:szCs w:val="28"/>
              </w:rPr>
              <w:t>Stakeholders preferred the availability of alternatives to the PAYE cap, and thought that multiple ways of establishing tangible economic presence were preferable to a one-size-fits-all approach.</w:t>
            </w:r>
          </w:p>
          <w:p w:rsidR="002C32E2" w:rsidRPr="002C32E2" w:rsidRDefault="002C32E2" w:rsidP="008D4C22">
            <w:pPr>
              <w:spacing w:before="120" w:after="120"/>
              <w:rPr>
                <w:i/>
                <w:sz w:val="24"/>
                <w:szCs w:val="28"/>
              </w:rPr>
            </w:pPr>
            <w:r w:rsidRPr="002C32E2">
              <w:rPr>
                <w:i/>
                <w:sz w:val="24"/>
                <w:szCs w:val="28"/>
              </w:rPr>
              <w:t>Payroll tax</w:t>
            </w:r>
            <w:r w:rsidR="006D5EDE">
              <w:rPr>
                <w:i/>
                <w:sz w:val="24"/>
                <w:szCs w:val="28"/>
              </w:rPr>
              <w:t>es</w:t>
            </w:r>
            <w:r w:rsidRPr="002C32E2">
              <w:rPr>
                <w:i/>
                <w:sz w:val="24"/>
                <w:szCs w:val="28"/>
              </w:rPr>
              <w:t xml:space="preserve"> cap</w:t>
            </w:r>
          </w:p>
          <w:p w:rsidR="002C32E2" w:rsidRPr="008D4C22" w:rsidRDefault="002C32E2" w:rsidP="002C32E2">
            <w:pPr>
              <w:spacing w:before="120" w:after="120"/>
              <w:rPr>
                <w:sz w:val="24"/>
                <w:szCs w:val="28"/>
                <w:lang w:val="en-NZ"/>
              </w:rPr>
            </w:pPr>
            <w:r w:rsidRPr="008D4C22">
              <w:rPr>
                <w:sz w:val="24"/>
                <w:szCs w:val="28"/>
                <w:lang w:val="en-NZ"/>
              </w:rPr>
              <w:t>Discussions with United Kingdom (UK) officials found that the risks of fraud in relation to refundability are more pervasive than previously considered.</w:t>
            </w:r>
            <w:r w:rsidR="00644264" w:rsidRPr="0021085D">
              <w:rPr>
                <w:sz w:val="24"/>
                <w:szCs w:val="28"/>
                <w:vertAlign w:val="superscript"/>
                <w:lang w:val="en-NZ"/>
              </w:rPr>
              <w:footnoteReference w:id="6"/>
            </w:r>
            <w:r w:rsidRPr="008D4C22">
              <w:rPr>
                <w:sz w:val="24"/>
                <w:szCs w:val="28"/>
                <w:lang w:val="en-NZ"/>
              </w:rPr>
              <w:t xml:space="preserve"> UK officials suggested that relying on a chartered accountant or practising lawyer for certification of TEP may not be robust, and </w:t>
            </w:r>
            <w:r w:rsidR="00644264">
              <w:rPr>
                <w:sz w:val="24"/>
                <w:szCs w:val="28"/>
                <w:lang w:val="en-NZ"/>
              </w:rPr>
              <w:t xml:space="preserve">that </w:t>
            </w:r>
            <w:r w:rsidRPr="008D4C22">
              <w:rPr>
                <w:sz w:val="24"/>
                <w:szCs w:val="28"/>
                <w:lang w:val="en-NZ"/>
              </w:rPr>
              <w:t xml:space="preserve">additional Inland Revenue checks might lead to administration resources being focused on audit rather than the approval of R&amp;D activity. </w:t>
            </w:r>
          </w:p>
          <w:p w:rsidR="005B4F76" w:rsidRDefault="002C42DE" w:rsidP="005B4F76">
            <w:pPr>
              <w:spacing w:before="120" w:after="120"/>
              <w:rPr>
                <w:sz w:val="24"/>
                <w:szCs w:val="28"/>
                <w:lang w:val="en-NZ"/>
              </w:rPr>
            </w:pPr>
            <w:r>
              <w:rPr>
                <w:sz w:val="24"/>
                <w:szCs w:val="28"/>
                <w:lang w:val="en-NZ"/>
              </w:rPr>
              <w:t xml:space="preserve">As a result of this feedback, we have included an option that would </w:t>
            </w:r>
            <w:r w:rsidR="00034B81">
              <w:rPr>
                <w:sz w:val="24"/>
                <w:szCs w:val="28"/>
                <w:lang w:val="en-NZ"/>
              </w:rPr>
              <w:t xml:space="preserve">include a ‘payroll’ taxes cap based on PAYE </w:t>
            </w:r>
            <w:r>
              <w:rPr>
                <w:sz w:val="24"/>
                <w:szCs w:val="28"/>
                <w:lang w:val="en-NZ"/>
              </w:rPr>
              <w:t xml:space="preserve">and other </w:t>
            </w:r>
            <w:r w:rsidR="005B4F76">
              <w:rPr>
                <w:sz w:val="24"/>
                <w:szCs w:val="28"/>
                <w:lang w:val="en-NZ"/>
              </w:rPr>
              <w:t>taxes paid by firms (</w:t>
            </w:r>
            <w:r w:rsidR="005B4F76" w:rsidRPr="00D928B3">
              <w:rPr>
                <w:sz w:val="24"/>
                <w:szCs w:val="28"/>
                <w:lang w:val="en-NZ"/>
              </w:rPr>
              <w:t xml:space="preserve">including </w:t>
            </w:r>
            <w:r w:rsidR="00D41D8C">
              <w:rPr>
                <w:sz w:val="24"/>
                <w:szCs w:val="28"/>
                <w:lang w:val="en-NZ"/>
              </w:rPr>
              <w:t>fringe benefit tax (FBT), employer superannuation contribution tax</w:t>
            </w:r>
            <w:r w:rsidR="005B4F76" w:rsidRPr="00D928B3">
              <w:rPr>
                <w:sz w:val="24"/>
                <w:szCs w:val="28"/>
                <w:lang w:val="en-NZ"/>
              </w:rPr>
              <w:t xml:space="preserve"> </w:t>
            </w:r>
            <w:r w:rsidR="00D41D8C">
              <w:rPr>
                <w:sz w:val="24"/>
                <w:szCs w:val="28"/>
                <w:lang w:val="en-NZ"/>
              </w:rPr>
              <w:t>(ESCT)</w:t>
            </w:r>
            <w:r w:rsidR="00C50E8C">
              <w:rPr>
                <w:sz w:val="24"/>
                <w:szCs w:val="28"/>
                <w:lang w:val="en-NZ"/>
              </w:rPr>
              <w:t xml:space="preserve"> </w:t>
            </w:r>
            <w:r w:rsidR="005B4F76" w:rsidRPr="00D928B3">
              <w:rPr>
                <w:sz w:val="24"/>
                <w:szCs w:val="28"/>
                <w:lang w:val="en-NZ"/>
              </w:rPr>
              <w:t>and tax voluntarily withheld from contractor payments</w:t>
            </w:r>
            <w:r w:rsidR="00D41D8C">
              <w:rPr>
                <w:sz w:val="24"/>
                <w:szCs w:val="28"/>
                <w:lang w:val="en-NZ"/>
              </w:rPr>
              <w:t xml:space="preserve"> (WT)</w:t>
            </w:r>
            <w:r w:rsidR="005B4F76">
              <w:rPr>
                <w:sz w:val="24"/>
                <w:szCs w:val="28"/>
                <w:lang w:val="en-NZ"/>
              </w:rPr>
              <w:t xml:space="preserve">) </w:t>
            </w:r>
            <w:r w:rsidR="00034B81">
              <w:rPr>
                <w:sz w:val="24"/>
                <w:szCs w:val="28"/>
                <w:lang w:val="en-NZ"/>
              </w:rPr>
              <w:t>in order to lessen the impact on affected firms</w:t>
            </w:r>
            <w:r w:rsidR="005B4F76">
              <w:rPr>
                <w:sz w:val="24"/>
                <w:szCs w:val="28"/>
                <w:lang w:val="en-NZ"/>
              </w:rPr>
              <w:t xml:space="preserve">. </w:t>
            </w:r>
            <w:r w:rsidR="005B4F76" w:rsidRPr="00D928B3">
              <w:rPr>
                <w:sz w:val="24"/>
                <w:szCs w:val="28"/>
                <w:lang w:val="en-NZ"/>
              </w:rPr>
              <w:t xml:space="preserve">It is also proposed that any tax credits resulting from payments to </w:t>
            </w:r>
            <w:r w:rsidR="005B4F76">
              <w:rPr>
                <w:sz w:val="24"/>
                <w:szCs w:val="28"/>
                <w:lang w:val="en-NZ"/>
              </w:rPr>
              <w:t>A</w:t>
            </w:r>
            <w:r w:rsidR="005B4F76" w:rsidRPr="00D928B3">
              <w:rPr>
                <w:sz w:val="24"/>
                <w:szCs w:val="28"/>
                <w:lang w:val="en-NZ"/>
              </w:rPr>
              <w:t xml:space="preserve">pproved </w:t>
            </w:r>
            <w:r w:rsidR="005B4F76">
              <w:rPr>
                <w:sz w:val="24"/>
                <w:szCs w:val="28"/>
                <w:lang w:val="en-NZ"/>
              </w:rPr>
              <w:t>R</w:t>
            </w:r>
            <w:r w:rsidR="005B4F76" w:rsidRPr="00D928B3">
              <w:rPr>
                <w:sz w:val="24"/>
                <w:szCs w:val="28"/>
                <w:lang w:val="en-NZ"/>
              </w:rPr>
              <w:t xml:space="preserve">esearch </w:t>
            </w:r>
            <w:r w:rsidR="005B4F76">
              <w:rPr>
                <w:sz w:val="24"/>
                <w:szCs w:val="28"/>
                <w:lang w:val="en-NZ"/>
              </w:rPr>
              <w:t>P</w:t>
            </w:r>
            <w:r w:rsidR="005B4F76" w:rsidRPr="00D928B3">
              <w:rPr>
                <w:sz w:val="24"/>
                <w:szCs w:val="28"/>
                <w:lang w:val="en-NZ"/>
              </w:rPr>
              <w:t xml:space="preserve">roviders be fully refundable (so not subject to the </w:t>
            </w:r>
            <w:r w:rsidR="005B4F76">
              <w:rPr>
                <w:sz w:val="24"/>
                <w:szCs w:val="28"/>
                <w:lang w:val="en-NZ"/>
              </w:rPr>
              <w:t>‘payroll’</w:t>
            </w:r>
            <w:r w:rsidR="005B4F76" w:rsidRPr="00D928B3">
              <w:rPr>
                <w:sz w:val="24"/>
                <w:szCs w:val="28"/>
                <w:lang w:val="en-NZ"/>
              </w:rPr>
              <w:t xml:space="preserve"> </w:t>
            </w:r>
            <w:r w:rsidR="005B4F76">
              <w:rPr>
                <w:sz w:val="24"/>
                <w:szCs w:val="28"/>
                <w:lang w:val="en-NZ"/>
              </w:rPr>
              <w:t xml:space="preserve">taxes </w:t>
            </w:r>
            <w:r w:rsidR="005B4F76" w:rsidRPr="00D928B3">
              <w:rPr>
                <w:sz w:val="24"/>
                <w:szCs w:val="28"/>
                <w:lang w:val="en-NZ"/>
              </w:rPr>
              <w:t xml:space="preserve">cap). </w:t>
            </w:r>
          </w:p>
          <w:p w:rsidR="009E4087" w:rsidRDefault="009E4087" w:rsidP="005B4F76">
            <w:pPr>
              <w:spacing w:before="120" w:after="120"/>
              <w:rPr>
                <w:sz w:val="24"/>
                <w:szCs w:val="28"/>
                <w:lang w:val="en-NZ"/>
              </w:rPr>
            </w:pPr>
            <w:r>
              <w:rPr>
                <w:sz w:val="24"/>
                <w:szCs w:val="28"/>
                <w:lang w:val="en-NZ"/>
              </w:rPr>
              <w:t>Stakeholder engagement on including additional payroll taxes (such as FBT, ESCT and WT) in the cap indicated that this would be an improvement over a PAYE cap.</w:t>
            </w:r>
            <w:r w:rsidR="00F60A04">
              <w:rPr>
                <w:sz w:val="24"/>
                <w:szCs w:val="28"/>
                <w:lang w:val="en-NZ"/>
              </w:rPr>
              <w:t xml:space="preserve"> Although only a small proportion of contractors have opted into the voluntary withholding scheme, more may decide to opt into it if the payroll taxes cap were implemented.</w:t>
            </w:r>
          </w:p>
          <w:p w:rsidR="008D4C22" w:rsidRPr="008D4C22" w:rsidRDefault="005B4F76" w:rsidP="005B4F76">
            <w:pPr>
              <w:spacing w:before="120" w:after="120"/>
              <w:rPr>
                <w:sz w:val="24"/>
                <w:szCs w:val="28"/>
                <w:lang w:val="en-NZ"/>
              </w:rPr>
            </w:pPr>
            <w:r>
              <w:rPr>
                <w:sz w:val="24"/>
                <w:szCs w:val="28"/>
                <w:lang w:val="en-NZ"/>
              </w:rPr>
              <w:t>O</w:t>
            </w:r>
            <w:r w:rsidRPr="00D928B3">
              <w:rPr>
                <w:sz w:val="24"/>
                <w:szCs w:val="28"/>
                <w:lang w:val="en-NZ"/>
              </w:rPr>
              <w:t xml:space="preserve">ther mechanisms for providing support to R&amp;D intensive start-ups will </w:t>
            </w:r>
            <w:r>
              <w:rPr>
                <w:sz w:val="24"/>
                <w:szCs w:val="28"/>
                <w:lang w:val="en-NZ"/>
              </w:rPr>
              <w:t xml:space="preserve">also be </w:t>
            </w:r>
            <w:r w:rsidRPr="00D928B3">
              <w:rPr>
                <w:sz w:val="24"/>
                <w:szCs w:val="28"/>
                <w:lang w:val="en-NZ"/>
              </w:rPr>
              <w:t xml:space="preserve">considered as part of further policy work, including </w:t>
            </w:r>
            <w:r>
              <w:rPr>
                <w:sz w:val="24"/>
                <w:szCs w:val="28"/>
                <w:lang w:val="en-NZ"/>
              </w:rPr>
              <w:t xml:space="preserve">reviewing </w:t>
            </w:r>
            <w:r w:rsidRPr="00D928B3">
              <w:rPr>
                <w:sz w:val="24"/>
                <w:szCs w:val="28"/>
                <w:lang w:val="en-NZ"/>
              </w:rPr>
              <w:t>the R&amp;D tax loss cash-out and the Callaghan Innovation Project Grants.</w:t>
            </w:r>
          </w:p>
        </w:tc>
      </w:tr>
    </w:tbl>
    <w:p w:rsidR="00B374D4" w:rsidRDefault="00B374D4" w:rsidP="00B374D4">
      <w:pPr>
        <w:spacing w:after="0" w:line="240" w:lineRule="auto"/>
        <w:rPr>
          <w:sz w:val="28"/>
          <w:szCs w:val="28"/>
        </w:rPr>
      </w:pPr>
    </w:p>
    <w:p w:rsidR="00B374D4" w:rsidRDefault="00B374D4" w:rsidP="00734420">
      <w:pPr>
        <w:keepNext/>
        <w:spacing w:after="0" w:line="240" w:lineRule="auto"/>
        <w:rPr>
          <w:sz w:val="28"/>
          <w:szCs w:val="28"/>
        </w:rPr>
      </w:pPr>
      <w:r>
        <w:rPr>
          <w:b/>
          <w:sz w:val="28"/>
          <w:szCs w:val="28"/>
        </w:rPr>
        <w:lastRenderedPageBreak/>
        <w:t>Section 3: Options identification</w:t>
      </w:r>
    </w:p>
    <w:p w:rsidR="00B374D4" w:rsidRDefault="00B374D4" w:rsidP="00734420">
      <w:pPr>
        <w:keepNext/>
        <w:spacing w:after="0" w:line="240" w:lineRule="auto"/>
        <w:rPr>
          <w:sz w:val="28"/>
          <w:szCs w:val="28"/>
        </w:rPr>
      </w:pPr>
    </w:p>
    <w:tbl>
      <w:tblPr>
        <w:tblStyle w:val="TableGrid"/>
        <w:tblW w:w="0" w:type="auto"/>
        <w:tblLook w:val="04A0" w:firstRow="1" w:lastRow="0" w:firstColumn="1" w:lastColumn="0" w:noHBand="0" w:noVBand="1"/>
      </w:tblPr>
      <w:tblGrid>
        <w:gridCol w:w="9287"/>
      </w:tblGrid>
      <w:tr w:rsidR="00F964B3" w:rsidRPr="00895C9F" w:rsidTr="00173F3A">
        <w:tc>
          <w:tcPr>
            <w:tcW w:w="9287" w:type="dxa"/>
            <w:shd w:val="clear" w:color="auto" w:fill="8DB3E2" w:themeFill="text2" w:themeFillTint="66"/>
          </w:tcPr>
          <w:p w:rsidR="00F964B3" w:rsidRPr="00895C9F" w:rsidRDefault="00F964B3" w:rsidP="00F964B3">
            <w:pPr>
              <w:keepNext/>
              <w:spacing w:after="0" w:line="240" w:lineRule="auto"/>
              <w:rPr>
                <w:b/>
                <w:sz w:val="24"/>
                <w:szCs w:val="24"/>
              </w:rPr>
            </w:pPr>
            <w:r>
              <w:rPr>
                <w:b/>
                <w:sz w:val="24"/>
                <w:szCs w:val="24"/>
              </w:rPr>
              <w:t>3.1 What criteria, in addition to monetary costs and benefits, have been used to assess the likely impacts of the options under consideration?</w:t>
            </w:r>
          </w:p>
        </w:tc>
      </w:tr>
      <w:tr w:rsidR="00F964B3" w:rsidRPr="000F23BB" w:rsidTr="00173F3A">
        <w:tc>
          <w:tcPr>
            <w:tcW w:w="9287" w:type="dxa"/>
          </w:tcPr>
          <w:p w:rsidR="00F964B3" w:rsidRDefault="00F964B3" w:rsidP="00173F3A">
            <w:pPr>
              <w:spacing w:before="120" w:after="120"/>
              <w:rPr>
                <w:sz w:val="24"/>
                <w:szCs w:val="28"/>
              </w:rPr>
            </w:pPr>
            <w:r w:rsidRPr="00420F67">
              <w:rPr>
                <w:sz w:val="24"/>
                <w:szCs w:val="28"/>
              </w:rPr>
              <w:t xml:space="preserve">The framework for assessing the key policy elements and trade-offs of the </w:t>
            </w:r>
            <w:r>
              <w:rPr>
                <w:sz w:val="24"/>
                <w:szCs w:val="28"/>
              </w:rPr>
              <w:t xml:space="preserve">options under consideration </w:t>
            </w:r>
            <w:r w:rsidRPr="00420F67">
              <w:rPr>
                <w:sz w:val="24"/>
                <w:szCs w:val="28"/>
              </w:rPr>
              <w:t>is captured by the following criteria:</w:t>
            </w:r>
          </w:p>
          <w:p w:rsidR="00F964B3" w:rsidRPr="007A3C79" w:rsidRDefault="00F670A8" w:rsidP="00173F3A">
            <w:pPr>
              <w:spacing w:before="120" w:after="120"/>
              <w:rPr>
                <w:i/>
                <w:sz w:val="24"/>
                <w:szCs w:val="28"/>
              </w:rPr>
            </w:pPr>
            <w:r w:rsidRPr="007A3C79">
              <w:rPr>
                <w:i/>
                <w:sz w:val="24"/>
                <w:szCs w:val="28"/>
              </w:rPr>
              <w:t>Criteria for which entities will be eligible for a refund</w:t>
            </w:r>
          </w:p>
          <w:p w:rsidR="00F964B3" w:rsidRPr="003520D0" w:rsidRDefault="00F964B3" w:rsidP="00173F3A">
            <w:pPr>
              <w:pStyle w:val="ListParagraph"/>
              <w:numPr>
                <w:ilvl w:val="0"/>
                <w:numId w:val="28"/>
              </w:numPr>
              <w:spacing w:before="120" w:after="120"/>
              <w:rPr>
                <w:sz w:val="24"/>
                <w:szCs w:val="28"/>
              </w:rPr>
            </w:pPr>
            <w:r w:rsidRPr="00CB171F">
              <w:rPr>
                <w:sz w:val="24"/>
                <w:szCs w:val="28"/>
              </w:rPr>
              <w:t>I</w:t>
            </w:r>
            <w:r w:rsidRPr="000A6A5B">
              <w:rPr>
                <w:sz w:val="24"/>
                <w:szCs w:val="28"/>
              </w:rPr>
              <w:t>ncentivise business expenditure on R&amp;D</w:t>
            </w:r>
            <w:r>
              <w:rPr>
                <w:sz w:val="24"/>
                <w:szCs w:val="28"/>
              </w:rPr>
              <w:t>.</w:t>
            </w:r>
          </w:p>
          <w:p w:rsidR="00F964B3" w:rsidRDefault="00F964B3" w:rsidP="00173F3A">
            <w:pPr>
              <w:pStyle w:val="ListParagraph"/>
              <w:numPr>
                <w:ilvl w:val="0"/>
                <w:numId w:val="28"/>
              </w:numPr>
              <w:spacing w:before="120" w:after="120"/>
              <w:rPr>
                <w:sz w:val="24"/>
                <w:szCs w:val="28"/>
              </w:rPr>
            </w:pPr>
            <w:r>
              <w:rPr>
                <w:sz w:val="24"/>
                <w:szCs w:val="28"/>
              </w:rPr>
              <w:t>T</w:t>
            </w:r>
            <w:r w:rsidRPr="000A35A9">
              <w:rPr>
                <w:sz w:val="24"/>
                <w:szCs w:val="28"/>
              </w:rPr>
              <w:t xml:space="preserve">ax-exempt organisations </w:t>
            </w:r>
            <w:r>
              <w:rPr>
                <w:sz w:val="24"/>
                <w:szCs w:val="28"/>
              </w:rPr>
              <w:t xml:space="preserve">that </w:t>
            </w:r>
            <w:r w:rsidRPr="000A35A9">
              <w:rPr>
                <w:sz w:val="24"/>
                <w:szCs w:val="28"/>
              </w:rPr>
              <w:t>sit outside the tax system (do not pay income tax) should not benefit further from incentives provided from within the tax system</w:t>
            </w:r>
            <w:r>
              <w:rPr>
                <w:sz w:val="24"/>
                <w:szCs w:val="28"/>
              </w:rPr>
              <w:t>.</w:t>
            </w:r>
          </w:p>
          <w:p w:rsidR="00F964B3" w:rsidRDefault="00F964B3" w:rsidP="00173F3A">
            <w:pPr>
              <w:pStyle w:val="ListParagraph"/>
              <w:numPr>
                <w:ilvl w:val="0"/>
                <w:numId w:val="28"/>
              </w:numPr>
              <w:spacing w:before="120" w:after="120"/>
              <w:rPr>
                <w:sz w:val="24"/>
                <w:szCs w:val="28"/>
              </w:rPr>
            </w:pPr>
            <w:r>
              <w:rPr>
                <w:sz w:val="24"/>
                <w:szCs w:val="28"/>
              </w:rPr>
              <w:t>Provide clarity about which organisations are eligible for the R&amp;D Tax Incentive.</w:t>
            </w:r>
          </w:p>
          <w:p w:rsidR="00F670A8" w:rsidRPr="007A3C79" w:rsidRDefault="007A3C79" w:rsidP="00F670A8">
            <w:pPr>
              <w:spacing w:before="120" w:after="120"/>
              <w:rPr>
                <w:i/>
                <w:sz w:val="24"/>
                <w:szCs w:val="28"/>
              </w:rPr>
            </w:pPr>
            <w:r w:rsidRPr="007A3C79">
              <w:rPr>
                <w:i/>
                <w:sz w:val="24"/>
                <w:szCs w:val="28"/>
              </w:rPr>
              <w:t xml:space="preserve">Criteria </w:t>
            </w:r>
            <w:r w:rsidR="00F670A8" w:rsidRPr="007A3C79">
              <w:rPr>
                <w:i/>
                <w:sz w:val="24"/>
                <w:szCs w:val="28"/>
              </w:rPr>
              <w:t>for constraining the amount that is refundable</w:t>
            </w:r>
          </w:p>
          <w:p w:rsidR="006568D8" w:rsidRPr="00420F67" w:rsidRDefault="00E4247C" w:rsidP="006568D8">
            <w:pPr>
              <w:pStyle w:val="ListParagraph"/>
              <w:numPr>
                <w:ilvl w:val="0"/>
                <w:numId w:val="28"/>
              </w:numPr>
              <w:spacing w:before="120" w:after="120"/>
              <w:rPr>
                <w:sz w:val="24"/>
                <w:szCs w:val="28"/>
              </w:rPr>
            </w:pPr>
            <w:r>
              <w:rPr>
                <w:sz w:val="24"/>
                <w:szCs w:val="28"/>
              </w:rPr>
              <w:t xml:space="preserve">Increased </w:t>
            </w:r>
            <w:r w:rsidR="006568D8" w:rsidRPr="00420F67">
              <w:rPr>
                <w:sz w:val="24"/>
                <w:szCs w:val="28"/>
              </w:rPr>
              <w:t>business R&amp;D expenditure</w:t>
            </w:r>
          </w:p>
          <w:p w:rsidR="006568D8" w:rsidRPr="00C17BAB" w:rsidRDefault="006568D8" w:rsidP="006568D8">
            <w:pPr>
              <w:pStyle w:val="ListParagraph"/>
              <w:numPr>
                <w:ilvl w:val="0"/>
                <w:numId w:val="28"/>
              </w:numPr>
              <w:spacing w:before="120" w:after="120"/>
              <w:rPr>
                <w:sz w:val="24"/>
                <w:szCs w:val="28"/>
              </w:rPr>
            </w:pPr>
            <w:r w:rsidRPr="00C17BAB">
              <w:rPr>
                <w:sz w:val="24"/>
                <w:szCs w:val="28"/>
              </w:rPr>
              <w:t>Mitigation of fraud risk/maintaining the scheme’s integrity</w:t>
            </w:r>
          </w:p>
          <w:p w:rsidR="006568D8" w:rsidRPr="00420F67" w:rsidRDefault="00E4247C" w:rsidP="006568D8">
            <w:pPr>
              <w:pStyle w:val="ListParagraph"/>
              <w:numPr>
                <w:ilvl w:val="0"/>
                <w:numId w:val="28"/>
              </w:numPr>
              <w:spacing w:before="120" w:after="120"/>
              <w:rPr>
                <w:sz w:val="24"/>
                <w:szCs w:val="28"/>
              </w:rPr>
            </w:pPr>
            <w:r>
              <w:rPr>
                <w:sz w:val="24"/>
                <w:szCs w:val="28"/>
              </w:rPr>
              <w:t>Minimise c</w:t>
            </w:r>
            <w:r w:rsidR="006568D8" w:rsidRPr="00420F67">
              <w:rPr>
                <w:sz w:val="24"/>
                <w:szCs w:val="28"/>
              </w:rPr>
              <w:t>ompliance costs for firms</w:t>
            </w:r>
          </w:p>
          <w:p w:rsidR="006568D8" w:rsidRPr="00420F67" w:rsidRDefault="00E4247C" w:rsidP="006568D8">
            <w:pPr>
              <w:pStyle w:val="ListParagraph"/>
              <w:numPr>
                <w:ilvl w:val="0"/>
                <w:numId w:val="28"/>
              </w:numPr>
              <w:spacing w:before="120" w:after="120"/>
              <w:rPr>
                <w:sz w:val="24"/>
                <w:szCs w:val="28"/>
              </w:rPr>
            </w:pPr>
            <w:r>
              <w:rPr>
                <w:sz w:val="24"/>
                <w:szCs w:val="28"/>
              </w:rPr>
              <w:t xml:space="preserve">Maximise </w:t>
            </w:r>
            <w:r w:rsidR="006568D8" w:rsidRPr="00420F67">
              <w:rPr>
                <w:sz w:val="24"/>
                <w:szCs w:val="28"/>
              </w:rPr>
              <w:t xml:space="preserve">business </w:t>
            </w:r>
            <w:r>
              <w:rPr>
                <w:sz w:val="24"/>
                <w:szCs w:val="28"/>
              </w:rPr>
              <w:t xml:space="preserve">certainty </w:t>
            </w:r>
            <w:r w:rsidR="006568D8" w:rsidRPr="00420F67">
              <w:rPr>
                <w:sz w:val="24"/>
                <w:szCs w:val="28"/>
              </w:rPr>
              <w:t>over time</w:t>
            </w:r>
          </w:p>
          <w:p w:rsidR="006568D8" w:rsidRPr="00420F67" w:rsidRDefault="00E4247C" w:rsidP="006568D8">
            <w:pPr>
              <w:pStyle w:val="ListParagraph"/>
              <w:numPr>
                <w:ilvl w:val="0"/>
                <w:numId w:val="28"/>
              </w:numPr>
              <w:spacing w:before="120" w:after="120"/>
              <w:rPr>
                <w:sz w:val="24"/>
                <w:szCs w:val="28"/>
              </w:rPr>
            </w:pPr>
            <w:r>
              <w:rPr>
                <w:sz w:val="24"/>
                <w:szCs w:val="28"/>
              </w:rPr>
              <w:t>Administratively feasible</w:t>
            </w:r>
          </w:p>
          <w:p w:rsidR="006568D8" w:rsidRPr="006568D8" w:rsidRDefault="00E4247C" w:rsidP="00E4247C">
            <w:pPr>
              <w:pStyle w:val="ListParagraph"/>
              <w:numPr>
                <w:ilvl w:val="0"/>
                <w:numId w:val="28"/>
              </w:numPr>
              <w:spacing w:before="120" w:after="120"/>
              <w:rPr>
                <w:sz w:val="24"/>
                <w:szCs w:val="28"/>
              </w:rPr>
            </w:pPr>
            <w:r>
              <w:rPr>
                <w:sz w:val="24"/>
                <w:szCs w:val="28"/>
              </w:rPr>
              <w:t>Minimise f</w:t>
            </w:r>
            <w:r w:rsidR="006568D8" w:rsidRPr="00420F67">
              <w:rPr>
                <w:sz w:val="24"/>
                <w:szCs w:val="28"/>
              </w:rPr>
              <w:t>iscal costs/risk</w:t>
            </w:r>
          </w:p>
        </w:tc>
      </w:tr>
    </w:tbl>
    <w:p w:rsidR="00F964B3" w:rsidRDefault="00F964B3" w:rsidP="00734420">
      <w:pPr>
        <w:keepNext/>
        <w:spacing w:after="0" w:line="240" w:lineRule="auto"/>
        <w:rPr>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F964B3">
            <w:pPr>
              <w:keepNext/>
              <w:spacing w:after="0" w:line="240" w:lineRule="auto"/>
              <w:rPr>
                <w:b/>
                <w:sz w:val="24"/>
                <w:szCs w:val="24"/>
              </w:rPr>
            </w:pPr>
            <w:r>
              <w:rPr>
                <w:b/>
                <w:sz w:val="24"/>
                <w:szCs w:val="24"/>
              </w:rPr>
              <w:t>3.</w:t>
            </w:r>
            <w:r w:rsidR="00F964B3">
              <w:rPr>
                <w:b/>
                <w:sz w:val="24"/>
                <w:szCs w:val="24"/>
              </w:rPr>
              <w:t>2</w:t>
            </w:r>
            <w:r>
              <w:rPr>
                <w:b/>
                <w:sz w:val="24"/>
                <w:szCs w:val="24"/>
              </w:rPr>
              <w:t xml:space="preserve"> What options are available to address the problem?</w:t>
            </w:r>
          </w:p>
        </w:tc>
      </w:tr>
      <w:tr w:rsidR="00B374D4" w:rsidTr="003949D5">
        <w:tc>
          <w:tcPr>
            <w:tcW w:w="9287" w:type="dxa"/>
          </w:tcPr>
          <w:p w:rsidR="007A4A88" w:rsidRDefault="007A4A88" w:rsidP="007A4A88">
            <w:pPr>
              <w:spacing w:before="120" w:after="120"/>
              <w:rPr>
                <w:sz w:val="24"/>
                <w:szCs w:val="28"/>
              </w:rPr>
            </w:pPr>
            <w:r w:rsidRPr="001F6E10">
              <w:rPr>
                <w:sz w:val="24"/>
                <w:szCs w:val="28"/>
              </w:rPr>
              <w:t xml:space="preserve">There are a range of options for how refundability could be broadened, including the types of entities that are eligible and the constraints that are placed on the scheme to manage risks that refundability creates, particularly to the integrity of the </w:t>
            </w:r>
            <w:r>
              <w:rPr>
                <w:sz w:val="24"/>
                <w:szCs w:val="28"/>
              </w:rPr>
              <w:t>T</w:t>
            </w:r>
            <w:r w:rsidRPr="001F6E10">
              <w:rPr>
                <w:sz w:val="24"/>
                <w:szCs w:val="28"/>
              </w:rPr>
              <w:t xml:space="preserve">ax </w:t>
            </w:r>
            <w:r>
              <w:rPr>
                <w:sz w:val="24"/>
                <w:szCs w:val="28"/>
              </w:rPr>
              <w:t>I</w:t>
            </w:r>
            <w:r w:rsidRPr="001F6E10">
              <w:rPr>
                <w:sz w:val="24"/>
                <w:szCs w:val="28"/>
              </w:rPr>
              <w:t xml:space="preserve">ncentive. </w:t>
            </w:r>
          </w:p>
          <w:p w:rsidR="007A4A88" w:rsidRDefault="00C042D8" w:rsidP="00224449">
            <w:pPr>
              <w:spacing w:before="360" w:after="120"/>
              <w:rPr>
                <w:b/>
                <w:i/>
                <w:sz w:val="24"/>
                <w:szCs w:val="28"/>
              </w:rPr>
            </w:pPr>
            <w:r>
              <w:rPr>
                <w:b/>
                <w:i/>
                <w:sz w:val="24"/>
                <w:szCs w:val="28"/>
              </w:rPr>
              <w:t>Options for which e</w:t>
            </w:r>
            <w:r w:rsidR="007A4A88" w:rsidRPr="0055142A">
              <w:rPr>
                <w:b/>
                <w:i/>
                <w:sz w:val="24"/>
                <w:szCs w:val="28"/>
              </w:rPr>
              <w:t>ntit</w:t>
            </w:r>
            <w:r>
              <w:rPr>
                <w:b/>
                <w:i/>
                <w:sz w:val="24"/>
                <w:szCs w:val="28"/>
              </w:rPr>
              <w:t xml:space="preserve">ies will be </w:t>
            </w:r>
            <w:r w:rsidR="007A4A88" w:rsidRPr="0055142A">
              <w:rPr>
                <w:b/>
                <w:i/>
                <w:sz w:val="24"/>
                <w:szCs w:val="28"/>
              </w:rPr>
              <w:t>eligibl</w:t>
            </w:r>
            <w:r>
              <w:rPr>
                <w:b/>
                <w:i/>
                <w:sz w:val="24"/>
                <w:szCs w:val="28"/>
              </w:rPr>
              <w:t>e for a refund</w:t>
            </w:r>
          </w:p>
          <w:p w:rsidR="00CF592C" w:rsidRDefault="00CF592C" w:rsidP="00CF592C">
            <w:pPr>
              <w:spacing w:before="120" w:after="120"/>
              <w:rPr>
                <w:sz w:val="24"/>
                <w:szCs w:val="28"/>
              </w:rPr>
            </w:pPr>
            <w:r>
              <w:rPr>
                <w:sz w:val="24"/>
                <w:szCs w:val="28"/>
              </w:rPr>
              <w:t>The main options available are:</w:t>
            </w:r>
          </w:p>
          <w:p w:rsidR="00CF592C" w:rsidRDefault="00CF592C" w:rsidP="00CF592C">
            <w:pPr>
              <w:pStyle w:val="ListParagraph"/>
              <w:numPr>
                <w:ilvl w:val="0"/>
                <w:numId w:val="27"/>
              </w:numPr>
              <w:spacing w:before="120" w:after="120"/>
              <w:rPr>
                <w:sz w:val="24"/>
                <w:szCs w:val="28"/>
              </w:rPr>
            </w:pPr>
            <w:r>
              <w:rPr>
                <w:sz w:val="24"/>
                <w:szCs w:val="28"/>
              </w:rPr>
              <w:t>The status quo</w:t>
            </w:r>
          </w:p>
          <w:p w:rsidR="00CF592C" w:rsidRDefault="00B84D61" w:rsidP="00CF592C">
            <w:pPr>
              <w:pStyle w:val="ListParagraph"/>
              <w:numPr>
                <w:ilvl w:val="0"/>
                <w:numId w:val="27"/>
              </w:numPr>
              <w:spacing w:before="120" w:after="120"/>
              <w:rPr>
                <w:sz w:val="24"/>
                <w:szCs w:val="28"/>
              </w:rPr>
            </w:pPr>
            <w:r>
              <w:rPr>
                <w:sz w:val="24"/>
                <w:szCs w:val="28"/>
              </w:rPr>
              <w:t>G</w:t>
            </w:r>
            <w:r w:rsidR="00CF592C">
              <w:rPr>
                <w:sz w:val="24"/>
                <w:szCs w:val="28"/>
              </w:rPr>
              <w:t>eneral business entities</w:t>
            </w:r>
          </w:p>
          <w:p w:rsidR="00CF592C" w:rsidRDefault="00B84D61" w:rsidP="00CF592C">
            <w:pPr>
              <w:pStyle w:val="ListParagraph"/>
              <w:numPr>
                <w:ilvl w:val="0"/>
                <w:numId w:val="27"/>
              </w:numPr>
              <w:spacing w:before="120" w:after="120"/>
              <w:rPr>
                <w:sz w:val="24"/>
                <w:szCs w:val="28"/>
              </w:rPr>
            </w:pPr>
            <w:r>
              <w:rPr>
                <w:sz w:val="24"/>
                <w:szCs w:val="28"/>
              </w:rPr>
              <w:t>Levy bodies</w:t>
            </w:r>
          </w:p>
          <w:p w:rsidR="00CF592C" w:rsidRDefault="00B84D61" w:rsidP="00CF592C">
            <w:pPr>
              <w:pStyle w:val="ListParagraph"/>
              <w:numPr>
                <w:ilvl w:val="0"/>
                <w:numId w:val="27"/>
              </w:numPr>
              <w:spacing w:before="120" w:after="120"/>
              <w:rPr>
                <w:sz w:val="24"/>
                <w:szCs w:val="28"/>
              </w:rPr>
            </w:pPr>
            <w:r>
              <w:rPr>
                <w:sz w:val="24"/>
                <w:szCs w:val="28"/>
              </w:rPr>
              <w:t>Charities</w:t>
            </w:r>
          </w:p>
          <w:p w:rsidR="00B84D61" w:rsidRDefault="00B84D61" w:rsidP="00CF592C">
            <w:pPr>
              <w:pStyle w:val="ListParagraph"/>
              <w:numPr>
                <w:ilvl w:val="0"/>
                <w:numId w:val="27"/>
              </w:numPr>
              <w:spacing w:before="120" w:after="120"/>
              <w:rPr>
                <w:sz w:val="24"/>
                <w:szCs w:val="28"/>
              </w:rPr>
            </w:pPr>
            <w:r>
              <w:rPr>
                <w:sz w:val="24"/>
                <w:szCs w:val="28"/>
              </w:rPr>
              <w:t>Local authorities</w:t>
            </w:r>
          </w:p>
          <w:p w:rsidR="00B84D61" w:rsidRDefault="00B84D61" w:rsidP="00CF592C">
            <w:pPr>
              <w:pStyle w:val="ListParagraph"/>
              <w:numPr>
                <w:ilvl w:val="0"/>
                <w:numId w:val="27"/>
              </w:numPr>
              <w:spacing w:before="120" w:after="120"/>
              <w:rPr>
                <w:sz w:val="24"/>
                <w:szCs w:val="28"/>
              </w:rPr>
            </w:pPr>
            <w:r>
              <w:rPr>
                <w:sz w:val="24"/>
                <w:szCs w:val="28"/>
              </w:rPr>
              <w:t>Other tax-exempt organisations</w:t>
            </w:r>
          </w:p>
          <w:p w:rsidR="0055142A" w:rsidRPr="0055142A" w:rsidRDefault="0055142A" w:rsidP="00C86BC6">
            <w:pPr>
              <w:spacing w:before="120" w:after="120"/>
              <w:rPr>
                <w:i/>
                <w:sz w:val="24"/>
                <w:szCs w:val="28"/>
              </w:rPr>
            </w:pPr>
            <w:r w:rsidRPr="0055142A">
              <w:rPr>
                <w:i/>
                <w:sz w:val="24"/>
                <w:szCs w:val="28"/>
              </w:rPr>
              <w:t>Status quo</w:t>
            </w:r>
          </w:p>
          <w:p w:rsidR="00C86BC6" w:rsidRDefault="008015FE" w:rsidP="00C86BC6">
            <w:pPr>
              <w:spacing w:before="120" w:after="120"/>
              <w:rPr>
                <w:sz w:val="24"/>
                <w:szCs w:val="28"/>
              </w:rPr>
            </w:pPr>
            <w:r>
              <w:rPr>
                <w:sz w:val="24"/>
                <w:szCs w:val="28"/>
              </w:rPr>
              <w:t>Under t</w:t>
            </w:r>
            <w:r w:rsidR="00C86BC6">
              <w:rPr>
                <w:sz w:val="24"/>
                <w:szCs w:val="28"/>
              </w:rPr>
              <w:t>he status quo</w:t>
            </w:r>
            <w:r>
              <w:rPr>
                <w:sz w:val="24"/>
                <w:szCs w:val="28"/>
              </w:rPr>
              <w:t>,</w:t>
            </w:r>
            <w:r w:rsidR="00C86BC6">
              <w:rPr>
                <w:sz w:val="24"/>
                <w:szCs w:val="28"/>
              </w:rPr>
              <w:t xml:space="preserve"> limited refundability rules restrict eligibility for refunds to unlisted companies that meet a 20% R&amp;D wage intensity test and do not derive non-dividend exempt income. These criteria mean that many businesses will not be eligible for refundable tax credits, including partnerships, trusts, listed companies, and companies who receive some exempt income or do not meet the wage intensity test. Additionally, certain atypical organisations, such as levy bodies, some Māori entities, charities, and local authorities, will be excluded.</w:t>
            </w:r>
          </w:p>
          <w:p w:rsidR="0055142A" w:rsidRPr="0055142A" w:rsidRDefault="002E793E" w:rsidP="0055142A">
            <w:pPr>
              <w:spacing w:before="120" w:after="120"/>
              <w:rPr>
                <w:i/>
                <w:sz w:val="24"/>
                <w:szCs w:val="28"/>
                <w:lang w:val="en-NZ"/>
              </w:rPr>
            </w:pPr>
            <w:r>
              <w:rPr>
                <w:i/>
                <w:sz w:val="24"/>
                <w:szCs w:val="28"/>
                <w:lang w:val="en-NZ"/>
              </w:rPr>
              <w:t>General business entities</w:t>
            </w:r>
          </w:p>
          <w:p w:rsidR="00465F44" w:rsidRPr="005B629F" w:rsidRDefault="002E793E" w:rsidP="00465F44">
            <w:pPr>
              <w:spacing w:before="120" w:after="120"/>
              <w:rPr>
                <w:sz w:val="24"/>
                <w:szCs w:val="28"/>
                <w:lang w:val="en-NZ"/>
              </w:rPr>
            </w:pPr>
            <w:r>
              <w:rPr>
                <w:sz w:val="24"/>
                <w:szCs w:val="28"/>
                <w:lang w:val="en-NZ"/>
              </w:rPr>
              <w:t>This change would make listed companies, partnerships and trusts eligible for refundability, and there would be no wage intensity requirement.</w:t>
            </w:r>
            <w:r w:rsidR="00465F44">
              <w:rPr>
                <w:sz w:val="24"/>
                <w:szCs w:val="28"/>
                <w:lang w:val="en-NZ"/>
              </w:rPr>
              <w:t xml:space="preserve"> This change will</w:t>
            </w:r>
            <w:r w:rsidR="00465F44" w:rsidRPr="005B629F">
              <w:rPr>
                <w:sz w:val="24"/>
                <w:szCs w:val="28"/>
                <w:lang w:val="en-NZ"/>
              </w:rPr>
              <w:t xml:space="preserve"> allow </w:t>
            </w:r>
            <w:r w:rsidR="00465F44">
              <w:rPr>
                <w:sz w:val="24"/>
                <w:szCs w:val="28"/>
                <w:lang w:val="en-NZ"/>
              </w:rPr>
              <w:t xml:space="preserve">most </w:t>
            </w:r>
            <w:r w:rsidR="00465F44" w:rsidRPr="005B629F">
              <w:rPr>
                <w:sz w:val="24"/>
                <w:szCs w:val="28"/>
                <w:lang w:val="en-NZ"/>
              </w:rPr>
              <w:t xml:space="preserve">Māori </w:t>
            </w:r>
            <w:r w:rsidR="00465F44">
              <w:rPr>
                <w:sz w:val="24"/>
                <w:szCs w:val="28"/>
                <w:lang w:val="en-NZ"/>
              </w:rPr>
              <w:t xml:space="preserve">organisations </w:t>
            </w:r>
            <w:r w:rsidR="00465F44" w:rsidRPr="005B629F">
              <w:rPr>
                <w:sz w:val="24"/>
                <w:szCs w:val="28"/>
                <w:lang w:val="en-NZ"/>
              </w:rPr>
              <w:t xml:space="preserve">to </w:t>
            </w:r>
            <w:r w:rsidR="00465F44">
              <w:rPr>
                <w:sz w:val="24"/>
                <w:szCs w:val="28"/>
                <w:lang w:val="en-NZ"/>
              </w:rPr>
              <w:t>be eligible</w:t>
            </w:r>
            <w:r w:rsidR="00465F44" w:rsidRPr="005B629F">
              <w:rPr>
                <w:sz w:val="24"/>
                <w:szCs w:val="28"/>
                <w:lang w:val="en-NZ"/>
              </w:rPr>
              <w:t>.</w:t>
            </w:r>
          </w:p>
          <w:p w:rsidR="00785235" w:rsidRPr="00E30017" w:rsidRDefault="00785235" w:rsidP="00785235">
            <w:pPr>
              <w:spacing w:before="120" w:after="120"/>
              <w:rPr>
                <w:i/>
                <w:sz w:val="24"/>
                <w:szCs w:val="28"/>
              </w:rPr>
            </w:pPr>
            <w:r w:rsidRPr="00E30017">
              <w:rPr>
                <w:i/>
                <w:sz w:val="24"/>
                <w:szCs w:val="28"/>
              </w:rPr>
              <w:lastRenderedPageBreak/>
              <w:t>Levy bodies</w:t>
            </w:r>
          </w:p>
          <w:p w:rsidR="00785235" w:rsidRPr="00E30017" w:rsidRDefault="00EC7109" w:rsidP="00785235">
            <w:pPr>
              <w:spacing w:before="120" w:after="120"/>
              <w:rPr>
                <w:sz w:val="24"/>
                <w:szCs w:val="28"/>
              </w:rPr>
            </w:pPr>
            <w:r>
              <w:rPr>
                <w:sz w:val="24"/>
                <w:szCs w:val="28"/>
              </w:rPr>
              <w:t>Levy bodies would be elig</w:t>
            </w:r>
            <w:r w:rsidR="007A3C79">
              <w:rPr>
                <w:sz w:val="24"/>
                <w:szCs w:val="28"/>
              </w:rPr>
              <w:t>ible for refundability under this option</w:t>
            </w:r>
            <w:r>
              <w:rPr>
                <w:sz w:val="24"/>
                <w:szCs w:val="28"/>
              </w:rPr>
              <w:t>.</w:t>
            </w:r>
          </w:p>
          <w:p w:rsidR="00785235" w:rsidRPr="00A03BAF" w:rsidRDefault="00785235" w:rsidP="00785235">
            <w:pPr>
              <w:spacing w:before="120" w:after="120"/>
              <w:rPr>
                <w:i/>
                <w:sz w:val="24"/>
                <w:szCs w:val="28"/>
              </w:rPr>
            </w:pPr>
            <w:r w:rsidRPr="00A03BAF">
              <w:rPr>
                <w:i/>
                <w:sz w:val="24"/>
                <w:szCs w:val="28"/>
              </w:rPr>
              <w:t>Charities</w:t>
            </w:r>
          </w:p>
          <w:p w:rsidR="00785235" w:rsidRPr="005B629F" w:rsidRDefault="0095513B" w:rsidP="00785235">
            <w:pPr>
              <w:spacing w:before="120" w:after="120"/>
              <w:rPr>
                <w:sz w:val="24"/>
                <w:szCs w:val="28"/>
                <w:lang w:val="en-NZ"/>
              </w:rPr>
            </w:pPr>
            <w:r>
              <w:rPr>
                <w:sz w:val="24"/>
                <w:szCs w:val="28"/>
                <w:lang w:val="en-NZ"/>
              </w:rPr>
              <w:t xml:space="preserve">Under </w:t>
            </w:r>
            <w:r w:rsidR="00907261">
              <w:rPr>
                <w:sz w:val="24"/>
                <w:szCs w:val="28"/>
                <w:lang w:val="en-NZ"/>
              </w:rPr>
              <w:t>this</w:t>
            </w:r>
            <w:r>
              <w:rPr>
                <w:sz w:val="24"/>
                <w:szCs w:val="28"/>
                <w:lang w:val="en-NZ"/>
              </w:rPr>
              <w:t xml:space="preserve"> </w:t>
            </w:r>
            <w:r w:rsidR="007A3C79">
              <w:rPr>
                <w:sz w:val="24"/>
                <w:szCs w:val="28"/>
                <w:lang w:val="en-NZ"/>
              </w:rPr>
              <w:t>option</w:t>
            </w:r>
            <w:r>
              <w:rPr>
                <w:sz w:val="24"/>
                <w:szCs w:val="28"/>
                <w:lang w:val="en-NZ"/>
              </w:rPr>
              <w:t xml:space="preserve"> </w:t>
            </w:r>
            <w:r w:rsidR="00785235" w:rsidRPr="00971A42">
              <w:rPr>
                <w:sz w:val="24"/>
                <w:szCs w:val="28"/>
                <w:lang w:val="en-NZ"/>
              </w:rPr>
              <w:t xml:space="preserve">charitable organisations that perform eligible R&amp;D activities </w:t>
            </w:r>
            <w:r>
              <w:rPr>
                <w:sz w:val="24"/>
                <w:szCs w:val="28"/>
                <w:lang w:val="en-NZ"/>
              </w:rPr>
              <w:t xml:space="preserve">would </w:t>
            </w:r>
            <w:r w:rsidR="00785235" w:rsidRPr="00971A42">
              <w:rPr>
                <w:sz w:val="24"/>
                <w:szCs w:val="28"/>
                <w:lang w:val="en-NZ"/>
              </w:rPr>
              <w:t xml:space="preserve">be ineligible for refundable tax credits. </w:t>
            </w:r>
            <w:r w:rsidR="00785235" w:rsidRPr="005B629F">
              <w:rPr>
                <w:sz w:val="24"/>
                <w:szCs w:val="28"/>
                <w:lang w:val="en-NZ"/>
              </w:rPr>
              <w:t xml:space="preserve">Charities are currently treated as carrying on a business in New Zealand for the purposes of being eligible for the R&amp;D Tax Incentive. </w:t>
            </w:r>
            <w:r w:rsidR="00DA5287">
              <w:rPr>
                <w:sz w:val="24"/>
                <w:szCs w:val="28"/>
                <w:lang w:val="en-NZ"/>
              </w:rPr>
              <w:t>Excluding charities means tha</w:t>
            </w:r>
            <w:r w:rsidR="009470FF">
              <w:rPr>
                <w:sz w:val="24"/>
                <w:szCs w:val="28"/>
                <w:lang w:val="en-NZ"/>
              </w:rPr>
              <w:t>t</w:t>
            </w:r>
            <w:r w:rsidR="00DA5287">
              <w:rPr>
                <w:sz w:val="24"/>
                <w:szCs w:val="28"/>
                <w:lang w:val="en-NZ"/>
              </w:rPr>
              <w:t xml:space="preserve"> this rule </w:t>
            </w:r>
            <w:r w:rsidR="00465F44">
              <w:rPr>
                <w:sz w:val="24"/>
                <w:szCs w:val="28"/>
                <w:lang w:val="en-NZ"/>
              </w:rPr>
              <w:t>would</w:t>
            </w:r>
            <w:r w:rsidR="00DA5287">
              <w:rPr>
                <w:sz w:val="24"/>
                <w:szCs w:val="28"/>
                <w:lang w:val="en-NZ"/>
              </w:rPr>
              <w:t xml:space="preserve"> be </w:t>
            </w:r>
            <w:r w:rsidR="00785235" w:rsidRPr="005B629F">
              <w:rPr>
                <w:sz w:val="24"/>
                <w:szCs w:val="28"/>
                <w:lang w:val="en-NZ"/>
              </w:rPr>
              <w:t>remov</w:t>
            </w:r>
            <w:r w:rsidR="00785235">
              <w:rPr>
                <w:sz w:val="24"/>
                <w:szCs w:val="28"/>
                <w:lang w:val="en-NZ"/>
              </w:rPr>
              <w:t>e</w:t>
            </w:r>
            <w:r w:rsidR="00DA5287">
              <w:rPr>
                <w:sz w:val="24"/>
                <w:szCs w:val="28"/>
                <w:lang w:val="en-NZ"/>
              </w:rPr>
              <w:t>d</w:t>
            </w:r>
            <w:r w:rsidR="00785235" w:rsidRPr="005B629F">
              <w:rPr>
                <w:sz w:val="24"/>
                <w:szCs w:val="28"/>
                <w:lang w:val="en-NZ"/>
              </w:rPr>
              <w:t xml:space="preserve"> for consistency</w:t>
            </w:r>
            <w:r w:rsidR="00DA5287">
              <w:rPr>
                <w:sz w:val="24"/>
                <w:szCs w:val="28"/>
                <w:lang w:val="en-NZ"/>
              </w:rPr>
              <w:t xml:space="preserve"> to ensure they are</w:t>
            </w:r>
            <w:r w:rsidR="00785235" w:rsidRPr="005B629F">
              <w:rPr>
                <w:sz w:val="24"/>
                <w:szCs w:val="28"/>
                <w:lang w:val="en-NZ"/>
              </w:rPr>
              <w:t xml:space="preserve"> exclud</w:t>
            </w:r>
            <w:r w:rsidR="00785235">
              <w:rPr>
                <w:sz w:val="24"/>
                <w:szCs w:val="28"/>
                <w:lang w:val="en-NZ"/>
              </w:rPr>
              <w:t>e</w:t>
            </w:r>
            <w:r w:rsidR="00DA5287">
              <w:rPr>
                <w:sz w:val="24"/>
                <w:szCs w:val="28"/>
                <w:lang w:val="en-NZ"/>
              </w:rPr>
              <w:t>d</w:t>
            </w:r>
            <w:r w:rsidR="00785235" w:rsidRPr="005B629F">
              <w:rPr>
                <w:sz w:val="24"/>
                <w:szCs w:val="28"/>
                <w:lang w:val="en-NZ"/>
              </w:rPr>
              <w:t xml:space="preserve"> from being eligible for the R&amp;D Tax Incentive.</w:t>
            </w:r>
          </w:p>
          <w:p w:rsidR="00785235" w:rsidRDefault="00785235" w:rsidP="00785235">
            <w:pPr>
              <w:spacing w:before="120" w:after="120"/>
              <w:rPr>
                <w:sz w:val="24"/>
                <w:szCs w:val="28"/>
                <w:lang w:val="en-NZ"/>
              </w:rPr>
            </w:pPr>
            <w:r w:rsidRPr="005B629F">
              <w:rPr>
                <w:sz w:val="24"/>
                <w:szCs w:val="28"/>
                <w:lang w:val="en-NZ"/>
              </w:rPr>
              <w:t xml:space="preserve">Excluding charities means that businesses wholly-owned by charities are excluded, because these are also considered charities. However, </w:t>
            </w:r>
            <w:r w:rsidR="00465F44">
              <w:rPr>
                <w:sz w:val="24"/>
                <w:szCs w:val="28"/>
                <w:lang w:val="en-NZ"/>
              </w:rPr>
              <w:t>this option does not</w:t>
            </w:r>
            <w:r w:rsidRPr="005B629F">
              <w:rPr>
                <w:sz w:val="24"/>
                <w:szCs w:val="28"/>
                <w:lang w:val="en-NZ"/>
              </w:rPr>
              <w:t xml:space="preserve"> </w:t>
            </w:r>
            <w:r w:rsidR="006A5536">
              <w:rPr>
                <w:sz w:val="24"/>
                <w:szCs w:val="28"/>
                <w:lang w:val="en-NZ"/>
              </w:rPr>
              <w:t>exclude other associated entities</w:t>
            </w:r>
            <w:r w:rsidRPr="005B629F">
              <w:rPr>
                <w:sz w:val="24"/>
                <w:szCs w:val="28"/>
                <w:lang w:val="en-NZ"/>
              </w:rPr>
              <w:t>. This means if a tax paying business donates to a charity, even one controlled by that business, this would not invalidate the business’s access to the R&amp;D Tax Incentive. It would also mean that a charity could set up a partially controlled business entity, subject to the rules within the constitution of the charity, which could be eligible for the R&amp;D Tax Incentive.</w:t>
            </w:r>
          </w:p>
          <w:p w:rsidR="007A3C79" w:rsidRPr="005B629F" w:rsidRDefault="007A3C79" w:rsidP="00785235">
            <w:pPr>
              <w:spacing w:before="120" w:after="120"/>
              <w:rPr>
                <w:sz w:val="24"/>
                <w:szCs w:val="28"/>
                <w:lang w:val="en-NZ"/>
              </w:rPr>
            </w:pPr>
            <w:r>
              <w:rPr>
                <w:sz w:val="24"/>
                <w:szCs w:val="28"/>
                <w:lang w:val="en-NZ"/>
              </w:rPr>
              <w:t xml:space="preserve">In relation to </w:t>
            </w:r>
            <w:r w:rsidRPr="005B629F">
              <w:rPr>
                <w:sz w:val="24"/>
                <w:szCs w:val="28"/>
                <w:lang w:val="en-NZ"/>
              </w:rPr>
              <w:t>Māori organisations</w:t>
            </w:r>
            <w:r>
              <w:rPr>
                <w:sz w:val="24"/>
                <w:szCs w:val="28"/>
                <w:lang w:val="en-NZ"/>
              </w:rPr>
              <w:t>,</w:t>
            </w:r>
            <w:r w:rsidRPr="005B629F">
              <w:rPr>
                <w:sz w:val="24"/>
                <w:szCs w:val="28"/>
                <w:lang w:val="en-NZ"/>
              </w:rPr>
              <w:t xml:space="preserve"> </w:t>
            </w:r>
            <w:r>
              <w:rPr>
                <w:sz w:val="24"/>
                <w:szCs w:val="28"/>
                <w:lang w:val="en-NZ"/>
              </w:rPr>
              <w:t xml:space="preserve">a </w:t>
            </w:r>
            <w:r w:rsidRPr="005B629F">
              <w:rPr>
                <w:sz w:val="24"/>
                <w:szCs w:val="28"/>
                <w:lang w:val="en-NZ"/>
              </w:rPr>
              <w:t>small number of post-settlement governance entities have registered as charities</w:t>
            </w:r>
            <w:r>
              <w:rPr>
                <w:sz w:val="24"/>
                <w:szCs w:val="28"/>
                <w:lang w:val="en-NZ"/>
              </w:rPr>
              <w:t>.</w:t>
            </w:r>
            <w:r w:rsidRPr="005B629F">
              <w:rPr>
                <w:sz w:val="24"/>
                <w:szCs w:val="28"/>
                <w:lang w:val="en-NZ"/>
              </w:rPr>
              <w:t xml:space="preserve"> </w:t>
            </w:r>
            <w:r>
              <w:rPr>
                <w:sz w:val="24"/>
                <w:szCs w:val="28"/>
                <w:lang w:val="en-NZ"/>
              </w:rPr>
              <w:t>As discussed above, businesses that are wholly-owned by these charitable entities would also be ineligible. B</w:t>
            </w:r>
            <w:r w:rsidRPr="005B629F">
              <w:rPr>
                <w:sz w:val="24"/>
                <w:szCs w:val="28"/>
                <w:lang w:val="en-NZ"/>
              </w:rPr>
              <w:t xml:space="preserve">usinesses that are partially controlled by these </w:t>
            </w:r>
            <w:r>
              <w:rPr>
                <w:sz w:val="24"/>
                <w:szCs w:val="28"/>
                <w:lang w:val="en-NZ"/>
              </w:rPr>
              <w:t xml:space="preserve">charities </w:t>
            </w:r>
            <w:r w:rsidRPr="005B629F">
              <w:rPr>
                <w:sz w:val="24"/>
                <w:szCs w:val="28"/>
                <w:lang w:val="en-NZ"/>
              </w:rPr>
              <w:t>would be eligible for the R&amp;D Tax Incentive.</w:t>
            </w:r>
          </w:p>
          <w:p w:rsidR="00785235" w:rsidRPr="00A03BAF" w:rsidRDefault="00785235" w:rsidP="00785235">
            <w:pPr>
              <w:spacing w:before="120" w:after="120"/>
              <w:rPr>
                <w:i/>
                <w:sz w:val="24"/>
                <w:szCs w:val="28"/>
              </w:rPr>
            </w:pPr>
            <w:r w:rsidRPr="00A03BAF">
              <w:rPr>
                <w:i/>
                <w:sz w:val="24"/>
                <w:szCs w:val="28"/>
              </w:rPr>
              <w:t>Local authorities</w:t>
            </w:r>
          </w:p>
          <w:p w:rsidR="001D42F6" w:rsidRDefault="00242C1F" w:rsidP="00BB0D9E">
            <w:pPr>
              <w:spacing w:before="120" w:after="120"/>
              <w:rPr>
                <w:sz w:val="24"/>
                <w:szCs w:val="28"/>
              </w:rPr>
            </w:pPr>
            <w:r>
              <w:rPr>
                <w:sz w:val="24"/>
                <w:szCs w:val="28"/>
                <w:lang w:val="en-NZ"/>
              </w:rPr>
              <w:t xml:space="preserve">Under </w:t>
            </w:r>
            <w:r w:rsidR="00907261">
              <w:rPr>
                <w:sz w:val="24"/>
                <w:szCs w:val="28"/>
                <w:lang w:val="en-NZ"/>
              </w:rPr>
              <w:t>this option</w:t>
            </w:r>
            <w:r>
              <w:rPr>
                <w:sz w:val="24"/>
                <w:szCs w:val="28"/>
                <w:lang w:val="en-NZ"/>
              </w:rPr>
              <w:t xml:space="preserve"> </w:t>
            </w:r>
            <w:r w:rsidR="00785235" w:rsidRPr="007B221E">
              <w:rPr>
                <w:sz w:val="24"/>
                <w:szCs w:val="28"/>
                <w:lang w:val="en-NZ"/>
              </w:rPr>
              <w:t xml:space="preserve">local authorities </w:t>
            </w:r>
            <w:r>
              <w:rPr>
                <w:sz w:val="24"/>
                <w:szCs w:val="28"/>
                <w:lang w:val="en-NZ"/>
              </w:rPr>
              <w:t xml:space="preserve">would </w:t>
            </w:r>
            <w:r w:rsidR="00785235" w:rsidRPr="007B221E">
              <w:rPr>
                <w:sz w:val="24"/>
                <w:szCs w:val="28"/>
                <w:lang w:val="en-NZ"/>
              </w:rPr>
              <w:t xml:space="preserve">be ineligible for the R&amp;D </w:t>
            </w:r>
            <w:r w:rsidR="00785235">
              <w:rPr>
                <w:sz w:val="24"/>
                <w:szCs w:val="28"/>
                <w:lang w:val="en-NZ"/>
              </w:rPr>
              <w:t>T</w:t>
            </w:r>
            <w:r w:rsidR="00785235" w:rsidRPr="00AC3CEC">
              <w:rPr>
                <w:sz w:val="24"/>
                <w:szCs w:val="28"/>
                <w:lang w:val="en-NZ"/>
              </w:rPr>
              <w:t xml:space="preserve">ax </w:t>
            </w:r>
            <w:r w:rsidR="00785235">
              <w:rPr>
                <w:sz w:val="24"/>
                <w:szCs w:val="28"/>
                <w:lang w:val="en-NZ"/>
              </w:rPr>
              <w:t>I</w:t>
            </w:r>
            <w:r w:rsidR="00785235" w:rsidRPr="00AC3CEC">
              <w:rPr>
                <w:sz w:val="24"/>
                <w:szCs w:val="28"/>
                <w:lang w:val="en-NZ"/>
              </w:rPr>
              <w:t xml:space="preserve">ncentive. </w:t>
            </w:r>
            <w:r w:rsidR="0010128E">
              <w:rPr>
                <w:sz w:val="24"/>
                <w:szCs w:val="28"/>
                <w:lang w:val="en-NZ"/>
              </w:rPr>
              <w:t xml:space="preserve">However, council </w:t>
            </w:r>
            <w:r w:rsidR="003E121D" w:rsidRPr="003E121D">
              <w:rPr>
                <w:sz w:val="24"/>
                <w:szCs w:val="28"/>
              </w:rPr>
              <w:t>controlled organisations would be eligibl</w:t>
            </w:r>
            <w:r w:rsidR="0010128E">
              <w:rPr>
                <w:sz w:val="24"/>
                <w:szCs w:val="28"/>
              </w:rPr>
              <w:t>e</w:t>
            </w:r>
            <w:r w:rsidR="003E121D">
              <w:rPr>
                <w:sz w:val="24"/>
                <w:szCs w:val="28"/>
              </w:rPr>
              <w:t>.</w:t>
            </w:r>
          </w:p>
          <w:p w:rsidR="007A3C79" w:rsidRPr="0055142A" w:rsidRDefault="007A3C79" w:rsidP="007A3C79">
            <w:pPr>
              <w:spacing w:before="120" w:after="120"/>
              <w:rPr>
                <w:i/>
                <w:sz w:val="24"/>
                <w:szCs w:val="28"/>
                <w:lang w:val="en-NZ"/>
              </w:rPr>
            </w:pPr>
            <w:r>
              <w:rPr>
                <w:i/>
                <w:sz w:val="24"/>
                <w:szCs w:val="28"/>
                <w:lang w:val="en-NZ"/>
              </w:rPr>
              <w:t>Other tax-exempt organisations</w:t>
            </w:r>
          </w:p>
          <w:p w:rsidR="007A3C79" w:rsidRDefault="00907261" w:rsidP="007A3C79">
            <w:pPr>
              <w:spacing w:before="120" w:after="120"/>
              <w:rPr>
                <w:sz w:val="24"/>
                <w:szCs w:val="28"/>
                <w:lang w:val="en-NZ"/>
              </w:rPr>
            </w:pPr>
            <w:r>
              <w:rPr>
                <w:sz w:val="24"/>
                <w:szCs w:val="28"/>
                <w:lang w:val="en-NZ"/>
              </w:rPr>
              <w:t xml:space="preserve">This option </w:t>
            </w:r>
            <w:r w:rsidR="007A3C79">
              <w:rPr>
                <w:sz w:val="24"/>
                <w:szCs w:val="28"/>
                <w:lang w:val="en-NZ"/>
              </w:rPr>
              <w:t>exclude</w:t>
            </w:r>
            <w:r>
              <w:rPr>
                <w:sz w:val="24"/>
                <w:szCs w:val="28"/>
                <w:lang w:val="en-NZ"/>
              </w:rPr>
              <w:t>s</w:t>
            </w:r>
            <w:r w:rsidR="007A3C79">
              <w:rPr>
                <w:sz w:val="24"/>
                <w:szCs w:val="28"/>
                <w:lang w:val="en-NZ"/>
              </w:rPr>
              <w:t xml:space="preserve"> tax-exempt organisations from being eligible to receive refunds. The exclusion would not apply to entities that receive exempt income from dividends (no change from the status quo) </w:t>
            </w:r>
            <w:r w:rsidR="005A521C">
              <w:rPr>
                <w:sz w:val="24"/>
                <w:szCs w:val="28"/>
                <w:lang w:val="en-NZ"/>
              </w:rPr>
              <w:t>or</w:t>
            </w:r>
            <w:r w:rsidR="007A3C79">
              <w:rPr>
                <w:sz w:val="24"/>
                <w:szCs w:val="28"/>
              </w:rPr>
              <w:t xml:space="preserve"> </w:t>
            </w:r>
            <w:r w:rsidR="005A521C">
              <w:rPr>
                <w:sz w:val="24"/>
                <w:szCs w:val="28"/>
              </w:rPr>
              <w:t>to levy</w:t>
            </w:r>
            <w:r w:rsidR="007A3C79" w:rsidRPr="00282011">
              <w:rPr>
                <w:sz w:val="24"/>
                <w:szCs w:val="28"/>
                <w:lang w:val="en-NZ"/>
              </w:rPr>
              <w:t xml:space="preserve"> bodies. </w:t>
            </w:r>
          </w:p>
          <w:p w:rsidR="00BB0D9E" w:rsidRPr="00860C71" w:rsidRDefault="008015FE" w:rsidP="00224449">
            <w:pPr>
              <w:spacing w:before="360" w:after="120"/>
              <w:rPr>
                <w:b/>
                <w:i/>
                <w:sz w:val="24"/>
                <w:szCs w:val="28"/>
              </w:rPr>
            </w:pPr>
            <w:r w:rsidRPr="00860C71">
              <w:rPr>
                <w:b/>
                <w:i/>
                <w:sz w:val="24"/>
                <w:szCs w:val="28"/>
              </w:rPr>
              <w:t>Options for c</w:t>
            </w:r>
            <w:r w:rsidR="00BB0D9E" w:rsidRPr="00860C71">
              <w:rPr>
                <w:b/>
                <w:i/>
                <w:sz w:val="24"/>
                <w:szCs w:val="28"/>
              </w:rPr>
              <w:t>onstrain</w:t>
            </w:r>
            <w:r w:rsidRPr="00860C71">
              <w:rPr>
                <w:b/>
                <w:i/>
                <w:sz w:val="24"/>
                <w:szCs w:val="28"/>
              </w:rPr>
              <w:t xml:space="preserve">ing the amount that is </w:t>
            </w:r>
            <w:r w:rsidR="00842DEA" w:rsidRPr="00860C71">
              <w:rPr>
                <w:b/>
                <w:i/>
                <w:sz w:val="24"/>
                <w:szCs w:val="28"/>
              </w:rPr>
              <w:t>refundable</w:t>
            </w:r>
          </w:p>
          <w:p w:rsidR="000B56CE" w:rsidRDefault="00496B1A" w:rsidP="005A166A">
            <w:pPr>
              <w:spacing w:before="120" w:after="120"/>
              <w:rPr>
                <w:sz w:val="24"/>
                <w:szCs w:val="28"/>
              </w:rPr>
            </w:pPr>
            <w:r>
              <w:rPr>
                <w:sz w:val="24"/>
                <w:szCs w:val="28"/>
              </w:rPr>
              <w:t>The main options available are:</w:t>
            </w:r>
          </w:p>
          <w:p w:rsidR="00842DEA" w:rsidRDefault="00842DEA" w:rsidP="00496B1A">
            <w:pPr>
              <w:pStyle w:val="ListParagraph"/>
              <w:numPr>
                <w:ilvl w:val="0"/>
                <w:numId w:val="27"/>
              </w:numPr>
              <w:spacing w:before="120" w:after="120"/>
              <w:rPr>
                <w:sz w:val="24"/>
                <w:szCs w:val="28"/>
              </w:rPr>
            </w:pPr>
            <w:r>
              <w:rPr>
                <w:sz w:val="24"/>
                <w:szCs w:val="28"/>
              </w:rPr>
              <w:t>The status quo</w:t>
            </w:r>
          </w:p>
          <w:p w:rsidR="00496B1A" w:rsidRDefault="00496B1A" w:rsidP="00496B1A">
            <w:pPr>
              <w:pStyle w:val="ListParagraph"/>
              <w:numPr>
                <w:ilvl w:val="0"/>
                <w:numId w:val="27"/>
              </w:numPr>
              <w:spacing w:before="120" w:after="120"/>
              <w:rPr>
                <w:sz w:val="24"/>
                <w:szCs w:val="28"/>
              </w:rPr>
            </w:pPr>
            <w:r>
              <w:rPr>
                <w:sz w:val="24"/>
                <w:szCs w:val="28"/>
              </w:rPr>
              <w:t>A</w:t>
            </w:r>
            <w:r w:rsidR="00842DEA">
              <w:rPr>
                <w:sz w:val="24"/>
                <w:szCs w:val="28"/>
              </w:rPr>
              <w:t xml:space="preserve"> PAYE cap</w:t>
            </w:r>
          </w:p>
          <w:p w:rsidR="00842DEA" w:rsidRDefault="00842DEA" w:rsidP="00496B1A">
            <w:pPr>
              <w:pStyle w:val="ListParagraph"/>
              <w:numPr>
                <w:ilvl w:val="0"/>
                <w:numId w:val="27"/>
              </w:numPr>
              <w:spacing w:before="120" w:after="120"/>
              <w:rPr>
                <w:sz w:val="24"/>
                <w:szCs w:val="28"/>
              </w:rPr>
            </w:pPr>
            <w:r>
              <w:rPr>
                <w:sz w:val="24"/>
                <w:szCs w:val="28"/>
              </w:rPr>
              <w:t>A tangible economic presence (TEP) test</w:t>
            </w:r>
          </w:p>
          <w:p w:rsidR="00842DEA" w:rsidRDefault="00842DEA" w:rsidP="00496B1A">
            <w:pPr>
              <w:pStyle w:val="ListParagraph"/>
              <w:numPr>
                <w:ilvl w:val="0"/>
                <w:numId w:val="27"/>
              </w:numPr>
              <w:spacing w:before="120" w:after="120"/>
              <w:rPr>
                <w:sz w:val="24"/>
                <w:szCs w:val="28"/>
              </w:rPr>
            </w:pPr>
            <w:r>
              <w:rPr>
                <w:sz w:val="24"/>
                <w:szCs w:val="28"/>
              </w:rPr>
              <w:t>A ‘payroll’ taxes cap</w:t>
            </w:r>
          </w:p>
          <w:p w:rsidR="00AA0E78" w:rsidRPr="00ED6572" w:rsidRDefault="00AA0E78" w:rsidP="00AA0E78">
            <w:pPr>
              <w:spacing w:before="120" w:after="120"/>
              <w:rPr>
                <w:b/>
                <w:i/>
                <w:sz w:val="24"/>
                <w:szCs w:val="28"/>
              </w:rPr>
            </w:pPr>
            <w:r w:rsidRPr="00ED6572">
              <w:rPr>
                <w:b/>
                <w:i/>
                <w:sz w:val="24"/>
                <w:szCs w:val="28"/>
              </w:rPr>
              <w:t>Status quo</w:t>
            </w:r>
          </w:p>
          <w:p w:rsidR="00AA0E78" w:rsidRDefault="00AA0E78" w:rsidP="00AA0E78">
            <w:pPr>
              <w:spacing w:before="120" w:after="120"/>
              <w:rPr>
                <w:sz w:val="24"/>
                <w:szCs w:val="28"/>
              </w:rPr>
            </w:pPr>
            <w:r>
              <w:rPr>
                <w:sz w:val="24"/>
                <w:szCs w:val="28"/>
              </w:rPr>
              <w:t>The status quo limited refundability rules allow f</w:t>
            </w:r>
            <w:r w:rsidRPr="0040623A">
              <w:rPr>
                <w:sz w:val="24"/>
                <w:szCs w:val="28"/>
              </w:rPr>
              <w:t xml:space="preserve">irms </w:t>
            </w:r>
            <w:r>
              <w:rPr>
                <w:sz w:val="24"/>
                <w:szCs w:val="28"/>
              </w:rPr>
              <w:t xml:space="preserve">with eligible R&amp;D expenditure </w:t>
            </w:r>
            <w:r w:rsidRPr="0040623A">
              <w:rPr>
                <w:sz w:val="24"/>
                <w:szCs w:val="28"/>
              </w:rPr>
              <w:t xml:space="preserve">that meet the corporate and wage-intensity eligibility rules to claim a </w:t>
            </w:r>
            <w:r>
              <w:rPr>
                <w:sz w:val="24"/>
                <w:szCs w:val="28"/>
              </w:rPr>
              <w:t xml:space="preserve">maximum </w:t>
            </w:r>
            <w:r w:rsidRPr="0040623A">
              <w:rPr>
                <w:sz w:val="24"/>
                <w:szCs w:val="28"/>
              </w:rPr>
              <w:t xml:space="preserve">refund </w:t>
            </w:r>
            <w:r>
              <w:rPr>
                <w:sz w:val="24"/>
                <w:szCs w:val="28"/>
              </w:rPr>
              <w:t xml:space="preserve">per year of </w:t>
            </w:r>
            <w:r w:rsidRPr="0040623A">
              <w:rPr>
                <w:sz w:val="24"/>
                <w:szCs w:val="28"/>
              </w:rPr>
              <w:t>$255,000.</w:t>
            </w:r>
          </w:p>
          <w:p w:rsidR="00AA0E78" w:rsidRPr="00ED6572" w:rsidRDefault="00AA0E78" w:rsidP="00AA0E78">
            <w:pPr>
              <w:spacing w:before="120" w:after="120"/>
              <w:rPr>
                <w:b/>
                <w:i/>
                <w:sz w:val="24"/>
                <w:szCs w:val="28"/>
              </w:rPr>
            </w:pPr>
            <w:r w:rsidRPr="00ED6572">
              <w:rPr>
                <w:b/>
                <w:i/>
                <w:sz w:val="24"/>
                <w:szCs w:val="28"/>
              </w:rPr>
              <w:t>A PAYE cap</w:t>
            </w:r>
          </w:p>
          <w:p w:rsidR="00C13351" w:rsidRDefault="009E38CE" w:rsidP="00ED6572">
            <w:pPr>
              <w:spacing w:before="120" w:after="120"/>
              <w:rPr>
                <w:sz w:val="24"/>
                <w:szCs w:val="28"/>
              </w:rPr>
            </w:pPr>
            <w:r>
              <w:rPr>
                <w:sz w:val="24"/>
                <w:szCs w:val="28"/>
              </w:rPr>
              <w:t>A PAYE cap would allow f</w:t>
            </w:r>
            <w:r w:rsidRPr="0040623A">
              <w:rPr>
                <w:sz w:val="24"/>
                <w:szCs w:val="28"/>
              </w:rPr>
              <w:t xml:space="preserve">irms </w:t>
            </w:r>
            <w:r>
              <w:rPr>
                <w:sz w:val="24"/>
                <w:szCs w:val="28"/>
              </w:rPr>
              <w:t xml:space="preserve">with eligible R&amp;D expenditure to have their </w:t>
            </w:r>
            <w:r w:rsidRPr="00F322FD">
              <w:rPr>
                <w:sz w:val="24"/>
                <w:szCs w:val="28"/>
              </w:rPr>
              <w:t>R&amp;D tax credits refund</w:t>
            </w:r>
            <w:r>
              <w:rPr>
                <w:sz w:val="24"/>
                <w:szCs w:val="28"/>
              </w:rPr>
              <w:t>ed</w:t>
            </w:r>
            <w:r w:rsidRPr="00F322FD">
              <w:rPr>
                <w:sz w:val="24"/>
                <w:szCs w:val="28"/>
              </w:rPr>
              <w:t xml:space="preserve"> </w:t>
            </w:r>
            <w:r>
              <w:rPr>
                <w:sz w:val="24"/>
                <w:szCs w:val="28"/>
              </w:rPr>
              <w:t xml:space="preserve">up to </w:t>
            </w:r>
            <w:r w:rsidR="00B161D1">
              <w:rPr>
                <w:sz w:val="24"/>
                <w:szCs w:val="28"/>
              </w:rPr>
              <w:t xml:space="preserve">a maximum amount equal to the amount of PAYE </w:t>
            </w:r>
            <w:r w:rsidRPr="00F322FD">
              <w:rPr>
                <w:sz w:val="24"/>
                <w:szCs w:val="28"/>
              </w:rPr>
              <w:t xml:space="preserve">paid by </w:t>
            </w:r>
            <w:r w:rsidR="00B161D1">
              <w:rPr>
                <w:sz w:val="24"/>
                <w:szCs w:val="28"/>
              </w:rPr>
              <w:t xml:space="preserve">the </w:t>
            </w:r>
            <w:r w:rsidRPr="00F322FD">
              <w:rPr>
                <w:sz w:val="24"/>
                <w:szCs w:val="28"/>
              </w:rPr>
              <w:t>firm in the relevant income</w:t>
            </w:r>
            <w:r w:rsidR="00B161D1">
              <w:rPr>
                <w:sz w:val="24"/>
                <w:szCs w:val="28"/>
              </w:rPr>
              <w:t xml:space="preserve"> year.</w:t>
            </w:r>
          </w:p>
          <w:p w:rsidR="00AA0E78" w:rsidRPr="00ED6572" w:rsidRDefault="00AA0E78" w:rsidP="00AA0E78">
            <w:pPr>
              <w:spacing w:before="120" w:after="120"/>
              <w:rPr>
                <w:b/>
                <w:i/>
                <w:sz w:val="24"/>
                <w:szCs w:val="28"/>
              </w:rPr>
            </w:pPr>
            <w:r w:rsidRPr="00ED6572">
              <w:rPr>
                <w:b/>
                <w:i/>
                <w:sz w:val="24"/>
                <w:szCs w:val="28"/>
              </w:rPr>
              <w:t>A TEP test</w:t>
            </w:r>
          </w:p>
          <w:p w:rsidR="001B270E" w:rsidRDefault="001C7105" w:rsidP="008B6744">
            <w:pPr>
              <w:spacing w:before="120" w:after="120"/>
              <w:rPr>
                <w:sz w:val="24"/>
                <w:szCs w:val="28"/>
              </w:rPr>
            </w:pPr>
            <w:r>
              <w:rPr>
                <w:sz w:val="24"/>
                <w:szCs w:val="28"/>
              </w:rPr>
              <w:t xml:space="preserve">A TEP test would allow firms with eligible R&amp;D expenditure to have their R&amp;D tax credits refunded as long as they satisfied a test of </w:t>
            </w:r>
            <w:r w:rsidR="001B270E">
              <w:rPr>
                <w:sz w:val="24"/>
                <w:szCs w:val="28"/>
              </w:rPr>
              <w:t>tangible economic presence</w:t>
            </w:r>
            <w:r w:rsidR="00A70FBD">
              <w:rPr>
                <w:sz w:val="24"/>
                <w:szCs w:val="28"/>
              </w:rPr>
              <w:t>, up to a maximum of $5 million per year</w:t>
            </w:r>
            <w:r>
              <w:rPr>
                <w:sz w:val="24"/>
                <w:szCs w:val="28"/>
              </w:rPr>
              <w:t>.</w:t>
            </w:r>
            <w:r w:rsidR="001B270E">
              <w:rPr>
                <w:sz w:val="24"/>
                <w:szCs w:val="28"/>
              </w:rPr>
              <w:t xml:space="preserve"> </w:t>
            </w:r>
            <w:r>
              <w:rPr>
                <w:sz w:val="24"/>
                <w:szCs w:val="28"/>
              </w:rPr>
              <w:t xml:space="preserve">A TEP test </w:t>
            </w:r>
            <w:r w:rsidR="001B270E">
              <w:rPr>
                <w:sz w:val="24"/>
                <w:szCs w:val="28"/>
              </w:rPr>
              <w:t xml:space="preserve">would be designed to ensure that a </w:t>
            </w:r>
            <w:r w:rsidR="001B270E">
              <w:rPr>
                <w:sz w:val="24"/>
                <w:szCs w:val="28"/>
              </w:rPr>
              <w:lastRenderedPageBreak/>
              <w:t>firm has ‘skin in the game’, and that it physically exists with premises</w:t>
            </w:r>
            <w:r w:rsidR="007104DA">
              <w:rPr>
                <w:sz w:val="24"/>
                <w:szCs w:val="28"/>
              </w:rPr>
              <w:t xml:space="preserve"> and </w:t>
            </w:r>
            <w:r w:rsidR="001B270E">
              <w:rPr>
                <w:sz w:val="24"/>
                <w:szCs w:val="28"/>
              </w:rPr>
              <w:t>staff, rather than just existing on paper as a shell company.</w:t>
            </w:r>
          </w:p>
          <w:p w:rsidR="008B6744" w:rsidRPr="008B6744" w:rsidRDefault="001D5FDC" w:rsidP="002072A9">
            <w:pPr>
              <w:spacing w:before="120" w:after="120" w:line="240" w:lineRule="auto"/>
              <w:rPr>
                <w:sz w:val="24"/>
                <w:szCs w:val="28"/>
              </w:rPr>
            </w:pPr>
            <w:r>
              <w:rPr>
                <w:sz w:val="24"/>
                <w:szCs w:val="28"/>
              </w:rPr>
              <w:t xml:space="preserve">A TEP test </w:t>
            </w:r>
            <w:r w:rsidR="008B6744" w:rsidRPr="008B6744">
              <w:rPr>
                <w:sz w:val="24"/>
                <w:szCs w:val="28"/>
              </w:rPr>
              <w:t xml:space="preserve">would be </w:t>
            </w:r>
            <w:r w:rsidR="00F83C99">
              <w:rPr>
                <w:sz w:val="24"/>
                <w:szCs w:val="28"/>
              </w:rPr>
              <w:t>met</w:t>
            </w:r>
            <w:r w:rsidR="008B6744" w:rsidRPr="008B6744">
              <w:rPr>
                <w:sz w:val="24"/>
                <w:szCs w:val="28"/>
              </w:rPr>
              <w:t xml:space="preserve"> where at least one of the following applied:</w:t>
            </w:r>
          </w:p>
          <w:p w:rsidR="008B6744" w:rsidRPr="008B6744" w:rsidRDefault="008B6744" w:rsidP="002072A9">
            <w:pPr>
              <w:numPr>
                <w:ilvl w:val="0"/>
                <w:numId w:val="8"/>
              </w:numPr>
              <w:spacing w:before="120" w:after="120" w:line="240" w:lineRule="auto"/>
              <w:rPr>
                <w:sz w:val="24"/>
                <w:szCs w:val="28"/>
                <w:lang w:val="en-NZ"/>
              </w:rPr>
            </w:pPr>
            <w:r w:rsidRPr="008B6744">
              <w:rPr>
                <w:sz w:val="24"/>
                <w:szCs w:val="28"/>
                <w:lang w:val="en-NZ"/>
              </w:rPr>
              <w:t>A business’s PAYE for the year is equal to or greater than their R&amp;D tax credit claim.</w:t>
            </w:r>
            <w:r w:rsidR="007104DA">
              <w:rPr>
                <w:sz w:val="24"/>
                <w:szCs w:val="28"/>
                <w:lang w:val="en-NZ"/>
              </w:rPr>
              <w:t xml:space="preserve"> This ensures a proportionate TEP because the firm is paying tax on behalf of its employees and cannot take out more than it puts in to the tax system.</w:t>
            </w:r>
          </w:p>
          <w:p w:rsidR="008B6744" w:rsidRPr="008B6744" w:rsidRDefault="008B6744" w:rsidP="002072A9">
            <w:pPr>
              <w:numPr>
                <w:ilvl w:val="0"/>
                <w:numId w:val="8"/>
              </w:numPr>
              <w:spacing w:before="120" w:after="120" w:line="240" w:lineRule="auto"/>
              <w:rPr>
                <w:sz w:val="24"/>
                <w:szCs w:val="28"/>
                <w:lang w:val="en-NZ"/>
              </w:rPr>
            </w:pPr>
            <w:r w:rsidRPr="008B6744">
              <w:rPr>
                <w:sz w:val="24"/>
                <w:szCs w:val="28"/>
                <w:lang w:val="en-NZ"/>
              </w:rPr>
              <w:t xml:space="preserve">A chartered accountant or practising lawyer has </w:t>
            </w:r>
            <w:r w:rsidR="001D5FDC">
              <w:rPr>
                <w:sz w:val="24"/>
                <w:szCs w:val="28"/>
                <w:lang w:val="en-NZ"/>
              </w:rPr>
              <w:t xml:space="preserve">certified </w:t>
            </w:r>
            <w:r w:rsidRPr="008B6744">
              <w:rPr>
                <w:sz w:val="24"/>
                <w:szCs w:val="28"/>
                <w:lang w:val="en-NZ"/>
              </w:rPr>
              <w:t>that a business has</w:t>
            </w:r>
            <w:r w:rsidR="001D5FDC">
              <w:rPr>
                <w:sz w:val="24"/>
                <w:szCs w:val="28"/>
                <w:lang w:val="en-NZ"/>
              </w:rPr>
              <w:t xml:space="preserve"> TEP</w:t>
            </w:r>
            <w:r w:rsidRPr="008B6744">
              <w:rPr>
                <w:sz w:val="24"/>
                <w:szCs w:val="28"/>
                <w:lang w:val="en-NZ"/>
              </w:rPr>
              <w:t xml:space="preserve">. </w:t>
            </w:r>
            <w:r w:rsidR="001D5FDC">
              <w:rPr>
                <w:sz w:val="24"/>
                <w:szCs w:val="28"/>
                <w:lang w:val="en-NZ"/>
              </w:rPr>
              <w:t>The certifier would testify to the firm’s TEP, having actually met the staff/seen the premises.</w:t>
            </w:r>
          </w:p>
          <w:p w:rsidR="008B6744" w:rsidRDefault="008B6744" w:rsidP="002072A9">
            <w:pPr>
              <w:numPr>
                <w:ilvl w:val="0"/>
                <w:numId w:val="8"/>
              </w:numPr>
              <w:spacing w:before="120" w:after="120" w:line="240" w:lineRule="auto"/>
              <w:rPr>
                <w:sz w:val="24"/>
                <w:szCs w:val="28"/>
                <w:lang w:val="en-NZ"/>
              </w:rPr>
            </w:pPr>
            <w:r w:rsidRPr="008B6744">
              <w:rPr>
                <w:sz w:val="24"/>
                <w:szCs w:val="28"/>
                <w:lang w:val="en-NZ"/>
              </w:rPr>
              <w:t xml:space="preserve">Inland Revenue has completed a review (for example, checking </w:t>
            </w:r>
            <w:r w:rsidR="00425960">
              <w:rPr>
                <w:sz w:val="24"/>
                <w:szCs w:val="28"/>
                <w:lang w:val="en-NZ"/>
              </w:rPr>
              <w:t xml:space="preserve">the tax-paying history of a </w:t>
            </w:r>
            <w:r w:rsidRPr="008B6744">
              <w:rPr>
                <w:sz w:val="24"/>
                <w:szCs w:val="28"/>
                <w:lang w:val="en-NZ"/>
              </w:rPr>
              <w:t xml:space="preserve">business; visiting a business’s site; and/or confirming the identity of shareholders or directors) and is satisfied that a business has </w:t>
            </w:r>
            <w:r w:rsidR="001D5FDC">
              <w:rPr>
                <w:sz w:val="24"/>
                <w:szCs w:val="28"/>
                <w:lang w:val="en-NZ"/>
              </w:rPr>
              <w:t>TEP</w:t>
            </w:r>
            <w:r w:rsidRPr="008B6744">
              <w:rPr>
                <w:sz w:val="24"/>
                <w:szCs w:val="28"/>
                <w:lang w:val="en-NZ"/>
              </w:rPr>
              <w:t>.</w:t>
            </w:r>
          </w:p>
          <w:p w:rsidR="007104DA" w:rsidRPr="008B6744" w:rsidRDefault="007104DA" w:rsidP="002072A9">
            <w:pPr>
              <w:numPr>
                <w:ilvl w:val="0"/>
                <w:numId w:val="8"/>
              </w:numPr>
              <w:spacing w:before="120" w:after="120" w:line="240" w:lineRule="auto"/>
              <w:rPr>
                <w:sz w:val="24"/>
                <w:szCs w:val="28"/>
                <w:lang w:val="en-NZ"/>
              </w:rPr>
            </w:pPr>
            <w:r w:rsidRPr="008B6744">
              <w:rPr>
                <w:sz w:val="24"/>
                <w:szCs w:val="28"/>
                <w:lang w:val="en-NZ"/>
              </w:rPr>
              <w:t>A business’s R&amp;D tax credit claim only includes amounts paid to an approved research provider to perform R&amp;D activities on their behalf.</w:t>
            </w:r>
            <w:r w:rsidR="007677F6">
              <w:rPr>
                <w:sz w:val="24"/>
                <w:szCs w:val="28"/>
                <w:lang w:val="en-NZ"/>
              </w:rPr>
              <w:t xml:space="preserve"> This provides an easily verified audit trail to determine TEP.</w:t>
            </w:r>
          </w:p>
          <w:p w:rsidR="008B6744" w:rsidRPr="008B6744" w:rsidRDefault="008B6744" w:rsidP="002072A9">
            <w:pPr>
              <w:numPr>
                <w:ilvl w:val="0"/>
                <w:numId w:val="8"/>
              </w:numPr>
              <w:spacing w:before="120" w:after="120" w:line="240" w:lineRule="auto"/>
              <w:rPr>
                <w:sz w:val="24"/>
                <w:szCs w:val="28"/>
                <w:lang w:val="en-NZ"/>
              </w:rPr>
            </w:pPr>
            <w:r w:rsidRPr="008B6744">
              <w:rPr>
                <w:sz w:val="24"/>
                <w:szCs w:val="28"/>
                <w:lang w:val="en-NZ"/>
              </w:rPr>
              <w:t xml:space="preserve">If an organisation is established under statute (such as a levy body), the organisation would be deemed to have </w:t>
            </w:r>
            <w:r w:rsidR="00697BD0">
              <w:rPr>
                <w:sz w:val="24"/>
                <w:szCs w:val="28"/>
                <w:lang w:val="en-NZ"/>
              </w:rPr>
              <w:t>TEP</w:t>
            </w:r>
            <w:r w:rsidRPr="008B6744">
              <w:rPr>
                <w:sz w:val="24"/>
                <w:szCs w:val="28"/>
                <w:lang w:val="en-NZ"/>
              </w:rPr>
              <w:t>.</w:t>
            </w:r>
          </w:p>
          <w:p w:rsidR="00496B1A" w:rsidRPr="00A70FBD" w:rsidRDefault="00AA0E78" w:rsidP="002072A9">
            <w:pPr>
              <w:spacing w:before="120" w:after="120" w:line="240" w:lineRule="auto"/>
              <w:rPr>
                <w:b/>
                <w:i/>
                <w:sz w:val="24"/>
                <w:szCs w:val="28"/>
              </w:rPr>
            </w:pPr>
            <w:r w:rsidRPr="00A70FBD">
              <w:rPr>
                <w:b/>
                <w:i/>
                <w:sz w:val="24"/>
                <w:szCs w:val="28"/>
              </w:rPr>
              <w:t>The proposal – a ‘payroll’ taxes cap</w:t>
            </w:r>
          </w:p>
          <w:p w:rsidR="000F3200" w:rsidRDefault="000F3200" w:rsidP="000F3200">
            <w:pPr>
              <w:spacing w:before="120" w:after="120"/>
              <w:rPr>
                <w:sz w:val="24"/>
                <w:szCs w:val="28"/>
              </w:rPr>
            </w:pPr>
            <w:r>
              <w:rPr>
                <w:sz w:val="24"/>
                <w:szCs w:val="28"/>
              </w:rPr>
              <w:t xml:space="preserve">Under the </w:t>
            </w:r>
            <w:r w:rsidR="00957FE7">
              <w:rPr>
                <w:sz w:val="24"/>
                <w:szCs w:val="28"/>
              </w:rPr>
              <w:t>Proposal,</w:t>
            </w:r>
            <w:r w:rsidR="00AF31AB">
              <w:rPr>
                <w:sz w:val="24"/>
                <w:szCs w:val="28"/>
              </w:rPr>
              <w:t xml:space="preserve"> firms </w:t>
            </w:r>
            <w:r w:rsidRPr="000F3200">
              <w:rPr>
                <w:sz w:val="24"/>
                <w:szCs w:val="28"/>
              </w:rPr>
              <w:t xml:space="preserve">that have insufficient tax </w:t>
            </w:r>
            <w:r w:rsidR="00AF31AB">
              <w:rPr>
                <w:sz w:val="24"/>
                <w:szCs w:val="28"/>
              </w:rPr>
              <w:t>liability would have their credits fully refunded</w:t>
            </w:r>
            <w:r w:rsidR="007A42B2">
              <w:rPr>
                <w:sz w:val="24"/>
                <w:szCs w:val="28"/>
              </w:rPr>
              <w:t>,</w:t>
            </w:r>
            <w:r w:rsidR="00AF31AB">
              <w:rPr>
                <w:sz w:val="24"/>
                <w:szCs w:val="28"/>
              </w:rPr>
              <w:t xml:space="preserve"> subject to the following </w:t>
            </w:r>
            <w:r>
              <w:rPr>
                <w:sz w:val="24"/>
                <w:szCs w:val="28"/>
              </w:rPr>
              <w:t>constraint:</w:t>
            </w:r>
          </w:p>
          <w:p w:rsidR="00F322FD" w:rsidRPr="00F322FD" w:rsidRDefault="00F322FD" w:rsidP="00F322FD">
            <w:pPr>
              <w:pStyle w:val="ListParagraph"/>
              <w:numPr>
                <w:ilvl w:val="0"/>
                <w:numId w:val="24"/>
              </w:numPr>
              <w:spacing w:before="120" w:after="120"/>
              <w:rPr>
                <w:sz w:val="24"/>
                <w:szCs w:val="28"/>
              </w:rPr>
            </w:pPr>
            <w:r w:rsidRPr="00F322FD">
              <w:rPr>
                <w:sz w:val="24"/>
                <w:szCs w:val="28"/>
              </w:rPr>
              <w:t>R&amp;D tax credits are refundable to the extent they are equal to or less than the amount of ‘payroll’ taxes paid by a firm in the relevant income year.</w:t>
            </w:r>
            <w:r w:rsidRPr="00E94F80">
              <w:rPr>
                <w:vertAlign w:val="superscript"/>
              </w:rPr>
              <w:footnoteReference w:id="7"/>
            </w:r>
          </w:p>
          <w:p w:rsidR="00F322FD" w:rsidRPr="00F322FD" w:rsidRDefault="00F322FD" w:rsidP="00F322FD">
            <w:pPr>
              <w:pStyle w:val="ListParagraph"/>
              <w:numPr>
                <w:ilvl w:val="0"/>
                <w:numId w:val="24"/>
              </w:numPr>
              <w:spacing w:before="120" w:after="120"/>
              <w:rPr>
                <w:sz w:val="24"/>
                <w:szCs w:val="28"/>
              </w:rPr>
            </w:pPr>
            <w:r w:rsidRPr="00F322FD">
              <w:rPr>
                <w:sz w:val="24"/>
                <w:szCs w:val="28"/>
              </w:rPr>
              <w:t xml:space="preserve">The proposed cap would not apply to limit tax credits resulting from payments to approved research providers. </w:t>
            </w:r>
          </w:p>
          <w:p w:rsidR="00F322FD" w:rsidRPr="00F322FD" w:rsidRDefault="00F322FD" w:rsidP="00F322FD">
            <w:pPr>
              <w:pStyle w:val="ListParagraph"/>
              <w:numPr>
                <w:ilvl w:val="0"/>
                <w:numId w:val="24"/>
              </w:numPr>
              <w:spacing w:before="120" w:after="120"/>
              <w:rPr>
                <w:sz w:val="24"/>
                <w:szCs w:val="28"/>
              </w:rPr>
            </w:pPr>
            <w:r w:rsidRPr="00F322FD">
              <w:rPr>
                <w:sz w:val="24"/>
                <w:szCs w:val="28"/>
              </w:rPr>
              <w:t xml:space="preserve">The proposed cap would not apply to R&amp;D tax credits refunded to </w:t>
            </w:r>
            <w:r w:rsidR="00B306D9">
              <w:rPr>
                <w:sz w:val="24"/>
                <w:szCs w:val="28"/>
              </w:rPr>
              <w:t>levy bodies</w:t>
            </w:r>
            <w:r w:rsidRPr="00F322FD">
              <w:rPr>
                <w:sz w:val="24"/>
                <w:szCs w:val="28"/>
              </w:rPr>
              <w:t>.</w:t>
            </w:r>
          </w:p>
          <w:p w:rsidR="00271651" w:rsidRPr="00A70FBD" w:rsidRDefault="000B68EB" w:rsidP="00D6404E">
            <w:pPr>
              <w:spacing w:before="120" w:after="120"/>
              <w:rPr>
                <w:sz w:val="24"/>
                <w:szCs w:val="28"/>
              </w:rPr>
            </w:pPr>
            <w:r w:rsidRPr="00D43DE6">
              <w:rPr>
                <w:sz w:val="24"/>
                <w:szCs w:val="28"/>
              </w:rPr>
              <w:t>E</w:t>
            </w:r>
            <w:r w:rsidR="00154418" w:rsidRPr="00D43DE6">
              <w:rPr>
                <w:sz w:val="24"/>
                <w:szCs w:val="28"/>
              </w:rPr>
              <w:t xml:space="preserve">xcess credits that are not refunded in a particular year can be carried forward subject to the continuity rules and can be refunded in future years, </w:t>
            </w:r>
            <w:r w:rsidR="00A70FBD">
              <w:rPr>
                <w:sz w:val="24"/>
                <w:szCs w:val="28"/>
              </w:rPr>
              <w:t xml:space="preserve">subject to the same conditions. </w:t>
            </w:r>
          </w:p>
        </w:tc>
      </w:tr>
    </w:tbl>
    <w:p w:rsidR="00B374D4" w:rsidRDefault="00B374D4" w:rsidP="00B374D4">
      <w:pPr>
        <w:spacing w:after="0" w:line="240" w:lineRule="auto"/>
        <w:rPr>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3.3 What other options have been ruled out of scope, or not considered, and why?</w:t>
            </w:r>
          </w:p>
        </w:tc>
      </w:tr>
      <w:tr w:rsidR="00B374D4" w:rsidTr="003949D5">
        <w:tc>
          <w:tcPr>
            <w:tcW w:w="9287" w:type="dxa"/>
          </w:tcPr>
          <w:p w:rsidR="008878B2" w:rsidRPr="008878B2" w:rsidRDefault="00B374D4" w:rsidP="00CB171F">
            <w:pPr>
              <w:spacing w:before="120" w:after="120"/>
              <w:rPr>
                <w:sz w:val="24"/>
                <w:szCs w:val="28"/>
              </w:rPr>
            </w:pPr>
            <w:r w:rsidRPr="000F23BB">
              <w:rPr>
                <w:sz w:val="24"/>
                <w:szCs w:val="28"/>
              </w:rPr>
              <w:t>We have assumed the continuation of the</w:t>
            </w:r>
            <w:r w:rsidR="008C07BA">
              <w:rPr>
                <w:sz w:val="24"/>
                <w:szCs w:val="28"/>
              </w:rPr>
              <w:t xml:space="preserve"> R&amp;D T</w:t>
            </w:r>
            <w:r w:rsidRPr="000F23BB">
              <w:rPr>
                <w:sz w:val="24"/>
                <w:szCs w:val="28"/>
              </w:rPr>
              <w:t xml:space="preserve">ax </w:t>
            </w:r>
            <w:r w:rsidR="008C07BA">
              <w:rPr>
                <w:sz w:val="24"/>
                <w:szCs w:val="28"/>
              </w:rPr>
              <w:t>I</w:t>
            </w:r>
            <w:r w:rsidRPr="000F23BB">
              <w:rPr>
                <w:sz w:val="24"/>
                <w:szCs w:val="28"/>
              </w:rPr>
              <w:t>ncentive</w:t>
            </w:r>
            <w:r w:rsidR="008C07BA">
              <w:rPr>
                <w:sz w:val="24"/>
                <w:szCs w:val="28"/>
              </w:rPr>
              <w:t xml:space="preserve"> with at least its existing limited refundability</w:t>
            </w:r>
            <w:r w:rsidRPr="000F23BB">
              <w:rPr>
                <w:sz w:val="24"/>
                <w:szCs w:val="28"/>
              </w:rPr>
              <w:t xml:space="preserve">, so we have not considered the option of no tax incentive </w:t>
            </w:r>
            <w:r w:rsidR="008C07BA">
              <w:rPr>
                <w:sz w:val="24"/>
                <w:szCs w:val="28"/>
              </w:rPr>
              <w:t>or</w:t>
            </w:r>
            <w:r w:rsidRPr="000F23BB">
              <w:rPr>
                <w:sz w:val="24"/>
                <w:szCs w:val="28"/>
              </w:rPr>
              <w:t xml:space="preserve"> no refundability.</w:t>
            </w:r>
          </w:p>
        </w:tc>
      </w:tr>
    </w:tbl>
    <w:p w:rsidR="00B374D4" w:rsidRPr="00E57438" w:rsidRDefault="00B374D4" w:rsidP="00B374D4">
      <w:pPr>
        <w:spacing w:after="0" w:line="240" w:lineRule="auto"/>
        <w:rPr>
          <w:sz w:val="28"/>
          <w:szCs w:val="28"/>
        </w:rPr>
      </w:pPr>
    </w:p>
    <w:p w:rsidR="00AA0721" w:rsidRDefault="00AA0721" w:rsidP="00B374D4">
      <w:pPr>
        <w:spacing w:after="0" w:line="240" w:lineRule="auto"/>
        <w:rPr>
          <w:b/>
          <w:sz w:val="28"/>
          <w:szCs w:val="28"/>
        </w:rPr>
        <w:sectPr w:rsidR="00AA0721" w:rsidSect="006D5EDE">
          <w:footerReference w:type="even" r:id="rId11"/>
          <w:footerReference w:type="default" r:id="rId12"/>
          <w:pgSz w:w="11907" w:h="16840" w:code="9"/>
          <w:pgMar w:top="964" w:right="1361" w:bottom="964" w:left="1361" w:header="567" w:footer="567" w:gutter="0"/>
          <w:pgNumType w:start="1"/>
          <w:cols w:space="720"/>
          <w:docGrid w:linePitch="360"/>
        </w:sectPr>
      </w:pPr>
    </w:p>
    <w:p w:rsidR="00B374D4" w:rsidRDefault="00B374D4" w:rsidP="00B374D4">
      <w:pPr>
        <w:spacing w:after="0" w:line="240" w:lineRule="auto"/>
        <w:rPr>
          <w:b/>
          <w:sz w:val="28"/>
          <w:szCs w:val="28"/>
        </w:rPr>
      </w:pPr>
      <w:r>
        <w:rPr>
          <w:b/>
          <w:sz w:val="28"/>
          <w:szCs w:val="28"/>
        </w:rPr>
        <w:lastRenderedPageBreak/>
        <w:t>Section 4: Impact analysis</w:t>
      </w:r>
    </w:p>
    <w:p w:rsidR="00B374D4" w:rsidRDefault="00B374D4" w:rsidP="00B374D4">
      <w:pPr>
        <w:spacing w:after="0" w:line="240" w:lineRule="auto"/>
        <w:rPr>
          <w:b/>
          <w:sz w:val="28"/>
          <w:szCs w:val="28"/>
        </w:rPr>
      </w:pPr>
    </w:p>
    <w:p w:rsidR="006A657D" w:rsidRDefault="00100F4A" w:rsidP="006A657D">
      <w:pPr>
        <w:spacing w:after="0" w:line="240" w:lineRule="auto"/>
        <w:jc w:val="center"/>
        <w:rPr>
          <w:sz w:val="24"/>
          <w:szCs w:val="28"/>
        </w:rPr>
      </w:pPr>
      <w:r>
        <w:rPr>
          <w:b/>
          <w:i/>
          <w:sz w:val="24"/>
          <w:szCs w:val="24"/>
        </w:rPr>
        <w:t>E</w:t>
      </w:r>
      <w:r w:rsidR="006A657D">
        <w:rPr>
          <w:b/>
          <w:i/>
          <w:sz w:val="24"/>
          <w:szCs w:val="24"/>
        </w:rPr>
        <w:t>ntity eligibility</w:t>
      </w:r>
      <w:r>
        <w:rPr>
          <w:b/>
          <w:i/>
          <w:sz w:val="24"/>
          <w:szCs w:val="24"/>
        </w:rPr>
        <w:t xml:space="preserve"> for refunds</w:t>
      </w:r>
    </w:p>
    <w:tbl>
      <w:tblPr>
        <w:tblStyle w:val="TableGrid"/>
        <w:tblW w:w="0" w:type="auto"/>
        <w:tblLook w:val="04A0" w:firstRow="1" w:lastRow="0" w:firstColumn="1" w:lastColumn="0" w:noHBand="0" w:noVBand="1"/>
      </w:tblPr>
      <w:tblGrid>
        <w:gridCol w:w="1809"/>
        <w:gridCol w:w="2472"/>
        <w:gridCol w:w="2064"/>
        <w:gridCol w:w="3686"/>
        <w:gridCol w:w="2551"/>
        <w:gridCol w:w="2206"/>
      </w:tblGrid>
      <w:tr w:rsidR="005F287E" w:rsidRPr="00A558C7" w:rsidTr="00A964EE">
        <w:trPr>
          <w:tblHeader/>
        </w:trPr>
        <w:tc>
          <w:tcPr>
            <w:tcW w:w="1809" w:type="dxa"/>
            <w:shd w:val="clear" w:color="auto" w:fill="8DB3E2" w:themeFill="text2" w:themeFillTint="66"/>
          </w:tcPr>
          <w:p w:rsidR="005F287E" w:rsidRDefault="005F287E" w:rsidP="00173F3A">
            <w:pPr>
              <w:spacing w:after="0" w:line="240" w:lineRule="auto"/>
              <w:rPr>
                <w:sz w:val="24"/>
                <w:szCs w:val="28"/>
              </w:rPr>
            </w:pPr>
          </w:p>
        </w:tc>
        <w:tc>
          <w:tcPr>
            <w:tcW w:w="2472" w:type="dxa"/>
            <w:shd w:val="clear" w:color="auto" w:fill="8DB3E2" w:themeFill="text2" w:themeFillTint="66"/>
          </w:tcPr>
          <w:p w:rsidR="005F287E" w:rsidRDefault="005F287E" w:rsidP="00173F3A">
            <w:pPr>
              <w:spacing w:after="0" w:line="240" w:lineRule="auto"/>
              <w:rPr>
                <w:sz w:val="24"/>
                <w:szCs w:val="28"/>
              </w:rPr>
            </w:pPr>
            <w:r>
              <w:rPr>
                <w:b/>
                <w:sz w:val="24"/>
                <w:szCs w:val="24"/>
              </w:rPr>
              <w:t>General business entities</w:t>
            </w:r>
          </w:p>
        </w:tc>
        <w:tc>
          <w:tcPr>
            <w:tcW w:w="2064" w:type="dxa"/>
            <w:shd w:val="clear" w:color="auto" w:fill="8DB3E2" w:themeFill="text2" w:themeFillTint="66"/>
          </w:tcPr>
          <w:p w:rsidR="005F287E" w:rsidRDefault="005F287E" w:rsidP="00173F3A">
            <w:pPr>
              <w:spacing w:after="0" w:line="240" w:lineRule="auto"/>
              <w:rPr>
                <w:b/>
                <w:sz w:val="24"/>
                <w:szCs w:val="24"/>
              </w:rPr>
            </w:pPr>
            <w:r>
              <w:rPr>
                <w:b/>
                <w:sz w:val="24"/>
                <w:szCs w:val="24"/>
              </w:rPr>
              <w:t>Levy bodies</w:t>
            </w:r>
          </w:p>
        </w:tc>
        <w:tc>
          <w:tcPr>
            <w:tcW w:w="3686" w:type="dxa"/>
            <w:shd w:val="clear" w:color="auto" w:fill="8DB3E2" w:themeFill="text2" w:themeFillTint="66"/>
          </w:tcPr>
          <w:p w:rsidR="005F287E" w:rsidRDefault="005F287E" w:rsidP="00173F3A">
            <w:pPr>
              <w:spacing w:after="0" w:line="240" w:lineRule="auto"/>
              <w:rPr>
                <w:b/>
                <w:sz w:val="24"/>
                <w:szCs w:val="24"/>
              </w:rPr>
            </w:pPr>
            <w:r>
              <w:rPr>
                <w:b/>
                <w:sz w:val="24"/>
                <w:szCs w:val="24"/>
              </w:rPr>
              <w:t>Charities</w:t>
            </w:r>
          </w:p>
        </w:tc>
        <w:tc>
          <w:tcPr>
            <w:tcW w:w="2551" w:type="dxa"/>
            <w:shd w:val="clear" w:color="auto" w:fill="8DB3E2" w:themeFill="text2" w:themeFillTint="66"/>
          </w:tcPr>
          <w:p w:rsidR="005F287E" w:rsidRPr="00DE3BCE" w:rsidRDefault="005F287E" w:rsidP="00173F3A">
            <w:pPr>
              <w:spacing w:after="0" w:line="240" w:lineRule="auto"/>
              <w:rPr>
                <w:b/>
                <w:sz w:val="24"/>
                <w:szCs w:val="24"/>
              </w:rPr>
            </w:pPr>
            <w:r w:rsidRPr="00DE3BCE">
              <w:rPr>
                <w:b/>
                <w:sz w:val="24"/>
                <w:szCs w:val="24"/>
              </w:rPr>
              <w:t>Local authorities</w:t>
            </w:r>
          </w:p>
        </w:tc>
        <w:tc>
          <w:tcPr>
            <w:tcW w:w="2206" w:type="dxa"/>
            <w:shd w:val="clear" w:color="auto" w:fill="8DB3E2" w:themeFill="text2" w:themeFillTint="66"/>
          </w:tcPr>
          <w:p w:rsidR="005F287E" w:rsidRPr="00DE3BCE" w:rsidRDefault="005F287E" w:rsidP="00173F3A">
            <w:pPr>
              <w:spacing w:after="0" w:line="240" w:lineRule="auto"/>
              <w:rPr>
                <w:b/>
                <w:sz w:val="24"/>
                <w:szCs w:val="24"/>
              </w:rPr>
            </w:pPr>
            <w:r>
              <w:rPr>
                <w:b/>
                <w:sz w:val="24"/>
                <w:szCs w:val="24"/>
              </w:rPr>
              <w:t>Other tax-exempt organisations</w:t>
            </w:r>
          </w:p>
        </w:tc>
      </w:tr>
      <w:tr w:rsidR="005F287E" w:rsidRPr="00E074A3" w:rsidTr="00A964EE">
        <w:tc>
          <w:tcPr>
            <w:tcW w:w="1809" w:type="dxa"/>
            <w:shd w:val="clear" w:color="auto" w:fill="8DB3E2" w:themeFill="text2" w:themeFillTint="66"/>
          </w:tcPr>
          <w:p w:rsidR="005F287E" w:rsidRDefault="005F287E" w:rsidP="00173F3A">
            <w:pPr>
              <w:spacing w:after="0" w:line="240" w:lineRule="auto"/>
              <w:rPr>
                <w:sz w:val="24"/>
                <w:szCs w:val="28"/>
              </w:rPr>
            </w:pPr>
            <w:r>
              <w:rPr>
                <w:sz w:val="24"/>
                <w:szCs w:val="28"/>
              </w:rPr>
              <w:t>Incentivising BERD</w:t>
            </w:r>
          </w:p>
        </w:tc>
        <w:tc>
          <w:tcPr>
            <w:tcW w:w="2472" w:type="dxa"/>
          </w:tcPr>
          <w:p w:rsidR="005F287E" w:rsidRDefault="007475BE" w:rsidP="00173F3A">
            <w:pPr>
              <w:spacing w:before="120" w:after="120"/>
              <w:rPr>
                <w:sz w:val="24"/>
                <w:szCs w:val="28"/>
                <w:lang w:val="en-NZ"/>
              </w:rPr>
            </w:pPr>
            <w:r>
              <w:rPr>
                <w:sz w:val="24"/>
                <w:szCs w:val="28"/>
                <w:lang w:val="en-NZ"/>
              </w:rPr>
              <w:t>(</w:t>
            </w:r>
            <w:r w:rsidRPr="0044455D">
              <w:rPr>
                <w:rFonts w:cs="Arial"/>
                <w:b/>
                <w:color w:val="00B050"/>
                <w:sz w:val="18"/>
                <w:szCs w:val="18"/>
                <w:lang w:val="en-NZ"/>
              </w:rPr>
              <w:t>++</w:t>
            </w:r>
            <w:r>
              <w:rPr>
                <w:sz w:val="24"/>
                <w:szCs w:val="28"/>
                <w:lang w:val="en-NZ"/>
              </w:rPr>
              <w:t xml:space="preserve">) </w:t>
            </w:r>
            <w:r w:rsidR="00331C50">
              <w:rPr>
                <w:sz w:val="24"/>
                <w:szCs w:val="28"/>
                <w:lang w:val="en-NZ"/>
              </w:rPr>
              <w:t xml:space="preserve">This change would remove </w:t>
            </w:r>
            <w:r w:rsidR="005F287E" w:rsidRPr="00914244">
              <w:rPr>
                <w:sz w:val="24"/>
                <w:szCs w:val="28"/>
                <w:lang w:val="en-NZ"/>
              </w:rPr>
              <w:t>limit</w:t>
            </w:r>
            <w:r w:rsidR="00331C50">
              <w:rPr>
                <w:sz w:val="24"/>
                <w:szCs w:val="28"/>
                <w:lang w:val="en-NZ"/>
              </w:rPr>
              <w:t xml:space="preserve">ations on </w:t>
            </w:r>
            <w:r w:rsidR="005F287E" w:rsidRPr="00914244">
              <w:rPr>
                <w:sz w:val="24"/>
                <w:szCs w:val="28"/>
                <w:lang w:val="en-NZ"/>
              </w:rPr>
              <w:t>refundability by entity type, except for the existing exclusion of tax-exempt organisations</w:t>
            </w:r>
            <w:r w:rsidR="00331C50">
              <w:rPr>
                <w:sz w:val="24"/>
                <w:szCs w:val="28"/>
                <w:lang w:val="en-NZ"/>
              </w:rPr>
              <w:t xml:space="preserve">. </w:t>
            </w:r>
            <w:r w:rsidR="005F287E" w:rsidRPr="00914244">
              <w:rPr>
                <w:sz w:val="24"/>
                <w:szCs w:val="28"/>
                <w:lang w:val="en-NZ"/>
              </w:rPr>
              <w:t>This would allow listed companies, partnerships and trusts to be eligible for refundability, and there would be no wage intensity requirement</w:t>
            </w:r>
            <w:r w:rsidR="005F287E">
              <w:rPr>
                <w:sz w:val="24"/>
                <w:szCs w:val="28"/>
                <w:lang w:val="en-NZ"/>
              </w:rPr>
              <w:t xml:space="preserve">. </w:t>
            </w:r>
            <w:r w:rsidR="00282542">
              <w:rPr>
                <w:sz w:val="24"/>
                <w:szCs w:val="28"/>
                <w:lang w:val="en-NZ"/>
              </w:rPr>
              <w:t>This will</w:t>
            </w:r>
            <w:r w:rsidR="00282542" w:rsidRPr="005B629F">
              <w:rPr>
                <w:sz w:val="24"/>
                <w:szCs w:val="28"/>
                <w:lang w:val="en-NZ"/>
              </w:rPr>
              <w:t xml:space="preserve"> allow </w:t>
            </w:r>
            <w:r w:rsidR="00282542">
              <w:rPr>
                <w:sz w:val="24"/>
                <w:szCs w:val="28"/>
                <w:lang w:val="en-NZ"/>
              </w:rPr>
              <w:t xml:space="preserve">most </w:t>
            </w:r>
            <w:r w:rsidR="00282542" w:rsidRPr="005B629F">
              <w:rPr>
                <w:sz w:val="24"/>
                <w:szCs w:val="28"/>
                <w:lang w:val="en-NZ"/>
              </w:rPr>
              <w:t xml:space="preserve">Māori </w:t>
            </w:r>
            <w:r w:rsidR="00282542">
              <w:rPr>
                <w:sz w:val="24"/>
                <w:szCs w:val="28"/>
                <w:lang w:val="en-NZ"/>
              </w:rPr>
              <w:t xml:space="preserve">organisations </w:t>
            </w:r>
            <w:r w:rsidR="00282542" w:rsidRPr="005B629F">
              <w:rPr>
                <w:sz w:val="24"/>
                <w:szCs w:val="28"/>
                <w:lang w:val="en-NZ"/>
              </w:rPr>
              <w:t xml:space="preserve">to </w:t>
            </w:r>
            <w:r w:rsidR="00282542">
              <w:rPr>
                <w:sz w:val="24"/>
                <w:szCs w:val="28"/>
                <w:lang w:val="en-NZ"/>
              </w:rPr>
              <w:t>be eligible</w:t>
            </w:r>
            <w:r w:rsidR="00331C50">
              <w:rPr>
                <w:sz w:val="24"/>
                <w:szCs w:val="28"/>
                <w:lang w:val="en-NZ"/>
              </w:rPr>
              <w:t>.</w:t>
            </w:r>
          </w:p>
          <w:p w:rsidR="005F287E" w:rsidRPr="000F23BB" w:rsidRDefault="005F287E" w:rsidP="007475BE">
            <w:pPr>
              <w:spacing w:before="120" w:after="120"/>
              <w:rPr>
                <w:sz w:val="24"/>
                <w:szCs w:val="28"/>
              </w:rPr>
            </w:pPr>
            <w:r>
              <w:rPr>
                <w:sz w:val="24"/>
                <w:szCs w:val="28"/>
                <w:lang w:val="en-NZ"/>
              </w:rPr>
              <w:t>Making refundability broadly available to these entities would have a significan</w:t>
            </w:r>
            <w:r w:rsidR="007475BE">
              <w:rPr>
                <w:sz w:val="24"/>
                <w:szCs w:val="28"/>
                <w:lang w:val="en-NZ"/>
              </w:rPr>
              <w:t>t impact on incentivising BERD.</w:t>
            </w:r>
          </w:p>
        </w:tc>
        <w:tc>
          <w:tcPr>
            <w:tcW w:w="2064" w:type="dxa"/>
          </w:tcPr>
          <w:p w:rsidR="005F287E" w:rsidRPr="00E30017" w:rsidRDefault="007475BE" w:rsidP="00173F3A">
            <w:pPr>
              <w:spacing w:before="120" w:after="120"/>
              <w:rPr>
                <w:sz w:val="24"/>
                <w:szCs w:val="28"/>
              </w:rPr>
            </w:pPr>
            <w:r>
              <w:rPr>
                <w:sz w:val="24"/>
                <w:szCs w:val="28"/>
                <w:lang w:val="en-NZ"/>
              </w:rPr>
              <w:t>(</w:t>
            </w:r>
            <w:r w:rsidRPr="0044455D">
              <w:rPr>
                <w:rFonts w:cs="Arial"/>
                <w:b/>
                <w:color w:val="00B050"/>
                <w:sz w:val="18"/>
                <w:szCs w:val="18"/>
                <w:lang w:val="en-NZ"/>
              </w:rPr>
              <w:t>++</w:t>
            </w:r>
            <w:r>
              <w:rPr>
                <w:sz w:val="24"/>
                <w:szCs w:val="28"/>
                <w:lang w:val="en-NZ"/>
              </w:rPr>
              <w:t xml:space="preserve">) </w:t>
            </w:r>
            <w:r w:rsidR="005F287E" w:rsidRPr="00E30017">
              <w:rPr>
                <w:sz w:val="24"/>
                <w:szCs w:val="28"/>
              </w:rPr>
              <w:t>The R&amp;D performed by and funded through levy bodies is fundamentally business R&amp;D and may result in benefits that are not fully captur</w:t>
            </w:r>
            <w:r w:rsidR="005F287E">
              <w:rPr>
                <w:sz w:val="24"/>
                <w:szCs w:val="28"/>
              </w:rPr>
              <w:t>ed by the relevant industries.</w:t>
            </w:r>
          </w:p>
          <w:p w:rsidR="005F287E" w:rsidRDefault="005F287E" w:rsidP="00173F3A">
            <w:pPr>
              <w:spacing w:before="120" w:after="120"/>
              <w:rPr>
                <w:sz w:val="24"/>
                <w:szCs w:val="28"/>
              </w:rPr>
            </w:pPr>
            <w:r>
              <w:rPr>
                <w:sz w:val="24"/>
                <w:szCs w:val="28"/>
              </w:rPr>
              <w:t>Providing levy bodies with refundability is expected to positively impact BERD</w:t>
            </w:r>
            <w:r w:rsidR="00BE5B91">
              <w:rPr>
                <w:sz w:val="24"/>
                <w:szCs w:val="28"/>
              </w:rPr>
              <w:t xml:space="preserve"> by encouraging industry-wide collaboration through levy bodies</w:t>
            </w:r>
            <w:r w:rsidR="007475BE">
              <w:rPr>
                <w:sz w:val="24"/>
                <w:szCs w:val="28"/>
              </w:rPr>
              <w:t>.</w:t>
            </w:r>
          </w:p>
          <w:p w:rsidR="005F287E" w:rsidRDefault="005F287E" w:rsidP="00173F3A">
            <w:pPr>
              <w:spacing w:before="120" w:after="120"/>
              <w:rPr>
                <w:sz w:val="24"/>
                <w:szCs w:val="28"/>
              </w:rPr>
            </w:pPr>
          </w:p>
        </w:tc>
        <w:tc>
          <w:tcPr>
            <w:tcW w:w="3686" w:type="dxa"/>
          </w:tcPr>
          <w:p w:rsidR="00D50274" w:rsidRDefault="007475BE" w:rsidP="00BE5B91">
            <w:pPr>
              <w:spacing w:before="120" w:after="120"/>
              <w:rPr>
                <w:sz w:val="24"/>
                <w:szCs w:val="28"/>
                <w:lang w:val="en-NZ"/>
              </w:rPr>
            </w:pPr>
            <w:r>
              <w:rPr>
                <w:sz w:val="24"/>
                <w:szCs w:val="28"/>
                <w:lang w:val="en-NZ"/>
              </w:rPr>
              <w:t>(</w:t>
            </w:r>
            <w:r w:rsidRPr="0044455D">
              <w:rPr>
                <w:rFonts w:cs="Arial"/>
                <w:b/>
                <w:sz w:val="18"/>
                <w:szCs w:val="18"/>
                <w:lang w:val="en-NZ"/>
              </w:rPr>
              <w:t>0</w:t>
            </w:r>
            <w:r>
              <w:rPr>
                <w:sz w:val="24"/>
                <w:szCs w:val="28"/>
                <w:lang w:val="en-NZ"/>
              </w:rPr>
              <w:t xml:space="preserve">) </w:t>
            </w:r>
            <w:r w:rsidR="00D50274">
              <w:rPr>
                <w:sz w:val="24"/>
                <w:szCs w:val="28"/>
                <w:lang w:val="en-NZ"/>
              </w:rPr>
              <w:t>Charities may perform R&amp;D as part of their charitable purposes.</w:t>
            </w:r>
          </w:p>
          <w:p w:rsidR="00D55D56" w:rsidRDefault="00C34BA9" w:rsidP="00BE5B91">
            <w:pPr>
              <w:spacing w:before="120" w:after="120"/>
              <w:rPr>
                <w:sz w:val="24"/>
                <w:szCs w:val="28"/>
                <w:lang w:val="en-NZ"/>
              </w:rPr>
            </w:pPr>
            <w:r>
              <w:rPr>
                <w:sz w:val="24"/>
                <w:szCs w:val="28"/>
                <w:lang w:val="en-NZ"/>
              </w:rPr>
              <w:t>T</w:t>
            </w:r>
            <w:r w:rsidR="00D50274">
              <w:rPr>
                <w:sz w:val="24"/>
                <w:szCs w:val="28"/>
                <w:lang w:val="en-NZ"/>
              </w:rPr>
              <w:t>he Tax Incentive is focussed on incentivising BERD, rather than all</w:t>
            </w:r>
            <w:r w:rsidR="00D55D56">
              <w:rPr>
                <w:sz w:val="24"/>
                <w:szCs w:val="28"/>
                <w:lang w:val="en-NZ"/>
              </w:rPr>
              <w:t xml:space="preserve"> R&amp;D generally</w:t>
            </w:r>
            <w:r w:rsidR="00D50274">
              <w:rPr>
                <w:sz w:val="24"/>
                <w:szCs w:val="28"/>
                <w:lang w:val="en-NZ"/>
              </w:rPr>
              <w:t xml:space="preserve">. </w:t>
            </w:r>
          </w:p>
          <w:p w:rsidR="00BE5B91" w:rsidRDefault="00BE5B91" w:rsidP="00BE5B91">
            <w:pPr>
              <w:spacing w:before="120" w:after="120"/>
              <w:rPr>
                <w:sz w:val="24"/>
                <w:szCs w:val="28"/>
                <w:lang w:val="en-NZ"/>
              </w:rPr>
            </w:pPr>
            <w:r>
              <w:rPr>
                <w:sz w:val="24"/>
                <w:szCs w:val="28"/>
                <w:lang w:val="en-NZ"/>
              </w:rPr>
              <w:t xml:space="preserve">Charities that </w:t>
            </w:r>
            <w:r w:rsidR="00D55D56">
              <w:rPr>
                <w:sz w:val="24"/>
                <w:szCs w:val="28"/>
                <w:lang w:val="en-NZ"/>
              </w:rPr>
              <w:t xml:space="preserve">perform </w:t>
            </w:r>
            <w:r>
              <w:rPr>
                <w:sz w:val="24"/>
                <w:szCs w:val="28"/>
                <w:lang w:val="en-NZ"/>
              </w:rPr>
              <w:t xml:space="preserve">R&amp;D already </w:t>
            </w:r>
            <w:r w:rsidR="00D55D56">
              <w:rPr>
                <w:sz w:val="24"/>
                <w:szCs w:val="28"/>
                <w:lang w:val="en-NZ"/>
              </w:rPr>
              <w:t xml:space="preserve">receive </w:t>
            </w:r>
            <w:r>
              <w:rPr>
                <w:sz w:val="24"/>
                <w:szCs w:val="28"/>
                <w:lang w:val="en-NZ"/>
              </w:rPr>
              <w:t xml:space="preserve">support from the tax system </w:t>
            </w:r>
            <w:r w:rsidR="00D55D56">
              <w:rPr>
                <w:sz w:val="24"/>
                <w:szCs w:val="28"/>
                <w:lang w:val="en-NZ"/>
              </w:rPr>
              <w:t xml:space="preserve">for </w:t>
            </w:r>
            <w:r>
              <w:rPr>
                <w:sz w:val="24"/>
                <w:szCs w:val="28"/>
                <w:lang w:val="en-NZ"/>
              </w:rPr>
              <w:t>their activities.</w:t>
            </w:r>
          </w:p>
          <w:p w:rsidR="00E858EE" w:rsidRDefault="00BE5B91" w:rsidP="00C34BA9">
            <w:pPr>
              <w:spacing w:before="120" w:after="120"/>
              <w:rPr>
                <w:sz w:val="24"/>
                <w:szCs w:val="28"/>
                <w:lang w:val="en-NZ"/>
              </w:rPr>
            </w:pPr>
            <w:r>
              <w:rPr>
                <w:sz w:val="24"/>
                <w:szCs w:val="28"/>
                <w:lang w:val="en-NZ"/>
              </w:rPr>
              <w:t>A</w:t>
            </w:r>
            <w:r w:rsidR="005F287E" w:rsidRPr="005B629F">
              <w:rPr>
                <w:sz w:val="24"/>
                <w:szCs w:val="28"/>
                <w:lang w:val="en-NZ"/>
              </w:rPr>
              <w:t xml:space="preserve"> charity could set up a partially controlled business entity, subject to the rules within the constitution of the charity, which could be eligible for the Tax Incentive</w:t>
            </w:r>
            <w:r w:rsidR="005F287E">
              <w:rPr>
                <w:sz w:val="24"/>
                <w:szCs w:val="28"/>
                <w:lang w:val="en-NZ"/>
              </w:rPr>
              <w:t xml:space="preserve">. </w:t>
            </w:r>
            <w:r w:rsidR="00E858EE">
              <w:rPr>
                <w:sz w:val="24"/>
                <w:szCs w:val="28"/>
                <w:lang w:val="en-NZ"/>
              </w:rPr>
              <w:t xml:space="preserve">This would also apply to a </w:t>
            </w:r>
            <w:r w:rsidR="00E858EE" w:rsidRPr="005B629F">
              <w:rPr>
                <w:sz w:val="24"/>
                <w:szCs w:val="28"/>
                <w:lang w:val="en-NZ"/>
              </w:rPr>
              <w:t xml:space="preserve">small number of post-settlement governance entities </w:t>
            </w:r>
            <w:r w:rsidR="00E858EE">
              <w:rPr>
                <w:sz w:val="24"/>
                <w:szCs w:val="28"/>
                <w:lang w:val="en-NZ"/>
              </w:rPr>
              <w:t xml:space="preserve">that are </w:t>
            </w:r>
            <w:r w:rsidR="00E858EE" w:rsidRPr="005B629F">
              <w:rPr>
                <w:sz w:val="24"/>
                <w:szCs w:val="28"/>
                <w:lang w:val="en-NZ"/>
              </w:rPr>
              <w:t>registered as charities</w:t>
            </w:r>
            <w:r w:rsidR="00E858EE">
              <w:rPr>
                <w:sz w:val="24"/>
                <w:szCs w:val="28"/>
                <w:lang w:val="en-NZ"/>
              </w:rPr>
              <w:t>.</w:t>
            </w:r>
          </w:p>
          <w:p w:rsidR="00331C50" w:rsidRPr="0043772D" w:rsidRDefault="005F287E" w:rsidP="00331C50">
            <w:pPr>
              <w:spacing w:before="120" w:after="120"/>
              <w:rPr>
                <w:sz w:val="24"/>
                <w:szCs w:val="28"/>
                <w:lang w:val="en-NZ"/>
              </w:rPr>
            </w:pPr>
            <w:r>
              <w:rPr>
                <w:sz w:val="24"/>
                <w:szCs w:val="28"/>
                <w:lang w:val="en-NZ"/>
              </w:rPr>
              <w:t>The exclusion for charities is not expected to have a</w:t>
            </w:r>
            <w:r w:rsidR="007475BE">
              <w:rPr>
                <w:sz w:val="24"/>
                <w:szCs w:val="28"/>
                <w:lang w:val="en-NZ"/>
              </w:rPr>
              <w:t xml:space="preserve"> significant impact on BERD.</w:t>
            </w:r>
          </w:p>
        </w:tc>
        <w:tc>
          <w:tcPr>
            <w:tcW w:w="2551" w:type="dxa"/>
          </w:tcPr>
          <w:p w:rsidR="005F287E" w:rsidRPr="00170025" w:rsidRDefault="007475BE" w:rsidP="00170025">
            <w:pPr>
              <w:spacing w:before="120" w:after="120"/>
              <w:rPr>
                <w:sz w:val="24"/>
                <w:szCs w:val="28"/>
                <w:lang w:val="en-NZ"/>
              </w:rPr>
            </w:pPr>
            <w:r>
              <w:rPr>
                <w:sz w:val="24"/>
                <w:szCs w:val="28"/>
                <w:lang w:val="en-NZ"/>
              </w:rPr>
              <w:t>(</w:t>
            </w:r>
            <w:r w:rsidRPr="0044455D">
              <w:rPr>
                <w:rFonts w:cs="Arial"/>
                <w:b/>
                <w:sz w:val="18"/>
                <w:szCs w:val="18"/>
                <w:lang w:val="en-NZ"/>
              </w:rPr>
              <w:t>0</w:t>
            </w:r>
            <w:r>
              <w:rPr>
                <w:sz w:val="24"/>
                <w:szCs w:val="28"/>
                <w:lang w:val="en-NZ"/>
              </w:rPr>
              <w:t xml:space="preserve">) </w:t>
            </w:r>
            <w:r w:rsidR="00170025">
              <w:rPr>
                <w:sz w:val="24"/>
                <w:szCs w:val="28"/>
                <w:lang w:val="en-NZ"/>
              </w:rPr>
              <w:t xml:space="preserve">Although </w:t>
            </w:r>
            <w:r w:rsidR="00170025" w:rsidRPr="007B221E">
              <w:rPr>
                <w:sz w:val="24"/>
                <w:szCs w:val="28"/>
                <w:lang w:val="en-NZ"/>
              </w:rPr>
              <w:t xml:space="preserve">local authorities </w:t>
            </w:r>
            <w:r w:rsidR="00170025">
              <w:rPr>
                <w:sz w:val="24"/>
                <w:szCs w:val="28"/>
                <w:lang w:val="en-NZ"/>
              </w:rPr>
              <w:t xml:space="preserve">would not </w:t>
            </w:r>
            <w:r w:rsidR="00170025" w:rsidRPr="007B221E">
              <w:rPr>
                <w:sz w:val="24"/>
                <w:szCs w:val="28"/>
                <w:lang w:val="en-NZ"/>
              </w:rPr>
              <w:t>be eligible</w:t>
            </w:r>
            <w:r w:rsidR="00170025">
              <w:rPr>
                <w:sz w:val="24"/>
                <w:szCs w:val="28"/>
                <w:lang w:val="en-NZ"/>
              </w:rPr>
              <w:t xml:space="preserve">, council </w:t>
            </w:r>
            <w:r w:rsidR="00170025" w:rsidRPr="003E121D">
              <w:rPr>
                <w:sz w:val="24"/>
                <w:szCs w:val="28"/>
              </w:rPr>
              <w:t>controlled organisations would be eligibl</w:t>
            </w:r>
            <w:r w:rsidR="00170025">
              <w:rPr>
                <w:sz w:val="24"/>
                <w:szCs w:val="28"/>
              </w:rPr>
              <w:t xml:space="preserve">e. </w:t>
            </w:r>
            <w:r w:rsidR="005F287E">
              <w:rPr>
                <w:sz w:val="24"/>
                <w:szCs w:val="28"/>
                <w:lang w:val="en-NZ"/>
              </w:rPr>
              <w:t>The exclusion for local authorities is not expected to have a</w:t>
            </w:r>
            <w:r>
              <w:rPr>
                <w:sz w:val="24"/>
                <w:szCs w:val="28"/>
                <w:lang w:val="en-NZ"/>
              </w:rPr>
              <w:t xml:space="preserve"> significant impact on BERD.</w:t>
            </w:r>
          </w:p>
        </w:tc>
        <w:tc>
          <w:tcPr>
            <w:tcW w:w="2206" w:type="dxa"/>
          </w:tcPr>
          <w:p w:rsidR="005F287E" w:rsidRPr="003E121D" w:rsidRDefault="007475BE" w:rsidP="007475BE">
            <w:pPr>
              <w:spacing w:before="120" w:after="120"/>
              <w:rPr>
                <w:sz w:val="24"/>
                <w:szCs w:val="28"/>
              </w:rPr>
            </w:pPr>
            <w:r>
              <w:rPr>
                <w:sz w:val="24"/>
                <w:szCs w:val="28"/>
              </w:rPr>
              <w:t>(</w:t>
            </w:r>
            <w:r w:rsidRPr="0044455D">
              <w:rPr>
                <w:rFonts w:cs="Arial"/>
                <w:b/>
                <w:sz w:val="18"/>
                <w:szCs w:val="18"/>
                <w:lang w:val="en-NZ"/>
              </w:rPr>
              <w:t>0</w:t>
            </w:r>
            <w:r>
              <w:rPr>
                <w:sz w:val="24"/>
                <w:szCs w:val="28"/>
              </w:rPr>
              <w:t xml:space="preserve">) </w:t>
            </w:r>
            <w:r w:rsidR="005F287E" w:rsidRPr="003E121D">
              <w:rPr>
                <w:sz w:val="24"/>
                <w:szCs w:val="28"/>
              </w:rPr>
              <w:t xml:space="preserve">Although </w:t>
            </w:r>
            <w:r w:rsidR="005F287E">
              <w:rPr>
                <w:sz w:val="24"/>
                <w:szCs w:val="28"/>
              </w:rPr>
              <w:t>other tax-exempt</w:t>
            </w:r>
            <w:r w:rsidR="005F287E" w:rsidRPr="003E121D">
              <w:rPr>
                <w:sz w:val="24"/>
                <w:szCs w:val="28"/>
              </w:rPr>
              <w:t xml:space="preserve"> organisations would not be eligible, t</w:t>
            </w:r>
            <w:r w:rsidR="005F287E">
              <w:rPr>
                <w:sz w:val="24"/>
                <w:szCs w:val="28"/>
              </w:rPr>
              <w:t>hey could still participate in joint ventures</w:t>
            </w:r>
            <w:r w:rsidR="005F287E" w:rsidRPr="003E121D">
              <w:rPr>
                <w:sz w:val="24"/>
                <w:szCs w:val="28"/>
              </w:rPr>
              <w:t xml:space="preserve"> with other businesses that could be eligible</w:t>
            </w:r>
            <w:r w:rsidR="005F287E">
              <w:rPr>
                <w:sz w:val="24"/>
                <w:szCs w:val="28"/>
              </w:rPr>
              <w:t>.</w:t>
            </w:r>
            <w:r w:rsidR="005F287E">
              <w:rPr>
                <w:sz w:val="24"/>
                <w:szCs w:val="28"/>
                <w:lang w:val="en-NZ"/>
              </w:rPr>
              <w:t xml:space="preserve"> The exclusion for other tax-exempt organisations is not expected to have a</w:t>
            </w:r>
            <w:r>
              <w:rPr>
                <w:sz w:val="24"/>
                <w:szCs w:val="28"/>
                <w:lang w:val="en-NZ"/>
              </w:rPr>
              <w:t xml:space="preserve"> significant impact on BERD.</w:t>
            </w:r>
          </w:p>
        </w:tc>
      </w:tr>
      <w:tr w:rsidR="005F287E" w:rsidRPr="00E074A3" w:rsidTr="00A964EE">
        <w:tc>
          <w:tcPr>
            <w:tcW w:w="1809" w:type="dxa"/>
            <w:shd w:val="clear" w:color="auto" w:fill="8DB3E2" w:themeFill="text2" w:themeFillTint="66"/>
          </w:tcPr>
          <w:p w:rsidR="005F287E" w:rsidRPr="00D31A66" w:rsidRDefault="00A964EE" w:rsidP="00173F3A">
            <w:pPr>
              <w:spacing w:after="0" w:line="240" w:lineRule="auto"/>
              <w:rPr>
                <w:sz w:val="24"/>
                <w:szCs w:val="28"/>
              </w:rPr>
            </w:pPr>
            <w:r>
              <w:rPr>
                <w:sz w:val="24"/>
                <w:szCs w:val="28"/>
              </w:rPr>
              <w:lastRenderedPageBreak/>
              <w:t>T</w:t>
            </w:r>
            <w:r w:rsidRPr="000A35A9">
              <w:rPr>
                <w:sz w:val="24"/>
                <w:szCs w:val="28"/>
              </w:rPr>
              <w:t xml:space="preserve">ax-exempt organisations </w:t>
            </w:r>
            <w:r>
              <w:rPr>
                <w:sz w:val="24"/>
                <w:szCs w:val="28"/>
              </w:rPr>
              <w:t xml:space="preserve">that </w:t>
            </w:r>
            <w:r w:rsidRPr="000A35A9">
              <w:rPr>
                <w:sz w:val="24"/>
                <w:szCs w:val="28"/>
              </w:rPr>
              <w:t>sit outside the tax system (do not pay income tax) should not benefit further from incentives provided from within the tax system</w:t>
            </w:r>
          </w:p>
        </w:tc>
        <w:tc>
          <w:tcPr>
            <w:tcW w:w="2472" w:type="dxa"/>
          </w:tcPr>
          <w:p w:rsidR="005F287E" w:rsidRDefault="000F2684" w:rsidP="000F2684">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5F287E">
              <w:rPr>
                <w:sz w:val="24"/>
                <w:szCs w:val="28"/>
              </w:rPr>
              <w:t>These entities generally sit within the tax system.</w:t>
            </w:r>
          </w:p>
        </w:tc>
        <w:tc>
          <w:tcPr>
            <w:tcW w:w="2064" w:type="dxa"/>
          </w:tcPr>
          <w:p w:rsidR="005F287E" w:rsidRDefault="000F2684" w:rsidP="000F2684">
            <w:pPr>
              <w:spacing w:before="120" w:after="120"/>
              <w:rPr>
                <w:sz w:val="24"/>
                <w:szCs w:val="28"/>
              </w:rPr>
            </w:pPr>
            <w:r>
              <w:rPr>
                <w:sz w:val="24"/>
                <w:szCs w:val="28"/>
              </w:rPr>
              <w:t>(</w:t>
            </w:r>
            <w:r w:rsidRPr="0044455D">
              <w:rPr>
                <w:rFonts w:cs="Arial"/>
                <w:b/>
                <w:sz w:val="18"/>
                <w:szCs w:val="18"/>
                <w:lang w:val="en-NZ"/>
              </w:rPr>
              <w:t>0</w:t>
            </w:r>
            <w:r>
              <w:rPr>
                <w:sz w:val="24"/>
                <w:szCs w:val="28"/>
              </w:rPr>
              <w:t xml:space="preserve">) </w:t>
            </w:r>
            <w:r w:rsidR="005F287E" w:rsidRPr="00E30017">
              <w:rPr>
                <w:sz w:val="24"/>
                <w:szCs w:val="28"/>
              </w:rPr>
              <w:t>Levy bodies receive levy payments from their members, which are generally taxable businesses.</w:t>
            </w:r>
          </w:p>
        </w:tc>
        <w:tc>
          <w:tcPr>
            <w:tcW w:w="3686" w:type="dxa"/>
          </w:tcPr>
          <w:p w:rsidR="005F287E" w:rsidRPr="005E6D95" w:rsidRDefault="000F2684" w:rsidP="000F2684">
            <w:pPr>
              <w:spacing w:before="120" w:after="120"/>
              <w:rPr>
                <w:sz w:val="24"/>
                <w:szCs w:val="28"/>
                <w:lang w:val="en-NZ"/>
              </w:rPr>
            </w:pPr>
            <w:r>
              <w:rPr>
                <w:sz w:val="24"/>
                <w:szCs w:val="28"/>
                <w:lang w:val="en-NZ"/>
              </w:rPr>
              <w:t>(</w:t>
            </w:r>
            <w:r w:rsidRPr="0044455D">
              <w:rPr>
                <w:rFonts w:cs="Arial"/>
                <w:b/>
                <w:color w:val="FF0000"/>
                <w:sz w:val="18"/>
                <w:szCs w:val="18"/>
                <w:lang w:val="en-NZ"/>
              </w:rPr>
              <w:t>--</w:t>
            </w:r>
            <w:r>
              <w:rPr>
                <w:sz w:val="24"/>
                <w:szCs w:val="28"/>
                <w:lang w:val="en-NZ"/>
              </w:rPr>
              <w:t xml:space="preserve">) </w:t>
            </w:r>
            <w:r w:rsidR="00DD401B">
              <w:rPr>
                <w:sz w:val="24"/>
                <w:szCs w:val="28"/>
                <w:lang w:val="en-NZ"/>
              </w:rPr>
              <w:t>C</w:t>
            </w:r>
            <w:r w:rsidR="00DD401B" w:rsidRPr="00971A42">
              <w:rPr>
                <w:sz w:val="24"/>
                <w:szCs w:val="28"/>
                <w:lang w:val="en-NZ"/>
              </w:rPr>
              <w:t>harities sit outside of the tax system so do not pay income tax, receive GST concessions, and are exempt from FBT</w:t>
            </w:r>
            <w:r w:rsidR="005F287E" w:rsidRPr="00971A42">
              <w:rPr>
                <w:sz w:val="24"/>
                <w:szCs w:val="28"/>
                <w:lang w:val="en-NZ"/>
              </w:rPr>
              <w:t>.</w:t>
            </w:r>
            <w:r w:rsidR="00DD401B" w:rsidRPr="00971A42">
              <w:rPr>
                <w:sz w:val="24"/>
                <w:szCs w:val="28"/>
                <w:lang w:val="en-NZ"/>
              </w:rPr>
              <w:t xml:space="preserve"> These benefits mean that charities’ cash flow is already enhanced </w:t>
            </w:r>
            <w:r w:rsidR="00FF054F">
              <w:rPr>
                <w:sz w:val="24"/>
                <w:szCs w:val="28"/>
                <w:lang w:val="en-NZ"/>
              </w:rPr>
              <w:t>by provisions in the tax system</w:t>
            </w:r>
            <w:r w:rsidR="00DD401B">
              <w:rPr>
                <w:sz w:val="24"/>
                <w:szCs w:val="28"/>
                <w:lang w:val="en-NZ"/>
              </w:rPr>
              <w:t>.</w:t>
            </w:r>
            <w:r w:rsidR="005F287E" w:rsidRPr="00971A42">
              <w:rPr>
                <w:sz w:val="24"/>
                <w:szCs w:val="28"/>
                <w:lang w:val="en-NZ"/>
              </w:rPr>
              <w:t xml:space="preserve"> </w:t>
            </w:r>
            <w:r w:rsidR="00DD401B" w:rsidRPr="00971A42">
              <w:rPr>
                <w:sz w:val="24"/>
                <w:szCs w:val="28"/>
                <w:lang w:val="en-NZ"/>
              </w:rPr>
              <w:t xml:space="preserve">They also benefit </w:t>
            </w:r>
            <w:r w:rsidR="00DD401B">
              <w:rPr>
                <w:sz w:val="24"/>
                <w:szCs w:val="28"/>
                <w:lang w:val="en-NZ"/>
              </w:rPr>
              <w:t xml:space="preserve">from </w:t>
            </w:r>
            <w:r w:rsidR="00DD401B" w:rsidRPr="00971A42">
              <w:rPr>
                <w:sz w:val="24"/>
                <w:szCs w:val="28"/>
                <w:lang w:val="en-NZ"/>
              </w:rPr>
              <w:t>the donor tax credit regime</w:t>
            </w:r>
            <w:r w:rsidR="00DD401B">
              <w:rPr>
                <w:sz w:val="24"/>
                <w:szCs w:val="28"/>
                <w:lang w:val="en-NZ"/>
              </w:rPr>
              <w:t xml:space="preserve"> (which provides tax credits to those who donate to charities)</w:t>
            </w:r>
            <w:r w:rsidR="00DD401B" w:rsidRPr="00971A42">
              <w:rPr>
                <w:sz w:val="24"/>
                <w:szCs w:val="28"/>
                <w:lang w:val="en-NZ"/>
              </w:rPr>
              <w:t xml:space="preserve">, so already receive </w:t>
            </w:r>
            <w:r w:rsidR="00DD401B">
              <w:rPr>
                <w:sz w:val="24"/>
                <w:szCs w:val="28"/>
                <w:lang w:val="en-NZ"/>
              </w:rPr>
              <w:t>g</w:t>
            </w:r>
            <w:r w:rsidR="00DD401B" w:rsidRPr="00971A42">
              <w:rPr>
                <w:sz w:val="24"/>
                <w:szCs w:val="28"/>
                <w:lang w:val="en-NZ"/>
              </w:rPr>
              <w:t>overnment support</w:t>
            </w:r>
            <w:r w:rsidR="005F287E">
              <w:rPr>
                <w:sz w:val="24"/>
                <w:szCs w:val="28"/>
                <w:lang w:val="en-NZ"/>
              </w:rPr>
              <w:t>.</w:t>
            </w:r>
          </w:p>
        </w:tc>
        <w:tc>
          <w:tcPr>
            <w:tcW w:w="2551" w:type="dxa"/>
          </w:tcPr>
          <w:p w:rsidR="005F287E" w:rsidRDefault="000F2684" w:rsidP="00173F3A">
            <w:pPr>
              <w:spacing w:before="120" w:after="120"/>
              <w:rPr>
                <w:sz w:val="24"/>
                <w:szCs w:val="28"/>
              </w:rPr>
            </w:pPr>
            <w:r>
              <w:rPr>
                <w:sz w:val="24"/>
                <w:szCs w:val="28"/>
                <w:lang w:val="en-NZ"/>
              </w:rPr>
              <w:t>(</w:t>
            </w:r>
            <w:r w:rsidRPr="0044455D">
              <w:rPr>
                <w:rFonts w:cs="Arial"/>
                <w:b/>
                <w:color w:val="FF0000"/>
                <w:sz w:val="18"/>
                <w:szCs w:val="18"/>
                <w:lang w:val="en-NZ"/>
              </w:rPr>
              <w:t>--</w:t>
            </w:r>
            <w:r>
              <w:rPr>
                <w:sz w:val="24"/>
                <w:szCs w:val="28"/>
                <w:lang w:val="en-NZ"/>
              </w:rPr>
              <w:t xml:space="preserve">) </w:t>
            </w:r>
            <w:r w:rsidR="005F287E">
              <w:rPr>
                <w:sz w:val="24"/>
                <w:szCs w:val="28"/>
                <w:lang w:val="en-NZ"/>
              </w:rPr>
              <w:t>Apart from receiving tax exempt income, l</w:t>
            </w:r>
            <w:r w:rsidR="005F287E" w:rsidRPr="00AC3CEC">
              <w:rPr>
                <w:sz w:val="24"/>
                <w:szCs w:val="28"/>
                <w:lang w:val="en-NZ"/>
              </w:rPr>
              <w:t>ocal authorities have the ability to raise the revenue required to perform R&amp;D activities through rates.</w:t>
            </w:r>
          </w:p>
        </w:tc>
        <w:tc>
          <w:tcPr>
            <w:tcW w:w="2206" w:type="dxa"/>
          </w:tcPr>
          <w:p w:rsidR="005F287E" w:rsidRDefault="000F2684" w:rsidP="00D26A5C">
            <w:pPr>
              <w:spacing w:before="120" w:after="120"/>
              <w:rPr>
                <w:sz w:val="24"/>
                <w:szCs w:val="28"/>
                <w:lang w:val="en-NZ"/>
              </w:rPr>
            </w:pPr>
            <w:r>
              <w:rPr>
                <w:sz w:val="24"/>
                <w:szCs w:val="28"/>
              </w:rPr>
              <w:t>(</w:t>
            </w:r>
            <w:r w:rsidRPr="0044455D">
              <w:rPr>
                <w:rFonts w:cs="Arial"/>
                <w:b/>
                <w:color w:val="FF0000"/>
                <w:sz w:val="18"/>
                <w:szCs w:val="18"/>
                <w:lang w:val="en-NZ"/>
              </w:rPr>
              <w:t>--</w:t>
            </w:r>
            <w:r>
              <w:rPr>
                <w:sz w:val="24"/>
                <w:szCs w:val="28"/>
              </w:rPr>
              <w:t xml:space="preserve">) </w:t>
            </w:r>
            <w:r w:rsidR="005F287E">
              <w:rPr>
                <w:sz w:val="24"/>
                <w:szCs w:val="28"/>
              </w:rPr>
              <w:t>These entities generally sit outside of the tax system and do not pay income tax.</w:t>
            </w:r>
            <w:r>
              <w:rPr>
                <w:sz w:val="24"/>
                <w:szCs w:val="28"/>
              </w:rPr>
              <w:t xml:space="preserve">  </w:t>
            </w:r>
          </w:p>
        </w:tc>
      </w:tr>
      <w:tr w:rsidR="005F287E" w:rsidRPr="00E074A3" w:rsidTr="00A964EE">
        <w:tc>
          <w:tcPr>
            <w:tcW w:w="1809" w:type="dxa"/>
            <w:shd w:val="clear" w:color="auto" w:fill="8DB3E2" w:themeFill="text2" w:themeFillTint="66"/>
          </w:tcPr>
          <w:p w:rsidR="005F287E" w:rsidRDefault="005F287E" w:rsidP="006A657D">
            <w:pPr>
              <w:spacing w:after="0" w:line="240" w:lineRule="auto"/>
              <w:rPr>
                <w:sz w:val="24"/>
                <w:szCs w:val="28"/>
              </w:rPr>
            </w:pPr>
            <w:r>
              <w:rPr>
                <w:sz w:val="24"/>
                <w:szCs w:val="28"/>
              </w:rPr>
              <w:t>Clarity about which organisations are eligible</w:t>
            </w:r>
          </w:p>
        </w:tc>
        <w:tc>
          <w:tcPr>
            <w:tcW w:w="2472" w:type="dxa"/>
          </w:tcPr>
          <w:p w:rsidR="005F287E" w:rsidRDefault="00A964EE" w:rsidP="009C1B4A">
            <w:pPr>
              <w:spacing w:before="120" w:after="120"/>
              <w:rPr>
                <w:sz w:val="24"/>
                <w:szCs w:val="28"/>
              </w:rPr>
            </w:pPr>
            <w:r>
              <w:rPr>
                <w:sz w:val="24"/>
                <w:szCs w:val="28"/>
              </w:rPr>
              <w:t>n/a</w:t>
            </w:r>
          </w:p>
        </w:tc>
        <w:tc>
          <w:tcPr>
            <w:tcW w:w="2064" w:type="dxa"/>
          </w:tcPr>
          <w:p w:rsidR="005F287E" w:rsidRPr="00E30017" w:rsidRDefault="0060333F" w:rsidP="00F81A7C">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5F287E">
              <w:rPr>
                <w:sz w:val="24"/>
                <w:szCs w:val="28"/>
              </w:rPr>
              <w:t>Provides clarity that l</w:t>
            </w:r>
            <w:r w:rsidR="005F287E" w:rsidRPr="00E30017">
              <w:rPr>
                <w:sz w:val="24"/>
                <w:szCs w:val="28"/>
              </w:rPr>
              <w:t xml:space="preserve">evy bodies </w:t>
            </w:r>
            <w:r w:rsidR="005F287E">
              <w:rPr>
                <w:sz w:val="24"/>
                <w:szCs w:val="28"/>
              </w:rPr>
              <w:t xml:space="preserve">are </w:t>
            </w:r>
            <w:r w:rsidR="005F287E" w:rsidRPr="00E30017">
              <w:rPr>
                <w:sz w:val="24"/>
                <w:szCs w:val="28"/>
              </w:rPr>
              <w:t>eligible for refundable R&amp;D tax credits</w:t>
            </w:r>
            <w:r w:rsidR="005F287E">
              <w:rPr>
                <w:sz w:val="24"/>
                <w:szCs w:val="28"/>
              </w:rPr>
              <w:t>.</w:t>
            </w:r>
            <w:r w:rsidR="005F287E" w:rsidRPr="00E30017">
              <w:rPr>
                <w:sz w:val="24"/>
                <w:szCs w:val="28"/>
              </w:rPr>
              <w:t xml:space="preserve"> </w:t>
            </w:r>
            <w:r w:rsidR="005F287E">
              <w:rPr>
                <w:sz w:val="24"/>
                <w:szCs w:val="28"/>
              </w:rPr>
              <w:t xml:space="preserve">Levy body </w:t>
            </w:r>
            <w:r w:rsidR="005F287E" w:rsidRPr="00E30017">
              <w:rPr>
                <w:sz w:val="24"/>
                <w:szCs w:val="28"/>
              </w:rPr>
              <w:t xml:space="preserve">members </w:t>
            </w:r>
            <w:r w:rsidR="005F287E">
              <w:rPr>
                <w:sz w:val="24"/>
                <w:szCs w:val="28"/>
              </w:rPr>
              <w:t xml:space="preserve">will not be disincentivised to </w:t>
            </w:r>
            <w:r w:rsidR="005F287E" w:rsidRPr="00E30017">
              <w:rPr>
                <w:sz w:val="24"/>
                <w:szCs w:val="28"/>
              </w:rPr>
              <w:t>fund their R&amp;D</w:t>
            </w:r>
            <w:r w:rsidR="005F287E">
              <w:rPr>
                <w:sz w:val="24"/>
                <w:szCs w:val="28"/>
              </w:rPr>
              <w:t xml:space="preserve"> through their levy body</w:t>
            </w:r>
            <w:r>
              <w:rPr>
                <w:sz w:val="24"/>
                <w:szCs w:val="28"/>
              </w:rPr>
              <w:t>.</w:t>
            </w:r>
          </w:p>
        </w:tc>
        <w:tc>
          <w:tcPr>
            <w:tcW w:w="3686" w:type="dxa"/>
          </w:tcPr>
          <w:p w:rsidR="005F287E" w:rsidRPr="005B629F" w:rsidRDefault="0060333F" w:rsidP="005F287E">
            <w:pPr>
              <w:spacing w:before="120" w:after="120"/>
              <w:rPr>
                <w:sz w:val="24"/>
                <w:szCs w:val="28"/>
                <w:lang w:val="en-NZ"/>
              </w:rPr>
            </w:pPr>
            <w:r>
              <w:rPr>
                <w:sz w:val="24"/>
                <w:szCs w:val="28"/>
              </w:rPr>
              <w:t>(</w:t>
            </w:r>
            <w:r w:rsidRPr="0044455D">
              <w:rPr>
                <w:rFonts w:cs="Arial"/>
                <w:b/>
                <w:color w:val="00B050"/>
                <w:sz w:val="18"/>
                <w:szCs w:val="18"/>
                <w:lang w:val="en-NZ"/>
              </w:rPr>
              <w:t>+</w:t>
            </w:r>
            <w:r>
              <w:rPr>
                <w:sz w:val="24"/>
                <w:szCs w:val="28"/>
              </w:rPr>
              <w:t xml:space="preserve">) </w:t>
            </w:r>
            <w:r w:rsidR="005F287E">
              <w:rPr>
                <w:sz w:val="24"/>
                <w:szCs w:val="28"/>
              </w:rPr>
              <w:t>Provides clarity that charities and their wholly-owned entities will be ineligible for the Tax Incentive, while partially controlled business</w:t>
            </w:r>
            <w:r>
              <w:rPr>
                <w:sz w:val="24"/>
                <w:szCs w:val="28"/>
              </w:rPr>
              <w:t xml:space="preserve"> entities could be eligible.</w:t>
            </w:r>
          </w:p>
        </w:tc>
        <w:tc>
          <w:tcPr>
            <w:tcW w:w="2551" w:type="dxa"/>
          </w:tcPr>
          <w:p w:rsidR="005F287E" w:rsidRDefault="0060333F" w:rsidP="00A93D5F">
            <w:pPr>
              <w:spacing w:before="120" w:after="120"/>
              <w:rPr>
                <w:sz w:val="24"/>
                <w:szCs w:val="28"/>
                <w:lang w:val="en-NZ"/>
              </w:rPr>
            </w:pPr>
            <w:r>
              <w:rPr>
                <w:sz w:val="24"/>
                <w:szCs w:val="28"/>
                <w:lang w:val="en-NZ"/>
              </w:rPr>
              <w:t>(</w:t>
            </w:r>
            <w:r w:rsidRPr="0044455D">
              <w:rPr>
                <w:rFonts w:cs="Arial"/>
                <w:b/>
                <w:color w:val="00B050"/>
                <w:sz w:val="18"/>
                <w:szCs w:val="18"/>
                <w:lang w:val="en-NZ"/>
              </w:rPr>
              <w:t>+</w:t>
            </w:r>
            <w:r>
              <w:rPr>
                <w:sz w:val="24"/>
                <w:szCs w:val="28"/>
                <w:lang w:val="en-NZ"/>
              </w:rPr>
              <w:t xml:space="preserve">) </w:t>
            </w:r>
            <w:r w:rsidR="005F287E">
              <w:rPr>
                <w:sz w:val="24"/>
                <w:szCs w:val="28"/>
                <w:lang w:val="en-NZ"/>
              </w:rPr>
              <w:t xml:space="preserve">Provides clarity for </w:t>
            </w:r>
            <w:r w:rsidR="005F287E" w:rsidRPr="007B221E">
              <w:rPr>
                <w:sz w:val="24"/>
                <w:szCs w:val="28"/>
                <w:lang w:val="en-NZ"/>
              </w:rPr>
              <w:t>local authorities, as well as entities controlled by or associated with local authorities</w:t>
            </w:r>
            <w:r w:rsidR="005F287E">
              <w:rPr>
                <w:sz w:val="24"/>
                <w:szCs w:val="28"/>
                <w:lang w:val="en-NZ"/>
              </w:rPr>
              <w:t>.</w:t>
            </w:r>
            <w:r w:rsidR="005F287E" w:rsidRPr="007B221E">
              <w:rPr>
                <w:sz w:val="24"/>
                <w:szCs w:val="28"/>
                <w:lang w:val="en-NZ"/>
              </w:rPr>
              <w:t xml:space="preserve"> </w:t>
            </w:r>
            <w:r w:rsidR="005F287E">
              <w:rPr>
                <w:sz w:val="24"/>
                <w:szCs w:val="28"/>
                <w:lang w:val="en-NZ"/>
              </w:rPr>
              <w:t xml:space="preserve">Excluding </w:t>
            </w:r>
            <w:r w:rsidR="00A93D5F">
              <w:rPr>
                <w:sz w:val="24"/>
                <w:szCs w:val="28"/>
                <w:lang w:val="en-NZ"/>
              </w:rPr>
              <w:t>local authorities</w:t>
            </w:r>
            <w:r w:rsidR="005F287E">
              <w:rPr>
                <w:sz w:val="24"/>
                <w:szCs w:val="28"/>
                <w:lang w:val="en-NZ"/>
              </w:rPr>
              <w:t xml:space="preserve"> </w:t>
            </w:r>
            <w:r w:rsidR="005F287E" w:rsidRPr="00AC3CEC">
              <w:rPr>
                <w:sz w:val="24"/>
                <w:szCs w:val="28"/>
                <w:lang w:val="en-NZ"/>
              </w:rPr>
              <w:t xml:space="preserve">was </w:t>
            </w:r>
            <w:r w:rsidR="005F287E">
              <w:rPr>
                <w:sz w:val="24"/>
                <w:szCs w:val="28"/>
                <w:lang w:val="en-NZ"/>
              </w:rPr>
              <w:t xml:space="preserve">part of </w:t>
            </w:r>
            <w:r w:rsidR="005F287E" w:rsidRPr="00AC3CEC">
              <w:rPr>
                <w:sz w:val="24"/>
                <w:szCs w:val="28"/>
                <w:lang w:val="en-NZ"/>
              </w:rPr>
              <w:t xml:space="preserve">the original policy intent of the </w:t>
            </w:r>
            <w:r w:rsidR="005F287E">
              <w:rPr>
                <w:sz w:val="24"/>
                <w:szCs w:val="28"/>
                <w:lang w:val="en-NZ"/>
              </w:rPr>
              <w:t>Tax I</w:t>
            </w:r>
            <w:r w:rsidR="005F287E" w:rsidRPr="00AC3CEC">
              <w:rPr>
                <w:sz w:val="24"/>
                <w:szCs w:val="28"/>
                <w:lang w:val="en-NZ"/>
              </w:rPr>
              <w:t>ncentive, but this exclusion was not included in the Bill</w:t>
            </w:r>
            <w:r>
              <w:rPr>
                <w:sz w:val="24"/>
                <w:szCs w:val="28"/>
                <w:lang w:val="en-NZ"/>
              </w:rPr>
              <w:t>.</w:t>
            </w:r>
          </w:p>
        </w:tc>
        <w:tc>
          <w:tcPr>
            <w:tcW w:w="2206" w:type="dxa"/>
          </w:tcPr>
          <w:p w:rsidR="005F287E" w:rsidRDefault="0060333F" w:rsidP="001B494F">
            <w:pPr>
              <w:spacing w:before="120" w:after="120"/>
              <w:rPr>
                <w:sz w:val="24"/>
                <w:szCs w:val="28"/>
                <w:lang w:val="en-NZ"/>
              </w:rPr>
            </w:pPr>
            <w:r>
              <w:rPr>
                <w:sz w:val="24"/>
                <w:szCs w:val="28"/>
                <w:lang w:val="en-NZ"/>
              </w:rPr>
              <w:t>(</w:t>
            </w:r>
            <w:r w:rsidRPr="0044455D">
              <w:rPr>
                <w:rFonts w:cs="Arial"/>
                <w:b/>
                <w:color w:val="00B050"/>
                <w:sz w:val="18"/>
                <w:szCs w:val="18"/>
                <w:lang w:val="en-NZ"/>
              </w:rPr>
              <w:t>+</w:t>
            </w:r>
            <w:r>
              <w:rPr>
                <w:sz w:val="24"/>
                <w:szCs w:val="28"/>
                <w:lang w:val="en-NZ"/>
              </w:rPr>
              <w:t xml:space="preserve">) </w:t>
            </w:r>
            <w:r w:rsidR="005F287E">
              <w:rPr>
                <w:sz w:val="24"/>
                <w:szCs w:val="28"/>
                <w:lang w:val="en-NZ"/>
              </w:rPr>
              <w:t>Provides clarity that other tax-exempt organisations will be in</w:t>
            </w:r>
            <w:r>
              <w:rPr>
                <w:sz w:val="24"/>
                <w:szCs w:val="28"/>
                <w:lang w:val="en-NZ"/>
              </w:rPr>
              <w:t>eligible for the Tax Incentive.</w:t>
            </w:r>
          </w:p>
        </w:tc>
      </w:tr>
    </w:tbl>
    <w:p w:rsidR="006A657D" w:rsidRDefault="006A657D" w:rsidP="00B374D4">
      <w:pPr>
        <w:spacing w:after="0" w:line="240" w:lineRule="auto"/>
        <w:rPr>
          <w:b/>
          <w:sz w:val="28"/>
          <w:szCs w:val="28"/>
        </w:rPr>
      </w:pPr>
    </w:p>
    <w:p w:rsidR="006A657D" w:rsidRDefault="006A657D" w:rsidP="00B374D4">
      <w:pPr>
        <w:spacing w:after="0" w:line="240" w:lineRule="auto"/>
        <w:rPr>
          <w:b/>
          <w:sz w:val="28"/>
          <w:szCs w:val="28"/>
        </w:rPr>
      </w:pPr>
    </w:p>
    <w:p w:rsidR="006A657D" w:rsidRDefault="006A657D" w:rsidP="005E31C6">
      <w:pPr>
        <w:keepNext/>
        <w:spacing w:after="0" w:line="240" w:lineRule="auto"/>
        <w:jc w:val="center"/>
        <w:rPr>
          <w:b/>
          <w:sz w:val="28"/>
          <w:szCs w:val="28"/>
        </w:rPr>
      </w:pPr>
      <w:r w:rsidRPr="00A558C7">
        <w:rPr>
          <w:b/>
          <w:i/>
          <w:sz w:val="24"/>
          <w:szCs w:val="24"/>
        </w:rPr>
        <w:lastRenderedPageBreak/>
        <w:t>Constraints on refundable amount</w:t>
      </w:r>
    </w:p>
    <w:tbl>
      <w:tblPr>
        <w:tblStyle w:val="TableGrid"/>
        <w:tblW w:w="0" w:type="auto"/>
        <w:tblLook w:val="04A0" w:firstRow="1" w:lastRow="0" w:firstColumn="1" w:lastColumn="0" w:noHBand="0" w:noVBand="1"/>
      </w:tblPr>
      <w:tblGrid>
        <w:gridCol w:w="1910"/>
        <w:gridCol w:w="3044"/>
        <w:gridCol w:w="3477"/>
        <w:gridCol w:w="3456"/>
        <w:gridCol w:w="2901"/>
      </w:tblGrid>
      <w:tr w:rsidR="00484CCD" w:rsidTr="00484CCD">
        <w:trPr>
          <w:tblHeader/>
        </w:trPr>
        <w:tc>
          <w:tcPr>
            <w:tcW w:w="1910" w:type="dxa"/>
            <w:shd w:val="clear" w:color="auto" w:fill="8DB3E2" w:themeFill="text2" w:themeFillTint="66"/>
          </w:tcPr>
          <w:p w:rsidR="00484CCD" w:rsidRDefault="00484CCD" w:rsidP="005E31C6">
            <w:pPr>
              <w:keepNext/>
              <w:spacing w:after="0" w:line="240" w:lineRule="auto"/>
              <w:rPr>
                <w:sz w:val="24"/>
                <w:szCs w:val="28"/>
              </w:rPr>
            </w:pPr>
          </w:p>
        </w:tc>
        <w:tc>
          <w:tcPr>
            <w:tcW w:w="3044" w:type="dxa"/>
            <w:shd w:val="clear" w:color="auto" w:fill="8DB3E2" w:themeFill="text2" w:themeFillTint="66"/>
          </w:tcPr>
          <w:p w:rsidR="00484CCD" w:rsidRDefault="00484CCD" w:rsidP="005E31C6">
            <w:pPr>
              <w:keepNext/>
              <w:spacing w:after="0" w:line="240" w:lineRule="auto"/>
              <w:rPr>
                <w:sz w:val="24"/>
                <w:szCs w:val="28"/>
              </w:rPr>
            </w:pPr>
            <w:r>
              <w:rPr>
                <w:b/>
                <w:sz w:val="24"/>
                <w:szCs w:val="24"/>
              </w:rPr>
              <w:t>Status quo</w:t>
            </w:r>
          </w:p>
        </w:tc>
        <w:tc>
          <w:tcPr>
            <w:tcW w:w="3477" w:type="dxa"/>
            <w:shd w:val="clear" w:color="auto" w:fill="8DB3E2" w:themeFill="text2" w:themeFillTint="66"/>
          </w:tcPr>
          <w:p w:rsidR="00484CCD" w:rsidRDefault="00484CCD" w:rsidP="005E31C6">
            <w:pPr>
              <w:keepNext/>
              <w:spacing w:after="0" w:line="240" w:lineRule="auto"/>
              <w:rPr>
                <w:sz w:val="24"/>
                <w:szCs w:val="28"/>
              </w:rPr>
            </w:pPr>
            <w:r>
              <w:rPr>
                <w:b/>
                <w:sz w:val="24"/>
                <w:szCs w:val="24"/>
              </w:rPr>
              <w:t>A</w:t>
            </w:r>
            <w:r w:rsidRPr="00A558C7">
              <w:rPr>
                <w:b/>
                <w:sz w:val="24"/>
                <w:szCs w:val="24"/>
              </w:rPr>
              <w:t xml:space="preserve"> ‘payroll’ taxes cap</w:t>
            </w:r>
          </w:p>
        </w:tc>
        <w:tc>
          <w:tcPr>
            <w:tcW w:w="3456" w:type="dxa"/>
            <w:shd w:val="clear" w:color="auto" w:fill="8DB3E2" w:themeFill="text2" w:themeFillTint="66"/>
          </w:tcPr>
          <w:p w:rsidR="00484CCD" w:rsidRPr="00A558C7" w:rsidRDefault="00484CCD" w:rsidP="005E31C6">
            <w:pPr>
              <w:keepNext/>
              <w:spacing w:after="0" w:line="240" w:lineRule="auto"/>
              <w:rPr>
                <w:b/>
                <w:sz w:val="24"/>
                <w:szCs w:val="24"/>
              </w:rPr>
            </w:pPr>
            <w:r>
              <w:rPr>
                <w:b/>
                <w:sz w:val="24"/>
                <w:szCs w:val="24"/>
              </w:rPr>
              <w:t>TEP test</w:t>
            </w:r>
          </w:p>
        </w:tc>
        <w:tc>
          <w:tcPr>
            <w:tcW w:w="2901" w:type="dxa"/>
            <w:shd w:val="clear" w:color="auto" w:fill="8DB3E2" w:themeFill="text2" w:themeFillTint="66"/>
          </w:tcPr>
          <w:p w:rsidR="00484CCD" w:rsidRDefault="00484CCD" w:rsidP="005E31C6">
            <w:pPr>
              <w:keepNext/>
              <w:spacing w:after="0" w:line="240" w:lineRule="auto"/>
              <w:rPr>
                <w:b/>
                <w:sz w:val="24"/>
                <w:szCs w:val="24"/>
              </w:rPr>
            </w:pPr>
            <w:r>
              <w:rPr>
                <w:b/>
                <w:sz w:val="24"/>
                <w:szCs w:val="24"/>
              </w:rPr>
              <w:t>PAYE cap</w:t>
            </w:r>
          </w:p>
        </w:tc>
      </w:tr>
      <w:tr w:rsidR="00484CCD" w:rsidTr="00484CCD">
        <w:tc>
          <w:tcPr>
            <w:tcW w:w="1910" w:type="dxa"/>
            <w:shd w:val="clear" w:color="auto" w:fill="8DB3E2" w:themeFill="text2" w:themeFillTint="66"/>
          </w:tcPr>
          <w:p w:rsidR="00484CCD" w:rsidRDefault="008E7E1E" w:rsidP="008E7E1E">
            <w:pPr>
              <w:spacing w:after="0" w:line="240" w:lineRule="auto"/>
              <w:rPr>
                <w:sz w:val="24"/>
                <w:szCs w:val="28"/>
              </w:rPr>
            </w:pPr>
            <w:r>
              <w:rPr>
                <w:sz w:val="24"/>
                <w:szCs w:val="28"/>
              </w:rPr>
              <w:t>Increased</w:t>
            </w:r>
            <w:r w:rsidR="00484CCD">
              <w:rPr>
                <w:sz w:val="24"/>
                <w:szCs w:val="28"/>
              </w:rPr>
              <w:t xml:space="preserve"> BERD</w:t>
            </w:r>
          </w:p>
        </w:tc>
        <w:tc>
          <w:tcPr>
            <w:tcW w:w="3044" w:type="dxa"/>
          </w:tcPr>
          <w:p w:rsidR="00484CCD" w:rsidRDefault="00484CCD" w:rsidP="002766B8">
            <w:pPr>
              <w:spacing w:before="120" w:after="120"/>
              <w:rPr>
                <w:sz w:val="24"/>
                <w:szCs w:val="28"/>
              </w:rPr>
            </w:pPr>
            <w:r w:rsidRPr="00E074A3">
              <w:rPr>
                <w:sz w:val="24"/>
                <w:szCs w:val="28"/>
              </w:rPr>
              <w:t xml:space="preserve">This is expected to limit refundability in year one to approximately 350-650 firms </w:t>
            </w:r>
            <w:r>
              <w:rPr>
                <w:sz w:val="24"/>
                <w:szCs w:val="28"/>
              </w:rPr>
              <w:t xml:space="preserve">of whom </w:t>
            </w:r>
            <w:r w:rsidRPr="00E074A3">
              <w:rPr>
                <w:sz w:val="24"/>
                <w:szCs w:val="28"/>
              </w:rPr>
              <w:t>65-130 are expected to hit the cap on refundability and not be able to claim the full amount of the credit.</w:t>
            </w:r>
            <w:r>
              <w:rPr>
                <w:rStyle w:val="FootnoteReference"/>
                <w:szCs w:val="28"/>
              </w:rPr>
              <w:footnoteReference w:id="8"/>
            </w:r>
            <w:r w:rsidRPr="00E074A3">
              <w:rPr>
                <w:sz w:val="24"/>
                <w:szCs w:val="28"/>
              </w:rPr>
              <w:t xml:space="preserve"> Evidence from overseas schemes indicates that refunds provide a more powerful incentive for firms to undertake R&amp;D.</w:t>
            </w:r>
          </w:p>
        </w:tc>
        <w:tc>
          <w:tcPr>
            <w:tcW w:w="3477" w:type="dxa"/>
          </w:tcPr>
          <w:p w:rsidR="009258D0" w:rsidRDefault="00126B63" w:rsidP="000A5495">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484CCD">
              <w:rPr>
                <w:sz w:val="24"/>
                <w:szCs w:val="28"/>
              </w:rPr>
              <w:t xml:space="preserve">A ‘payroll’ taxes cap would allow for </w:t>
            </w:r>
            <w:r w:rsidR="00484CCD" w:rsidRPr="00E074A3">
              <w:rPr>
                <w:sz w:val="24"/>
                <w:szCs w:val="28"/>
              </w:rPr>
              <w:t xml:space="preserve">broader refundability </w:t>
            </w:r>
            <w:r w:rsidR="00484CCD">
              <w:rPr>
                <w:sz w:val="24"/>
                <w:szCs w:val="28"/>
              </w:rPr>
              <w:t xml:space="preserve">with </w:t>
            </w:r>
            <w:r w:rsidR="00484CCD" w:rsidRPr="00E074A3">
              <w:rPr>
                <w:sz w:val="24"/>
                <w:szCs w:val="28"/>
              </w:rPr>
              <w:t xml:space="preserve">wider coverage. </w:t>
            </w:r>
          </w:p>
          <w:p w:rsidR="009258D0" w:rsidRDefault="009258D0" w:rsidP="009258D0">
            <w:pPr>
              <w:spacing w:before="120" w:after="120"/>
              <w:rPr>
                <w:sz w:val="24"/>
                <w:szCs w:val="28"/>
              </w:rPr>
            </w:pPr>
            <w:r>
              <w:rPr>
                <w:sz w:val="24"/>
                <w:szCs w:val="28"/>
              </w:rPr>
              <w:t>It could constrain the benefit that some loss-making start-ups get from the credit, where a firm has a higher proportion of non-staff R&amp;D expenditure (such as expenditure on capital assets or consumable).</w:t>
            </w:r>
          </w:p>
          <w:p w:rsidR="00484CCD" w:rsidRPr="000F23BB" w:rsidRDefault="009258D0" w:rsidP="009258D0">
            <w:pPr>
              <w:spacing w:before="120" w:after="120"/>
              <w:rPr>
                <w:sz w:val="24"/>
                <w:szCs w:val="28"/>
              </w:rPr>
            </w:pPr>
            <w:r w:rsidRPr="00E074A3">
              <w:rPr>
                <w:sz w:val="24"/>
                <w:szCs w:val="28"/>
              </w:rPr>
              <w:t xml:space="preserve"> </w:t>
            </w:r>
            <w:r w:rsidR="00484CCD" w:rsidRPr="00E074A3">
              <w:rPr>
                <w:sz w:val="24"/>
                <w:szCs w:val="28"/>
              </w:rPr>
              <w:t xml:space="preserve">If applicable to year one, it would be expected to enable approximately 750-1200 firms to benefit from a </w:t>
            </w:r>
            <w:r w:rsidR="00484CCD">
              <w:rPr>
                <w:sz w:val="24"/>
                <w:szCs w:val="28"/>
              </w:rPr>
              <w:t xml:space="preserve">full or partial </w:t>
            </w:r>
            <w:r w:rsidR="00484CCD" w:rsidRPr="00E074A3">
              <w:rPr>
                <w:sz w:val="24"/>
                <w:szCs w:val="28"/>
              </w:rPr>
              <w:t>refund.</w:t>
            </w:r>
            <w:r w:rsidR="00484CCD">
              <w:rPr>
                <w:rStyle w:val="FootnoteReference"/>
                <w:szCs w:val="28"/>
              </w:rPr>
              <w:footnoteReference w:id="9"/>
            </w:r>
            <w:r w:rsidR="00484CCD" w:rsidRPr="00E074A3">
              <w:rPr>
                <w:sz w:val="24"/>
                <w:szCs w:val="28"/>
              </w:rPr>
              <w:t xml:space="preserve"> The wider coverage and increased cash flow to businesses performing R&amp;D is expected to lead to increased investment</w:t>
            </w:r>
            <w:r w:rsidR="00126B63">
              <w:rPr>
                <w:sz w:val="24"/>
                <w:szCs w:val="28"/>
              </w:rPr>
              <w:t xml:space="preserve"> by those firms in R&amp;D.</w:t>
            </w:r>
          </w:p>
        </w:tc>
        <w:tc>
          <w:tcPr>
            <w:tcW w:w="3456" w:type="dxa"/>
          </w:tcPr>
          <w:p w:rsidR="009258D0" w:rsidRDefault="00126B63" w:rsidP="009258D0">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9258D0">
              <w:rPr>
                <w:sz w:val="24"/>
                <w:szCs w:val="28"/>
              </w:rPr>
              <w:t>A TEP test would provide a pathway for all genuine businesses to access refundability. This would have a positive impact on business expenditure on R&amp;D.</w:t>
            </w:r>
          </w:p>
          <w:p w:rsidR="00484CCD" w:rsidRPr="00E074A3" w:rsidRDefault="00484CCD" w:rsidP="000A5495">
            <w:pPr>
              <w:spacing w:before="120" w:after="120"/>
              <w:rPr>
                <w:sz w:val="24"/>
                <w:szCs w:val="28"/>
              </w:rPr>
            </w:pPr>
            <w:r w:rsidRPr="00E074A3">
              <w:rPr>
                <w:sz w:val="24"/>
                <w:szCs w:val="28"/>
              </w:rPr>
              <w:t xml:space="preserve">If applicable to year one, it would be expected to enable approximately 750-1200 firms to benefit from a </w:t>
            </w:r>
            <w:r>
              <w:rPr>
                <w:sz w:val="24"/>
                <w:szCs w:val="28"/>
              </w:rPr>
              <w:t xml:space="preserve">full </w:t>
            </w:r>
            <w:r w:rsidRPr="00E074A3">
              <w:rPr>
                <w:sz w:val="24"/>
                <w:szCs w:val="28"/>
              </w:rPr>
              <w:t>refund. The wider coverage and increased cash flow to businesses performing R&amp;D is expected to lead to increased investment</w:t>
            </w:r>
            <w:r w:rsidR="00126B63">
              <w:rPr>
                <w:sz w:val="24"/>
                <w:szCs w:val="28"/>
              </w:rPr>
              <w:t xml:space="preserve"> by those firms in R&amp;D.</w:t>
            </w:r>
          </w:p>
        </w:tc>
        <w:tc>
          <w:tcPr>
            <w:tcW w:w="2901" w:type="dxa"/>
          </w:tcPr>
          <w:p w:rsidR="00484CCD" w:rsidRDefault="00126B63" w:rsidP="00680168">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484CCD">
              <w:rPr>
                <w:sz w:val="24"/>
                <w:szCs w:val="28"/>
              </w:rPr>
              <w:t xml:space="preserve">A PAYE cap would allow for </w:t>
            </w:r>
            <w:r w:rsidR="00484CCD" w:rsidRPr="00E074A3">
              <w:rPr>
                <w:sz w:val="24"/>
                <w:szCs w:val="28"/>
              </w:rPr>
              <w:t xml:space="preserve">broader refundability </w:t>
            </w:r>
            <w:r w:rsidR="00484CCD">
              <w:rPr>
                <w:sz w:val="24"/>
                <w:szCs w:val="28"/>
              </w:rPr>
              <w:t xml:space="preserve">with wider coverage, but would significantly constrain the benefit that loss-making start-ups would </w:t>
            </w:r>
            <w:r w:rsidR="005E31C6">
              <w:rPr>
                <w:sz w:val="24"/>
                <w:szCs w:val="28"/>
              </w:rPr>
              <w:t xml:space="preserve">get </w:t>
            </w:r>
            <w:r w:rsidR="00484CCD">
              <w:rPr>
                <w:sz w:val="24"/>
                <w:szCs w:val="28"/>
              </w:rPr>
              <w:t>from the credit. Many start-ups that perform R&amp;D have few employees</w:t>
            </w:r>
            <w:r w:rsidR="005E31C6">
              <w:rPr>
                <w:sz w:val="24"/>
                <w:szCs w:val="28"/>
              </w:rPr>
              <w:t xml:space="preserve"> and rely on </w:t>
            </w:r>
            <w:r w:rsidR="00484CCD">
              <w:rPr>
                <w:sz w:val="24"/>
                <w:szCs w:val="28"/>
              </w:rPr>
              <w:t xml:space="preserve">contractors </w:t>
            </w:r>
            <w:r w:rsidR="005E31C6">
              <w:rPr>
                <w:sz w:val="24"/>
                <w:szCs w:val="28"/>
              </w:rPr>
              <w:t>to develop their businesses</w:t>
            </w:r>
            <w:r w:rsidR="00484CCD">
              <w:rPr>
                <w:sz w:val="24"/>
                <w:szCs w:val="28"/>
              </w:rPr>
              <w:t xml:space="preserve">, because of the comparative flexibility afforded by contracting arrangements. R&amp;D intensive start-ups may have fewer non-R&amp;D employees (compared with larger firms), and may also have a higher proportion of non-employee R&amp;D expenditure (such as </w:t>
            </w:r>
            <w:r w:rsidR="00484CCD">
              <w:rPr>
                <w:sz w:val="24"/>
                <w:szCs w:val="28"/>
              </w:rPr>
              <w:lastRenderedPageBreak/>
              <w:t>expenditure on capital assets or consumables). This would limit the impact on business R&amp;D expenditure undertaken by this sector.</w:t>
            </w:r>
          </w:p>
        </w:tc>
      </w:tr>
      <w:tr w:rsidR="00484CCD" w:rsidTr="00484CCD">
        <w:tc>
          <w:tcPr>
            <w:tcW w:w="1910" w:type="dxa"/>
            <w:shd w:val="clear" w:color="auto" w:fill="8DB3E2" w:themeFill="text2" w:themeFillTint="66"/>
          </w:tcPr>
          <w:p w:rsidR="00484CCD" w:rsidRDefault="00484CCD" w:rsidP="00532DB6">
            <w:pPr>
              <w:spacing w:before="120" w:after="120"/>
              <w:rPr>
                <w:sz w:val="24"/>
                <w:szCs w:val="28"/>
              </w:rPr>
            </w:pPr>
            <w:r w:rsidRPr="00C17BAB">
              <w:rPr>
                <w:sz w:val="24"/>
                <w:szCs w:val="28"/>
              </w:rPr>
              <w:lastRenderedPageBreak/>
              <w:t>Mitigation of fraud risk</w:t>
            </w:r>
            <w:r>
              <w:rPr>
                <w:sz w:val="24"/>
                <w:szCs w:val="28"/>
              </w:rPr>
              <w:t xml:space="preserve"> </w:t>
            </w:r>
            <w:r w:rsidRPr="00C17BAB">
              <w:rPr>
                <w:sz w:val="24"/>
                <w:szCs w:val="28"/>
              </w:rPr>
              <w:t>/</w:t>
            </w:r>
            <w:r>
              <w:rPr>
                <w:sz w:val="24"/>
                <w:szCs w:val="28"/>
              </w:rPr>
              <w:t xml:space="preserve"> </w:t>
            </w:r>
            <w:r w:rsidRPr="00C17BAB">
              <w:rPr>
                <w:sz w:val="24"/>
                <w:szCs w:val="28"/>
              </w:rPr>
              <w:t>maintaining the scheme’s integrity</w:t>
            </w:r>
          </w:p>
        </w:tc>
        <w:tc>
          <w:tcPr>
            <w:tcW w:w="3044" w:type="dxa"/>
          </w:tcPr>
          <w:p w:rsidR="00484CCD" w:rsidRDefault="00484CCD" w:rsidP="00580981">
            <w:pPr>
              <w:spacing w:before="120" w:after="120"/>
              <w:rPr>
                <w:sz w:val="24"/>
                <w:szCs w:val="28"/>
              </w:rPr>
            </w:pPr>
            <w:r>
              <w:rPr>
                <w:sz w:val="24"/>
                <w:szCs w:val="28"/>
              </w:rPr>
              <w:t>Limited refundability mitigates some risk of large, one-off fraud, but does not provide protection against potentially high numbers of smaller fraudulent claims.</w:t>
            </w:r>
          </w:p>
          <w:p w:rsidR="00484CCD" w:rsidRDefault="00484CCD" w:rsidP="009C6E32">
            <w:pPr>
              <w:spacing w:before="120" w:after="120"/>
              <w:rPr>
                <w:sz w:val="24"/>
                <w:szCs w:val="28"/>
              </w:rPr>
            </w:pPr>
          </w:p>
        </w:tc>
        <w:tc>
          <w:tcPr>
            <w:tcW w:w="3477" w:type="dxa"/>
          </w:tcPr>
          <w:p w:rsidR="00484CCD" w:rsidRDefault="00126B63" w:rsidP="00466594">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484CCD" w:rsidRPr="00580981">
              <w:rPr>
                <w:sz w:val="24"/>
                <w:szCs w:val="28"/>
              </w:rPr>
              <w:t>A ‘payroll’ taxes cap would significantly mitigate the risk of fraudulent claims, as firms could not take out more from the tax system than they put in.</w:t>
            </w:r>
          </w:p>
        </w:tc>
        <w:tc>
          <w:tcPr>
            <w:tcW w:w="3456" w:type="dxa"/>
          </w:tcPr>
          <w:p w:rsidR="00484CCD" w:rsidRPr="00F06CFD" w:rsidRDefault="00126B63" w:rsidP="0091105A">
            <w:pPr>
              <w:spacing w:before="120" w:after="120"/>
              <w:rPr>
                <w:sz w:val="24"/>
                <w:szCs w:val="28"/>
              </w:rPr>
            </w:pPr>
            <w:r>
              <w:rPr>
                <w:sz w:val="24"/>
                <w:szCs w:val="28"/>
              </w:rPr>
              <w:t>(</w:t>
            </w:r>
            <w:r w:rsidRPr="0044455D">
              <w:rPr>
                <w:rFonts w:cs="Arial"/>
                <w:b/>
                <w:sz w:val="18"/>
                <w:szCs w:val="18"/>
                <w:lang w:val="en-NZ"/>
              </w:rPr>
              <w:t>0</w:t>
            </w:r>
            <w:r>
              <w:rPr>
                <w:sz w:val="24"/>
                <w:szCs w:val="28"/>
              </w:rPr>
              <w:t xml:space="preserve">) </w:t>
            </w:r>
            <w:r w:rsidR="00484CCD">
              <w:rPr>
                <w:sz w:val="24"/>
                <w:szCs w:val="28"/>
              </w:rPr>
              <w:t xml:space="preserve">A TEP test would mitigate some of the risk of fraudulent claims. However, overseas experience suggests that certification of TEP by </w:t>
            </w:r>
            <w:r w:rsidR="00484CCD">
              <w:rPr>
                <w:sz w:val="24"/>
                <w:szCs w:val="28"/>
                <w:lang w:val="en-NZ"/>
              </w:rPr>
              <w:t xml:space="preserve">external professionals </w:t>
            </w:r>
            <w:r w:rsidR="00484CCD" w:rsidRPr="008D4C22">
              <w:rPr>
                <w:sz w:val="24"/>
                <w:szCs w:val="28"/>
                <w:lang w:val="en-NZ"/>
              </w:rPr>
              <w:t xml:space="preserve">may not be </w:t>
            </w:r>
            <w:r w:rsidR="00484CCD">
              <w:rPr>
                <w:sz w:val="24"/>
                <w:szCs w:val="28"/>
                <w:lang w:val="en-NZ"/>
              </w:rPr>
              <w:t xml:space="preserve">sufficiently </w:t>
            </w:r>
            <w:r w:rsidR="00484CCD" w:rsidRPr="008D4C22">
              <w:rPr>
                <w:sz w:val="24"/>
                <w:szCs w:val="28"/>
                <w:lang w:val="en-NZ"/>
              </w:rPr>
              <w:t xml:space="preserve">robust, and </w:t>
            </w:r>
            <w:r w:rsidR="00484CCD">
              <w:rPr>
                <w:sz w:val="24"/>
                <w:szCs w:val="28"/>
                <w:lang w:val="en-NZ"/>
              </w:rPr>
              <w:t xml:space="preserve">that requiring Inland Revenue to conduct </w:t>
            </w:r>
            <w:r w:rsidR="00484CCD" w:rsidRPr="008D4C22">
              <w:rPr>
                <w:sz w:val="24"/>
                <w:szCs w:val="28"/>
                <w:lang w:val="en-NZ"/>
              </w:rPr>
              <w:t xml:space="preserve">additional </w:t>
            </w:r>
            <w:r w:rsidR="00484CCD">
              <w:rPr>
                <w:sz w:val="24"/>
                <w:szCs w:val="28"/>
                <w:lang w:val="en-NZ"/>
              </w:rPr>
              <w:t xml:space="preserve">checks for TEP </w:t>
            </w:r>
            <w:r w:rsidR="00484CCD" w:rsidRPr="008D4C22">
              <w:rPr>
                <w:sz w:val="24"/>
                <w:szCs w:val="28"/>
                <w:lang w:val="en-NZ"/>
              </w:rPr>
              <w:t>might lead to administration resources being focused on audit rather than the approval of R&amp;D activity.</w:t>
            </w:r>
          </w:p>
        </w:tc>
        <w:tc>
          <w:tcPr>
            <w:tcW w:w="2901" w:type="dxa"/>
          </w:tcPr>
          <w:p w:rsidR="00484CCD" w:rsidRDefault="00126B63" w:rsidP="0091105A">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680168">
              <w:rPr>
                <w:sz w:val="24"/>
                <w:szCs w:val="28"/>
              </w:rPr>
              <w:t>A PAYE cap would significantly mitigate the risk of fraudulent claims, as firms could not take out more from the t</w:t>
            </w:r>
            <w:r>
              <w:rPr>
                <w:sz w:val="24"/>
                <w:szCs w:val="28"/>
              </w:rPr>
              <w:t>ax system than they put in.</w:t>
            </w:r>
          </w:p>
        </w:tc>
      </w:tr>
      <w:tr w:rsidR="00484CCD" w:rsidTr="00484CCD">
        <w:tc>
          <w:tcPr>
            <w:tcW w:w="1910" w:type="dxa"/>
            <w:shd w:val="clear" w:color="auto" w:fill="8DB3E2" w:themeFill="text2" w:themeFillTint="66"/>
          </w:tcPr>
          <w:p w:rsidR="00484CCD" w:rsidRDefault="00B81E34" w:rsidP="00B81E34">
            <w:pPr>
              <w:spacing w:after="0" w:line="240" w:lineRule="auto"/>
              <w:rPr>
                <w:sz w:val="24"/>
                <w:szCs w:val="28"/>
              </w:rPr>
            </w:pPr>
            <w:r>
              <w:rPr>
                <w:sz w:val="24"/>
                <w:szCs w:val="28"/>
              </w:rPr>
              <w:t>Minimise c</w:t>
            </w:r>
            <w:r w:rsidR="00484CCD">
              <w:rPr>
                <w:sz w:val="24"/>
                <w:szCs w:val="28"/>
              </w:rPr>
              <w:t>ompliance costs</w:t>
            </w:r>
          </w:p>
        </w:tc>
        <w:tc>
          <w:tcPr>
            <w:tcW w:w="3044" w:type="dxa"/>
          </w:tcPr>
          <w:p w:rsidR="00484CCD" w:rsidRDefault="00484CCD" w:rsidP="00631E9F">
            <w:pPr>
              <w:spacing w:before="120" w:after="120"/>
              <w:rPr>
                <w:sz w:val="24"/>
                <w:szCs w:val="28"/>
              </w:rPr>
            </w:pPr>
            <w:r>
              <w:rPr>
                <w:sz w:val="24"/>
                <w:szCs w:val="28"/>
              </w:rPr>
              <w:t xml:space="preserve">The year one refundability rules use the corporate eligibility and wage intensity criteria from the R&amp;D tax loss cash-out rules, which are relatively complex. </w:t>
            </w:r>
          </w:p>
        </w:tc>
        <w:tc>
          <w:tcPr>
            <w:tcW w:w="3477" w:type="dxa"/>
          </w:tcPr>
          <w:p w:rsidR="00484CCD" w:rsidRDefault="00126B63" w:rsidP="00F348BD">
            <w:pPr>
              <w:spacing w:before="120" w:after="120"/>
              <w:rPr>
                <w:sz w:val="24"/>
                <w:szCs w:val="28"/>
              </w:rPr>
            </w:pPr>
            <w:r>
              <w:rPr>
                <w:sz w:val="24"/>
                <w:szCs w:val="28"/>
              </w:rPr>
              <w:t>(</w:t>
            </w:r>
            <w:r w:rsidR="00EB1ED2" w:rsidRPr="0044455D">
              <w:rPr>
                <w:rFonts w:cs="Arial"/>
                <w:b/>
                <w:sz w:val="18"/>
                <w:szCs w:val="18"/>
                <w:lang w:val="en-NZ"/>
              </w:rPr>
              <w:t>0</w:t>
            </w:r>
            <w:r>
              <w:rPr>
                <w:sz w:val="24"/>
                <w:szCs w:val="28"/>
              </w:rPr>
              <w:t xml:space="preserve">) </w:t>
            </w:r>
            <w:r w:rsidR="00484CCD">
              <w:rPr>
                <w:sz w:val="24"/>
                <w:szCs w:val="28"/>
              </w:rPr>
              <w:t xml:space="preserve">Compliance costs to firms under a ‘payroll’ taxes cap should either decrease or stay the same. The proposed constraint on refunds will not apply to the majority of claimants and is easy to understand. Overall, compliance costs are likely to </w:t>
            </w:r>
            <w:r w:rsidR="00484CCD">
              <w:rPr>
                <w:sz w:val="24"/>
                <w:szCs w:val="28"/>
              </w:rPr>
              <w:lastRenderedPageBreak/>
              <w:t>decrease, but this e</w:t>
            </w:r>
            <w:r w:rsidR="00EB1ED2">
              <w:rPr>
                <w:sz w:val="24"/>
                <w:szCs w:val="28"/>
              </w:rPr>
              <w:t>ffect is likely to be small.</w:t>
            </w:r>
          </w:p>
        </w:tc>
        <w:tc>
          <w:tcPr>
            <w:tcW w:w="3456" w:type="dxa"/>
          </w:tcPr>
          <w:p w:rsidR="00484CCD" w:rsidRPr="00580981" w:rsidRDefault="00126B63" w:rsidP="000E2CD1">
            <w:pPr>
              <w:spacing w:before="120" w:after="120"/>
              <w:rPr>
                <w:sz w:val="24"/>
                <w:szCs w:val="28"/>
              </w:rPr>
            </w:pPr>
            <w:r>
              <w:rPr>
                <w:sz w:val="24"/>
                <w:szCs w:val="28"/>
              </w:rPr>
              <w:lastRenderedPageBreak/>
              <w:t>(</w:t>
            </w:r>
            <w:r w:rsidR="00EB1ED2" w:rsidRPr="0044455D">
              <w:rPr>
                <w:rFonts w:cs="Arial"/>
                <w:b/>
                <w:color w:val="FF0000"/>
                <w:sz w:val="18"/>
                <w:szCs w:val="18"/>
                <w:lang w:val="en-NZ"/>
              </w:rPr>
              <w:t>-</w:t>
            </w:r>
            <w:r>
              <w:rPr>
                <w:sz w:val="24"/>
                <w:szCs w:val="28"/>
              </w:rPr>
              <w:t xml:space="preserve">) </w:t>
            </w:r>
            <w:r w:rsidR="00484CCD" w:rsidRPr="000A5495">
              <w:rPr>
                <w:sz w:val="24"/>
                <w:szCs w:val="28"/>
              </w:rPr>
              <w:t xml:space="preserve">A TEP test with a range of measures that businesses could choose from would mean they could select the one that imposes the least additional compliance costs. However, if a firm chose to obtain professional certification or undergo </w:t>
            </w:r>
            <w:r w:rsidR="00484CCD" w:rsidRPr="000A5495">
              <w:rPr>
                <w:sz w:val="24"/>
                <w:szCs w:val="28"/>
              </w:rPr>
              <w:lastRenderedPageBreak/>
              <w:t>additional checks by Inland Revenue there would potentially be material compliance costs.</w:t>
            </w:r>
            <w:r w:rsidR="00484CCD">
              <w:rPr>
                <w:sz w:val="24"/>
                <w:szCs w:val="28"/>
              </w:rPr>
              <w:t xml:space="preserve"> Overall, com</w:t>
            </w:r>
            <w:r w:rsidR="00EB1ED2">
              <w:rPr>
                <w:sz w:val="24"/>
                <w:szCs w:val="28"/>
              </w:rPr>
              <w:t>pliance costs may be higher.</w:t>
            </w:r>
          </w:p>
        </w:tc>
        <w:tc>
          <w:tcPr>
            <w:tcW w:w="2901" w:type="dxa"/>
          </w:tcPr>
          <w:p w:rsidR="00680168" w:rsidRDefault="00126B63" w:rsidP="00CE7337">
            <w:pPr>
              <w:spacing w:before="120" w:after="120"/>
              <w:rPr>
                <w:sz w:val="24"/>
                <w:szCs w:val="28"/>
              </w:rPr>
            </w:pPr>
            <w:r>
              <w:rPr>
                <w:sz w:val="24"/>
                <w:szCs w:val="28"/>
              </w:rPr>
              <w:lastRenderedPageBreak/>
              <w:t>(</w:t>
            </w:r>
            <w:r w:rsidR="00EB1ED2" w:rsidRPr="0044455D">
              <w:rPr>
                <w:rFonts w:cs="Arial"/>
                <w:b/>
                <w:sz w:val="18"/>
                <w:szCs w:val="18"/>
                <w:lang w:val="en-NZ"/>
              </w:rPr>
              <w:t>0</w:t>
            </w:r>
            <w:r>
              <w:rPr>
                <w:sz w:val="24"/>
                <w:szCs w:val="28"/>
              </w:rPr>
              <w:t xml:space="preserve">) </w:t>
            </w:r>
            <w:r w:rsidR="00680168">
              <w:rPr>
                <w:sz w:val="24"/>
                <w:szCs w:val="28"/>
              </w:rPr>
              <w:t>A PAYE cap would be simple and have low compliance costs for firms</w:t>
            </w:r>
            <w:r w:rsidR="00CE7337">
              <w:rPr>
                <w:sz w:val="24"/>
                <w:szCs w:val="28"/>
              </w:rPr>
              <w:t>. Overall, compliance costs are likely to decrease, but this e</w:t>
            </w:r>
            <w:r w:rsidR="00EB1ED2">
              <w:rPr>
                <w:sz w:val="24"/>
                <w:szCs w:val="28"/>
              </w:rPr>
              <w:t>ffect is likely to be small.</w:t>
            </w:r>
          </w:p>
          <w:p w:rsidR="00484CCD" w:rsidRPr="00680168" w:rsidRDefault="00680168" w:rsidP="00680168">
            <w:pPr>
              <w:tabs>
                <w:tab w:val="left" w:pos="1800"/>
              </w:tabs>
              <w:rPr>
                <w:sz w:val="24"/>
                <w:szCs w:val="28"/>
              </w:rPr>
            </w:pPr>
            <w:r>
              <w:rPr>
                <w:sz w:val="24"/>
                <w:szCs w:val="28"/>
              </w:rPr>
              <w:lastRenderedPageBreak/>
              <w:tab/>
            </w:r>
          </w:p>
        </w:tc>
      </w:tr>
      <w:tr w:rsidR="00484CCD" w:rsidTr="00484CCD">
        <w:tc>
          <w:tcPr>
            <w:tcW w:w="1910" w:type="dxa"/>
            <w:shd w:val="clear" w:color="auto" w:fill="8DB3E2" w:themeFill="text2" w:themeFillTint="66"/>
          </w:tcPr>
          <w:p w:rsidR="00484CCD" w:rsidRDefault="00B81E34" w:rsidP="00B81E34">
            <w:pPr>
              <w:spacing w:after="0" w:line="240" w:lineRule="auto"/>
              <w:rPr>
                <w:sz w:val="24"/>
                <w:szCs w:val="28"/>
              </w:rPr>
            </w:pPr>
            <w:r>
              <w:rPr>
                <w:sz w:val="24"/>
                <w:szCs w:val="28"/>
              </w:rPr>
              <w:lastRenderedPageBreak/>
              <w:t>Maximise</w:t>
            </w:r>
            <w:r w:rsidR="00484CCD">
              <w:rPr>
                <w:sz w:val="24"/>
                <w:szCs w:val="28"/>
              </w:rPr>
              <w:t xml:space="preserve"> business certainty over time</w:t>
            </w:r>
          </w:p>
        </w:tc>
        <w:tc>
          <w:tcPr>
            <w:tcW w:w="3044" w:type="dxa"/>
          </w:tcPr>
          <w:p w:rsidR="00484CCD" w:rsidRDefault="00484CCD" w:rsidP="003B508C">
            <w:pPr>
              <w:spacing w:before="120" w:after="120"/>
              <w:rPr>
                <w:sz w:val="24"/>
                <w:szCs w:val="28"/>
              </w:rPr>
            </w:pPr>
            <w:r>
              <w:rPr>
                <w:sz w:val="24"/>
                <w:szCs w:val="28"/>
              </w:rPr>
              <w:t>Provides some uncertainty as firms’ eligibility for refundability depends on meeting the wage intensity criteria each year. It also generates uncertainty about ability to take advantage of the Tax Incentive because the low cap on refundable amounts means more credits must be carried forward to future years and may be lost due to shareholder continuity breaches.</w:t>
            </w:r>
          </w:p>
        </w:tc>
        <w:tc>
          <w:tcPr>
            <w:tcW w:w="3477" w:type="dxa"/>
          </w:tcPr>
          <w:p w:rsidR="00484CCD" w:rsidRDefault="00AD2C55" w:rsidP="00D77F8D">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484CCD">
              <w:rPr>
                <w:sz w:val="24"/>
                <w:szCs w:val="28"/>
              </w:rPr>
              <w:t xml:space="preserve">A ‘payroll’ taxes cap would provide increased business certainty, with broad and simple eligibility for refundability. Receipt of cash refunds each year rather than having to carry forward credits that may be lost due to continuity breaches will </w:t>
            </w:r>
            <w:r>
              <w:rPr>
                <w:sz w:val="24"/>
                <w:szCs w:val="28"/>
              </w:rPr>
              <w:t>increase business certainty.</w:t>
            </w:r>
          </w:p>
        </w:tc>
        <w:tc>
          <w:tcPr>
            <w:tcW w:w="3456" w:type="dxa"/>
          </w:tcPr>
          <w:p w:rsidR="00484CCD" w:rsidRDefault="00AD2C55" w:rsidP="00C50E8C">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484CCD">
              <w:rPr>
                <w:sz w:val="24"/>
                <w:szCs w:val="28"/>
              </w:rPr>
              <w:t xml:space="preserve">A TEP test would provide business certainty that refundability could be accessed by pursuing one of the available options. Receipt of cash refunds each year rather than having to carry forward credits that may be lost due to continuity breaches will </w:t>
            </w:r>
            <w:r>
              <w:rPr>
                <w:sz w:val="24"/>
                <w:szCs w:val="28"/>
              </w:rPr>
              <w:t>increase business certainty.</w:t>
            </w:r>
          </w:p>
        </w:tc>
        <w:tc>
          <w:tcPr>
            <w:tcW w:w="2901" w:type="dxa"/>
          </w:tcPr>
          <w:p w:rsidR="00484CCD" w:rsidRDefault="00AD2C55" w:rsidP="00560860">
            <w:pPr>
              <w:spacing w:before="120" w:after="120"/>
              <w:rPr>
                <w:sz w:val="24"/>
                <w:szCs w:val="28"/>
              </w:rPr>
            </w:pPr>
            <w:r>
              <w:rPr>
                <w:sz w:val="24"/>
                <w:szCs w:val="28"/>
              </w:rPr>
              <w:t>(</w:t>
            </w:r>
            <w:r w:rsidRPr="0044455D">
              <w:rPr>
                <w:rFonts w:cs="Arial"/>
                <w:b/>
                <w:color w:val="00B050"/>
                <w:sz w:val="18"/>
                <w:szCs w:val="18"/>
                <w:lang w:val="en-NZ"/>
              </w:rPr>
              <w:t>+</w:t>
            </w:r>
            <w:r>
              <w:rPr>
                <w:sz w:val="24"/>
                <w:szCs w:val="28"/>
              </w:rPr>
              <w:t xml:space="preserve">) </w:t>
            </w:r>
            <w:r w:rsidR="00560860">
              <w:rPr>
                <w:sz w:val="24"/>
                <w:szCs w:val="28"/>
              </w:rPr>
              <w:t>A PAYE cap would provide relative business certainty, with the refundable amount changing based on what a firm pays to its employees. Receipt of cash refunds each year rather than having to carry forward credits that may be lost due to continuity breaches will in</w:t>
            </w:r>
            <w:r>
              <w:rPr>
                <w:sz w:val="24"/>
                <w:szCs w:val="28"/>
              </w:rPr>
              <w:t>crease business certainty.</w:t>
            </w:r>
          </w:p>
        </w:tc>
      </w:tr>
      <w:tr w:rsidR="00484CCD" w:rsidTr="00484CCD">
        <w:tc>
          <w:tcPr>
            <w:tcW w:w="1910" w:type="dxa"/>
            <w:shd w:val="clear" w:color="auto" w:fill="8DB3E2" w:themeFill="text2" w:themeFillTint="66"/>
          </w:tcPr>
          <w:p w:rsidR="00484CCD" w:rsidRDefault="00484CCD" w:rsidP="00B81E34">
            <w:pPr>
              <w:spacing w:after="0" w:line="240" w:lineRule="auto"/>
              <w:rPr>
                <w:sz w:val="24"/>
                <w:szCs w:val="28"/>
              </w:rPr>
            </w:pPr>
            <w:r>
              <w:rPr>
                <w:sz w:val="24"/>
                <w:szCs w:val="28"/>
              </w:rPr>
              <w:t>Administrative</w:t>
            </w:r>
            <w:r w:rsidR="00B81E34">
              <w:rPr>
                <w:sz w:val="24"/>
                <w:szCs w:val="28"/>
              </w:rPr>
              <w:t>ly feasible</w:t>
            </w:r>
          </w:p>
        </w:tc>
        <w:tc>
          <w:tcPr>
            <w:tcW w:w="3044" w:type="dxa"/>
          </w:tcPr>
          <w:p w:rsidR="00484CCD" w:rsidRDefault="00484CCD" w:rsidP="00162806">
            <w:pPr>
              <w:spacing w:before="120" w:after="120"/>
              <w:rPr>
                <w:sz w:val="24"/>
                <w:szCs w:val="28"/>
              </w:rPr>
            </w:pPr>
            <w:r w:rsidRPr="00162806">
              <w:rPr>
                <w:sz w:val="24"/>
                <w:szCs w:val="28"/>
                <w:lang w:val="en-NZ"/>
              </w:rPr>
              <w:t>Based on high-level estimates, Inland Revenue’s cost of administering the R&amp;D Tax Incentive is for</w:t>
            </w:r>
            <w:r>
              <w:rPr>
                <w:sz w:val="24"/>
                <w:szCs w:val="28"/>
                <w:lang w:val="en-NZ"/>
              </w:rPr>
              <w:t>ecast to be up to $6m per annum</w:t>
            </w:r>
            <w:r w:rsidRPr="00162806">
              <w:rPr>
                <w:sz w:val="24"/>
                <w:szCs w:val="28"/>
                <w:lang w:val="en-NZ"/>
              </w:rPr>
              <w:t>.</w:t>
            </w:r>
          </w:p>
        </w:tc>
        <w:tc>
          <w:tcPr>
            <w:tcW w:w="3477" w:type="dxa"/>
          </w:tcPr>
          <w:p w:rsidR="00484CCD" w:rsidRDefault="00AD2C55" w:rsidP="00106DCB">
            <w:pPr>
              <w:spacing w:before="120" w:after="120"/>
              <w:rPr>
                <w:sz w:val="24"/>
                <w:szCs w:val="28"/>
              </w:rPr>
            </w:pPr>
            <w:r>
              <w:rPr>
                <w:sz w:val="24"/>
                <w:szCs w:val="28"/>
              </w:rPr>
              <w:t>(</w:t>
            </w:r>
            <w:r w:rsidRPr="0044455D">
              <w:rPr>
                <w:rFonts w:cs="Arial"/>
                <w:b/>
                <w:sz w:val="18"/>
                <w:szCs w:val="18"/>
                <w:lang w:val="en-NZ"/>
              </w:rPr>
              <w:t>0</w:t>
            </w:r>
            <w:r>
              <w:rPr>
                <w:sz w:val="24"/>
                <w:szCs w:val="28"/>
              </w:rPr>
              <w:t xml:space="preserve">) </w:t>
            </w:r>
            <w:r w:rsidR="00484CCD">
              <w:rPr>
                <w:sz w:val="24"/>
                <w:szCs w:val="28"/>
              </w:rPr>
              <w:t>A ‘payroll’ taxes cap would be easy to administer</w:t>
            </w:r>
            <w:r w:rsidR="00484CCD">
              <w:rPr>
                <w:sz w:val="24"/>
                <w:szCs w:val="28"/>
                <w:lang w:val="en-NZ"/>
              </w:rPr>
              <w:t xml:space="preserve"> and is expected to have no or negligible additional effects on administrative feasibility</w:t>
            </w:r>
            <w:r w:rsidR="00484CCD" w:rsidRPr="00162806">
              <w:rPr>
                <w:sz w:val="24"/>
                <w:szCs w:val="28"/>
                <w:lang w:val="en-NZ"/>
              </w:rPr>
              <w:t>.</w:t>
            </w:r>
          </w:p>
        </w:tc>
        <w:tc>
          <w:tcPr>
            <w:tcW w:w="3456" w:type="dxa"/>
          </w:tcPr>
          <w:p w:rsidR="00484CCD" w:rsidRDefault="00AD2C55" w:rsidP="001F4FF3">
            <w:pPr>
              <w:spacing w:before="120" w:after="120"/>
              <w:rPr>
                <w:sz w:val="24"/>
                <w:szCs w:val="28"/>
                <w:lang w:val="en-NZ"/>
              </w:rPr>
            </w:pPr>
            <w:r>
              <w:rPr>
                <w:sz w:val="24"/>
                <w:szCs w:val="28"/>
              </w:rPr>
              <w:t>(</w:t>
            </w:r>
            <w:r w:rsidRPr="0044455D">
              <w:rPr>
                <w:rFonts w:cs="Arial"/>
                <w:b/>
                <w:color w:val="FF0000"/>
                <w:sz w:val="18"/>
                <w:szCs w:val="18"/>
                <w:lang w:val="en-NZ"/>
              </w:rPr>
              <w:t>-</w:t>
            </w:r>
            <w:r>
              <w:rPr>
                <w:sz w:val="24"/>
                <w:szCs w:val="28"/>
              </w:rPr>
              <w:t xml:space="preserve">) </w:t>
            </w:r>
            <w:r w:rsidR="00484CCD">
              <w:rPr>
                <w:sz w:val="24"/>
                <w:szCs w:val="28"/>
              </w:rPr>
              <w:t>Most options under a TEP test would be easy to administer, but completing Inland Revenue reviews could increase administrative costs and timeframes</w:t>
            </w:r>
            <w:r w:rsidR="00484CCD" w:rsidRPr="00162806">
              <w:rPr>
                <w:sz w:val="24"/>
                <w:szCs w:val="28"/>
                <w:lang w:val="en-NZ"/>
              </w:rPr>
              <w:t>.</w:t>
            </w:r>
            <w:r w:rsidR="00484CCD">
              <w:rPr>
                <w:sz w:val="24"/>
                <w:szCs w:val="28"/>
                <w:lang w:val="en-NZ"/>
              </w:rPr>
              <w:t xml:space="preserve"> Administrative resources may </w:t>
            </w:r>
            <w:r w:rsidR="00484CCD">
              <w:rPr>
                <w:sz w:val="24"/>
                <w:szCs w:val="28"/>
                <w:lang w:val="en-NZ"/>
              </w:rPr>
              <w:lastRenderedPageBreak/>
              <w:t>also be required to focus more on audits rath</w:t>
            </w:r>
            <w:r>
              <w:rPr>
                <w:sz w:val="24"/>
                <w:szCs w:val="28"/>
                <w:lang w:val="en-NZ"/>
              </w:rPr>
              <w:t>er than approving R&amp;D activity.</w:t>
            </w:r>
          </w:p>
        </w:tc>
        <w:tc>
          <w:tcPr>
            <w:tcW w:w="2901" w:type="dxa"/>
          </w:tcPr>
          <w:p w:rsidR="009674FA" w:rsidRDefault="00AD2C55" w:rsidP="001F4FF3">
            <w:pPr>
              <w:spacing w:before="120" w:after="120"/>
              <w:rPr>
                <w:sz w:val="24"/>
                <w:szCs w:val="28"/>
              </w:rPr>
            </w:pPr>
            <w:r>
              <w:rPr>
                <w:sz w:val="24"/>
                <w:szCs w:val="28"/>
              </w:rPr>
              <w:lastRenderedPageBreak/>
              <w:t>(</w:t>
            </w:r>
            <w:r w:rsidRPr="0044455D">
              <w:rPr>
                <w:rFonts w:cs="Arial"/>
                <w:b/>
                <w:sz w:val="18"/>
                <w:szCs w:val="18"/>
                <w:lang w:val="en-NZ"/>
              </w:rPr>
              <w:t>0</w:t>
            </w:r>
            <w:r>
              <w:rPr>
                <w:sz w:val="24"/>
                <w:szCs w:val="28"/>
              </w:rPr>
              <w:t xml:space="preserve">) </w:t>
            </w:r>
            <w:r w:rsidR="009674FA">
              <w:rPr>
                <w:sz w:val="24"/>
                <w:szCs w:val="28"/>
              </w:rPr>
              <w:t xml:space="preserve">A PAYE cap would be easy to administer, </w:t>
            </w:r>
            <w:r w:rsidR="009674FA">
              <w:rPr>
                <w:sz w:val="24"/>
                <w:szCs w:val="28"/>
                <w:lang w:val="en-NZ"/>
              </w:rPr>
              <w:t>and is expected to have no or negligible additional effects on administrative feasibility</w:t>
            </w:r>
            <w:r w:rsidR="009674FA" w:rsidRPr="00162806">
              <w:rPr>
                <w:sz w:val="24"/>
                <w:szCs w:val="28"/>
                <w:lang w:val="en-NZ"/>
              </w:rPr>
              <w:t>.</w:t>
            </w:r>
          </w:p>
        </w:tc>
      </w:tr>
      <w:tr w:rsidR="00484CCD" w:rsidTr="00484CCD">
        <w:tc>
          <w:tcPr>
            <w:tcW w:w="1910" w:type="dxa"/>
            <w:shd w:val="clear" w:color="auto" w:fill="8DB3E2" w:themeFill="text2" w:themeFillTint="66"/>
          </w:tcPr>
          <w:p w:rsidR="00484CCD" w:rsidRDefault="00B81E34" w:rsidP="00B81E34">
            <w:pPr>
              <w:spacing w:after="0" w:line="240" w:lineRule="auto"/>
              <w:rPr>
                <w:sz w:val="24"/>
                <w:szCs w:val="28"/>
              </w:rPr>
            </w:pPr>
            <w:r>
              <w:rPr>
                <w:sz w:val="24"/>
                <w:szCs w:val="28"/>
              </w:rPr>
              <w:t>Minimise f</w:t>
            </w:r>
            <w:r w:rsidR="00484CCD">
              <w:rPr>
                <w:sz w:val="24"/>
                <w:szCs w:val="28"/>
              </w:rPr>
              <w:t>iscal costs/risk</w:t>
            </w:r>
          </w:p>
        </w:tc>
        <w:tc>
          <w:tcPr>
            <w:tcW w:w="3044" w:type="dxa"/>
          </w:tcPr>
          <w:p w:rsidR="00484CCD" w:rsidRDefault="00484CCD" w:rsidP="00D12479">
            <w:pPr>
              <w:spacing w:before="120" w:after="120"/>
              <w:rPr>
                <w:sz w:val="24"/>
                <w:szCs w:val="28"/>
              </w:rPr>
            </w:pPr>
            <w:r w:rsidRPr="006C65B9">
              <w:rPr>
                <w:sz w:val="24"/>
                <w:szCs w:val="28"/>
                <w:lang w:val="en-NZ"/>
              </w:rPr>
              <w:t>Fiscal costs are forecast to be $1</w:t>
            </w:r>
            <w:r>
              <w:rPr>
                <w:sz w:val="24"/>
                <w:szCs w:val="28"/>
                <w:lang w:val="en-NZ"/>
              </w:rPr>
              <w:t>,34</w:t>
            </w:r>
            <w:r w:rsidRPr="006C65B9">
              <w:rPr>
                <w:sz w:val="24"/>
                <w:szCs w:val="28"/>
                <w:lang w:val="en-NZ"/>
              </w:rPr>
              <w:t>5</w:t>
            </w:r>
            <w:r>
              <w:rPr>
                <w:sz w:val="24"/>
                <w:szCs w:val="28"/>
                <w:lang w:val="en-NZ"/>
              </w:rPr>
              <w:t xml:space="preserve"> million</w:t>
            </w:r>
            <w:r w:rsidRPr="006C65B9">
              <w:rPr>
                <w:sz w:val="24"/>
                <w:szCs w:val="28"/>
                <w:lang w:val="en-NZ"/>
              </w:rPr>
              <w:t xml:space="preserve"> (direct costs) plus $19.5</w:t>
            </w:r>
            <w:r>
              <w:rPr>
                <w:sz w:val="24"/>
                <w:szCs w:val="28"/>
                <w:lang w:val="en-NZ"/>
              </w:rPr>
              <w:t xml:space="preserve"> million</w:t>
            </w:r>
            <w:r w:rsidRPr="006C65B9">
              <w:rPr>
                <w:sz w:val="24"/>
                <w:szCs w:val="28"/>
                <w:lang w:val="en-NZ"/>
              </w:rPr>
              <w:t xml:space="preserve"> (administration costs) from 1 April 2019 to 30 June 2022. In Budget 2018 the Government allocated $1,020</w:t>
            </w:r>
            <w:r>
              <w:rPr>
                <w:sz w:val="24"/>
                <w:szCs w:val="28"/>
                <w:lang w:val="en-NZ"/>
              </w:rPr>
              <w:t xml:space="preserve"> million</w:t>
            </w:r>
            <w:r w:rsidRPr="006C65B9">
              <w:rPr>
                <w:sz w:val="24"/>
                <w:szCs w:val="28"/>
                <w:lang w:val="en-NZ"/>
              </w:rPr>
              <w:t xml:space="preserve"> for the R&amp;D Tax Incentive, in addition to the </w:t>
            </w:r>
            <w:r>
              <w:rPr>
                <w:sz w:val="24"/>
                <w:szCs w:val="28"/>
                <w:lang w:val="en-NZ"/>
              </w:rPr>
              <w:t xml:space="preserve">$528 million </w:t>
            </w:r>
            <w:r w:rsidRPr="006C65B9">
              <w:rPr>
                <w:sz w:val="24"/>
                <w:szCs w:val="28"/>
                <w:lang w:val="en-NZ"/>
              </w:rPr>
              <w:t>already allocated for Growth Grants.</w:t>
            </w:r>
          </w:p>
        </w:tc>
        <w:tc>
          <w:tcPr>
            <w:tcW w:w="3477" w:type="dxa"/>
          </w:tcPr>
          <w:p w:rsidR="00484CCD" w:rsidRDefault="00AD2C55" w:rsidP="00896B1F">
            <w:pPr>
              <w:spacing w:before="120" w:after="120"/>
              <w:rPr>
                <w:sz w:val="24"/>
                <w:szCs w:val="28"/>
              </w:rPr>
            </w:pPr>
            <w:r>
              <w:rPr>
                <w:sz w:val="24"/>
                <w:szCs w:val="28"/>
              </w:rPr>
              <w:t>(</w:t>
            </w:r>
            <w:r w:rsidRPr="0044455D">
              <w:rPr>
                <w:rFonts w:cs="Arial"/>
                <w:b/>
                <w:color w:val="FF0000"/>
                <w:sz w:val="18"/>
                <w:szCs w:val="18"/>
                <w:lang w:val="en-NZ"/>
              </w:rPr>
              <w:t>-</w:t>
            </w:r>
            <w:r>
              <w:rPr>
                <w:sz w:val="24"/>
                <w:szCs w:val="28"/>
              </w:rPr>
              <w:t xml:space="preserve">) </w:t>
            </w:r>
            <w:r w:rsidR="00484CCD" w:rsidRPr="00FB4A1C">
              <w:rPr>
                <w:sz w:val="24"/>
                <w:szCs w:val="28"/>
              </w:rPr>
              <w:t xml:space="preserve">We anticipate that allowing refundability </w:t>
            </w:r>
            <w:r w:rsidR="00484CCD">
              <w:rPr>
                <w:sz w:val="24"/>
                <w:szCs w:val="28"/>
              </w:rPr>
              <w:t xml:space="preserve">under a ‘payroll’ taxes cap </w:t>
            </w:r>
            <w:r w:rsidR="00484CCD" w:rsidRPr="00FB4A1C">
              <w:rPr>
                <w:sz w:val="24"/>
                <w:szCs w:val="28"/>
              </w:rPr>
              <w:t xml:space="preserve">will increase the </w:t>
            </w:r>
            <w:r w:rsidR="00484CCD">
              <w:rPr>
                <w:sz w:val="24"/>
                <w:szCs w:val="28"/>
              </w:rPr>
              <w:t>up</w:t>
            </w:r>
            <w:r w:rsidR="00484CCD" w:rsidRPr="00FB4A1C">
              <w:rPr>
                <w:sz w:val="24"/>
                <w:szCs w:val="28"/>
              </w:rPr>
              <w:t xml:space="preserve">take of the Tax Incentive. This in turn will increase the R&amp;D expenditure performed by firms, and the amount claimed under the Tax Incentive. </w:t>
            </w:r>
            <w:r w:rsidR="00484CCD">
              <w:rPr>
                <w:sz w:val="24"/>
                <w:szCs w:val="28"/>
              </w:rPr>
              <w:t>An increase in claims lends itself to increased fiscal costs.</w:t>
            </w:r>
          </w:p>
          <w:p w:rsidR="00484CCD" w:rsidRDefault="00484CCD" w:rsidP="00E1193A">
            <w:pPr>
              <w:spacing w:before="120" w:after="120"/>
              <w:rPr>
                <w:sz w:val="24"/>
                <w:szCs w:val="28"/>
              </w:rPr>
            </w:pPr>
            <w:r>
              <w:rPr>
                <w:sz w:val="24"/>
                <w:szCs w:val="28"/>
              </w:rPr>
              <w:t>However, t</w:t>
            </w:r>
            <w:r w:rsidRPr="0014255E">
              <w:rPr>
                <w:sz w:val="24"/>
                <w:szCs w:val="28"/>
              </w:rPr>
              <w:t>he appropriation for the Tax Incentive in Budget 2018 already allows for the fiscal cost</w:t>
            </w:r>
            <w:r>
              <w:rPr>
                <w:sz w:val="24"/>
                <w:szCs w:val="28"/>
              </w:rPr>
              <w:t xml:space="preserve"> of </w:t>
            </w:r>
            <w:r w:rsidRPr="0014255E">
              <w:rPr>
                <w:sz w:val="24"/>
                <w:szCs w:val="28"/>
              </w:rPr>
              <w:t>full refundability.</w:t>
            </w:r>
            <w:r>
              <w:rPr>
                <w:sz w:val="24"/>
                <w:szCs w:val="28"/>
              </w:rPr>
              <w:t xml:space="preserve"> This is because the existing fiscal cost model assumed no constraint on refundability.</w:t>
            </w:r>
          </w:p>
          <w:p w:rsidR="00484CCD" w:rsidRPr="0014255E" w:rsidRDefault="00484CCD" w:rsidP="000E7FA9">
            <w:pPr>
              <w:spacing w:before="120" w:after="120"/>
              <w:rPr>
                <w:sz w:val="24"/>
                <w:szCs w:val="28"/>
              </w:rPr>
            </w:pPr>
            <w:r>
              <w:rPr>
                <w:sz w:val="24"/>
                <w:szCs w:val="28"/>
              </w:rPr>
              <w:t xml:space="preserve">As discussed previously, </w:t>
            </w:r>
            <w:r w:rsidRPr="0014255E">
              <w:rPr>
                <w:sz w:val="24"/>
                <w:szCs w:val="28"/>
              </w:rPr>
              <w:t>if New Zealand were to experience R&amp;D growth equivalent to the refundable part of the Australian scheme, we have estimated that it might add approximately $40</w:t>
            </w:r>
            <w:r>
              <w:rPr>
                <w:sz w:val="24"/>
                <w:szCs w:val="28"/>
              </w:rPr>
              <w:t xml:space="preserve"> million</w:t>
            </w:r>
            <w:r w:rsidRPr="0014255E">
              <w:rPr>
                <w:sz w:val="24"/>
                <w:szCs w:val="28"/>
              </w:rPr>
              <w:t xml:space="preserve"> </w:t>
            </w:r>
            <w:r>
              <w:rPr>
                <w:sz w:val="24"/>
                <w:szCs w:val="28"/>
              </w:rPr>
              <w:t xml:space="preserve">(over the period of the </w:t>
            </w:r>
            <w:r>
              <w:rPr>
                <w:sz w:val="24"/>
                <w:szCs w:val="28"/>
              </w:rPr>
              <w:lastRenderedPageBreak/>
              <w:t xml:space="preserve">appropriation) </w:t>
            </w:r>
            <w:r w:rsidRPr="0014255E">
              <w:rPr>
                <w:sz w:val="24"/>
                <w:szCs w:val="28"/>
              </w:rPr>
              <w:t xml:space="preserve">to our estimates of the fiscal costs of </w:t>
            </w:r>
            <w:r>
              <w:rPr>
                <w:sz w:val="24"/>
                <w:szCs w:val="28"/>
              </w:rPr>
              <w:t xml:space="preserve">the </w:t>
            </w:r>
            <w:r w:rsidRPr="0014255E">
              <w:rPr>
                <w:sz w:val="24"/>
                <w:szCs w:val="28"/>
              </w:rPr>
              <w:t>R&amp;D Tax Incentive.</w:t>
            </w:r>
          </w:p>
          <w:p w:rsidR="00484CCD" w:rsidRDefault="00484CCD" w:rsidP="000E7FA9">
            <w:pPr>
              <w:spacing w:before="120" w:after="120"/>
              <w:rPr>
                <w:sz w:val="24"/>
                <w:szCs w:val="28"/>
              </w:rPr>
            </w:pPr>
            <w:r>
              <w:rPr>
                <w:sz w:val="24"/>
                <w:szCs w:val="28"/>
              </w:rPr>
              <w:t xml:space="preserve">If this $40 million were added to the forecast costs of full refundability, it would still be within the existing appropriation (which has an approximate buffer of $200 million). Therefore, no further appropriation is being requested. </w:t>
            </w:r>
          </w:p>
        </w:tc>
        <w:tc>
          <w:tcPr>
            <w:tcW w:w="3456" w:type="dxa"/>
          </w:tcPr>
          <w:p w:rsidR="00484CCD" w:rsidRDefault="00AD2C55" w:rsidP="00DE3BCE">
            <w:pPr>
              <w:spacing w:before="120" w:after="120"/>
              <w:rPr>
                <w:sz w:val="24"/>
                <w:szCs w:val="28"/>
              </w:rPr>
            </w:pPr>
            <w:r>
              <w:rPr>
                <w:sz w:val="24"/>
                <w:szCs w:val="28"/>
              </w:rPr>
              <w:lastRenderedPageBreak/>
              <w:t>(</w:t>
            </w:r>
            <w:r w:rsidRPr="0044455D">
              <w:rPr>
                <w:rFonts w:cs="Arial"/>
                <w:b/>
                <w:color w:val="FF0000"/>
                <w:sz w:val="18"/>
                <w:szCs w:val="18"/>
                <w:lang w:val="en-NZ"/>
              </w:rPr>
              <w:t>-</w:t>
            </w:r>
            <w:r>
              <w:rPr>
                <w:sz w:val="24"/>
                <w:szCs w:val="28"/>
              </w:rPr>
              <w:t xml:space="preserve">) </w:t>
            </w:r>
            <w:r w:rsidR="00484CCD" w:rsidRPr="00FB4A1C">
              <w:rPr>
                <w:sz w:val="24"/>
                <w:szCs w:val="28"/>
              </w:rPr>
              <w:t xml:space="preserve">We anticipate that allowing refundability </w:t>
            </w:r>
            <w:r w:rsidR="00484CCD">
              <w:rPr>
                <w:sz w:val="24"/>
                <w:szCs w:val="28"/>
              </w:rPr>
              <w:t xml:space="preserve">under a TEP test </w:t>
            </w:r>
            <w:r w:rsidR="00484CCD" w:rsidRPr="00FB4A1C">
              <w:rPr>
                <w:sz w:val="24"/>
                <w:szCs w:val="28"/>
              </w:rPr>
              <w:t xml:space="preserve">will increase the </w:t>
            </w:r>
            <w:r w:rsidR="00484CCD">
              <w:rPr>
                <w:sz w:val="24"/>
                <w:szCs w:val="28"/>
              </w:rPr>
              <w:t>up</w:t>
            </w:r>
            <w:r w:rsidR="00484CCD" w:rsidRPr="00FB4A1C">
              <w:rPr>
                <w:sz w:val="24"/>
                <w:szCs w:val="28"/>
              </w:rPr>
              <w:t xml:space="preserve">take of the Tax Incentive. This in turn will increase the R&amp;D expenditure performed by firms, and the amount claimed under the Tax Incentive. </w:t>
            </w:r>
            <w:r w:rsidR="00484CCD">
              <w:rPr>
                <w:sz w:val="24"/>
                <w:szCs w:val="28"/>
              </w:rPr>
              <w:t>An increase in claims lends itself to increased fiscal costs.</w:t>
            </w:r>
          </w:p>
          <w:p w:rsidR="00484CCD" w:rsidRDefault="00484CCD" w:rsidP="00DE3BCE">
            <w:pPr>
              <w:spacing w:before="120" w:after="120"/>
              <w:rPr>
                <w:sz w:val="24"/>
                <w:szCs w:val="28"/>
              </w:rPr>
            </w:pPr>
            <w:r>
              <w:rPr>
                <w:sz w:val="24"/>
                <w:szCs w:val="28"/>
              </w:rPr>
              <w:t>The increased potential for fraudulent claims leads to a potentially higher fiscal risk. The $5 million cap would provide a limit on refundable tax credits, but would not constrain the amount of eligible tax credits that could be carried forward and would still be a fiscal cost.</w:t>
            </w:r>
          </w:p>
          <w:p w:rsidR="00484CCD" w:rsidRDefault="00484CCD" w:rsidP="00DE3BCE">
            <w:pPr>
              <w:spacing w:before="120" w:after="120"/>
              <w:rPr>
                <w:sz w:val="24"/>
                <w:szCs w:val="28"/>
              </w:rPr>
            </w:pPr>
            <w:r>
              <w:rPr>
                <w:sz w:val="24"/>
                <w:szCs w:val="28"/>
              </w:rPr>
              <w:t>However, t</w:t>
            </w:r>
            <w:r w:rsidRPr="0014255E">
              <w:rPr>
                <w:sz w:val="24"/>
                <w:szCs w:val="28"/>
              </w:rPr>
              <w:t>he appropriation for the Tax Incentive in Budget 2018 already allows for the fiscal cost</w:t>
            </w:r>
            <w:r>
              <w:rPr>
                <w:sz w:val="24"/>
                <w:szCs w:val="28"/>
              </w:rPr>
              <w:t xml:space="preserve"> of </w:t>
            </w:r>
            <w:r w:rsidRPr="0014255E">
              <w:rPr>
                <w:sz w:val="24"/>
                <w:szCs w:val="28"/>
              </w:rPr>
              <w:t>full refundability.</w:t>
            </w:r>
            <w:r>
              <w:rPr>
                <w:sz w:val="24"/>
                <w:szCs w:val="28"/>
              </w:rPr>
              <w:t xml:space="preserve"> This is because the existing fiscal cost model assumed no </w:t>
            </w:r>
            <w:r>
              <w:rPr>
                <w:sz w:val="24"/>
                <w:szCs w:val="28"/>
              </w:rPr>
              <w:lastRenderedPageBreak/>
              <w:t>constraint on refundability.</w:t>
            </w:r>
          </w:p>
          <w:p w:rsidR="00484CCD" w:rsidRPr="0014255E" w:rsidRDefault="00484CCD" w:rsidP="00DE3BCE">
            <w:pPr>
              <w:spacing w:before="120" w:after="120"/>
              <w:rPr>
                <w:sz w:val="24"/>
                <w:szCs w:val="28"/>
              </w:rPr>
            </w:pPr>
            <w:r>
              <w:rPr>
                <w:sz w:val="24"/>
                <w:szCs w:val="28"/>
              </w:rPr>
              <w:t xml:space="preserve">As discussed previously, </w:t>
            </w:r>
            <w:r w:rsidRPr="0014255E">
              <w:rPr>
                <w:sz w:val="24"/>
                <w:szCs w:val="28"/>
              </w:rPr>
              <w:t>if New Zealand were to experience R&amp;D growth equivalent to the refundable part of the Australian scheme, we have estimated that it might add approximately $40</w:t>
            </w:r>
            <w:r>
              <w:rPr>
                <w:sz w:val="24"/>
                <w:szCs w:val="28"/>
              </w:rPr>
              <w:t xml:space="preserve"> million</w:t>
            </w:r>
            <w:r w:rsidRPr="0014255E">
              <w:rPr>
                <w:sz w:val="24"/>
                <w:szCs w:val="28"/>
              </w:rPr>
              <w:t xml:space="preserve"> </w:t>
            </w:r>
            <w:r>
              <w:rPr>
                <w:sz w:val="24"/>
                <w:szCs w:val="28"/>
              </w:rPr>
              <w:t xml:space="preserve">(over the period of the appropriation) </w:t>
            </w:r>
            <w:r w:rsidRPr="0014255E">
              <w:rPr>
                <w:sz w:val="24"/>
                <w:szCs w:val="28"/>
              </w:rPr>
              <w:t xml:space="preserve">to our estimates of the fiscal costs of </w:t>
            </w:r>
            <w:r>
              <w:rPr>
                <w:sz w:val="24"/>
                <w:szCs w:val="28"/>
              </w:rPr>
              <w:t xml:space="preserve">the </w:t>
            </w:r>
            <w:r w:rsidRPr="0014255E">
              <w:rPr>
                <w:sz w:val="24"/>
                <w:szCs w:val="28"/>
              </w:rPr>
              <w:t>R&amp;D Tax Incentive.</w:t>
            </w:r>
          </w:p>
          <w:p w:rsidR="00484CCD" w:rsidRDefault="00484CCD" w:rsidP="00DE3BCE">
            <w:pPr>
              <w:spacing w:before="120" w:after="120"/>
              <w:rPr>
                <w:sz w:val="24"/>
                <w:szCs w:val="28"/>
              </w:rPr>
            </w:pPr>
            <w:r>
              <w:rPr>
                <w:sz w:val="24"/>
                <w:szCs w:val="28"/>
              </w:rPr>
              <w:t>If this $40 million were added to the forecast costs of full refundability, it would still be within the existing appropriation (which has an approximate buffer of $200 million). Therefore, no further appro</w:t>
            </w:r>
            <w:r w:rsidR="00AD2C55">
              <w:rPr>
                <w:sz w:val="24"/>
                <w:szCs w:val="28"/>
              </w:rPr>
              <w:t>priation is being requested.</w:t>
            </w:r>
          </w:p>
        </w:tc>
        <w:tc>
          <w:tcPr>
            <w:tcW w:w="2901" w:type="dxa"/>
          </w:tcPr>
          <w:p w:rsidR="00C02A97" w:rsidRDefault="00AD2C55" w:rsidP="00C02A97">
            <w:pPr>
              <w:spacing w:before="120" w:after="120"/>
              <w:rPr>
                <w:sz w:val="24"/>
                <w:szCs w:val="28"/>
              </w:rPr>
            </w:pPr>
            <w:r>
              <w:rPr>
                <w:sz w:val="24"/>
                <w:szCs w:val="28"/>
              </w:rPr>
              <w:lastRenderedPageBreak/>
              <w:t>(</w:t>
            </w:r>
            <w:r w:rsidRPr="0044455D">
              <w:rPr>
                <w:rFonts w:cs="Arial"/>
                <w:b/>
                <w:color w:val="FF0000"/>
                <w:sz w:val="18"/>
                <w:szCs w:val="18"/>
                <w:lang w:val="en-NZ"/>
              </w:rPr>
              <w:t>-</w:t>
            </w:r>
            <w:r>
              <w:rPr>
                <w:sz w:val="24"/>
                <w:szCs w:val="28"/>
              </w:rPr>
              <w:t xml:space="preserve">) </w:t>
            </w:r>
            <w:r w:rsidR="00C02A97" w:rsidRPr="00FB4A1C">
              <w:rPr>
                <w:sz w:val="24"/>
                <w:szCs w:val="28"/>
              </w:rPr>
              <w:t xml:space="preserve">We anticipate that allowing refundability </w:t>
            </w:r>
            <w:r w:rsidR="00C02A97">
              <w:rPr>
                <w:sz w:val="24"/>
                <w:szCs w:val="28"/>
              </w:rPr>
              <w:t xml:space="preserve">under a PAYE cap </w:t>
            </w:r>
            <w:r w:rsidR="00C02A97" w:rsidRPr="00FB4A1C">
              <w:rPr>
                <w:sz w:val="24"/>
                <w:szCs w:val="28"/>
              </w:rPr>
              <w:t xml:space="preserve">will increase the </w:t>
            </w:r>
            <w:r w:rsidR="00C02A97">
              <w:rPr>
                <w:sz w:val="24"/>
                <w:szCs w:val="28"/>
              </w:rPr>
              <w:t>up</w:t>
            </w:r>
            <w:r w:rsidR="00C02A97" w:rsidRPr="00FB4A1C">
              <w:rPr>
                <w:sz w:val="24"/>
                <w:szCs w:val="28"/>
              </w:rPr>
              <w:t xml:space="preserve">take of the Tax Incentive. This in turn will increase the R&amp;D expenditure performed by firms, and the amount claimed under the Tax Incentive. </w:t>
            </w:r>
            <w:r w:rsidR="00C02A97">
              <w:rPr>
                <w:sz w:val="24"/>
                <w:szCs w:val="28"/>
              </w:rPr>
              <w:t>An increase in claims lends itself to increased fiscal costs.</w:t>
            </w:r>
          </w:p>
          <w:p w:rsidR="00C02A97" w:rsidRDefault="00C02A97" w:rsidP="00C02A97">
            <w:pPr>
              <w:spacing w:before="120" w:after="120"/>
              <w:rPr>
                <w:sz w:val="24"/>
                <w:szCs w:val="28"/>
              </w:rPr>
            </w:pPr>
            <w:r>
              <w:rPr>
                <w:sz w:val="24"/>
                <w:szCs w:val="28"/>
              </w:rPr>
              <w:t>However, t</w:t>
            </w:r>
            <w:r w:rsidRPr="0014255E">
              <w:rPr>
                <w:sz w:val="24"/>
                <w:szCs w:val="28"/>
              </w:rPr>
              <w:t>he appropriation for the Tax Incentive in Budget 2018 already allows for the fiscal cost</w:t>
            </w:r>
            <w:r>
              <w:rPr>
                <w:sz w:val="24"/>
                <w:szCs w:val="28"/>
              </w:rPr>
              <w:t xml:space="preserve"> of </w:t>
            </w:r>
            <w:r w:rsidRPr="0014255E">
              <w:rPr>
                <w:sz w:val="24"/>
                <w:szCs w:val="28"/>
              </w:rPr>
              <w:t>full refundability.</w:t>
            </w:r>
            <w:r>
              <w:rPr>
                <w:sz w:val="24"/>
                <w:szCs w:val="28"/>
              </w:rPr>
              <w:t xml:space="preserve"> This is because the existing fiscal cost model assumed no constraint on refundability.</w:t>
            </w:r>
          </w:p>
          <w:p w:rsidR="00C02A97" w:rsidRPr="0014255E" w:rsidRDefault="00C02A97" w:rsidP="00C02A97">
            <w:pPr>
              <w:spacing w:before="120" w:after="120"/>
              <w:rPr>
                <w:sz w:val="24"/>
                <w:szCs w:val="28"/>
              </w:rPr>
            </w:pPr>
            <w:r>
              <w:rPr>
                <w:sz w:val="24"/>
                <w:szCs w:val="28"/>
              </w:rPr>
              <w:t xml:space="preserve">As discussed previously, </w:t>
            </w:r>
            <w:r w:rsidRPr="0014255E">
              <w:rPr>
                <w:sz w:val="24"/>
                <w:szCs w:val="28"/>
              </w:rPr>
              <w:t xml:space="preserve">if New Zealand were to experience R&amp;D growth </w:t>
            </w:r>
            <w:r w:rsidRPr="0014255E">
              <w:rPr>
                <w:sz w:val="24"/>
                <w:szCs w:val="28"/>
              </w:rPr>
              <w:lastRenderedPageBreak/>
              <w:t>equivalent to the refundable part of the Australian scheme, we have estimated that it might add approximately $40</w:t>
            </w:r>
            <w:r>
              <w:rPr>
                <w:sz w:val="24"/>
                <w:szCs w:val="28"/>
              </w:rPr>
              <w:t xml:space="preserve"> million</w:t>
            </w:r>
            <w:r w:rsidRPr="0014255E">
              <w:rPr>
                <w:sz w:val="24"/>
                <w:szCs w:val="28"/>
              </w:rPr>
              <w:t xml:space="preserve"> </w:t>
            </w:r>
            <w:r>
              <w:rPr>
                <w:sz w:val="24"/>
                <w:szCs w:val="28"/>
              </w:rPr>
              <w:t xml:space="preserve">(over the period of the appropriation) </w:t>
            </w:r>
            <w:r w:rsidRPr="0014255E">
              <w:rPr>
                <w:sz w:val="24"/>
                <w:szCs w:val="28"/>
              </w:rPr>
              <w:t xml:space="preserve">to our estimates of the fiscal costs of </w:t>
            </w:r>
            <w:r>
              <w:rPr>
                <w:sz w:val="24"/>
                <w:szCs w:val="28"/>
              </w:rPr>
              <w:t xml:space="preserve">the </w:t>
            </w:r>
            <w:r w:rsidRPr="0014255E">
              <w:rPr>
                <w:sz w:val="24"/>
                <w:szCs w:val="28"/>
              </w:rPr>
              <w:t>R&amp;D Tax Incentive.</w:t>
            </w:r>
          </w:p>
          <w:p w:rsidR="00484CCD" w:rsidRPr="00FB4A1C" w:rsidRDefault="00C02A97" w:rsidP="00C02A97">
            <w:pPr>
              <w:spacing w:before="120" w:after="120"/>
              <w:rPr>
                <w:sz w:val="24"/>
                <w:szCs w:val="28"/>
              </w:rPr>
            </w:pPr>
            <w:r>
              <w:rPr>
                <w:sz w:val="24"/>
                <w:szCs w:val="28"/>
              </w:rPr>
              <w:t>If this $40 million were added to the forecast costs of full refundability, it would still be within the existing appropriation (which has an approximate buffer of $200 million). Therefore, no further appro</w:t>
            </w:r>
            <w:r w:rsidR="00AD2C55">
              <w:rPr>
                <w:sz w:val="24"/>
                <w:szCs w:val="28"/>
              </w:rPr>
              <w:t>priation is being requested.</w:t>
            </w:r>
          </w:p>
        </w:tc>
      </w:tr>
    </w:tbl>
    <w:p w:rsidR="00B374D4" w:rsidRDefault="00B374D4" w:rsidP="00B374D4">
      <w:pPr>
        <w:spacing w:after="0" w:line="240" w:lineRule="auto"/>
        <w:rPr>
          <w:sz w:val="24"/>
          <w:szCs w:val="28"/>
        </w:rPr>
      </w:pPr>
    </w:p>
    <w:p w:rsidR="00E91609" w:rsidRPr="000F23BB" w:rsidRDefault="00E91609" w:rsidP="00B374D4">
      <w:pPr>
        <w:spacing w:after="0" w:line="240" w:lineRule="auto"/>
        <w:rPr>
          <w:sz w:val="24"/>
          <w:szCs w:val="28"/>
        </w:rPr>
      </w:pPr>
    </w:p>
    <w:p w:rsidR="002766B8" w:rsidRPr="0044455D" w:rsidRDefault="002766B8" w:rsidP="002766B8">
      <w:pPr>
        <w:spacing w:after="0" w:line="276" w:lineRule="auto"/>
        <w:ind w:firstLine="720"/>
        <w:rPr>
          <w:rFonts w:cs="Arial"/>
          <w:sz w:val="18"/>
          <w:szCs w:val="18"/>
          <w:lang w:val="en-NZ"/>
        </w:rPr>
      </w:pPr>
      <w:r w:rsidRPr="0044455D">
        <w:rPr>
          <w:rFonts w:cs="Arial"/>
          <w:b/>
          <w:sz w:val="18"/>
          <w:szCs w:val="18"/>
          <w:lang w:val="en-NZ"/>
        </w:rPr>
        <w:t>Key:</w:t>
      </w:r>
      <w:r w:rsidRPr="0044455D">
        <w:rPr>
          <w:rFonts w:cs="Arial"/>
          <w:b/>
          <w:color w:val="00B050"/>
          <w:sz w:val="18"/>
          <w:szCs w:val="18"/>
          <w:lang w:val="en-NZ"/>
        </w:rPr>
        <w:t xml:space="preserve"> </w:t>
      </w:r>
      <w:r w:rsidRPr="0044455D">
        <w:rPr>
          <w:rFonts w:cs="Arial"/>
          <w:b/>
          <w:color w:val="00B050"/>
          <w:sz w:val="18"/>
          <w:szCs w:val="18"/>
          <w:lang w:val="en-NZ"/>
        </w:rPr>
        <w:tab/>
        <w:t>++</w:t>
      </w:r>
      <w:r w:rsidRPr="0044455D">
        <w:rPr>
          <w:rFonts w:cs="Arial"/>
          <w:sz w:val="18"/>
          <w:szCs w:val="18"/>
          <w:lang w:val="en-NZ"/>
        </w:rPr>
        <w:t xml:space="preserve"> </w:t>
      </w:r>
      <w:r w:rsidRPr="0044455D">
        <w:rPr>
          <w:rFonts w:cs="Arial"/>
          <w:sz w:val="18"/>
          <w:szCs w:val="18"/>
          <w:lang w:val="en-NZ"/>
        </w:rPr>
        <w:tab/>
        <w:t>much better than doing nothing/the status quo</w:t>
      </w:r>
      <w:r w:rsidRPr="0044455D">
        <w:rPr>
          <w:rFonts w:cs="Arial"/>
          <w:sz w:val="18"/>
          <w:szCs w:val="18"/>
          <w:lang w:val="en-NZ"/>
        </w:rPr>
        <w:tab/>
      </w:r>
      <w:r w:rsidRPr="0044455D">
        <w:rPr>
          <w:rFonts w:cs="Arial"/>
          <w:sz w:val="18"/>
          <w:szCs w:val="18"/>
          <w:lang w:val="en-NZ"/>
        </w:rPr>
        <w:tab/>
      </w:r>
    </w:p>
    <w:p w:rsidR="002766B8" w:rsidRPr="0044455D" w:rsidRDefault="002766B8" w:rsidP="002766B8">
      <w:pPr>
        <w:spacing w:after="0" w:line="276" w:lineRule="auto"/>
        <w:ind w:left="720" w:firstLine="720"/>
        <w:rPr>
          <w:rFonts w:cs="Arial"/>
          <w:sz w:val="18"/>
          <w:szCs w:val="18"/>
          <w:lang w:val="en-NZ"/>
        </w:rPr>
      </w:pPr>
      <w:r w:rsidRPr="0044455D">
        <w:rPr>
          <w:rFonts w:cs="Arial"/>
          <w:b/>
          <w:color w:val="00B050"/>
          <w:sz w:val="18"/>
          <w:szCs w:val="18"/>
          <w:lang w:val="en-NZ"/>
        </w:rPr>
        <w:t>+</w:t>
      </w:r>
      <w:r w:rsidRPr="0044455D">
        <w:rPr>
          <w:rFonts w:cs="Arial"/>
          <w:color w:val="00B050"/>
          <w:sz w:val="18"/>
          <w:szCs w:val="18"/>
          <w:lang w:val="en-NZ"/>
        </w:rPr>
        <w:t xml:space="preserve"> </w:t>
      </w:r>
      <w:r w:rsidRPr="0044455D">
        <w:rPr>
          <w:rFonts w:cs="Arial"/>
          <w:sz w:val="18"/>
          <w:szCs w:val="18"/>
          <w:lang w:val="en-NZ"/>
        </w:rPr>
        <w:tab/>
        <w:t>better than doing nothing/the status quo</w:t>
      </w:r>
      <w:r w:rsidRPr="0044455D">
        <w:rPr>
          <w:rFonts w:cs="Arial"/>
          <w:sz w:val="18"/>
          <w:szCs w:val="18"/>
          <w:lang w:val="en-NZ"/>
        </w:rPr>
        <w:tab/>
      </w:r>
    </w:p>
    <w:p w:rsidR="002766B8" w:rsidRPr="0044455D" w:rsidRDefault="002766B8" w:rsidP="002766B8">
      <w:pPr>
        <w:spacing w:after="0" w:line="276" w:lineRule="auto"/>
        <w:ind w:left="720" w:firstLine="720"/>
        <w:rPr>
          <w:rFonts w:cs="Arial"/>
          <w:sz w:val="18"/>
          <w:szCs w:val="18"/>
          <w:lang w:val="en-NZ"/>
        </w:rPr>
      </w:pPr>
      <w:r w:rsidRPr="0044455D">
        <w:rPr>
          <w:rFonts w:cs="Arial"/>
          <w:b/>
          <w:sz w:val="18"/>
          <w:szCs w:val="18"/>
          <w:lang w:val="en-NZ"/>
        </w:rPr>
        <w:t>0</w:t>
      </w:r>
      <w:r w:rsidRPr="0044455D">
        <w:rPr>
          <w:rFonts w:cs="Arial"/>
          <w:sz w:val="18"/>
          <w:szCs w:val="18"/>
          <w:lang w:val="en-NZ"/>
        </w:rPr>
        <w:t xml:space="preserve"> </w:t>
      </w:r>
      <w:r w:rsidRPr="0044455D">
        <w:rPr>
          <w:rFonts w:cs="Arial"/>
          <w:sz w:val="18"/>
          <w:szCs w:val="18"/>
          <w:lang w:val="en-NZ"/>
        </w:rPr>
        <w:tab/>
        <w:t>about the same as doing nothing/the status quo</w:t>
      </w:r>
      <w:r w:rsidRPr="0044455D">
        <w:rPr>
          <w:rFonts w:cs="Arial"/>
          <w:sz w:val="18"/>
          <w:szCs w:val="18"/>
          <w:lang w:val="en-NZ"/>
        </w:rPr>
        <w:tab/>
      </w:r>
      <w:r w:rsidRPr="0044455D">
        <w:rPr>
          <w:rFonts w:cs="Arial"/>
          <w:sz w:val="18"/>
          <w:szCs w:val="18"/>
          <w:lang w:val="en-NZ"/>
        </w:rPr>
        <w:tab/>
      </w:r>
    </w:p>
    <w:p w:rsidR="002766B8" w:rsidRPr="0044455D" w:rsidRDefault="002766B8" w:rsidP="002766B8">
      <w:pPr>
        <w:spacing w:after="0" w:line="276" w:lineRule="auto"/>
        <w:ind w:left="720" w:firstLine="720"/>
        <w:rPr>
          <w:rFonts w:cs="Arial"/>
          <w:sz w:val="18"/>
          <w:szCs w:val="18"/>
          <w:lang w:val="en-NZ"/>
        </w:rPr>
      </w:pPr>
      <w:r w:rsidRPr="0044455D">
        <w:rPr>
          <w:rFonts w:cs="Arial"/>
          <w:b/>
          <w:color w:val="FF0000"/>
          <w:sz w:val="18"/>
          <w:szCs w:val="18"/>
          <w:lang w:val="en-NZ"/>
        </w:rPr>
        <w:t>-</w:t>
      </w:r>
      <w:r w:rsidRPr="0044455D">
        <w:rPr>
          <w:rFonts w:cs="Arial"/>
          <w:sz w:val="18"/>
          <w:szCs w:val="18"/>
          <w:lang w:val="en-NZ"/>
        </w:rPr>
        <w:t xml:space="preserve"> </w:t>
      </w:r>
      <w:r w:rsidRPr="0044455D">
        <w:rPr>
          <w:rFonts w:cs="Arial"/>
          <w:sz w:val="18"/>
          <w:szCs w:val="18"/>
          <w:lang w:val="en-NZ"/>
        </w:rPr>
        <w:tab/>
        <w:t>worse than doing nothing/the status quo</w:t>
      </w:r>
    </w:p>
    <w:p w:rsidR="002766B8" w:rsidRPr="0044455D" w:rsidRDefault="002766B8" w:rsidP="002766B8">
      <w:pPr>
        <w:spacing w:after="0" w:line="276" w:lineRule="auto"/>
        <w:ind w:left="720" w:firstLine="720"/>
        <w:rPr>
          <w:rFonts w:cs="Arial"/>
          <w:sz w:val="18"/>
          <w:szCs w:val="18"/>
          <w:lang w:val="en-NZ"/>
        </w:rPr>
      </w:pPr>
      <w:r w:rsidRPr="0044455D">
        <w:rPr>
          <w:rFonts w:cs="Arial"/>
          <w:b/>
          <w:color w:val="FF0000"/>
          <w:sz w:val="18"/>
          <w:szCs w:val="18"/>
          <w:lang w:val="en-NZ"/>
        </w:rPr>
        <w:t>- -</w:t>
      </w:r>
      <w:r w:rsidRPr="0044455D">
        <w:rPr>
          <w:rFonts w:cs="Arial"/>
          <w:sz w:val="18"/>
          <w:szCs w:val="18"/>
          <w:lang w:val="en-NZ"/>
        </w:rPr>
        <w:t xml:space="preserve"> </w:t>
      </w:r>
      <w:r w:rsidRPr="0044455D">
        <w:rPr>
          <w:rFonts w:cs="Arial"/>
          <w:sz w:val="18"/>
          <w:szCs w:val="18"/>
          <w:lang w:val="en-NZ"/>
        </w:rPr>
        <w:tab/>
        <w:t>much worse than doing nothing/the status quo</w:t>
      </w:r>
    </w:p>
    <w:p w:rsidR="00AA0721" w:rsidRDefault="00AA0721" w:rsidP="00B374D4">
      <w:pPr>
        <w:spacing w:after="0" w:line="240" w:lineRule="auto"/>
        <w:rPr>
          <w:b/>
          <w:sz w:val="28"/>
          <w:szCs w:val="28"/>
        </w:rPr>
        <w:sectPr w:rsidR="00AA0721" w:rsidSect="004C45A4">
          <w:pgSz w:w="16840" w:h="11907" w:orient="landscape" w:code="9"/>
          <w:pgMar w:top="1361" w:right="1134" w:bottom="1361" w:left="1134" w:header="567" w:footer="567" w:gutter="0"/>
          <w:cols w:space="720"/>
          <w:docGrid w:linePitch="360"/>
        </w:sectPr>
      </w:pPr>
    </w:p>
    <w:p w:rsidR="00B374D4" w:rsidRDefault="00B374D4" w:rsidP="00B374D4">
      <w:pPr>
        <w:spacing w:after="0" w:line="240" w:lineRule="auto"/>
        <w:rPr>
          <w:b/>
          <w:sz w:val="28"/>
          <w:szCs w:val="28"/>
        </w:rPr>
      </w:pPr>
      <w:r>
        <w:rPr>
          <w:b/>
          <w:sz w:val="28"/>
          <w:szCs w:val="28"/>
        </w:rPr>
        <w:lastRenderedPageBreak/>
        <w:t>Section 5: Conclusions</w:t>
      </w:r>
    </w:p>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5.1 What option, or combination of options, is likely best to address the problem, meet the policy objectives and deliver the highest net benefits?</w:t>
            </w:r>
          </w:p>
        </w:tc>
      </w:tr>
      <w:tr w:rsidR="00B374D4" w:rsidTr="00B374D4">
        <w:tc>
          <w:tcPr>
            <w:tcW w:w="9287" w:type="dxa"/>
          </w:tcPr>
          <w:p w:rsidR="006B0083" w:rsidRPr="006B0083" w:rsidRDefault="00100F4A" w:rsidP="006B0083">
            <w:pPr>
              <w:spacing w:before="120" w:after="120"/>
              <w:rPr>
                <w:i/>
                <w:sz w:val="24"/>
                <w:szCs w:val="28"/>
                <w:lang w:val="en-NZ"/>
              </w:rPr>
            </w:pPr>
            <w:r>
              <w:rPr>
                <w:i/>
                <w:sz w:val="24"/>
                <w:szCs w:val="28"/>
                <w:lang w:val="en-NZ"/>
              </w:rPr>
              <w:t>Which entities will be eligible for a refund</w:t>
            </w:r>
          </w:p>
          <w:p w:rsidR="00E45038" w:rsidRDefault="00E45038" w:rsidP="00E45038">
            <w:pPr>
              <w:spacing w:before="120" w:after="120"/>
              <w:rPr>
                <w:sz w:val="24"/>
                <w:szCs w:val="28"/>
                <w:lang w:val="en-NZ"/>
              </w:rPr>
            </w:pPr>
            <w:r>
              <w:rPr>
                <w:sz w:val="24"/>
                <w:szCs w:val="28"/>
                <w:lang w:val="en-NZ"/>
              </w:rPr>
              <w:t>Based on the above analysis, the preferred</w:t>
            </w:r>
            <w:r w:rsidR="00AB112C">
              <w:rPr>
                <w:sz w:val="24"/>
                <w:szCs w:val="28"/>
                <w:lang w:val="en-NZ"/>
              </w:rPr>
              <w:t xml:space="preserve"> combination of </w:t>
            </w:r>
            <w:r>
              <w:rPr>
                <w:sz w:val="24"/>
                <w:szCs w:val="28"/>
                <w:lang w:val="en-NZ"/>
              </w:rPr>
              <w:t>option</w:t>
            </w:r>
            <w:r w:rsidR="00AB112C">
              <w:rPr>
                <w:sz w:val="24"/>
                <w:szCs w:val="28"/>
                <w:lang w:val="en-NZ"/>
              </w:rPr>
              <w:t>s</w:t>
            </w:r>
            <w:r>
              <w:rPr>
                <w:sz w:val="24"/>
                <w:szCs w:val="28"/>
                <w:lang w:val="en-NZ"/>
              </w:rPr>
              <w:t xml:space="preserve"> is for general business entities and levy bodies to be eligible for refundability, and for charities, local authorities, and other organisations that receive (non-dividend) exempt income to be ineligible. The effect of th</w:t>
            </w:r>
            <w:r w:rsidR="00AB112C">
              <w:rPr>
                <w:sz w:val="24"/>
                <w:szCs w:val="28"/>
                <w:lang w:val="en-NZ"/>
              </w:rPr>
              <w:t>e</w:t>
            </w:r>
            <w:r>
              <w:rPr>
                <w:sz w:val="24"/>
                <w:szCs w:val="28"/>
                <w:lang w:val="en-NZ"/>
              </w:rPr>
              <w:t>s</w:t>
            </w:r>
            <w:r w:rsidR="00AB112C">
              <w:rPr>
                <w:sz w:val="24"/>
                <w:szCs w:val="28"/>
                <w:lang w:val="en-NZ"/>
              </w:rPr>
              <w:t>e</w:t>
            </w:r>
            <w:r>
              <w:rPr>
                <w:sz w:val="24"/>
                <w:szCs w:val="28"/>
                <w:lang w:val="en-NZ"/>
              </w:rPr>
              <w:t xml:space="preserve"> option</w:t>
            </w:r>
            <w:r w:rsidR="00AB112C">
              <w:rPr>
                <w:sz w:val="24"/>
                <w:szCs w:val="28"/>
                <w:lang w:val="en-NZ"/>
              </w:rPr>
              <w:t>s</w:t>
            </w:r>
            <w:r>
              <w:rPr>
                <w:sz w:val="24"/>
                <w:szCs w:val="28"/>
                <w:lang w:val="en-NZ"/>
              </w:rPr>
              <w:t xml:space="preserve"> is that many more business entities would be eligible for refundability, while not bringing in entities that already receive substantial benefits from operating outside of the tax system. This would be a positive change for </w:t>
            </w:r>
            <w:r w:rsidRPr="00914244">
              <w:rPr>
                <w:sz w:val="24"/>
                <w:szCs w:val="28"/>
                <w:lang w:val="en-NZ"/>
              </w:rPr>
              <w:t>listed companies, partnerships</w:t>
            </w:r>
            <w:r>
              <w:rPr>
                <w:sz w:val="24"/>
                <w:szCs w:val="28"/>
                <w:lang w:val="en-NZ"/>
              </w:rPr>
              <w:t>,</w:t>
            </w:r>
            <w:r w:rsidRPr="00914244">
              <w:rPr>
                <w:sz w:val="24"/>
                <w:szCs w:val="28"/>
                <w:lang w:val="en-NZ"/>
              </w:rPr>
              <w:t xml:space="preserve"> </w:t>
            </w:r>
            <w:r>
              <w:rPr>
                <w:sz w:val="24"/>
                <w:szCs w:val="28"/>
                <w:lang w:val="en-NZ"/>
              </w:rPr>
              <w:t xml:space="preserve">trusts, levy bodies and </w:t>
            </w:r>
            <w:r w:rsidRPr="005B629F">
              <w:rPr>
                <w:sz w:val="24"/>
                <w:szCs w:val="28"/>
                <w:lang w:val="en-NZ"/>
              </w:rPr>
              <w:t xml:space="preserve">Māori </w:t>
            </w:r>
            <w:r>
              <w:rPr>
                <w:sz w:val="24"/>
                <w:szCs w:val="28"/>
                <w:lang w:val="en-NZ"/>
              </w:rPr>
              <w:t>businesses, and would explicitly exclude charities, local authorities, and other tax-exempt organisations, providing clarity in the law.</w:t>
            </w:r>
          </w:p>
          <w:p w:rsidR="006B0083" w:rsidRPr="006B0083" w:rsidRDefault="006B0083" w:rsidP="001D42F6">
            <w:pPr>
              <w:spacing w:before="120" w:after="120"/>
              <w:rPr>
                <w:i/>
                <w:sz w:val="24"/>
                <w:szCs w:val="28"/>
                <w:lang w:val="en-NZ"/>
              </w:rPr>
            </w:pPr>
            <w:r w:rsidRPr="006B0083">
              <w:rPr>
                <w:i/>
                <w:sz w:val="24"/>
                <w:szCs w:val="28"/>
                <w:lang w:val="en-NZ"/>
              </w:rPr>
              <w:t>Constraints on refundable amount</w:t>
            </w:r>
          </w:p>
          <w:p w:rsidR="00684755" w:rsidRDefault="00684755" w:rsidP="001D42F6">
            <w:pPr>
              <w:spacing w:before="120" w:after="120"/>
              <w:rPr>
                <w:sz w:val="24"/>
                <w:szCs w:val="28"/>
              </w:rPr>
            </w:pPr>
            <w:r>
              <w:rPr>
                <w:sz w:val="24"/>
                <w:szCs w:val="28"/>
                <w:lang w:val="en-NZ"/>
              </w:rPr>
              <w:t>Based on the above analysis, the two leading options are a ‘payroll’ taxes cap and a PAYE cap.</w:t>
            </w:r>
            <w:r w:rsidR="008915EA">
              <w:rPr>
                <w:sz w:val="24"/>
                <w:szCs w:val="28"/>
                <w:lang w:val="en-NZ"/>
              </w:rPr>
              <w:t xml:space="preserve"> </w:t>
            </w:r>
            <w:r>
              <w:rPr>
                <w:sz w:val="24"/>
                <w:szCs w:val="28"/>
                <w:lang w:val="en-NZ"/>
              </w:rPr>
              <w:t xml:space="preserve">Both options would </w:t>
            </w:r>
            <w:r w:rsidR="001D42F6">
              <w:rPr>
                <w:sz w:val="24"/>
                <w:szCs w:val="28"/>
              </w:rPr>
              <w:t xml:space="preserve">significantly mitigate the risk of fraudulent claims, as firms could not take out more from the tax system than they put in. </w:t>
            </w:r>
            <w:r w:rsidR="0067020F">
              <w:rPr>
                <w:sz w:val="24"/>
                <w:szCs w:val="28"/>
              </w:rPr>
              <w:t xml:space="preserve">They would be </w:t>
            </w:r>
            <w:r w:rsidR="008915EA">
              <w:rPr>
                <w:sz w:val="24"/>
                <w:szCs w:val="28"/>
              </w:rPr>
              <w:t xml:space="preserve">simple, </w:t>
            </w:r>
            <w:r w:rsidR="001D42F6">
              <w:rPr>
                <w:sz w:val="24"/>
                <w:szCs w:val="28"/>
              </w:rPr>
              <w:t>have low compliance costs for firms</w:t>
            </w:r>
            <w:r w:rsidR="008915EA">
              <w:rPr>
                <w:sz w:val="24"/>
                <w:szCs w:val="28"/>
              </w:rPr>
              <w:t>, and be easy to administer</w:t>
            </w:r>
            <w:r w:rsidR="001D42F6">
              <w:rPr>
                <w:sz w:val="24"/>
                <w:szCs w:val="28"/>
              </w:rPr>
              <w:t xml:space="preserve">. </w:t>
            </w:r>
            <w:r w:rsidR="0067020F">
              <w:rPr>
                <w:sz w:val="24"/>
                <w:szCs w:val="28"/>
              </w:rPr>
              <w:t xml:space="preserve">They </w:t>
            </w:r>
            <w:r w:rsidR="001D42F6">
              <w:rPr>
                <w:sz w:val="24"/>
                <w:szCs w:val="28"/>
              </w:rPr>
              <w:t xml:space="preserve">would provide increased business certainty, with broad and simple eligibility for refundability. </w:t>
            </w:r>
            <w:r w:rsidR="0067020F">
              <w:rPr>
                <w:sz w:val="24"/>
                <w:szCs w:val="28"/>
              </w:rPr>
              <w:t>T</w:t>
            </w:r>
            <w:r>
              <w:rPr>
                <w:sz w:val="24"/>
                <w:szCs w:val="28"/>
                <w:lang w:val="en-NZ"/>
              </w:rPr>
              <w:t>he preferred option is to constrain refundability by a ‘payroll’ taxes cap</w:t>
            </w:r>
            <w:r w:rsidR="0067020F">
              <w:rPr>
                <w:sz w:val="24"/>
                <w:szCs w:val="28"/>
                <w:lang w:val="en-NZ"/>
              </w:rPr>
              <w:t xml:space="preserve">, because this would </w:t>
            </w:r>
            <w:r w:rsidR="00ED49DF">
              <w:rPr>
                <w:sz w:val="24"/>
                <w:szCs w:val="28"/>
                <w:lang w:val="en-NZ"/>
              </w:rPr>
              <w:t>have a greater impact on BERD, with a comparatively lesser constraint imposed on the benefit received by loss-making start-ups in particular.</w:t>
            </w:r>
          </w:p>
          <w:p w:rsidR="008915EA" w:rsidRPr="008915EA" w:rsidRDefault="007566A7" w:rsidP="001D42F6">
            <w:pPr>
              <w:spacing w:before="120" w:after="120"/>
              <w:rPr>
                <w:i/>
                <w:sz w:val="24"/>
                <w:szCs w:val="28"/>
              </w:rPr>
            </w:pPr>
            <w:r>
              <w:rPr>
                <w:i/>
                <w:sz w:val="24"/>
                <w:szCs w:val="28"/>
              </w:rPr>
              <w:t>Benefits of p</w:t>
            </w:r>
            <w:r w:rsidR="008915EA" w:rsidRPr="008915EA">
              <w:rPr>
                <w:i/>
                <w:sz w:val="24"/>
                <w:szCs w:val="28"/>
              </w:rPr>
              <w:t>roposed broader refundability</w:t>
            </w:r>
          </w:p>
          <w:p w:rsidR="004064EA" w:rsidRDefault="008915EA" w:rsidP="004064EA">
            <w:pPr>
              <w:spacing w:before="120" w:after="120"/>
              <w:rPr>
                <w:sz w:val="24"/>
                <w:szCs w:val="28"/>
              </w:rPr>
            </w:pPr>
            <w:r>
              <w:rPr>
                <w:sz w:val="24"/>
                <w:szCs w:val="28"/>
              </w:rPr>
              <w:t xml:space="preserve">The </w:t>
            </w:r>
            <w:r w:rsidR="009E5EE0">
              <w:rPr>
                <w:sz w:val="24"/>
                <w:szCs w:val="28"/>
              </w:rPr>
              <w:t xml:space="preserve">broader refundability </w:t>
            </w:r>
            <w:r>
              <w:rPr>
                <w:sz w:val="24"/>
                <w:szCs w:val="28"/>
              </w:rPr>
              <w:t xml:space="preserve">proposed </w:t>
            </w:r>
            <w:r w:rsidR="009E5EE0" w:rsidRPr="009E5EE0">
              <w:rPr>
                <w:sz w:val="24"/>
                <w:szCs w:val="28"/>
              </w:rPr>
              <w:t>will better support the Government’s objectives</w:t>
            </w:r>
            <w:r w:rsidR="009E5EE0">
              <w:rPr>
                <w:sz w:val="24"/>
                <w:szCs w:val="28"/>
              </w:rPr>
              <w:t xml:space="preserve"> of incentivising increase</w:t>
            </w:r>
            <w:r w:rsidR="00937A7E">
              <w:rPr>
                <w:sz w:val="24"/>
                <w:szCs w:val="28"/>
              </w:rPr>
              <w:t>d</w:t>
            </w:r>
            <w:r w:rsidR="009E5EE0">
              <w:rPr>
                <w:sz w:val="24"/>
                <w:szCs w:val="28"/>
              </w:rPr>
              <w:t xml:space="preserve"> </w:t>
            </w:r>
            <w:r w:rsidR="00937A7E">
              <w:rPr>
                <w:sz w:val="24"/>
                <w:szCs w:val="28"/>
              </w:rPr>
              <w:t>BERD</w:t>
            </w:r>
            <w:r w:rsidR="009E5EE0">
              <w:rPr>
                <w:sz w:val="24"/>
                <w:szCs w:val="28"/>
              </w:rPr>
              <w:t xml:space="preserve">. </w:t>
            </w:r>
            <w:r w:rsidR="004064EA" w:rsidRPr="00356259">
              <w:rPr>
                <w:sz w:val="24"/>
                <w:szCs w:val="28"/>
              </w:rPr>
              <w:t>Providing refundable tax credits to businesses that have insufficient tax</w:t>
            </w:r>
            <w:r w:rsidR="00E141DF">
              <w:rPr>
                <w:sz w:val="24"/>
                <w:szCs w:val="28"/>
              </w:rPr>
              <w:t xml:space="preserve"> liability </w:t>
            </w:r>
            <w:r w:rsidR="004064EA" w:rsidRPr="00356259">
              <w:rPr>
                <w:sz w:val="24"/>
                <w:szCs w:val="28"/>
              </w:rPr>
              <w:t xml:space="preserve">is a key element of the effectiveness of the R&amp;D Tax Incentive in achieving significant growth in BERD. </w:t>
            </w:r>
          </w:p>
          <w:p w:rsidR="005832D6" w:rsidRDefault="005832D6" w:rsidP="005832D6">
            <w:pPr>
              <w:spacing w:before="120" w:after="120"/>
              <w:rPr>
                <w:sz w:val="24"/>
                <w:szCs w:val="28"/>
              </w:rPr>
            </w:pPr>
            <w:r>
              <w:rPr>
                <w:sz w:val="24"/>
                <w:szCs w:val="28"/>
              </w:rPr>
              <w:t>Broadening the refundability available from that provided for year one of the R&amp;D Tax Incentive will broaden the reach and effect of the R&amp;D Tax Incentive. Businesses w</w:t>
            </w:r>
            <w:r w:rsidR="00FC1700">
              <w:rPr>
                <w:sz w:val="24"/>
                <w:szCs w:val="28"/>
              </w:rPr>
              <w:t>ill</w:t>
            </w:r>
            <w:r>
              <w:rPr>
                <w:sz w:val="24"/>
                <w:szCs w:val="28"/>
              </w:rPr>
              <w:t xml:space="preserve"> </w:t>
            </w:r>
            <w:r w:rsidRPr="00E57438">
              <w:rPr>
                <w:sz w:val="24"/>
                <w:szCs w:val="28"/>
              </w:rPr>
              <w:t xml:space="preserve">receive the financial support </w:t>
            </w:r>
            <w:r>
              <w:rPr>
                <w:sz w:val="24"/>
                <w:szCs w:val="28"/>
              </w:rPr>
              <w:t xml:space="preserve">of the R&amp;D Tax Incentive </w:t>
            </w:r>
            <w:r w:rsidRPr="00E57438">
              <w:rPr>
                <w:sz w:val="24"/>
                <w:szCs w:val="28"/>
              </w:rPr>
              <w:t>earlier or</w:t>
            </w:r>
            <w:r w:rsidR="00CF24F7">
              <w:rPr>
                <w:sz w:val="24"/>
                <w:szCs w:val="28"/>
              </w:rPr>
              <w:t>,</w:t>
            </w:r>
            <w:r w:rsidRPr="00E57438">
              <w:rPr>
                <w:sz w:val="24"/>
                <w:szCs w:val="28"/>
              </w:rPr>
              <w:t xml:space="preserve"> in some instances, will actually get </w:t>
            </w:r>
            <w:r>
              <w:rPr>
                <w:sz w:val="24"/>
                <w:szCs w:val="28"/>
              </w:rPr>
              <w:t xml:space="preserve">a </w:t>
            </w:r>
            <w:r w:rsidRPr="00E57438">
              <w:rPr>
                <w:sz w:val="24"/>
                <w:szCs w:val="28"/>
              </w:rPr>
              <w:t xml:space="preserve">benefit where they previously </w:t>
            </w:r>
            <w:r w:rsidR="00645A03" w:rsidRPr="00E57438">
              <w:rPr>
                <w:sz w:val="24"/>
                <w:szCs w:val="28"/>
              </w:rPr>
              <w:t xml:space="preserve">would </w:t>
            </w:r>
            <w:r w:rsidR="00F10BA2">
              <w:rPr>
                <w:sz w:val="24"/>
                <w:szCs w:val="28"/>
              </w:rPr>
              <w:t xml:space="preserve">not </w:t>
            </w:r>
            <w:r w:rsidR="00645A03">
              <w:rPr>
                <w:sz w:val="24"/>
                <w:szCs w:val="28"/>
              </w:rPr>
              <w:t>have</w:t>
            </w:r>
            <w:r>
              <w:rPr>
                <w:sz w:val="24"/>
                <w:szCs w:val="28"/>
              </w:rPr>
              <w:t>.</w:t>
            </w:r>
            <w:r w:rsidRPr="00E57438">
              <w:rPr>
                <w:sz w:val="24"/>
                <w:szCs w:val="28"/>
              </w:rPr>
              <w:t xml:space="preserve"> </w:t>
            </w:r>
          </w:p>
          <w:p w:rsidR="005832D6" w:rsidRDefault="004064EA" w:rsidP="005832D6">
            <w:pPr>
              <w:spacing w:before="120" w:after="120"/>
              <w:rPr>
                <w:sz w:val="28"/>
                <w:szCs w:val="28"/>
              </w:rPr>
            </w:pPr>
            <w:r>
              <w:rPr>
                <w:sz w:val="24"/>
                <w:szCs w:val="28"/>
              </w:rPr>
              <w:t>The k</w:t>
            </w:r>
            <w:r w:rsidRPr="00E57438">
              <w:rPr>
                <w:sz w:val="24"/>
                <w:szCs w:val="28"/>
              </w:rPr>
              <w:t xml:space="preserve">ey advantage to </w:t>
            </w:r>
            <w:r>
              <w:rPr>
                <w:sz w:val="24"/>
                <w:szCs w:val="28"/>
              </w:rPr>
              <w:t xml:space="preserve">a refundable tax credit </w:t>
            </w:r>
            <w:r w:rsidRPr="00E57438">
              <w:rPr>
                <w:sz w:val="24"/>
                <w:szCs w:val="28"/>
              </w:rPr>
              <w:t xml:space="preserve">is it provides cash </w:t>
            </w:r>
            <w:r>
              <w:rPr>
                <w:sz w:val="24"/>
                <w:szCs w:val="28"/>
              </w:rPr>
              <w:t xml:space="preserve">closer to </w:t>
            </w:r>
            <w:r w:rsidRPr="00E57438">
              <w:rPr>
                <w:sz w:val="24"/>
                <w:szCs w:val="28"/>
              </w:rPr>
              <w:t>the point when firms</w:t>
            </w:r>
            <w:r>
              <w:rPr>
                <w:sz w:val="24"/>
                <w:szCs w:val="28"/>
              </w:rPr>
              <w:t>,</w:t>
            </w:r>
            <w:r w:rsidRPr="00E57438">
              <w:rPr>
                <w:sz w:val="24"/>
                <w:szCs w:val="28"/>
              </w:rPr>
              <w:t xml:space="preserve"> particularly R&amp;D intensive firms</w:t>
            </w:r>
            <w:r>
              <w:rPr>
                <w:sz w:val="24"/>
                <w:szCs w:val="28"/>
              </w:rPr>
              <w:t>,</w:t>
            </w:r>
            <w:r w:rsidRPr="00E57438">
              <w:rPr>
                <w:sz w:val="24"/>
                <w:szCs w:val="28"/>
              </w:rPr>
              <w:t xml:space="preserve"> are undertaking their R&amp;D</w:t>
            </w:r>
            <w:r>
              <w:rPr>
                <w:sz w:val="24"/>
                <w:szCs w:val="28"/>
              </w:rPr>
              <w:t>.</w:t>
            </w:r>
            <w:r w:rsidR="00E82A31" w:rsidRPr="0061409E">
              <w:rPr>
                <w:sz w:val="24"/>
                <w:szCs w:val="28"/>
              </w:rPr>
              <w:t xml:space="preserve"> </w:t>
            </w:r>
            <w:r w:rsidR="005832D6">
              <w:rPr>
                <w:sz w:val="24"/>
                <w:szCs w:val="28"/>
              </w:rPr>
              <w:t>Broader refu</w:t>
            </w:r>
            <w:r w:rsidR="00FC1700">
              <w:rPr>
                <w:sz w:val="24"/>
                <w:szCs w:val="28"/>
              </w:rPr>
              <w:t>n</w:t>
            </w:r>
            <w:r w:rsidR="005832D6">
              <w:rPr>
                <w:sz w:val="24"/>
                <w:szCs w:val="28"/>
              </w:rPr>
              <w:t>dability will provide increased certainty to businesses, with broad and simple eligibility, and receipt of cash refunds each year rather than having to carry forward credits that may be lost due to continuity breaches.</w:t>
            </w:r>
          </w:p>
          <w:p w:rsidR="00A03C5B" w:rsidRDefault="00E82A31" w:rsidP="004064EA">
            <w:pPr>
              <w:spacing w:before="120" w:after="120"/>
              <w:rPr>
                <w:sz w:val="24"/>
                <w:szCs w:val="28"/>
                <w:lang w:val="en-NZ"/>
              </w:rPr>
            </w:pPr>
            <w:r>
              <w:rPr>
                <w:sz w:val="24"/>
                <w:szCs w:val="28"/>
              </w:rPr>
              <w:t xml:space="preserve">The refundability available in year one </w:t>
            </w:r>
            <w:r w:rsidR="004064EA" w:rsidRPr="000E4E1E">
              <w:rPr>
                <w:sz w:val="24"/>
                <w:szCs w:val="28"/>
              </w:rPr>
              <w:t xml:space="preserve">is expected to </w:t>
            </w:r>
            <w:r>
              <w:rPr>
                <w:sz w:val="24"/>
                <w:szCs w:val="28"/>
              </w:rPr>
              <w:t xml:space="preserve">be </w:t>
            </w:r>
            <w:r w:rsidR="004064EA" w:rsidRPr="000E4E1E">
              <w:rPr>
                <w:sz w:val="24"/>
                <w:szCs w:val="28"/>
              </w:rPr>
              <w:t>limit</w:t>
            </w:r>
            <w:r>
              <w:rPr>
                <w:sz w:val="24"/>
                <w:szCs w:val="28"/>
              </w:rPr>
              <w:t>ed to</w:t>
            </w:r>
            <w:r w:rsidR="004064EA" w:rsidRPr="000E4E1E">
              <w:rPr>
                <w:sz w:val="24"/>
                <w:szCs w:val="28"/>
              </w:rPr>
              <w:t xml:space="preserve"> approximately 350-650 firms</w:t>
            </w:r>
            <w:r w:rsidR="000C7297">
              <w:rPr>
                <w:sz w:val="24"/>
                <w:szCs w:val="28"/>
              </w:rPr>
              <w:t>,</w:t>
            </w:r>
            <w:r w:rsidR="004064EA" w:rsidRPr="000E4E1E">
              <w:rPr>
                <w:sz w:val="24"/>
                <w:szCs w:val="28"/>
              </w:rPr>
              <w:t xml:space="preserve"> and 65-130 of those are expected to hit the cap on refundability. </w:t>
            </w:r>
            <w:r>
              <w:rPr>
                <w:sz w:val="24"/>
                <w:szCs w:val="28"/>
              </w:rPr>
              <w:t>T</w:t>
            </w:r>
            <w:r w:rsidR="004064EA" w:rsidRPr="000E4E1E">
              <w:rPr>
                <w:sz w:val="24"/>
                <w:szCs w:val="28"/>
              </w:rPr>
              <w:t xml:space="preserve">he proposed </w:t>
            </w:r>
            <w:r>
              <w:rPr>
                <w:sz w:val="24"/>
                <w:szCs w:val="28"/>
              </w:rPr>
              <w:t xml:space="preserve">broader refundability </w:t>
            </w:r>
            <w:r w:rsidR="004064EA" w:rsidRPr="000E4E1E">
              <w:rPr>
                <w:sz w:val="24"/>
                <w:szCs w:val="28"/>
              </w:rPr>
              <w:t xml:space="preserve">has simpler eligibility criteria, </w:t>
            </w:r>
            <w:r>
              <w:rPr>
                <w:sz w:val="24"/>
                <w:szCs w:val="28"/>
              </w:rPr>
              <w:t xml:space="preserve">and would be </w:t>
            </w:r>
            <w:r w:rsidR="004064EA" w:rsidRPr="000E4E1E">
              <w:rPr>
                <w:sz w:val="24"/>
                <w:szCs w:val="28"/>
              </w:rPr>
              <w:t>available to a</w:t>
            </w:r>
            <w:r>
              <w:rPr>
                <w:sz w:val="24"/>
                <w:szCs w:val="28"/>
              </w:rPr>
              <w:t xml:space="preserve"> </w:t>
            </w:r>
            <w:r w:rsidR="00952FEB">
              <w:rPr>
                <w:sz w:val="24"/>
                <w:szCs w:val="28"/>
              </w:rPr>
              <w:t>larger number</w:t>
            </w:r>
            <w:r>
              <w:rPr>
                <w:sz w:val="24"/>
                <w:szCs w:val="28"/>
              </w:rPr>
              <w:t xml:space="preserve"> of firms, estimated </w:t>
            </w:r>
            <w:r w:rsidRPr="004A5912">
              <w:rPr>
                <w:sz w:val="24"/>
                <w:szCs w:val="28"/>
              </w:rPr>
              <w:t xml:space="preserve">at </w:t>
            </w:r>
            <w:r w:rsidR="004064EA" w:rsidRPr="004A5912">
              <w:rPr>
                <w:sz w:val="24"/>
                <w:szCs w:val="28"/>
                <w:lang w:val="en-NZ"/>
              </w:rPr>
              <w:t xml:space="preserve">750-1200 firms </w:t>
            </w:r>
            <w:r w:rsidRPr="004A5912">
              <w:rPr>
                <w:sz w:val="24"/>
                <w:szCs w:val="28"/>
                <w:lang w:val="en-NZ"/>
              </w:rPr>
              <w:t>in 2019</w:t>
            </w:r>
            <w:r w:rsidR="00A03C5B">
              <w:rPr>
                <w:sz w:val="24"/>
                <w:szCs w:val="28"/>
                <w:lang w:val="en-NZ"/>
              </w:rPr>
              <w:t xml:space="preserve"> (or 550-1100 firms</w:t>
            </w:r>
            <w:r w:rsidR="00A03C5B" w:rsidRPr="00B95FB7">
              <w:rPr>
                <w:sz w:val="24"/>
                <w:szCs w:val="28"/>
              </w:rPr>
              <w:t xml:space="preserve">, after allowing for some firms to remain on the </w:t>
            </w:r>
            <w:r w:rsidR="00A03C5B" w:rsidRPr="001024E5">
              <w:rPr>
                <w:sz w:val="24"/>
                <w:szCs w:val="28"/>
              </w:rPr>
              <w:t>Callaghan Innovation Growth Grant</w:t>
            </w:r>
            <w:r w:rsidR="00A03C5B">
              <w:rPr>
                <w:sz w:val="24"/>
                <w:szCs w:val="28"/>
              </w:rPr>
              <w:t>)</w:t>
            </w:r>
            <w:r w:rsidR="004064EA" w:rsidRPr="004A5912">
              <w:rPr>
                <w:sz w:val="24"/>
                <w:szCs w:val="28"/>
                <w:lang w:val="en-NZ"/>
              </w:rPr>
              <w:t>.</w:t>
            </w:r>
            <w:r w:rsidR="005832D6" w:rsidRPr="004A5912">
              <w:rPr>
                <w:sz w:val="24"/>
                <w:szCs w:val="28"/>
                <w:lang w:val="en-NZ"/>
              </w:rPr>
              <w:t xml:space="preserve"> </w:t>
            </w:r>
          </w:p>
          <w:p w:rsidR="004064EA" w:rsidRPr="005832D6" w:rsidRDefault="00FF1830" w:rsidP="004064EA">
            <w:pPr>
              <w:spacing w:before="120" w:after="120"/>
              <w:rPr>
                <w:sz w:val="24"/>
                <w:szCs w:val="28"/>
                <w:highlight w:val="yellow"/>
                <w:lang w:val="en-NZ"/>
              </w:rPr>
            </w:pPr>
            <w:r w:rsidRPr="004A5912">
              <w:rPr>
                <w:sz w:val="24"/>
                <w:szCs w:val="28"/>
              </w:rPr>
              <w:t>The</w:t>
            </w:r>
            <w:r>
              <w:rPr>
                <w:sz w:val="24"/>
                <w:szCs w:val="28"/>
              </w:rPr>
              <w:t xml:space="preserve"> wider coverage and increased cash flow to businesses performing R&amp;D is expected to lead to increased</w:t>
            </w:r>
            <w:r w:rsidR="00F10BA2">
              <w:rPr>
                <w:sz w:val="24"/>
                <w:szCs w:val="28"/>
              </w:rPr>
              <w:t xml:space="preserve"> R&amp;D</w:t>
            </w:r>
            <w:r>
              <w:rPr>
                <w:sz w:val="24"/>
                <w:szCs w:val="28"/>
              </w:rPr>
              <w:t xml:space="preserve"> investment by those </w:t>
            </w:r>
            <w:r w:rsidR="00F10BA2">
              <w:rPr>
                <w:sz w:val="24"/>
                <w:szCs w:val="28"/>
              </w:rPr>
              <w:t>businesses</w:t>
            </w:r>
            <w:r>
              <w:rPr>
                <w:sz w:val="24"/>
                <w:szCs w:val="28"/>
              </w:rPr>
              <w:t>.</w:t>
            </w:r>
          </w:p>
          <w:p w:rsidR="00011695" w:rsidRDefault="00FF1830" w:rsidP="005832D6">
            <w:pPr>
              <w:spacing w:before="120" w:after="120"/>
              <w:rPr>
                <w:sz w:val="24"/>
                <w:szCs w:val="28"/>
              </w:rPr>
            </w:pPr>
            <w:r w:rsidRPr="00F06CFD">
              <w:rPr>
                <w:sz w:val="24"/>
                <w:szCs w:val="28"/>
              </w:rPr>
              <w:t xml:space="preserve">Increased coverage of R&amp;D-performing firms (and higher incentives for firms to engage in R&amp;D) </w:t>
            </w:r>
            <w:r w:rsidR="005832D6">
              <w:rPr>
                <w:sz w:val="24"/>
                <w:szCs w:val="28"/>
              </w:rPr>
              <w:t xml:space="preserve">is </w:t>
            </w:r>
            <w:r w:rsidRPr="00F06CFD">
              <w:rPr>
                <w:sz w:val="24"/>
                <w:szCs w:val="28"/>
              </w:rPr>
              <w:t xml:space="preserve">expected to result in </w:t>
            </w:r>
            <w:r w:rsidR="005832D6">
              <w:rPr>
                <w:sz w:val="24"/>
                <w:szCs w:val="28"/>
              </w:rPr>
              <w:t>an</w:t>
            </w:r>
            <w:r w:rsidRPr="00F06CFD">
              <w:rPr>
                <w:sz w:val="24"/>
                <w:szCs w:val="28"/>
              </w:rPr>
              <w:t xml:space="preserve"> increase in innovative activity, </w:t>
            </w:r>
            <w:r w:rsidRPr="00F06CFD">
              <w:rPr>
                <w:sz w:val="24"/>
                <w:szCs w:val="28"/>
              </w:rPr>
              <w:lastRenderedPageBreak/>
              <w:t xml:space="preserve">employment, and labour productivity growth, particularly among firms that did not </w:t>
            </w:r>
            <w:r>
              <w:rPr>
                <w:sz w:val="24"/>
                <w:szCs w:val="28"/>
              </w:rPr>
              <w:t>qualify for limited refundability</w:t>
            </w:r>
            <w:r w:rsidRPr="00F06CFD">
              <w:rPr>
                <w:sz w:val="24"/>
                <w:szCs w:val="28"/>
              </w:rPr>
              <w:t xml:space="preserve">. A higher level of R&amp;D expenditure will result in greater </w:t>
            </w:r>
            <w:proofErr w:type="spellStart"/>
            <w:r w:rsidRPr="00F06CFD">
              <w:rPr>
                <w:sz w:val="24"/>
                <w:szCs w:val="28"/>
              </w:rPr>
              <w:t>spillover</w:t>
            </w:r>
            <w:proofErr w:type="spellEnd"/>
            <w:r w:rsidRPr="00F06CFD">
              <w:rPr>
                <w:sz w:val="24"/>
                <w:szCs w:val="28"/>
              </w:rPr>
              <w:t xml:space="preserve"> benefits to other participants in the economy</w:t>
            </w:r>
            <w:r>
              <w:rPr>
                <w:sz w:val="24"/>
                <w:szCs w:val="28"/>
              </w:rPr>
              <w:t>.</w:t>
            </w:r>
          </w:p>
          <w:p w:rsidR="000A35A9" w:rsidRPr="00663584" w:rsidRDefault="000A35A9" w:rsidP="000A35A9">
            <w:pPr>
              <w:spacing w:before="120" w:after="120"/>
              <w:rPr>
                <w:sz w:val="24"/>
                <w:szCs w:val="28"/>
                <w:lang w:val="en-NZ"/>
              </w:rPr>
            </w:pPr>
            <w:r>
              <w:rPr>
                <w:sz w:val="24"/>
                <w:szCs w:val="28"/>
                <w:lang w:val="en-NZ"/>
              </w:rPr>
              <w:t xml:space="preserve">The </w:t>
            </w:r>
            <w:r w:rsidR="00E17326">
              <w:rPr>
                <w:sz w:val="24"/>
                <w:szCs w:val="28"/>
                <w:lang w:val="en-NZ"/>
              </w:rPr>
              <w:t xml:space="preserve">proposed </w:t>
            </w:r>
            <w:r w:rsidRPr="0061567A">
              <w:rPr>
                <w:sz w:val="24"/>
                <w:szCs w:val="28"/>
                <w:lang w:val="en-NZ"/>
              </w:rPr>
              <w:t>constraint</w:t>
            </w:r>
            <w:r w:rsidR="00E17326">
              <w:rPr>
                <w:sz w:val="24"/>
                <w:szCs w:val="28"/>
                <w:lang w:val="en-NZ"/>
              </w:rPr>
              <w:t xml:space="preserve"> on refundability</w:t>
            </w:r>
            <w:r w:rsidRPr="0061567A">
              <w:rPr>
                <w:sz w:val="24"/>
                <w:szCs w:val="28"/>
                <w:lang w:val="en-NZ"/>
              </w:rPr>
              <w:t xml:space="preserve"> is not anticipated to restrict refunds for the </w:t>
            </w:r>
            <w:r>
              <w:rPr>
                <w:sz w:val="24"/>
                <w:szCs w:val="28"/>
                <w:lang w:val="en-NZ"/>
              </w:rPr>
              <w:t xml:space="preserve">vast </w:t>
            </w:r>
            <w:r w:rsidRPr="0061567A">
              <w:rPr>
                <w:sz w:val="24"/>
                <w:szCs w:val="28"/>
                <w:lang w:val="en-NZ"/>
              </w:rPr>
              <w:t xml:space="preserve">majority of R&amp;D performers. It means that all firms would have some </w:t>
            </w:r>
            <w:r>
              <w:rPr>
                <w:sz w:val="24"/>
                <w:szCs w:val="28"/>
                <w:lang w:val="en-NZ"/>
              </w:rPr>
              <w:t>immediate benefit</w:t>
            </w:r>
            <w:r w:rsidRPr="0061567A">
              <w:rPr>
                <w:sz w:val="24"/>
                <w:szCs w:val="28"/>
                <w:lang w:val="en-NZ"/>
              </w:rPr>
              <w:t xml:space="preserve"> and a few would have less than full refundability.</w:t>
            </w:r>
            <w:r>
              <w:rPr>
                <w:sz w:val="24"/>
                <w:szCs w:val="28"/>
                <w:lang w:val="en-NZ"/>
              </w:rPr>
              <w:t xml:space="preserve"> </w:t>
            </w:r>
            <w:r w:rsidRPr="0061567A">
              <w:rPr>
                <w:sz w:val="24"/>
                <w:szCs w:val="28"/>
                <w:lang w:val="en-NZ"/>
              </w:rPr>
              <w:t xml:space="preserve">Given the R&amp;D </w:t>
            </w:r>
            <w:r>
              <w:rPr>
                <w:sz w:val="24"/>
                <w:szCs w:val="28"/>
                <w:lang w:val="en-NZ"/>
              </w:rPr>
              <w:t>T</w:t>
            </w:r>
            <w:r w:rsidRPr="0061567A">
              <w:rPr>
                <w:sz w:val="24"/>
                <w:szCs w:val="28"/>
                <w:lang w:val="en-NZ"/>
              </w:rPr>
              <w:t xml:space="preserve">ax </w:t>
            </w:r>
            <w:r>
              <w:rPr>
                <w:sz w:val="24"/>
                <w:szCs w:val="28"/>
                <w:lang w:val="en-NZ"/>
              </w:rPr>
              <w:t xml:space="preserve">Incentive scheme </w:t>
            </w:r>
            <w:r w:rsidRPr="0061567A">
              <w:rPr>
                <w:sz w:val="24"/>
                <w:szCs w:val="28"/>
                <w:lang w:val="en-NZ"/>
              </w:rPr>
              <w:t>is relatively broad and accessible, the proposed refundability restrictions do not fundamentally alter the incentives of the scheme.</w:t>
            </w:r>
            <w:r>
              <w:rPr>
                <w:sz w:val="24"/>
                <w:szCs w:val="28"/>
                <w:lang w:val="en-NZ"/>
              </w:rPr>
              <w:t xml:space="preserve"> </w:t>
            </w:r>
            <w:r w:rsidRPr="001046A7">
              <w:rPr>
                <w:sz w:val="24"/>
                <w:szCs w:val="28"/>
                <w:lang w:val="en-NZ"/>
              </w:rPr>
              <w:t>Overall, and compared with most other jurisdictions, the proposed policy represents a comprehensive approach to refundability.</w:t>
            </w:r>
          </w:p>
        </w:tc>
      </w:tr>
    </w:tbl>
    <w:p w:rsidR="00FA2EF6" w:rsidRDefault="00FA2EF6" w:rsidP="00B374D4">
      <w:pPr>
        <w:spacing w:after="0" w:line="240" w:lineRule="auto"/>
        <w:rPr>
          <w:b/>
          <w:sz w:val="28"/>
          <w:szCs w:val="28"/>
        </w:rPr>
        <w:sectPr w:rsidR="00FA2EF6" w:rsidSect="004C45A4">
          <w:pgSz w:w="11907" w:h="16840" w:code="9"/>
          <w:pgMar w:top="1134" w:right="1418" w:bottom="1134" w:left="1418" w:header="567" w:footer="567" w:gutter="0"/>
          <w:cols w:space="720"/>
          <w:docGrid w:linePitch="360"/>
        </w:sectPr>
      </w:pPr>
    </w:p>
    <w:tbl>
      <w:tblPr>
        <w:tblStyle w:val="TableGrid"/>
        <w:tblW w:w="0" w:type="auto"/>
        <w:tblLook w:val="04A0" w:firstRow="1" w:lastRow="0" w:firstColumn="1" w:lastColumn="0" w:noHBand="0" w:noVBand="1"/>
      </w:tblPr>
      <w:tblGrid>
        <w:gridCol w:w="14709"/>
      </w:tblGrid>
      <w:tr w:rsidR="00B374D4" w:rsidRPr="00895C9F" w:rsidTr="00A50AEA">
        <w:tc>
          <w:tcPr>
            <w:tcW w:w="14709"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lastRenderedPageBreak/>
              <w:t>5.2 Summary table of costs and benefits of the preferred approach</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1951"/>
        <w:gridCol w:w="5954"/>
        <w:gridCol w:w="5386"/>
        <w:gridCol w:w="1418"/>
      </w:tblGrid>
      <w:tr w:rsidR="00B374D4" w:rsidTr="00F13C31">
        <w:tc>
          <w:tcPr>
            <w:tcW w:w="1951" w:type="dxa"/>
            <w:shd w:val="clear" w:color="auto" w:fill="8DB3E2" w:themeFill="text2" w:themeFillTint="66"/>
          </w:tcPr>
          <w:p w:rsidR="00B374D4" w:rsidRPr="000F23BB" w:rsidRDefault="00B374D4" w:rsidP="00A50AEA">
            <w:pPr>
              <w:spacing w:after="0" w:line="240" w:lineRule="auto"/>
              <w:jc w:val="left"/>
              <w:rPr>
                <w:b/>
                <w:sz w:val="24"/>
                <w:szCs w:val="28"/>
              </w:rPr>
            </w:pPr>
            <w:r w:rsidRPr="000F23BB">
              <w:rPr>
                <w:b/>
                <w:sz w:val="24"/>
                <w:szCs w:val="28"/>
              </w:rPr>
              <w:t>Affected parties</w:t>
            </w:r>
          </w:p>
        </w:tc>
        <w:tc>
          <w:tcPr>
            <w:tcW w:w="5954" w:type="dxa"/>
            <w:shd w:val="clear" w:color="auto" w:fill="8DB3E2" w:themeFill="text2" w:themeFillTint="66"/>
          </w:tcPr>
          <w:p w:rsidR="00B374D4" w:rsidRPr="000F23BB" w:rsidRDefault="00B374D4" w:rsidP="00A50AEA">
            <w:pPr>
              <w:spacing w:after="0" w:line="240" w:lineRule="auto"/>
              <w:jc w:val="left"/>
              <w:rPr>
                <w:b/>
                <w:i/>
                <w:sz w:val="24"/>
                <w:szCs w:val="28"/>
              </w:rPr>
            </w:pPr>
            <w:r w:rsidRPr="000F23BB">
              <w:rPr>
                <w:b/>
                <w:sz w:val="24"/>
                <w:szCs w:val="28"/>
              </w:rPr>
              <w:t>Comment</w:t>
            </w:r>
            <w:r w:rsidRPr="000F23BB">
              <w:rPr>
                <w:sz w:val="24"/>
                <w:szCs w:val="28"/>
              </w:rPr>
              <w:t xml:space="preserve">: </w:t>
            </w:r>
            <w:r w:rsidRPr="000F23BB">
              <w:rPr>
                <w:b/>
                <w:i/>
                <w:sz w:val="24"/>
                <w:szCs w:val="28"/>
              </w:rPr>
              <w:t>nature of cost or benefit, risks</w:t>
            </w:r>
          </w:p>
        </w:tc>
        <w:tc>
          <w:tcPr>
            <w:tcW w:w="5386" w:type="dxa"/>
            <w:shd w:val="clear" w:color="auto" w:fill="8DB3E2" w:themeFill="text2" w:themeFillTint="66"/>
          </w:tcPr>
          <w:p w:rsidR="00B374D4" w:rsidRPr="000F23BB" w:rsidRDefault="00B374D4" w:rsidP="00A50AEA">
            <w:pPr>
              <w:spacing w:after="0" w:line="240" w:lineRule="auto"/>
              <w:jc w:val="left"/>
              <w:rPr>
                <w:b/>
                <w:sz w:val="24"/>
                <w:szCs w:val="28"/>
              </w:rPr>
            </w:pPr>
            <w:r w:rsidRPr="000F23BB">
              <w:rPr>
                <w:b/>
                <w:sz w:val="24"/>
                <w:szCs w:val="28"/>
              </w:rPr>
              <w:t>Impact</w:t>
            </w:r>
          </w:p>
        </w:tc>
        <w:tc>
          <w:tcPr>
            <w:tcW w:w="1418" w:type="dxa"/>
            <w:shd w:val="clear" w:color="auto" w:fill="8DB3E2" w:themeFill="text2" w:themeFillTint="66"/>
          </w:tcPr>
          <w:p w:rsidR="00B374D4" w:rsidRPr="000F23BB" w:rsidRDefault="00B374D4" w:rsidP="00A50AEA">
            <w:pPr>
              <w:spacing w:after="0" w:line="240" w:lineRule="auto"/>
              <w:jc w:val="left"/>
              <w:rPr>
                <w:b/>
                <w:sz w:val="24"/>
                <w:szCs w:val="28"/>
              </w:rPr>
            </w:pPr>
            <w:r w:rsidRPr="000F23BB">
              <w:rPr>
                <w:b/>
                <w:sz w:val="24"/>
                <w:szCs w:val="28"/>
              </w:rPr>
              <w:t>Evidence certainty</w:t>
            </w:r>
          </w:p>
        </w:tc>
      </w:tr>
    </w:tbl>
    <w:p w:rsidR="00A50AEA" w:rsidRDefault="00A50AEA" w:rsidP="00A50AEA">
      <w:pPr>
        <w:spacing w:after="0"/>
      </w:pPr>
    </w:p>
    <w:tbl>
      <w:tblPr>
        <w:tblStyle w:val="TableGrid"/>
        <w:tblW w:w="0" w:type="auto"/>
        <w:tblLook w:val="04A0" w:firstRow="1" w:lastRow="0" w:firstColumn="1" w:lastColumn="0" w:noHBand="0" w:noVBand="1"/>
      </w:tblPr>
      <w:tblGrid>
        <w:gridCol w:w="1951"/>
        <w:gridCol w:w="142"/>
        <w:gridCol w:w="5812"/>
        <w:gridCol w:w="283"/>
        <w:gridCol w:w="5103"/>
        <w:gridCol w:w="1418"/>
      </w:tblGrid>
      <w:tr w:rsidR="00B374D4" w:rsidTr="00A50AEA">
        <w:tc>
          <w:tcPr>
            <w:tcW w:w="14709" w:type="dxa"/>
            <w:gridSpan w:val="6"/>
            <w:shd w:val="clear" w:color="auto" w:fill="8DB3E2" w:themeFill="text2" w:themeFillTint="66"/>
          </w:tcPr>
          <w:p w:rsidR="00B374D4" w:rsidRPr="000F62BD" w:rsidRDefault="00B374D4" w:rsidP="00B374D4">
            <w:pPr>
              <w:spacing w:after="0" w:line="240" w:lineRule="auto"/>
              <w:rPr>
                <w:b/>
                <w:sz w:val="28"/>
                <w:szCs w:val="28"/>
              </w:rPr>
            </w:pPr>
            <w:r w:rsidRPr="000F62BD">
              <w:rPr>
                <w:b/>
                <w:sz w:val="24"/>
                <w:szCs w:val="28"/>
              </w:rPr>
              <w:t>Additional costs of proposed approach, compared to taking no action</w:t>
            </w:r>
          </w:p>
        </w:tc>
      </w:tr>
      <w:tr w:rsidR="00B374D4" w:rsidTr="00F13C31">
        <w:tc>
          <w:tcPr>
            <w:tcW w:w="1951" w:type="dxa"/>
          </w:tcPr>
          <w:p w:rsidR="00B374D4" w:rsidRPr="00204E5A" w:rsidRDefault="00B374D4" w:rsidP="00204E5A">
            <w:pPr>
              <w:spacing w:before="120" w:after="120"/>
              <w:rPr>
                <w:sz w:val="24"/>
                <w:szCs w:val="28"/>
              </w:rPr>
            </w:pPr>
            <w:r w:rsidRPr="000F62BD">
              <w:rPr>
                <w:sz w:val="24"/>
                <w:szCs w:val="28"/>
              </w:rPr>
              <w:t>R&amp;D performing firms</w:t>
            </w:r>
          </w:p>
        </w:tc>
        <w:tc>
          <w:tcPr>
            <w:tcW w:w="5954" w:type="dxa"/>
            <w:gridSpan w:val="2"/>
          </w:tcPr>
          <w:p w:rsidR="00B374D4" w:rsidRPr="000F62BD" w:rsidRDefault="00B374D4" w:rsidP="00204E5A">
            <w:pPr>
              <w:spacing w:before="120" w:after="120"/>
              <w:rPr>
                <w:sz w:val="24"/>
                <w:szCs w:val="28"/>
              </w:rPr>
            </w:pPr>
            <w:r w:rsidRPr="000F62BD">
              <w:rPr>
                <w:sz w:val="24"/>
                <w:szCs w:val="28"/>
              </w:rPr>
              <w:t>Compliance costs</w:t>
            </w:r>
          </w:p>
        </w:tc>
        <w:tc>
          <w:tcPr>
            <w:tcW w:w="5386" w:type="dxa"/>
            <w:gridSpan w:val="2"/>
          </w:tcPr>
          <w:p w:rsidR="00B374D4" w:rsidRPr="000F62BD" w:rsidRDefault="00B374D4" w:rsidP="00204E5A">
            <w:pPr>
              <w:spacing w:before="120" w:after="120"/>
              <w:rPr>
                <w:sz w:val="24"/>
                <w:szCs w:val="28"/>
              </w:rPr>
            </w:pPr>
            <w:r w:rsidRPr="000F62BD">
              <w:rPr>
                <w:sz w:val="24"/>
                <w:szCs w:val="28"/>
              </w:rPr>
              <w:t>No need to quantify because negligible</w:t>
            </w:r>
            <w:r w:rsidR="00C65D59">
              <w:rPr>
                <w:sz w:val="24"/>
                <w:szCs w:val="28"/>
              </w:rPr>
              <w:t>.</w:t>
            </w:r>
          </w:p>
        </w:tc>
        <w:tc>
          <w:tcPr>
            <w:tcW w:w="1418" w:type="dxa"/>
          </w:tcPr>
          <w:p w:rsidR="00B374D4" w:rsidRPr="00204E5A" w:rsidRDefault="00B374D4" w:rsidP="00204E5A">
            <w:pPr>
              <w:spacing w:before="120" w:after="120"/>
              <w:rPr>
                <w:sz w:val="24"/>
                <w:szCs w:val="28"/>
              </w:rPr>
            </w:pPr>
          </w:p>
        </w:tc>
      </w:tr>
      <w:tr w:rsidR="00B374D4" w:rsidTr="00F13C31">
        <w:tc>
          <w:tcPr>
            <w:tcW w:w="1951" w:type="dxa"/>
          </w:tcPr>
          <w:p w:rsidR="00B374D4" w:rsidRPr="00204E5A" w:rsidRDefault="00B374D4" w:rsidP="00204E5A">
            <w:pPr>
              <w:spacing w:before="120" w:after="120"/>
              <w:rPr>
                <w:sz w:val="24"/>
                <w:szCs w:val="28"/>
              </w:rPr>
            </w:pPr>
            <w:r w:rsidRPr="000F62BD">
              <w:rPr>
                <w:sz w:val="24"/>
                <w:szCs w:val="28"/>
              </w:rPr>
              <w:t>Administering agency</w:t>
            </w:r>
          </w:p>
        </w:tc>
        <w:tc>
          <w:tcPr>
            <w:tcW w:w="5954" w:type="dxa"/>
            <w:gridSpan w:val="2"/>
          </w:tcPr>
          <w:p w:rsidR="00B374D4" w:rsidRPr="000F62BD" w:rsidRDefault="00B374D4" w:rsidP="00204E5A">
            <w:pPr>
              <w:spacing w:before="120" w:after="120"/>
              <w:rPr>
                <w:sz w:val="24"/>
                <w:szCs w:val="28"/>
              </w:rPr>
            </w:pPr>
            <w:r w:rsidRPr="000F62BD">
              <w:rPr>
                <w:sz w:val="24"/>
                <w:szCs w:val="28"/>
              </w:rPr>
              <w:t>Administration costs</w:t>
            </w:r>
          </w:p>
        </w:tc>
        <w:tc>
          <w:tcPr>
            <w:tcW w:w="5386" w:type="dxa"/>
            <w:gridSpan w:val="2"/>
          </w:tcPr>
          <w:p w:rsidR="00B374D4" w:rsidRPr="000F62BD" w:rsidRDefault="00B374D4" w:rsidP="00204E5A">
            <w:pPr>
              <w:spacing w:before="120" w:after="120"/>
              <w:rPr>
                <w:sz w:val="24"/>
                <w:szCs w:val="28"/>
              </w:rPr>
            </w:pPr>
            <w:r w:rsidRPr="000F62BD">
              <w:rPr>
                <w:sz w:val="24"/>
                <w:szCs w:val="28"/>
              </w:rPr>
              <w:t>No need to quantify because negligible</w:t>
            </w:r>
            <w:r w:rsidR="00C65D59">
              <w:rPr>
                <w:sz w:val="24"/>
                <w:szCs w:val="28"/>
              </w:rPr>
              <w:t>.</w:t>
            </w:r>
          </w:p>
        </w:tc>
        <w:tc>
          <w:tcPr>
            <w:tcW w:w="1418" w:type="dxa"/>
          </w:tcPr>
          <w:p w:rsidR="00B374D4" w:rsidRPr="00204E5A" w:rsidRDefault="00B374D4" w:rsidP="00204E5A">
            <w:pPr>
              <w:spacing w:before="120" w:after="120"/>
              <w:rPr>
                <w:sz w:val="24"/>
                <w:szCs w:val="28"/>
              </w:rPr>
            </w:pPr>
          </w:p>
        </w:tc>
      </w:tr>
      <w:tr w:rsidR="00B374D4" w:rsidTr="00F13C31">
        <w:tc>
          <w:tcPr>
            <w:tcW w:w="1951" w:type="dxa"/>
          </w:tcPr>
          <w:p w:rsidR="00B374D4" w:rsidRPr="00204E5A" w:rsidRDefault="00B374D4" w:rsidP="00204E5A">
            <w:pPr>
              <w:spacing w:before="120" w:after="120"/>
              <w:rPr>
                <w:sz w:val="24"/>
                <w:szCs w:val="28"/>
              </w:rPr>
            </w:pPr>
            <w:r w:rsidRPr="000F62BD">
              <w:rPr>
                <w:sz w:val="24"/>
                <w:szCs w:val="28"/>
              </w:rPr>
              <w:t>Wider government</w:t>
            </w:r>
          </w:p>
        </w:tc>
        <w:tc>
          <w:tcPr>
            <w:tcW w:w="5954" w:type="dxa"/>
            <w:gridSpan w:val="2"/>
          </w:tcPr>
          <w:p w:rsidR="00C92047" w:rsidRPr="000F62BD" w:rsidRDefault="00C92047" w:rsidP="00952FEB">
            <w:pPr>
              <w:spacing w:before="120" w:after="120"/>
              <w:rPr>
                <w:sz w:val="24"/>
                <w:szCs w:val="28"/>
              </w:rPr>
            </w:pPr>
            <w:r w:rsidRPr="00C92047">
              <w:rPr>
                <w:sz w:val="24"/>
                <w:szCs w:val="28"/>
                <w:lang w:val="en-NZ"/>
              </w:rPr>
              <w:t xml:space="preserve">Higher fiscal costs because of wider coverage of firms and more </w:t>
            </w:r>
            <w:r>
              <w:rPr>
                <w:sz w:val="24"/>
                <w:szCs w:val="28"/>
                <w:lang w:val="en-NZ"/>
              </w:rPr>
              <w:t>incentive to claim</w:t>
            </w:r>
            <w:r w:rsidRPr="00C92047">
              <w:rPr>
                <w:sz w:val="24"/>
                <w:szCs w:val="28"/>
                <w:lang w:val="en-NZ"/>
              </w:rPr>
              <w:t xml:space="preserve">. The cost of the </w:t>
            </w:r>
            <w:r w:rsidR="00952FEB">
              <w:rPr>
                <w:sz w:val="24"/>
                <w:szCs w:val="28"/>
                <w:lang w:val="en-NZ"/>
              </w:rPr>
              <w:t>T</w:t>
            </w:r>
            <w:r w:rsidRPr="00C92047">
              <w:rPr>
                <w:sz w:val="24"/>
                <w:szCs w:val="28"/>
                <w:lang w:val="en-NZ"/>
              </w:rPr>
              <w:t xml:space="preserve">ax </w:t>
            </w:r>
            <w:r w:rsidR="00952FEB">
              <w:rPr>
                <w:sz w:val="24"/>
                <w:szCs w:val="28"/>
                <w:lang w:val="en-NZ"/>
              </w:rPr>
              <w:t>Incentive</w:t>
            </w:r>
            <w:r w:rsidRPr="00C92047">
              <w:rPr>
                <w:sz w:val="24"/>
                <w:szCs w:val="28"/>
                <w:lang w:val="en-NZ"/>
              </w:rPr>
              <w:t xml:space="preserve"> will continue to be met from Vote: BSI and managed by MBIE in a similar way.</w:t>
            </w:r>
          </w:p>
        </w:tc>
        <w:tc>
          <w:tcPr>
            <w:tcW w:w="5386" w:type="dxa"/>
            <w:gridSpan w:val="2"/>
          </w:tcPr>
          <w:p w:rsidR="00B374D4" w:rsidRPr="000F62BD" w:rsidRDefault="00FD2613" w:rsidP="009D4659">
            <w:pPr>
              <w:spacing w:before="120" w:after="120"/>
              <w:rPr>
                <w:sz w:val="24"/>
                <w:szCs w:val="28"/>
              </w:rPr>
            </w:pPr>
            <w:r>
              <w:rPr>
                <w:sz w:val="24"/>
                <w:szCs w:val="28"/>
                <w:lang w:val="en-NZ"/>
              </w:rPr>
              <w:t>Potentially higher fiscal costs of R&amp;D Tax Incentive, up to approximately $40 million</w:t>
            </w:r>
            <w:r w:rsidR="009D4659">
              <w:rPr>
                <w:sz w:val="24"/>
                <w:szCs w:val="28"/>
                <w:lang w:val="en-NZ"/>
              </w:rPr>
              <w:t xml:space="preserve"> </w:t>
            </w:r>
            <w:r w:rsidR="009D4659">
              <w:rPr>
                <w:sz w:val="24"/>
                <w:szCs w:val="28"/>
              </w:rPr>
              <w:t>(over the period of the appropriation)</w:t>
            </w:r>
            <w:r>
              <w:rPr>
                <w:sz w:val="24"/>
                <w:szCs w:val="28"/>
                <w:lang w:val="en-NZ"/>
              </w:rPr>
              <w:t xml:space="preserve">. </w:t>
            </w:r>
            <w:r w:rsidR="00F42CF6">
              <w:rPr>
                <w:sz w:val="24"/>
                <w:szCs w:val="28"/>
                <w:lang w:val="en-NZ"/>
              </w:rPr>
              <w:t>No change required to appropriation which includes full refundability</w:t>
            </w:r>
            <w:r w:rsidR="00C65D59">
              <w:rPr>
                <w:sz w:val="24"/>
                <w:szCs w:val="28"/>
                <w:lang w:val="en-NZ"/>
              </w:rPr>
              <w:t xml:space="preserve"> and covers a</w:t>
            </w:r>
            <w:r w:rsidR="00F42CF6">
              <w:rPr>
                <w:sz w:val="24"/>
                <w:szCs w:val="28"/>
                <w:lang w:val="en-NZ"/>
              </w:rPr>
              <w:t>dditional $40 million ‘estimate’</w:t>
            </w:r>
            <w:r w:rsidR="009D4659">
              <w:rPr>
                <w:sz w:val="24"/>
                <w:szCs w:val="28"/>
                <w:lang w:val="en-NZ"/>
              </w:rPr>
              <w:t xml:space="preserve"> (</w:t>
            </w:r>
            <w:r w:rsidR="009D4659">
              <w:rPr>
                <w:sz w:val="24"/>
                <w:szCs w:val="28"/>
              </w:rPr>
              <w:t>within an approximate buffer of $200 million)</w:t>
            </w:r>
            <w:r w:rsidR="00F42CF6">
              <w:rPr>
                <w:sz w:val="24"/>
                <w:szCs w:val="28"/>
                <w:lang w:val="en-NZ"/>
              </w:rPr>
              <w:t>.</w:t>
            </w:r>
          </w:p>
        </w:tc>
        <w:tc>
          <w:tcPr>
            <w:tcW w:w="1418" w:type="dxa"/>
          </w:tcPr>
          <w:p w:rsidR="00B374D4" w:rsidRPr="00204E5A" w:rsidRDefault="007E2A7B" w:rsidP="00204E5A">
            <w:pPr>
              <w:spacing w:before="120" w:after="120"/>
              <w:rPr>
                <w:sz w:val="24"/>
                <w:szCs w:val="28"/>
              </w:rPr>
            </w:pPr>
            <w:r>
              <w:rPr>
                <w:sz w:val="24"/>
                <w:szCs w:val="28"/>
              </w:rPr>
              <w:t>Low</w:t>
            </w:r>
          </w:p>
        </w:tc>
      </w:tr>
      <w:tr w:rsidR="00B374D4" w:rsidTr="00F13C31">
        <w:tc>
          <w:tcPr>
            <w:tcW w:w="1951" w:type="dxa"/>
          </w:tcPr>
          <w:p w:rsidR="00B374D4" w:rsidRPr="000F62BD" w:rsidRDefault="00B374D4" w:rsidP="00204E5A">
            <w:pPr>
              <w:spacing w:before="120" w:after="120"/>
              <w:rPr>
                <w:sz w:val="24"/>
                <w:szCs w:val="28"/>
              </w:rPr>
            </w:pPr>
            <w:r w:rsidRPr="000F62BD">
              <w:rPr>
                <w:sz w:val="24"/>
                <w:szCs w:val="28"/>
              </w:rPr>
              <w:t>Other parties</w:t>
            </w:r>
          </w:p>
        </w:tc>
        <w:tc>
          <w:tcPr>
            <w:tcW w:w="5954" w:type="dxa"/>
            <w:gridSpan w:val="2"/>
          </w:tcPr>
          <w:p w:rsidR="00B374D4" w:rsidRPr="000F62BD" w:rsidRDefault="00B374D4" w:rsidP="00204E5A">
            <w:pPr>
              <w:spacing w:before="120" w:after="120"/>
              <w:rPr>
                <w:sz w:val="24"/>
                <w:szCs w:val="28"/>
              </w:rPr>
            </w:pPr>
            <w:r w:rsidRPr="000F62BD">
              <w:rPr>
                <w:sz w:val="24"/>
                <w:szCs w:val="28"/>
              </w:rPr>
              <w:t>No anticipated costs</w:t>
            </w:r>
            <w:r w:rsidR="00204E5A">
              <w:rPr>
                <w:sz w:val="24"/>
                <w:szCs w:val="28"/>
              </w:rPr>
              <w:t>.</w:t>
            </w:r>
          </w:p>
        </w:tc>
        <w:tc>
          <w:tcPr>
            <w:tcW w:w="5386" w:type="dxa"/>
            <w:gridSpan w:val="2"/>
          </w:tcPr>
          <w:p w:rsidR="00B374D4" w:rsidRPr="000F62BD" w:rsidRDefault="00B374D4" w:rsidP="00204E5A">
            <w:pPr>
              <w:spacing w:before="120" w:after="120"/>
              <w:rPr>
                <w:sz w:val="24"/>
                <w:szCs w:val="28"/>
              </w:rPr>
            </w:pPr>
            <w:r w:rsidRPr="000F62BD">
              <w:rPr>
                <w:sz w:val="24"/>
                <w:szCs w:val="28"/>
              </w:rPr>
              <w:t>$0</w:t>
            </w:r>
          </w:p>
        </w:tc>
        <w:tc>
          <w:tcPr>
            <w:tcW w:w="1418" w:type="dxa"/>
          </w:tcPr>
          <w:p w:rsidR="00B374D4" w:rsidRPr="00204E5A" w:rsidRDefault="00B374D4" w:rsidP="00204E5A">
            <w:pPr>
              <w:spacing w:before="120" w:after="120"/>
              <w:rPr>
                <w:sz w:val="24"/>
                <w:szCs w:val="28"/>
              </w:rPr>
            </w:pPr>
          </w:p>
        </w:tc>
      </w:tr>
      <w:tr w:rsidR="00B374D4" w:rsidTr="00F13C31">
        <w:tc>
          <w:tcPr>
            <w:tcW w:w="1951" w:type="dxa"/>
          </w:tcPr>
          <w:p w:rsidR="00B374D4" w:rsidRPr="000F62BD" w:rsidRDefault="00B374D4" w:rsidP="00204E5A">
            <w:pPr>
              <w:spacing w:before="120" w:after="120"/>
              <w:rPr>
                <w:sz w:val="24"/>
                <w:szCs w:val="28"/>
              </w:rPr>
            </w:pPr>
            <w:r w:rsidRPr="000F62BD">
              <w:rPr>
                <w:sz w:val="24"/>
                <w:szCs w:val="28"/>
              </w:rPr>
              <w:t>Total monetised cost</w:t>
            </w:r>
          </w:p>
        </w:tc>
        <w:tc>
          <w:tcPr>
            <w:tcW w:w="5954" w:type="dxa"/>
            <w:gridSpan w:val="2"/>
          </w:tcPr>
          <w:p w:rsidR="00B374D4" w:rsidRPr="00204E5A" w:rsidRDefault="00B374D4" w:rsidP="00204E5A">
            <w:pPr>
              <w:spacing w:before="120" w:after="120"/>
              <w:rPr>
                <w:sz w:val="24"/>
                <w:szCs w:val="28"/>
              </w:rPr>
            </w:pPr>
          </w:p>
        </w:tc>
        <w:tc>
          <w:tcPr>
            <w:tcW w:w="5386" w:type="dxa"/>
            <w:gridSpan w:val="2"/>
          </w:tcPr>
          <w:p w:rsidR="00B374D4" w:rsidRPr="00204E5A" w:rsidRDefault="006A665D" w:rsidP="00204E5A">
            <w:pPr>
              <w:spacing w:before="120" w:after="120"/>
              <w:rPr>
                <w:sz w:val="24"/>
                <w:szCs w:val="28"/>
              </w:rPr>
            </w:pPr>
            <w:r>
              <w:rPr>
                <w:sz w:val="24"/>
                <w:szCs w:val="28"/>
                <w:lang w:val="en-NZ"/>
              </w:rPr>
              <w:t>Higher fiscal costs of R&amp;D Tax Incentive, of up to approximately $40 million</w:t>
            </w:r>
            <w:r w:rsidR="009D4659">
              <w:rPr>
                <w:sz w:val="24"/>
                <w:szCs w:val="28"/>
                <w:lang w:val="en-NZ"/>
              </w:rPr>
              <w:t xml:space="preserve"> (</w:t>
            </w:r>
            <w:r w:rsidR="009D4659">
              <w:rPr>
                <w:sz w:val="24"/>
                <w:szCs w:val="28"/>
              </w:rPr>
              <w:t>over the period of the appropriation</w:t>
            </w:r>
            <w:r w:rsidR="009D4659">
              <w:rPr>
                <w:sz w:val="24"/>
                <w:szCs w:val="28"/>
                <w:lang w:val="en-NZ"/>
              </w:rPr>
              <w:t>)</w:t>
            </w:r>
            <w:r>
              <w:rPr>
                <w:sz w:val="24"/>
                <w:szCs w:val="28"/>
                <w:lang w:val="en-NZ"/>
              </w:rPr>
              <w:t xml:space="preserve">. </w:t>
            </w:r>
            <w:r w:rsidR="00C65D59">
              <w:rPr>
                <w:sz w:val="24"/>
                <w:szCs w:val="28"/>
                <w:lang w:val="en-NZ"/>
              </w:rPr>
              <w:t>No change required to appropriation which includes full refundability and covers additional $40 million ‘estimate’</w:t>
            </w:r>
            <w:r w:rsidR="009D4659">
              <w:rPr>
                <w:sz w:val="24"/>
                <w:szCs w:val="28"/>
                <w:lang w:val="en-NZ"/>
              </w:rPr>
              <w:t xml:space="preserve"> (</w:t>
            </w:r>
            <w:r w:rsidR="009D4659">
              <w:rPr>
                <w:sz w:val="24"/>
                <w:szCs w:val="28"/>
              </w:rPr>
              <w:t>within an approximate buffer of $200 million</w:t>
            </w:r>
            <w:r w:rsidR="009D4659">
              <w:rPr>
                <w:sz w:val="24"/>
                <w:szCs w:val="28"/>
                <w:lang w:val="en-NZ"/>
              </w:rPr>
              <w:t>)</w:t>
            </w:r>
            <w:r w:rsidR="00C65D59">
              <w:rPr>
                <w:sz w:val="24"/>
                <w:szCs w:val="28"/>
                <w:lang w:val="en-NZ"/>
              </w:rPr>
              <w:t>.</w:t>
            </w:r>
          </w:p>
        </w:tc>
        <w:tc>
          <w:tcPr>
            <w:tcW w:w="1418" w:type="dxa"/>
          </w:tcPr>
          <w:p w:rsidR="00B374D4" w:rsidRPr="00204E5A" w:rsidRDefault="00204E5A" w:rsidP="00204E5A">
            <w:pPr>
              <w:spacing w:before="120" w:after="120"/>
              <w:rPr>
                <w:sz w:val="24"/>
                <w:szCs w:val="28"/>
              </w:rPr>
            </w:pPr>
            <w:r w:rsidRPr="00204E5A">
              <w:rPr>
                <w:sz w:val="24"/>
                <w:szCs w:val="28"/>
              </w:rPr>
              <w:t>Low</w:t>
            </w:r>
          </w:p>
        </w:tc>
      </w:tr>
      <w:tr w:rsidR="00B374D4" w:rsidTr="00F13C31">
        <w:tc>
          <w:tcPr>
            <w:tcW w:w="1951" w:type="dxa"/>
          </w:tcPr>
          <w:p w:rsidR="00B374D4" w:rsidRPr="000F62BD" w:rsidRDefault="00B374D4" w:rsidP="00204E5A">
            <w:pPr>
              <w:spacing w:before="120" w:after="120"/>
              <w:rPr>
                <w:sz w:val="24"/>
                <w:szCs w:val="28"/>
              </w:rPr>
            </w:pPr>
            <w:r w:rsidRPr="000F62BD">
              <w:rPr>
                <w:sz w:val="24"/>
                <w:szCs w:val="28"/>
              </w:rPr>
              <w:t>Non-monetised costs</w:t>
            </w:r>
          </w:p>
        </w:tc>
        <w:tc>
          <w:tcPr>
            <w:tcW w:w="5954" w:type="dxa"/>
            <w:gridSpan w:val="2"/>
          </w:tcPr>
          <w:p w:rsidR="00B374D4" w:rsidRPr="00204E5A" w:rsidRDefault="00B374D4" w:rsidP="00204E5A">
            <w:pPr>
              <w:spacing w:before="120" w:after="120"/>
              <w:rPr>
                <w:sz w:val="24"/>
                <w:szCs w:val="28"/>
              </w:rPr>
            </w:pPr>
          </w:p>
        </w:tc>
        <w:tc>
          <w:tcPr>
            <w:tcW w:w="5386" w:type="dxa"/>
            <w:gridSpan w:val="2"/>
          </w:tcPr>
          <w:p w:rsidR="00B374D4" w:rsidRPr="00204E5A" w:rsidRDefault="004A4384" w:rsidP="004A4384">
            <w:pPr>
              <w:tabs>
                <w:tab w:val="center" w:pos="1053"/>
              </w:tabs>
              <w:spacing w:before="120" w:after="120"/>
              <w:rPr>
                <w:sz w:val="24"/>
                <w:szCs w:val="28"/>
              </w:rPr>
            </w:pPr>
            <w:r>
              <w:rPr>
                <w:sz w:val="24"/>
                <w:szCs w:val="28"/>
              </w:rPr>
              <w:t>n/a</w:t>
            </w:r>
          </w:p>
        </w:tc>
        <w:tc>
          <w:tcPr>
            <w:tcW w:w="1418" w:type="dxa"/>
          </w:tcPr>
          <w:p w:rsidR="00B374D4" w:rsidRPr="00204E5A" w:rsidRDefault="00B374D4" w:rsidP="00204E5A">
            <w:pPr>
              <w:spacing w:before="120" w:after="120"/>
              <w:rPr>
                <w:sz w:val="24"/>
                <w:szCs w:val="28"/>
              </w:rPr>
            </w:pPr>
          </w:p>
        </w:tc>
      </w:tr>
      <w:tr w:rsidR="00B374D4" w:rsidRPr="000F62BD" w:rsidTr="00A50AEA">
        <w:tc>
          <w:tcPr>
            <w:tcW w:w="14709" w:type="dxa"/>
            <w:gridSpan w:val="6"/>
            <w:shd w:val="clear" w:color="auto" w:fill="8DB3E2" w:themeFill="text2" w:themeFillTint="66"/>
          </w:tcPr>
          <w:p w:rsidR="00B374D4" w:rsidRPr="000F62BD" w:rsidRDefault="00B374D4" w:rsidP="00B374D4">
            <w:pPr>
              <w:spacing w:after="0" w:line="240" w:lineRule="auto"/>
              <w:rPr>
                <w:b/>
                <w:sz w:val="28"/>
                <w:szCs w:val="28"/>
              </w:rPr>
            </w:pPr>
            <w:r>
              <w:rPr>
                <w:b/>
                <w:sz w:val="24"/>
                <w:szCs w:val="28"/>
              </w:rPr>
              <w:lastRenderedPageBreak/>
              <w:t xml:space="preserve">Expected benefits </w:t>
            </w:r>
            <w:r w:rsidRPr="000F62BD">
              <w:rPr>
                <w:b/>
                <w:sz w:val="24"/>
                <w:szCs w:val="28"/>
              </w:rPr>
              <w:t>of proposed approach, compared to taking no action</w:t>
            </w:r>
          </w:p>
        </w:tc>
      </w:tr>
      <w:tr w:rsidR="006F0C43" w:rsidTr="00CF69FB">
        <w:tc>
          <w:tcPr>
            <w:tcW w:w="2093" w:type="dxa"/>
            <w:gridSpan w:val="2"/>
          </w:tcPr>
          <w:p w:rsidR="006F0C43" w:rsidRPr="00204E5A" w:rsidRDefault="006F0C43" w:rsidP="00204E5A">
            <w:pPr>
              <w:spacing w:before="120" w:after="120"/>
              <w:rPr>
                <w:sz w:val="24"/>
                <w:szCs w:val="28"/>
              </w:rPr>
            </w:pPr>
            <w:r w:rsidRPr="000F62BD">
              <w:rPr>
                <w:sz w:val="24"/>
                <w:szCs w:val="28"/>
              </w:rPr>
              <w:t>R&amp;D performing firms</w:t>
            </w:r>
          </w:p>
        </w:tc>
        <w:tc>
          <w:tcPr>
            <w:tcW w:w="6095" w:type="dxa"/>
            <w:gridSpan w:val="2"/>
          </w:tcPr>
          <w:p w:rsidR="006F0C43" w:rsidRDefault="009D555E" w:rsidP="00204E5A">
            <w:pPr>
              <w:spacing w:before="120" w:after="120"/>
              <w:rPr>
                <w:sz w:val="24"/>
                <w:szCs w:val="28"/>
                <w:lang w:val="en-NZ"/>
              </w:rPr>
            </w:pPr>
            <w:r w:rsidRPr="009D555E">
              <w:rPr>
                <w:sz w:val="24"/>
                <w:szCs w:val="28"/>
                <w:lang w:val="en-NZ"/>
              </w:rPr>
              <w:t xml:space="preserve">Eligible firms will receive a </w:t>
            </w:r>
            <w:r>
              <w:rPr>
                <w:sz w:val="24"/>
                <w:szCs w:val="28"/>
                <w:lang w:val="en-NZ"/>
              </w:rPr>
              <w:t xml:space="preserve">refundable </w:t>
            </w:r>
            <w:r w:rsidRPr="009D555E">
              <w:rPr>
                <w:sz w:val="24"/>
                <w:szCs w:val="28"/>
                <w:lang w:val="en-NZ"/>
              </w:rPr>
              <w:t xml:space="preserve">tax credit equivalent to 15% of their </w:t>
            </w:r>
            <w:r>
              <w:rPr>
                <w:sz w:val="24"/>
                <w:szCs w:val="28"/>
                <w:lang w:val="en-NZ"/>
              </w:rPr>
              <w:t xml:space="preserve">eligible </w:t>
            </w:r>
            <w:r w:rsidRPr="009D555E">
              <w:rPr>
                <w:sz w:val="24"/>
                <w:szCs w:val="28"/>
                <w:lang w:val="en-NZ"/>
              </w:rPr>
              <w:t>R&amp;D expenditure</w:t>
            </w:r>
            <w:r w:rsidR="000414BE">
              <w:rPr>
                <w:sz w:val="24"/>
                <w:szCs w:val="28"/>
                <w:lang w:val="en-NZ"/>
              </w:rPr>
              <w:t xml:space="preserve">, up to a cap of </w:t>
            </w:r>
            <w:r w:rsidR="007072DA">
              <w:rPr>
                <w:sz w:val="24"/>
                <w:szCs w:val="28"/>
                <w:lang w:val="en-NZ"/>
              </w:rPr>
              <w:t>the amount of ‘payroll’ taxes paid</w:t>
            </w:r>
            <w:r w:rsidR="000414BE">
              <w:rPr>
                <w:sz w:val="24"/>
                <w:szCs w:val="28"/>
                <w:lang w:val="en-NZ"/>
              </w:rPr>
              <w:t xml:space="preserve"> per year</w:t>
            </w:r>
            <w:r w:rsidR="007072DA">
              <w:rPr>
                <w:sz w:val="24"/>
                <w:szCs w:val="28"/>
                <w:lang w:val="en-NZ"/>
              </w:rPr>
              <w:t>, plus tax credits resulting from payments to approved research providers</w:t>
            </w:r>
            <w:r w:rsidR="007072DA">
              <w:rPr>
                <w:rStyle w:val="FootnoteReference"/>
                <w:szCs w:val="28"/>
                <w:lang w:val="en-NZ"/>
              </w:rPr>
              <w:footnoteReference w:id="10"/>
            </w:r>
            <w:r w:rsidRPr="009D555E">
              <w:rPr>
                <w:sz w:val="24"/>
                <w:szCs w:val="28"/>
                <w:lang w:val="en-NZ"/>
              </w:rPr>
              <w:t>. For existing Growth Grants this is roughly equivalent to a 20% pre-tax subsidy (as per the Growth Grant),</w:t>
            </w:r>
            <w:r w:rsidRPr="000414BE">
              <w:rPr>
                <w:sz w:val="24"/>
                <w:szCs w:val="28"/>
                <w:vertAlign w:val="superscript"/>
                <w:lang w:val="en-NZ"/>
              </w:rPr>
              <w:footnoteReference w:id="11"/>
            </w:r>
            <w:r w:rsidRPr="009D555E">
              <w:rPr>
                <w:sz w:val="24"/>
                <w:szCs w:val="28"/>
                <w:lang w:val="en-NZ"/>
              </w:rPr>
              <w:t xml:space="preserve"> all else being equal.</w:t>
            </w:r>
            <w:r w:rsidRPr="000414BE">
              <w:rPr>
                <w:sz w:val="24"/>
                <w:szCs w:val="28"/>
                <w:vertAlign w:val="superscript"/>
                <w:lang w:val="en-NZ"/>
              </w:rPr>
              <w:footnoteReference w:id="12"/>
            </w:r>
            <w:r w:rsidRPr="009D555E">
              <w:rPr>
                <w:sz w:val="24"/>
                <w:szCs w:val="28"/>
                <w:lang w:val="en-NZ"/>
              </w:rPr>
              <w:t xml:space="preserve"> For non-recipients </w:t>
            </w:r>
            <w:r w:rsidR="006850B9">
              <w:rPr>
                <w:sz w:val="24"/>
                <w:szCs w:val="28"/>
                <w:lang w:val="en-NZ"/>
              </w:rPr>
              <w:t xml:space="preserve">of a Growth Grant </w:t>
            </w:r>
            <w:r w:rsidRPr="009D555E">
              <w:rPr>
                <w:sz w:val="24"/>
                <w:szCs w:val="28"/>
                <w:lang w:val="en-NZ"/>
              </w:rPr>
              <w:t>this will be a</w:t>
            </w:r>
            <w:r w:rsidR="000414BE">
              <w:rPr>
                <w:sz w:val="24"/>
                <w:szCs w:val="28"/>
                <w:lang w:val="en-NZ"/>
              </w:rPr>
              <w:t>n increased</w:t>
            </w:r>
            <w:r w:rsidRPr="009D555E">
              <w:rPr>
                <w:sz w:val="24"/>
                <w:szCs w:val="28"/>
                <w:lang w:val="en-NZ"/>
              </w:rPr>
              <w:t xml:space="preserve"> subsidy. These benefits are equivalent to the costs to wider government (as above).</w:t>
            </w:r>
          </w:p>
          <w:p w:rsidR="009D555E" w:rsidRPr="009D555E" w:rsidRDefault="009D555E" w:rsidP="006850B9">
            <w:pPr>
              <w:spacing w:before="120" w:after="120"/>
              <w:rPr>
                <w:sz w:val="24"/>
                <w:szCs w:val="28"/>
                <w:lang w:val="en-NZ"/>
              </w:rPr>
            </w:pPr>
            <w:r w:rsidRPr="009D555E">
              <w:rPr>
                <w:sz w:val="24"/>
                <w:szCs w:val="28"/>
                <w:lang w:val="en-NZ"/>
              </w:rPr>
              <w:t xml:space="preserve">In addition, firms receiving new or additional funding are expected to </w:t>
            </w:r>
            <w:r w:rsidR="006850B9">
              <w:rPr>
                <w:sz w:val="24"/>
                <w:szCs w:val="28"/>
                <w:lang w:val="en-NZ"/>
              </w:rPr>
              <w:t xml:space="preserve">employ more staff </w:t>
            </w:r>
            <w:r w:rsidRPr="009D555E">
              <w:rPr>
                <w:sz w:val="24"/>
                <w:szCs w:val="28"/>
                <w:lang w:val="en-NZ"/>
              </w:rPr>
              <w:t xml:space="preserve">and </w:t>
            </w:r>
            <w:r w:rsidR="006850B9">
              <w:rPr>
                <w:sz w:val="24"/>
                <w:szCs w:val="28"/>
                <w:lang w:val="en-NZ"/>
              </w:rPr>
              <w:t xml:space="preserve">increase </w:t>
            </w:r>
            <w:r w:rsidRPr="009D555E">
              <w:rPr>
                <w:sz w:val="24"/>
                <w:szCs w:val="28"/>
                <w:lang w:val="en-NZ"/>
              </w:rPr>
              <w:t>labour productivity growth, but effects have not been monetised.</w:t>
            </w:r>
          </w:p>
        </w:tc>
        <w:tc>
          <w:tcPr>
            <w:tcW w:w="5103" w:type="dxa"/>
          </w:tcPr>
          <w:p w:rsidR="006F0C43" w:rsidRPr="00204E5A" w:rsidRDefault="00CB1757" w:rsidP="007A42B0">
            <w:pPr>
              <w:spacing w:before="120" w:after="120"/>
              <w:rPr>
                <w:sz w:val="24"/>
                <w:szCs w:val="28"/>
              </w:rPr>
            </w:pPr>
            <w:r>
              <w:rPr>
                <w:sz w:val="24"/>
                <w:szCs w:val="28"/>
                <w:lang w:val="en-NZ"/>
              </w:rPr>
              <w:t xml:space="preserve">Higher R&amp;D up to potentially an additional $250 million, with corresponding </w:t>
            </w:r>
            <w:proofErr w:type="spellStart"/>
            <w:r>
              <w:rPr>
                <w:sz w:val="24"/>
                <w:szCs w:val="28"/>
                <w:lang w:val="en-NZ"/>
              </w:rPr>
              <w:t>spillovers</w:t>
            </w:r>
            <w:proofErr w:type="spellEnd"/>
            <w:r>
              <w:rPr>
                <w:sz w:val="24"/>
                <w:szCs w:val="28"/>
                <w:lang w:val="en-NZ"/>
              </w:rPr>
              <w:t>.</w:t>
            </w:r>
          </w:p>
        </w:tc>
        <w:tc>
          <w:tcPr>
            <w:tcW w:w="1418" w:type="dxa"/>
          </w:tcPr>
          <w:p w:rsidR="006F0C43" w:rsidRDefault="009D555E" w:rsidP="00204E5A">
            <w:pPr>
              <w:spacing w:before="120" w:after="120"/>
              <w:rPr>
                <w:sz w:val="24"/>
                <w:szCs w:val="28"/>
              </w:rPr>
            </w:pPr>
            <w:r>
              <w:rPr>
                <w:sz w:val="24"/>
                <w:szCs w:val="28"/>
              </w:rPr>
              <w:t>Medium</w:t>
            </w:r>
          </w:p>
          <w:p w:rsidR="009D555E" w:rsidRDefault="009D555E" w:rsidP="00204E5A">
            <w:pPr>
              <w:spacing w:before="120" w:after="120"/>
              <w:rPr>
                <w:sz w:val="24"/>
                <w:szCs w:val="28"/>
              </w:rPr>
            </w:pPr>
          </w:p>
          <w:p w:rsidR="009D555E" w:rsidRDefault="009D555E" w:rsidP="00204E5A">
            <w:pPr>
              <w:spacing w:before="120" w:after="120"/>
              <w:rPr>
                <w:sz w:val="24"/>
                <w:szCs w:val="28"/>
              </w:rPr>
            </w:pPr>
          </w:p>
          <w:p w:rsidR="00A50AEA" w:rsidRDefault="00A50AEA" w:rsidP="00204E5A">
            <w:pPr>
              <w:spacing w:before="120" w:after="120"/>
              <w:rPr>
                <w:sz w:val="24"/>
                <w:szCs w:val="28"/>
              </w:rPr>
            </w:pPr>
            <w:r>
              <w:rPr>
                <w:sz w:val="24"/>
                <w:szCs w:val="28"/>
              </w:rPr>
              <w:br/>
            </w:r>
          </w:p>
          <w:p w:rsidR="009D555E" w:rsidRDefault="009D555E" w:rsidP="00204E5A">
            <w:pPr>
              <w:spacing w:before="120" w:after="120"/>
              <w:rPr>
                <w:sz w:val="24"/>
                <w:szCs w:val="28"/>
              </w:rPr>
            </w:pPr>
          </w:p>
          <w:p w:rsidR="009D555E" w:rsidRPr="00204E5A" w:rsidRDefault="009D555E" w:rsidP="00204E5A">
            <w:pPr>
              <w:spacing w:before="120" w:after="120"/>
              <w:rPr>
                <w:sz w:val="24"/>
                <w:szCs w:val="28"/>
              </w:rPr>
            </w:pPr>
            <w:r>
              <w:rPr>
                <w:sz w:val="24"/>
                <w:szCs w:val="28"/>
              </w:rPr>
              <w:t>Medium</w:t>
            </w:r>
          </w:p>
        </w:tc>
      </w:tr>
      <w:tr w:rsidR="006F0C43" w:rsidTr="00CF69FB">
        <w:tc>
          <w:tcPr>
            <w:tcW w:w="2093" w:type="dxa"/>
            <w:gridSpan w:val="2"/>
          </w:tcPr>
          <w:p w:rsidR="006F0C43" w:rsidRPr="00204E5A" w:rsidRDefault="006F0C43" w:rsidP="00204E5A">
            <w:pPr>
              <w:spacing w:before="120" w:after="120"/>
              <w:rPr>
                <w:sz w:val="24"/>
                <w:szCs w:val="28"/>
              </w:rPr>
            </w:pPr>
            <w:r w:rsidRPr="000F62BD">
              <w:rPr>
                <w:sz w:val="24"/>
                <w:szCs w:val="28"/>
              </w:rPr>
              <w:t>Administering agency</w:t>
            </w:r>
          </w:p>
        </w:tc>
        <w:tc>
          <w:tcPr>
            <w:tcW w:w="6095" w:type="dxa"/>
            <w:gridSpan w:val="2"/>
          </w:tcPr>
          <w:p w:rsidR="006F0C43" w:rsidRPr="000F62BD" w:rsidRDefault="006F0C43" w:rsidP="00204E5A">
            <w:pPr>
              <w:spacing w:before="120" w:after="120"/>
              <w:rPr>
                <w:sz w:val="24"/>
                <w:szCs w:val="28"/>
              </w:rPr>
            </w:pPr>
            <w:r>
              <w:rPr>
                <w:sz w:val="24"/>
                <w:szCs w:val="28"/>
              </w:rPr>
              <w:t>None</w:t>
            </w:r>
          </w:p>
        </w:tc>
        <w:tc>
          <w:tcPr>
            <w:tcW w:w="5103" w:type="dxa"/>
          </w:tcPr>
          <w:p w:rsidR="006F0C43" w:rsidRPr="00204E5A" w:rsidRDefault="006F0C43" w:rsidP="00204E5A">
            <w:pPr>
              <w:spacing w:before="120" w:after="120"/>
              <w:rPr>
                <w:sz w:val="24"/>
                <w:szCs w:val="28"/>
              </w:rPr>
            </w:pPr>
            <w:r>
              <w:rPr>
                <w:sz w:val="24"/>
                <w:szCs w:val="28"/>
              </w:rPr>
              <w:t>0</w:t>
            </w:r>
          </w:p>
        </w:tc>
        <w:tc>
          <w:tcPr>
            <w:tcW w:w="1418" w:type="dxa"/>
          </w:tcPr>
          <w:p w:rsidR="006F0C43" w:rsidRPr="00204E5A" w:rsidRDefault="006F0C43" w:rsidP="00204E5A">
            <w:pPr>
              <w:spacing w:before="120" w:after="120"/>
              <w:rPr>
                <w:sz w:val="24"/>
                <w:szCs w:val="28"/>
              </w:rPr>
            </w:pPr>
            <w:r>
              <w:rPr>
                <w:sz w:val="24"/>
                <w:szCs w:val="28"/>
              </w:rPr>
              <w:t>n/a</w:t>
            </w:r>
          </w:p>
        </w:tc>
      </w:tr>
      <w:tr w:rsidR="006F0C43" w:rsidTr="00CF69FB">
        <w:tc>
          <w:tcPr>
            <w:tcW w:w="2093" w:type="dxa"/>
            <w:gridSpan w:val="2"/>
          </w:tcPr>
          <w:p w:rsidR="006F0C43" w:rsidRPr="00204E5A" w:rsidRDefault="006F0C43" w:rsidP="00204E5A">
            <w:pPr>
              <w:spacing w:before="120" w:after="120"/>
              <w:rPr>
                <w:sz w:val="24"/>
                <w:szCs w:val="28"/>
              </w:rPr>
            </w:pPr>
            <w:r w:rsidRPr="000F62BD">
              <w:rPr>
                <w:sz w:val="24"/>
                <w:szCs w:val="28"/>
              </w:rPr>
              <w:t>Wider government</w:t>
            </w:r>
          </w:p>
        </w:tc>
        <w:tc>
          <w:tcPr>
            <w:tcW w:w="6095" w:type="dxa"/>
            <w:gridSpan w:val="2"/>
          </w:tcPr>
          <w:p w:rsidR="006F0C43" w:rsidRPr="000F62BD" w:rsidRDefault="0007246E" w:rsidP="00204E5A">
            <w:pPr>
              <w:spacing w:before="120" w:after="120"/>
              <w:rPr>
                <w:sz w:val="24"/>
                <w:szCs w:val="28"/>
              </w:rPr>
            </w:pPr>
            <w:r w:rsidRPr="0007246E">
              <w:rPr>
                <w:sz w:val="24"/>
                <w:szCs w:val="28"/>
                <w:lang w:val="en-NZ"/>
              </w:rPr>
              <w:t>Higher investment in R&amp;D and resulting business innovation expected to result in more productivity growth over time, leading to high</w:t>
            </w:r>
            <w:r w:rsidR="006C6734">
              <w:rPr>
                <w:sz w:val="24"/>
                <w:szCs w:val="28"/>
                <w:lang w:val="en-NZ"/>
              </w:rPr>
              <w:t>er</w:t>
            </w:r>
            <w:r w:rsidRPr="0007246E">
              <w:rPr>
                <w:sz w:val="24"/>
                <w:szCs w:val="28"/>
                <w:lang w:val="en-NZ"/>
              </w:rPr>
              <w:t xml:space="preserve"> incomes and hence tax paid, but effects have not been monetised.</w:t>
            </w:r>
          </w:p>
        </w:tc>
        <w:tc>
          <w:tcPr>
            <w:tcW w:w="5103" w:type="dxa"/>
          </w:tcPr>
          <w:p w:rsidR="006F0C43" w:rsidRPr="00204E5A" w:rsidRDefault="00655DA8" w:rsidP="00204E5A">
            <w:pPr>
              <w:spacing w:before="120" w:after="120"/>
              <w:rPr>
                <w:sz w:val="24"/>
                <w:szCs w:val="28"/>
              </w:rPr>
            </w:pPr>
            <w:r>
              <w:rPr>
                <w:sz w:val="24"/>
                <w:szCs w:val="28"/>
              </w:rPr>
              <w:t>Medium</w:t>
            </w:r>
          </w:p>
        </w:tc>
        <w:tc>
          <w:tcPr>
            <w:tcW w:w="1418" w:type="dxa"/>
          </w:tcPr>
          <w:p w:rsidR="006F0C43" w:rsidRPr="00204E5A" w:rsidRDefault="00450A64" w:rsidP="00204E5A">
            <w:pPr>
              <w:spacing w:before="120" w:after="120"/>
              <w:rPr>
                <w:sz w:val="24"/>
                <w:szCs w:val="28"/>
              </w:rPr>
            </w:pPr>
            <w:r>
              <w:rPr>
                <w:sz w:val="24"/>
                <w:szCs w:val="28"/>
              </w:rPr>
              <w:t>Low</w:t>
            </w:r>
          </w:p>
        </w:tc>
      </w:tr>
      <w:tr w:rsidR="006F0C43" w:rsidTr="00CF69FB">
        <w:tc>
          <w:tcPr>
            <w:tcW w:w="2093" w:type="dxa"/>
            <w:gridSpan w:val="2"/>
          </w:tcPr>
          <w:p w:rsidR="006F0C43" w:rsidRPr="000F62BD" w:rsidRDefault="006F0C43" w:rsidP="00204E5A">
            <w:pPr>
              <w:spacing w:before="120" w:after="120"/>
              <w:rPr>
                <w:sz w:val="24"/>
                <w:szCs w:val="28"/>
              </w:rPr>
            </w:pPr>
            <w:r w:rsidRPr="000F62BD">
              <w:rPr>
                <w:sz w:val="24"/>
                <w:szCs w:val="28"/>
              </w:rPr>
              <w:t>Other parties</w:t>
            </w:r>
          </w:p>
        </w:tc>
        <w:tc>
          <w:tcPr>
            <w:tcW w:w="6095" w:type="dxa"/>
            <w:gridSpan w:val="2"/>
          </w:tcPr>
          <w:p w:rsidR="006F0C43" w:rsidRPr="000F62BD" w:rsidRDefault="0007246E" w:rsidP="0007246E">
            <w:pPr>
              <w:spacing w:before="120" w:after="120"/>
              <w:rPr>
                <w:sz w:val="24"/>
                <w:szCs w:val="28"/>
              </w:rPr>
            </w:pPr>
            <w:r w:rsidRPr="0007246E">
              <w:rPr>
                <w:sz w:val="24"/>
                <w:szCs w:val="28"/>
                <w:lang w:val="en-NZ"/>
              </w:rPr>
              <w:t>Higher investment in R&amp;D</w:t>
            </w:r>
            <w:r w:rsidR="006850B9">
              <w:rPr>
                <w:sz w:val="24"/>
                <w:szCs w:val="28"/>
                <w:lang w:val="en-NZ"/>
              </w:rPr>
              <w:t xml:space="preserve"> is</w:t>
            </w:r>
            <w:r w:rsidRPr="0007246E">
              <w:rPr>
                <w:sz w:val="24"/>
                <w:szCs w:val="28"/>
                <w:lang w:val="en-NZ"/>
              </w:rPr>
              <w:t xml:space="preserve"> expected to generate positive </w:t>
            </w:r>
            <w:proofErr w:type="spellStart"/>
            <w:r w:rsidRPr="0007246E">
              <w:rPr>
                <w:sz w:val="24"/>
                <w:szCs w:val="28"/>
                <w:lang w:val="en-NZ"/>
              </w:rPr>
              <w:t>spillovers</w:t>
            </w:r>
            <w:proofErr w:type="spellEnd"/>
            <w:r w:rsidRPr="0007246E">
              <w:rPr>
                <w:sz w:val="24"/>
                <w:szCs w:val="28"/>
                <w:lang w:val="en-NZ"/>
              </w:rPr>
              <w:t xml:space="preserve"> to rest of the economy (other firms, </w:t>
            </w:r>
            <w:r w:rsidRPr="0007246E">
              <w:rPr>
                <w:sz w:val="24"/>
                <w:szCs w:val="28"/>
                <w:lang w:val="en-NZ"/>
              </w:rPr>
              <w:lastRenderedPageBreak/>
              <w:t>researchers, etc.), but effects have not been monetised.</w:t>
            </w:r>
          </w:p>
        </w:tc>
        <w:tc>
          <w:tcPr>
            <w:tcW w:w="5103" w:type="dxa"/>
          </w:tcPr>
          <w:p w:rsidR="006F0C43" w:rsidRPr="00204E5A" w:rsidRDefault="0007246E" w:rsidP="00204E5A">
            <w:pPr>
              <w:spacing w:before="120" w:after="120"/>
              <w:rPr>
                <w:sz w:val="24"/>
                <w:szCs w:val="28"/>
              </w:rPr>
            </w:pPr>
            <w:r>
              <w:rPr>
                <w:sz w:val="24"/>
                <w:szCs w:val="28"/>
              </w:rPr>
              <w:lastRenderedPageBreak/>
              <w:t>Medium</w:t>
            </w:r>
          </w:p>
        </w:tc>
        <w:tc>
          <w:tcPr>
            <w:tcW w:w="1418" w:type="dxa"/>
          </w:tcPr>
          <w:p w:rsidR="006F0C43" w:rsidRPr="00204E5A" w:rsidRDefault="00655DA8" w:rsidP="00204E5A">
            <w:pPr>
              <w:spacing w:before="120" w:after="120"/>
              <w:rPr>
                <w:sz w:val="24"/>
                <w:szCs w:val="28"/>
              </w:rPr>
            </w:pPr>
            <w:r>
              <w:rPr>
                <w:sz w:val="24"/>
                <w:szCs w:val="28"/>
              </w:rPr>
              <w:t>Low</w:t>
            </w:r>
          </w:p>
        </w:tc>
      </w:tr>
      <w:tr w:rsidR="006F0C43" w:rsidTr="00CF69FB">
        <w:tc>
          <w:tcPr>
            <w:tcW w:w="2093" w:type="dxa"/>
            <w:gridSpan w:val="2"/>
          </w:tcPr>
          <w:p w:rsidR="006F0C43" w:rsidRPr="000F62BD" w:rsidRDefault="006F0C43" w:rsidP="00204E5A">
            <w:pPr>
              <w:spacing w:before="120" w:after="120"/>
              <w:rPr>
                <w:sz w:val="24"/>
                <w:szCs w:val="28"/>
              </w:rPr>
            </w:pPr>
            <w:r w:rsidRPr="000F62BD">
              <w:rPr>
                <w:sz w:val="24"/>
                <w:szCs w:val="28"/>
              </w:rPr>
              <w:t xml:space="preserve">Total monetised </w:t>
            </w:r>
            <w:r>
              <w:rPr>
                <w:sz w:val="24"/>
                <w:szCs w:val="28"/>
              </w:rPr>
              <w:t>benefit</w:t>
            </w:r>
          </w:p>
        </w:tc>
        <w:tc>
          <w:tcPr>
            <w:tcW w:w="6095" w:type="dxa"/>
            <w:gridSpan w:val="2"/>
          </w:tcPr>
          <w:p w:rsidR="006F0C43" w:rsidRPr="00204E5A" w:rsidRDefault="006F0C43" w:rsidP="00204E5A">
            <w:pPr>
              <w:spacing w:before="120" w:after="120"/>
              <w:rPr>
                <w:sz w:val="24"/>
                <w:szCs w:val="28"/>
              </w:rPr>
            </w:pPr>
          </w:p>
        </w:tc>
        <w:tc>
          <w:tcPr>
            <w:tcW w:w="5103" w:type="dxa"/>
          </w:tcPr>
          <w:p w:rsidR="006F0C43" w:rsidRPr="00204E5A" w:rsidRDefault="006C6734" w:rsidP="00D435A2">
            <w:pPr>
              <w:spacing w:before="120" w:after="120"/>
              <w:rPr>
                <w:sz w:val="24"/>
                <w:szCs w:val="28"/>
              </w:rPr>
            </w:pPr>
            <w:r>
              <w:rPr>
                <w:sz w:val="24"/>
                <w:szCs w:val="28"/>
                <w:lang w:val="en-NZ"/>
              </w:rPr>
              <w:t xml:space="preserve">Higher R&amp;D up to potentially an additional $250 million, with corresponding </w:t>
            </w:r>
            <w:proofErr w:type="spellStart"/>
            <w:r>
              <w:rPr>
                <w:sz w:val="24"/>
                <w:szCs w:val="28"/>
                <w:lang w:val="en-NZ"/>
              </w:rPr>
              <w:t>spillovers</w:t>
            </w:r>
            <w:proofErr w:type="spellEnd"/>
            <w:r>
              <w:rPr>
                <w:sz w:val="24"/>
                <w:szCs w:val="28"/>
                <w:lang w:val="en-NZ"/>
              </w:rPr>
              <w:t>.</w:t>
            </w:r>
          </w:p>
        </w:tc>
        <w:tc>
          <w:tcPr>
            <w:tcW w:w="1418" w:type="dxa"/>
          </w:tcPr>
          <w:p w:rsidR="006F0C43" w:rsidRPr="00204E5A" w:rsidRDefault="00655DA8" w:rsidP="00204E5A">
            <w:pPr>
              <w:spacing w:before="120" w:after="120"/>
              <w:rPr>
                <w:sz w:val="24"/>
                <w:szCs w:val="28"/>
              </w:rPr>
            </w:pPr>
            <w:r>
              <w:rPr>
                <w:sz w:val="24"/>
                <w:szCs w:val="28"/>
              </w:rPr>
              <w:t>Low</w:t>
            </w:r>
          </w:p>
        </w:tc>
      </w:tr>
      <w:tr w:rsidR="006F0C43" w:rsidTr="00CF69FB">
        <w:tc>
          <w:tcPr>
            <w:tcW w:w="2093" w:type="dxa"/>
            <w:gridSpan w:val="2"/>
          </w:tcPr>
          <w:p w:rsidR="006F0C43" w:rsidRPr="000F62BD" w:rsidRDefault="006F0C43" w:rsidP="00204E5A">
            <w:pPr>
              <w:spacing w:before="120" w:after="120"/>
              <w:rPr>
                <w:sz w:val="24"/>
                <w:szCs w:val="28"/>
              </w:rPr>
            </w:pPr>
            <w:r w:rsidRPr="000F62BD">
              <w:rPr>
                <w:sz w:val="24"/>
                <w:szCs w:val="28"/>
              </w:rPr>
              <w:t xml:space="preserve">Non-monetised </w:t>
            </w:r>
            <w:r>
              <w:rPr>
                <w:sz w:val="24"/>
                <w:szCs w:val="28"/>
              </w:rPr>
              <w:t>benefits</w:t>
            </w:r>
          </w:p>
        </w:tc>
        <w:tc>
          <w:tcPr>
            <w:tcW w:w="6095" w:type="dxa"/>
            <w:gridSpan w:val="2"/>
          </w:tcPr>
          <w:p w:rsidR="006F0C43" w:rsidRPr="00204E5A" w:rsidRDefault="006F0C43" w:rsidP="00204E5A">
            <w:pPr>
              <w:spacing w:before="120" w:after="120"/>
              <w:rPr>
                <w:sz w:val="24"/>
                <w:szCs w:val="28"/>
              </w:rPr>
            </w:pPr>
          </w:p>
        </w:tc>
        <w:tc>
          <w:tcPr>
            <w:tcW w:w="5103" w:type="dxa"/>
          </w:tcPr>
          <w:p w:rsidR="006F0C43" w:rsidRPr="00204E5A" w:rsidRDefault="006F0C43" w:rsidP="00204E5A">
            <w:pPr>
              <w:spacing w:before="120" w:after="120"/>
              <w:rPr>
                <w:sz w:val="24"/>
                <w:szCs w:val="28"/>
              </w:rPr>
            </w:pPr>
            <w:r>
              <w:rPr>
                <w:sz w:val="24"/>
                <w:szCs w:val="28"/>
              </w:rPr>
              <w:t>High</w:t>
            </w:r>
          </w:p>
        </w:tc>
        <w:tc>
          <w:tcPr>
            <w:tcW w:w="1418" w:type="dxa"/>
          </w:tcPr>
          <w:p w:rsidR="006F0C43" w:rsidRPr="00204E5A" w:rsidRDefault="006F0C43" w:rsidP="00204E5A">
            <w:pPr>
              <w:spacing w:before="120" w:after="120"/>
              <w:rPr>
                <w:sz w:val="24"/>
                <w:szCs w:val="28"/>
              </w:rPr>
            </w:pPr>
          </w:p>
        </w:tc>
      </w:tr>
      <w:tr w:rsidR="007969D6" w:rsidTr="00CF69FB">
        <w:tc>
          <w:tcPr>
            <w:tcW w:w="2093" w:type="dxa"/>
            <w:gridSpan w:val="2"/>
          </w:tcPr>
          <w:p w:rsidR="007969D6" w:rsidRPr="000F62BD" w:rsidRDefault="007969D6" w:rsidP="00204E5A">
            <w:pPr>
              <w:spacing w:before="120" w:after="120"/>
              <w:rPr>
                <w:sz w:val="24"/>
                <w:szCs w:val="28"/>
              </w:rPr>
            </w:pPr>
            <w:r>
              <w:rPr>
                <w:sz w:val="24"/>
                <w:szCs w:val="28"/>
              </w:rPr>
              <w:t>General business entities</w:t>
            </w:r>
          </w:p>
        </w:tc>
        <w:tc>
          <w:tcPr>
            <w:tcW w:w="6095" w:type="dxa"/>
            <w:gridSpan w:val="2"/>
          </w:tcPr>
          <w:p w:rsidR="007969D6" w:rsidRPr="00204E5A" w:rsidRDefault="00BA5210" w:rsidP="00BA5210">
            <w:pPr>
              <w:spacing w:before="120" w:after="120"/>
              <w:rPr>
                <w:sz w:val="24"/>
                <w:szCs w:val="28"/>
              </w:rPr>
            </w:pPr>
            <w:r>
              <w:rPr>
                <w:sz w:val="24"/>
                <w:szCs w:val="28"/>
                <w:lang w:val="en-NZ"/>
              </w:rPr>
              <w:t>L</w:t>
            </w:r>
            <w:r w:rsidRPr="00914244">
              <w:rPr>
                <w:sz w:val="24"/>
                <w:szCs w:val="28"/>
                <w:lang w:val="en-NZ"/>
              </w:rPr>
              <w:t xml:space="preserve">isted companies, partnerships and trusts </w:t>
            </w:r>
            <w:r>
              <w:rPr>
                <w:sz w:val="24"/>
                <w:szCs w:val="28"/>
                <w:lang w:val="en-NZ"/>
              </w:rPr>
              <w:t xml:space="preserve">will </w:t>
            </w:r>
            <w:r w:rsidRPr="00914244">
              <w:rPr>
                <w:sz w:val="24"/>
                <w:szCs w:val="28"/>
                <w:lang w:val="en-NZ"/>
              </w:rPr>
              <w:t xml:space="preserve">be eligible for refundability, and there </w:t>
            </w:r>
            <w:r>
              <w:rPr>
                <w:sz w:val="24"/>
                <w:szCs w:val="28"/>
                <w:lang w:val="en-NZ"/>
              </w:rPr>
              <w:t xml:space="preserve">will </w:t>
            </w:r>
            <w:r w:rsidRPr="00914244">
              <w:rPr>
                <w:sz w:val="24"/>
                <w:szCs w:val="28"/>
                <w:lang w:val="en-NZ"/>
              </w:rPr>
              <w:t>be no wage intensity requirement</w:t>
            </w:r>
            <w:r>
              <w:rPr>
                <w:sz w:val="24"/>
                <w:szCs w:val="28"/>
                <w:lang w:val="en-NZ"/>
              </w:rPr>
              <w:t xml:space="preserve">. </w:t>
            </w:r>
            <w:r w:rsidR="00550DBB">
              <w:rPr>
                <w:sz w:val="24"/>
                <w:szCs w:val="28"/>
                <w:lang w:val="en-NZ"/>
              </w:rPr>
              <w:t>This will</w:t>
            </w:r>
            <w:r w:rsidR="00550DBB" w:rsidRPr="005B629F">
              <w:rPr>
                <w:sz w:val="24"/>
                <w:szCs w:val="28"/>
                <w:lang w:val="en-NZ"/>
              </w:rPr>
              <w:t xml:space="preserve"> allow </w:t>
            </w:r>
            <w:r w:rsidR="00550DBB">
              <w:rPr>
                <w:sz w:val="24"/>
                <w:szCs w:val="28"/>
                <w:lang w:val="en-NZ"/>
              </w:rPr>
              <w:t xml:space="preserve">most </w:t>
            </w:r>
            <w:r w:rsidR="00550DBB" w:rsidRPr="005B629F">
              <w:rPr>
                <w:sz w:val="24"/>
                <w:szCs w:val="28"/>
                <w:lang w:val="en-NZ"/>
              </w:rPr>
              <w:t xml:space="preserve">Māori </w:t>
            </w:r>
            <w:r w:rsidR="00550DBB">
              <w:rPr>
                <w:sz w:val="24"/>
                <w:szCs w:val="28"/>
                <w:lang w:val="en-NZ"/>
              </w:rPr>
              <w:t xml:space="preserve">organisations </w:t>
            </w:r>
            <w:r w:rsidR="00550DBB" w:rsidRPr="005B629F">
              <w:rPr>
                <w:sz w:val="24"/>
                <w:szCs w:val="28"/>
                <w:lang w:val="en-NZ"/>
              </w:rPr>
              <w:t xml:space="preserve">to </w:t>
            </w:r>
            <w:r w:rsidR="00550DBB">
              <w:rPr>
                <w:sz w:val="24"/>
                <w:szCs w:val="28"/>
                <w:lang w:val="en-NZ"/>
              </w:rPr>
              <w:t xml:space="preserve">be eligible. </w:t>
            </w:r>
            <w:r>
              <w:rPr>
                <w:sz w:val="24"/>
                <w:szCs w:val="28"/>
                <w:lang w:val="en-NZ"/>
              </w:rPr>
              <w:t>This provides clarity and will support investment in business R&amp;D.</w:t>
            </w:r>
          </w:p>
        </w:tc>
        <w:tc>
          <w:tcPr>
            <w:tcW w:w="5103" w:type="dxa"/>
          </w:tcPr>
          <w:p w:rsidR="007969D6" w:rsidRDefault="004A35E1" w:rsidP="00204E5A">
            <w:pPr>
              <w:spacing w:before="120" w:after="120"/>
              <w:rPr>
                <w:sz w:val="24"/>
                <w:szCs w:val="28"/>
              </w:rPr>
            </w:pPr>
            <w:r>
              <w:rPr>
                <w:sz w:val="24"/>
                <w:szCs w:val="28"/>
              </w:rPr>
              <w:t>Medium</w:t>
            </w:r>
          </w:p>
        </w:tc>
        <w:tc>
          <w:tcPr>
            <w:tcW w:w="1418" w:type="dxa"/>
          </w:tcPr>
          <w:p w:rsidR="007969D6" w:rsidRPr="00204E5A" w:rsidRDefault="004A35E1" w:rsidP="00204E5A">
            <w:pPr>
              <w:spacing w:before="120" w:after="120"/>
              <w:rPr>
                <w:sz w:val="24"/>
                <w:szCs w:val="28"/>
              </w:rPr>
            </w:pPr>
            <w:r>
              <w:rPr>
                <w:sz w:val="24"/>
                <w:szCs w:val="28"/>
              </w:rPr>
              <w:t>Medium</w:t>
            </w:r>
          </w:p>
        </w:tc>
      </w:tr>
      <w:tr w:rsidR="007969D6" w:rsidTr="00CF69FB">
        <w:tc>
          <w:tcPr>
            <w:tcW w:w="2093" w:type="dxa"/>
            <w:gridSpan w:val="2"/>
          </w:tcPr>
          <w:p w:rsidR="007969D6" w:rsidRPr="000F62BD" w:rsidRDefault="00BA5210" w:rsidP="00204E5A">
            <w:pPr>
              <w:spacing w:before="120" w:after="120"/>
              <w:rPr>
                <w:sz w:val="24"/>
                <w:szCs w:val="28"/>
              </w:rPr>
            </w:pPr>
            <w:r>
              <w:rPr>
                <w:sz w:val="24"/>
                <w:szCs w:val="28"/>
              </w:rPr>
              <w:t>Levy bodies</w:t>
            </w:r>
          </w:p>
        </w:tc>
        <w:tc>
          <w:tcPr>
            <w:tcW w:w="6095" w:type="dxa"/>
            <w:gridSpan w:val="2"/>
          </w:tcPr>
          <w:p w:rsidR="007969D6" w:rsidRPr="00BA5210" w:rsidRDefault="00CC41BB" w:rsidP="00CC41BB">
            <w:pPr>
              <w:spacing w:before="120" w:after="120"/>
              <w:rPr>
                <w:sz w:val="24"/>
                <w:szCs w:val="28"/>
                <w:lang w:val="en-NZ"/>
              </w:rPr>
            </w:pPr>
            <w:r>
              <w:rPr>
                <w:sz w:val="24"/>
                <w:szCs w:val="28"/>
                <w:lang w:val="en-NZ"/>
              </w:rPr>
              <w:t>L</w:t>
            </w:r>
            <w:r w:rsidR="00BA5210" w:rsidRPr="00BA5210">
              <w:rPr>
                <w:sz w:val="24"/>
                <w:szCs w:val="28"/>
                <w:lang w:val="en-NZ"/>
              </w:rPr>
              <w:t xml:space="preserve">evy bodies </w:t>
            </w:r>
            <w:r>
              <w:rPr>
                <w:sz w:val="24"/>
                <w:szCs w:val="28"/>
                <w:lang w:val="en-NZ"/>
              </w:rPr>
              <w:t xml:space="preserve">will be eligible for </w:t>
            </w:r>
            <w:r w:rsidR="00BA5210" w:rsidRPr="00BA5210">
              <w:rPr>
                <w:sz w:val="24"/>
                <w:szCs w:val="28"/>
                <w:lang w:val="en-NZ"/>
              </w:rPr>
              <w:t xml:space="preserve">refundability. </w:t>
            </w:r>
            <w:r>
              <w:rPr>
                <w:sz w:val="24"/>
                <w:szCs w:val="28"/>
                <w:lang w:val="en-NZ"/>
              </w:rPr>
              <w:t xml:space="preserve">This will support investment in business R&amp;D and provides clarity that ensures levy body members will not be </w:t>
            </w:r>
            <w:r w:rsidRPr="00BA5210">
              <w:rPr>
                <w:sz w:val="24"/>
                <w:szCs w:val="28"/>
                <w:lang w:val="en-NZ"/>
              </w:rPr>
              <w:t>disincentivised to fund their R&amp;D through their levy body.</w:t>
            </w:r>
          </w:p>
        </w:tc>
        <w:tc>
          <w:tcPr>
            <w:tcW w:w="5103" w:type="dxa"/>
          </w:tcPr>
          <w:p w:rsidR="007969D6" w:rsidRDefault="009C7A03" w:rsidP="00204E5A">
            <w:pPr>
              <w:spacing w:before="120" w:after="120"/>
              <w:rPr>
                <w:sz w:val="24"/>
                <w:szCs w:val="28"/>
              </w:rPr>
            </w:pPr>
            <w:r>
              <w:rPr>
                <w:sz w:val="24"/>
                <w:szCs w:val="28"/>
              </w:rPr>
              <w:t>High</w:t>
            </w:r>
          </w:p>
        </w:tc>
        <w:tc>
          <w:tcPr>
            <w:tcW w:w="1418" w:type="dxa"/>
          </w:tcPr>
          <w:p w:rsidR="007969D6" w:rsidRPr="00204E5A" w:rsidRDefault="004A35E1" w:rsidP="00204E5A">
            <w:pPr>
              <w:spacing w:before="120" w:after="120"/>
              <w:rPr>
                <w:sz w:val="24"/>
                <w:szCs w:val="28"/>
              </w:rPr>
            </w:pPr>
            <w:r>
              <w:rPr>
                <w:sz w:val="24"/>
                <w:szCs w:val="28"/>
              </w:rPr>
              <w:t>High</w:t>
            </w:r>
          </w:p>
        </w:tc>
      </w:tr>
      <w:tr w:rsidR="007969D6" w:rsidTr="00CF69FB">
        <w:tc>
          <w:tcPr>
            <w:tcW w:w="2093" w:type="dxa"/>
            <w:gridSpan w:val="2"/>
          </w:tcPr>
          <w:p w:rsidR="007969D6" w:rsidRPr="000F62BD" w:rsidRDefault="00BA5210" w:rsidP="00CD170E">
            <w:pPr>
              <w:spacing w:before="120" w:after="120"/>
              <w:rPr>
                <w:sz w:val="24"/>
                <w:szCs w:val="28"/>
              </w:rPr>
            </w:pPr>
            <w:r>
              <w:rPr>
                <w:sz w:val="24"/>
                <w:szCs w:val="28"/>
              </w:rPr>
              <w:t>Charities</w:t>
            </w:r>
          </w:p>
        </w:tc>
        <w:tc>
          <w:tcPr>
            <w:tcW w:w="6095" w:type="dxa"/>
            <w:gridSpan w:val="2"/>
          </w:tcPr>
          <w:p w:rsidR="007969D6" w:rsidRPr="00204E5A" w:rsidRDefault="00CE04D9" w:rsidP="00DD21DE">
            <w:pPr>
              <w:spacing w:before="120" w:after="120"/>
              <w:rPr>
                <w:sz w:val="24"/>
                <w:szCs w:val="28"/>
              </w:rPr>
            </w:pPr>
            <w:r>
              <w:rPr>
                <w:sz w:val="24"/>
                <w:szCs w:val="28"/>
              </w:rPr>
              <w:t>Clarity is provided that charities and their wholly-owned entities</w:t>
            </w:r>
            <w:r w:rsidR="00DD21DE">
              <w:rPr>
                <w:sz w:val="24"/>
                <w:szCs w:val="28"/>
              </w:rPr>
              <w:t xml:space="preserve"> </w:t>
            </w:r>
            <w:r>
              <w:rPr>
                <w:sz w:val="24"/>
                <w:szCs w:val="28"/>
              </w:rPr>
              <w:t>will be ineligible for the Tax Incentive, while partially controlled business entities could be eligible.</w:t>
            </w:r>
          </w:p>
        </w:tc>
        <w:tc>
          <w:tcPr>
            <w:tcW w:w="5103" w:type="dxa"/>
          </w:tcPr>
          <w:p w:rsidR="007969D6" w:rsidRDefault="00CF69FB" w:rsidP="00204E5A">
            <w:pPr>
              <w:spacing w:before="120" w:after="120"/>
              <w:rPr>
                <w:sz w:val="24"/>
                <w:szCs w:val="28"/>
              </w:rPr>
            </w:pPr>
            <w:r>
              <w:rPr>
                <w:sz w:val="24"/>
                <w:szCs w:val="28"/>
              </w:rPr>
              <w:t>0</w:t>
            </w:r>
          </w:p>
        </w:tc>
        <w:tc>
          <w:tcPr>
            <w:tcW w:w="1418" w:type="dxa"/>
          </w:tcPr>
          <w:p w:rsidR="007969D6" w:rsidRPr="00204E5A" w:rsidRDefault="007969D6" w:rsidP="00204E5A">
            <w:pPr>
              <w:spacing w:before="120" w:after="120"/>
              <w:rPr>
                <w:sz w:val="24"/>
                <w:szCs w:val="28"/>
              </w:rPr>
            </w:pPr>
          </w:p>
        </w:tc>
      </w:tr>
      <w:tr w:rsidR="007969D6" w:rsidTr="00CF69FB">
        <w:tc>
          <w:tcPr>
            <w:tcW w:w="2093" w:type="dxa"/>
            <w:gridSpan w:val="2"/>
          </w:tcPr>
          <w:p w:rsidR="007969D6" w:rsidRPr="000F62BD" w:rsidRDefault="00BA5210" w:rsidP="00204E5A">
            <w:pPr>
              <w:spacing w:before="120" w:after="120"/>
              <w:rPr>
                <w:sz w:val="24"/>
                <w:szCs w:val="28"/>
              </w:rPr>
            </w:pPr>
            <w:r>
              <w:rPr>
                <w:sz w:val="24"/>
                <w:szCs w:val="28"/>
              </w:rPr>
              <w:t>Local authorities</w:t>
            </w:r>
          </w:p>
        </w:tc>
        <w:tc>
          <w:tcPr>
            <w:tcW w:w="6095" w:type="dxa"/>
            <w:gridSpan w:val="2"/>
          </w:tcPr>
          <w:p w:rsidR="007969D6" w:rsidRPr="00204E5A" w:rsidRDefault="00443D92" w:rsidP="00142D9E">
            <w:pPr>
              <w:spacing w:before="120" w:after="120"/>
              <w:rPr>
                <w:sz w:val="24"/>
                <w:szCs w:val="28"/>
              </w:rPr>
            </w:pPr>
            <w:r>
              <w:rPr>
                <w:sz w:val="24"/>
                <w:szCs w:val="28"/>
                <w:lang w:val="en-NZ"/>
              </w:rPr>
              <w:t xml:space="preserve">Clarity is provided that </w:t>
            </w:r>
            <w:r w:rsidRPr="007B221E">
              <w:rPr>
                <w:sz w:val="24"/>
                <w:szCs w:val="28"/>
                <w:lang w:val="en-NZ"/>
              </w:rPr>
              <w:t>local authorities, as well as entities controlled by or associated with local authorities</w:t>
            </w:r>
            <w:r>
              <w:rPr>
                <w:sz w:val="24"/>
                <w:szCs w:val="28"/>
                <w:lang w:val="en-NZ"/>
              </w:rPr>
              <w:t>, will be ineligible for the Tax Incentive.</w:t>
            </w:r>
            <w:r w:rsidRPr="007B221E">
              <w:rPr>
                <w:sz w:val="24"/>
                <w:szCs w:val="28"/>
                <w:lang w:val="en-NZ"/>
              </w:rPr>
              <w:t xml:space="preserve"> </w:t>
            </w:r>
          </w:p>
        </w:tc>
        <w:tc>
          <w:tcPr>
            <w:tcW w:w="5103" w:type="dxa"/>
          </w:tcPr>
          <w:p w:rsidR="007969D6" w:rsidRDefault="00550DBB" w:rsidP="00204E5A">
            <w:pPr>
              <w:spacing w:before="120" w:after="120"/>
              <w:rPr>
                <w:sz w:val="24"/>
                <w:szCs w:val="28"/>
              </w:rPr>
            </w:pPr>
            <w:r>
              <w:rPr>
                <w:sz w:val="24"/>
                <w:szCs w:val="28"/>
              </w:rPr>
              <w:t>0</w:t>
            </w:r>
          </w:p>
        </w:tc>
        <w:tc>
          <w:tcPr>
            <w:tcW w:w="1418" w:type="dxa"/>
          </w:tcPr>
          <w:p w:rsidR="007969D6" w:rsidRPr="00204E5A" w:rsidRDefault="007969D6" w:rsidP="00204E5A">
            <w:pPr>
              <w:spacing w:before="120" w:after="120"/>
              <w:rPr>
                <w:sz w:val="24"/>
                <w:szCs w:val="28"/>
              </w:rPr>
            </w:pPr>
          </w:p>
        </w:tc>
      </w:tr>
      <w:tr w:rsidR="00CD170E" w:rsidTr="00CF69FB">
        <w:tc>
          <w:tcPr>
            <w:tcW w:w="2093" w:type="dxa"/>
            <w:gridSpan w:val="2"/>
          </w:tcPr>
          <w:p w:rsidR="00CD170E" w:rsidRDefault="00CD170E" w:rsidP="00204E5A">
            <w:pPr>
              <w:spacing w:before="120" w:after="120"/>
              <w:rPr>
                <w:sz w:val="24"/>
                <w:szCs w:val="28"/>
              </w:rPr>
            </w:pPr>
            <w:r>
              <w:rPr>
                <w:sz w:val="24"/>
                <w:szCs w:val="28"/>
              </w:rPr>
              <w:t>Other tax-exempt organisations</w:t>
            </w:r>
          </w:p>
        </w:tc>
        <w:tc>
          <w:tcPr>
            <w:tcW w:w="6095" w:type="dxa"/>
            <w:gridSpan w:val="2"/>
          </w:tcPr>
          <w:p w:rsidR="00CD170E" w:rsidRDefault="00CD170E" w:rsidP="00CD170E">
            <w:pPr>
              <w:spacing w:before="120" w:after="120"/>
              <w:rPr>
                <w:sz w:val="24"/>
                <w:szCs w:val="28"/>
                <w:lang w:val="en-NZ"/>
              </w:rPr>
            </w:pPr>
            <w:r>
              <w:rPr>
                <w:sz w:val="24"/>
                <w:szCs w:val="28"/>
              </w:rPr>
              <w:t>Clarity is provided that other tax-exempt organisations will be ineligible for the Tax Incentive.</w:t>
            </w:r>
          </w:p>
        </w:tc>
        <w:tc>
          <w:tcPr>
            <w:tcW w:w="5103" w:type="dxa"/>
          </w:tcPr>
          <w:p w:rsidR="00CD170E" w:rsidRDefault="00CF69FB" w:rsidP="00204E5A">
            <w:pPr>
              <w:spacing w:before="120" w:after="120"/>
              <w:rPr>
                <w:sz w:val="24"/>
                <w:szCs w:val="28"/>
              </w:rPr>
            </w:pPr>
            <w:r>
              <w:rPr>
                <w:sz w:val="24"/>
                <w:szCs w:val="28"/>
              </w:rPr>
              <w:t>0</w:t>
            </w:r>
          </w:p>
        </w:tc>
        <w:tc>
          <w:tcPr>
            <w:tcW w:w="1418" w:type="dxa"/>
          </w:tcPr>
          <w:p w:rsidR="00CD170E" w:rsidRDefault="00CD170E" w:rsidP="00204E5A">
            <w:pPr>
              <w:spacing w:before="120" w:after="120"/>
              <w:rPr>
                <w:sz w:val="24"/>
                <w:szCs w:val="28"/>
              </w:rPr>
            </w:pPr>
          </w:p>
        </w:tc>
      </w:tr>
    </w:tbl>
    <w:p w:rsidR="00FA2EF6" w:rsidRDefault="00FA2EF6" w:rsidP="00B374D4">
      <w:pPr>
        <w:spacing w:after="0" w:line="240" w:lineRule="auto"/>
        <w:rPr>
          <w:b/>
          <w:sz w:val="28"/>
          <w:szCs w:val="28"/>
        </w:rPr>
        <w:sectPr w:rsidR="00FA2EF6" w:rsidSect="004C45A4">
          <w:pgSz w:w="16840" w:h="11907" w:orient="landscape" w:code="9"/>
          <w:pgMar w:top="1418" w:right="1134" w:bottom="1418" w:left="1134" w:header="567" w:footer="567" w:gutter="0"/>
          <w:cols w:space="720"/>
          <w:docGrid w:linePitch="360"/>
        </w:sect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lastRenderedPageBreak/>
              <w:t>5.3 What other impacts is this approach likely to have?</w:t>
            </w:r>
          </w:p>
        </w:tc>
      </w:tr>
      <w:tr w:rsidR="00B374D4" w:rsidRPr="000F23BB" w:rsidTr="00B374D4">
        <w:tc>
          <w:tcPr>
            <w:tcW w:w="9287" w:type="dxa"/>
          </w:tcPr>
          <w:p w:rsidR="00AC0824" w:rsidRDefault="00076001" w:rsidP="00011695">
            <w:pPr>
              <w:spacing w:before="120" w:after="120"/>
              <w:rPr>
                <w:sz w:val="24"/>
                <w:szCs w:val="28"/>
              </w:rPr>
            </w:pPr>
            <w:r w:rsidRPr="00076001">
              <w:rPr>
                <w:sz w:val="24"/>
                <w:szCs w:val="28"/>
              </w:rPr>
              <w:t xml:space="preserve">There is a potential risk that by providing </w:t>
            </w:r>
            <w:r w:rsidR="00011695">
              <w:rPr>
                <w:sz w:val="24"/>
                <w:szCs w:val="28"/>
              </w:rPr>
              <w:t>broader refundability</w:t>
            </w:r>
            <w:r w:rsidRPr="00076001">
              <w:rPr>
                <w:sz w:val="24"/>
                <w:szCs w:val="28"/>
              </w:rPr>
              <w:t xml:space="preserve">, businesses are motivated to </w:t>
            </w:r>
            <w:proofErr w:type="spellStart"/>
            <w:r w:rsidRPr="00076001">
              <w:rPr>
                <w:sz w:val="24"/>
                <w:szCs w:val="28"/>
              </w:rPr>
              <w:t>recharacterise</w:t>
            </w:r>
            <w:proofErr w:type="spellEnd"/>
            <w:r w:rsidRPr="00076001">
              <w:rPr>
                <w:sz w:val="24"/>
                <w:szCs w:val="28"/>
              </w:rPr>
              <w:t xml:space="preserve"> non-R&amp;D expenditure as R&amp;D</w:t>
            </w:r>
            <w:r w:rsidR="00011695">
              <w:rPr>
                <w:sz w:val="24"/>
                <w:szCs w:val="28"/>
              </w:rPr>
              <w:t xml:space="preserve"> </w:t>
            </w:r>
            <w:r w:rsidR="00C33D62">
              <w:rPr>
                <w:sz w:val="24"/>
                <w:szCs w:val="28"/>
              </w:rPr>
              <w:t xml:space="preserve">expenditure </w:t>
            </w:r>
            <w:r w:rsidR="00011695">
              <w:rPr>
                <w:sz w:val="24"/>
                <w:szCs w:val="28"/>
              </w:rPr>
              <w:t xml:space="preserve">or </w:t>
            </w:r>
            <w:r w:rsidR="00AC0824">
              <w:rPr>
                <w:sz w:val="24"/>
                <w:szCs w:val="28"/>
              </w:rPr>
              <w:t>make fraudulent claims</w:t>
            </w:r>
            <w:r w:rsidRPr="00076001">
              <w:rPr>
                <w:sz w:val="24"/>
                <w:szCs w:val="28"/>
              </w:rPr>
              <w:t xml:space="preserve">. </w:t>
            </w:r>
          </w:p>
          <w:p w:rsidR="00076001" w:rsidRDefault="00C33D62" w:rsidP="00011695">
            <w:pPr>
              <w:spacing w:before="120" w:after="120"/>
              <w:rPr>
                <w:sz w:val="24"/>
                <w:szCs w:val="28"/>
              </w:rPr>
            </w:pPr>
            <w:r>
              <w:rPr>
                <w:sz w:val="24"/>
                <w:szCs w:val="28"/>
              </w:rPr>
              <w:t xml:space="preserve">The Tax Incentive has been designed </w:t>
            </w:r>
            <w:r w:rsidR="00076001" w:rsidRPr="00076001">
              <w:rPr>
                <w:sz w:val="24"/>
                <w:szCs w:val="28"/>
              </w:rPr>
              <w:t xml:space="preserve">to reduce the likelihood of, and opportunities to </w:t>
            </w:r>
            <w:proofErr w:type="spellStart"/>
            <w:r w:rsidR="00076001" w:rsidRPr="00076001">
              <w:rPr>
                <w:sz w:val="24"/>
                <w:szCs w:val="28"/>
              </w:rPr>
              <w:t>recharacterise</w:t>
            </w:r>
            <w:proofErr w:type="spellEnd"/>
            <w:r w:rsidR="00076001" w:rsidRPr="00076001">
              <w:rPr>
                <w:sz w:val="24"/>
                <w:szCs w:val="28"/>
              </w:rPr>
              <w:t xml:space="preserve"> non-R&amp;D expenditure. Th</w:t>
            </w:r>
            <w:r w:rsidR="00FE14ED">
              <w:rPr>
                <w:sz w:val="24"/>
                <w:szCs w:val="28"/>
              </w:rPr>
              <w:t>is</w:t>
            </w:r>
            <w:r w:rsidR="00076001" w:rsidRPr="00076001">
              <w:rPr>
                <w:sz w:val="24"/>
                <w:szCs w:val="28"/>
              </w:rPr>
              <w:t xml:space="preserve"> include</w:t>
            </w:r>
            <w:r w:rsidR="00FE14ED">
              <w:rPr>
                <w:sz w:val="24"/>
                <w:szCs w:val="28"/>
              </w:rPr>
              <w:t>s</w:t>
            </w:r>
            <w:r w:rsidR="00076001" w:rsidRPr="00076001">
              <w:rPr>
                <w:sz w:val="24"/>
                <w:szCs w:val="28"/>
              </w:rPr>
              <w:t xml:space="preserve"> requiring a close nexus between the R&amp;D activity and the expenses claimed.</w:t>
            </w:r>
          </w:p>
          <w:p w:rsidR="00AD3856" w:rsidRDefault="00AD3856" w:rsidP="00AD3856">
            <w:pPr>
              <w:spacing w:before="120" w:after="120"/>
              <w:rPr>
                <w:sz w:val="24"/>
                <w:szCs w:val="28"/>
              </w:rPr>
            </w:pPr>
            <w:r>
              <w:rPr>
                <w:sz w:val="24"/>
                <w:szCs w:val="28"/>
              </w:rPr>
              <w:t>The proposal to broaden eligibility for refundability includes a ‘payroll’ taxes cap on refunds to mitigate the fraud, fiscal, and integrity risks associated with paying out cash.</w:t>
            </w:r>
          </w:p>
          <w:p w:rsidR="00AD3856" w:rsidRPr="00E94F80" w:rsidRDefault="00AD3856" w:rsidP="00AD3856">
            <w:pPr>
              <w:spacing w:before="120" w:after="120"/>
              <w:rPr>
                <w:sz w:val="24"/>
                <w:szCs w:val="28"/>
                <w:lang w:val="en-NZ"/>
              </w:rPr>
            </w:pPr>
            <w:r>
              <w:rPr>
                <w:sz w:val="24"/>
                <w:szCs w:val="28"/>
                <w:lang w:val="en-NZ"/>
              </w:rPr>
              <w:t xml:space="preserve">Businesses would be </w:t>
            </w:r>
            <w:r w:rsidRPr="00E94F80">
              <w:rPr>
                <w:sz w:val="24"/>
                <w:szCs w:val="28"/>
                <w:lang w:val="en-NZ"/>
              </w:rPr>
              <w:t xml:space="preserve">entitled to a full refund of their R&amp;D </w:t>
            </w:r>
            <w:r>
              <w:rPr>
                <w:sz w:val="24"/>
                <w:szCs w:val="28"/>
                <w:lang w:val="en-NZ"/>
              </w:rPr>
              <w:t>tax credits</w:t>
            </w:r>
            <w:r w:rsidRPr="00E94F80">
              <w:rPr>
                <w:sz w:val="24"/>
                <w:szCs w:val="28"/>
                <w:lang w:val="en-NZ"/>
              </w:rPr>
              <w:t>, to the extent their R&amp;D tax credits are equal to or less than the amount of ‘payroll’ taxes paid in the relevant income year.</w:t>
            </w:r>
            <w:r w:rsidRPr="00E94F80">
              <w:rPr>
                <w:sz w:val="24"/>
                <w:szCs w:val="28"/>
                <w:vertAlign w:val="superscript"/>
                <w:lang w:val="en-NZ"/>
              </w:rPr>
              <w:footnoteReference w:id="13"/>
            </w:r>
          </w:p>
          <w:p w:rsidR="00AD3856" w:rsidRDefault="00AD3856" w:rsidP="00AD3856">
            <w:pPr>
              <w:spacing w:before="120" w:after="120"/>
              <w:rPr>
                <w:sz w:val="24"/>
                <w:szCs w:val="28"/>
              </w:rPr>
            </w:pPr>
            <w:r>
              <w:rPr>
                <w:sz w:val="24"/>
                <w:szCs w:val="28"/>
                <w:lang w:val="en-NZ"/>
              </w:rPr>
              <w:t>P</w:t>
            </w:r>
            <w:r w:rsidRPr="00E94F80">
              <w:rPr>
                <w:sz w:val="24"/>
                <w:szCs w:val="28"/>
                <w:lang w:val="en-NZ"/>
              </w:rPr>
              <w:t xml:space="preserve">ayments to Approved Research Providers </w:t>
            </w:r>
            <w:r>
              <w:rPr>
                <w:sz w:val="24"/>
                <w:szCs w:val="28"/>
                <w:lang w:val="en-NZ"/>
              </w:rPr>
              <w:t xml:space="preserve">are not included in the cap as </w:t>
            </w:r>
            <w:r w:rsidRPr="00E94F80">
              <w:rPr>
                <w:sz w:val="24"/>
                <w:szCs w:val="28"/>
                <w:lang w:val="en-NZ"/>
              </w:rPr>
              <w:t xml:space="preserve">it will be easy to verify that </w:t>
            </w:r>
            <w:r>
              <w:rPr>
                <w:sz w:val="24"/>
                <w:szCs w:val="28"/>
                <w:lang w:val="en-NZ"/>
              </w:rPr>
              <w:t xml:space="preserve">these payments </w:t>
            </w:r>
            <w:r w:rsidRPr="00E94F80">
              <w:rPr>
                <w:sz w:val="24"/>
                <w:szCs w:val="28"/>
                <w:lang w:val="en-NZ"/>
              </w:rPr>
              <w:t>have actually been incurred by a firm.</w:t>
            </w:r>
            <w:r>
              <w:rPr>
                <w:sz w:val="24"/>
                <w:szCs w:val="28"/>
                <w:lang w:val="en-NZ"/>
              </w:rPr>
              <w:t xml:space="preserve"> Levy bodies are not subject to the cap </w:t>
            </w:r>
            <w:r w:rsidR="00814084">
              <w:rPr>
                <w:sz w:val="24"/>
                <w:szCs w:val="28"/>
                <w:lang w:val="en-NZ"/>
              </w:rPr>
              <w:t xml:space="preserve">due to </w:t>
            </w:r>
            <w:r>
              <w:rPr>
                <w:sz w:val="24"/>
                <w:szCs w:val="28"/>
                <w:lang w:val="en-NZ"/>
              </w:rPr>
              <w:t>reduced risk that refunded R&amp;D tax credits will be unrecoverable</w:t>
            </w:r>
            <w:r w:rsidR="00814084">
              <w:rPr>
                <w:sz w:val="24"/>
                <w:szCs w:val="28"/>
                <w:lang w:val="en-NZ"/>
              </w:rPr>
              <w:t>,</w:t>
            </w:r>
            <w:r>
              <w:rPr>
                <w:sz w:val="24"/>
                <w:szCs w:val="28"/>
                <w:lang w:val="en-NZ"/>
              </w:rPr>
              <w:t xml:space="preserve"> and some may have low ‘payroll’ taxes where R&amp;D is largely contracted out.</w:t>
            </w:r>
          </w:p>
          <w:p w:rsidR="00B374D4" w:rsidRPr="00B532B0" w:rsidRDefault="00011695" w:rsidP="00814084">
            <w:pPr>
              <w:spacing w:before="120" w:after="120"/>
              <w:rPr>
                <w:sz w:val="24"/>
                <w:szCs w:val="28"/>
              </w:rPr>
            </w:pPr>
            <w:r w:rsidRPr="00011695">
              <w:rPr>
                <w:sz w:val="24"/>
                <w:szCs w:val="28"/>
              </w:rPr>
              <w:t>Additional me</w:t>
            </w:r>
            <w:r w:rsidR="00B532B0">
              <w:rPr>
                <w:sz w:val="24"/>
                <w:szCs w:val="28"/>
              </w:rPr>
              <w:t xml:space="preserve">asures to mitigate risk include a </w:t>
            </w:r>
            <w:r w:rsidRPr="00011695">
              <w:rPr>
                <w:sz w:val="24"/>
                <w:szCs w:val="28"/>
                <w:lang w:val="en-NZ"/>
              </w:rPr>
              <w:t xml:space="preserve">sample of claims </w:t>
            </w:r>
            <w:r w:rsidR="00B532B0">
              <w:rPr>
                <w:sz w:val="24"/>
                <w:szCs w:val="28"/>
                <w:lang w:val="en-NZ"/>
              </w:rPr>
              <w:t xml:space="preserve">being </w:t>
            </w:r>
            <w:r w:rsidRPr="00011695">
              <w:rPr>
                <w:sz w:val="24"/>
                <w:szCs w:val="28"/>
                <w:lang w:val="en-NZ"/>
              </w:rPr>
              <w:t>audited each year</w:t>
            </w:r>
            <w:r w:rsidR="00B532B0">
              <w:rPr>
                <w:sz w:val="24"/>
                <w:szCs w:val="28"/>
                <w:lang w:val="en-NZ"/>
              </w:rPr>
              <w:t>, and a</w:t>
            </w:r>
            <w:r w:rsidRPr="00011695">
              <w:rPr>
                <w:sz w:val="24"/>
                <w:szCs w:val="28"/>
                <w:lang w:val="en-NZ"/>
              </w:rPr>
              <w:t xml:space="preserve">n in-year approval process (included in the </w:t>
            </w:r>
            <w:r w:rsidR="00814084">
              <w:rPr>
                <w:sz w:val="24"/>
                <w:szCs w:val="28"/>
                <w:lang w:val="en-NZ"/>
              </w:rPr>
              <w:t>Act</w:t>
            </w:r>
            <w:r w:rsidRPr="00011695">
              <w:rPr>
                <w:sz w:val="24"/>
                <w:szCs w:val="28"/>
                <w:lang w:val="en-NZ"/>
              </w:rPr>
              <w:t xml:space="preserve">), which requires claimants </w:t>
            </w:r>
            <w:r w:rsidR="00FE14ED">
              <w:rPr>
                <w:sz w:val="24"/>
                <w:szCs w:val="28"/>
                <w:lang w:val="en-NZ"/>
              </w:rPr>
              <w:t xml:space="preserve">to </w:t>
            </w:r>
            <w:r w:rsidRPr="00011695">
              <w:rPr>
                <w:sz w:val="24"/>
                <w:szCs w:val="28"/>
                <w:lang w:val="en-NZ"/>
              </w:rPr>
              <w:t xml:space="preserve">obtain approval of their R&amp;D activities before they file a claim for their R&amp;D tax credits. </w:t>
            </w:r>
            <w:r w:rsidR="00F16597">
              <w:rPr>
                <w:sz w:val="24"/>
                <w:szCs w:val="28"/>
              </w:rPr>
              <w:t>The</w:t>
            </w:r>
            <w:r w:rsidR="00F16597" w:rsidRPr="00F16597">
              <w:rPr>
                <w:sz w:val="24"/>
                <w:szCs w:val="28"/>
              </w:rPr>
              <w:t xml:space="preserve"> $50,000 minimum threshold </w:t>
            </w:r>
            <w:r w:rsidR="00FE14ED">
              <w:rPr>
                <w:sz w:val="24"/>
                <w:szCs w:val="28"/>
              </w:rPr>
              <w:t xml:space="preserve">of eligible expenditure </w:t>
            </w:r>
            <w:r w:rsidR="00F16597" w:rsidRPr="00F16597">
              <w:rPr>
                <w:sz w:val="24"/>
                <w:szCs w:val="28"/>
              </w:rPr>
              <w:t xml:space="preserve">(included in the </w:t>
            </w:r>
            <w:r w:rsidR="00814084">
              <w:rPr>
                <w:sz w:val="24"/>
                <w:szCs w:val="28"/>
              </w:rPr>
              <w:t>Act</w:t>
            </w:r>
            <w:r w:rsidR="00F16597" w:rsidRPr="00F16597">
              <w:rPr>
                <w:sz w:val="24"/>
                <w:szCs w:val="28"/>
              </w:rPr>
              <w:t>)</w:t>
            </w:r>
            <w:r w:rsidR="00F16597" w:rsidRPr="00011695">
              <w:rPr>
                <w:sz w:val="24"/>
                <w:szCs w:val="28"/>
              </w:rPr>
              <w:t xml:space="preserve"> is </w:t>
            </w:r>
            <w:r w:rsidR="00F16597">
              <w:rPr>
                <w:sz w:val="24"/>
                <w:szCs w:val="28"/>
              </w:rPr>
              <w:t xml:space="preserve">also an </w:t>
            </w:r>
            <w:r w:rsidR="00F16597" w:rsidRPr="00011695">
              <w:rPr>
                <w:sz w:val="24"/>
                <w:szCs w:val="28"/>
              </w:rPr>
              <w:t>important</w:t>
            </w:r>
            <w:r w:rsidR="00F16597">
              <w:rPr>
                <w:sz w:val="24"/>
                <w:szCs w:val="28"/>
              </w:rPr>
              <w:t xml:space="preserve"> measure in preventing </w:t>
            </w:r>
            <w:r w:rsidR="00F16597" w:rsidRPr="00011695">
              <w:rPr>
                <w:sz w:val="24"/>
                <w:szCs w:val="28"/>
              </w:rPr>
              <w:t>a flood of smaller</w:t>
            </w:r>
            <w:r w:rsidR="00F16597">
              <w:rPr>
                <w:sz w:val="24"/>
                <w:szCs w:val="28"/>
              </w:rPr>
              <w:t xml:space="preserve">, </w:t>
            </w:r>
            <w:r w:rsidR="00F16597" w:rsidRPr="00F16597">
              <w:rPr>
                <w:sz w:val="24"/>
                <w:szCs w:val="28"/>
              </w:rPr>
              <w:t>lower-quality claims</w:t>
            </w:r>
            <w:r w:rsidR="00F16597">
              <w:rPr>
                <w:sz w:val="24"/>
                <w:szCs w:val="28"/>
              </w:rPr>
              <w:t>.</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5.4 Is the preferred option compatible with the Government’s “expectations for the design of regulatory system”?</w:t>
            </w:r>
          </w:p>
        </w:tc>
      </w:tr>
      <w:tr w:rsidR="00B374D4" w:rsidRPr="000F23BB" w:rsidTr="00B374D4">
        <w:tc>
          <w:tcPr>
            <w:tcW w:w="9287" w:type="dxa"/>
          </w:tcPr>
          <w:p w:rsidR="00B374D4" w:rsidRPr="00876AD1" w:rsidRDefault="00876AD1" w:rsidP="00876AD1">
            <w:pPr>
              <w:spacing w:before="120" w:after="120"/>
              <w:rPr>
                <w:sz w:val="28"/>
                <w:szCs w:val="28"/>
              </w:rPr>
            </w:pPr>
            <w:r w:rsidRPr="001A00D6">
              <w:rPr>
                <w:sz w:val="24"/>
                <w:szCs w:val="28"/>
              </w:rPr>
              <w:t>There is no incompatibility between this regulatory proposal and the Government’s ‘Expectations for the design of regulatory systems’.</w:t>
            </w:r>
          </w:p>
        </w:tc>
      </w:tr>
    </w:tbl>
    <w:p w:rsidR="00B374D4" w:rsidRDefault="00B374D4" w:rsidP="00B374D4">
      <w:pPr>
        <w:spacing w:after="0" w:line="240" w:lineRule="auto"/>
        <w:rPr>
          <w:b/>
          <w:sz w:val="28"/>
          <w:szCs w:val="28"/>
        </w:rPr>
      </w:pPr>
    </w:p>
    <w:p w:rsidR="00B374D4" w:rsidRDefault="00B374D4" w:rsidP="00B374D4">
      <w:pPr>
        <w:spacing w:after="0" w:line="240" w:lineRule="auto"/>
        <w:rPr>
          <w:b/>
          <w:sz w:val="28"/>
          <w:szCs w:val="28"/>
        </w:rPr>
      </w:pPr>
      <w:r>
        <w:rPr>
          <w:b/>
          <w:sz w:val="28"/>
          <w:szCs w:val="28"/>
        </w:rPr>
        <w:t>Section 6: Implementation and operation</w:t>
      </w:r>
    </w:p>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6.1 How will the new arrangements work in practice?</w:t>
            </w:r>
          </w:p>
        </w:tc>
      </w:tr>
      <w:tr w:rsidR="00B374D4" w:rsidRPr="000F62BD" w:rsidTr="003949D5">
        <w:tc>
          <w:tcPr>
            <w:tcW w:w="9287" w:type="dxa"/>
          </w:tcPr>
          <w:p w:rsidR="0022212E" w:rsidRDefault="0022212E" w:rsidP="0022212E">
            <w:pPr>
              <w:spacing w:before="120" w:after="120"/>
              <w:rPr>
                <w:sz w:val="24"/>
                <w:szCs w:val="28"/>
              </w:rPr>
            </w:pPr>
            <w:r>
              <w:rPr>
                <w:sz w:val="24"/>
                <w:szCs w:val="28"/>
              </w:rPr>
              <w:t xml:space="preserve">Legislation will need to be </w:t>
            </w:r>
            <w:r w:rsidR="00FE14ED">
              <w:rPr>
                <w:sz w:val="24"/>
                <w:szCs w:val="28"/>
              </w:rPr>
              <w:t>enacted</w:t>
            </w:r>
            <w:r>
              <w:rPr>
                <w:sz w:val="24"/>
                <w:szCs w:val="28"/>
              </w:rPr>
              <w:t xml:space="preserve"> to give effect to broader refundability. It is proposed that broader refundability come into effect from businesses’ 2020/21 income year</w:t>
            </w:r>
            <w:r w:rsidR="00705410">
              <w:rPr>
                <w:sz w:val="24"/>
                <w:szCs w:val="28"/>
              </w:rPr>
              <w:t>.</w:t>
            </w:r>
            <w:r>
              <w:rPr>
                <w:sz w:val="24"/>
                <w:szCs w:val="28"/>
              </w:rPr>
              <w:t xml:space="preserve"> </w:t>
            </w:r>
            <w:r w:rsidR="00705410">
              <w:rPr>
                <w:sz w:val="24"/>
                <w:szCs w:val="28"/>
              </w:rPr>
              <w:t xml:space="preserve">Therefore, it is proposed that the </w:t>
            </w:r>
            <w:r>
              <w:rPr>
                <w:sz w:val="24"/>
                <w:szCs w:val="28"/>
              </w:rPr>
              <w:t xml:space="preserve">legislative changes needed </w:t>
            </w:r>
            <w:r w:rsidR="00705410">
              <w:rPr>
                <w:sz w:val="24"/>
                <w:szCs w:val="28"/>
              </w:rPr>
              <w:t xml:space="preserve">to give effect to </w:t>
            </w:r>
            <w:r w:rsidR="00477677">
              <w:rPr>
                <w:sz w:val="24"/>
                <w:szCs w:val="28"/>
              </w:rPr>
              <w:t xml:space="preserve">broader </w:t>
            </w:r>
            <w:r w:rsidR="00705410">
              <w:rPr>
                <w:sz w:val="24"/>
                <w:szCs w:val="28"/>
              </w:rPr>
              <w:t xml:space="preserve">refundability </w:t>
            </w:r>
            <w:r>
              <w:rPr>
                <w:sz w:val="24"/>
                <w:szCs w:val="28"/>
              </w:rPr>
              <w:t>be included in</w:t>
            </w:r>
            <w:r w:rsidR="00705410">
              <w:rPr>
                <w:sz w:val="24"/>
                <w:szCs w:val="28"/>
              </w:rPr>
              <w:t xml:space="preserve"> a tax bill scheduled to be introduced in June 2019, which would make changes to the Income Tax Act 2007 and the Tax Administration Act 1994. </w:t>
            </w:r>
          </w:p>
          <w:p w:rsidR="00962242" w:rsidRDefault="00962242" w:rsidP="0022212E">
            <w:pPr>
              <w:spacing w:before="120" w:after="120"/>
              <w:rPr>
                <w:sz w:val="24"/>
                <w:szCs w:val="28"/>
              </w:rPr>
            </w:pPr>
            <w:r>
              <w:rPr>
                <w:sz w:val="24"/>
                <w:szCs w:val="28"/>
              </w:rPr>
              <w:t>I</w:t>
            </w:r>
            <w:r w:rsidR="00FE14ED">
              <w:rPr>
                <w:sz w:val="24"/>
                <w:szCs w:val="28"/>
              </w:rPr>
              <w:t xml:space="preserve">nland </w:t>
            </w:r>
            <w:r>
              <w:rPr>
                <w:sz w:val="24"/>
                <w:szCs w:val="28"/>
              </w:rPr>
              <w:t>R</w:t>
            </w:r>
            <w:r w:rsidR="00FE14ED">
              <w:rPr>
                <w:sz w:val="24"/>
                <w:szCs w:val="28"/>
              </w:rPr>
              <w:t>evenue</w:t>
            </w:r>
            <w:r>
              <w:rPr>
                <w:sz w:val="24"/>
                <w:szCs w:val="28"/>
              </w:rPr>
              <w:t xml:space="preserve"> is leading implementation of the R&amp;D </w:t>
            </w:r>
            <w:r w:rsidR="008B4E5E">
              <w:rPr>
                <w:sz w:val="24"/>
                <w:szCs w:val="28"/>
              </w:rPr>
              <w:t>T</w:t>
            </w:r>
            <w:r>
              <w:rPr>
                <w:sz w:val="24"/>
                <w:szCs w:val="28"/>
              </w:rPr>
              <w:t xml:space="preserve">ax </w:t>
            </w:r>
            <w:r w:rsidR="008B4E5E">
              <w:rPr>
                <w:sz w:val="24"/>
                <w:szCs w:val="28"/>
              </w:rPr>
              <w:t>I</w:t>
            </w:r>
            <w:r>
              <w:rPr>
                <w:sz w:val="24"/>
                <w:szCs w:val="28"/>
              </w:rPr>
              <w:t>ncentive through the tax system, and will also be responsible for implementing broader refundability. I</w:t>
            </w:r>
            <w:r w:rsidR="00FE14ED">
              <w:rPr>
                <w:sz w:val="24"/>
                <w:szCs w:val="28"/>
              </w:rPr>
              <w:t xml:space="preserve">nland </w:t>
            </w:r>
            <w:r>
              <w:rPr>
                <w:sz w:val="24"/>
                <w:szCs w:val="28"/>
              </w:rPr>
              <w:t>R</w:t>
            </w:r>
            <w:r w:rsidR="00FE14ED">
              <w:rPr>
                <w:sz w:val="24"/>
                <w:szCs w:val="28"/>
              </w:rPr>
              <w:t>evenue</w:t>
            </w:r>
            <w:r>
              <w:rPr>
                <w:sz w:val="24"/>
                <w:szCs w:val="28"/>
              </w:rPr>
              <w:t xml:space="preserve"> will identify and mitigate operational risk so that broader refundability can be delivered successfully. I</w:t>
            </w:r>
            <w:r w:rsidR="00FE14ED">
              <w:rPr>
                <w:sz w:val="24"/>
                <w:szCs w:val="28"/>
              </w:rPr>
              <w:t xml:space="preserve">nland </w:t>
            </w:r>
            <w:r>
              <w:rPr>
                <w:sz w:val="24"/>
                <w:szCs w:val="28"/>
              </w:rPr>
              <w:t>R</w:t>
            </w:r>
            <w:r w:rsidR="00FE14ED">
              <w:rPr>
                <w:sz w:val="24"/>
                <w:szCs w:val="28"/>
              </w:rPr>
              <w:t>evenue</w:t>
            </w:r>
            <w:r>
              <w:rPr>
                <w:sz w:val="24"/>
                <w:szCs w:val="28"/>
              </w:rPr>
              <w:t xml:space="preserve"> has the necessary capabilities and capacity to implement broader refundability through its systems.</w:t>
            </w:r>
          </w:p>
          <w:p w:rsidR="00962242" w:rsidRDefault="00962242" w:rsidP="0022212E">
            <w:pPr>
              <w:spacing w:before="120" w:after="120"/>
              <w:rPr>
                <w:sz w:val="24"/>
                <w:szCs w:val="28"/>
              </w:rPr>
            </w:pPr>
            <w:r>
              <w:rPr>
                <w:sz w:val="24"/>
                <w:szCs w:val="28"/>
              </w:rPr>
              <w:lastRenderedPageBreak/>
              <w:t xml:space="preserve">It is expected that broader refundability will pose minimal compliance and administrative costs. No material change is expected for the R&amp;D supplementary return. Instead of carrying forward non-refundable R&amp;D tax credits, </w:t>
            </w:r>
            <w:r w:rsidR="0089666B">
              <w:rPr>
                <w:sz w:val="24"/>
                <w:szCs w:val="28"/>
              </w:rPr>
              <w:t>most</w:t>
            </w:r>
            <w:r>
              <w:rPr>
                <w:sz w:val="24"/>
                <w:szCs w:val="28"/>
              </w:rPr>
              <w:t xml:space="preserve"> firms will be able to receive R&amp;D tax credit refunds. Any increase in administrative costs would be negligible, because Inland Revenue </w:t>
            </w:r>
            <w:r w:rsidR="00FE14ED">
              <w:rPr>
                <w:sz w:val="24"/>
                <w:szCs w:val="28"/>
              </w:rPr>
              <w:t xml:space="preserve">intends to </w:t>
            </w:r>
            <w:r>
              <w:rPr>
                <w:sz w:val="24"/>
                <w:szCs w:val="28"/>
              </w:rPr>
              <w:t>carry out checks</w:t>
            </w:r>
            <w:r w:rsidR="00477677">
              <w:rPr>
                <w:sz w:val="24"/>
                <w:szCs w:val="28"/>
              </w:rPr>
              <w:t xml:space="preserve"> and reviews on claims </w:t>
            </w:r>
            <w:r w:rsidR="00FE14ED">
              <w:rPr>
                <w:sz w:val="24"/>
                <w:szCs w:val="28"/>
              </w:rPr>
              <w:t>from</w:t>
            </w:r>
            <w:r w:rsidR="00477677">
              <w:rPr>
                <w:sz w:val="24"/>
                <w:szCs w:val="28"/>
              </w:rPr>
              <w:t xml:space="preserve"> year one</w:t>
            </w:r>
            <w:r>
              <w:rPr>
                <w:sz w:val="24"/>
                <w:szCs w:val="28"/>
              </w:rPr>
              <w:t>. The existing core team of Inland Revenue and Callaghan Innovation officials will continue to work on claims after broader refundability is introduced.</w:t>
            </w:r>
          </w:p>
          <w:p w:rsidR="00341C1F" w:rsidRDefault="00341C1F" w:rsidP="0022212E">
            <w:pPr>
              <w:spacing w:before="120" w:after="120"/>
              <w:rPr>
                <w:sz w:val="24"/>
                <w:szCs w:val="28"/>
              </w:rPr>
            </w:pPr>
            <w:r>
              <w:rPr>
                <w:sz w:val="24"/>
                <w:szCs w:val="28"/>
              </w:rPr>
              <w:t xml:space="preserve">Inland Revenue, working with the other agencies, will develop guidance material on the broader refundability proposals and the impact of these on business. Since broader refundability expands on the new R&amp;D </w:t>
            </w:r>
            <w:r w:rsidR="00062B94">
              <w:rPr>
                <w:sz w:val="24"/>
                <w:szCs w:val="28"/>
              </w:rPr>
              <w:t>T</w:t>
            </w:r>
            <w:r>
              <w:rPr>
                <w:sz w:val="24"/>
                <w:szCs w:val="28"/>
              </w:rPr>
              <w:t xml:space="preserve">ax </w:t>
            </w:r>
            <w:r w:rsidR="00062B94">
              <w:rPr>
                <w:sz w:val="24"/>
                <w:szCs w:val="28"/>
              </w:rPr>
              <w:t>I</w:t>
            </w:r>
            <w:r>
              <w:rPr>
                <w:sz w:val="24"/>
                <w:szCs w:val="28"/>
              </w:rPr>
              <w:t xml:space="preserve">ncentive, there are no particular transition issues. Credits not refunded in respect of the 2019/20 tax year, and carried forward to the 2020/21 tax year, may be refunded </w:t>
            </w:r>
            <w:r w:rsidR="00FC1700">
              <w:rPr>
                <w:sz w:val="24"/>
                <w:szCs w:val="28"/>
              </w:rPr>
              <w:t>in</w:t>
            </w:r>
            <w:r w:rsidR="00FE14ED">
              <w:rPr>
                <w:sz w:val="24"/>
                <w:szCs w:val="28"/>
              </w:rPr>
              <w:t xml:space="preserve"> that latter year or</w:t>
            </w:r>
            <w:r w:rsidR="00FC1700">
              <w:rPr>
                <w:sz w:val="24"/>
                <w:szCs w:val="28"/>
              </w:rPr>
              <w:t xml:space="preserve"> subsequent years</w:t>
            </w:r>
            <w:r>
              <w:rPr>
                <w:sz w:val="24"/>
                <w:szCs w:val="28"/>
              </w:rPr>
              <w:t>.</w:t>
            </w:r>
          </w:p>
          <w:p w:rsidR="00341C1F" w:rsidRDefault="00341C1F" w:rsidP="0022212E">
            <w:pPr>
              <w:spacing w:before="120" w:after="120"/>
              <w:rPr>
                <w:sz w:val="24"/>
                <w:szCs w:val="28"/>
              </w:rPr>
            </w:pPr>
            <w:r>
              <w:rPr>
                <w:sz w:val="24"/>
                <w:szCs w:val="28"/>
              </w:rPr>
              <w:t xml:space="preserve">The proposed eligibility criteria for broader refundability </w:t>
            </w:r>
            <w:r w:rsidR="00477677">
              <w:rPr>
                <w:sz w:val="24"/>
                <w:szCs w:val="28"/>
              </w:rPr>
              <w:t>are</w:t>
            </w:r>
            <w:r>
              <w:rPr>
                <w:sz w:val="24"/>
                <w:szCs w:val="28"/>
              </w:rPr>
              <w:t xml:space="preserve"> simpler than the existing eligibility criteria that appl</w:t>
            </w:r>
            <w:r w:rsidR="00125FA5">
              <w:rPr>
                <w:sz w:val="24"/>
                <w:szCs w:val="28"/>
              </w:rPr>
              <w:t>y</w:t>
            </w:r>
            <w:r>
              <w:rPr>
                <w:sz w:val="24"/>
                <w:szCs w:val="28"/>
              </w:rPr>
              <w:t xml:space="preserve"> to limited refundability in year </w:t>
            </w:r>
            <w:r w:rsidR="00477677">
              <w:rPr>
                <w:sz w:val="24"/>
                <w:szCs w:val="28"/>
              </w:rPr>
              <w:t>one</w:t>
            </w:r>
            <w:r>
              <w:rPr>
                <w:sz w:val="24"/>
                <w:szCs w:val="28"/>
              </w:rPr>
              <w:t xml:space="preserve">. This may result in a simpler process that </w:t>
            </w:r>
            <w:r w:rsidR="00125FA5">
              <w:rPr>
                <w:sz w:val="24"/>
                <w:szCs w:val="28"/>
              </w:rPr>
              <w:t xml:space="preserve">is </w:t>
            </w:r>
            <w:r>
              <w:rPr>
                <w:sz w:val="24"/>
                <w:szCs w:val="28"/>
              </w:rPr>
              <w:t xml:space="preserve">easier for </w:t>
            </w:r>
            <w:r w:rsidR="00FE14ED">
              <w:rPr>
                <w:sz w:val="24"/>
                <w:szCs w:val="28"/>
              </w:rPr>
              <w:t>businesses</w:t>
            </w:r>
            <w:r>
              <w:rPr>
                <w:sz w:val="24"/>
                <w:szCs w:val="28"/>
              </w:rPr>
              <w:t xml:space="preserve"> to comply with, so may in fact lead to reduced compliance costs. </w:t>
            </w:r>
          </w:p>
          <w:p w:rsidR="00023127" w:rsidRDefault="00023127" w:rsidP="0022212E">
            <w:pPr>
              <w:spacing w:before="120" w:after="120"/>
              <w:rPr>
                <w:sz w:val="24"/>
                <w:szCs w:val="28"/>
              </w:rPr>
            </w:pPr>
            <w:r>
              <w:rPr>
                <w:sz w:val="24"/>
                <w:szCs w:val="28"/>
              </w:rPr>
              <w:t xml:space="preserve">Officials from all agencies (MBIE, Callaghan Innovation, and IR) </w:t>
            </w:r>
            <w:r w:rsidR="00962242">
              <w:rPr>
                <w:sz w:val="24"/>
                <w:szCs w:val="28"/>
              </w:rPr>
              <w:t xml:space="preserve">have </w:t>
            </w:r>
            <w:r w:rsidR="005F35C5">
              <w:rPr>
                <w:sz w:val="24"/>
                <w:szCs w:val="28"/>
              </w:rPr>
              <w:t>engaged</w:t>
            </w:r>
            <w:r w:rsidR="00962242">
              <w:rPr>
                <w:sz w:val="24"/>
                <w:szCs w:val="28"/>
              </w:rPr>
              <w:t xml:space="preserve">, and will continue to </w:t>
            </w:r>
            <w:r w:rsidR="005F35C5">
              <w:rPr>
                <w:sz w:val="24"/>
                <w:szCs w:val="28"/>
              </w:rPr>
              <w:t>engage</w:t>
            </w:r>
            <w:r w:rsidR="00962242">
              <w:rPr>
                <w:sz w:val="24"/>
                <w:szCs w:val="28"/>
              </w:rPr>
              <w:t xml:space="preserve">, with interested stakeholders. </w:t>
            </w:r>
            <w:r>
              <w:rPr>
                <w:sz w:val="24"/>
                <w:szCs w:val="28"/>
              </w:rPr>
              <w:t>This includes accounting firms, businesses, and Chartered Accountants Australia and New Zealand (CAANZ).</w:t>
            </w:r>
            <w:r w:rsidR="00962242">
              <w:rPr>
                <w:sz w:val="24"/>
                <w:szCs w:val="28"/>
              </w:rPr>
              <w:t xml:space="preserve"> </w:t>
            </w:r>
          </w:p>
          <w:p w:rsidR="00B374D4" w:rsidRPr="00341C1F" w:rsidRDefault="00962242" w:rsidP="00620A2A">
            <w:pPr>
              <w:spacing w:before="120" w:after="120"/>
              <w:rPr>
                <w:sz w:val="24"/>
                <w:szCs w:val="28"/>
              </w:rPr>
            </w:pPr>
            <w:r>
              <w:rPr>
                <w:sz w:val="24"/>
                <w:szCs w:val="28"/>
              </w:rPr>
              <w:t xml:space="preserve">For some taxpayers, the legislation </w:t>
            </w:r>
            <w:r w:rsidR="00FE14ED">
              <w:rPr>
                <w:sz w:val="24"/>
                <w:szCs w:val="28"/>
              </w:rPr>
              <w:t>is expected to</w:t>
            </w:r>
            <w:r>
              <w:rPr>
                <w:sz w:val="24"/>
                <w:szCs w:val="28"/>
              </w:rPr>
              <w:t xml:space="preserve"> receive Royal Assent after the beginning of their 2020/21 income years. This is unlikely to create </w:t>
            </w:r>
            <w:r w:rsidR="00FE14ED">
              <w:rPr>
                <w:sz w:val="24"/>
                <w:szCs w:val="28"/>
              </w:rPr>
              <w:t>significant</w:t>
            </w:r>
            <w:r>
              <w:rPr>
                <w:sz w:val="24"/>
                <w:szCs w:val="28"/>
              </w:rPr>
              <w:t xml:space="preserve"> issues, however, because claims will be submitted with taxpayers’ income tax returns</w:t>
            </w:r>
            <w:r w:rsidR="00FC1700">
              <w:rPr>
                <w:sz w:val="24"/>
                <w:szCs w:val="28"/>
              </w:rPr>
              <w:t xml:space="preserve"> which </w:t>
            </w:r>
            <w:r w:rsidR="004A5912">
              <w:rPr>
                <w:sz w:val="24"/>
                <w:szCs w:val="28"/>
              </w:rPr>
              <w:t xml:space="preserve">are due </w:t>
            </w:r>
            <w:r w:rsidR="00FC1700">
              <w:rPr>
                <w:sz w:val="24"/>
                <w:szCs w:val="28"/>
              </w:rPr>
              <w:t>after the end of the</w:t>
            </w:r>
            <w:r w:rsidR="00FE14ED">
              <w:rPr>
                <w:sz w:val="24"/>
                <w:szCs w:val="28"/>
              </w:rPr>
              <w:t>ir income year</w:t>
            </w:r>
            <w:r w:rsidR="00620A2A">
              <w:rPr>
                <w:sz w:val="24"/>
                <w:szCs w:val="28"/>
              </w:rPr>
              <w:t xml:space="preserve">, </w:t>
            </w:r>
            <w:r>
              <w:rPr>
                <w:sz w:val="24"/>
                <w:szCs w:val="28"/>
              </w:rPr>
              <w:t>by which point it is anticipated the legi</w:t>
            </w:r>
            <w:r w:rsidR="00341C1F">
              <w:rPr>
                <w:sz w:val="24"/>
                <w:szCs w:val="28"/>
              </w:rPr>
              <w:t xml:space="preserve">slation will have been enacted. No credits will be refunded under the broader refundability rules until legislation has been enacted. </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3949D5">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6.2 What are the implementation risks</w:t>
            </w:r>
          </w:p>
        </w:tc>
      </w:tr>
      <w:tr w:rsidR="00B374D4" w:rsidRPr="000F62BD" w:rsidTr="003949D5">
        <w:tc>
          <w:tcPr>
            <w:tcW w:w="9287" w:type="dxa"/>
          </w:tcPr>
          <w:p w:rsidR="00341C1F" w:rsidRDefault="00BF7499" w:rsidP="00341C1F">
            <w:pPr>
              <w:spacing w:before="120" w:after="120"/>
              <w:rPr>
                <w:sz w:val="24"/>
                <w:szCs w:val="28"/>
              </w:rPr>
            </w:pPr>
            <w:r>
              <w:rPr>
                <w:sz w:val="24"/>
                <w:szCs w:val="28"/>
              </w:rPr>
              <w:t>In submissions on the R&amp;D T</w:t>
            </w:r>
            <w:r w:rsidR="00341C1F">
              <w:rPr>
                <w:sz w:val="24"/>
                <w:szCs w:val="28"/>
              </w:rPr>
              <w:t xml:space="preserve">ax </w:t>
            </w:r>
            <w:r>
              <w:rPr>
                <w:sz w:val="24"/>
                <w:szCs w:val="28"/>
              </w:rPr>
              <w:t>I</w:t>
            </w:r>
            <w:r w:rsidR="00341C1F">
              <w:rPr>
                <w:sz w:val="24"/>
                <w:szCs w:val="28"/>
              </w:rPr>
              <w:t xml:space="preserve">ncentive, a clear theme was the need for low compliance costs, to the extent this is possible. Feedback highlighted the need for clear guidance and education material. Businesses </w:t>
            </w:r>
            <w:r w:rsidR="00E41895">
              <w:rPr>
                <w:sz w:val="24"/>
                <w:szCs w:val="28"/>
              </w:rPr>
              <w:t>engaged with</w:t>
            </w:r>
            <w:r w:rsidR="00341C1F">
              <w:rPr>
                <w:sz w:val="24"/>
                <w:szCs w:val="28"/>
              </w:rPr>
              <w:t xml:space="preserve"> on the broader refundability proposals reaffirmed the need for simple rules and low compliance costs. </w:t>
            </w:r>
          </w:p>
          <w:p w:rsidR="00341C1F" w:rsidRDefault="00341C1F" w:rsidP="00341C1F">
            <w:pPr>
              <w:spacing w:before="120" w:after="120"/>
              <w:rPr>
                <w:sz w:val="24"/>
                <w:szCs w:val="28"/>
              </w:rPr>
            </w:pPr>
            <w:r>
              <w:rPr>
                <w:sz w:val="24"/>
                <w:szCs w:val="28"/>
              </w:rPr>
              <w:t xml:space="preserve">As mentioned above, the broader refundability proposals contain eligibility criteria that are simpler than the year </w:t>
            </w:r>
            <w:r w:rsidR="00BC156A">
              <w:rPr>
                <w:sz w:val="24"/>
                <w:szCs w:val="28"/>
              </w:rPr>
              <w:t>one</w:t>
            </w:r>
            <w:r>
              <w:rPr>
                <w:sz w:val="24"/>
                <w:szCs w:val="28"/>
              </w:rPr>
              <w:t xml:space="preserve"> limited refundability criteria. The proposed broader refundability rules do not require corporate eligibility and wage intensity tests to be satisfied, and rely on the existing (easier) rules of the R&amp;D </w:t>
            </w:r>
            <w:r w:rsidR="002E40C3">
              <w:rPr>
                <w:sz w:val="24"/>
                <w:szCs w:val="28"/>
              </w:rPr>
              <w:t>T</w:t>
            </w:r>
            <w:r>
              <w:rPr>
                <w:sz w:val="24"/>
                <w:szCs w:val="28"/>
              </w:rPr>
              <w:t xml:space="preserve">ax </w:t>
            </w:r>
            <w:r w:rsidR="002E40C3">
              <w:rPr>
                <w:sz w:val="24"/>
                <w:szCs w:val="28"/>
              </w:rPr>
              <w:t>I</w:t>
            </w:r>
            <w:r>
              <w:rPr>
                <w:sz w:val="24"/>
                <w:szCs w:val="28"/>
              </w:rPr>
              <w:t xml:space="preserve">ncentive. </w:t>
            </w:r>
            <w:r w:rsidR="00836A63">
              <w:rPr>
                <w:sz w:val="24"/>
                <w:szCs w:val="28"/>
              </w:rPr>
              <w:t>Allowing for broader refundability also reduces the need for continuous tracking of shareholder continuity, because once refunded credits are no longer at risk of being extinguished through breaches of shareholder continuity</w:t>
            </w:r>
            <w:r w:rsidR="002E40C3">
              <w:rPr>
                <w:sz w:val="24"/>
                <w:szCs w:val="28"/>
              </w:rPr>
              <w:t xml:space="preserve"> rules</w:t>
            </w:r>
            <w:r w:rsidR="00836A63">
              <w:rPr>
                <w:sz w:val="24"/>
                <w:szCs w:val="28"/>
              </w:rPr>
              <w:t xml:space="preserve">. This is particularly beneficial for smaller, R&amp;D intensive start-ups which may regularly seek new investors to boost funding for their R&amp;D projects. </w:t>
            </w:r>
          </w:p>
          <w:p w:rsidR="00836A63" w:rsidRDefault="00836A63" w:rsidP="00341C1F">
            <w:pPr>
              <w:spacing w:before="120" w:after="120"/>
              <w:rPr>
                <w:sz w:val="24"/>
                <w:szCs w:val="28"/>
              </w:rPr>
            </w:pPr>
            <w:r>
              <w:rPr>
                <w:sz w:val="24"/>
                <w:szCs w:val="28"/>
              </w:rPr>
              <w:t xml:space="preserve">Implementation risks arise where </w:t>
            </w:r>
            <w:r w:rsidR="00620A2A">
              <w:rPr>
                <w:sz w:val="24"/>
                <w:szCs w:val="28"/>
              </w:rPr>
              <w:t>businesses</w:t>
            </w:r>
            <w:r>
              <w:rPr>
                <w:sz w:val="24"/>
                <w:szCs w:val="28"/>
              </w:rPr>
              <w:t xml:space="preserve"> re-characterise non-R&amp;D expenditure as R&amp;D </w:t>
            </w:r>
            <w:r w:rsidR="00620A2A">
              <w:rPr>
                <w:sz w:val="24"/>
                <w:szCs w:val="28"/>
              </w:rPr>
              <w:t xml:space="preserve">expenditure </w:t>
            </w:r>
            <w:r>
              <w:rPr>
                <w:sz w:val="24"/>
                <w:szCs w:val="28"/>
              </w:rPr>
              <w:t xml:space="preserve">in order to claim a larger </w:t>
            </w:r>
            <w:r w:rsidR="00625E67">
              <w:rPr>
                <w:sz w:val="24"/>
                <w:szCs w:val="28"/>
              </w:rPr>
              <w:t>tax credit</w:t>
            </w:r>
            <w:r>
              <w:rPr>
                <w:sz w:val="24"/>
                <w:szCs w:val="28"/>
              </w:rPr>
              <w:t xml:space="preserve">. The incentive for re-characterisation is greater with broader refundability, because firms can receive cash refunds (rather than having to wait until they come into profit to utilise their R&amp;D tax credits). The policy and legislation has been developed to manage this risk, although </w:t>
            </w:r>
            <w:r>
              <w:rPr>
                <w:sz w:val="24"/>
                <w:szCs w:val="28"/>
              </w:rPr>
              <w:lastRenderedPageBreak/>
              <w:t xml:space="preserve">it cannot be eliminated. </w:t>
            </w:r>
            <w:r w:rsidR="00DD1BEA">
              <w:rPr>
                <w:sz w:val="24"/>
                <w:szCs w:val="28"/>
              </w:rPr>
              <w:t xml:space="preserve">The proposed ‘payroll’ taxes cap on refunds </w:t>
            </w:r>
            <w:r>
              <w:rPr>
                <w:sz w:val="24"/>
                <w:szCs w:val="28"/>
              </w:rPr>
              <w:t xml:space="preserve">will be backed up by existing administrative processes, such as in-year approval and IR audits. </w:t>
            </w:r>
          </w:p>
          <w:p w:rsidR="00B374D4" w:rsidRPr="00A50093" w:rsidRDefault="00A50093" w:rsidP="00620A2A">
            <w:pPr>
              <w:spacing w:before="120" w:after="120"/>
              <w:rPr>
                <w:sz w:val="28"/>
                <w:szCs w:val="28"/>
              </w:rPr>
            </w:pPr>
            <w:r>
              <w:rPr>
                <w:sz w:val="24"/>
                <w:szCs w:val="28"/>
              </w:rPr>
              <w:t xml:space="preserve">There needs to be strong uptake of the R&amp;D </w:t>
            </w:r>
            <w:r w:rsidR="00B30A92">
              <w:rPr>
                <w:sz w:val="24"/>
                <w:szCs w:val="28"/>
              </w:rPr>
              <w:t>T</w:t>
            </w:r>
            <w:r>
              <w:rPr>
                <w:sz w:val="24"/>
                <w:szCs w:val="28"/>
              </w:rPr>
              <w:t xml:space="preserve">ax </w:t>
            </w:r>
            <w:r w:rsidR="00B30A92">
              <w:rPr>
                <w:sz w:val="24"/>
                <w:szCs w:val="28"/>
              </w:rPr>
              <w:t>I</w:t>
            </w:r>
            <w:r>
              <w:rPr>
                <w:sz w:val="24"/>
                <w:szCs w:val="28"/>
              </w:rPr>
              <w:t xml:space="preserve">ncentive by businesses for the incentive to be successful. As indicated by the submissions received on the Bill, broader refundability is an important part of ensuring businesses transition to the </w:t>
            </w:r>
            <w:r w:rsidR="00620A2A">
              <w:rPr>
                <w:sz w:val="24"/>
                <w:szCs w:val="28"/>
              </w:rPr>
              <w:t>scheme</w:t>
            </w:r>
            <w:r>
              <w:rPr>
                <w:sz w:val="24"/>
                <w:szCs w:val="28"/>
              </w:rPr>
              <w:t>. I</w:t>
            </w:r>
            <w:r w:rsidR="00620A2A">
              <w:rPr>
                <w:sz w:val="24"/>
                <w:szCs w:val="28"/>
              </w:rPr>
              <w:t xml:space="preserve">nland </w:t>
            </w:r>
            <w:r>
              <w:rPr>
                <w:sz w:val="24"/>
                <w:szCs w:val="28"/>
              </w:rPr>
              <w:t>R</w:t>
            </w:r>
            <w:r w:rsidR="00620A2A">
              <w:rPr>
                <w:sz w:val="24"/>
                <w:szCs w:val="28"/>
              </w:rPr>
              <w:t>evenue</w:t>
            </w:r>
            <w:r>
              <w:rPr>
                <w:sz w:val="24"/>
                <w:szCs w:val="28"/>
              </w:rPr>
              <w:t xml:space="preserve">, Callaghan Innovation and MBIE officials </w:t>
            </w:r>
            <w:r w:rsidR="00E41895">
              <w:rPr>
                <w:sz w:val="24"/>
                <w:szCs w:val="28"/>
              </w:rPr>
              <w:t xml:space="preserve">have engaged with stakeholders </w:t>
            </w:r>
            <w:r>
              <w:rPr>
                <w:sz w:val="24"/>
                <w:szCs w:val="28"/>
              </w:rPr>
              <w:t>on the broader refundability proposals. Guidance will also be developed by I</w:t>
            </w:r>
            <w:r w:rsidR="00620A2A">
              <w:rPr>
                <w:sz w:val="24"/>
                <w:szCs w:val="28"/>
              </w:rPr>
              <w:t xml:space="preserve">nland </w:t>
            </w:r>
            <w:r>
              <w:rPr>
                <w:sz w:val="24"/>
                <w:szCs w:val="28"/>
              </w:rPr>
              <w:t>R</w:t>
            </w:r>
            <w:r w:rsidR="00620A2A">
              <w:rPr>
                <w:sz w:val="24"/>
                <w:szCs w:val="28"/>
              </w:rPr>
              <w:t>evenue</w:t>
            </w:r>
            <w:r>
              <w:rPr>
                <w:sz w:val="24"/>
                <w:szCs w:val="28"/>
              </w:rPr>
              <w:t xml:space="preserve">, which will sit alongside the tax legislation, to provide claimants with more information about the broader refundability proposals. </w:t>
            </w:r>
          </w:p>
        </w:tc>
      </w:tr>
    </w:tbl>
    <w:p w:rsidR="00B374D4" w:rsidRDefault="00B374D4" w:rsidP="00B374D4">
      <w:pPr>
        <w:spacing w:after="0" w:line="240" w:lineRule="auto"/>
        <w:rPr>
          <w:b/>
          <w:sz w:val="28"/>
          <w:szCs w:val="28"/>
        </w:rPr>
      </w:pPr>
    </w:p>
    <w:p w:rsidR="00B374D4" w:rsidRDefault="00B374D4" w:rsidP="00B374D4">
      <w:pPr>
        <w:spacing w:after="0" w:line="240" w:lineRule="auto"/>
        <w:rPr>
          <w:b/>
          <w:sz w:val="28"/>
          <w:szCs w:val="28"/>
        </w:rPr>
      </w:pPr>
      <w:r>
        <w:rPr>
          <w:b/>
          <w:sz w:val="28"/>
          <w:szCs w:val="28"/>
        </w:rPr>
        <w:t>Section 7: Monitoring, evaluation and review</w:t>
      </w:r>
    </w:p>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7.1 How will the impact of the new arrangements be monitored?</w:t>
            </w:r>
          </w:p>
        </w:tc>
      </w:tr>
      <w:tr w:rsidR="00B374D4" w:rsidRPr="003F7928" w:rsidTr="00B374D4">
        <w:tc>
          <w:tcPr>
            <w:tcW w:w="9287" w:type="dxa"/>
          </w:tcPr>
          <w:p w:rsidR="00A50093" w:rsidRDefault="00A50093" w:rsidP="00A50093">
            <w:pPr>
              <w:spacing w:before="120" w:after="120"/>
              <w:rPr>
                <w:sz w:val="24"/>
                <w:szCs w:val="28"/>
              </w:rPr>
            </w:pPr>
            <w:r>
              <w:rPr>
                <w:sz w:val="24"/>
                <w:szCs w:val="28"/>
              </w:rPr>
              <w:t>The impact of the broader refundability proposals will be monitored as part of the syst</w:t>
            </w:r>
            <w:r w:rsidR="00831B0E">
              <w:rPr>
                <w:sz w:val="24"/>
                <w:szCs w:val="28"/>
              </w:rPr>
              <w:t>em-level monitoring of the R&amp;D T</w:t>
            </w:r>
            <w:r>
              <w:rPr>
                <w:sz w:val="24"/>
                <w:szCs w:val="28"/>
              </w:rPr>
              <w:t xml:space="preserve">ax </w:t>
            </w:r>
            <w:r w:rsidR="00831B0E">
              <w:rPr>
                <w:sz w:val="24"/>
                <w:szCs w:val="28"/>
              </w:rPr>
              <w:t>I</w:t>
            </w:r>
            <w:r>
              <w:rPr>
                <w:sz w:val="24"/>
                <w:szCs w:val="28"/>
              </w:rPr>
              <w:t xml:space="preserve">ncentive. The R&amp;D </w:t>
            </w:r>
            <w:r w:rsidR="00831B0E">
              <w:rPr>
                <w:sz w:val="24"/>
                <w:szCs w:val="28"/>
              </w:rPr>
              <w:t>T</w:t>
            </w:r>
            <w:r>
              <w:rPr>
                <w:sz w:val="24"/>
                <w:szCs w:val="28"/>
              </w:rPr>
              <w:t xml:space="preserve">ax </w:t>
            </w:r>
            <w:r w:rsidR="00831B0E">
              <w:rPr>
                <w:sz w:val="24"/>
                <w:szCs w:val="28"/>
              </w:rPr>
              <w:t>I</w:t>
            </w:r>
            <w:r>
              <w:rPr>
                <w:sz w:val="24"/>
                <w:szCs w:val="28"/>
              </w:rPr>
              <w:t xml:space="preserve">ncentive will be monitored as part of the Research, Science and Innovation portfolio (for example, through publication of the annual System Performance Report). </w:t>
            </w:r>
          </w:p>
          <w:p w:rsidR="00791CAE" w:rsidRDefault="007657EA" w:rsidP="00A50093">
            <w:pPr>
              <w:spacing w:before="120" w:after="120"/>
              <w:rPr>
                <w:sz w:val="24"/>
                <w:szCs w:val="28"/>
              </w:rPr>
            </w:pPr>
            <w:r>
              <w:rPr>
                <w:sz w:val="24"/>
                <w:szCs w:val="28"/>
              </w:rPr>
              <w:t>As part of the R&amp;D T</w:t>
            </w:r>
            <w:r w:rsidR="00A50093">
              <w:rPr>
                <w:sz w:val="24"/>
                <w:szCs w:val="28"/>
              </w:rPr>
              <w:t xml:space="preserve">ax </w:t>
            </w:r>
            <w:r>
              <w:rPr>
                <w:sz w:val="24"/>
                <w:szCs w:val="28"/>
              </w:rPr>
              <w:t>I</w:t>
            </w:r>
            <w:r w:rsidR="00A50093">
              <w:rPr>
                <w:sz w:val="24"/>
                <w:szCs w:val="28"/>
              </w:rPr>
              <w:t xml:space="preserve">ncentive, the Government is required to commission an evaluation of the incentive every five years from the commencement of the scheme. This evaluation would include an evaluation of broader refundability. </w:t>
            </w:r>
          </w:p>
          <w:p w:rsidR="00B374D4" w:rsidRPr="00791CAE" w:rsidRDefault="00791CAE" w:rsidP="00620A2A">
            <w:pPr>
              <w:spacing w:before="120" w:after="120"/>
              <w:rPr>
                <w:sz w:val="24"/>
                <w:szCs w:val="28"/>
              </w:rPr>
            </w:pPr>
            <w:r>
              <w:rPr>
                <w:sz w:val="24"/>
                <w:szCs w:val="28"/>
              </w:rPr>
              <w:t>In addition to the 5-year evaluation of the incentive, the business R&amp;D surveys run by Statistics New Zealand can al</w:t>
            </w:r>
            <w:r w:rsidR="005337C1">
              <w:rPr>
                <w:sz w:val="24"/>
                <w:szCs w:val="28"/>
              </w:rPr>
              <w:t>so be used to evaluate the R&amp;D T</w:t>
            </w:r>
            <w:r>
              <w:rPr>
                <w:sz w:val="24"/>
                <w:szCs w:val="28"/>
              </w:rPr>
              <w:t xml:space="preserve">ax </w:t>
            </w:r>
            <w:r w:rsidR="005337C1">
              <w:rPr>
                <w:sz w:val="24"/>
                <w:szCs w:val="28"/>
              </w:rPr>
              <w:t>I</w:t>
            </w:r>
            <w:r>
              <w:rPr>
                <w:sz w:val="24"/>
                <w:szCs w:val="28"/>
              </w:rPr>
              <w:t xml:space="preserve">ncentive </w:t>
            </w:r>
            <w:r w:rsidR="00620A2A">
              <w:rPr>
                <w:sz w:val="24"/>
                <w:szCs w:val="28"/>
              </w:rPr>
              <w:t>scheme</w:t>
            </w:r>
            <w:r>
              <w:rPr>
                <w:sz w:val="24"/>
                <w:szCs w:val="28"/>
              </w:rPr>
              <w:t xml:space="preserve"> (which would include broader refundability). This will provide additional information to measure the impact of the R&amp;D </w:t>
            </w:r>
            <w:r w:rsidR="005337C1">
              <w:rPr>
                <w:sz w:val="24"/>
                <w:szCs w:val="28"/>
              </w:rPr>
              <w:t>T</w:t>
            </w:r>
            <w:r>
              <w:rPr>
                <w:sz w:val="24"/>
                <w:szCs w:val="28"/>
              </w:rPr>
              <w:t xml:space="preserve">ax </w:t>
            </w:r>
            <w:r w:rsidR="005337C1">
              <w:rPr>
                <w:sz w:val="24"/>
                <w:szCs w:val="28"/>
              </w:rPr>
              <w:t>I</w:t>
            </w:r>
            <w:r>
              <w:rPr>
                <w:sz w:val="24"/>
                <w:szCs w:val="28"/>
              </w:rPr>
              <w:t xml:space="preserve">ncentive and the broader refundability proposals. </w:t>
            </w:r>
          </w:p>
        </w:tc>
      </w:tr>
    </w:tbl>
    <w:p w:rsidR="00B374D4" w:rsidRDefault="00B374D4" w:rsidP="00B374D4">
      <w:pPr>
        <w:spacing w:after="0" w:line="240" w:lineRule="auto"/>
        <w:rPr>
          <w:b/>
          <w:sz w:val="28"/>
          <w:szCs w:val="28"/>
        </w:rPr>
      </w:pPr>
    </w:p>
    <w:tbl>
      <w:tblPr>
        <w:tblStyle w:val="TableGrid"/>
        <w:tblW w:w="0" w:type="auto"/>
        <w:tblLook w:val="04A0" w:firstRow="1" w:lastRow="0" w:firstColumn="1" w:lastColumn="0" w:noHBand="0" w:noVBand="1"/>
      </w:tblPr>
      <w:tblGrid>
        <w:gridCol w:w="9287"/>
      </w:tblGrid>
      <w:tr w:rsidR="00B374D4" w:rsidRPr="00895C9F" w:rsidTr="00B374D4">
        <w:tc>
          <w:tcPr>
            <w:tcW w:w="9287" w:type="dxa"/>
            <w:shd w:val="clear" w:color="auto" w:fill="8DB3E2" w:themeFill="text2" w:themeFillTint="66"/>
          </w:tcPr>
          <w:p w:rsidR="00B374D4" w:rsidRPr="00895C9F" w:rsidRDefault="00B374D4" w:rsidP="00B374D4">
            <w:pPr>
              <w:spacing w:after="0" w:line="240" w:lineRule="auto"/>
              <w:rPr>
                <w:b/>
                <w:sz w:val="24"/>
                <w:szCs w:val="24"/>
              </w:rPr>
            </w:pPr>
            <w:r>
              <w:rPr>
                <w:b/>
                <w:sz w:val="24"/>
                <w:szCs w:val="24"/>
              </w:rPr>
              <w:t>7.2 When and how will the new arrangements be reviewed?</w:t>
            </w:r>
          </w:p>
        </w:tc>
      </w:tr>
      <w:tr w:rsidR="00B374D4" w:rsidRPr="000F62BD" w:rsidTr="00B374D4">
        <w:tc>
          <w:tcPr>
            <w:tcW w:w="9287" w:type="dxa"/>
          </w:tcPr>
          <w:p w:rsidR="00A240E2" w:rsidRDefault="00791CAE" w:rsidP="00791CAE">
            <w:pPr>
              <w:spacing w:before="120" w:after="120"/>
              <w:rPr>
                <w:sz w:val="24"/>
                <w:szCs w:val="28"/>
              </w:rPr>
            </w:pPr>
            <w:r>
              <w:rPr>
                <w:sz w:val="24"/>
                <w:szCs w:val="28"/>
              </w:rPr>
              <w:t xml:space="preserve">In addition to the legislated 5-year evaluation of the R&amp;D </w:t>
            </w:r>
            <w:r w:rsidR="00B301AD">
              <w:rPr>
                <w:sz w:val="24"/>
                <w:szCs w:val="28"/>
              </w:rPr>
              <w:t>T</w:t>
            </w:r>
            <w:r>
              <w:rPr>
                <w:sz w:val="24"/>
                <w:szCs w:val="28"/>
              </w:rPr>
              <w:t xml:space="preserve">ax </w:t>
            </w:r>
            <w:r w:rsidR="00B301AD">
              <w:rPr>
                <w:sz w:val="24"/>
                <w:szCs w:val="28"/>
              </w:rPr>
              <w:t>I</w:t>
            </w:r>
            <w:r>
              <w:rPr>
                <w:sz w:val="24"/>
                <w:szCs w:val="28"/>
              </w:rPr>
              <w:t>ncentive, MBIE and IR will monitor the policy in the shorter term. This is so that any issues associated with broader refundability that could c</w:t>
            </w:r>
            <w:r w:rsidR="00552DC7">
              <w:rPr>
                <w:sz w:val="24"/>
                <w:szCs w:val="28"/>
              </w:rPr>
              <w:t>ompromise the integrity of the I</w:t>
            </w:r>
            <w:r>
              <w:rPr>
                <w:sz w:val="24"/>
                <w:szCs w:val="28"/>
              </w:rPr>
              <w:t>ncentive can be quickly identified and remedied.</w:t>
            </w:r>
          </w:p>
          <w:p w:rsidR="00A240E2" w:rsidRPr="00791CAE" w:rsidRDefault="00620A2A" w:rsidP="0025174A">
            <w:pPr>
              <w:spacing w:before="120" w:after="120"/>
              <w:rPr>
                <w:sz w:val="28"/>
                <w:szCs w:val="28"/>
              </w:rPr>
            </w:pPr>
            <w:r>
              <w:rPr>
                <w:sz w:val="24"/>
                <w:szCs w:val="28"/>
              </w:rPr>
              <w:t>The R&amp;D Advisory Group (RDAG) is a consultative committee comprising representatives from accounting firms and other businesses that functions as a forum for identifying and resolving problems with the R&amp;D Tax incentive.  RDAG had its first meeting in January 2019. Officials</w:t>
            </w:r>
            <w:r w:rsidR="00A240E2">
              <w:rPr>
                <w:sz w:val="24"/>
                <w:szCs w:val="28"/>
              </w:rPr>
              <w:t xml:space="preserve"> also have regular meetings and discussions with a broader range of stakeholders, at which policy and implementation issues are discussed. It is expected that RDAG and these regular stakeholder discussions will enable officials to conduct on-going monitoring and review of the impact of broader refundability.</w:t>
            </w:r>
          </w:p>
        </w:tc>
      </w:tr>
    </w:tbl>
    <w:p w:rsidR="003949D5" w:rsidRDefault="003949D5" w:rsidP="00B374D4">
      <w:pPr>
        <w:spacing w:after="0" w:line="240" w:lineRule="auto"/>
        <w:rPr>
          <w:b/>
          <w:sz w:val="36"/>
          <w:szCs w:val="32"/>
        </w:rPr>
      </w:pPr>
    </w:p>
    <w:p w:rsidR="00B374D4" w:rsidRDefault="00B374D4" w:rsidP="00015F78">
      <w:pPr>
        <w:keepNext/>
        <w:spacing w:after="0" w:line="240" w:lineRule="auto"/>
        <w:rPr>
          <w:b/>
          <w:sz w:val="28"/>
          <w:szCs w:val="28"/>
        </w:rPr>
      </w:pPr>
      <w:r>
        <w:rPr>
          <w:b/>
          <w:sz w:val="36"/>
          <w:szCs w:val="32"/>
        </w:rPr>
        <w:lastRenderedPageBreak/>
        <w:t>Bibliography</w:t>
      </w:r>
    </w:p>
    <w:p w:rsidR="00B374D4" w:rsidRDefault="00B374D4" w:rsidP="00015F78">
      <w:pPr>
        <w:keepNext/>
        <w:spacing w:after="0" w:line="240" w:lineRule="auto"/>
        <w:rPr>
          <w:b/>
          <w:sz w:val="28"/>
          <w:szCs w:val="28"/>
        </w:rPr>
      </w:pPr>
    </w:p>
    <w:p w:rsidR="0061409E" w:rsidRDefault="0061409E" w:rsidP="00015F78">
      <w:pPr>
        <w:keepNext/>
        <w:spacing w:after="0" w:line="240" w:lineRule="auto"/>
        <w:rPr>
          <w:sz w:val="24"/>
          <w:szCs w:val="28"/>
          <w:lang w:val="en-NZ"/>
        </w:rPr>
      </w:pPr>
      <w:proofErr w:type="spellStart"/>
      <w:r w:rsidRPr="0061409E">
        <w:rPr>
          <w:sz w:val="24"/>
          <w:szCs w:val="28"/>
          <w:lang w:val="en-NZ"/>
        </w:rPr>
        <w:t>Appelt</w:t>
      </w:r>
      <w:proofErr w:type="spellEnd"/>
      <w:r w:rsidRPr="0061409E">
        <w:rPr>
          <w:sz w:val="24"/>
          <w:szCs w:val="28"/>
          <w:lang w:val="en-NZ"/>
        </w:rPr>
        <w:t xml:space="preserve">, S., M. </w:t>
      </w:r>
      <w:proofErr w:type="spellStart"/>
      <w:r w:rsidRPr="0061409E">
        <w:rPr>
          <w:sz w:val="24"/>
          <w:szCs w:val="28"/>
          <w:lang w:val="en-NZ"/>
        </w:rPr>
        <w:t>Bajgar</w:t>
      </w:r>
      <w:proofErr w:type="spellEnd"/>
      <w:r w:rsidRPr="0061409E">
        <w:rPr>
          <w:sz w:val="24"/>
          <w:szCs w:val="28"/>
          <w:lang w:val="en-NZ"/>
        </w:rPr>
        <w:t xml:space="preserve">, C. </w:t>
      </w:r>
      <w:proofErr w:type="spellStart"/>
      <w:r w:rsidRPr="0061409E">
        <w:rPr>
          <w:sz w:val="24"/>
          <w:szCs w:val="28"/>
          <w:lang w:val="en-NZ"/>
        </w:rPr>
        <w:t>Criscuolo</w:t>
      </w:r>
      <w:proofErr w:type="spellEnd"/>
      <w:r w:rsidRPr="0061409E">
        <w:rPr>
          <w:sz w:val="24"/>
          <w:szCs w:val="28"/>
          <w:lang w:val="en-NZ"/>
        </w:rPr>
        <w:t xml:space="preserve">, &amp; F. Galindo-Rueda (2016). R&amp;D Tax Incentives: Evidence on design, incidence and impacts. </w:t>
      </w:r>
      <w:r w:rsidRPr="0061409E">
        <w:rPr>
          <w:i/>
          <w:iCs/>
          <w:sz w:val="24"/>
          <w:szCs w:val="28"/>
          <w:lang w:val="en-NZ"/>
        </w:rPr>
        <w:t>OECD Science, Technology and Industry Policy Papers, No 32</w:t>
      </w:r>
      <w:r w:rsidRPr="0061409E">
        <w:rPr>
          <w:sz w:val="24"/>
          <w:szCs w:val="28"/>
          <w:lang w:val="en-NZ"/>
        </w:rPr>
        <w:t>.</w:t>
      </w:r>
    </w:p>
    <w:p w:rsidR="00E03D92" w:rsidRDefault="00E03D92" w:rsidP="00015F78">
      <w:pPr>
        <w:keepNext/>
        <w:spacing w:after="0" w:line="240" w:lineRule="auto"/>
        <w:rPr>
          <w:sz w:val="24"/>
          <w:szCs w:val="28"/>
          <w:lang w:val="en-NZ"/>
        </w:rPr>
      </w:pPr>
    </w:p>
    <w:p w:rsidR="00E03D92" w:rsidRDefault="00E03D92" w:rsidP="00015F78">
      <w:pPr>
        <w:keepNext/>
        <w:spacing w:after="0" w:line="240" w:lineRule="auto"/>
        <w:rPr>
          <w:sz w:val="24"/>
          <w:szCs w:val="28"/>
        </w:rPr>
      </w:pPr>
      <w:r w:rsidRPr="00E03D92">
        <w:rPr>
          <w:sz w:val="24"/>
          <w:szCs w:val="28"/>
        </w:rPr>
        <w:t xml:space="preserve">Di </w:t>
      </w:r>
      <w:proofErr w:type="spellStart"/>
      <w:r w:rsidRPr="00E03D92">
        <w:rPr>
          <w:sz w:val="24"/>
          <w:szCs w:val="28"/>
        </w:rPr>
        <w:t>Maio</w:t>
      </w:r>
      <w:proofErr w:type="spellEnd"/>
      <w:r w:rsidRPr="00E03D92">
        <w:rPr>
          <w:sz w:val="24"/>
          <w:szCs w:val="28"/>
        </w:rPr>
        <w:t>, M., &amp; N. Blakeley (2004). “Business Research and Development and Industry Structure”. New Zealand Treasury.</w:t>
      </w:r>
    </w:p>
    <w:p w:rsidR="00E03D92" w:rsidRDefault="00E03D92" w:rsidP="00015F78">
      <w:pPr>
        <w:keepNext/>
        <w:spacing w:after="0" w:line="240" w:lineRule="auto"/>
        <w:rPr>
          <w:sz w:val="24"/>
          <w:szCs w:val="28"/>
        </w:rPr>
      </w:pPr>
    </w:p>
    <w:p w:rsidR="00E03D92" w:rsidRDefault="00E03D92" w:rsidP="00015F78">
      <w:pPr>
        <w:keepNext/>
        <w:spacing w:after="0" w:line="240" w:lineRule="auto"/>
        <w:rPr>
          <w:sz w:val="24"/>
          <w:szCs w:val="28"/>
        </w:rPr>
      </w:pPr>
      <w:proofErr w:type="spellStart"/>
      <w:r w:rsidRPr="00E03D92">
        <w:rPr>
          <w:sz w:val="24"/>
          <w:szCs w:val="28"/>
        </w:rPr>
        <w:t>Mazoyer</w:t>
      </w:r>
      <w:proofErr w:type="spellEnd"/>
      <w:r w:rsidRPr="00E03D92">
        <w:rPr>
          <w:sz w:val="24"/>
          <w:szCs w:val="28"/>
        </w:rPr>
        <w:t>, P. (1999). “Analysis of R&amp;D structure and intensities”. Wellington, New Zealand: Ministry of Research, Science &amp; Technology.</w:t>
      </w:r>
    </w:p>
    <w:p w:rsidR="00232742" w:rsidRDefault="00232742" w:rsidP="00015F78">
      <w:pPr>
        <w:keepNext/>
        <w:spacing w:after="0" w:line="240" w:lineRule="auto"/>
        <w:rPr>
          <w:sz w:val="24"/>
          <w:szCs w:val="28"/>
        </w:rPr>
      </w:pPr>
    </w:p>
    <w:p w:rsidR="00232742" w:rsidRDefault="00232742" w:rsidP="00015F78">
      <w:pPr>
        <w:keepNext/>
        <w:spacing w:after="0" w:line="240" w:lineRule="auto"/>
        <w:rPr>
          <w:sz w:val="24"/>
          <w:szCs w:val="28"/>
        </w:rPr>
      </w:pPr>
      <w:r w:rsidRPr="00232742">
        <w:rPr>
          <w:sz w:val="24"/>
          <w:szCs w:val="28"/>
        </w:rPr>
        <w:t xml:space="preserve">OECD. (2017). </w:t>
      </w:r>
      <w:r w:rsidRPr="003C1179">
        <w:rPr>
          <w:i/>
          <w:sz w:val="24"/>
          <w:szCs w:val="28"/>
        </w:rPr>
        <w:t>OECD Economic Surveys: New Zealand 2017.</w:t>
      </w:r>
      <w:r w:rsidRPr="00232742">
        <w:rPr>
          <w:sz w:val="24"/>
          <w:szCs w:val="28"/>
        </w:rPr>
        <w:t xml:space="preserve"> Paris: OECD Publishing.</w:t>
      </w:r>
    </w:p>
    <w:p w:rsidR="003C1179" w:rsidRDefault="003C1179" w:rsidP="00015F78">
      <w:pPr>
        <w:keepNext/>
        <w:spacing w:after="0" w:line="240" w:lineRule="auto"/>
        <w:rPr>
          <w:sz w:val="24"/>
          <w:szCs w:val="28"/>
        </w:rPr>
      </w:pPr>
    </w:p>
    <w:p w:rsidR="003C1179" w:rsidRPr="003C1179" w:rsidRDefault="003C1179" w:rsidP="00015F78">
      <w:pPr>
        <w:keepNext/>
        <w:spacing w:after="0" w:line="240" w:lineRule="auto"/>
        <w:rPr>
          <w:i/>
          <w:sz w:val="24"/>
          <w:szCs w:val="28"/>
        </w:rPr>
      </w:pPr>
      <w:r w:rsidRPr="003C1179">
        <w:rPr>
          <w:sz w:val="24"/>
          <w:szCs w:val="28"/>
        </w:rPr>
        <w:t xml:space="preserve">Statistics New Zealand (2017). </w:t>
      </w:r>
      <w:r w:rsidRPr="003C1179">
        <w:rPr>
          <w:i/>
          <w:sz w:val="24"/>
          <w:szCs w:val="28"/>
        </w:rPr>
        <w:t>Research and Development Survey: 2016.</w:t>
      </w:r>
      <w:r w:rsidRPr="003C1179">
        <w:rPr>
          <w:sz w:val="24"/>
          <w:szCs w:val="28"/>
        </w:rPr>
        <w:t xml:space="preserve"> </w:t>
      </w:r>
      <w:r w:rsidRPr="003C1179">
        <w:rPr>
          <w:i/>
          <w:sz w:val="24"/>
          <w:szCs w:val="28"/>
        </w:rPr>
        <w:t>https://www.stats.govt.nz/information-releases/research-and-development-survey-2016</w:t>
      </w:r>
    </w:p>
    <w:p w:rsidR="003C1179" w:rsidRPr="003C1179" w:rsidRDefault="003C1179" w:rsidP="00015F78">
      <w:pPr>
        <w:keepNext/>
        <w:spacing w:after="0" w:line="240" w:lineRule="auto"/>
        <w:rPr>
          <w:sz w:val="24"/>
          <w:szCs w:val="28"/>
        </w:rPr>
      </w:pPr>
    </w:p>
    <w:p w:rsidR="003C1179" w:rsidRPr="003C1179" w:rsidRDefault="003C1179" w:rsidP="00015F78">
      <w:pPr>
        <w:keepNext/>
        <w:spacing w:after="0" w:line="240" w:lineRule="auto"/>
        <w:rPr>
          <w:i/>
          <w:sz w:val="24"/>
          <w:szCs w:val="28"/>
        </w:rPr>
      </w:pPr>
      <w:r w:rsidRPr="003C1179">
        <w:rPr>
          <w:sz w:val="24"/>
          <w:szCs w:val="28"/>
        </w:rPr>
        <w:t xml:space="preserve">Statistics New Zealand (2018). </w:t>
      </w:r>
      <w:r w:rsidRPr="003C1179">
        <w:rPr>
          <w:i/>
          <w:sz w:val="24"/>
          <w:szCs w:val="28"/>
        </w:rPr>
        <w:t>Business Operations Survey: 2017.</w:t>
      </w:r>
      <w:r w:rsidRPr="003C1179">
        <w:rPr>
          <w:sz w:val="24"/>
          <w:szCs w:val="28"/>
        </w:rPr>
        <w:t xml:space="preserve"> </w:t>
      </w:r>
      <w:r w:rsidRPr="003C1179">
        <w:rPr>
          <w:i/>
          <w:sz w:val="24"/>
          <w:szCs w:val="28"/>
        </w:rPr>
        <w:t>https://www.stats.govt.nz/information-releases/business-operations-survey-2017</w:t>
      </w:r>
    </w:p>
    <w:p w:rsidR="00232742" w:rsidRDefault="00232742" w:rsidP="00015F78">
      <w:pPr>
        <w:keepNext/>
        <w:spacing w:after="0" w:line="240" w:lineRule="auto"/>
        <w:rPr>
          <w:sz w:val="24"/>
          <w:szCs w:val="28"/>
        </w:rPr>
      </w:pPr>
    </w:p>
    <w:p w:rsidR="00232742" w:rsidRDefault="00232742" w:rsidP="00015F78">
      <w:pPr>
        <w:keepNext/>
        <w:spacing w:after="0" w:line="240" w:lineRule="auto"/>
        <w:rPr>
          <w:sz w:val="24"/>
          <w:szCs w:val="28"/>
        </w:rPr>
      </w:pPr>
      <w:r w:rsidRPr="00232742">
        <w:rPr>
          <w:sz w:val="24"/>
          <w:szCs w:val="28"/>
        </w:rPr>
        <w:t xml:space="preserve">Wakeman, S. &amp; P. Conway (2017). </w:t>
      </w:r>
      <w:r w:rsidRPr="003C1179">
        <w:rPr>
          <w:i/>
          <w:sz w:val="24"/>
          <w:szCs w:val="28"/>
        </w:rPr>
        <w:t>Innovation and the performance of New Zealand firms.</w:t>
      </w:r>
      <w:r w:rsidRPr="00232742">
        <w:rPr>
          <w:sz w:val="24"/>
          <w:szCs w:val="28"/>
        </w:rPr>
        <w:t xml:space="preserve"> Wellington: New Zealand Productivity Commission Working Paper.</w:t>
      </w:r>
    </w:p>
    <w:bookmarkEnd w:id="0"/>
    <w:bookmarkEnd w:id="1"/>
    <w:bookmarkEnd w:id="2"/>
    <w:bookmarkEnd w:id="3"/>
    <w:bookmarkEnd w:id="4"/>
    <w:p w:rsidR="00B374D4" w:rsidRDefault="00B374D4"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1E7B7D" w:rsidRDefault="001E7B7D" w:rsidP="00EE07FE">
      <w:pPr>
        <w:spacing w:after="0" w:line="240" w:lineRule="auto"/>
        <w:rPr>
          <w:rFonts w:ascii="Times New Roman" w:hAnsi="Times New Roman"/>
          <w:spacing w:val="20"/>
          <w:sz w:val="28"/>
          <w:szCs w:val="28"/>
        </w:rPr>
      </w:pPr>
    </w:p>
    <w:p w:rsidR="008C4274" w:rsidRDefault="008C4274" w:rsidP="000A0210">
      <w:pPr>
        <w:spacing w:after="0" w:line="240" w:lineRule="auto"/>
        <w:rPr>
          <w:b/>
          <w:sz w:val="36"/>
          <w:szCs w:val="36"/>
        </w:rPr>
        <w:sectPr w:rsidR="008C4274" w:rsidSect="004C45A4">
          <w:pgSz w:w="11907" w:h="16840" w:code="9"/>
          <w:pgMar w:top="1134" w:right="1418" w:bottom="1134" w:left="1418" w:header="567" w:footer="567" w:gutter="0"/>
          <w:cols w:space="720"/>
          <w:docGrid w:linePitch="360"/>
        </w:sectPr>
      </w:pPr>
    </w:p>
    <w:p w:rsidR="000A0210" w:rsidRDefault="001E7B7D" w:rsidP="000A0210">
      <w:pPr>
        <w:spacing w:after="0" w:line="240" w:lineRule="auto"/>
        <w:rPr>
          <w:b/>
          <w:sz w:val="36"/>
          <w:szCs w:val="36"/>
        </w:rPr>
      </w:pPr>
      <w:r w:rsidRPr="000A0210">
        <w:rPr>
          <w:b/>
          <w:sz w:val="36"/>
          <w:szCs w:val="36"/>
        </w:rPr>
        <w:lastRenderedPageBreak/>
        <w:t>Appendix 1</w:t>
      </w:r>
    </w:p>
    <w:p w:rsidR="001E7B7D" w:rsidRPr="000A0210" w:rsidRDefault="001E7B7D" w:rsidP="000A0210">
      <w:pPr>
        <w:spacing w:before="120" w:after="120"/>
        <w:jc w:val="both"/>
        <w:rPr>
          <w:sz w:val="24"/>
          <w:szCs w:val="28"/>
        </w:rPr>
      </w:pPr>
      <w:r w:rsidRPr="000A0210">
        <w:rPr>
          <w:sz w:val="24"/>
          <w:szCs w:val="28"/>
        </w:rPr>
        <w:t>The following table sets out key features of how refundability is applied in key OECD countries.</w:t>
      </w:r>
    </w:p>
    <w:tbl>
      <w:tblPr>
        <w:tblStyle w:val="TableGrid"/>
        <w:tblW w:w="0" w:type="auto"/>
        <w:tblLook w:val="04A0" w:firstRow="1" w:lastRow="0" w:firstColumn="1" w:lastColumn="0" w:noHBand="0" w:noVBand="1"/>
      </w:tblPr>
      <w:tblGrid>
        <w:gridCol w:w="1511"/>
        <w:gridCol w:w="3969"/>
        <w:gridCol w:w="3634"/>
      </w:tblGrid>
      <w:tr w:rsidR="001E7B7D" w:rsidRPr="000A0210" w:rsidTr="002433EC">
        <w:tc>
          <w:tcPr>
            <w:tcW w:w="1425" w:type="dxa"/>
          </w:tcPr>
          <w:p w:rsidR="001E7B7D" w:rsidRPr="000A0210" w:rsidRDefault="001E7B7D" w:rsidP="002433EC">
            <w:pPr>
              <w:spacing w:after="120"/>
              <w:rPr>
                <w:rFonts w:eastAsiaTheme="minorEastAsia" w:cs="Arial"/>
                <w:b/>
                <w:color w:val="000000" w:themeColor="text1"/>
                <w:kern w:val="24"/>
                <w:sz w:val="24"/>
                <w:szCs w:val="24"/>
              </w:rPr>
            </w:pPr>
            <w:r w:rsidRPr="000A0210">
              <w:rPr>
                <w:rFonts w:eastAsiaTheme="minorEastAsia" w:cs="Arial"/>
                <w:b/>
                <w:color w:val="000000" w:themeColor="text1"/>
                <w:kern w:val="24"/>
                <w:sz w:val="24"/>
                <w:szCs w:val="24"/>
              </w:rPr>
              <w:t>Country</w:t>
            </w:r>
          </w:p>
        </w:tc>
        <w:tc>
          <w:tcPr>
            <w:tcW w:w="3969" w:type="dxa"/>
          </w:tcPr>
          <w:p w:rsidR="001E7B7D" w:rsidRPr="000A0210" w:rsidRDefault="001E7B7D" w:rsidP="002433EC">
            <w:pPr>
              <w:spacing w:after="120"/>
              <w:rPr>
                <w:rFonts w:eastAsiaTheme="minorEastAsia" w:cs="Arial"/>
                <w:b/>
                <w:color w:val="000000" w:themeColor="text1"/>
                <w:kern w:val="24"/>
                <w:sz w:val="24"/>
                <w:szCs w:val="24"/>
              </w:rPr>
            </w:pPr>
            <w:r w:rsidRPr="000A0210">
              <w:rPr>
                <w:rFonts w:eastAsiaTheme="minorEastAsia" w:cs="Arial"/>
                <w:b/>
                <w:color w:val="000000" w:themeColor="text1"/>
                <w:kern w:val="24"/>
                <w:sz w:val="24"/>
                <w:szCs w:val="24"/>
              </w:rPr>
              <w:t>Refundability policy</w:t>
            </w:r>
          </w:p>
        </w:tc>
        <w:tc>
          <w:tcPr>
            <w:tcW w:w="3634" w:type="dxa"/>
          </w:tcPr>
          <w:p w:rsidR="001E7B7D" w:rsidRPr="000A0210" w:rsidRDefault="001E7B7D" w:rsidP="002433EC">
            <w:pPr>
              <w:spacing w:after="120"/>
              <w:rPr>
                <w:rFonts w:eastAsiaTheme="minorEastAsia" w:cs="Arial"/>
                <w:b/>
                <w:color w:val="000000" w:themeColor="text1"/>
                <w:kern w:val="24"/>
                <w:sz w:val="24"/>
                <w:szCs w:val="24"/>
              </w:rPr>
            </w:pPr>
            <w:r w:rsidRPr="000A0210">
              <w:rPr>
                <w:rFonts w:eastAsiaTheme="minorEastAsia" w:cs="Arial"/>
                <w:b/>
                <w:color w:val="000000" w:themeColor="text1"/>
                <w:kern w:val="24"/>
                <w:sz w:val="24"/>
                <w:szCs w:val="24"/>
              </w:rPr>
              <w:t>Other relevant factors</w:t>
            </w:r>
          </w:p>
        </w:tc>
      </w:tr>
      <w:tr w:rsidR="001E7B7D" w:rsidRPr="000A0210" w:rsidTr="002433EC">
        <w:tc>
          <w:tcPr>
            <w:tcW w:w="1425"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Australia</w:t>
            </w:r>
          </w:p>
        </w:tc>
        <w:tc>
          <w:tcPr>
            <w:tcW w:w="3969"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Limits refundability to:</w:t>
            </w:r>
          </w:p>
          <w:p w:rsidR="001E7B7D" w:rsidRPr="000A0210" w:rsidRDefault="001E7B7D" w:rsidP="001E7B7D">
            <w:pPr>
              <w:pStyle w:val="ListParagraph"/>
              <w:numPr>
                <w:ilvl w:val="0"/>
                <w:numId w:val="16"/>
              </w:numPr>
              <w:spacing w:before="60"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 xml:space="preserve">firms with turnover less than A$20m &amp; </w:t>
            </w:r>
          </w:p>
          <w:p w:rsidR="001E7B7D" w:rsidRPr="000A0210" w:rsidRDefault="001E7B7D" w:rsidP="001E7B7D">
            <w:pPr>
              <w:pStyle w:val="ListParagraph"/>
              <w:numPr>
                <w:ilvl w:val="0"/>
                <w:numId w:val="16"/>
              </w:numPr>
              <w:spacing w:before="60"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subject to a A$4m annual cap.</w:t>
            </w:r>
          </w:p>
        </w:tc>
        <w:tc>
          <w:tcPr>
            <w:tcW w:w="3634" w:type="dxa"/>
          </w:tcPr>
          <w:p w:rsidR="001E7B7D" w:rsidRPr="000A0210" w:rsidRDefault="001E7B7D" w:rsidP="005E1676">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 xml:space="preserve">The cap is </w:t>
            </w:r>
            <w:r w:rsidR="005E1676">
              <w:rPr>
                <w:rFonts w:eastAsiaTheme="minorEastAsia" w:cs="Arial"/>
                <w:color w:val="000000" w:themeColor="text1"/>
                <w:kern w:val="24"/>
                <w:sz w:val="24"/>
                <w:szCs w:val="24"/>
              </w:rPr>
              <w:t>proposed but legislation not yet passed. It is designed to reduce the costs of the scheme</w:t>
            </w:r>
            <w:r w:rsidRPr="000A0210">
              <w:rPr>
                <w:rFonts w:eastAsiaTheme="minorEastAsia" w:cs="Arial"/>
                <w:color w:val="000000" w:themeColor="text1"/>
                <w:kern w:val="24"/>
                <w:sz w:val="24"/>
                <w:szCs w:val="24"/>
              </w:rPr>
              <w:t>. The cap equates to A$10m eligible expenditure.</w:t>
            </w:r>
          </w:p>
        </w:tc>
      </w:tr>
      <w:tr w:rsidR="001E7B7D" w:rsidRPr="000A0210" w:rsidTr="002433EC">
        <w:tc>
          <w:tcPr>
            <w:tcW w:w="1425"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UK – SMEs</w:t>
            </w:r>
          </w:p>
        </w:tc>
        <w:tc>
          <w:tcPr>
            <w:tcW w:w="3969" w:type="dxa"/>
          </w:tcPr>
          <w:p w:rsidR="001E7B7D" w:rsidRDefault="001E7B7D" w:rsidP="000A0210">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Firms in loss can cash out their tax credit at a discount to their value.</w:t>
            </w:r>
            <w:r w:rsidR="000A0210" w:rsidRPr="000A0210">
              <w:rPr>
                <w:rStyle w:val="FootnoteReference"/>
                <w:rFonts w:eastAsiaTheme="minorEastAsia" w:cs="Arial"/>
                <w:color w:val="000000" w:themeColor="text1"/>
                <w:kern w:val="24"/>
                <w:sz w:val="24"/>
                <w:szCs w:val="24"/>
                <w:vertAlign w:val="superscript"/>
              </w:rPr>
              <w:footnoteReference w:id="14"/>
            </w:r>
            <w:r w:rsidRPr="000A0210">
              <w:rPr>
                <w:rFonts w:eastAsiaTheme="minorEastAsia" w:cs="Arial"/>
                <w:color w:val="000000" w:themeColor="text1"/>
                <w:kern w:val="24"/>
                <w:sz w:val="24"/>
                <w:szCs w:val="24"/>
              </w:rPr>
              <w:t xml:space="preserve"> </w:t>
            </w:r>
          </w:p>
          <w:p w:rsidR="003A1059" w:rsidRPr="000A0210" w:rsidRDefault="003A1059" w:rsidP="000A0210">
            <w:pPr>
              <w:spacing w:after="120"/>
              <w:rPr>
                <w:rFonts w:eastAsiaTheme="minorEastAsia" w:cs="Arial"/>
                <w:color w:val="000000" w:themeColor="text1"/>
                <w:kern w:val="24"/>
                <w:sz w:val="24"/>
                <w:szCs w:val="24"/>
              </w:rPr>
            </w:pPr>
            <w:r>
              <w:rPr>
                <w:rFonts w:eastAsiaTheme="minorEastAsia" w:cs="Arial"/>
                <w:color w:val="000000" w:themeColor="text1"/>
                <w:kern w:val="24"/>
                <w:sz w:val="24"/>
                <w:szCs w:val="24"/>
              </w:rPr>
              <w:t>The UK government is currently consulting on introducing a cap relating to PAYE payments.</w:t>
            </w:r>
          </w:p>
        </w:tc>
        <w:tc>
          <w:tcPr>
            <w:tcW w:w="3634"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The SME scheme is more generous than the large firm scheme. SMEs must have:</w:t>
            </w:r>
          </w:p>
          <w:p w:rsidR="001E7B7D" w:rsidRPr="000A0210" w:rsidRDefault="001E7B7D" w:rsidP="001E7B7D">
            <w:pPr>
              <w:pStyle w:val="ListParagraph"/>
              <w:numPr>
                <w:ilvl w:val="0"/>
                <w:numId w:val="17"/>
              </w:numPr>
              <w:spacing w:before="60"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 xml:space="preserve">fewer than 500 employees and </w:t>
            </w:r>
          </w:p>
          <w:p w:rsidR="001E7B7D" w:rsidRPr="000A0210" w:rsidRDefault="001E7B7D" w:rsidP="001E7B7D">
            <w:pPr>
              <w:pStyle w:val="ListParagraph"/>
              <w:numPr>
                <w:ilvl w:val="0"/>
                <w:numId w:val="17"/>
              </w:numPr>
              <w:spacing w:before="60"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turnover less than EUR 100m.</w:t>
            </w:r>
          </w:p>
        </w:tc>
      </w:tr>
      <w:tr w:rsidR="001E7B7D" w:rsidRPr="000A0210" w:rsidTr="002433EC">
        <w:tc>
          <w:tcPr>
            <w:tcW w:w="1425"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UK – large firms</w:t>
            </w:r>
          </w:p>
        </w:tc>
        <w:tc>
          <w:tcPr>
            <w:tcW w:w="3969"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For non-SMEs, the tax credit is paid before tax, so loss making firms benefit equally with profitable firms, subject to not exceeding the amount of PAYE and National Insurance Contribution paid.</w:t>
            </w:r>
          </w:p>
        </w:tc>
        <w:tc>
          <w:tcPr>
            <w:tcW w:w="3634" w:type="dxa"/>
          </w:tcPr>
          <w:p w:rsidR="001E7B7D" w:rsidRPr="000A0210" w:rsidRDefault="001E7B7D" w:rsidP="002433EC">
            <w:pPr>
              <w:spacing w:after="120"/>
              <w:rPr>
                <w:rFonts w:eastAsiaTheme="minorEastAsia" w:cs="Arial"/>
                <w:color w:val="000000" w:themeColor="text1"/>
                <w:kern w:val="24"/>
                <w:sz w:val="24"/>
                <w:szCs w:val="24"/>
              </w:rPr>
            </w:pPr>
          </w:p>
        </w:tc>
      </w:tr>
      <w:tr w:rsidR="001E7B7D" w:rsidRPr="000A0210" w:rsidTr="002433EC">
        <w:tc>
          <w:tcPr>
            <w:tcW w:w="1425"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Norway</w:t>
            </w:r>
          </w:p>
        </w:tc>
        <w:tc>
          <w:tcPr>
            <w:tcW w:w="3969" w:type="dxa"/>
          </w:tcPr>
          <w:p w:rsidR="008C4274"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Full refundability for tax paying entities.</w:t>
            </w:r>
          </w:p>
          <w:p w:rsidR="001E7B7D" w:rsidRPr="008C4274" w:rsidRDefault="001E7B7D" w:rsidP="008C4274">
            <w:pPr>
              <w:ind w:firstLine="720"/>
              <w:rPr>
                <w:rFonts w:eastAsiaTheme="minorEastAsia" w:cs="Arial"/>
                <w:sz w:val="24"/>
                <w:szCs w:val="24"/>
              </w:rPr>
            </w:pPr>
          </w:p>
        </w:tc>
        <w:tc>
          <w:tcPr>
            <w:tcW w:w="3634"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 xml:space="preserve">The tax credit operates with a very low cap. The maximum credit is (approx.) NZ$2m, and in most cases is NZ$1m. </w:t>
            </w:r>
          </w:p>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The tax credit is not available to non-taxpayers.</w:t>
            </w:r>
          </w:p>
        </w:tc>
      </w:tr>
      <w:tr w:rsidR="001E7B7D" w:rsidRPr="000A0210" w:rsidTr="002433EC">
        <w:tc>
          <w:tcPr>
            <w:tcW w:w="1425"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Ireland</w:t>
            </w:r>
          </w:p>
        </w:tc>
        <w:tc>
          <w:tcPr>
            <w:tcW w:w="3969"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Full refundability, but paid in instalments over 3 years, and subject to limits relating to amounts of corporate income tax paid or amounts of payroll tax paid.</w:t>
            </w:r>
          </w:p>
        </w:tc>
        <w:tc>
          <w:tcPr>
            <w:tcW w:w="3634" w:type="dxa"/>
          </w:tcPr>
          <w:p w:rsidR="001E7B7D" w:rsidRPr="000A0210" w:rsidRDefault="001E7B7D" w:rsidP="002433EC">
            <w:pPr>
              <w:spacing w:after="120"/>
              <w:rPr>
                <w:rFonts w:eastAsiaTheme="minorEastAsia" w:cs="Arial"/>
                <w:color w:val="000000" w:themeColor="text1"/>
                <w:kern w:val="24"/>
                <w:sz w:val="24"/>
                <w:szCs w:val="24"/>
              </w:rPr>
            </w:pPr>
          </w:p>
        </w:tc>
      </w:tr>
      <w:tr w:rsidR="001E7B7D" w:rsidRPr="000A0210" w:rsidTr="002433EC">
        <w:tc>
          <w:tcPr>
            <w:tcW w:w="1425"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Netherlands</w:t>
            </w:r>
          </w:p>
        </w:tc>
        <w:tc>
          <w:tcPr>
            <w:tcW w:w="3969"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Full refundability but limited to a firm’s payroll tax liability.</w:t>
            </w:r>
          </w:p>
        </w:tc>
        <w:tc>
          <w:tcPr>
            <w:tcW w:w="3634" w:type="dxa"/>
          </w:tcPr>
          <w:p w:rsidR="001E7B7D" w:rsidRPr="000A0210" w:rsidRDefault="001E7B7D" w:rsidP="002433EC">
            <w:pPr>
              <w:spacing w:after="120"/>
              <w:rPr>
                <w:rFonts w:eastAsiaTheme="minorEastAsia" w:cs="Arial"/>
                <w:color w:val="000000" w:themeColor="text1"/>
                <w:kern w:val="24"/>
                <w:sz w:val="24"/>
                <w:szCs w:val="24"/>
              </w:rPr>
            </w:pPr>
          </w:p>
        </w:tc>
      </w:tr>
      <w:tr w:rsidR="001E7B7D" w:rsidRPr="000A0210" w:rsidTr="002433EC">
        <w:tc>
          <w:tcPr>
            <w:tcW w:w="1425"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Canada</w:t>
            </w:r>
          </w:p>
        </w:tc>
        <w:tc>
          <w:tcPr>
            <w:tcW w:w="3969"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The credit is fully refundable for Canadian Controlled Private Corporations up to an expenditure limit of CAD 3 million. Higher expenditure is only 40% refundable.</w:t>
            </w:r>
          </w:p>
        </w:tc>
        <w:tc>
          <w:tcPr>
            <w:tcW w:w="3634" w:type="dxa"/>
          </w:tcPr>
          <w:p w:rsidR="001E7B7D" w:rsidRPr="000A0210" w:rsidRDefault="001E7B7D" w:rsidP="002433EC">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 xml:space="preserve">The tax credit rate is 35% up to eligible expenditure of CAD 3 million, and 15% for higher amounts. </w:t>
            </w:r>
          </w:p>
        </w:tc>
      </w:tr>
    </w:tbl>
    <w:p w:rsidR="008C4274" w:rsidRDefault="001E7B7D" w:rsidP="001E7B7D">
      <w:pPr>
        <w:spacing w:after="120"/>
        <w:rPr>
          <w:rFonts w:eastAsiaTheme="minorEastAsia" w:cs="Arial"/>
          <w:color w:val="000000" w:themeColor="text1"/>
          <w:kern w:val="24"/>
          <w:sz w:val="24"/>
          <w:szCs w:val="24"/>
        </w:rPr>
        <w:sectPr w:rsidR="008C4274" w:rsidSect="004C45A4">
          <w:pgSz w:w="11907" w:h="16840" w:code="9"/>
          <w:pgMar w:top="1134" w:right="1418" w:bottom="1134" w:left="1418" w:header="567" w:footer="567" w:gutter="0"/>
          <w:cols w:space="720"/>
          <w:docGrid w:linePitch="360"/>
        </w:sectPr>
      </w:pPr>
      <w:r w:rsidRPr="000A0210">
        <w:rPr>
          <w:rFonts w:eastAsiaTheme="minorEastAsia" w:cs="Arial"/>
          <w:color w:val="000000" w:themeColor="text1"/>
          <w:kern w:val="24"/>
          <w:sz w:val="24"/>
          <w:szCs w:val="24"/>
        </w:rPr>
        <w:t xml:space="preserve"> </w:t>
      </w:r>
    </w:p>
    <w:p w:rsidR="001E7B7D" w:rsidRPr="000A0210" w:rsidRDefault="001E7B7D" w:rsidP="001E7B7D">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lastRenderedPageBreak/>
        <w:t>The table above demonstrates different mechanisms can be used for constraining refundability. Here are some brief comments on each of them:</w:t>
      </w:r>
    </w:p>
    <w:p w:rsidR="001E7B7D" w:rsidRPr="000A0210" w:rsidRDefault="001E7B7D" w:rsidP="001E7B7D">
      <w:pPr>
        <w:spacing w:after="120"/>
        <w:rPr>
          <w:rFonts w:eastAsiaTheme="minorEastAsia" w:cs="Arial"/>
          <w:color w:val="000000" w:themeColor="text1"/>
          <w:kern w:val="24"/>
          <w:sz w:val="24"/>
          <w:szCs w:val="24"/>
        </w:rPr>
      </w:pPr>
      <w:r w:rsidRPr="000A0210">
        <w:rPr>
          <w:rFonts w:eastAsiaTheme="minorEastAsia" w:cs="Arial"/>
          <w:i/>
          <w:color w:val="000000" w:themeColor="text1"/>
          <w:kern w:val="24"/>
          <w:sz w:val="24"/>
          <w:szCs w:val="24"/>
        </w:rPr>
        <w:t>Eligibility for refundability based on firm characteristic (generally a measure of size such as turnover)</w:t>
      </w:r>
    </w:p>
    <w:p w:rsidR="001E7B7D" w:rsidRPr="000A0210" w:rsidRDefault="001E7B7D" w:rsidP="001E7B7D">
      <w:pPr>
        <w:pStyle w:val="ListParagraph"/>
        <w:numPr>
          <w:ilvl w:val="0"/>
          <w:numId w:val="18"/>
        </w:numPr>
        <w:spacing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 xml:space="preserve">can target refundability to firms that, potentially, benefit most from it – </w:t>
      </w:r>
      <w:proofErr w:type="spellStart"/>
      <w:r w:rsidRPr="000A0210">
        <w:rPr>
          <w:rFonts w:eastAsiaTheme="minorEastAsia" w:cs="Arial"/>
          <w:color w:val="000000" w:themeColor="text1"/>
          <w:kern w:val="24"/>
          <w:sz w:val="24"/>
          <w:szCs w:val="24"/>
        </w:rPr>
        <w:t>ie</w:t>
      </w:r>
      <w:proofErr w:type="spellEnd"/>
      <w:r w:rsidRPr="000A0210">
        <w:rPr>
          <w:rFonts w:eastAsiaTheme="minorEastAsia" w:cs="Arial"/>
          <w:color w:val="000000" w:themeColor="text1"/>
          <w:kern w:val="24"/>
          <w:sz w:val="24"/>
          <w:szCs w:val="24"/>
        </w:rPr>
        <w:t>, smaller or early stage firms</w:t>
      </w:r>
    </w:p>
    <w:p w:rsidR="001E7B7D" w:rsidRPr="000A0210" w:rsidRDefault="001E7B7D" w:rsidP="001E7B7D">
      <w:pPr>
        <w:pStyle w:val="ListParagraph"/>
        <w:numPr>
          <w:ilvl w:val="0"/>
          <w:numId w:val="18"/>
        </w:numPr>
        <w:spacing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 xml:space="preserve">creates boundaries which might disincentivise desired behaviours – </w:t>
      </w:r>
      <w:proofErr w:type="spellStart"/>
      <w:r w:rsidRPr="000A0210">
        <w:rPr>
          <w:rFonts w:eastAsiaTheme="minorEastAsia" w:cs="Arial"/>
          <w:color w:val="000000" w:themeColor="text1"/>
          <w:kern w:val="24"/>
          <w:sz w:val="24"/>
          <w:szCs w:val="24"/>
        </w:rPr>
        <w:t>eg</w:t>
      </w:r>
      <w:proofErr w:type="spellEnd"/>
      <w:r w:rsidRPr="000A0210">
        <w:rPr>
          <w:rFonts w:eastAsiaTheme="minorEastAsia" w:cs="Arial"/>
          <w:color w:val="000000" w:themeColor="text1"/>
          <w:kern w:val="24"/>
          <w:sz w:val="24"/>
          <w:szCs w:val="24"/>
        </w:rPr>
        <w:t>, a firm may choose not to grow to keep turnover below the threshold</w:t>
      </w:r>
    </w:p>
    <w:p w:rsidR="001E7B7D" w:rsidRPr="000A0210" w:rsidRDefault="001E7B7D" w:rsidP="001E7B7D">
      <w:pPr>
        <w:pStyle w:val="ListParagraph"/>
        <w:numPr>
          <w:ilvl w:val="0"/>
          <w:numId w:val="18"/>
        </w:numPr>
        <w:spacing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relatively simple to understand but measurement would introduce complexity</w:t>
      </w:r>
    </w:p>
    <w:p w:rsidR="001E7B7D" w:rsidRPr="000A0210" w:rsidRDefault="001E7B7D" w:rsidP="001E7B7D">
      <w:pPr>
        <w:spacing w:after="120"/>
        <w:rPr>
          <w:rFonts w:eastAsiaTheme="minorEastAsia" w:cs="Arial"/>
          <w:i/>
          <w:color w:val="000000" w:themeColor="text1"/>
          <w:kern w:val="24"/>
          <w:sz w:val="24"/>
          <w:szCs w:val="24"/>
        </w:rPr>
      </w:pPr>
      <w:r w:rsidRPr="000A0210">
        <w:rPr>
          <w:rFonts w:eastAsiaTheme="minorEastAsia" w:cs="Arial"/>
          <w:i/>
          <w:color w:val="000000" w:themeColor="text1"/>
          <w:kern w:val="24"/>
          <w:sz w:val="24"/>
          <w:szCs w:val="24"/>
        </w:rPr>
        <w:t>Refundability applies up to a cap; credits above cap carried forward</w:t>
      </w:r>
    </w:p>
    <w:p w:rsidR="001E7B7D" w:rsidRPr="000A0210" w:rsidRDefault="001E7B7D" w:rsidP="001E7B7D">
      <w:pPr>
        <w:pStyle w:val="ListParagraph"/>
        <w:numPr>
          <w:ilvl w:val="0"/>
          <w:numId w:val="19"/>
        </w:numPr>
        <w:spacing w:after="120"/>
        <w:jc w:val="left"/>
        <w:rPr>
          <w:rFonts w:eastAsiaTheme="minorEastAsia" w:cs="Arial"/>
          <w:b/>
          <w:color w:val="000000" w:themeColor="text1"/>
          <w:kern w:val="24"/>
          <w:sz w:val="24"/>
          <w:szCs w:val="24"/>
        </w:rPr>
      </w:pPr>
      <w:r w:rsidRPr="000A0210">
        <w:rPr>
          <w:rFonts w:eastAsiaTheme="minorEastAsia" w:cs="Arial"/>
          <w:color w:val="000000" w:themeColor="text1"/>
          <w:kern w:val="24"/>
          <w:sz w:val="24"/>
          <w:szCs w:val="24"/>
        </w:rPr>
        <w:t>refundability addresses cash flow needs</w:t>
      </w:r>
    </w:p>
    <w:p w:rsidR="001E7B7D" w:rsidRPr="000A0210" w:rsidRDefault="001E7B7D" w:rsidP="001E7B7D">
      <w:pPr>
        <w:pStyle w:val="ListParagraph"/>
        <w:numPr>
          <w:ilvl w:val="0"/>
          <w:numId w:val="19"/>
        </w:numPr>
        <w:spacing w:after="120"/>
        <w:jc w:val="left"/>
        <w:rPr>
          <w:rFonts w:eastAsiaTheme="minorEastAsia" w:cs="Arial"/>
          <w:b/>
          <w:color w:val="000000" w:themeColor="text1"/>
          <w:kern w:val="24"/>
          <w:sz w:val="24"/>
          <w:szCs w:val="24"/>
        </w:rPr>
      </w:pPr>
      <w:r w:rsidRPr="000A0210">
        <w:rPr>
          <w:rFonts w:eastAsiaTheme="minorEastAsia" w:cs="Arial"/>
          <w:color w:val="000000" w:themeColor="text1"/>
          <w:kern w:val="24"/>
          <w:sz w:val="24"/>
          <w:szCs w:val="24"/>
        </w:rPr>
        <w:t>less of a boundary issue so less likely to impact on firm behaviours (though incentive to increase R&amp;D spend may diminish above cap)</w:t>
      </w:r>
    </w:p>
    <w:p w:rsidR="001E7B7D" w:rsidRPr="000A0210" w:rsidRDefault="001E7B7D" w:rsidP="001E7B7D">
      <w:pPr>
        <w:pStyle w:val="ListParagraph"/>
        <w:numPr>
          <w:ilvl w:val="0"/>
          <w:numId w:val="19"/>
        </w:numPr>
        <w:spacing w:after="120"/>
        <w:jc w:val="left"/>
        <w:rPr>
          <w:rFonts w:eastAsiaTheme="minorEastAsia" w:cs="Arial"/>
          <w:b/>
          <w:color w:val="000000" w:themeColor="text1"/>
          <w:kern w:val="24"/>
          <w:sz w:val="24"/>
          <w:szCs w:val="24"/>
        </w:rPr>
      </w:pPr>
      <w:r w:rsidRPr="000A0210">
        <w:rPr>
          <w:rFonts w:eastAsiaTheme="minorEastAsia" w:cs="Arial"/>
          <w:color w:val="000000" w:themeColor="text1"/>
          <w:kern w:val="24"/>
          <w:sz w:val="24"/>
          <w:szCs w:val="24"/>
        </w:rPr>
        <w:t>relatively easy to understand and apply</w:t>
      </w:r>
    </w:p>
    <w:p w:rsidR="001E7B7D" w:rsidRPr="000A0210" w:rsidRDefault="001E7B7D" w:rsidP="001E7B7D">
      <w:pPr>
        <w:spacing w:after="120"/>
        <w:rPr>
          <w:rFonts w:eastAsiaTheme="minorEastAsia" w:cs="Arial"/>
          <w:i/>
          <w:color w:val="000000" w:themeColor="text1"/>
          <w:kern w:val="24"/>
          <w:sz w:val="24"/>
          <w:szCs w:val="24"/>
        </w:rPr>
      </w:pPr>
      <w:r w:rsidRPr="000A0210">
        <w:rPr>
          <w:rFonts w:eastAsiaTheme="minorEastAsia" w:cs="Arial"/>
          <w:i/>
          <w:color w:val="000000" w:themeColor="text1"/>
          <w:kern w:val="24"/>
          <w:sz w:val="24"/>
          <w:szCs w:val="24"/>
        </w:rPr>
        <w:t>Limit refundability based on other taxes paid</w:t>
      </w:r>
    </w:p>
    <w:p w:rsidR="001E7B7D" w:rsidRPr="000A0210" w:rsidRDefault="000A0210" w:rsidP="001E7B7D">
      <w:pPr>
        <w:pStyle w:val="ListParagraph"/>
        <w:numPr>
          <w:ilvl w:val="0"/>
          <w:numId w:val="22"/>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i</w:t>
      </w:r>
      <w:r w:rsidR="001E7B7D" w:rsidRPr="000A0210">
        <w:rPr>
          <w:rFonts w:eastAsiaTheme="minorEastAsia" w:cs="Arial"/>
          <w:color w:val="000000" w:themeColor="text1"/>
          <w:kern w:val="24"/>
          <w:sz w:val="24"/>
          <w:szCs w:val="24"/>
        </w:rPr>
        <w:t>f based on PAYE paid, more like a backstop rather than a fiscal cap as for most businesses the amount of PAYE across the whole firm will exceed 15% of the cost of R&amp;D</w:t>
      </w:r>
    </w:p>
    <w:p w:rsidR="001E7B7D" w:rsidRPr="000A0210" w:rsidRDefault="000A0210" w:rsidP="001E7B7D">
      <w:pPr>
        <w:pStyle w:val="ListParagraph"/>
        <w:numPr>
          <w:ilvl w:val="0"/>
          <w:numId w:val="22"/>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u</w:t>
      </w:r>
      <w:r w:rsidR="001E7B7D" w:rsidRPr="000A0210">
        <w:rPr>
          <w:rFonts w:eastAsiaTheme="minorEastAsia" w:cs="Arial"/>
          <w:color w:val="000000" w:themeColor="text1"/>
          <w:kern w:val="24"/>
          <w:sz w:val="24"/>
          <w:szCs w:val="24"/>
        </w:rPr>
        <w:t>seful as a possible fraud deterrent as it should ensure a firm has a tangible economic presence, and may also prevent exploitation of a loophole if that involved claiming credits for high non-wage costs</w:t>
      </w:r>
    </w:p>
    <w:p w:rsidR="001E7B7D" w:rsidRPr="000A0210" w:rsidRDefault="000A0210" w:rsidP="001E7B7D">
      <w:pPr>
        <w:pStyle w:val="ListParagraph"/>
        <w:numPr>
          <w:ilvl w:val="0"/>
          <w:numId w:val="22"/>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o</w:t>
      </w:r>
      <w:r w:rsidR="001E7B7D" w:rsidRPr="000A0210">
        <w:rPr>
          <w:rFonts w:eastAsiaTheme="minorEastAsia" w:cs="Arial"/>
          <w:color w:val="000000" w:themeColor="text1"/>
          <w:kern w:val="24"/>
          <w:sz w:val="24"/>
          <w:szCs w:val="24"/>
        </w:rPr>
        <w:t>perates as some form of integrity and fiscal constraint measure, in that a firm cannot “take out” more than it is “putting in” to the tax system.</w:t>
      </w:r>
    </w:p>
    <w:p w:rsidR="001E7B7D" w:rsidRPr="000A0210" w:rsidRDefault="000A0210" w:rsidP="001E7B7D">
      <w:pPr>
        <w:pStyle w:val="ListParagraph"/>
        <w:numPr>
          <w:ilvl w:val="0"/>
          <w:numId w:val="22"/>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s</w:t>
      </w:r>
      <w:r w:rsidR="001E7B7D" w:rsidRPr="000A0210">
        <w:rPr>
          <w:rFonts w:eastAsiaTheme="minorEastAsia" w:cs="Arial"/>
          <w:color w:val="000000" w:themeColor="text1"/>
          <w:kern w:val="24"/>
          <w:sz w:val="24"/>
          <w:szCs w:val="24"/>
        </w:rPr>
        <w:t xml:space="preserve">ome firms may not pay PAYE – </w:t>
      </w:r>
      <w:proofErr w:type="spellStart"/>
      <w:r w:rsidR="001E7B7D" w:rsidRPr="000A0210">
        <w:rPr>
          <w:rFonts w:eastAsiaTheme="minorEastAsia" w:cs="Arial"/>
          <w:color w:val="000000" w:themeColor="text1"/>
          <w:kern w:val="24"/>
          <w:sz w:val="24"/>
          <w:szCs w:val="24"/>
        </w:rPr>
        <w:t>eg</w:t>
      </w:r>
      <w:proofErr w:type="spellEnd"/>
      <w:r w:rsidR="001E7B7D" w:rsidRPr="000A0210">
        <w:rPr>
          <w:rFonts w:eastAsiaTheme="minorEastAsia" w:cs="Arial"/>
          <w:color w:val="000000" w:themeColor="text1"/>
          <w:kern w:val="24"/>
          <w:sz w:val="24"/>
          <w:szCs w:val="24"/>
        </w:rPr>
        <w:t>, staff are not employees and are either shareholders who are paid a shareholder salary, contractors or provide sweat equity. This suggests either using a wider definition of taxes paid</w:t>
      </w:r>
      <w:r w:rsidR="001E7B7D" w:rsidRPr="000A0210">
        <w:rPr>
          <w:rStyle w:val="FootnoteReference"/>
          <w:rFonts w:eastAsiaTheme="minorEastAsia" w:cs="Arial"/>
          <w:color w:val="000000" w:themeColor="text1"/>
          <w:kern w:val="24"/>
          <w:sz w:val="24"/>
          <w:szCs w:val="24"/>
        </w:rPr>
        <w:footnoteReference w:id="15"/>
      </w:r>
      <w:r w:rsidR="001E7B7D" w:rsidRPr="000A0210">
        <w:rPr>
          <w:rFonts w:eastAsiaTheme="minorEastAsia" w:cs="Arial"/>
          <w:color w:val="000000" w:themeColor="text1"/>
          <w:kern w:val="24"/>
          <w:sz w:val="24"/>
          <w:szCs w:val="24"/>
        </w:rPr>
        <w:t xml:space="preserve"> or making a provision for firms to apply for an exemption</w:t>
      </w:r>
    </w:p>
    <w:p w:rsidR="001E7B7D" w:rsidRPr="000A0210" w:rsidRDefault="000A0210" w:rsidP="001E7B7D">
      <w:pPr>
        <w:pStyle w:val="ListParagraph"/>
        <w:numPr>
          <w:ilvl w:val="0"/>
          <w:numId w:val="22"/>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a</w:t>
      </w:r>
      <w:r w:rsidR="001E7B7D" w:rsidRPr="000A0210">
        <w:rPr>
          <w:rFonts w:eastAsiaTheme="minorEastAsia" w:cs="Arial"/>
          <w:color w:val="000000" w:themeColor="text1"/>
          <w:kern w:val="24"/>
          <w:sz w:val="24"/>
          <w:szCs w:val="24"/>
        </w:rPr>
        <w:t>dministratively easy to understand and apply (subject to exceptions for firms without employees)</w:t>
      </w:r>
    </w:p>
    <w:p w:rsidR="001E7B7D" w:rsidRPr="000A0210" w:rsidRDefault="001E7B7D" w:rsidP="001E7B7D">
      <w:pPr>
        <w:spacing w:after="120"/>
        <w:rPr>
          <w:rFonts w:eastAsiaTheme="minorEastAsia" w:cs="Arial"/>
          <w:i/>
          <w:color w:val="000000" w:themeColor="text1"/>
          <w:kern w:val="24"/>
          <w:sz w:val="24"/>
          <w:szCs w:val="24"/>
        </w:rPr>
      </w:pPr>
      <w:r w:rsidRPr="000A0210">
        <w:rPr>
          <w:rFonts w:eastAsiaTheme="minorEastAsia" w:cs="Arial"/>
          <w:i/>
          <w:color w:val="000000" w:themeColor="text1"/>
          <w:kern w:val="24"/>
          <w:sz w:val="24"/>
          <w:szCs w:val="24"/>
        </w:rPr>
        <w:t xml:space="preserve">Refund credits at a discount </w:t>
      </w:r>
    </w:p>
    <w:p w:rsidR="001E7B7D" w:rsidRPr="000A0210" w:rsidRDefault="000A0210" w:rsidP="001E7B7D">
      <w:pPr>
        <w:pStyle w:val="ListParagraph"/>
        <w:numPr>
          <w:ilvl w:val="0"/>
          <w:numId w:val="20"/>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s</w:t>
      </w:r>
      <w:r w:rsidR="001E7B7D" w:rsidRPr="000A0210">
        <w:rPr>
          <w:rFonts w:eastAsiaTheme="minorEastAsia" w:cs="Arial"/>
          <w:color w:val="000000" w:themeColor="text1"/>
          <w:kern w:val="24"/>
          <w:sz w:val="24"/>
          <w:szCs w:val="24"/>
        </w:rPr>
        <w:t>upports loss making firms while providing an incentive to become profitable</w:t>
      </w:r>
    </w:p>
    <w:p w:rsidR="001E7B7D" w:rsidRPr="000A0210" w:rsidRDefault="000A0210" w:rsidP="001E7B7D">
      <w:pPr>
        <w:pStyle w:val="ListParagraph"/>
        <w:numPr>
          <w:ilvl w:val="0"/>
          <w:numId w:val="20"/>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p</w:t>
      </w:r>
      <w:r w:rsidR="001E7B7D" w:rsidRPr="000A0210">
        <w:rPr>
          <w:rFonts w:eastAsiaTheme="minorEastAsia" w:cs="Arial"/>
          <w:color w:val="000000" w:themeColor="text1"/>
          <w:kern w:val="24"/>
          <w:sz w:val="24"/>
          <w:szCs w:val="24"/>
        </w:rPr>
        <w:t>rovides firms with a choice whether to refund the credit or carry it forward</w:t>
      </w:r>
    </w:p>
    <w:p w:rsidR="001E7B7D" w:rsidRPr="000A0210" w:rsidRDefault="000A0210" w:rsidP="001E7B7D">
      <w:pPr>
        <w:pStyle w:val="ListParagraph"/>
        <w:numPr>
          <w:ilvl w:val="0"/>
          <w:numId w:val="20"/>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p</w:t>
      </w:r>
      <w:r w:rsidR="001E7B7D" w:rsidRPr="000A0210">
        <w:rPr>
          <w:rFonts w:eastAsiaTheme="minorEastAsia" w:cs="Arial"/>
          <w:color w:val="000000" w:themeColor="text1"/>
          <w:kern w:val="24"/>
          <w:sz w:val="24"/>
          <w:szCs w:val="24"/>
        </w:rPr>
        <w:t>erhaps less easy to understand but relatively easy to apply</w:t>
      </w:r>
    </w:p>
    <w:p w:rsidR="001E7B7D" w:rsidRPr="000A0210" w:rsidRDefault="001E7B7D" w:rsidP="001E7B7D">
      <w:pPr>
        <w:spacing w:after="120"/>
        <w:rPr>
          <w:rFonts w:eastAsiaTheme="minorEastAsia" w:cs="Arial"/>
          <w:i/>
          <w:color w:val="000000" w:themeColor="text1"/>
          <w:kern w:val="24"/>
          <w:sz w:val="24"/>
          <w:szCs w:val="24"/>
        </w:rPr>
      </w:pPr>
      <w:r w:rsidRPr="000A0210">
        <w:rPr>
          <w:rFonts w:eastAsiaTheme="minorEastAsia" w:cs="Arial"/>
          <w:i/>
          <w:color w:val="000000" w:themeColor="text1"/>
          <w:kern w:val="24"/>
          <w:sz w:val="24"/>
          <w:szCs w:val="24"/>
        </w:rPr>
        <w:t>Spread refundability over several years</w:t>
      </w:r>
    </w:p>
    <w:p w:rsidR="001E7B7D" w:rsidRPr="000A0210" w:rsidRDefault="000A0210" w:rsidP="001E7B7D">
      <w:pPr>
        <w:pStyle w:val="ListParagraph"/>
        <w:numPr>
          <w:ilvl w:val="0"/>
          <w:numId w:val="21"/>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m</w:t>
      </w:r>
      <w:r w:rsidR="001E7B7D" w:rsidRPr="000A0210">
        <w:rPr>
          <w:rFonts w:eastAsiaTheme="minorEastAsia" w:cs="Arial"/>
          <w:color w:val="000000" w:themeColor="text1"/>
          <w:kern w:val="24"/>
          <w:sz w:val="24"/>
          <w:szCs w:val="24"/>
        </w:rPr>
        <w:t>ore complex to track a firm’s position</w:t>
      </w:r>
    </w:p>
    <w:p w:rsidR="001E7B7D" w:rsidRPr="000A0210" w:rsidRDefault="000A0210" w:rsidP="001E7B7D">
      <w:pPr>
        <w:pStyle w:val="ListParagraph"/>
        <w:numPr>
          <w:ilvl w:val="0"/>
          <w:numId w:val="21"/>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f</w:t>
      </w:r>
      <w:r w:rsidR="001E7B7D" w:rsidRPr="000A0210">
        <w:rPr>
          <w:rFonts w:eastAsiaTheme="minorEastAsia" w:cs="Arial"/>
          <w:color w:val="000000" w:themeColor="text1"/>
          <w:kern w:val="24"/>
          <w:sz w:val="24"/>
          <w:szCs w:val="24"/>
        </w:rPr>
        <w:t xml:space="preserve">or a firm in a long-term loss making position, will produce similar results to full year refundability after a few years </w:t>
      </w:r>
    </w:p>
    <w:p w:rsidR="001E7B7D" w:rsidRPr="000A0210" w:rsidRDefault="000A0210" w:rsidP="001E7B7D">
      <w:pPr>
        <w:pStyle w:val="ListParagraph"/>
        <w:numPr>
          <w:ilvl w:val="0"/>
          <w:numId w:val="21"/>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c</w:t>
      </w:r>
      <w:r w:rsidR="001E7B7D" w:rsidRPr="000A0210">
        <w:rPr>
          <w:rFonts w:eastAsiaTheme="minorEastAsia" w:cs="Arial"/>
          <w:color w:val="000000" w:themeColor="text1"/>
          <w:kern w:val="24"/>
          <w:sz w:val="24"/>
          <w:szCs w:val="24"/>
        </w:rPr>
        <w:t>reates a tail of Government liability</w:t>
      </w:r>
    </w:p>
    <w:p w:rsidR="001E7B7D" w:rsidRPr="000A0210" w:rsidRDefault="001E7B7D" w:rsidP="001E7B7D">
      <w:pPr>
        <w:spacing w:after="120"/>
        <w:rPr>
          <w:rFonts w:eastAsiaTheme="minorEastAsia" w:cs="Arial"/>
          <w:i/>
          <w:color w:val="000000" w:themeColor="text1"/>
          <w:kern w:val="24"/>
          <w:sz w:val="24"/>
          <w:szCs w:val="24"/>
        </w:rPr>
      </w:pPr>
      <w:r w:rsidRPr="000A0210">
        <w:rPr>
          <w:rFonts w:eastAsiaTheme="minorEastAsia" w:cs="Arial"/>
          <w:i/>
          <w:color w:val="000000" w:themeColor="text1"/>
          <w:kern w:val="24"/>
          <w:sz w:val="24"/>
          <w:szCs w:val="24"/>
        </w:rPr>
        <w:t>Target refundability based on R&amp;D intensity</w:t>
      </w:r>
    </w:p>
    <w:p w:rsidR="001E7B7D" w:rsidRPr="000A0210" w:rsidRDefault="001E7B7D" w:rsidP="001E7B7D">
      <w:pPr>
        <w:spacing w:after="120"/>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This mechanism is not used by any other country for targeting refundability (though in Australia R&amp;D intensity influences the credit rate for large enterprises) but is worth considering as it is the basis of the year one scheme.</w:t>
      </w:r>
    </w:p>
    <w:p w:rsidR="001E7B7D" w:rsidRPr="000A0210" w:rsidRDefault="000A0210" w:rsidP="001E7B7D">
      <w:pPr>
        <w:pStyle w:val="ListParagraph"/>
        <w:numPr>
          <w:ilvl w:val="0"/>
          <w:numId w:val="23"/>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c</w:t>
      </w:r>
      <w:r w:rsidR="001E7B7D" w:rsidRPr="000A0210">
        <w:rPr>
          <w:rFonts w:eastAsiaTheme="minorEastAsia" w:cs="Arial"/>
          <w:color w:val="000000" w:themeColor="text1"/>
          <w:kern w:val="24"/>
          <w:sz w:val="24"/>
          <w:szCs w:val="24"/>
        </w:rPr>
        <w:t>an target refundability to those most deserving of it</w:t>
      </w:r>
    </w:p>
    <w:p w:rsidR="001E7B7D" w:rsidRPr="000A0210" w:rsidRDefault="000A0210" w:rsidP="001E7B7D">
      <w:pPr>
        <w:pStyle w:val="ListParagraph"/>
        <w:numPr>
          <w:ilvl w:val="0"/>
          <w:numId w:val="23"/>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lastRenderedPageBreak/>
        <w:t>c</w:t>
      </w:r>
      <w:r w:rsidR="001E7B7D" w:rsidRPr="000A0210">
        <w:rPr>
          <w:rFonts w:eastAsiaTheme="minorEastAsia" w:cs="Arial"/>
          <w:color w:val="000000" w:themeColor="text1"/>
          <w:kern w:val="24"/>
          <w:sz w:val="24"/>
          <w:szCs w:val="24"/>
        </w:rPr>
        <w:t>reates a boundary that might give rise to perverse behaviours</w:t>
      </w:r>
    </w:p>
    <w:p w:rsidR="000A0210" w:rsidRDefault="000A0210" w:rsidP="000A0210">
      <w:pPr>
        <w:pStyle w:val="ListParagraph"/>
        <w:numPr>
          <w:ilvl w:val="0"/>
          <w:numId w:val="23"/>
        </w:numPr>
        <w:spacing w:after="120"/>
        <w:jc w:val="left"/>
        <w:rPr>
          <w:rFonts w:eastAsiaTheme="minorEastAsia" w:cs="Arial"/>
          <w:color w:val="000000" w:themeColor="text1"/>
          <w:kern w:val="24"/>
          <w:sz w:val="24"/>
          <w:szCs w:val="24"/>
        </w:rPr>
      </w:pPr>
      <w:r>
        <w:rPr>
          <w:rFonts w:eastAsiaTheme="minorEastAsia" w:cs="Arial"/>
          <w:color w:val="000000" w:themeColor="text1"/>
          <w:kern w:val="24"/>
          <w:sz w:val="24"/>
          <w:szCs w:val="24"/>
        </w:rPr>
        <w:t>d</w:t>
      </w:r>
      <w:r w:rsidR="001E7B7D" w:rsidRPr="000A0210">
        <w:rPr>
          <w:rFonts w:eastAsiaTheme="minorEastAsia" w:cs="Arial"/>
          <w:color w:val="000000" w:themeColor="text1"/>
          <w:kern w:val="24"/>
          <w:sz w:val="24"/>
          <w:szCs w:val="24"/>
        </w:rPr>
        <w:t>ifferent measures of R&amp;D intensity may favour different types of R&amp;D performing firms</w:t>
      </w:r>
    </w:p>
    <w:p w:rsidR="009C62AE" w:rsidRPr="009C62AE" w:rsidRDefault="000A0210" w:rsidP="009C62AE">
      <w:pPr>
        <w:pStyle w:val="ListParagraph"/>
        <w:numPr>
          <w:ilvl w:val="0"/>
          <w:numId w:val="23"/>
        </w:numPr>
        <w:spacing w:after="120"/>
        <w:jc w:val="left"/>
        <w:rPr>
          <w:rFonts w:eastAsiaTheme="minorEastAsia" w:cs="Arial"/>
          <w:color w:val="000000" w:themeColor="text1"/>
          <w:kern w:val="24"/>
          <w:sz w:val="24"/>
          <w:szCs w:val="24"/>
        </w:rPr>
      </w:pPr>
      <w:r w:rsidRPr="000A0210">
        <w:rPr>
          <w:rFonts w:eastAsiaTheme="minorEastAsia" w:cs="Arial"/>
          <w:color w:val="000000" w:themeColor="text1"/>
          <w:kern w:val="24"/>
          <w:sz w:val="24"/>
          <w:szCs w:val="24"/>
        </w:rPr>
        <w:t>t</w:t>
      </w:r>
      <w:r w:rsidR="001E7B7D" w:rsidRPr="000A0210">
        <w:rPr>
          <w:rFonts w:eastAsiaTheme="minorEastAsia" w:cs="Arial"/>
          <w:color w:val="000000" w:themeColor="text1"/>
          <w:kern w:val="24"/>
          <w:sz w:val="24"/>
          <w:szCs w:val="24"/>
        </w:rPr>
        <w:t>hough relatively easy to understand, adds complexity to compliance and administration</w:t>
      </w:r>
      <w:r>
        <w:rPr>
          <w:rFonts w:eastAsiaTheme="minorEastAsia" w:cs="Arial"/>
          <w:color w:val="000000" w:themeColor="text1"/>
          <w:kern w:val="24"/>
          <w:sz w:val="24"/>
          <w:szCs w:val="24"/>
        </w:rPr>
        <w:t>.</w:t>
      </w:r>
    </w:p>
    <w:p w:rsidR="009C62AE" w:rsidRDefault="009C62AE" w:rsidP="009C62AE">
      <w:pPr>
        <w:pageBreakBefore/>
        <w:spacing w:after="0" w:line="240" w:lineRule="auto"/>
        <w:rPr>
          <w:b/>
          <w:sz w:val="36"/>
          <w:szCs w:val="36"/>
        </w:rPr>
      </w:pPr>
      <w:r w:rsidRPr="000A0210">
        <w:rPr>
          <w:b/>
          <w:sz w:val="36"/>
          <w:szCs w:val="36"/>
        </w:rPr>
        <w:lastRenderedPageBreak/>
        <w:t xml:space="preserve">Appendix </w:t>
      </w:r>
      <w:r>
        <w:rPr>
          <w:b/>
          <w:sz w:val="36"/>
          <w:szCs w:val="36"/>
        </w:rPr>
        <w:t>2</w:t>
      </w:r>
    </w:p>
    <w:p w:rsidR="005546FD" w:rsidRDefault="005546FD" w:rsidP="005546FD">
      <w:pPr>
        <w:spacing w:before="120" w:after="120"/>
        <w:rPr>
          <w:sz w:val="24"/>
          <w:szCs w:val="28"/>
        </w:rPr>
      </w:pPr>
      <w:r>
        <w:rPr>
          <w:sz w:val="24"/>
          <w:szCs w:val="28"/>
        </w:rPr>
        <w:t xml:space="preserve">The examples below provide a practical illustration of how without refundability, firms do not receive a cash benefit from a tax credit if they are in loss or have insufficient income tax liability. </w:t>
      </w:r>
    </w:p>
    <w:p w:rsidR="005546FD" w:rsidRDefault="005546FD" w:rsidP="005546FD">
      <w:pPr>
        <w:spacing w:before="120" w:after="120"/>
        <w:rPr>
          <w:sz w:val="24"/>
          <w:szCs w:val="28"/>
        </w:rPr>
      </w:pPr>
      <w:r>
        <w:rPr>
          <w:sz w:val="24"/>
          <w:szCs w:val="28"/>
        </w:rPr>
        <w:t>This table provides a simple example of how a profitable firm uses a tax credit to reduce the amount of tax it has to pay in a year:</w:t>
      </w:r>
    </w:p>
    <w:tbl>
      <w:tblPr>
        <w:tblStyle w:val="LightList-Accent1"/>
        <w:tblW w:w="4642" w:type="pct"/>
        <w:tblInd w:w="132" w:type="dxa"/>
        <w:tblLook w:val="04A0" w:firstRow="1" w:lastRow="0" w:firstColumn="1" w:lastColumn="0" w:noHBand="0" w:noVBand="1"/>
      </w:tblPr>
      <w:tblGrid>
        <w:gridCol w:w="6836"/>
        <w:gridCol w:w="769"/>
        <w:gridCol w:w="1017"/>
      </w:tblGrid>
      <w:tr w:rsidR="005546FD" w:rsidTr="00173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546FD" w:rsidRDefault="005546FD" w:rsidP="00173F3A">
            <w:pPr>
              <w:spacing w:before="120" w:after="120"/>
              <w:jc w:val="center"/>
              <w:rPr>
                <w:sz w:val="24"/>
                <w:szCs w:val="28"/>
              </w:rPr>
            </w:pPr>
            <w:r>
              <w:rPr>
                <w:sz w:val="24"/>
                <w:szCs w:val="28"/>
              </w:rPr>
              <w:t>Profitable firm (refundability makes no difference)</w:t>
            </w: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pct"/>
          </w:tcPr>
          <w:p w:rsidR="005546FD" w:rsidRDefault="005546FD" w:rsidP="00173F3A">
            <w:pPr>
              <w:spacing w:before="120" w:after="120"/>
              <w:rPr>
                <w:sz w:val="24"/>
                <w:szCs w:val="28"/>
              </w:rPr>
            </w:pPr>
            <w:r>
              <w:rPr>
                <w:sz w:val="24"/>
                <w:szCs w:val="28"/>
              </w:rPr>
              <w:t>Income</w:t>
            </w:r>
          </w:p>
        </w:tc>
        <w:tc>
          <w:tcPr>
            <w:tcW w:w="446"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400</w:t>
            </w:r>
          </w:p>
        </w:tc>
        <w:tc>
          <w:tcPr>
            <w:tcW w:w="590"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964" w:type="pct"/>
          </w:tcPr>
          <w:p w:rsidR="005546FD" w:rsidRDefault="005546FD" w:rsidP="00173F3A">
            <w:pPr>
              <w:spacing w:before="120" w:after="120"/>
              <w:rPr>
                <w:sz w:val="24"/>
                <w:szCs w:val="28"/>
              </w:rPr>
            </w:pPr>
            <w:r>
              <w:rPr>
                <w:sz w:val="24"/>
                <w:szCs w:val="28"/>
              </w:rPr>
              <w:t>Expenses (includes 100 of eligible R&amp;D)</w:t>
            </w:r>
          </w:p>
        </w:tc>
        <w:tc>
          <w:tcPr>
            <w:tcW w:w="446"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300</w:t>
            </w:r>
          </w:p>
        </w:tc>
        <w:tc>
          <w:tcPr>
            <w:tcW w:w="590"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pct"/>
          </w:tcPr>
          <w:p w:rsidR="005546FD" w:rsidRDefault="005546FD" w:rsidP="00173F3A">
            <w:pPr>
              <w:spacing w:before="120" w:after="120"/>
              <w:rPr>
                <w:sz w:val="24"/>
                <w:szCs w:val="28"/>
              </w:rPr>
            </w:pPr>
            <w:r>
              <w:rPr>
                <w:sz w:val="24"/>
                <w:szCs w:val="28"/>
              </w:rPr>
              <w:t>Net profit/(loss)</w:t>
            </w:r>
          </w:p>
        </w:tc>
        <w:tc>
          <w:tcPr>
            <w:tcW w:w="446"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100</w:t>
            </w:r>
          </w:p>
        </w:tc>
        <w:tc>
          <w:tcPr>
            <w:tcW w:w="590"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964" w:type="pct"/>
          </w:tcPr>
          <w:p w:rsidR="005546FD" w:rsidRDefault="005546FD" w:rsidP="00173F3A">
            <w:pPr>
              <w:spacing w:before="120" w:after="120"/>
              <w:rPr>
                <w:sz w:val="24"/>
                <w:szCs w:val="28"/>
              </w:rPr>
            </w:pPr>
            <w:r>
              <w:rPr>
                <w:sz w:val="24"/>
                <w:szCs w:val="28"/>
              </w:rPr>
              <w:t>Income tax liability (28% x Net profit)</w:t>
            </w:r>
          </w:p>
        </w:tc>
        <w:tc>
          <w:tcPr>
            <w:tcW w:w="446"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28</w:t>
            </w:r>
          </w:p>
        </w:tc>
        <w:tc>
          <w:tcPr>
            <w:tcW w:w="590"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pct"/>
          </w:tcPr>
          <w:p w:rsidR="005546FD" w:rsidRDefault="005546FD" w:rsidP="00173F3A">
            <w:pPr>
              <w:spacing w:before="120" w:after="120"/>
              <w:rPr>
                <w:sz w:val="24"/>
                <w:szCs w:val="28"/>
              </w:rPr>
            </w:pPr>
            <w:r>
              <w:rPr>
                <w:sz w:val="24"/>
                <w:szCs w:val="28"/>
              </w:rPr>
              <w:t>R&amp;D tax credit (15% x eligible R&amp;D)</w:t>
            </w:r>
          </w:p>
        </w:tc>
        <w:tc>
          <w:tcPr>
            <w:tcW w:w="446"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15</w:t>
            </w:r>
          </w:p>
        </w:tc>
        <w:tc>
          <w:tcPr>
            <w:tcW w:w="590"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964" w:type="pct"/>
          </w:tcPr>
          <w:p w:rsidR="005546FD" w:rsidRDefault="005546FD" w:rsidP="00173F3A">
            <w:pPr>
              <w:spacing w:before="120" w:after="120"/>
              <w:rPr>
                <w:sz w:val="24"/>
                <w:szCs w:val="28"/>
              </w:rPr>
            </w:pPr>
            <w:r>
              <w:rPr>
                <w:sz w:val="24"/>
                <w:szCs w:val="28"/>
              </w:rPr>
              <w:t>Net tax to pay</w:t>
            </w:r>
          </w:p>
        </w:tc>
        <w:tc>
          <w:tcPr>
            <w:tcW w:w="446"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13</w:t>
            </w:r>
          </w:p>
        </w:tc>
        <w:tc>
          <w:tcPr>
            <w:tcW w:w="590"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bl>
    <w:p w:rsidR="005546FD" w:rsidRDefault="005546FD" w:rsidP="005546FD">
      <w:pPr>
        <w:spacing w:before="120" w:after="120"/>
        <w:rPr>
          <w:sz w:val="24"/>
          <w:szCs w:val="28"/>
        </w:rPr>
      </w:pPr>
    </w:p>
    <w:p w:rsidR="005546FD" w:rsidRDefault="005546FD" w:rsidP="005546FD">
      <w:pPr>
        <w:spacing w:before="120" w:after="120"/>
        <w:rPr>
          <w:sz w:val="24"/>
          <w:szCs w:val="28"/>
        </w:rPr>
      </w:pPr>
      <w:r>
        <w:rPr>
          <w:sz w:val="24"/>
          <w:szCs w:val="28"/>
        </w:rPr>
        <w:t>This table shows how a loss-making firm does not receive an immediate benefit from a tax credit without refundability:</w:t>
      </w:r>
    </w:p>
    <w:tbl>
      <w:tblPr>
        <w:tblStyle w:val="LightList-Accent1"/>
        <w:tblW w:w="4855" w:type="pct"/>
        <w:tblInd w:w="132" w:type="dxa"/>
        <w:tblLook w:val="04A0" w:firstRow="1" w:lastRow="0" w:firstColumn="1" w:lastColumn="0" w:noHBand="0" w:noVBand="1"/>
      </w:tblPr>
      <w:tblGrid>
        <w:gridCol w:w="6838"/>
        <w:gridCol w:w="1163"/>
        <w:gridCol w:w="1017"/>
      </w:tblGrid>
      <w:tr w:rsidR="005546FD" w:rsidRPr="00685539" w:rsidTr="00173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546FD" w:rsidRDefault="005546FD" w:rsidP="00173F3A">
            <w:pPr>
              <w:spacing w:before="120" w:after="120"/>
              <w:jc w:val="center"/>
              <w:rPr>
                <w:sz w:val="24"/>
                <w:szCs w:val="28"/>
              </w:rPr>
            </w:pPr>
            <w:r>
              <w:rPr>
                <w:sz w:val="24"/>
                <w:szCs w:val="28"/>
              </w:rPr>
              <w:t>Loss-making firm (without refundability)</w:t>
            </w: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Income</w:t>
            </w:r>
          </w:p>
        </w:tc>
        <w:tc>
          <w:tcPr>
            <w:tcW w:w="645"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300</w:t>
            </w:r>
          </w:p>
        </w:tc>
        <w:tc>
          <w:tcPr>
            <w:tcW w:w="564"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Expenses (includes 100 of eligible R&amp;D)</w:t>
            </w:r>
          </w:p>
        </w:tc>
        <w:tc>
          <w:tcPr>
            <w:tcW w:w="645"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400</w:t>
            </w:r>
          </w:p>
        </w:tc>
        <w:tc>
          <w:tcPr>
            <w:tcW w:w="564"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Net profit/(loss)</w:t>
            </w:r>
          </w:p>
        </w:tc>
        <w:tc>
          <w:tcPr>
            <w:tcW w:w="645"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(100)</w:t>
            </w:r>
          </w:p>
        </w:tc>
        <w:tc>
          <w:tcPr>
            <w:tcW w:w="564"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Income tax liability (28% x Net profit)</w:t>
            </w:r>
          </w:p>
        </w:tc>
        <w:tc>
          <w:tcPr>
            <w:tcW w:w="645"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0</w:t>
            </w:r>
          </w:p>
        </w:tc>
        <w:tc>
          <w:tcPr>
            <w:tcW w:w="564"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R&amp;D tax credit (15% x eligible R&amp;D)</w:t>
            </w:r>
          </w:p>
        </w:tc>
        <w:tc>
          <w:tcPr>
            <w:tcW w:w="645"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15</w:t>
            </w:r>
          </w:p>
        </w:tc>
        <w:tc>
          <w:tcPr>
            <w:tcW w:w="564"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Unused R&amp;D tax credits to carry forward to future years</w:t>
            </w:r>
          </w:p>
        </w:tc>
        <w:tc>
          <w:tcPr>
            <w:tcW w:w="645"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15</w:t>
            </w:r>
          </w:p>
        </w:tc>
        <w:tc>
          <w:tcPr>
            <w:tcW w:w="564"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bl>
    <w:p w:rsidR="005546FD" w:rsidRDefault="005546FD" w:rsidP="005546FD">
      <w:pPr>
        <w:spacing w:before="120" w:after="120"/>
        <w:rPr>
          <w:sz w:val="24"/>
          <w:szCs w:val="28"/>
        </w:rPr>
      </w:pPr>
    </w:p>
    <w:p w:rsidR="005546FD" w:rsidRDefault="005546FD" w:rsidP="005546FD">
      <w:pPr>
        <w:spacing w:before="120" w:after="120"/>
        <w:rPr>
          <w:sz w:val="24"/>
          <w:szCs w:val="28"/>
        </w:rPr>
      </w:pPr>
      <w:r>
        <w:rPr>
          <w:sz w:val="24"/>
          <w:szCs w:val="28"/>
        </w:rPr>
        <w:t>This table provides a simple example of a profitable firm that has insufficient income tax liability to receive the full benefit of a tax credit without refundability:</w:t>
      </w:r>
    </w:p>
    <w:tbl>
      <w:tblPr>
        <w:tblStyle w:val="LightList-Accent1"/>
        <w:tblW w:w="4855" w:type="pct"/>
        <w:tblInd w:w="132" w:type="dxa"/>
        <w:tblLook w:val="04A0" w:firstRow="1" w:lastRow="0" w:firstColumn="1" w:lastColumn="0" w:noHBand="0" w:noVBand="1"/>
      </w:tblPr>
      <w:tblGrid>
        <w:gridCol w:w="6838"/>
        <w:gridCol w:w="1163"/>
        <w:gridCol w:w="1017"/>
      </w:tblGrid>
      <w:tr w:rsidR="005546FD" w:rsidRPr="00685539" w:rsidTr="00173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546FD" w:rsidRDefault="005546FD" w:rsidP="00173F3A">
            <w:pPr>
              <w:spacing w:before="120" w:after="120"/>
              <w:jc w:val="center"/>
              <w:rPr>
                <w:sz w:val="24"/>
                <w:szCs w:val="28"/>
              </w:rPr>
            </w:pPr>
            <w:r>
              <w:rPr>
                <w:sz w:val="24"/>
                <w:szCs w:val="28"/>
              </w:rPr>
              <w:t>Profitable firm with insufficient income tax liability (without refundability)</w:t>
            </w: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Income</w:t>
            </w:r>
          </w:p>
        </w:tc>
        <w:tc>
          <w:tcPr>
            <w:tcW w:w="645"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310</w:t>
            </w:r>
          </w:p>
        </w:tc>
        <w:tc>
          <w:tcPr>
            <w:tcW w:w="564"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Expenses (includes 100 of eligible R&amp;D)</w:t>
            </w:r>
          </w:p>
        </w:tc>
        <w:tc>
          <w:tcPr>
            <w:tcW w:w="645"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300</w:t>
            </w:r>
          </w:p>
        </w:tc>
        <w:tc>
          <w:tcPr>
            <w:tcW w:w="564"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Net profit/(loss)</w:t>
            </w:r>
          </w:p>
        </w:tc>
        <w:tc>
          <w:tcPr>
            <w:tcW w:w="645"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10</w:t>
            </w:r>
          </w:p>
        </w:tc>
        <w:tc>
          <w:tcPr>
            <w:tcW w:w="564"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lastRenderedPageBreak/>
              <w:t>Income tax liability (28% x Net profit)</w:t>
            </w:r>
          </w:p>
        </w:tc>
        <w:tc>
          <w:tcPr>
            <w:tcW w:w="645"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2.8</w:t>
            </w:r>
          </w:p>
        </w:tc>
        <w:tc>
          <w:tcPr>
            <w:tcW w:w="564"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R&amp;D tax credit (15% x eligible R&amp;D)</w:t>
            </w:r>
          </w:p>
        </w:tc>
        <w:tc>
          <w:tcPr>
            <w:tcW w:w="645"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15</w:t>
            </w:r>
          </w:p>
        </w:tc>
        <w:tc>
          <w:tcPr>
            <w:tcW w:w="564"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91" w:type="pct"/>
          </w:tcPr>
          <w:p w:rsidR="005546FD" w:rsidRDefault="005546FD" w:rsidP="00173F3A">
            <w:pPr>
              <w:spacing w:before="120" w:after="120"/>
              <w:rPr>
                <w:sz w:val="24"/>
                <w:szCs w:val="28"/>
              </w:rPr>
            </w:pPr>
            <w:r>
              <w:rPr>
                <w:sz w:val="24"/>
                <w:szCs w:val="28"/>
              </w:rPr>
              <w:t>Unused R&amp;D tax credits to carry forward to future years</w:t>
            </w:r>
          </w:p>
        </w:tc>
        <w:tc>
          <w:tcPr>
            <w:tcW w:w="645"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12.2</w:t>
            </w:r>
          </w:p>
        </w:tc>
        <w:tc>
          <w:tcPr>
            <w:tcW w:w="564"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bl>
    <w:p w:rsidR="005546FD" w:rsidRDefault="005546FD" w:rsidP="005546FD">
      <w:pPr>
        <w:spacing w:before="120" w:after="120"/>
        <w:rPr>
          <w:sz w:val="24"/>
          <w:szCs w:val="28"/>
        </w:rPr>
      </w:pPr>
    </w:p>
    <w:p w:rsidR="005546FD" w:rsidRDefault="005546FD" w:rsidP="005546FD">
      <w:pPr>
        <w:spacing w:before="120" w:after="120"/>
        <w:rPr>
          <w:sz w:val="24"/>
          <w:szCs w:val="28"/>
        </w:rPr>
      </w:pPr>
      <w:r>
        <w:rPr>
          <w:sz w:val="24"/>
          <w:szCs w:val="28"/>
        </w:rPr>
        <w:t>This table shows how a loss-making firm receives an immediate benefit from a refundable tax credit:</w:t>
      </w:r>
    </w:p>
    <w:tbl>
      <w:tblPr>
        <w:tblStyle w:val="LightList-Accent1"/>
        <w:tblW w:w="4927" w:type="pct"/>
        <w:tblInd w:w="132" w:type="dxa"/>
        <w:tblLook w:val="04A0" w:firstRow="1" w:lastRow="0" w:firstColumn="1" w:lastColumn="0" w:noHBand="0" w:noVBand="1"/>
      </w:tblPr>
      <w:tblGrid>
        <w:gridCol w:w="6836"/>
        <w:gridCol w:w="1164"/>
        <w:gridCol w:w="1151"/>
      </w:tblGrid>
      <w:tr w:rsidR="005546FD" w:rsidRPr="00685539" w:rsidTr="00173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5546FD" w:rsidRDefault="005546FD" w:rsidP="00173F3A">
            <w:pPr>
              <w:spacing w:before="120" w:after="120"/>
              <w:jc w:val="center"/>
              <w:rPr>
                <w:sz w:val="24"/>
                <w:szCs w:val="28"/>
              </w:rPr>
            </w:pPr>
            <w:r>
              <w:rPr>
                <w:sz w:val="24"/>
                <w:szCs w:val="28"/>
              </w:rPr>
              <w:t>Loss-making firm (with refundability)</w:t>
            </w: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5" w:type="pct"/>
          </w:tcPr>
          <w:p w:rsidR="005546FD" w:rsidRDefault="005546FD" w:rsidP="00173F3A">
            <w:pPr>
              <w:spacing w:before="120" w:after="120"/>
              <w:rPr>
                <w:sz w:val="24"/>
                <w:szCs w:val="28"/>
              </w:rPr>
            </w:pPr>
            <w:r>
              <w:rPr>
                <w:sz w:val="24"/>
                <w:szCs w:val="28"/>
              </w:rPr>
              <w:t>Income</w:t>
            </w:r>
          </w:p>
        </w:tc>
        <w:tc>
          <w:tcPr>
            <w:tcW w:w="636"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300</w:t>
            </w:r>
          </w:p>
        </w:tc>
        <w:tc>
          <w:tcPr>
            <w:tcW w:w="629"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35" w:type="pct"/>
          </w:tcPr>
          <w:p w:rsidR="005546FD" w:rsidRDefault="005546FD" w:rsidP="00173F3A">
            <w:pPr>
              <w:spacing w:before="120" w:after="120"/>
              <w:rPr>
                <w:sz w:val="24"/>
                <w:szCs w:val="28"/>
              </w:rPr>
            </w:pPr>
            <w:r>
              <w:rPr>
                <w:sz w:val="24"/>
                <w:szCs w:val="28"/>
              </w:rPr>
              <w:t>Expenses (includes 100 of eligible R&amp;D)</w:t>
            </w:r>
          </w:p>
        </w:tc>
        <w:tc>
          <w:tcPr>
            <w:tcW w:w="636"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400</w:t>
            </w:r>
          </w:p>
        </w:tc>
        <w:tc>
          <w:tcPr>
            <w:tcW w:w="629"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5" w:type="pct"/>
          </w:tcPr>
          <w:p w:rsidR="005546FD" w:rsidRDefault="005546FD" w:rsidP="00173F3A">
            <w:pPr>
              <w:spacing w:before="120" w:after="120"/>
              <w:rPr>
                <w:sz w:val="24"/>
                <w:szCs w:val="28"/>
              </w:rPr>
            </w:pPr>
            <w:r>
              <w:rPr>
                <w:sz w:val="24"/>
                <w:szCs w:val="28"/>
              </w:rPr>
              <w:t>Net profit/(loss)</w:t>
            </w:r>
          </w:p>
        </w:tc>
        <w:tc>
          <w:tcPr>
            <w:tcW w:w="636"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(100)</w:t>
            </w:r>
          </w:p>
        </w:tc>
        <w:tc>
          <w:tcPr>
            <w:tcW w:w="629"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35" w:type="pct"/>
          </w:tcPr>
          <w:p w:rsidR="005546FD" w:rsidRDefault="005546FD" w:rsidP="00173F3A">
            <w:pPr>
              <w:spacing w:before="120" w:after="120"/>
              <w:rPr>
                <w:sz w:val="24"/>
                <w:szCs w:val="28"/>
              </w:rPr>
            </w:pPr>
            <w:r>
              <w:rPr>
                <w:sz w:val="24"/>
                <w:szCs w:val="28"/>
              </w:rPr>
              <w:t>Income tax liability (28% x Net profit)</w:t>
            </w:r>
          </w:p>
        </w:tc>
        <w:tc>
          <w:tcPr>
            <w:tcW w:w="636"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0</w:t>
            </w:r>
          </w:p>
        </w:tc>
        <w:tc>
          <w:tcPr>
            <w:tcW w:w="629"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r w:rsidR="005546FD" w:rsidTr="00173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5" w:type="pct"/>
          </w:tcPr>
          <w:p w:rsidR="005546FD" w:rsidRDefault="005546FD" w:rsidP="00173F3A">
            <w:pPr>
              <w:spacing w:before="120" w:after="120"/>
              <w:rPr>
                <w:sz w:val="24"/>
                <w:szCs w:val="28"/>
              </w:rPr>
            </w:pPr>
            <w:r>
              <w:rPr>
                <w:sz w:val="24"/>
                <w:szCs w:val="28"/>
              </w:rPr>
              <w:t>R&amp;D tax credit (15% x eligible R&amp;D)</w:t>
            </w:r>
          </w:p>
        </w:tc>
        <w:tc>
          <w:tcPr>
            <w:tcW w:w="636" w:type="pct"/>
          </w:tcPr>
          <w:p w:rsidR="005546FD" w:rsidRDefault="005546FD" w:rsidP="00173F3A">
            <w:pPr>
              <w:spacing w:before="120" w:after="120"/>
              <w:jc w:val="right"/>
              <w:cnfStyle w:val="000000100000" w:firstRow="0" w:lastRow="0" w:firstColumn="0" w:lastColumn="0" w:oddVBand="0" w:evenVBand="0" w:oddHBand="1" w:evenHBand="0" w:firstRowFirstColumn="0" w:firstRowLastColumn="0" w:lastRowFirstColumn="0" w:lastRowLastColumn="0"/>
              <w:rPr>
                <w:sz w:val="24"/>
                <w:szCs w:val="28"/>
              </w:rPr>
            </w:pPr>
            <w:r>
              <w:rPr>
                <w:sz w:val="24"/>
                <w:szCs w:val="28"/>
              </w:rPr>
              <w:t>15</w:t>
            </w:r>
          </w:p>
        </w:tc>
        <w:tc>
          <w:tcPr>
            <w:tcW w:w="629" w:type="pct"/>
          </w:tcPr>
          <w:p w:rsidR="005546FD" w:rsidRDefault="005546FD" w:rsidP="00173F3A">
            <w:pPr>
              <w:spacing w:before="120" w:after="120"/>
              <w:cnfStyle w:val="000000100000" w:firstRow="0" w:lastRow="0" w:firstColumn="0" w:lastColumn="0" w:oddVBand="0" w:evenVBand="0" w:oddHBand="1" w:evenHBand="0" w:firstRowFirstColumn="0" w:firstRowLastColumn="0" w:lastRowFirstColumn="0" w:lastRowLastColumn="0"/>
              <w:rPr>
                <w:sz w:val="24"/>
                <w:szCs w:val="28"/>
              </w:rPr>
            </w:pPr>
          </w:p>
        </w:tc>
      </w:tr>
      <w:tr w:rsidR="005546FD" w:rsidTr="00173F3A">
        <w:tc>
          <w:tcPr>
            <w:cnfStyle w:val="001000000000" w:firstRow="0" w:lastRow="0" w:firstColumn="1" w:lastColumn="0" w:oddVBand="0" w:evenVBand="0" w:oddHBand="0" w:evenHBand="0" w:firstRowFirstColumn="0" w:firstRowLastColumn="0" w:lastRowFirstColumn="0" w:lastRowLastColumn="0"/>
            <w:tcW w:w="3735" w:type="pct"/>
          </w:tcPr>
          <w:p w:rsidR="005546FD" w:rsidRDefault="005546FD" w:rsidP="00173F3A">
            <w:pPr>
              <w:spacing w:before="120" w:after="120"/>
              <w:rPr>
                <w:sz w:val="24"/>
                <w:szCs w:val="28"/>
              </w:rPr>
            </w:pPr>
            <w:r>
              <w:rPr>
                <w:sz w:val="24"/>
                <w:szCs w:val="28"/>
              </w:rPr>
              <w:t>R&amp;D tax credits refunded in cash</w:t>
            </w:r>
          </w:p>
        </w:tc>
        <w:tc>
          <w:tcPr>
            <w:tcW w:w="636" w:type="pct"/>
          </w:tcPr>
          <w:p w:rsidR="005546FD" w:rsidRDefault="005546FD" w:rsidP="00173F3A">
            <w:pPr>
              <w:spacing w:before="120" w:after="120"/>
              <w:jc w:val="right"/>
              <w:cnfStyle w:val="000000000000" w:firstRow="0" w:lastRow="0" w:firstColumn="0" w:lastColumn="0" w:oddVBand="0" w:evenVBand="0" w:oddHBand="0" w:evenHBand="0" w:firstRowFirstColumn="0" w:firstRowLastColumn="0" w:lastRowFirstColumn="0" w:lastRowLastColumn="0"/>
              <w:rPr>
                <w:sz w:val="24"/>
                <w:szCs w:val="28"/>
              </w:rPr>
            </w:pPr>
            <w:r>
              <w:rPr>
                <w:sz w:val="24"/>
                <w:szCs w:val="28"/>
              </w:rPr>
              <w:t>15</w:t>
            </w:r>
          </w:p>
        </w:tc>
        <w:tc>
          <w:tcPr>
            <w:tcW w:w="629" w:type="pct"/>
          </w:tcPr>
          <w:p w:rsidR="005546FD" w:rsidRDefault="005546FD" w:rsidP="00173F3A">
            <w:pPr>
              <w:spacing w:before="120" w:after="120"/>
              <w:cnfStyle w:val="000000000000" w:firstRow="0" w:lastRow="0" w:firstColumn="0" w:lastColumn="0" w:oddVBand="0" w:evenVBand="0" w:oddHBand="0" w:evenHBand="0" w:firstRowFirstColumn="0" w:firstRowLastColumn="0" w:lastRowFirstColumn="0" w:lastRowLastColumn="0"/>
              <w:rPr>
                <w:sz w:val="24"/>
                <w:szCs w:val="28"/>
              </w:rPr>
            </w:pPr>
          </w:p>
        </w:tc>
      </w:tr>
    </w:tbl>
    <w:p w:rsidR="001E7B7D" w:rsidRPr="00EE07FE" w:rsidRDefault="001E7B7D" w:rsidP="00EE07FE">
      <w:pPr>
        <w:spacing w:after="0" w:line="240" w:lineRule="auto"/>
        <w:rPr>
          <w:rFonts w:ascii="Times New Roman" w:hAnsi="Times New Roman"/>
          <w:spacing w:val="20"/>
          <w:sz w:val="28"/>
          <w:szCs w:val="28"/>
        </w:rPr>
      </w:pPr>
    </w:p>
    <w:sectPr w:rsidR="001E7B7D" w:rsidRPr="00EE07FE" w:rsidSect="004C45A4">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A2" w:rsidRDefault="002448A2">
      <w:pPr>
        <w:spacing w:after="0" w:line="240" w:lineRule="auto"/>
      </w:pPr>
      <w:r>
        <w:separator/>
      </w:r>
    </w:p>
  </w:endnote>
  <w:endnote w:type="continuationSeparator" w:id="0">
    <w:p w:rsidR="002448A2" w:rsidRDefault="0024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8A2" w:rsidRDefault="002448A2" w:rsidP="00B374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448A2" w:rsidRPr="00281580" w:rsidRDefault="002448A2" w:rsidP="00B374D4">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43919358"/>
      <w:docPartObj>
        <w:docPartGallery w:val="Page Numbers (Bottom of Page)"/>
        <w:docPartUnique/>
      </w:docPartObj>
    </w:sdtPr>
    <w:sdtEndPr>
      <w:rPr>
        <w:noProof/>
      </w:rPr>
    </w:sdtEndPr>
    <w:sdtContent>
      <w:p w:rsidR="002448A2" w:rsidRDefault="002448A2">
        <w:pPr>
          <w:pStyle w:val="Footer"/>
          <w:jc w:val="right"/>
        </w:pPr>
        <w:r>
          <w:rPr>
            <w:noProof w:val="0"/>
          </w:rPr>
          <w:fldChar w:fldCharType="begin"/>
        </w:r>
        <w:r>
          <w:instrText xml:space="preserve"> PAGE   \* MERGEFORMAT </w:instrText>
        </w:r>
        <w:r>
          <w:rPr>
            <w:noProof w:val="0"/>
          </w:rPr>
          <w:fldChar w:fldCharType="separate"/>
        </w:r>
        <w:r w:rsidR="0042374F">
          <w:t>8</w:t>
        </w:r>
        <w:r>
          <w:fldChar w:fldCharType="end"/>
        </w:r>
      </w:p>
    </w:sdtContent>
  </w:sdt>
  <w:p w:rsidR="002448A2" w:rsidRPr="00594805" w:rsidRDefault="002448A2" w:rsidP="00B374D4">
    <w:pPr>
      <w:pStyle w:val="Footer"/>
      <w:rPr>
        <w:rStyle w:val="PageNumber"/>
        <w:rFonts w:ascii="Times New Roman"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A2" w:rsidRDefault="002448A2">
      <w:pPr>
        <w:spacing w:after="0" w:line="240" w:lineRule="auto"/>
      </w:pPr>
      <w:r>
        <w:separator/>
      </w:r>
    </w:p>
  </w:footnote>
  <w:footnote w:type="continuationSeparator" w:id="0">
    <w:p w:rsidR="002448A2" w:rsidRDefault="002448A2">
      <w:pPr>
        <w:spacing w:after="0" w:line="240" w:lineRule="auto"/>
      </w:pPr>
      <w:r>
        <w:continuationSeparator/>
      </w:r>
    </w:p>
  </w:footnote>
  <w:footnote w:id="1">
    <w:p w:rsidR="002448A2" w:rsidRPr="00DF7E5B" w:rsidRDefault="002448A2" w:rsidP="003C621F">
      <w:pPr>
        <w:pStyle w:val="FootnoteText"/>
        <w:rPr>
          <w:lang w:val="en-NZ"/>
        </w:rPr>
      </w:pPr>
      <w:r>
        <w:rPr>
          <w:rStyle w:val="FootnoteReference"/>
        </w:rPr>
        <w:footnoteRef/>
      </w:r>
      <w:r>
        <w:t xml:space="preserve"> </w:t>
      </w:r>
      <w:r>
        <w:rPr>
          <w:lang w:val="en-NZ"/>
        </w:rPr>
        <w:t>There is an exception for R&amp;D activities carried out by an Approved Research Provider.</w:t>
      </w:r>
    </w:p>
  </w:footnote>
  <w:footnote w:id="2">
    <w:p w:rsidR="002448A2" w:rsidRPr="0044455D" w:rsidRDefault="002448A2" w:rsidP="00FB309E">
      <w:pPr>
        <w:pStyle w:val="FootnoteText"/>
      </w:pPr>
      <w:r w:rsidRPr="0044455D">
        <w:rPr>
          <w:rStyle w:val="FootnoteReference"/>
        </w:rPr>
        <w:footnoteRef/>
      </w:r>
      <w:r w:rsidRPr="0044455D">
        <w:rPr>
          <w:sz w:val="16"/>
        </w:rPr>
        <w:t xml:space="preserve"> </w:t>
      </w:r>
      <w:r w:rsidRPr="0044455D">
        <w:t xml:space="preserve">For most firms, the amount of PAYE they pay </w:t>
      </w:r>
      <w:r>
        <w:t xml:space="preserve">on behalf of employees </w:t>
      </w:r>
      <w:r w:rsidRPr="0044455D">
        <w:t>will exceed 15% of the amount of R&amp;D they undertake because all employees in the firm will contribute to the PAYE total whereas R&amp;D is usually only one part of the firm’s activities. There will, however, be some firms that (quite legitimately) do not pay PAYE.</w:t>
      </w:r>
    </w:p>
  </w:footnote>
  <w:footnote w:id="3">
    <w:p w:rsidR="002448A2" w:rsidRDefault="002448A2" w:rsidP="00E94F80">
      <w:pPr>
        <w:pStyle w:val="FootnoteText"/>
      </w:pPr>
      <w:r>
        <w:rPr>
          <w:rStyle w:val="FootnoteReference"/>
        </w:rPr>
        <w:footnoteRef/>
      </w:r>
      <w:r>
        <w:t xml:space="preserve"> Payroll taxes would include PAYE, FBT, </w:t>
      </w:r>
      <w:r>
        <w:t xml:space="preserve">employer superannuation contribution tax (ESCT) and withholding tax on </w:t>
      </w:r>
      <w:r>
        <w:t>schedular payments (WT).</w:t>
      </w:r>
    </w:p>
  </w:footnote>
  <w:footnote w:id="4">
    <w:p w:rsidR="002448A2" w:rsidRDefault="002448A2" w:rsidP="00E94F80">
      <w:pPr>
        <w:pStyle w:val="FootnoteText"/>
      </w:pPr>
      <w:r>
        <w:rPr>
          <w:rStyle w:val="FootnoteReference"/>
        </w:rPr>
        <w:footnoteRef/>
      </w:r>
      <w:r>
        <w:t xml:space="preserve"> For instance, many start-up firms will limit their financial risk by employing staff on contract rather than recruiting them as permanent members of staff. These staff employed on contract may choose to have withholding tax (WT) paid by the firm on their behalf.</w:t>
      </w:r>
    </w:p>
  </w:footnote>
  <w:footnote w:id="5">
    <w:p w:rsidR="002448A2" w:rsidRPr="00A107DD" w:rsidRDefault="002448A2">
      <w:pPr>
        <w:pStyle w:val="FootnoteText"/>
        <w:rPr>
          <w:lang w:val="en-NZ"/>
        </w:rPr>
      </w:pPr>
      <w:r>
        <w:rPr>
          <w:rStyle w:val="FootnoteReference"/>
        </w:rPr>
        <w:footnoteRef/>
      </w:r>
      <w:r>
        <w:t xml:space="preserve"> </w:t>
      </w:r>
      <w:r>
        <w:rPr>
          <w:rFonts w:cs="Arial"/>
        </w:rPr>
        <w:t>New Zealand’s R&amp;D spending in 2018 was equal to 1.37 percent of gross domestic product.</w:t>
      </w:r>
    </w:p>
  </w:footnote>
  <w:footnote w:id="6">
    <w:p w:rsidR="002448A2" w:rsidRPr="005E09BD" w:rsidRDefault="002448A2" w:rsidP="00644264">
      <w:pPr>
        <w:pStyle w:val="FootnoteText"/>
      </w:pPr>
      <w:r w:rsidRPr="005E09BD">
        <w:rPr>
          <w:rStyle w:val="FootnoteReference"/>
          <w:sz w:val="18"/>
          <w:szCs w:val="18"/>
        </w:rPr>
        <w:footnoteRef/>
      </w:r>
      <w:r w:rsidRPr="005E09BD">
        <w:rPr>
          <w:sz w:val="18"/>
          <w:szCs w:val="18"/>
        </w:rPr>
        <w:t xml:space="preserve"> In the UK, HM Treasury and HMRC have released a consultation document ‘Preventing abuse of the R&amp;D tax relief for SMEs’, April 2019, which proposes that a PAYE-related cap is reintroduced to the R&amp;D tax credit scheme for SMEs. This policy has been driven by a concern over growing levels of fraud within the scheme since the removal of the PAYE cap.</w:t>
      </w:r>
      <w:r>
        <w:t xml:space="preserve"> </w:t>
      </w:r>
    </w:p>
  </w:footnote>
  <w:footnote w:id="7">
    <w:p w:rsidR="002448A2" w:rsidRDefault="002448A2" w:rsidP="00F322FD">
      <w:pPr>
        <w:pStyle w:val="FootnoteText"/>
      </w:pPr>
      <w:r>
        <w:rPr>
          <w:rStyle w:val="FootnoteReference"/>
        </w:rPr>
        <w:footnoteRef/>
      </w:r>
      <w:r>
        <w:t xml:space="preserve"> Payroll taxes would include PAYE, FBT, </w:t>
      </w:r>
      <w:r>
        <w:t xml:space="preserve">employer superannuation contribution tax (ESCT) and withholding tax on </w:t>
      </w:r>
      <w:r>
        <w:t>schedular payments (WT).</w:t>
      </w:r>
    </w:p>
  </w:footnote>
  <w:footnote w:id="8">
    <w:p w:rsidR="002448A2" w:rsidRPr="001226A0" w:rsidRDefault="002448A2">
      <w:pPr>
        <w:pStyle w:val="FootnoteText"/>
        <w:rPr>
          <w:lang w:val="en-NZ"/>
        </w:rPr>
      </w:pPr>
      <w:r>
        <w:rPr>
          <w:rStyle w:val="FootnoteReference"/>
        </w:rPr>
        <w:footnoteRef/>
      </w:r>
      <w:r>
        <w:t xml:space="preserve"> </w:t>
      </w:r>
      <w:r>
        <w:rPr>
          <w:lang w:val="en-NZ"/>
        </w:rPr>
        <w:t xml:space="preserve">The numbers of firms potentially eligible for refundability, and the amount of firms expected to hit the cap under the limited refundability rules are based on extrapolated numbers from </w:t>
      </w:r>
      <w:r>
        <w:t>multiple sources of data including the 2016 R&amp;D Survey, the 2017 Business Operations Survey, information from Callaghan Innovation about Growth Grant recipients, and information from Inland Revenue about firms that access the R&amp;D tax-loss cash out.</w:t>
      </w:r>
    </w:p>
  </w:footnote>
  <w:footnote w:id="9">
    <w:p w:rsidR="002448A2" w:rsidRPr="001226A0" w:rsidRDefault="002448A2" w:rsidP="000749C8">
      <w:pPr>
        <w:pStyle w:val="FootnoteText"/>
        <w:rPr>
          <w:lang w:val="en-NZ"/>
        </w:rPr>
      </w:pPr>
      <w:r>
        <w:rPr>
          <w:rStyle w:val="FootnoteReference"/>
        </w:rPr>
        <w:footnoteRef/>
      </w:r>
      <w:r>
        <w:t xml:space="preserve"> </w:t>
      </w:r>
      <w:r>
        <w:rPr>
          <w:lang w:val="en-NZ"/>
        </w:rPr>
        <w:t xml:space="preserve">The numbers of firms potentially eligible for refundability are based on extrapolated numbers from </w:t>
      </w:r>
      <w:r>
        <w:t>multiple sources of data including the 2016 R&amp;D Survey, the 2017 Business Operations Survey, and information from Callaghan Innovation about Growth Grant recipients.</w:t>
      </w:r>
    </w:p>
  </w:footnote>
  <w:footnote w:id="10">
    <w:p w:rsidR="002448A2" w:rsidRPr="007072DA" w:rsidRDefault="002448A2">
      <w:pPr>
        <w:pStyle w:val="FootnoteText"/>
        <w:rPr>
          <w:lang w:val="en-NZ"/>
        </w:rPr>
      </w:pPr>
      <w:r>
        <w:rPr>
          <w:rStyle w:val="FootnoteReference"/>
        </w:rPr>
        <w:footnoteRef/>
      </w:r>
      <w:r>
        <w:t xml:space="preserve"> </w:t>
      </w:r>
      <w:r>
        <w:rPr>
          <w:lang w:val="en-NZ"/>
        </w:rPr>
        <w:t>The cap will not apply to organisations established by statue.</w:t>
      </w:r>
    </w:p>
  </w:footnote>
  <w:footnote w:id="11">
    <w:p w:rsidR="002448A2" w:rsidRPr="0044455D" w:rsidRDefault="002448A2" w:rsidP="009D555E">
      <w:pPr>
        <w:pStyle w:val="FootnoteText"/>
        <w:rPr>
          <w:lang w:val="en-NZ"/>
        </w:rPr>
      </w:pPr>
      <w:r w:rsidRPr="0044455D">
        <w:rPr>
          <w:rStyle w:val="FootnoteReference"/>
        </w:rPr>
        <w:footnoteRef/>
      </w:r>
      <w:r w:rsidRPr="0044455D">
        <w:t xml:space="preserve"> </w:t>
      </w:r>
      <w:r w:rsidRPr="0044455D">
        <w:rPr>
          <w:lang w:val="en-NZ"/>
        </w:rPr>
        <w:t xml:space="preserve">Given a 28% corporate tax rate, a 20% subsidy pre-tax corresponds to 14.4% subsidy after tax, which is less generous than a 15% tax credit for firms that have a sufficient tax liability (or will have in the future) against which to apply the tax credit. Firms with insufficient tax liability will be able to refund their 15% tax credit, up to </w:t>
      </w:r>
      <w:r>
        <w:rPr>
          <w:lang w:val="en-NZ"/>
        </w:rPr>
        <w:t>the proposed cap amount. The maximum amount paid under a Growth Grant to firms in tax loss is $5 million per year</w:t>
      </w:r>
      <w:r w:rsidRPr="0044455D">
        <w:rPr>
          <w:lang w:val="en-NZ"/>
        </w:rPr>
        <w:t>.</w:t>
      </w:r>
    </w:p>
  </w:footnote>
  <w:footnote w:id="12">
    <w:p w:rsidR="002448A2" w:rsidRPr="0044455D" w:rsidRDefault="002448A2" w:rsidP="009D555E">
      <w:pPr>
        <w:pStyle w:val="FootnoteText"/>
        <w:rPr>
          <w:lang w:val="en-NZ"/>
        </w:rPr>
      </w:pPr>
      <w:r w:rsidRPr="0044455D">
        <w:rPr>
          <w:rStyle w:val="FootnoteReference"/>
        </w:rPr>
        <w:footnoteRef/>
      </w:r>
      <w:r w:rsidRPr="0044455D">
        <w:t xml:space="preserve"> Assuming eligible R&amp;D expenditure is the same.</w:t>
      </w:r>
    </w:p>
  </w:footnote>
  <w:footnote w:id="13">
    <w:p w:rsidR="002448A2" w:rsidRDefault="002448A2" w:rsidP="00AD3856">
      <w:pPr>
        <w:pStyle w:val="FootnoteText"/>
      </w:pPr>
      <w:r>
        <w:rPr>
          <w:rStyle w:val="FootnoteReference"/>
        </w:rPr>
        <w:footnoteRef/>
      </w:r>
      <w:r>
        <w:t xml:space="preserve"> Payroll taxes would include PAYE, FBT, </w:t>
      </w:r>
      <w:r>
        <w:t xml:space="preserve">employer superannuation contribution tax (ESCT) and withholding tax on </w:t>
      </w:r>
      <w:r>
        <w:t>schedular payments (WT).</w:t>
      </w:r>
    </w:p>
  </w:footnote>
  <w:footnote w:id="14">
    <w:p w:rsidR="002448A2" w:rsidRPr="0044455D" w:rsidRDefault="002448A2" w:rsidP="000A0210">
      <w:pPr>
        <w:pStyle w:val="FootnoteText"/>
      </w:pPr>
      <w:r w:rsidRPr="0044455D">
        <w:rPr>
          <w:rStyle w:val="FootnoteReference"/>
          <w:szCs w:val="16"/>
        </w:rPr>
        <w:footnoteRef/>
      </w:r>
      <w:r w:rsidRPr="0044455D">
        <w:t xml:space="preserve"> Firms in loss can cash out 14.5% of </w:t>
      </w:r>
      <w:r w:rsidRPr="0044455D">
        <w:t xml:space="preserve">surrenderable losses (these are the lesser of their trading loss and 230% of the R&amp;D spend). </w:t>
      </w:r>
    </w:p>
  </w:footnote>
  <w:footnote w:id="15">
    <w:p w:rsidR="002448A2" w:rsidRPr="0044455D" w:rsidRDefault="002448A2" w:rsidP="001E7B7D">
      <w:pPr>
        <w:pStyle w:val="FootnoteText"/>
      </w:pPr>
      <w:r w:rsidRPr="0044455D">
        <w:rPr>
          <w:rStyle w:val="FootnoteReference"/>
          <w:szCs w:val="16"/>
        </w:rPr>
        <w:footnoteRef/>
      </w:r>
      <w:r w:rsidRPr="0044455D">
        <w:t xml:space="preserve"> One possibility would be to include adding withholding taxes paid.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EE9"/>
    <w:multiLevelType w:val="hybridMultilevel"/>
    <w:tmpl w:val="57F6D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E2313C"/>
    <w:multiLevelType w:val="hybridMultilevel"/>
    <w:tmpl w:val="28E8B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154FA5"/>
    <w:multiLevelType w:val="hybridMultilevel"/>
    <w:tmpl w:val="E21AB9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A45BAC"/>
    <w:multiLevelType w:val="hybridMultilevel"/>
    <w:tmpl w:val="5142A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70033C"/>
    <w:multiLevelType w:val="hybridMultilevel"/>
    <w:tmpl w:val="AE7C488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71D6CF3"/>
    <w:multiLevelType w:val="hybridMultilevel"/>
    <w:tmpl w:val="C8AE6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E03533"/>
    <w:multiLevelType w:val="hybridMultilevel"/>
    <w:tmpl w:val="DADE0A4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26DD3839"/>
    <w:multiLevelType w:val="hybridMultilevel"/>
    <w:tmpl w:val="3CC233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384528E"/>
    <w:multiLevelType w:val="hybridMultilevel"/>
    <w:tmpl w:val="27CC06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B15E82"/>
    <w:multiLevelType w:val="hybridMultilevel"/>
    <w:tmpl w:val="FC4C99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C1B79CB"/>
    <w:multiLevelType w:val="hybridMultilevel"/>
    <w:tmpl w:val="8A9C1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AB6DDD"/>
    <w:multiLevelType w:val="hybridMultilevel"/>
    <w:tmpl w:val="EBFCBD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3F92E5C"/>
    <w:multiLevelType w:val="hybridMultilevel"/>
    <w:tmpl w:val="81D084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5B324D50"/>
    <w:multiLevelType w:val="hybridMultilevel"/>
    <w:tmpl w:val="B1D0F3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D137050"/>
    <w:multiLevelType w:val="hybridMultilevel"/>
    <w:tmpl w:val="E39A4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9" w15:restartNumberingAfterBreak="0">
    <w:nsid w:val="63ED50F3"/>
    <w:multiLevelType w:val="hybridMultilevel"/>
    <w:tmpl w:val="9314C8E8"/>
    <w:lvl w:ilvl="0" w:tplc="14090001">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74463F1"/>
    <w:multiLevelType w:val="hybridMultilevel"/>
    <w:tmpl w:val="C2A025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84319CB"/>
    <w:multiLevelType w:val="hybridMultilevel"/>
    <w:tmpl w:val="4E989CB4"/>
    <w:lvl w:ilvl="0" w:tplc="4F166DBE">
      <w:start w:val="1"/>
      <w:numFmt w:val="bullet"/>
      <w:lvlText w:val="•"/>
      <w:lvlJc w:val="left"/>
      <w:pPr>
        <w:tabs>
          <w:tab w:val="num" w:pos="720"/>
        </w:tabs>
        <w:ind w:left="720" w:hanging="360"/>
      </w:pPr>
      <w:rPr>
        <w:rFonts w:ascii="Arial" w:hAnsi="Arial" w:hint="default"/>
      </w:rPr>
    </w:lvl>
    <w:lvl w:ilvl="1" w:tplc="9F54EC5E" w:tentative="1">
      <w:start w:val="1"/>
      <w:numFmt w:val="bullet"/>
      <w:lvlText w:val="•"/>
      <w:lvlJc w:val="left"/>
      <w:pPr>
        <w:tabs>
          <w:tab w:val="num" w:pos="1440"/>
        </w:tabs>
        <w:ind w:left="1440" w:hanging="360"/>
      </w:pPr>
      <w:rPr>
        <w:rFonts w:ascii="Arial" w:hAnsi="Arial" w:hint="default"/>
      </w:rPr>
    </w:lvl>
    <w:lvl w:ilvl="2" w:tplc="6F2C5D02" w:tentative="1">
      <w:start w:val="1"/>
      <w:numFmt w:val="bullet"/>
      <w:lvlText w:val="•"/>
      <w:lvlJc w:val="left"/>
      <w:pPr>
        <w:tabs>
          <w:tab w:val="num" w:pos="2160"/>
        </w:tabs>
        <w:ind w:left="2160" w:hanging="360"/>
      </w:pPr>
      <w:rPr>
        <w:rFonts w:ascii="Arial" w:hAnsi="Arial" w:hint="default"/>
      </w:rPr>
    </w:lvl>
    <w:lvl w:ilvl="3" w:tplc="A252CF7E" w:tentative="1">
      <w:start w:val="1"/>
      <w:numFmt w:val="bullet"/>
      <w:lvlText w:val="•"/>
      <w:lvlJc w:val="left"/>
      <w:pPr>
        <w:tabs>
          <w:tab w:val="num" w:pos="2880"/>
        </w:tabs>
        <w:ind w:left="2880" w:hanging="360"/>
      </w:pPr>
      <w:rPr>
        <w:rFonts w:ascii="Arial" w:hAnsi="Arial" w:hint="default"/>
      </w:rPr>
    </w:lvl>
    <w:lvl w:ilvl="4" w:tplc="B24C8720" w:tentative="1">
      <w:start w:val="1"/>
      <w:numFmt w:val="bullet"/>
      <w:lvlText w:val="•"/>
      <w:lvlJc w:val="left"/>
      <w:pPr>
        <w:tabs>
          <w:tab w:val="num" w:pos="3600"/>
        </w:tabs>
        <w:ind w:left="3600" w:hanging="360"/>
      </w:pPr>
      <w:rPr>
        <w:rFonts w:ascii="Arial" w:hAnsi="Arial" w:hint="default"/>
      </w:rPr>
    </w:lvl>
    <w:lvl w:ilvl="5" w:tplc="5914D982" w:tentative="1">
      <w:start w:val="1"/>
      <w:numFmt w:val="bullet"/>
      <w:lvlText w:val="•"/>
      <w:lvlJc w:val="left"/>
      <w:pPr>
        <w:tabs>
          <w:tab w:val="num" w:pos="4320"/>
        </w:tabs>
        <w:ind w:left="4320" w:hanging="360"/>
      </w:pPr>
      <w:rPr>
        <w:rFonts w:ascii="Arial" w:hAnsi="Arial" w:hint="default"/>
      </w:rPr>
    </w:lvl>
    <w:lvl w:ilvl="6" w:tplc="D74864D6" w:tentative="1">
      <w:start w:val="1"/>
      <w:numFmt w:val="bullet"/>
      <w:lvlText w:val="•"/>
      <w:lvlJc w:val="left"/>
      <w:pPr>
        <w:tabs>
          <w:tab w:val="num" w:pos="5040"/>
        </w:tabs>
        <w:ind w:left="5040" w:hanging="360"/>
      </w:pPr>
      <w:rPr>
        <w:rFonts w:ascii="Arial" w:hAnsi="Arial" w:hint="default"/>
      </w:rPr>
    </w:lvl>
    <w:lvl w:ilvl="7" w:tplc="010C6BF0" w:tentative="1">
      <w:start w:val="1"/>
      <w:numFmt w:val="bullet"/>
      <w:lvlText w:val="•"/>
      <w:lvlJc w:val="left"/>
      <w:pPr>
        <w:tabs>
          <w:tab w:val="num" w:pos="5760"/>
        </w:tabs>
        <w:ind w:left="5760" w:hanging="360"/>
      </w:pPr>
      <w:rPr>
        <w:rFonts w:ascii="Arial" w:hAnsi="Arial" w:hint="default"/>
      </w:rPr>
    </w:lvl>
    <w:lvl w:ilvl="8" w:tplc="35A0A29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AA73EF"/>
    <w:multiLevelType w:val="multilevel"/>
    <w:tmpl w:val="E780CF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715E61BB"/>
    <w:multiLevelType w:val="hybridMultilevel"/>
    <w:tmpl w:val="770C65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3857E67"/>
    <w:multiLevelType w:val="hybridMultilevel"/>
    <w:tmpl w:val="83BA05A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6" w15:restartNumberingAfterBreak="0">
    <w:nsid w:val="7923028C"/>
    <w:multiLevelType w:val="hybridMultilevel"/>
    <w:tmpl w:val="B950A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C4A724E"/>
    <w:multiLevelType w:val="hybridMultilevel"/>
    <w:tmpl w:val="E64C81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CFE6172"/>
    <w:multiLevelType w:val="hybridMultilevel"/>
    <w:tmpl w:val="53347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2"/>
  </w:num>
  <w:num w:numId="5">
    <w:abstractNumId w:val="11"/>
  </w:num>
  <w:num w:numId="6">
    <w:abstractNumId w:val="19"/>
  </w:num>
  <w:num w:numId="7">
    <w:abstractNumId w:val="8"/>
  </w:num>
  <w:num w:numId="8">
    <w:abstractNumId w:val="20"/>
  </w:num>
  <w:num w:numId="9">
    <w:abstractNumId w:val="6"/>
  </w:num>
  <w:num w:numId="10">
    <w:abstractNumId w:val="21"/>
  </w:num>
  <w:num w:numId="11">
    <w:abstractNumId w:val="7"/>
  </w:num>
  <w:num w:numId="12">
    <w:abstractNumId w:val="16"/>
  </w:num>
  <w:num w:numId="13">
    <w:abstractNumId w:val="15"/>
  </w:num>
  <w:num w:numId="14">
    <w:abstractNumId w:val="27"/>
  </w:num>
  <w:num w:numId="15">
    <w:abstractNumId w:val="18"/>
  </w:num>
  <w:num w:numId="16">
    <w:abstractNumId w:val="0"/>
  </w:num>
  <w:num w:numId="17">
    <w:abstractNumId w:val="12"/>
  </w:num>
  <w:num w:numId="18">
    <w:abstractNumId w:val="4"/>
  </w:num>
  <w:num w:numId="19">
    <w:abstractNumId w:val="28"/>
  </w:num>
  <w:num w:numId="20">
    <w:abstractNumId w:val="2"/>
  </w:num>
  <w:num w:numId="21">
    <w:abstractNumId w:val="13"/>
  </w:num>
  <w:num w:numId="22">
    <w:abstractNumId w:val="17"/>
  </w:num>
  <w:num w:numId="23">
    <w:abstractNumId w:val="26"/>
  </w:num>
  <w:num w:numId="24">
    <w:abstractNumId w:val="3"/>
  </w:num>
  <w:num w:numId="25">
    <w:abstractNumId w:val="25"/>
  </w:num>
  <w:num w:numId="26">
    <w:abstractNumId w:val="23"/>
  </w:num>
  <w:num w:numId="27">
    <w:abstractNumId w:val="24"/>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B03"/>
    <w:rsid w:val="00004B13"/>
    <w:rsid w:val="00011259"/>
    <w:rsid w:val="00011695"/>
    <w:rsid w:val="00013FD5"/>
    <w:rsid w:val="00015F78"/>
    <w:rsid w:val="00022BF6"/>
    <w:rsid w:val="00023127"/>
    <w:rsid w:val="00023658"/>
    <w:rsid w:val="000274EB"/>
    <w:rsid w:val="00033A0D"/>
    <w:rsid w:val="00034B81"/>
    <w:rsid w:val="00036B51"/>
    <w:rsid w:val="00040338"/>
    <w:rsid w:val="000414BE"/>
    <w:rsid w:val="00041B48"/>
    <w:rsid w:val="00042C94"/>
    <w:rsid w:val="00045E76"/>
    <w:rsid w:val="00054925"/>
    <w:rsid w:val="00054F22"/>
    <w:rsid w:val="000577DB"/>
    <w:rsid w:val="00061E7D"/>
    <w:rsid w:val="00062276"/>
    <w:rsid w:val="0006298B"/>
    <w:rsid w:val="00062B94"/>
    <w:rsid w:val="00062C4C"/>
    <w:rsid w:val="0006552E"/>
    <w:rsid w:val="0007246E"/>
    <w:rsid w:val="000749C8"/>
    <w:rsid w:val="00076001"/>
    <w:rsid w:val="00093D7D"/>
    <w:rsid w:val="00097D7A"/>
    <w:rsid w:val="000A0210"/>
    <w:rsid w:val="000A35A9"/>
    <w:rsid w:val="000A5495"/>
    <w:rsid w:val="000A63D8"/>
    <w:rsid w:val="000A6A5B"/>
    <w:rsid w:val="000A7D38"/>
    <w:rsid w:val="000B06F1"/>
    <w:rsid w:val="000B56CE"/>
    <w:rsid w:val="000B5A06"/>
    <w:rsid w:val="000B68EB"/>
    <w:rsid w:val="000B7C04"/>
    <w:rsid w:val="000B7ECA"/>
    <w:rsid w:val="000C6176"/>
    <w:rsid w:val="000C64A9"/>
    <w:rsid w:val="000C6846"/>
    <w:rsid w:val="000C6AE7"/>
    <w:rsid w:val="000C7297"/>
    <w:rsid w:val="000D2A5F"/>
    <w:rsid w:val="000D3B1F"/>
    <w:rsid w:val="000D7FEA"/>
    <w:rsid w:val="000E23D1"/>
    <w:rsid w:val="000E2CD1"/>
    <w:rsid w:val="000E390B"/>
    <w:rsid w:val="000E3CA2"/>
    <w:rsid w:val="000E4E1E"/>
    <w:rsid w:val="000E4F4C"/>
    <w:rsid w:val="000E592B"/>
    <w:rsid w:val="000E7FA9"/>
    <w:rsid w:val="000F0230"/>
    <w:rsid w:val="000F197A"/>
    <w:rsid w:val="000F1CE6"/>
    <w:rsid w:val="000F2684"/>
    <w:rsid w:val="000F3200"/>
    <w:rsid w:val="000F75EE"/>
    <w:rsid w:val="00100F4A"/>
    <w:rsid w:val="0010128E"/>
    <w:rsid w:val="001024E5"/>
    <w:rsid w:val="001046A7"/>
    <w:rsid w:val="00106DCB"/>
    <w:rsid w:val="00111F65"/>
    <w:rsid w:val="00114C4E"/>
    <w:rsid w:val="00120321"/>
    <w:rsid w:val="00121FD8"/>
    <w:rsid w:val="001226A0"/>
    <w:rsid w:val="001231C2"/>
    <w:rsid w:val="0012535C"/>
    <w:rsid w:val="00125FA5"/>
    <w:rsid w:val="00126B63"/>
    <w:rsid w:val="0012703C"/>
    <w:rsid w:val="001272D1"/>
    <w:rsid w:val="0013158C"/>
    <w:rsid w:val="001339CF"/>
    <w:rsid w:val="00140120"/>
    <w:rsid w:val="001416F6"/>
    <w:rsid w:val="0014255E"/>
    <w:rsid w:val="00142D9E"/>
    <w:rsid w:val="001430DB"/>
    <w:rsid w:val="00151ECA"/>
    <w:rsid w:val="00153DE6"/>
    <w:rsid w:val="00154418"/>
    <w:rsid w:val="001552BA"/>
    <w:rsid w:val="001566AB"/>
    <w:rsid w:val="00160AC8"/>
    <w:rsid w:val="00162806"/>
    <w:rsid w:val="00162CAD"/>
    <w:rsid w:val="00164A79"/>
    <w:rsid w:val="00164CC9"/>
    <w:rsid w:val="001656F8"/>
    <w:rsid w:val="001669A0"/>
    <w:rsid w:val="00166CC0"/>
    <w:rsid w:val="00170025"/>
    <w:rsid w:val="00172834"/>
    <w:rsid w:val="00173F3A"/>
    <w:rsid w:val="00174DF3"/>
    <w:rsid w:val="00182AE6"/>
    <w:rsid w:val="001833CB"/>
    <w:rsid w:val="00184E91"/>
    <w:rsid w:val="001872EA"/>
    <w:rsid w:val="00191B6A"/>
    <w:rsid w:val="00194DA6"/>
    <w:rsid w:val="001A00D6"/>
    <w:rsid w:val="001A091E"/>
    <w:rsid w:val="001A14BB"/>
    <w:rsid w:val="001B270E"/>
    <w:rsid w:val="001B39C7"/>
    <w:rsid w:val="001B494F"/>
    <w:rsid w:val="001B4F6C"/>
    <w:rsid w:val="001B668F"/>
    <w:rsid w:val="001C3E00"/>
    <w:rsid w:val="001C7105"/>
    <w:rsid w:val="001D037B"/>
    <w:rsid w:val="001D0CAE"/>
    <w:rsid w:val="001D3A9F"/>
    <w:rsid w:val="001D42F6"/>
    <w:rsid w:val="001D5FB8"/>
    <w:rsid w:val="001D5FDC"/>
    <w:rsid w:val="001E01C1"/>
    <w:rsid w:val="001E5E5F"/>
    <w:rsid w:val="001E7B7D"/>
    <w:rsid w:val="001F18B7"/>
    <w:rsid w:val="001F4FF3"/>
    <w:rsid w:val="001F5B10"/>
    <w:rsid w:val="001F6E10"/>
    <w:rsid w:val="001F7AC3"/>
    <w:rsid w:val="00200D72"/>
    <w:rsid w:val="00201EA9"/>
    <w:rsid w:val="00204E5A"/>
    <w:rsid w:val="002072A9"/>
    <w:rsid w:val="0021085D"/>
    <w:rsid w:val="00210901"/>
    <w:rsid w:val="0021288C"/>
    <w:rsid w:val="00214E45"/>
    <w:rsid w:val="0022212E"/>
    <w:rsid w:val="002230C1"/>
    <w:rsid w:val="00224449"/>
    <w:rsid w:val="00226199"/>
    <w:rsid w:val="00230F68"/>
    <w:rsid w:val="00232742"/>
    <w:rsid w:val="002348FE"/>
    <w:rsid w:val="002363D9"/>
    <w:rsid w:val="00240191"/>
    <w:rsid w:val="00242172"/>
    <w:rsid w:val="00242C1F"/>
    <w:rsid w:val="002433EC"/>
    <w:rsid w:val="002448A2"/>
    <w:rsid w:val="002453DE"/>
    <w:rsid w:val="00246A27"/>
    <w:rsid w:val="0025174A"/>
    <w:rsid w:val="0025298A"/>
    <w:rsid w:val="002545BC"/>
    <w:rsid w:val="0025549C"/>
    <w:rsid w:val="0025588B"/>
    <w:rsid w:val="00257BA9"/>
    <w:rsid w:val="00260966"/>
    <w:rsid w:val="00271651"/>
    <w:rsid w:val="002766B8"/>
    <w:rsid w:val="00282011"/>
    <w:rsid w:val="002822CE"/>
    <w:rsid w:val="00282542"/>
    <w:rsid w:val="002856B1"/>
    <w:rsid w:val="00287655"/>
    <w:rsid w:val="00291FA2"/>
    <w:rsid w:val="00292725"/>
    <w:rsid w:val="00295470"/>
    <w:rsid w:val="00295859"/>
    <w:rsid w:val="00297A9E"/>
    <w:rsid w:val="002A0462"/>
    <w:rsid w:val="002A3E21"/>
    <w:rsid w:val="002B03F7"/>
    <w:rsid w:val="002B20A8"/>
    <w:rsid w:val="002B580F"/>
    <w:rsid w:val="002B7DC5"/>
    <w:rsid w:val="002C0861"/>
    <w:rsid w:val="002C2F97"/>
    <w:rsid w:val="002C32E2"/>
    <w:rsid w:val="002C42DE"/>
    <w:rsid w:val="002C66B9"/>
    <w:rsid w:val="002D293A"/>
    <w:rsid w:val="002D425F"/>
    <w:rsid w:val="002D7795"/>
    <w:rsid w:val="002E1C7B"/>
    <w:rsid w:val="002E40C3"/>
    <w:rsid w:val="002E51C8"/>
    <w:rsid w:val="002E793E"/>
    <w:rsid w:val="002F0CF2"/>
    <w:rsid w:val="002F3E1A"/>
    <w:rsid w:val="002F7A47"/>
    <w:rsid w:val="00307B7B"/>
    <w:rsid w:val="00310C7C"/>
    <w:rsid w:val="00311079"/>
    <w:rsid w:val="0031129C"/>
    <w:rsid w:val="003122D9"/>
    <w:rsid w:val="00315DE6"/>
    <w:rsid w:val="003168F5"/>
    <w:rsid w:val="00316ABE"/>
    <w:rsid w:val="00317947"/>
    <w:rsid w:val="0032410C"/>
    <w:rsid w:val="00325340"/>
    <w:rsid w:val="00326072"/>
    <w:rsid w:val="00327E15"/>
    <w:rsid w:val="00327FE8"/>
    <w:rsid w:val="00330D2A"/>
    <w:rsid w:val="0033158D"/>
    <w:rsid w:val="00331C50"/>
    <w:rsid w:val="0033415B"/>
    <w:rsid w:val="00335818"/>
    <w:rsid w:val="00341C1F"/>
    <w:rsid w:val="00344F3E"/>
    <w:rsid w:val="003520D0"/>
    <w:rsid w:val="00353FDD"/>
    <w:rsid w:val="00356259"/>
    <w:rsid w:val="00356AC2"/>
    <w:rsid w:val="003618E1"/>
    <w:rsid w:val="00363EED"/>
    <w:rsid w:val="00365104"/>
    <w:rsid w:val="003651F6"/>
    <w:rsid w:val="003752DF"/>
    <w:rsid w:val="00375B7F"/>
    <w:rsid w:val="00377380"/>
    <w:rsid w:val="0038042A"/>
    <w:rsid w:val="0038128A"/>
    <w:rsid w:val="00382182"/>
    <w:rsid w:val="00386504"/>
    <w:rsid w:val="003866D3"/>
    <w:rsid w:val="003949D5"/>
    <w:rsid w:val="003954A6"/>
    <w:rsid w:val="00395DF6"/>
    <w:rsid w:val="003A0340"/>
    <w:rsid w:val="003A1059"/>
    <w:rsid w:val="003A1F6F"/>
    <w:rsid w:val="003A3688"/>
    <w:rsid w:val="003A5491"/>
    <w:rsid w:val="003B15B6"/>
    <w:rsid w:val="003B1C0D"/>
    <w:rsid w:val="003B508C"/>
    <w:rsid w:val="003B6610"/>
    <w:rsid w:val="003C1179"/>
    <w:rsid w:val="003C33AF"/>
    <w:rsid w:val="003C4EAE"/>
    <w:rsid w:val="003C621F"/>
    <w:rsid w:val="003C69FA"/>
    <w:rsid w:val="003D5426"/>
    <w:rsid w:val="003D746E"/>
    <w:rsid w:val="003E121D"/>
    <w:rsid w:val="003E649F"/>
    <w:rsid w:val="003E68D5"/>
    <w:rsid w:val="003F7890"/>
    <w:rsid w:val="00401D6A"/>
    <w:rsid w:val="00403716"/>
    <w:rsid w:val="00403E03"/>
    <w:rsid w:val="0040623A"/>
    <w:rsid w:val="004064EA"/>
    <w:rsid w:val="00413914"/>
    <w:rsid w:val="00414E96"/>
    <w:rsid w:val="00420F67"/>
    <w:rsid w:val="0042374F"/>
    <w:rsid w:val="00425960"/>
    <w:rsid w:val="0043772D"/>
    <w:rsid w:val="00443D92"/>
    <w:rsid w:val="0044455D"/>
    <w:rsid w:val="00445C78"/>
    <w:rsid w:val="00446860"/>
    <w:rsid w:val="00447247"/>
    <w:rsid w:val="00447349"/>
    <w:rsid w:val="00450A64"/>
    <w:rsid w:val="00456C23"/>
    <w:rsid w:val="0046043A"/>
    <w:rsid w:val="00460964"/>
    <w:rsid w:val="00461028"/>
    <w:rsid w:val="00461F00"/>
    <w:rsid w:val="00462142"/>
    <w:rsid w:val="00465A8B"/>
    <w:rsid w:val="00465F44"/>
    <w:rsid w:val="00466594"/>
    <w:rsid w:val="00470F1F"/>
    <w:rsid w:val="004716CF"/>
    <w:rsid w:val="00473D8B"/>
    <w:rsid w:val="00474AD0"/>
    <w:rsid w:val="00475EFF"/>
    <w:rsid w:val="00477677"/>
    <w:rsid w:val="00477B72"/>
    <w:rsid w:val="00481607"/>
    <w:rsid w:val="00481D95"/>
    <w:rsid w:val="00484CCD"/>
    <w:rsid w:val="00494636"/>
    <w:rsid w:val="00496A7B"/>
    <w:rsid w:val="00496B1A"/>
    <w:rsid w:val="004A35E1"/>
    <w:rsid w:val="004A4384"/>
    <w:rsid w:val="004A5912"/>
    <w:rsid w:val="004B5E5E"/>
    <w:rsid w:val="004B6B5E"/>
    <w:rsid w:val="004B6BA5"/>
    <w:rsid w:val="004B7445"/>
    <w:rsid w:val="004C20A9"/>
    <w:rsid w:val="004C45A4"/>
    <w:rsid w:val="004C4C50"/>
    <w:rsid w:val="004C65BE"/>
    <w:rsid w:val="004C77F3"/>
    <w:rsid w:val="004D2221"/>
    <w:rsid w:val="004D276E"/>
    <w:rsid w:val="004E27B0"/>
    <w:rsid w:val="004E58DD"/>
    <w:rsid w:val="004E6DFD"/>
    <w:rsid w:val="004F18F4"/>
    <w:rsid w:val="005026DC"/>
    <w:rsid w:val="00503AF6"/>
    <w:rsid w:val="005079C0"/>
    <w:rsid w:val="0051317F"/>
    <w:rsid w:val="00513831"/>
    <w:rsid w:val="005165E1"/>
    <w:rsid w:val="0052195F"/>
    <w:rsid w:val="00523EAE"/>
    <w:rsid w:val="00524DE8"/>
    <w:rsid w:val="00532DB6"/>
    <w:rsid w:val="005337C1"/>
    <w:rsid w:val="00534515"/>
    <w:rsid w:val="00534C70"/>
    <w:rsid w:val="00536D67"/>
    <w:rsid w:val="0054199C"/>
    <w:rsid w:val="00545714"/>
    <w:rsid w:val="00545CC1"/>
    <w:rsid w:val="00550DBB"/>
    <w:rsid w:val="0055142A"/>
    <w:rsid w:val="00552DC7"/>
    <w:rsid w:val="005539AF"/>
    <w:rsid w:val="005546FD"/>
    <w:rsid w:val="00557F22"/>
    <w:rsid w:val="00560860"/>
    <w:rsid w:val="00561F56"/>
    <w:rsid w:val="0057226A"/>
    <w:rsid w:val="00580981"/>
    <w:rsid w:val="00582248"/>
    <w:rsid w:val="00582B72"/>
    <w:rsid w:val="005832D6"/>
    <w:rsid w:val="00583C9D"/>
    <w:rsid w:val="0058733D"/>
    <w:rsid w:val="00594A34"/>
    <w:rsid w:val="005A166A"/>
    <w:rsid w:val="005A43A9"/>
    <w:rsid w:val="005A492A"/>
    <w:rsid w:val="005A4B9B"/>
    <w:rsid w:val="005A521C"/>
    <w:rsid w:val="005A554C"/>
    <w:rsid w:val="005A5FD2"/>
    <w:rsid w:val="005A700B"/>
    <w:rsid w:val="005B0CBD"/>
    <w:rsid w:val="005B1B3A"/>
    <w:rsid w:val="005B4F76"/>
    <w:rsid w:val="005B55A2"/>
    <w:rsid w:val="005B629F"/>
    <w:rsid w:val="005C02F6"/>
    <w:rsid w:val="005C1DB1"/>
    <w:rsid w:val="005C739A"/>
    <w:rsid w:val="005D3160"/>
    <w:rsid w:val="005D33D9"/>
    <w:rsid w:val="005D40D9"/>
    <w:rsid w:val="005D4217"/>
    <w:rsid w:val="005E1676"/>
    <w:rsid w:val="005E31C6"/>
    <w:rsid w:val="005E6D95"/>
    <w:rsid w:val="005F287E"/>
    <w:rsid w:val="005F35C5"/>
    <w:rsid w:val="00602BA8"/>
    <w:rsid w:val="00602CAF"/>
    <w:rsid w:val="0060333F"/>
    <w:rsid w:val="006119CB"/>
    <w:rsid w:val="00612245"/>
    <w:rsid w:val="0061409E"/>
    <w:rsid w:val="0061493E"/>
    <w:rsid w:val="0061567A"/>
    <w:rsid w:val="00615DDC"/>
    <w:rsid w:val="00620A17"/>
    <w:rsid w:val="00620A2A"/>
    <w:rsid w:val="00621ABF"/>
    <w:rsid w:val="006238FF"/>
    <w:rsid w:val="00625B05"/>
    <w:rsid w:val="00625E67"/>
    <w:rsid w:val="00625F5E"/>
    <w:rsid w:val="006312B2"/>
    <w:rsid w:val="00631A7B"/>
    <w:rsid w:val="00631E9F"/>
    <w:rsid w:val="00635402"/>
    <w:rsid w:val="00635D8B"/>
    <w:rsid w:val="006368C7"/>
    <w:rsid w:val="0063734F"/>
    <w:rsid w:val="00644264"/>
    <w:rsid w:val="00645A03"/>
    <w:rsid w:val="00650106"/>
    <w:rsid w:val="0065393B"/>
    <w:rsid w:val="00655DA8"/>
    <w:rsid w:val="006568D8"/>
    <w:rsid w:val="00663584"/>
    <w:rsid w:val="0066683F"/>
    <w:rsid w:val="0067020F"/>
    <w:rsid w:val="006707DC"/>
    <w:rsid w:val="00671341"/>
    <w:rsid w:val="0067668A"/>
    <w:rsid w:val="00680168"/>
    <w:rsid w:val="006809C2"/>
    <w:rsid w:val="0068167C"/>
    <w:rsid w:val="00684755"/>
    <w:rsid w:val="006850B9"/>
    <w:rsid w:val="00685539"/>
    <w:rsid w:val="006900CA"/>
    <w:rsid w:val="00690E9A"/>
    <w:rsid w:val="00692664"/>
    <w:rsid w:val="0069620C"/>
    <w:rsid w:val="00697BD0"/>
    <w:rsid w:val="00697D63"/>
    <w:rsid w:val="006A1E85"/>
    <w:rsid w:val="006A3214"/>
    <w:rsid w:val="006A5536"/>
    <w:rsid w:val="006A657D"/>
    <w:rsid w:val="006A665D"/>
    <w:rsid w:val="006B0083"/>
    <w:rsid w:val="006B15CC"/>
    <w:rsid w:val="006C24CE"/>
    <w:rsid w:val="006C3F37"/>
    <w:rsid w:val="006C65B9"/>
    <w:rsid w:val="006C6734"/>
    <w:rsid w:val="006D5EDE"/>
    <w:rsid w:val="006D606A"/>
    <w:rsid w:val="006D62CB"/>
    <w:rsid w:val="006E105F"/>
    <w:rsid w:val="006E5BDF"/>
    <w:rsid w:val="006F0C43"/>
    <w:rsid w:val="006F3AE0"/>
    <w:rsid w:val="006F5829"/>
    <w:rsid w:val="00705216"/>
    <w:rsid w:val="00705410"/>
    <w:rsid w:val="007072DA"/>
    <w:rsid w:val="007100E9"/>
    <w:rsid w:val="007104DA"/>
    <w:rsid w:val="007136F1"/>
    <w:rsid w:val="00714045"/>
    <w:rsid w:val="00717538"/>
    <w:rsid w:val="00722767"/>
    <w:rsid w:val="0073154B"/>
    <w:rsid w:val="00731551"/>
    <w:rsid w:val="00731C46"/>
    <w:rsid w:val="007336EE"/>
    <w:rsid w:val="00734420"/>
    <w:rsid w:val="00737960"/>
    <w:rsid w:val="00742CC0"/>
    <w:rsid w:val="007448E3"/>
    <w:rsid w:val="007475BE"/>
    <w:rsid w:val="007566A7"/>
    <w:rsid w:val="00756B5F"/>
    <w:rsid w:val="00757815"/>
    <w:rsid w:val="00760715"/>
    <w:rsid w:val="007657EA"/>
    <w:rsid w:val="00767129"/>
    <w:rsid w:val="007677F6"/>
    <w:rsid w:val="0077096E"/>
    <w:rsid w:val="0077475C"/>
    <w:rsid w:val="00780416"/>
    <w:rsid w:val="00781542"/>
    <w:rsid w:val="00785235"/>
    <w:rsid w:val="00785413"/>
    <w:rsid w:val="00786446"/>
    <w:rsid w:val="00786696"/>
    <w:rsid w:val="00787005"/>
    <w:rsid w:val="00791CAE"/>
    <w:rsid w:val="0079377C"/>
    <w:rsid w:val="007969D6"/>
    <w:rsid w:val="00797540"/>
    <w:rsid w:val="007A1826"/>
    <w:rsid w:val="007A3C79"/>
    <w:rsid w:val="007A42B0"/>
    <w:rsid w:val="007A42B2"/>
    <w:rsid w:val="007A48E2"/>
    <w:rsid w:val="007A4A88"/>
    <w:rsid w:val="007B221E"/>
    <w:rsid w:val="007B67F1"/>
    <w:rsid w:val="007B6D3E"/>
    <w:rsid w:val="007C2295"/>
    <w:rsid w:val="007C6D7C"/>
    <w:rsid w:val="007C764E"/>
    <w:rsid w:val="007D0615"/>
    <w:rsid w:val="007D158A"/>
    <w:rsid w:val="007D55EB"/>
    <w:rsid w:val="007E281C"/>
    <w:rsid w:val="007E2A7B"/>
    <w:rsid w:val="007E4565"/>
    <w:rsid w:val="007E55B7"/>
    <w:rsid w:val="007E7A0A"/>
    <w:rsid w:val="008013DF"/>
    <w:rsid w:val="008015FE"/>
    <w:rsid w:val="00802E07"/>
    <w:rsid w:val="008035F8"/>
    <w:rsid w:val="00803681"/>
    <w:rsid w:val="00806C77"/>
    <w:rsid w:val="008124C7"/>
    <w:rsid w:val="00814084"/>
    <w:rsid w:val="00824960"/>
    <w:rsid w:val="00831B0E"/>
    <w:rsid w:val="00831CC8"/>
    <w:rsid w:val="00832007"/>
    <w:rsid w:val="00833AEA"/>
    <w:rsid w:val="00836A63"/>
    <w:rsid w:val="00836E05"/>
    <w:rsid w:val="00842DEA"/>
    <w:rsid w:val="008473EE"/>
    <w:rsid w:val="00850A4A"/>
    <w:rsid w:val="008555F7"/>
    <w:rsid w:val="0085627A"/>
    <w:rsid w:val="00860C71"/>
    <w:rsid w:val="00861441"/>
    <w:rsid w:val="008658C4"/>
    <w:rsid w:val="0086644D"/>
    <w:rsid w:val="008678F9"/>
    <w:rsid w:val="00876AD1"/>
    <w:rsid w:val="0087724C"/>
    <w:rsid w:val="00881E7E"/>
    <w:rsid w:val="00886C97"/>
    <w:rsid w:val="008878B2"/>
    <w:rsid w:val="00887FCD"/>
    <w:rsid w:val="008915EA"/>
    <w:rsid w:val="00892007"/>
    <w:rsid w:val="00895100"/>
    <w:rsid w:val="00896320"/>
    <w:rsid w:val="0089664F"/>
    <w:rsid w:val="0089666B"/>
    <w:rsid w:val="00896B1F"/>
    <w:rsid w:val="00897077"/>
    <w:rsid w:val="008A3E09"/>
    <w:rsid w:val="008B3B07"/>
    <w:rsid w:val="008B4E5E"/>
    <w:rsid w:val="008B6744"/>
    <w:rsid w:val="008C07BA"/>
    <w:rsid w:val="008C189A"/>
    <w:rsid w:val="008C32BE"/>
    <w:rsid w:val="008C4274"/>
    <w:rsid w:val="008C53B0"/>
    <w:rsid w:val="008C6A85"/>
    <w:rsid w:val="008D0EC6"/>
    <w:rsid w:val="008D2D11"/>
    <w:rsid w:val="008D4C22"/>
    <w:rsid w:val="008E2C6F"/>
    <w:rsid w:val="008E7E1E"/>
    <w:rsid w:val="008F0184"/>
    <w:rsid w:val="00902610"/>
    <w:rsid w:val="00903644"/>
    <w:rsid w:val="00904B6E"/>
    <w:rsid w:val="00904F79"/>
    <w:rsid w:val="00907261"/>
    <w:rsid w:val="0091105A"/>
    <w:rsid w:val="00914244"/>
    <w:rsid w:val="00914EC0"/>
    <w:rsid w:val="00917AE1"/>
    <w:rsid w:val="00920245"/>
    <w:rsid w:val="009207B8"/>
    <w:rsid w:val="009258D0"/>
    <w:rsid w:val="0092650A"/>
    <w:rsid w:val="00934C3A"/>
    <w:rsid w:val="00937080"/>
    <w:rsid w:val="00937371"/>
    <w:rsid w:val="00937A7E"/>
    <w:rsid w:val="00940C66"/>
    <w:rsid w:val="00945F65"/>
    <w:rsid w:val="009467D3"/>
    <w:rsid w:val="009470FF"/>
    <w:rsid w:val="009476AB"/>
    <w:rsid w:val="00952FEB"/>
    <w:rsid w:val="0095513B"/>
    <w:rsid w:val="00956138"/>
    <w:rsid w:val="00957FE7"/>
    <w:rsid w:val="00962242"/>
    <w:rsid w:val="00965F96"/>
    <w:rsid w:val="009666C8"/>
    <w:rsid w:val="00967227"/>
    <w:rsid w:val="009674FA"/>
    <w:rsid w:val="00971A42"/>
    <w:rsid w:val="009721C3"/>
    <w:rsid w:val="009755E6"/>
    <w:rsid w:val="00980AAF"/>
    <w:rsid w:val="00984705"/>
    <w:rsid w:val="00987925"/>
    <w:rsid w:val="00992184"/>
    <w:rsid w:val="009926F5"/>
    <w:rsid w:val="00994D66"/>
    <w:rsid w:val="009A2316"/>
    <w:rsid w:val="009A2A5E"/>
    <w:rsid w:val="009A60CC"/>
    <w:rsid w:val="009A7FFD"/>
    <w:rsid w:val="009B24ED"/>
    <w:rsid w:val="009B2B03"/>
    <w:rsid w:val="009B2E3D"/>
    <w:rsid w:val="009B676B"/>
    <w:rsid w:val="009B7644"/>
    <w:rsid w:val="009C1B4A"/>
    <w:rsid w:val="009C3E65"/>
    <w:rsid w:val="009C62AE"/>
    <w:rsid w:val="009C6E32"/>
    <w:rsid w:val="009C7155"/>
    <w:rsid w:val="009C73BC"/>
    <w:rsid w:val="009C7A03"/>
    <w:rsid w:val="009D3511"/>
    <w:rsid w:val="009D4659"/>
    <w:rsid w:val="009D4EA0"/>
    <w:rsid w:val="009D555E"/>
    <w:rsid w:val="009D6FD5"/>
    <w:rsid w:val="009E38CE"/>
    <w:rsid w:val="009E4087"/>
    <w:rsid w:val="009E40C3"/>
    <w:rsid w:val="009E4410"/>
    <w:rsid w:val="009E5EE0"/>
    <w:rsid w:val="009E6C2E"/>
    <w:rsid w:val="009F0461"/>
    <w:rsid w:val="009F12E7"/>
    <w:rsid w:val="009F1BBC"/>
    <w:rsid w:val="009F5ABE"/>
    <w:rsid w:val="009F65BF"/>
    <w:rsid w:val="00A03BAF"/>
    <w:rsid w:val="00A03C5B"/>
    <w:rsid w:val="00A041F6"/>
    <w:rsid w:val="00A107DD"/>
    <w:rsid w:val="00A14DD4"/>
    <w:rsid w:val="00A175DA"/>
    <w:rsid w:val="00A20600"/>
    <w:rsid w:val="00A240E2"/>
    <w:rsid w:val="00A34B29"/>
    <w:rsid w:val="00A41305"/>
    <w:rsid w:val="00A43E36"/>
    <w:rsid w:val="00A50093"/>
    <w:rsid w:val="00A50AEA"/>
    <w:rsid w:val="00A527BB"/>
    <w:rsid w:val="00A53ED7"/>
    <w:rsid w:val="00A558C7"/>
    <w:rsid w:val="00A61EE7"/>
    <w:rsid w:val="00A70FBD"/>
    <w:rsid w:val="00A73E58"/>
    <w:rsid w:val="00A73E87"/>
    <w:rsid w:val="00A80110"/>
    <w:rsid w:val="00A81B74"/>
    <w:rsid w:val="00A85A75"/>
    <w:rsid w:val="00A90880"/>
    <w:rsid w:val="00A93D5F"/>
    <w:rsid w:val="00A964EE"/>
    <w:rsid w:val="00AA0232"/>
    <w:rsid w:val="00AA0721"/>
    <w:rsid w:val="00AA0E78"/>
    <w:rsid w:val="00AA544A"/>
    <w:rsid w:val="00AA5B42"/>
    <w:rsid w:val="00AB112C"/>
    <w:rsid w:val="00AC0824"/>
    <w:rsid w:val="00AC3CEC"/>
    <w:rsid w:val="00AD1023"/>
    <w:rsid w:val="00AD2C55"/>
    <w:rsid w:val="00AD3856"/>
    <w:rsid w:val="00AD48B2"/>
    <w:rsid w:val="00AE0492"/>
    <w:rsid w:val="00AE4F0B"/>
    <w:rsid w:val="00AE7676"/>
    <w:rsid w:val="00AE7B32"/>
    <w:rsid w:val="00AF31AB"/>
    <w:rsid w:val="00AF6B1F"/>
    <w:rsid w:val="00AF75D7"/>
    <w:rsid w:val="00AF7691"/>
    <w:rsid w:val="00B019A4"/>
    <w:rsid w:val="00B04159"/>
    <w:rsid w:val="00B059D0"/>
    <w:rsid w:val="00B07B83"/>
    <w:rsid w:val="00B10525"/>
    <w:rsid w:val="00B1611F"/>
    <w:rsid w:val="00B161D1"/>
    <w:rsid w:val="00B2178C"/>
    <w:rsid w:val="00B21FCC"/>
    <w:rsid w:val="00B256B9"/>
    <w:rsid w:val="00B268B0"/>
    <w:rsid w:val="00B269B6"/>
    <w:rsid w:val="00B26ADF"/>
    <w:rsid w:val="00B27D56"/>
    <w:rsid w:val="00B301AD"/>
    <w:rsid w:val="00B306D9"/>
    <w:rsid w:val="00B30A92"/>
    <w:rsid w:val="00B33AC0"/>
    <w:rsid w:val="00B374D4"/>
    <w:rsid w:val="00B379A6"/>
    <w:rsid w:val="00B43847"/>
    <w:rsid w:val="00B44EE4"/>
    <w:rsid w:val="00B451E6"/>
    <w:rsid w:val="00B532B0"/>
    <w:rsid w:val="00B5517B"/>
    <w:rsid w:val="00B553FB"/>
    <w:rsid w:val="00B61E0A"/>
    <w:rsid w:val="00B70AE0"/>
    <w:rsid w:val="00B72B48"/>
    <w:rsid w:val="00B732FB"/>
    <w:rsid w:val="00B73C55"/>
    <w:rsid w:val="00B74EC3"/>
    <w:rsid w:val="00B81263"/>
    <w:rsid w:val="00B81E34"/>
    <w:rsid w:val="00B84D61"/>
    <w:rsid w:val="00B900B4"/>
    <w:rsid w:val="00B917E9"/>
    <w:rsid w:val="00B92A14"/>
    <w:rsid w:val="00B93537"/>
    <w:rsid w:val="00B95E50"/>
    <w:rsid w:val="00B95FB7"/>
    <w:rsid w:val="00B972ED"/>
    <w:rsid w:val="00BA0682"/>
    <w:rsid w:val="00BA06B6"/>
    <w:rsid w:val="00BA47C9"/>
    <w:rsid w:val="00BA5210"/>
    <w:rsid w:val="00BA686C"/>
    <w:rsid w:val="00BB0D9E"/>
    <w:rsid w:val="00BB2355"/>
    <w:rsid w:val="00BB314D"/>
    <w:rsid w:val="00BC156A"/>
    <w:rsid w:val="00BC2AD9"/>
    <w:rsid w:val="00BC3397"/>
    <w:rsid w:val="00BD448B"/>
    <w:rsid w:val="00BD69C3"/>
    <w:rsid w:val="00BE3565"/>
    <w:rsid w:val="00BE46F2"/>
    <w:rsid w:val="00BE5B91"/>
    <w:rsid w:val="00BE7D1E"/>
    <w:rsid w:val="00BF584F"/>
    <w:rsid w:val="00BF7499"/>
    <w:rsid w:val="00C00559"/>
    <w:rsid w:val="00C02722"/>
    <w:rsid w:val="00C02A97"/>
    <w:rsid w:val="00C042D8"/>
    <w:rsid w:val="00C043C5"/>
    <w:rsid w:val="00C044BF"/>
    <w:rsid w:val="00C10421"/>
    <w:rsid w:val="00C104FA"/>
    <w:rsid w:val="00C1270C"/>
    <w:rsid w:val="00C13351"/>
    <w:rsid w:val="00C14AFF"/>
    <w:rsid w:val="00C17BAB"/>
    <w:rsid w:val="00C20CF4"/>
    <w:rsid w:val="00C21D26"/>
    <w:rsid w:val="00C21DC3"/>
    <w:rsid w:val="00C22ACC"/>
    <w:rsid w:val="00C22B80"/>
    <w:rsid w:val="00C248C8"/>
    <w:rsid w:val="00C301BD"/>
    <w:rsid w:val="00C32C66"/>
    <w:rsid w:val="00C33D62"/>
    <w:rsid w:val="00C345D1"/>
    <w:rsid w:val="00C34BA9"/>
    <w:rsid w:val="00C468BA"/>
    <w:rsid w:val="00C47759"/>
    <w:rsid w:val="00C47D59"/>
    <w:rsid w:val="00C5083C"/>
    <w:rsid w:val="00C50DE7"/>
    <w:rsid w:val="00C50E8C"/>
    <w:rsid w:val="00C54535"/>
    <w:rsid w:val="00C54FE8"/>
    <w:rsid w:val="00C55EC1"/>
    <w:rsid w:val="00C6154A"/>
    <w:rsid w:val="00C61912"/>
    <w:rsid w:val="00C648D2"/>
    <w:rsid w:val="00C65D59"/>
    <w:rsid w:val="00C70207"/>
    <w:rsid w:val="00C7646C"/>
    <w:rsid w:val="00C82460"/>
    <w:rsid w:val="00C858DF"/>
    <w:rsid w:val="00C8641D"/>
    <w:rsid w:val="00C86BC6"/>
    <w:rsid w:val="00C92047"/>
    <w:rsid w:val="00C965D1"/>
    <w:rsid w:val="00C973B7"/>
    <w:rsid w:val="00CA35F1"/>
    <w:rsid w:val="00CA3F7C"/>
    <w:rsid w:val="00CA613B"/>
    <w:rsid w:val="00CB146C"/>
    <w:rsid w:val="00CB171F"/>
    <w:rsid w:val="00CB1757"/>
    <w:rsid w:val="00CB6775"/>
    <w:rsid w:val="00CC1B7F"/>
    <w:rsid w:val="00CC41BB"/>
    <w:rsid w:val="00CC4265"/>
    <w:rsid w:val="00CC5628"/>
    <w:rsid w:val="00CD170E"/>
    <w:rsid w:val="00CD2311"/>
    <w:rsid w:val="00CD566B"/>
    <w:rsid w:val="00CE04D9"/>
    <w:rsid w:val="00CE33F0"/>
    <w:rsid w:val="00CE401F"/>
    <w:rsid w:val="00CE5467"/>
    <w:rsid w:val="00CE5D95"/>
    <w:rsid w:val="00CE639B"/>
    <w:rsid w:val="00CE7337"/>
    <w:rsid w:val="00CF24F7"/>
    <w:rsid w:val="00CF2B88"/>
    <w:rsid w:val="00CF46D1"/>
    <w:rsid w:val="00CF51F3"/>
    <w:rsid w:val="00CF592C"/>
    <w:rsid w:val="00CF5DB7"/>
    <w:rsid w:val="00CF69FB"/>
    <w:rsid w:val="00D00DFF"/>
    <w:rsid w:val="00D12479"/>
    <w:rsid w:val="00D12B66"/>
    <w:rsid w:val="00D17C99"/>
    <w:rsid w:val="00D23A31"/>
    <w:rsid w:val="00D23C16"/>
    <w:rsid w:val="00D25D43"/>
    <w:rsid w:val="00D26A5C"/>
    <w:rsid w:val="00D31A66"/>
    <w:rsid w:val="00D32C1F"/>
    <w:rsid w:val="00D36F1F"/>
    <w:rsid w:val="00D40B7C"/>
    <w:rsid w:val="00D4174C"/>
    <w:rsid w:val="00D41D8C"/>
    <w:rsid w:val="00D4204A"/>
    <w:rsid w:val="00D421F2"/>
    <w:rsid w:val="00D42DA7"/>
    <w:rsid w:val="00D435A2"/>
    <w:rsid w:val="00D43DE6"/>
    <w:rsid w:val="00D50274"/>
    <w:rsid w:val="00D51321"/>
    <w:rsid w:val="00D55D56"/>
    <w:rsid w:val="00D5729F"/>
    <w:rsid w:val="00D607A6"/>
    <w:rsid w:val="00D6404E"/>
    <w:rsid w:val="00D663FE"/>
    <w:rsid w:val="00D67C0C"/>
    <w:rsid w:val="00D70A22"/>
    <w:rsid w:val="00D73FDD"/>
    <w:rsid w:val="00D762A6"/>
    <w:rsid w:val="00D77F8D"/>
    <w:rsid w:val="00D81ACA"/>
    <w:rsid w:val="00D82BE9"/>
    <w:rsid w:val="00D87E18"/>
    <w:rsid w:val="00D911DA"/>
    <w:rsid w:val="00D928B3"/>
    <w:rsid w:val="00D946E2"/>
    <w:rsid w:val="00D96C56"/>
    <w:rsid w:val="00D97E07"/>
    <w:rsid w:val="00DA2499"/>
    <w:rsid w:val="00DA29B3"/>
    <w:rsid w:val="00DA5287"/>
    <w:rsid w:val="00DB1EE5"/>
    <w:rsid w:val="00DB4949"/>
    <w:rsid w:val="00DB7482"/>
    <w:rsid w:val="00DB7837"/>
    <w:rsid w:val="00DC225D"/>
    <w:rsid w:val="00DD01FC"/>
    <w:rsid w:val="00DD1BEA"/>
    <w:rsid w:val="00DD21DE"/>
    <w:rsid w:val="00DD246C"/>
    <w:rsid w:val="00DD401B"/>
    <w:rsid w:val="00DD4380"/>
    <w:rsid w:val="00DD759D"/>
    <w:rsid w:val="00DE2D33"/>
    <w:rsid w:val="00DE3BCE"/>
    <w:rsid w:val="00DE5A68"/>
    <w:rsid w:val="00DF2ACB"/>
    <w:rsid w:val="00DF6667"/>
    <w:rsid w:val="00E00AB2"/>
    <w:rsid w:val="00E02BE1"/>
    <w:rsid w:val="00E03D92"/>
    <w:rsid w:val="00E05F03"/>
    <w:rsid w:val="00E074A3"/>
    <w:rsid w:val="00E1193A"/>
    <w:rsid w:val="00E1206A"/>
    <w:rsid w:val="00E141DF"/>
    <w:rsid w:val="00E17326"/>
    <w:rsid w:val="00E22247"/>
    <w:rsid w:val="00E22808"/>
    <w:rsid w:val="00E25350"/>
    <w:rsid w:val="00E30017"/>
    <w:rsid w:val="00E31F49"/>
    <w:rsid w:val="00E41895"/>
    <w:rsid w:val="00E4247C"/>
    <w:rsid w:val="00E4381A"/>
    <w:rsid w:val="00E45038"/>
    <w:rsid w:val="00E452B0"/>
    <w:rsid w:val="00E50AF0"/>
    <w:rsid w:val="00E522C6"/>
    <w:rsid w:val="00E52872"/>
    <w:rsid w:val="00E64FB7"/>
    <w:rsid w:val="00E81C53"/>
    <w:rsid w:val="00E82816"/>
    <w:rsid w:val="00E82A31"/>
    <w:rsid w:val="00E858EE"/>
    <w:rsid w:val="00E91609"/>
    <w:rsid w:val="00E94144"/>
    <w:rsid w:val="00E94F80"/>
    <w:rsid w:val="00E96F4A"/>
    <w:rsid w:val="00EA16F7"/>
    <w:rsid w:val="00EA17D4"/>
    <w:rsid w:val="00EA6EAD"/>
    <w:rsid w:val="00EA7A8D"/>
    <w:rsid w:val="00EB09A8"/>
    <w:rsid w:val="00EB1ED2"/>
    <w:rsid w:val="00EB1F38"/>
    <w:rsid w:val="00EB2A46"/>
    <w:rsid w:val="00EB2F05"/>
    <w:rsid w:val="00EB32A3"/>
    <w:rsid w:val="00EB7CD5"/>
    <w:rsid w:val="00EC2AD5"/>
    <w:rsid w:val="00EC4066"/>
    <w:rsid w:val="00EC4778"/>
    <w:rsid w:val="00EC55B0"/>
    <w:rsid w:val="00EC7109"/>
    <w:rsid w:val="00ED13CB"/>
    <w:rsid w:val="00ED1BD9"/>
    <w:rsid w:val="00ED49DF"/>
    <w:rsid w:val="00ED6572"/>
    <w:rsid w:val="00ED68C7"/>
    <w:rsid w:val="00ED74CA"/>
    <w:rsid w:val="00ED775A"/>
    <w:rsid w:val="00EE0497"/>
    <w:rsid w:val="00EE07FE"/>
    <w:rsid w:val="00EE173A"/>
    <w:rsid w:val="00EE59B2"/>
    <w:rsid w:val="00EE69CC"/>
    <w:rsid w:val="00EE6BC0"/>
    <w:rsid w:val="00EE6BE6"/>
    <w:rsid w:val="00EF18CE"/>
    <w:rsid w:val="00F014CC"/>
    <w:rsid w:val="00F0301D"/>
    <w:rsid w:val="00F04CBE"/>
    <w:rsid w:val="00F06CFD"/>
    <w:rsid w:val="00F0735A"/>
    <w:rsid w:val="00F10BA2"/>
    <w:rsid w:val="00F13C31"/>
    <w:rsid w:val="00F16597"/>
    <w:rsid w:val="00F20FC5"/>
    <w:rsid w:val="00F23F00"/>
    <w:rsid w:val="00F2553D"/>
    <w:rsid w:val="00F25EE7"/>
    <w:rsid w:val="00F26323"/>
    <w:rsid w:val="00F30FC2"/>
    <w:rsid w:val="00F31546"/>
    <w:rsid w:val="00F322FD"/>
    <w:rsid w:val="00F348BD"/>
    <w:rsid w:val="00F3527C"/>
    <w:rsid w:val="00F362B3"/>
    <w:rsid w:val="00F42CF6"/>
    <w:rsid w:val="00F42D14"/>
    <w:rsid w:val="00F47415"/>
    <w:rsid w:val="00F5288C"/>
    <w:rsid w:val="00F52ABB"/>
    <w:rsid w:val="00F60A04"/>
    <w:rsid w:val="00F6147F"/>
    <w:rsid w:val="00F6264A"/>
    <w:rsid w:val="00F6300A"/>
    <w:rsid w:val="00F65A57"/>
    <w:rsid w:val="00F670A8"/>
    <w:rsid w:val="00F670CF"/>
    <w:rsid w:val="00F81A7C"/>
    <w:rsid w:val="00F83AC1"/>
    <w:rsid w:val="00F83C99"/>
    <w:rsid w:val="00F8425F"/>
    <w:rsid w:val="00F856CE"/>
    <w:rsid w:val="00F90844"/>
    <w:rsid w:val="00F964B3"/>
    <w:rsid w:val="00FA2EF6"/>
    <w:rsid w:val="00FB309E"/>
    <w:rsid w:val="00FB4A1C"/>
    <w:rsid w:val="00FC1700"/>
    <w:rsid w:val="00FC3007"/>
    <w:rsid w:val="00FC3072"/>
    <w:rsid w:val="00FC41BF"/>
    <w:rsid w:val="00FC4BF8"/>
    <w:rsid w:val="00FC761D"/>
    <w:rsid w:val="00FD0A92"/>
    <w:rsid w:val="00FD1ED4"/>
    <w:rsid w:val="00FD2613"/>
    <w:rsid w:val="00FD382F"/>
    <w:rsid w:val="00FD4021"/>
    <w:rsid w:val="00FD5099"/>
    <w:rsid w:val="00FD5F0D"/>
    <w:rsid w:val="00FE14ED"/>
    <w:rsid w:val="00FF054F"/>
    <w:rsid w:val="00FF0757"/>
    <w:rsid w:val="00FF1830"/>
    <w:rsid w:val="00FF2354"/>
    <w:rsid w:val="00FF43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90ED174-D5B5-4EAF-A035-D528C5EC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695"/>
    <w:pPr>
      <w:spacing w:after="240" w:line="280" w:lineRule="atLeast"/>
    </w:pPr>
    <w:rPr>
      <w:rFonts w:ascii="Arial" w:eastAsia="Times New Roman" w:hAnsi="Arial" w:cs="Times New Roman"/>
      <w:szCs w:val="20"/>
      <w:lang w:val="en-GB" w:eastAsia="en-GB"/>
    </w:rPr>
  </w:style>
  <w:style w:type="paragraph" w:styleId="Heading1">
    <w:name w:val="heading 1"/>
    <w:basedOn w:val="Normal"/>
    <w:next w:val="Normal"/>
    <w:link w:val="Heading1Char"/>
    <w:uiPriority w:val="9"/>
    <w:qFormat/>
    <w:rsid w:val="001E7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4C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74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4D4"/>
    <w:pPr>
      <w:tabs>
        <w:tab w:val="center" w:pos="4153"/>
        <w:tab w:val="right" w:pos="8306"/>
      </w:tabs>
    </w:pPr>
  </w:style>
  <w:style w:type="character" w:customStyle="1" w:styleId="HeaderChar">
    <w:name w:val="Header Char"/>
    <w:basedOn w:val="DefaultParagraphFont"/>
    <w:link w:val="Header"/>
    <w:rsid w:val="00B374D4"/>
    <w:rPr>
      <w:rFonts w:ascii="Arial" w:eastAsia="Times New Roman" w:hAnsi="Arial" w:cs="Times New Roman"/>
      <w:szCs w:val="20"/>
      <w:lang w:val="en-GB" w:eastAsia="en-GB"/>
    </w:rPr>
  </w:style>
  <w:style w:type="paragraph" w:styleId="Footer">
    <w:name w:val="footer"/>
    <w:basedOn w:val="Normal"/>
    <w:link w:val="FooterChar"/>
    <w:autoRedefine/>
    <w:uiPriority w:val="99"/>
    <w:rsid w:val="00B374D4"/>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B374D4"/>
    <w:rPr>
      <w:rFonts w:ascii="Arial" w:eastAsia="Times New Roman" w:hAnsi="Arial" w:cs="Times New Roman"/>
      <w:noProof/>
      <w:color w:val="002469"/>
      <w:spacing w:val="6"/>
      <w:sz w:val="16"/>
      <w:szCs w:val="16"/>
      <w:lang w:val="en-GB" w:eastAsia="en-GB"/>
    </w:rPr>
  </w:style>
  <w:style w:type="paragraph" w:styleId="CommentText">
    <w:name w:val="annotation text"/>
    <w:basedOn w:val="Normal"/>
    <w:link w:val="CommentTextChar"/>
    <w:uiPriority w:val="99"/>
    <w:semiHidden/>
    <w:rsid w:val="00B374D4"/>
    <w:rPr>
      <w:sz w:val="20"/>
    </w:rPr>
  </w:style>
  <w:style w:type="character" w:customStyle="1" w:styleId="CommentTextChar">
    <w:name w:val="Comment Text Char"/>
    <w:basedOn w:val="DefaultParagraphFont"/>
    <w:link w:val="CommentText"/>
    <w:uiPriority w:val="99"/>
    <w:semiHidden/>
    <w:rsid w:val="00B374D4"/>
    <w:rPr>
      <w:rFonts w:ascii="Arial" w:eastAsia="Times New Roman" w:hAnsi="Arial" w:cs="Times New Roman"/>
      <w:sz w:val="20"/>
      <w:szCs w:val="20"/>
      <w:lang w:val="en-GB" w:eastAsia="en-GB"/>
    </w:rPr>
  </w:style>
  <w:style w:type="paragraph" w:customStyle="1" w:styleId="Bullet-list">
    <w:name w:val="Bullet-list"/>
    <w:qFormat/>
    <w:rsid w:val="00B374D4"/>
    <w:pPr>
      <w:spacing w:after="180" w:line="280" w:lineRule="exact"/>
      <w:ind w:left="284" w:hanging="284"/>
    </w:pPr>
    <w:rPr>
      <w:rFonts w:ascii="Arial" w:eastAsia="Times New Roman" w:hAnsi="Arial" w:cs="Times New Roman"/>
      <w:szCs w:val="20"/>
      <w:lang w:val="en-AU"/>
    </w:rPr>
  </w:style>
  <w:style w:type="paragraph" w:customStyle="1" w:styleId="EvenFooter">
    <w:name w:val="Even Footer"/>
    <w:basedOn w:val="Footer"/>
    <w:rsid w:val="00B374D4"/>
    <w:pPr>
      <w:jc w:val="left"/>
    </w:pPr>
  </w:style>
  <w:style w:type="table" w:styleId="TableGrid">
    <w:name w:val="Table Grid"/>
    <w:basedOn w:val="TableNormal"/>
    <w:uiPriority w:val="39"/>
    <w:rsid w:val="00B374D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B374D4"/>
    <w:pPr>
      <w:spacing w:after="0" w:line="240" w:lineRule="auto"/>
    </w:pPr>
    <w:rPr>
      <w:sz w:val="16"/>
      <w:szCs w:val="22"/>
      <w:lang w:eastAsia="en-AU"/>
    </w:rPr>
  </w:style>
  <w:style w:type="paragraph" w:styleId="ListParagraph">
    <w:name w:val="List Paragraph"/>
    <w:basedOn w:val="Normal"/>
    <w:uiPriority w:val="34"/>
    <w:qFormat/>
    <w:rsid w:val="00B374D4"/>
    <w:pPr>
      <w:spacing w:after="0" w:line="240" w:lineRule="auto"/>
      <w:ind w:left="720"/>
      <w:contextualSpacing/>
      <w:jc w:val="both"/>
    </w:pPr>
    <w:rPr>
      <w:lang w:val="en-NZ" w:eastAsia="en-US"/>
    </w:rPr>
  </w:style>
  <w:style w:type="paragraph" w:customStyle="1" w:styleId="Text">
    <w:name w:val="Text"/>
    <w:basedOn w:val="Normal"/>
    <w:link w:val="TextChar"/>
    <w:rsid w:val="00B374D4"/>
    <w:pPr>
      <w:spacing w:before="120" w:after="120" w:line="300" w:lineRule="exact"/>
      <w:jc w:val="both"/>
    </w:pPr>
    <w:rPr>
      <w:lang w:eastAsia="en-US"/>
    </w:rPr>
  </w:style>
  <w:style w:type="character" w:customStyle="1" w:styleId="TextChar">
    <w:name w:val="Text Char"/>
    <w:basedOn w:val="DefaultParagraphFont"/>
    <w:link w:val="Text"/>
    <w:rsid w:val="00B374D4"/>
    <w:rPr>
      <w:rFonts w:ascii="Arial" w:eastAsia="Times New Roman" w:hAnsi="Arial" w:cs="Times New Roman"/>
      <w:szCs w:val="20"/>
      <w:lang w:val="en-GB"/>
    </w:rPr>
  </w:style>
  <w:style w:type="character" w:styleId="PageNumber">
    <w:name w:val="page number"/>
    <w:basedOn w:val="DefaultParagraphFont"/>
    <w:rsid w:val="00B374D4"/>
  </w:style>
  <w:style w:type="paragraph" w:customStyle="1" w:styleId="RISheading">
    <w:name w:val="RIS heading"/>
    <w:basedOn w:val="Heading3"/>
    <w:rsid w:val="00B374D4"/>
    <w:pPr>
      <w:keepLines w:val="0"/>
      <w:tabs>
        <w:tab w:val="left" w:pos="567"/>
      </w:tabs>
      <w:spacing w:before="240" w:after="180" w:line="300" w:lineRule="atLeast"/>
      <w:ind w:right="170"/>
    </w:pPr>
    <w:rPr>
      <w:rFonts w:ascii="Times New Roman" w:eastAsia="Times New Roman" w:hAnsi="Times New Roman" w:cs="Times New Roman"/>
      <w:bCs w:val="0"/>
      <w:color w:val="auto"/>
      <w:spacing w:val="20"/>
      <w:w w:val="90"/>
      <w:sz w:val="24"/>
      <w:szCs w:val="24"/>
    </w:rPr>
  </w:style>
  <w:style w:type="table" w:customStyle="1" w:styleId="TableGrid1">
    <w:name w:val="Table Grid1"/>
    <w:basedOn w:val="TableNormal"/>
    <w:next w:val="TableGrid"/>
    <w:rsid w:val="00B374D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374D4"/>
    <w:rPr>
      <w:rFonts w:asciiTheme="majorHAnsi" w:eastAsiaTheme="majorEastAsia" w:hAnsiTheme="majorHAnsi" w:cstheme="majorBidi"/>
      <w:b/>
      <w:bCs/>
      <w:color w:val="4F81BD" w:themeColor="accent1"/>
      <w:szCs w:val="20"/>
      <w:lang w:val="en-GB" w:eastAsia="en-GB"/>
    </w:rPr>
  </w:style>
  <w:style w:type="paragraph" w:styleId="BalloonText">
    <w:name w:val="Balloon Text"/>
    <w:basedOn w:val="Normal"/>
    <w:link w:val="BalloonTextChar"/>
    <w:uiPriority w:val="99"/>
    <w:semiHidden/>
    <w:unhideWhenUsed/>
    <w:rsid w:val="00B3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D4"/>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ED775A"/>
    <w:rPr>
      <w:sz w:val="16"/>
      <w:szCs w:val="16"/>
    </w:rPr>
  </w:style>
  <w:style w:type="paragraph" w:styleId="CommentSubject">
    <w:name w:val="annotation subject"/>
    <w:basedOn w:val="CommentText"/>
    <w:next w:val="CommentText"/>
    <w:link w:val="CommentSubjectChar"/>
    <w:uiPriority w:val="99"/>
    <w:semiHidden/>
    <w:unhideWhenUsed/>
    <w:rsid w:val="00ED775A"/>
    <w:pPr>
      <w:spacing w:line="240" w:lineRule="auto"/>
    </w:pPr>
    <w:rPr>
      <w:b/>
      <w:bCs/>
    </w:rPr>
  </w:style>
  <w:style w:type="character" w:customStyle="1" w:styleId="CommentSubjectChar">
    <w:name w:val="Comment Subject Char"/>
    <w:basedOn w:val="CommentTextChar"/>
    <w:link w:val="CommentSubject"/>
    <w:uiPriority w:val="99"/>
    <w:semiHidden/>
    <w:rsid w:val="00ED775A"/>
    <w:rPr>
      <w:rFonts w:ascii="Arial" w:eastAsia="Times New Roman" w:hAnsi="Arial" w:cs="Times New Roman"/>
      <w:b/>
      <w:bCs/>
      <w:sz w:val="20"/>
      <w:szCs w:val="20"/>
      <w:lang w:val="en-GB" w:eastAsia="en-GB"/>
    </w:rPr>
  </w:style>
  <w:style w:type="character" w:styleId="Hyperlink">
    <w:name w:val="Hyperlink"/>
    <w:basedOn w:val="DefaultParagraphFont"/>
    <w:uiPriority w:val="99"/>
    <w:unhideWhenUsed/>
    <w:rsid w:val="003C1179"/>
    <w:rPr>
      <w:color w:val="0000FF" w:themeColor="hyperlink"/>
      <w:u w:val="single"/>
    </w:rPr>
  </w:style>
  <w:style w:type="paragraph" w:styleId="FootnoteText">
    <w:name w:val="footnote text"/>
    <w:basedOn w:val="Normal"/>
    <w:link w:val="FootnoteTextChar"/>
    <w:uiPriority w:val="99"/>
    <w:semiHidden/>
    <w:unhideWhenUsed/>
    <w:rsid w:val="00162806"/>
    <w:pPr>
      <w:spacing w:after="0" w:line="240" w:lineRule="auto"/>
    </w:pPr>
    <w:rPr>
      <w:sz w:val="20"/>
    </w:rPr>
  </w:style>
  <w:style w:type="character" w:customStyle="1" w:styleId="FootnoteTextChar">
    <w:name w:val="Footnote Text Char"/>
    <w:basedOn w:val="DefaultParagraphFont"/>
    <w:link w:val="FootnoteText"/>
    <w:uiPriority w:val="99"/>
    <w:semiHidden/>
    <w:rsid w:val="00162806"/>
    <w:rPr>
      <w:rFonts w:ascii="Arial" w:eastAsia="Times New Roman" w:hAnsi="Arial" w:cs="Times New Roman"/>
      <w:sz w:val="20"/>
      <w:szCs w:val="20"/>
      <w:lang w:val="en-GB" w:eastAsia="en-GB"/>
    </w:rPr>
  </w:style>
  <w:style w:type="character" w:styleId="FootnoteReference">
    <w:name w:val="footnote reference"/>
    <w:uiPriority w:val="99"/>
    <w:rsid w:val="00162806"/>
    <w:rPr>
      <w:rFonts w:ascii="Arial" w:hAnsi="Arial"/>
      <w:color w:val="auto"/>
      <w:position w:val="8"/>
      <w:sz w:val="16"/>
    </w:rPr>
  </w:style>
  <w:style w:type="paragraph" w:styleId="Revision">
    <w:name w:val="Revision"/>
    <w:hidden/>
    <w:uiPriority w:val="99"/>
    <w:semiHidden/>
    <w:rsid w:val="001024E5"/>
    <w:pPr>
      <w:spacing w:after="0" w:line="240" w:lineRule="auto"/>
    </w:pPr>
    <w:rPr>
      <w:rFonts w:ascii="Arial" w:eastAsia="Times New Roman" w:hAnsi="Arial" w:cs="Times New Roman"/>
      <w:szCs w:val="20"/>
      <w:lang w:val="en-GB" w:eastAsia="en-GB"/>
    </w:rPr>
  </w:style>
  <w:style w:type="character" w:customStyle="1" w:styleId="Heading1Char">
    <w:name w:val="Heading 1 Char"/>
    <w:basedOn w:val="DefaultParagraphFont"/>
    <w:link w:val="Heading1"/>
    <w:uiPriority w:val="9"/>
    <w:rsid w:val="001E7B7D"/>
    <w:rPr>
      <w:rFonts w:asciiTheme="majorHAnsi" w:eastAsiaTheme="majorEastAsia" w:hAnsiTheme="majorHAnsi" w:cstheme="majorBidi"/>
      <w:b/>
      <w:bCs/>
      <w:color w:val="365F91" w:themeColor="accent1" w:themeShade="BF"/>
      <w:sz w:val="28"/>
      <w:szCs w:val="28"/>
      <w:lang w:val="en-GB" w:eastAsia="en-GB"/>
    </w:rPr>
  </w:style>
  <w:style w:type="paragraph" w:customStyle="1" w:styleId="NumberedParagraph">
    <w:name w:val="Numbered Paragraph"/>
    <w:basedOn w:val="Normal"/>
    <w:qFormat/>
    <w:rsid w:val="001E7B7D"/>
    <w:pPr>
      <w:numPr>
        <w:numId w:val="15"/>
      </w:numPr>
      <w:spacing w:after="200" w:line="240" w:lineRule="auto"/>
      <w:jc w:val="both"/>
    </w:pPr>
    <w:rPr>
      <w:rFonts w:ascii="Verdana" w:eastAsiaTheme="minorHAnsi" w:hAnsi="Verdana" w:cstheme="minorBidi"/>
      <w:sz w:val="20"/>
      <w:szCs w:val="23"/>
      <w:lang w:val="en-NZ" w:eastAsia="en-NZ"/>
    </w:rPr>
  </w:style>
  <w:style w:type="paragraph" w:customStyle="1" w:styleId="NumberedParagraphCabStandard">
    <w:name w:val="Numbered Paragraph (CabStandard)"/>
    <w:basedOn w:val="Normal"/>
    <w:qFormat/>
    <w:rsid w:val="00E94F80"/>
    <w:pPr>
      <w:tabs>
        <w:tab w:val="num" w:pos="709"/>
      </w:tabs>
      <w:spacing w:line="240" w:lineRule="auto"/>
      <w:ind w:left="709" w:hanging="709"/>
      <w:jc w:val="both"/>
    </w:pPr>
    <w:rPr>
      <w:rFonts w:eastAsiaTheme="minorHAnsi" w:cstheme="minorBidi"/>
      <w:sz w:val="24"/>
      <w:szCs w:val="23"/>
      <w:lang w:val="en-NZ" w:eastAsia="en-NZ"/>
    </w:rPr>
  </w:style>
  <w:style w:type="table" w:styleId="LightShading">
    <w:name w:val="Light Shading"/>
    <w:basedOn w:val="TableNormal"/>
    <w:uiPriority w:val="60"/>
    <w:rsid w:val="00F52A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2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52A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F52A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8D4C22"/>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1531">
      <w:bodyDiv w:val="1"/>
      <w:marLeft w:val="0"/>
      <w:marRight w:val="0"/>
      <w:marTop w:val="0"/>
      <w:marBottom w:val="0"/>
      <w:divBdr>
        <w:top w:val="none" w:sz="0" w:space="0" w:color="auto"/>
        <w:left w:val="none" w:sz="0" w:space="0" w:color="auto"/>
        <w:bottom w:val="none" w:sz="0" w:space="0" w:color="auto"/>
        <w:right w:val="none" w:sz="0" w:space="0" w:color="auto"/>
      </w:divBdr>
    </w:div>
    <w:div w:id="372771093">
      <w:bodyDiv w:val="1"/>
      <w:marLeft w:val="0"/>
      <w:marRight w:val="0"/>
      <w:marTop w:val="0"/>
      <w:marBottom w:val="0"/>
      <w:divBdr>
        <w:top w:val="none" w:sz="0" w:space="0" w:color="auto"/>
        <w:left w:val="none" w:sz="0" w:space="0" w:color="auto"/>
        <w:bottom w:val="none" w:sz="0" w:space="0" w:color="auto"/>
        <w:right w:val="none" w:sz="0" w:space="0" w:color="auto"/>
      </w:divBdr>
    </w:div>
    <w:div w:id="423234638">
      <w:bodyDiv w:val="1"/>
      <w:marLeft w:val="0"/>
      <w:marRight w:val="0"/>
      <w:marTop w:val="0"/>
      <w:marBottom w:val="0"/>
      <w:divBdr>
        <w:top w:val="none" w:sz="0" w:space="0" w:color="auto"/>
        <w:left w:val="none" w:sz="0" w:space="0" w:color="auto"/>
        <w:bottom w:val="none" w:sz="0" w:space="0" w:color="auto"/>
        <w:right w:val="none" w:sz="0" w:space="0" w:color="auto"/>
      </w:divBdr>
      <w:divsChild>
        <w:div w:id="481123225">
          <w:marLeft w:val="547"/>
          <w:marRight w:val="0"/>
          <w:marTop w:val="139"/>
          <w:marBottom w:val="120"/>
          <w:divBdr>
            <w:top w:val="none" w:sz="0" w:space="0" w:color="auto"/>
            <w:left w:val="none" w:sz="0" w:space="0" w:color="auto"/>
            <w:bottom w:val="none" w:sz="0" w:space="0" w:color="auto"/>
            <w:right w:val="none" w:sz="0" w:space="0" w:color="auto"/>
          </w:divBdr>
        </w:div>
      </w:divsChild>
    </w:div>
    <w:div w:id="445778613">
      <w:bodyDiv w:val="1"/>
      <w:marLeft w:val="0"/>
      <w:marRight w:val="0"/>
      <w:marTop w:val="0"/>
      <w:marBottom w:val="0"/>
      <w:divBdr>
        <w:top w:val="none" w:sz="0" w:space="0" w:color="auto"/>
        <w:left w:val="none" w:sz="0" w:space="0" w:color="auto"/>
        <w:bottom w:val="none" w:sz="0" w:space="0" w:color="auto"/>
        <w:right w:val="none" w:sz="0" w:space="0" w:color="auto"/>
      </w:divBdr>
    </w:div>
    <w:div w:id="658316283">
      <w:bodyDiv w:val="1"/>
      <w:marLeft w:val="0"/>
      <w:marRight w:val="0"/>
      <w:marTop w:val="0"/>
      <w:marBottom w:val="0"/>
      <w:divBdr>
        <w:top w:val="none" w:sz="0" w:space="0" w:color="auto"/>
        <w:left w:val="none" w:sz="0" w:space="0" w:color="auto"/>
        <w:bottom w:val="none" w:sz="0" w:space="0" w:color="auto"/>
        <w:right w:val="none" w:sz="0" w:space="0" w:color="auto"/>
      </w:divBdr>
    </w:div>
    <w:div w:id="722756567">
      <w:bodyDiv w:val="1"/>
      <w:marLeft w:val="0"/>
      <w:marRight w:val="0"/>
      <w:marTop w:val="0"/>
      <w:marBottom w:val="0"/>
      <w:divBdr>
        <w:top w:val="none" w:sz="0" w:space="0" w:color="auto"/>
        <w:left w:val="none" w:sz="0" w:space="0" w:color="auto"/>
        <w:bottom w:val="none" w:sz="0" w:space="0" w:color="auto"/>
        <w:right w:val="none" w:sz="0" w:space="0" w:color="auto"/>
      </w:divBdr>
    </w:div>
    <w:div w:id="830949210">
      <w:bodyDiv w:val="1"/>
      <w:marLeft w:val="0"/>
      <w:marRight w:val="0"/>
      <w:marTop w:val="0"/>
      <w:marBottom w:val="0"/>
      <w:divBdr>
        <w:top w:val="none" w:sz="0" w:space="0" w:color="auto"/>
        <w:left w:val="none" w:sz="0" w:space="0" w:color="auto"/>
        <w:bottom w:val="none" w:sz="0" w:space="0" w:color="auto"/>
        <w:right w:val="none" w:sz="0" w:space="0" w:color="auto"/>
      </w:divBdr>
    </w:div>
    <w:div w:id="1170801894">
      <w:bodyDiv w:val="1"/>
      <w:marLeft w:val="0"/>
      <w:marRight w:val="0"/>
      <w:marTop w:val="0"/>
      <w:marBottom w:val="0"/>
      <w:divBdr>
        <w:top w:val="none" w:sz="0" w:space="0" w:color="auto"/>
        <w:left w:val="none" w:sz="0" w:space="0" w:color="auto"/>
        <w:bottom w:val="none" w:sz="0" w:space="0" w:color="auto"/>
        <w:right w:val="none" w:sz="0" w:space="0" w:color="auto"/>
      </w:divBdr>
    </w:div>
    <w:div w:id="1635597672">
      <w:bodyDiv w:val="1"/>
      <w:marLeft w:val="0"/>
      <w:marRight w:val="0"/>
      <w:marTop w:val="0"/>
      <w:marBottom w:val="0"/>
      <w:divBdr>
        <w:top w:val="none" w:sz="0" w:space="0" w:color="auto"/>
        <w:left w:val="none" w:sz="0" w:space="0" w:color="auto"/>
        <w:bottom w:val="none" w:sz="0" w:space="0" w:color="auto"/>
        <w:right w:val="none" w:sz="0" w:space="0" w:color="auto"/>
      </w:divBdr>
    </w:div>
    <w:div w:id="2053455984">
      <w:bodyDiv w:val="1"/>
      <w:marLeft w:val="0"/>
      <w:marRight w:val="0"/>
      <w:marTop w:val="0"/>
      <w:marBottom w:val="0"/>
      <w:divBdr>
        <w:top w:val="none" w:sz="0" w:space="0" w:color="auto"/>
        <w:left w:val="none" w:sz="0" w:space="0" w:color="auto"/>
        <w:bottom w:val="none" w:sz="0" w:space="0" w:color="auto"/>
        <w:right w:val="none" w:sz="0" w:space="0" w:color="auto"/>
      </w:divBdr>
      <w:divsChild>
        <w:div w:id="47270587">
          <w:marLeft w:val="547"/>
          <w:marRight w:val="0"/>
          <w:marTop w:val="106"/>
          <w:marBottom w:val="0"/>
          <w:divBdr>
            <w:top w:val="none" w:sz="0" w:space="0" w:color="auto"/>
            <w:left w:val="none" w:sz="0" w:space="0" w:color="auto"/>
            <w:bottom w:val="none" w:sz="0" w:space="0" w:color="auto"/>
            <w:right w:val="none" w:sz="0" w:space="0" w:color="auto"/>
          </w:divBdr>
        </w:div>
        <w:div w:id="534734872">
          <w:marLeft w:val="547"/>
          <w:marRight w:val="0"/>
          <w:marTop w:val="106"/>
          <w:marBottom w:val="0"/>
          <w:divBdr>
            <w:top w:val="none" w:sz="0" w:space="0" w:color="auto"/>
            <w:left w:val="none" w:sz="0" w:space="0" w:color="auto"/>
            <w:bottom w:val="none" w:sz="0" w:space="0" w:color="auto"/>
            <w:right w:val="none" w:sz="0" w:space="0" w:color="auto"/>
          </w:divBdr>
        </w:div>
        <w:div w:id="64311837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xpolicy.ird.govt.nz/publications/2018-ria-rdtc-bill/overvie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png@01D50B25.EABE67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11728</Words>
  <Characters>66851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Regulatory impact assessment - Research and development tax incentive – refundability (10 May 2019)</vt:lpstr>
    </vt:vector>
  </TitlesOfParts>
  <Company/>
  <LinksUpToDate>false</LinksUpToDate>
  <CharactersWithSpaces>78423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Research and development tax incentive – refundability (10 May 2019)</dc:title>
  <dc:subject/>
  <dc:creator>MBIE + Inland Revenue + Treasury + Callaghan Innovation</dc:creator>
  <cp:keywords/>
  <dc:description/>
  <dcterms:created xsi:type="dcterms:W3CDTF">2019-06-24T04:29:00Z</dcterms:created>
  <dcterms:modified xsi:type="dcterms:W3CDTF">2019-06-24T04:29:00Z</dcterms:modified>
</cp:coreProperties>
</file>