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5EDB7" w14:textId="4E0A9684" w:rsidR="00B63DD9" w:rsidRPr="00B63DD9" w:rsidRDefault="00B63DD9" w:rsidP="00B17548">
      <w:pPr>
        <w:spacing w:before="0"/>
        <w:jc w:val="right"/>
        <w:rPr>
          <w:b/>
          <w:bCs/>
        </w:rPr>
      </w:pPr>
      <w:bookmarkStart w:id="0" w:name="_GoBack"/>
      <w:bookmarkEnd w:id="0"/>
      <w:r w:rsidRPr="00B63DD9">
        <w:rPr>
          <w:b/>
          <w:bCs/>
        </w:rPr>
        <w:t>Policy and Strategy</w:t>
      </w:r>
    </w:p>
    <w:p w14:paraId="0B1DF503" w14:textId="073D2C4F" w:rsidR="00B63DD9" w:rsidRPr="00B63DD9" w:rsidRDefault="00B63DD9" w:rsidP="00B17548">
      <w:pPr>
        <w:spacing w:before="0"/>
        <w:jc w:val="right"/>
        <w:rPr>
          <w:b/>
          <w:bCs/>
        </w:rPr>
      </w:pPr>
      <w:r w:rsidRPr="00B63DD9">
        <w:rPr>
          <w:b/>
          <w:bCs/>
        </w:rPr>
        <w:t>Inland Revenue</w:t>
      </w:r>
    </w:p>
    <w:p w14:paraId="6902D487" w14:textId="70AC0E1A" w:rsidR="003B3058" w:rsidRPr="00C45880" w:rsidRDefault="00CF4A6F" w:rsidP="00B17548">
      <w:pPr>
        <w:spacing w:after="240"/>
        <w:jc w:val="right"/>
      </w:pPr>
      <w:r w:rsidRPr="00C45880">
        <w:rPr>
          <w:rFonts w:ascii="Verdana" w:hAnsi="Verdana" w:cs="Times New Roman"/>
          <w:b/>
          <w:noProof/>
          <w:sz w:val="32"/>
          <w:szCs w:val="20"/>
          <w:lang w:eastAsia="en-NZ"/>
        </w:rPr>
        <w:drawing>
          <wp:anchor distT="0" distB="0" distL="114300" distR="114300" simplePos="0" relativeHeight="251659264" behindDoc="0" locked="0" layoutInCell="1" allowOverlap="1" wp14:anchorId="164EAE1E" wp14:editId="637A843F">
            <wp:simplePos x="0" y="0"/>
            <wp:positionH relativeFrom="margin">
              <wp:align>left</wp:align>
            </wp:positionH>
            <wp:positionV relativeFrom="margin">
              <wp:align>top</wp:align>
            </wp:positionV>
            <wp:extent cx="2042160" cy="570230"/>
            <wp:effectExtent l="0" t="0" r="0" b="1270"/>
            <wp:wrapSquare wrapText="bothSides"/>
            <wp:docPr id="1" name="Picture 1" descr="Inland Revenue logo with Māori name, Te Tari Taake." title="Inland Reven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logo black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2160" cy="570230"/>
                    </a:xfrm>
                    <a:prstGeom prst="rect">
                      <a:avLst/>
                    </a:prstGeom>
                  </pic:spPr>
                </pic:pic>
              </a:graphicData>
            </a:graphic>
            <wp14:sizeRelH relativeFrom="page">
              <wp14:pctWidth>0</wp14:pctWidth>
            </wp14:sizeRelH>
            <wp14:sizeRelV relativeFrom="page">
              <wp14:pctHeight>0</wp14:pctHeight>
            </wp14:sizeRelV>
          </wp:anchor>
        </w:drawing>
      </w:r>
      <w:r w:rsidR="00B63DD9">
        <w:t>December</w:t>
      </w:r>
      <w:r w:rsidR="002A5ACD">
        <w:t xml:space="preserve"> 2019</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9781"/>
      </w:tblGrid>
      <w:tr w:rsidR="00B63DD9" w14:paraId="3337B02F" w14:textId="77777777" w:rsidTr="00B17548">
        <w:tc>
          <w:tcPr>
            <w:tcW w:w="9781" w:type="dxa"/>
            <w:shd w:val="clear" w:color="auto" w:fill="000000" w:themeFill="text1"/>
          </w:tcPr>
          <w:p w14:paraId="671BDE9A" w14:textId="707F0AA6" w:rsidR="00B63DD9" w:rsidRPr="00B63DD9" w:rsidRDefault="006F1355" w:rsidP="00B63DD9">
            <w:pPr>
              <w:spacing w:after="240"/>
              <w:rPr>
                <w:b/>
                <w:bCs/>
                <w:sz w:val="40"/>
                <w:szCs w:val="40"/>
              </w:rPr>
            </w:pPr>
            <w:r>
              <w:rPr>
                <w:b/>
                <w:bCs/>
                <w:sz w:val="40"/>
                <w:szCs w:val="40"/>
              </w:rPr>
              <w:t>Proposed changes to the i</w:t>
            </w:r>
            <w:r w:rsidR="00B63DD9" w:rsidRPr="00B63DD9">
              <w:rPr>
                <w:b/>
                <w:bCs/>
                <w:sz w:val="40"/>
                <w:szCs w:val="40"/>
              </w:rPr>
              <w:t xml:space="preserve">ncome tax treatment of leases </w:t>
            </w:r>
            <w:r w:rsidR="00842F43">
              <w:rPr>
                <w:b/>
                <w:bCs/>
                <w:sz w:val="40"/>
                <w:szCs w:val="40"/>
              </w:rPr>
              <w:t>where</w:t>
            </w:r>
            <w:r w:rsidR="00B63DD9" w:rsidRPr="00B63DD9">
              <w:rPr>
                <w:b/>
                <w:bCs/>
                <w:sz w:val="40"/>
                <w:szCs w:val="40"/>
              </w:rPr>
              <w:t xml:space="preserve"> </w:t>
            </w:r>
            <w:r w:rsidR="00842F43">
              <w:rPr>
                <w:b/>
                <w:bCs/>
                <w:sz w:val="40"/>
                <w:szCs w:val="40"/>
              </w:rPr>
              <w:t xml:space="preserve">IFRS </w:t>
            </w:r>
            <w:r w:rsidR="00B00C58">
              <w:rPr>
                <w:b/>
                <w:bCs/>
                <w:sz w:val="40"/>
                <w:szCs w:val="40"/>
              </w:rPr>
              <w:t xml:space="preserve">16 </w:t>
            </w:r>
            <w:r w:rsidR="00842F43">
              <w:rPr>
                <w:b/>
                <w:bCs/>
                <w:sz w:val="40"/>
                <w:szCs w:val="40"/>
              </w:rPr>
              <w:t>applies</w:t>
            </w:r>
          </w:p>
        </w:tc>
      </w:tr>
      <w:tr w:rsidR="00D90B2A" w14:paraId="217D5CB2" w14:textId="77777777" w:rsidTr="00B17548">
        <w:trPr>
          <w:trHeight w:val="68"/>
        </w:trPr>
        <w:tc>
          <w:tcPr>
            <w:tcW w:w="9781" w:type="dxa"/>
            <w:shd w:val="clear" w:color="auto" w:fill="auto"/>
          </w:tcPr>
          <w:p w14:paraId="1E4D95ED" w14:textId="77777777" w:rsidR="00D90B2A" w:rsidRPr="00B17548" w:rsidRDefault="00D90B2A" w:rsidP="00B17548">
            <w:pPr>
              <w:spacing w:before="0"/>
              <w:rPr>
                <w:color w:val="FFFFFF" w:themeColor="background1"/>
                <w:sz w:val="4"/>
                <w:szCs w:val="4"/>
              </w:rPr>
            </w:pPr>
          </w:p>
        </w:tc>
      </w:tr>
      <w:tr w:rsidR="00B63DD9" w14:paraId="06C8BF41" w14:textId="77777777" w:rsidTr="00B17548">
        <w:tc>
          <w:tcPr>
            <w:tcW w:w="9781" w:type="dxa"/>
            <w:shd w:val="clear" w:color="auto" w:fill="009900"/>
          </w:tcPr>
          <w:p w14:paraId="0990BBC2" w14:textId="3D8FBD0E" w:rsidR="00B4665F" w:rsidRPr="006D5663" w:rsidRDefault="00F5336F" w:rsidP="00B63DD9">
            <w:pPr>
              <w:rPr>
                <w:color w:val="FFFFFF" w:themeColor="background1"/>
                <w:sz w:val="28"/>
                <w:szCs w:val="28"/>
              </w:rPr>
            </w:pPr>
            <w:r>
              <w:rPr>
                <w:color w:val="FFFFFF" w:themeColor="background1"/>
                <w:sz w:val="28"/>
                <w:szCs w:val="28"/>
              </w:rPr>
              <w:t>The Government has agreed to p</w:t>
            </w:r>
            <w:r w:rsidR="00B4665F" w:rsidRPr="006D5663">
              <w:rPr>
                <w:color w:val="FFFFFF" w:themeColor="background1"/>
                <w:sz w:val="28"/>
                <w:szCs w:val="28"/>
              </w:rPr>
              <w:t xml:space="preserve">roposed changes </w:t>
            </w:r>
            <w:r>
              <w:rPr>
                <w:color w:val="FFFFFF" w:themeColor="background1"/>
                <w:sz w:val="28"/>
                <w:szCs w:val="28"/>
              </w:rPr>
              <w:t xml:space="preserve">that </w:t>
            </w:r>
            <w:r w:rsidR="00D90B2A" w:rsidRPr="006D5663">
              <w:rPr>
                <w:color w:val="FFFFFF" w:themeColor="background1"/>
                <w:sz w:val="28"/>
                <w:szCs w:val="28"/>
              </w:rPr>
              <w:t>w</w:t>
            </w:r>
            <w:r w:rsidR="00D90B2A">
              <w:rPr>
                <w:color w:val="FFFFFF" w:themeColor="background1"/>
                <w:sz w:val="28"/>
                <w:szCs w:val="28"/>
              </w:rPr>
              <w:t xml:space="preserve">ould </w:t>
            </w:r>
            <w:r w:rsidR="00B4665F" w:rsidRPr="006D5663">
              <w:rPr>
                <w:color w:val="FFFFFF" w:themeColor="background1"/>
                <w:sz w:val="28"/>
                <w:szCs w:val="28"/>
              </w:rPr>
              <w:t xml:space="preserve">allow taxpayers who apply </w:t>
            </w:r>
            <w:r>
              <w:rPr>
                <w:color w:val="FFFFFF" w:themeColor="background1"/>
                <w:sz w:val="28"/>
                <w:szCs w:val="28"/>
              </w:rPr>
              <w:t xml:space="preserve">the </w:t>
            </w:r>
            <w:r w:rsidR="00B4665F" w:rsidRPr="006D5663">
              <w:rPr>
                <w:i/>
                <w:iCs/>
                <w:color w:val="FFFFFF" w:themeColor="background1"/>
                <w:sz w:val="28"/>
                <w:szCs w:val="28"/>
              </w:rPr>
              <w:t>New Zealand Equivalent to International Financial Reporting Standard 16 Leases</w:t>
            </w:r>
            <w:r w:rsidR="00B4665F" w:rsidRPr="006D5663">
              <w:rPr>
                <w:color w:val="FFFFFF" w:themeColor="background1"/>
                <w:sz w:val="28"/>
                <w:szCs w:val="28"/>
              </w:rPr>
              <w:t xml:space="preserve"> (NZ IFRS 16</w:t>
            </w:r>
            <w:r w:rsidR="00D454E1">
              <w:rPr>
                <w:color w:val="FFFFFF" w:themeColor="background1"/>
                <w:sz w:val="28"/>
                <w:szCs w:val="28"/>
              </w:rPr>
              <w:t xml:space="preserve"> or </w:t>
            </w:r>
            <w:r w:rsidR="00D454E1" w:rsidRPr="00D454E1">
              <w:rPr>
                <w:color w:val="FFFFFF" w:themeColor="background1"/>
                <w:sz w:val="28"/>
                <w:szCs w:val="28"/>
              </w:rPr>
              <w:t>IFRS 16</w:t>
            </w:r>
            <w:r w:rsidR="00D454E1">
              <w:rPr>
                <w:color w:val="FFFFFF" w:themeColor="background1"/>
                <w:sz w:val="28"/>
                <w:szCs w:val="28"/>
              </w:rPr>
              <w:t>)</w:t>
            </w:r>
            <w:r w:rsidR="00B4665F" w:rsidRPr="006D5663">
              <w:rPr>
                <w:color w:val="FFFFFF" w:themeColor="background1"/>
                <w:sz w:val="28"/>
                <w:szCs w:val="28"/>
              </w:rPr>
              <w:t xml:space="preserve"> to </w:t>
            </w:r>
            <w:r w:rsidR="0016213B" w:rsidRPr="0016213B">
              <w:rPr>
                <w:color w:val="FFFFFF" w:themeColor="background1"/>
                <w:sz w:val="28"/>
                <w:szCs w:val="28"/>
              </w:rPr>
              <w:t>more closely follow their accounting treatment of leases for tax purposes</w:t>
            </w:r>
            <w:r w:rsidR="0016213B">
              <w:rPr>
                <w:color w:val="FFFFFF" w:themeColor="background1"/>
                <w:sz w:val="28"/>
                <w:szCs w:val="28"/>
              </w:rPr>
              <w:t>.</w:t>
            </w:r>
          </w:p>
          <w:p w14:paraId="7A6EC6AC" w14:textId="082A9012" w:rsidR="00B63DD9" w:rsidRPr="00B63DD9" w:rsidRDefault="00B4665F" w:rsidP="00B63DD9">
            <w:pPr>
              <w:spacing w:after="240"/>
              <w:rPr>
                <w:sz w:val="28"/>
                <w:szCs w:val="28"/>
              </w:rPr>
            </w:pPr>
            <w:r w:rsidRPr="006D5663">
              <w:rPr>
                <w:color w:val="FFFFFF" w:themeColor="background1"/>
                <w:sz w:val="28"/>
                <w:szCs w:val="28"/>
              </w:rPr>
              <w:t>The proposed changes will be included in a tax bill in early 2020, and would apply</w:t>
            </w:r>
            <w:r w:rsidR="006D5663" w:rsidRPr="006D5663">
              <w:rPr>
                <w:color w:val="FFFFFF" w:themeColor="background1"/>
                <w:sz w:val="28"/>
                <w:szCs w:val="28"/>
              </w:rPr>
              <w:t xml:space="preserve"> f</w:t>
            </w:r>
            <w:r w:rsidR="0016213B">
              <w:rPr>
                <w:color w:val="FFFFFF" w:themeColor="background1"/>
                <w:sz w:val="28"/>
                <w:szCs w:val="28"/>
              </w:rPr>
              <w:t>or</w:t>
            </w:r>
            <w:r w:rsidR="006D5663" w:rsidRPr="006D5663">
              <w:rPr>
                <w:color w:val="FFFFFF" w:themeColor="background1"/>
                <w:sz w:val="28"/>
                <w:szCs w:val="28"/>
              </w:rPr>
              <w:t xml:space="preserve"> income years starting on or after 1 January 2019.</w:t>
            </w:r>
          </w:p>
        </w:tc>
      </w:tr>
    </w:tbl>
    <w:p w14:paraId="00A1980F" w14:textId="14F96747" w:rsidR="00B4665F" w:rsidRDefault="00DF19B0" w:rsidP="00A00113">
      <w:pPr>
        <w:pStyle w:val="Heading1"/>
      </w:pPr>
      <w:r>
        <w:t>Background</w:t>
      </w:r>
    </w:p>
    <w:p w14:paraId="44A87E4F" w14:textId="7885EC39" w:rsidR="007755AC" w:rsidRDefault="0016213B" w:rsidP="006D5663">
      <w:r>
        <w:t>T</w:t>
      </w:r>
      <w:r w:rsidR="006D5663" w:rsidRPr="006F1355">
        <w:t xml:space="preserve">he </w:t>
      </w:r>
      <w:r w:rsidR="00842F43">
        <w:t>G</w:t>
      </w:r>
      <w:r w:rsidR="00DF19B0">
        <w:t xml:space="preserve">overnment has agreed to </w:t>
      </w:r>
      <w:r w:rsidR="006D5663" w:rsidRPr="006F1355">
        <w:t xml:space="preserve">proposed changes </w:t>
      </w:r>
      <w:r w:rsidR="00DF19B0">
        <w:t xml:space="preserve">that </w:t>
      </w:r>
      <w:r w:rsidR="00D90B2A" w:rsidRPr="006F1355">
        <w:t>w</w:t>
      </w:r>
      <w:r w:rsidR="00D90B2A">
        <w:t>ould</w:t>
      </w:r>
      <w:r w:rsidR="00D90B2A" w:rsidRPr="006F1355">
        <w:t xml:space="preserve"> </w:t>
      </w:r>
      <w:r w:rsidR="006D5663" w:rsidRPr="006F1355">
        <w:t>allow qualifying taxpayers to more closely follow their accounting treatment of leases for tax purposes</w:t>
      </w:r>
      <w:r w:rsidR="00D90B2A">
        <w:t>, if they</w:t>
      </w:r>
      <w:r w:rsidR="00D90B2A" w:rsidRPr="006F1355">
        <w:t xml:space="preserve"> choose to do so</w:t>
      </w:r>
      <w:r w:rsidR="006D5663" w:rsidRPr="006F1355">
        <w:t>.</w:t>
      </w:r>
    </w:p>
    <w:p w14:paraId="3DF880CB" w14:textId="30EE9166" w:rsidR="00DF19B0" w:rsidRDefault="00DF19B0" w:rsidP="00DF19B0">
      <w:r w:rsidRPr="006F1355">
        <w:t>The proposed tax changes result from the replacement of the previous accounting standard for leases</w:t>
      </w:r>
      <w:r>
        <w:t>,</w:t>
      </w:r>
      <w:r w:rsidRPr="006F1355">
        <w:t xml:space="preserve"> </w:t>
      </w:r>
      <w:r w:rsidRPr="006D5663">
        <w:rPr>
          <w:i/>
          <w:iCs/>
        </w:rPr>
        <w:t>New Zealand Equivalent to International Accounting Standard 17 Leases</w:t>
      </w:r>
      <w:r w:rsidRPr="006F1355">
        <w:t xml:space="preserve"> (NZ IAS 17)</w:t>
      </w:r>
      <w:r>
        <w:t xml:space="preserve">, with </w:t>
      </w:r>
      <w:r w:rsidRPr="0016213B">
        <w:rPr>
          <w:i/>
          <w:iCs/>
        </w:rPr>
        <w:t>New Zealand Equivalent to International Financial Reporting Standard 16 Leases (</w:t>
      </w:r>
      <w:r w:rsidRPr="006F1355">
        <w:t xml:space="preserve">NZ IFRS 16 or </w:t>
      </w:r>
      <w:r w:rsidR="00D454E1" w:rsidRPr="006F1355">
        <w:t>IFRS</w:t>
      </w:r>
      <w:r w:rsidR="00D454E1">
        <w:t> </w:t>
      </w:r>
      <w:r w:rsidRPr="006F1355">
        <w:t>16</w:t>
      </w:r>
      <w:r w:rsidRPr="0016213B">
        <w:rPr>
          <w:i/>
          <w:iCs/>
        </w:rPr>
        <w:t>)</w:t>
      </w:r>
      <w:r>
        <w:rPr>
          <w:i/>
          <w:iCs/>
        </w:rPr>
        <w:t xml:space="preserve">. </w:t>
      </w:r>
      <w:r w:rsidR="00D454E1">
        <w:t xml:space="preserve">IFRS </w:t>
      </w:r>
      <w:r>
        <w:t>16</w:t>
      </w:r>
      <w:r w:rsidRPr="006F1355">
        <w:t xml:space="preserve"> applies to income years starting on or after 1 January 2019</w:t>
      </w:r>
      <w:r>
        <w:t>.</w:t>
      </w:r>
    </w:p>
    <w:p w14:paraId="2C7C8462" w14:textId="4B4CC6AD" w:rsidR="00E9257E" w:rsidRDefault="00DF19B0" w:rsidP="00DF19B0">
      <w:r>
        <w:t>T</w:t>
      </w:r>
      <w:r w:rsidR="0016213B" w:rsidRPr="006F1355">
        <w:t xml:space="preserve">he proposed rules </w:t>
      </w:r>
      <w:r>
        <w:t>will be</w:t>
      </w:r>
      <w:r w:rsidR="0016213B" w:rsidRPr="006F1355">
        <w:t xml:space="preserve"> included in a tax bill </w:t>
      </w:r>
      <w:r>
        <w:t>planned for introduction in</w:t>
      </w:r>
      <w:r w:rsidR="0016213B" w:rsidRPr="006F1355">
        <w:t xml:space="preserve"> early 2020.</w:t>
      </w:r>
      <w:r>
        <w:t xml:space="preserve"> They </w:t>
      </w:r>
      <w:r w:rsidR="00E9257E">
        <w:t>would apply to taxpayers with IFRS reporting obligations for income years starting on or after 1</w:t>
      </w:r>
      <w:r>
        <w:t> </w:t>
      </w:r>
      <w:r w:rsidR="00E9257E">
        <w:t>January</w:t>
      </w:r>
      <w:r>
        <w:t> </w:t>
      </w:r>
      <w:r w:rsidR="00E9257E">
        <w:t>2019</w:t>
      </w:r>
      <w:r>
        <w:t>,</w:t>
      </w:r>
      <w:r w:rsidR="00E9257E">
        <w:t xml:space="preserve"> to align with the commencement of IFRS 16.</w:t>
      </w:r>
    </w:p>
    <w:p w14:paraId="348CA09D" w14:textId="2CD3C151" w:rsidR="00842F43" w:rsidRPr="00842F43" w:rsidRDefault="00F355F1" w:rsidP="00842F43">
      <w:pPr>
        <w:pStyle w:val="Heading1"/>
      </w:pPr>
      <w:r>
        <w:t>Summary</w:t>
      </w:r>
      <w:r w:rsidR="00D454E1">
        <w:t xml:space="preserve"> of the proposed changes</w:t>
      </w:r>
    </w:p>
    <w:p w14:paraId="4DD458A2" w14:textId="79E1549B" w:rsidR="00767C45" w:rsidRDefault="00D454E1" w:rsidP="006D5663">
      <w:pPr>
        <w:pStyle w:val="Heading2"/>
      </w:pPr>
      <w:r>
        <w:t>No changes for n</w:t>
      </w:r>
      <w:r w:rsidR="002A5ACD">
        <w:t>on-IFRS taxpayers</w:t>
      </w:r>
    </w:p>
    <w:p w14:paraId="03430DE8" w14:textId="132F2C6B" w:rsidR="002A5ACD" w:rsidRDefault="005517F7" w:rsidP="002D2655">
      <w:r>
        <w:t xml:space="preserve">No </w:t>
      </w:r>
      <w:r w:rsidR="00F355F1">
        <w:t xml:space="preserve">changes </w:t>
      </w:r>
      <w:r>
        <w:t xml:space="preserve">are proposed </w:t>
      </w:r>
      <w:r w:rsidR="00F355F1" w:rsidRPr="002A5ACD">
        <w:t>to the tax treatment of leases</w:t>
      </w:r>
      <w:r>
        <w:t xml:space="preserve"> for </w:t>
      </w:r>
      <w:r w:rsidRPr="002A5ACD">
        <w:t xml:space="preserve">taxpayers that </w:t>
      </w:r>
      <w:r>
        <w:t xml:space="preserve">do not </w:t>
      </w:r>
      <w:r w:rsidRPr="002A5ACD">
        <w:t xml:space="preserve">have </w:t>
      </w:r>
      <w:r>
        <w:t>I</w:t>
      </w:r>
      <w:r w:rsidRPr="002A5ACD">
        <w:t>FRS reporting obligations</w:t>
      </w:r>
      <w:r>
        <w:t>.</w:t>
      </w:r>
    </w:p>
    <w:p w14:paraId="78AE3B1B" w14:textId="13C7B966" w:rsidR="00767C45" w:rsidRDefault="00D454E1" w:rsidP="006D5663">
      <w:pPr>
        <w:pStyle w:val="Heading2"/>
      </w:pPr>
      <w:r>
        <w:t>Updates to the</w:t>
      </w:r>
      <w:r w:rsidR="00D90B2A">
        <w:t xml:space="preserve"> t</w:t>
      </w:r>
      <w:r w:rsidR="002A5ACD">
        <w:t>ax definition of finance leases and operating leases</w:t>
      </w:r>
    </w:p>
    <w:p w14:paraId="5E484082" w14:textId="0CA0C041" w:rsidR="002A5ACD" w:rsidRDefault="002A5ACD" w:rsidP="002A5ACD">
      <w:r>
        <w:t>The definition of finance lease in section YA 1 of the Income Tax Act 2007 refers to NZ</w:t>
      </w:r>
      <w:r w:rsidR="00E9257E">
        <w:t xml:space="preserve"> </w:t>
      </w:r>
      <w:r>
        <w:t xml:space="preserve">IAS 17. </w:t>
      </w:r>
      <w:r w:rsidR="005517F7">
        <w:t>The</w:t>
      </w:r>
      <w:r w:rsidR="00AE65C1">
        <w:t xml:space="preserve"> </w:t>
      </w:r>
      <w:r>
        <w:t xml:space="preserve">proposed </w:t>
      </w:r>
      <w:r w:rsidR="005517F7">
        <w:t>changes would update t</w:t>
      </w:r>
      <w:r w:rsidR="00AE65C1">
        <w:t xml:space="preserve">he definition </w:t>
      </w:r>
      <w:r>
        <w:t>to refer to IFRS 16.</w:t>
      </w:r>
    </w:p>
    <w:p w14:paraId="6468B0AD" w14:textId="2A321000" w:rsidR="002A5ACD" w:rsidRDefault="00D90B2A" w:rsidP="002A5ACD">
      <w:r>
        <w:t>N</w:t>
      </w:r>
      <w:r w:rsidR="00AE65C1">
        <w:t xml:space="preserve">o </w:t>
      </w:r>
      <w:r>
        <w:t>changes are proposed</w:t>
      </w:r>
      <w:r w:rsidR="00AE65C1">
        <w:t xml:space="preserve"> to t</w:t>
      </w:r>
      <w:r w:rsidR="002A5ACD">
        <w:t>he existing boundary between finance leases and operating leases for tax purposes.</w:t>
      </w:r>
    </w:p>
    <w:p w14:paraId="20C32F4F" w14:textId="58AF8ED6" w:rsidR="00767C45" w:rsidRPr="00C45880" w:rsidRDefault="002A5ACD" w:rsidP="006D5663">
      <w:pPr>
        <w:pStyle w:val="Heading2"/>
      </w:pPr>
      <w:r>
        <w:lastRenderedPageBreak/>
        <w:t>Finance leases</w:t>
      </w:r>
      <w:r w:rsidR="00D454E1">
        <w:t xml:space="preserve"> and the yield to maturity method</w:t>
      </w:r>
    </w:p>
    <w:p w14:paraId="008B5E0D" w14:textId="12BCBC1A" w:rsidR="002A5ACD" w:rsidRDefault="002A5ACD" w:rsidP="00767C45">
      <w:r w:rsidRPr="002A5ACD">
        <w:t xml:space="preserve">Section EW 15I allows a person who has a tax finance lease that is classified as an operating lease under NZ IAS 17 to apply the yield to maturity method. </w:t>
      </w:r>
      <w:r w:rsidR="00A81BB8" w:rsidRPr="002A5ACD">
        <w:t>IFRS 16</w:t>
      </w:r>
      <w:r w:rsidR="00A81BB8">
        <w:t xml:space="preserve"> removes the </w:t>
      </w:r>
      <w:r w:rsidRPr="002A5ACD">
        <w:t>accounting distinction between operating and finance leases</w:t>
      </w:r>
      <w:r w:rsidR="00DE282E">
        <w:t xml:space="preserve"> for lessees</w:t>
      </w:r>
      <w:r w:rsidR="00AE65C1">
        <w:t>. H</w:t>
      </w:r>
      <w:r w:rsidRPr="002A5ACD">
        <w:t xml:space="preserve">owever, the yield to maturity method </w:t>
      </w:r>
      <w:r w:rsidR="00DE282E">
        <w:t>will</w:t>
      </w:r>
      <w:r w:rsidR="00241556">
        <w:t xml:space="preserve"> </w:t>
      </w:r>
      <w:r w:rsidRPr="002A5ACD">
        <w:t>continue to be available for these leases.</w:t>
      </w:r>
    </w:p>
    <w:p w14:paraId="7B583B04" w14:textId="65F74DD9" w:rsidR="00767C45" w:rsidRPr="00C45880" w:rsidRDefault="00B17548" w:rsidP="006D5663">
      <w:pPr>
        <w:pStyle w:val="Heading2"/>
      </w:pPr>
      <w:r>
        <w:t>L</w:t>
      </w:r>
      <w:r w:rsidR="002A5ACD">
        <w:t>essors under tax operating leases for IFRS taxpayers</w:t>
      </w:r>
    </w:p>
    <w:p w14:paraId="72F59A1F" w14:textId="27674F1A" w:rsidR="002A5ACD" w:rsidRDefault="002A5ACD" w:rsidP="00767C45">
      <w:r>
        <w:t xml:space="preserve">No changes are proposed </w:t>
      </w:r>
      <w:r w:rsidR="009A4D68">
        <w:t xml:space="preserve">to </w:t>
      </w:r>
      <w:r>
        <w:t>the tax treatment of lessors.</w:t>
      </w:r>
    </w:p>
    <w:p w14:paraId="76FC7C89" w14:textId="415269BF" w:rsidR="00767C45" w:rsidRPr="00C45880" w:rsidRDefault="00B17548" w:rsidP="006D5663">
      <w:pPr>
        <w:pStyle w:val="Heading2"/>
      </w:pPr>
      <w:r>
        <w:t>L</w:t>
      </w:r>
      <w:r w:rsidR="002A5ACD">
        <w:t>essees under tax operating leases for IFRS taxpayers</w:t>
      </w:r>
    </w:p>
    <w:p w14:paraId="474AB3C1" w14:textId="3F1A47B4" w:rsidR="00767C45" w:rsidRDefault="002A5ACD" w:rsidP="00767C45">
      <w:r w:rsidRPr="002A5ACD">
        <w:t xml:space="preserve">The </w:t>
      </w:r>
      <w:r w:rsidR="009A4D68" w:rsidRPr="002A5ACD">
        <w:t>propos</w:t>
      </w:r>
      <w:r w:rsidR="009A4D68">
        <w:t>ed changes</w:t>
      </w:r>
      <w:r w:rsidR="009A4D68" w:rsidRPr="002A5ACD">
        <w:t xml:space="preserve"> </w:t>
      </w:r>
      <w:r w:rsidRPr="002A5ACD">
        <w:t>are optional. IFRS taxpayer</w:t>
      </w:r>
      <w:r w:rsidR="00AE65C1">
        <w:t>s</w:t>
      </w:r>
      <w:r w:rsidRPr="002A5ACD">
        <w:t xml:space="preserve"> who choose </w:t>
      </w:r>
      <w:r w:rsidR="00AE65C1">
        <w:t xml:space="preserve">not </w:t>
      </w:r>
      <w:r w:rsidRPr="002A5ACD">
        <w:t xml:space="preserve">to align with </w:t>
      </w:r>
      <w:r w:rsidR="00AE65C1" w:rsidRPr="002A5ACD">
        <w:t>IFRS</w:t>
      </w:r>
      <w:r w:rsidR="00AE65C1">
        <w:t> </w:t>
      </w:r>
      <w:r w:rsidRPr="002A5ACD">
        <w:t>16 for tax purposes</w:t>
      </w:r>
      <w:r w:rsidR="005A467B">
        <w:t xml:space="preserve"> can</w:t>
      </w:r>
      <w:r w:rsidRPr="002A5ACD">
        <w:t xml:space="preserve"> continue to</w:t>
      </w:r>
      <w:r w:rsidR="00AE65C1">
        <w:t xml:space="preserve"> </w:t>
      </w:r>
      <w:r w:rsidRPr="002A5ACD">
        <w:t>follow their existing treatment.</w:t>
      </w:r>
    </w:p>
    <w:p w14:paraId="608CC780" w14:textId="77777777" w:rsidR="00767C45" w:rsidRPr="00C45880" w:rsidRDefault="002A5ACD" w:rsidP="006D5663">
      <w:pPr>
        <w:pStyle w:val="Heading3"/>
      </w:pPr>
      <w:r>
        <w:t>Optional election</w:t>
      </w:r>
    </w:p>
    <w:p w14:paraId="4C890309" w14:textId="4E3F1BD9" w:rsidR="00AE65C1" w:rsidRDefault="002A5ACD" w:rsidP="00767C45">
      <w:r w:rsidRPr="002A5ACD">
        <w:t>A taxpayer that applies IFRS 16 can make a one-off choice to more closely align their accounting and tax treatment of operating leases</w:t>
      </w:r>
      <w:r w:rsidR="00A81BB8">
        <w:t xml:space="preserve"> </w:t>
      </w:r>
      <w:r w:rsidR="00A81BB8" w:rsidRPr="002A5ACD">
        <w:t>for tax purposes</w:t>
      </w:r>
      <w:r w:rsidRPr="002A5ACD">
        <w:t>.</w:t>
      </w:r>
    </w:p>
    <w:p w14:paraId="6D2684DD" w14:textId="4E966A1E" w:rsidR="00767C45" w:rsidRDefault="00A81BB8" w:rsidP="00767C45">
      <w:r>
        <w:t>It is proposed that th</w:t>
      </w:r>
      <w:r w:rsidR="00AE65C1">
        <w:t xml:space="preserve">e </w:t>
      </w:r>
      <w:r w:rsidR="002A5ACD" w:rsidRPr="002A5ACD">
        <w:t xml:space="preserve">election </w:t>
      </w:r>
      <w:r w:rsidR="00AE65C1">
        <w:t>would</w:t>
      </w:r>
      <w:r w:rsidR="002A5ACD" w:rsidRPr="002A5ACD">
        <w:t xml:space="preserve"> be made by calculating deductions </w:t>
      </w:r>
      <w:r w:rsidRPr="002A5ACD">
        <w:t>u</w:t>
      </w:r>
      <w:r>
        <w:t>sing</w:t>
      </w:r>
      <w:r w:rsidRPr="002A5ACD">
        <w:t xml:space="preserve"> </w:t>
      </w:r>
      <w:r w:rsidR="002A5ACD" w:rsidRPr="002A5ACD">
        <w:t xml:space="preserve">the proposed rules in the income tax return for the year the choice is made. No separate election </w:t>
      </w:r>
      <w:r w:rsidR="005A467B">
        <w:t>would</w:t>
      </w:r>
      <w:r w:rsidR="002A5ACD" w:rsidRPr="002A5ACD">
        <w:t xml:space="preserve"> be required. </w:t>
      </w:r>
      <w:r>
        <w:t>O</w:t>
      </w:r>
      <w:r w:rsidR="002A5ACD" w:rsidRPr="002A5ACD">
        <w:t>nce a taxpayer makes this choice they will have to continue to follow this method in all future years where they follow IFRS 16 for accounting purposes.</w:t>
      </w:r>
    </w:p>
    <w:p w14:paraId="0920664B" w14:textId="77777777" w:rsidR="002A5ACD" w:rsidRDefault="002A5ACD" w:rsidP="006D5663">
      <w:pPr>
        <w:pStyle w:val="Heading3"/>
      </w:pPr>
      <w:r>
        <w:t>Leases within the scope of the proposed rules</w:t>
      </w:r>
    </w:p>
    <w:p w14:paraId="32D9729E" w14:textId="36A0B87C" w:rsidR="002A5ACD" w:rsidRDefault="002A5ACD" w:rsidP="002A5ACD">
      <w:r>
        <w:t xml:space="preserve">A taxpayer choosing to align with IFRS 16 for tax purposes </w:t>
      </w:r>
      <w:r w:rsidR="007F2F36">
        <w:t xml:space="preserve">would </w:t>
      </w:r>
      <w:r>
        <w:t xml:space="preserve">be required to follow the proposed rules for all tax operating leases where they are the lessee. This </w:t>
      </w:r>
      <w:r w:rsidR="007F2F36">
        <w:t xml:space="preserve">would </w:t>
      </w:r>
      <w:r>
        <w:t>apply to all existing leases at the time the choice is made</w:t>
      </w:r>
      <w:r w:rsidR="00E9257E">
        <w:t>,</w:t>
      </w:r>
      <w:r>
        <w:t xml:space="preserve"> as well as all operating leases entered into after </w:t>
      </w:r>
      <w:r w:rsidR="007F2F36">
        <w:t>this</w:t>
      </w:r>
      <w:r>
        <w:t>.</w:t>
      </w:r>
    </w:p>
    <w:p w14:paraId="666F0CA9" w14:textId="4ED23055" w:rsidR="002A5ACD" w:rsidRDefault="002A5ACD" w:rsidP="002A5ACD">
      <w:r>
        <w:t xml:space="preserve">However, it is proposed that a taxpayer </w:t>
      </w:r>
      <w:r w:rsidR="007F2F36">
        <w:t xml:space="preserve">would </w:t>
      </w:r>
      <w:r>
        <w:t>continue to follow their existing treatment for the following tax operating leases:</w:t>
      </w:r>
    </w:p>
    <w:p w14:paraId="008ECA63" w14:textId="2F379DA1" w:rsidR="002A5ACD" w:rsidRDefault="00E9257E" w:rsidP="002A5ACD">
      <w:pPr>
        <w:pStyle w:val="List-Bullet"/>
      </w:pPr>
      <w:r>
        <w:t>a</w:t>
      </w:r>
      <w:r w:rsidR="002A5ACD">
        <w:t xml:space="preserve"> lease of real property</w:t>
      </w:r>
      <w:r>
        <w:t>;</w:t>
      </w:r>
    </w:p>
    <w:p w14:paraId="00F6DC76" w14:textId="53FB3EB4" w:rsidR="002A5ACD" w:rsidRDefault="00E9257E" w:rsidP="002A5ACD">
      <w:pPr>
        <w:pStyle w:val="List-Bullet"/>
      </w:pPr>
      <w:r>
        <w:t>a</w:t>
      </w:r>
      <w:r w:rsidR="002A5ACD">
        <w:t xml:space="preserve"> lease from an associated party</w:t>
      </w:r>
      <w:r>
        <w:t>; and</w:t>
      </w:r>
    </w:p>
    <w:p w14:paraId="19743997" w14:textId="70950B10" w:rsidR="002A5ACD" w:rsidRDefault="00E9257E" w:rsidP="00842F43">
      <w:pPr>
        <w:pStyle w:val="List-Bullet"/>
        <w:spacing w:after="240"/>
      </w:pPr>
      <w:r>
        <w:t>a</w:t>
      </w:r>
      <w:r w:rsidR="002A5ACD">
        <w:t xml:space="preserve"> lease where the asset is subleased</w:t>
      </w:r>
      <w:r>
        <w:t>.</w:t>
      </w:r>
    </w:p>
    <w:p w14:paraId="0B2D9967" w14:textId="77777777" w:rsidR="002A5ACD" w:rsidRDefault="002A5ACD" w:rsidP="006D5663">
      <w:pPr>
        <w:pStyle w:val="Heading4"/>
      </w:pPr>
      <w:r>
        <w:t>Real property</w:t>
      </w:r>
    </w:p>
    <w:p w14:paraId="3A95BE06" w14:textId="77777777" w:rsidR="002A5ACD" w:rsidRDefault="002A5ACD" w:rsidP="002A5ACD">
      <w:r w:rsidRPr="002A5ACD">
        <w:t>The Income Tax Act 2007 already treats all leases of real property as an operating lease. The proposed rules carve out real property, using the existing boundary, so that a lease of real property will continue to follow the existing treatment even when a taxpayer has chosen to align with IFRS 16 for tax purposes for other leases.</w:t>
      </w:r>
    </w:p>
    <w:p w14:paraId="448D6BB8" w14:textId="77777777" w:rsidR="002A5ACD" w:rsidRDefault="002A5ACD" w:rsidP="006D5663">
      <w:pPr>
        <w:pStyle w:val="Heading4"/>
      </w:pPr>
      <w:r>
        <w:t>Associated parties</w:t>
      </w:r>
    </w:p>
    <w:p w14:paraId="0753DC5B" w14:textId="20D64B04" w:rsidR="002A5ACD" w:rsidRDefault="002A5ACD" w:rsidP="002A5ACD">
      <w:r w:rsidRPr="002A5ACD">
        <w:t xml:space="preserve">The different treatment between lessors and lessees under IFRS 16 means </w:t>
      </w:r>
      <w:r w:rsidR="00E234DE">
        <w:t xml:space="preserve">that </w:t>
      </w:r>
      <w:r w:rsidRPr="002A5ACD">
        <w:t>if a taxpayer could choose to align with IFRS 16 for tax purposes for an asset they leased to an associated party</w:t>
      </w:r>
      <w:r w:rsidR="00770CA9">
        <w:t>,</w:t>
      </w:r>
      <w:r w:rsidRPr="002A5ACD">
        <w:t xml:space="preserve"> </w:t>
      </w:r>
      <w:r w:rsidR="00E234DE">
        <w:t>it</w:t>
      </w:r>
      <w:r w:rsidR="00E234DE" w:rsidRPr="002A5ACD">
        <w:t xml:space="preserve"> </w:t>
      </w:r>
      <w:r w:rsidRPr="002A5ACD">
        <w:t>would result in a tax timing advantage compared to retaining it in the first taxpayer. To prevent this scenario the proposed rules continue to use the existing tax treatment for all operating leases from an associated party.</w:t>
      </w:r>
    </w:p>
    <w:p w14:paraId="2AE29D22" w14:textId="6D88FCE5" w:rsidR="002A5ACD" w:rsidRDefault="000A4C61" w:rsidP="002A5ACD">
      <w:r>
        <w:lastRenderedPageBreak/>
        <w:t>T</w:t>
      </w:r>
      <w:r w:rsidR="002A5ACD" w:rsidRPr="002A5ACD">
        <w:t xml:space="preserve">wo unassociated parties </w:t>
      </w:r>
      <w:r>
        <w:t>m</w:t>
      </w:r>
      <w:r w:rsidR="00770CA9">
        <w:t>ight</w:t>
      </w:r>
      <w:r>
        <w:t xml:space="preserve"> </w:t>
      </w:r>
      <w:r w:rsidR="002A5ACD" w:rsidRPr="002A5ACD">
        <w:t xml:space="preserve">enter into an operating lease under the proposed rules </w:t>
      </w:r>
      <w:r w:rsidR="00770CA9">
        <w:t xml:space="preserve">and </w:t>
      </w:r>
      <w:r w:rsidR="002A5ACD" w:rsidRPr="002A5ACD">
        <w:t xml:space="preserve">then subsequently become associated, for example </w:t>
      </w:r>
      <w:r w:rsidR="00770CA9">
        <w:t>because of</w:t>
      </w:r>
      <w:r w:rsidR="002A5ACD" w:rsidRPr="002A5ACD">
        <w:t xml:space="preserve"> a change in shareholding</w:t>
      </w:r>
      <w:r>
        <w:t xml:space="preserve">. It is proposed that </w:t>
      </w:r>
      <w:r w:rsidR="002A5ACD" w:rsidRPr="002A5ACD">
        <w:t xml:space="preserve">the tax treatment of that lease </w:t>
      </w:r>
      <w:r w:rsidR="00770CA9">
        <w:t>would</w:t>
      </w:r>
      <w:r w:rsidR="002A5ACD" w:rsidRPr="002A5ACD">
        <w:t xml:space="preserve"> revert to the existing treatment including </w:t>
      </w:r>
      <w:r w:rsidR="00770CA9">
        <w:t xml:space="preserve">an adjustment, as described </w:t>
      </w:r>
      <w:r w:rsidR="00241556">
        <w:t>in the c</w:t>
      </w:r>
      <w:r w:rsidR="00DE282E" w:rsidRPr="00DE282E">
        <w:t>easing to be a lessee to a qualifying lease</w:t>
      </w:r>
      <w:r w:rsidR="00241556">
        <w:t xml:space="preserve"> section</w:t>
      </w:r>
      <w:r w:rsidR="002A5ACD" w:rsidRPr="002A5ACD">
        <w:t>.</w:t>
      </w:r>
    </w:p>
    <w:p w14:paraId="36950166" w14:textId="68C9B00A" w:rsidR="002A5ACD" w:rsidRDefault="002A5ACD" w:rsidP="006D5663">
      <w:pPr>
        <w:pStyle w:val="Heading4"/>
      </w:pPr>
      <w:r>
        <w:t>Subleases</w:t>
      </w:r>
    </w:p>
    <w:p w14:paraId="39BBCD91" w14:textId="0E943019" w:rsidR="002A5ACD" w:rsidRDefault="002A5ACD" w:rsidP="002A5ACD">
      <w:r>
        <w:t xml:space="preserve">Under IFRS 16, when an asset is subleased to a second person the asset in the first person’s balance sheet changes from a right-of-use asset to a lease receivable where the sublease of the lessor is a finance lease for accounting. If </w:t>
      </w:r>
      <w:r w:rsidR="00A564A2">
        <w:t xml:space="preserve">the </w:t>
      </w:r>
      <w:r>
        <w:t xml:space="preserve">tax </w:t>
      </w:r>
      <w:r w:rsidR="00A564A2">
        <w:t xml:space="preserve">treatment </w:t>
      </w:r>
      <w:r>
        <w:t>followed the accounting treatment</w:t>
      </w:r>
      <w:r w:rsidR="00A564A2">
        <w:t>,</w:t>
      </w:r>
      <w:r>
        <w:t xml:space="preserve"> a taxpayer would not be entitled to deductions for the amortisation of the right-of-use asset. To resolve this situation the proposed rules continue to use the existing tax treatment for all operating leases when the asset is subleased to another person.</w:t>
      </w:r>
    </w:p>
    <w:p w14:paraId="064474D4" w14:textId="3B5ADA06" w:rsidR="002A5ACD" w:rsidRDefault="002A5ACD" w:rsidP="002A5ACD">
      <w:r>
        <w:t xml:space="preserve">If an asset is subleased to another person part way through a lease </w:t>
      </w:r>
      <w:r w:rsidR="006A6F84">
        <w:t>term,</w:t>
      </w:r>
      <w:r>
        <w:t xml:space="preserve"> then the tax treatment of that lease </w:t>
      </w:r>
      <w:r w:rsidR="00E234DE">
        <w:t xml:space="preserve">would </w:t>
      </w:r>
      <w:r>
        <w:t xml:space="preserve">have to revert to the existing treatment </w:t>
      </w:r>
      <w:r w:rsidR="00E234DE">
        <w:t xml:space="preserve">and include </w:t>
      </w:r>
      <w:r>
        <w:t>a</w:t>
      </w:r>
      <w:r w:rsidR="00770CA9">
        <w:t>n adjustment,</w:t>
      </w:r>
      <w:r>
        <w:t xml:space="preserve"> as described </w:t>
      </w:r>
      <w:r w:rsidR="00770CA9">
        <w:t xml:space="preserve">in </w:t>
      </w:r>
      <w:r w:rsidR="00A564A2">
        <w:t xml:space="preserve">the </w:t>
      </w:r>
      <w:r w:rsidR="00DE282E">
        <w:t>c</w:t>
      </w:r>
      <w:r w:rsidR="00DE282E" w:rsidRPr="00DE282E">
        <w:t>easing to be a lessee to a qualifying lease</w:t>
      </w:r>
      <w:r w:rsidR="00A564A2">
        <w:t xml:space="preserve"> section</w:t>
      </w:r>
      <w:r w:rsidR="006A6F84">
        <w:t xml:space="preserve">. </w:t>
      </w:r>
      <w:r>
        <w:t xml:space="preserve">Officials expect </w:t>
      </w:r>
      <w:r w:rsidR="00770CA9">
        <w:t xml:space="preserve">that </w:t>
      </w:r>
      <w:r>
        <w:t>the exclusion of real property leases from the new rules will significantly reduce this situation</w:t>
      </w:r>
      <w:r w:rsidR="00770CA9">
        <w:t xml:space="preserve"> occurring</w:t>
      </w:r>
      <w:r>
        <w:t>.</w:t>
      </w:r>
    </w:p>
    <w:p w14:paraId="14D19016" w14:textId="3320D8B9" w:rsidR="000C2270" w:rsidRDefault="000C2270" w:rsidP="006D5663">
      <w:pPr>
        <w:pStyle w:val="Heading3"/>
      </w:pPr>
      <w:r>
        <w:t>Transition</w:t>
      </w:r>
      <w:r w:rsidR="005A467B">
        <w:t>al adjustment</w:t>
      </w:r>
    </w:p>
    <w:p w14:paraId="4E5DAEE1" w14:textId="78AC83E0" w:rsidR="000C2270" w:rsidRDefault="000C2270" w:rsidP="000C2270">
      <w:r>
        <w:t xml:space="preserve">A taxpayer that chooses to align with IFRS 16 for tax purposes must calculate the difference between its current tax treatment and the IFRS 16 treatment for all previous periods for all outstanding leases. Officials expect taxpayers will typically calculate this adjustment in the year they first follow </w:t>
      </w:r>
      <w:r w:rsidR="005A467B">
        <w:t>IFRS </w:t>
      </w:r>
      <w:r>
        <w:t>16 for accounting purposes</w:t>
      </w:r>
      <w:r w:rsidR="005A467B">
        <w:t>. H</w:t>
      </w:r>
      <w:r>
        <w:t>owever, it could be a subsequent year if the taxpayer chooses to do so.</w:t>
      </w:r>
    </w:p>
    <w:p w14:paraId="68522207" w14:textId="77777777" w:rsidR="000C2270" w:rsidRDefault="000C2270" w:rsidP="000C2270">
      <w:r>
        <w:t>The transitional adjustment may be deductible expenditure or assessable income. In either case this should be spread equally over the year the choice to align with IFRS 16 for tax purposes is made and the four subsequent years.</w:t>
      </w:r>
    </w:p>
    <w:p w14:paraId="6EADFE8A" w14:textId="39DAF443" w:rsidR="000C2270" w:rsidRDefault="00770CA9" w:rsidP="000C2270">
      <w:r>
        <w:t>A</w:t>
      </w:r>
      <w:r w:rsidR="000C2270">
        <w:t xml:space="preserve"> taxpayer choosing to align with IFRS 16 for tax purposes will calculate a single transitional adjustment to be spread over five years</w:t>
      </w:r>
      <w:r>
        <w:t xml:space="preserve"> </w:t>
      </w:r>
      <w:r>
        <w:rPr>
          <w:rFonts w:cs="Times New Roman"/>
        </w:rPr>
        <w:t>–</w:t>
      </w:r>
      <w:r w:rsidR="000C2270">
        <w:t xml:space="preserve"> this w</w:t>
      </w:r>
      <w:r>
        <w:t>ould</w:t>
      </w:r>
      <w:r w:rsidR="000C2270">
        <w:t xml:space="preserve"> include leases that will mature before the end of that five year period.</w:t>
      </w:r>
    </w:p>
    <w:p w14:paraId="58D546FA" w14:textId="77777777" w:rsidR="000C2270" w:rsidRDefault="000C2270" w:rsidP="006D5663">
      <w:pPr>
        <w:pStyle w:val="Heading3"/>
      </w:pPr>
      <w:r>
        <w:t>Leases that do not follow IFRS 16</w:t>
      </w:r>
    </w:p>
    <w:p w14:paraId="64A291B7" w14:textId="1FD96EC8" w:rsidR="000C2270" w:rsidRDefault="000C2270" w:rsidP="000C2270">
      <w:r w:rsidRPr="000C2270">
        <w:t>A taxpayer that follows IFRS 16 for accounting may have individual leases that are not accounted for by following IFRS 16. Examples of this include certain low-value or short-term leases. It is proposed that if these leases would qualify under the new rules (that is, they are a tax operating lease that is not providing real property, with an associated party or a sublease) this non-IFRS 16 treatment will also be acceptable for tax purposes</w:t>
      </w:r>
      <w:r w:rsidR="006A6F84">
        <w:t xml:space="preserve">. </w:t>
      </w:r>
      <w:r w:rsidRPr="000C2270">
        <w:t>Officials expect the accounting treatment for these specific leases will be similar to the existing tax treatment.</w:t>
      </w:r>
    </w:p>
    <w:p w14:paraId="587AD9FE" w14:textId="05FB481F" w:rsidR="000C2270" w:rsidRDefault="000C2270" w:rsidP="00A00113">
      <w:pPr>
        <w:pStyle w:val="Heading3"/>
      </w:pPr>
      <w:r w:rsidRPr="006D5663">
        <w:t>Adjustments</w:t>
      </w:r>
    </w:p>
    <w:p w14:paraId="1F0F1507" w14:textId="737BAA39" w:rsidR="000C2270" w:rsidRDefault="000C2270" w:rsidP="000C2270">
      <w:r>
        <w:t>The proposed rules are not intended to significantly accelerate tax deductions compared to those available under the existing rules.</w:t>
      </w:r>
    </w:p>
    <w:p w14:paraId="1FAF325F" w14:textId="7E9E7F05" w:rsidR="00E54147" w:rsidRDefault="00DD370B" w:rsidP="000C2270">
      <w:r>
        <w:t>It is proposed that t</w:t>
      </w:r>
      <w:r w:rsidR="00C4443F">
        <w:t xml:space="preserve">ax adjustments </w:t>
      </w:r>
      <w:r w:rsidR="00050953">
        <w:t xml:space="preserve">set out in Table 1 </w:t>
      </w:r>
      <w:r w:rsidR="00C4443F">
        <w:t>may be required where a taxpayer has chosen to align with IFRS</w:t>
      </w:r>
      <w:r w:rsidR="00050953">
        <w:t> </w:t>
      </w:r>
      <w:r w:rsidR="00C4443F">
        <w:t xml:space="preserve">16 for tax purposes and </w:t>
      </w:r>
      <w:r>
        <w:t>there are</w:t>
      </w:r>
      <w:r w:rsidR="00C4443F">
        <w:t xml:space="preserve"> amounts that </w:t>
      </w:r>
      <w:r w:rsidR="00050953">
        <w:t xml:space="preserve">are </w:t>
      </w:r>
      <w:r w:rsidR="00C4443F">
        <w:t>spread.</w:t>
      </w:r>
    </w:p>
    <w:p w14:paraId="489B188D" w14:textId="52B249FD" w:rsidR="00D163A2" w:rsidRDefault="00E54147" w:rsidP="00DD370B">
      <w:pPr>
        <w:pStyle w:val="Caption-Table"/>
      </w:pPr>
      <w:r>
        <w:lastRenderedPageBreak/>
        <w:t xml:space="preserve">Table 1: </w:t>
      </w:r>
      <w:r w:rsidR="00DD370B">
        <w:t xml:space="preserve">Results of spreading and </w:t>
      </w:r>
      <w:r w:rsidR="00A564A2">
        <w:t xml:space="preserve">the </w:t>
      </w:r>
      <w:r w:rsidR="00DD370B">
        <w:t>p</w:t>
      </w:r>
      <w:r w:rsidRPr="00E54147">
        <w:t>roposed tax adjustments</w:t>
      </w:r>
      <w:r w:rsidR="00050953">
        <w:t xml:space="preserve"> that may be required</w:t>
      </w:r>
    </w:p>
    <w:tbl>
      <w:tblPr>
        <w:tblStyle w:val="TableGrid"/>
        <w:tblW w:w="9776" w:type="dxa"/>
        <w:tblLook w:val="04A0" w:firstRow="1" w:lastRow="0" w:firstColumn="1" w:lastColumn="0" w:noHBand="0" w:noVBand="1"/>
        <w:tblCaption w:val="Proposed tax adjustments when spreading is requried under IFRS 16"/>
      </w:tblPr>
      <w:tblGrid>
        <w:gridCol w:w="4888"/>
        <w:gridCol w:w="4888"/>
      </w:tblGrid>
      <w:tr w:rsidR="00C4443F" w14:paraId="008B4108" w14:textId="77777777" w:rsidTr="00304541">
        <w:trPr>
          <w:tblHeader/>
        </w:trPr>
        <w:tc>
          <w:tcPr>
            <w:tcW w:w="4888" w:type="dxa"/>
          </w:tcPr>
          <w:p w14:paraId="1DC855C7" w14:textId="57E5C3EB" w:rsidR="00C4443F" w:rsidRPr="00DD370B" w:rsidRDefault="00C4443F" w:rsidP="00DD370B">
            <w:pPr>
              <w:spacing w:before="80" w:after="80"/>
              <w:jc w:val="left"/>
              <w:rPr>
                <w:b/>
                <w:bCs/>
                <w:sz w:val="20"/>
                <w:szCs w:val="20"/>
              </w:rPr>
            </w:pPr>
            <w:r w:rsidRPr="00DD370B">
              <w:rPr>
                <w:b/>
                <w:bCs/>
                <w:sz w:val="20"/>
                <w:szCs w:val="20"/>
              </w:rPr>
              <w:t xml:space="preserve">If the spreading results in </w:t>
            </w:r>
            <w:r w:rsidR="00DE282E">
              <w:rPr>
                <w:b/>
                <w:bCs/>
                <w:sz w:val="20"/>
                <w:szCs w:val="20"/>
              </w:rPr>
              <w:t xml:space="preserve">accounting </w:t>
            </w:r>
            <w:r w:rsidRPr="00DD370B">
              <w:rPr>
                <w:b/>
                <w:bCs/>
                <w:sz w:val="20"/>
                <w:szCs w:val="20"/>
              </w:rPr>
              <w:t>deduct</w:t>
            </w:r>
            <w:r w:rsidR="00DD370B">
              <w:rPr>
                <w:b/>
                <w:bCs/>
                <w:sz w:val="20"/>
                <w:szCs w:val="20"/>
              </w:rPr>
              <w:t>i</w:t>
            </w:r>
            <w:r w:rsidRPr="00DD370B">
              <w:rPr>
                <w:b/>
                <w:bCs/>
                <w:sz w:val="20"/>
                <w:szCs w:val="20"/>
              </w:rPr>
              <w:t>ons</w:t>
            </w:r>
            <w:r w:rsidR="00E54147" w:rsidRPr="00DD370B">
              <w:rPr>
                <w:b/>
                <w:bCs/>
                <w:sz w:val="20"/>
                <w:szCs w:val="20"/>
              </w:rPr>
              <w:t xml:space="preserve"> that are</w:t>
            </w:r>
            <w:r w:rsidRPr="00DD370B">
              <w:rPr>
                <w:b/>
                <w:bCs/>
                <w:sz w:val="20"/>
                <w:szCs w:val="20"/>
              </w:rPr>
              <w:t>…</w:t>
            </w:r>
          </w:p>
        </w:tc>
        <w:tc>
          <w:tcPr>
            <w:tcW w:w="4888" w:type="dxa"/>
          </w:tcPr>
          <w:p w14:paraId="298F7BC0" w14:textId="50B43312" w:rsidR="00C4443F" w:rsidRPr="00DD370B" w:rsidRDefault="00DD370B" w:rsidP="00DD370B">
            <w:pPr>
              <w:spacing w:before="80" w:after="80"/>
              <w:jc w:val="left"/>
              <w:rPr>
                <w:b/>
                <w:bCs/>
                <w:sz w:val="20"/>
                <w:szCs w:val="20"/>
              </w:rPr>
            </w:pPr>
            <w:r>
              <w:rPr>
                <w:b/>
                <w:bCs/>
                <w:sz w:val="20"/>
                <w:szCs w:val="20"/>
              </w:rPr>
              <w:t>...t</w:t>
            </w:r>
            <w:r w:rsidR="00C4443F" w:rsidRPr="00DD370B">
              <w:rPr>
                <w:b/>
                <w:bCs/>
                <w:sz w:val="20"/>
                <w:szCs w:val="20"/>
              </w:rPr>
              <w:t xml:space="preserve">hen it is proposed that </w:t>
            </w:r>
            <w:r w:rsidR="00E54147" w:rsidRPr="00DD370B">
              <w:rPr>
                <w:b/>
                <w:bCs/>
                <w:sz w:val="20"/>
                <w:szCs w:val="20"/>
              </w:rPr>
              <w:t xml:space="preserve">a tax adjustment is </w:t>
            </w:r>
            <w:r w:rsidR="0096691A">
              <w:rPr>
                <w:b/>
                <w:bCs/>
                <w:sz w:val="20"/>
                <w:szCs w:val="20"/>
              </w:rPr>
              <w:t>made.</w:t>
            </w:r>
          </w:p>
        </w:tc>
      </w:tr>
      <w:tr w:rsidR="00C4443F" w14:paraId="37109F46" w14:textId="77777777" w:rsidTr="00DD370B">
        <w:tc>
          <w:tcPr>
            <w:tcW w:w="4888" w:type="dxa"/>
          </w:tcPr>
          <w:p w14:paraId="64697F6D" w14:textId="77777777" w:rsidR="00DD370B" w:rsidRDefault="00C4443F" w:rsidP="00DD370B">
            <w:pPr>
              <w:spacing w:before="80" w:after="80"/>
              <w:jc w:val="left"/>
              <w:rPr>
                <w:sz w:val="20"/>
                <w:szCs w:val="20"/>
              </w:rPr>
            </w:pPr>
            <w:r w:rsidRPr="00DD370B">
              <w:rPr>
                <w:sz w:val="20"/>
                <w:szCs w:val="20"/>
              </w:rPr>
              <w:t>in advance of when the expenditure is incurred</w:t>
            </w:r>
          </w:p>
          <w:p w14:paraId="3A1ADE39" w14:textId="4C7D076D" w:rsidR="00C4443F" w:rsidRPr="00DD370B" w:rsidRDefault="00C4443F" w:rsidP="00DD370B">
            <w:pPr>
              <w:spacing w:before="80" w:after="80"/>
              <w:jc w:val="left"/>
              <w:rPr>
                <w:sz w:val="20"/>
                <w:szCs w:val="20"/>
              </w:rPr>
            </w:pPr>
            <w:r w:rsidRPr="00DD370B">
              <w:rPr>
                <w:sz w:val="20"/>
                <w:szCs w:val="20"/>
              </w:rPr>
              <w:t>(</w:t>
            </w:r>
            <w:r w:rsidR="00E54147" w:rsidRPr="00DD370B">
              <w:rPr>
                <w:sz w:val="20"/>
                <w:szCs w:val="20"/>
              </w:rPr>
              <w:t xml:space="preserve">for </w:t>
            </w:r>
            <w:r w:rsidR="0096691A" w:rsidRPr="00DD370B">
              <w:rPr>
                <w:sz w:val="20"/>
                <w:szCs w:val="20"/>
              </w:rPr>
              <w:t>example,</w:t>
            </w:r>
            <w:r w:rsidR="00E54147" w:rsidRPr="00DD370B">
              <w:rPr>
                <w:sz w:val="20"/>
                <w:szCs w:val="20"/>
              </w:rPr>
              <w:t xml:space="preserve"> </w:t>
            </w:r>
            <w:r w:rsidRPr="00DD370B">
              <w:rPr>
                <w:sz w:val="20"/>
                <w:szCs w:val="20"/>
              </w:rPr>
              <w:t>impairment, fair value or revaluation amounts or make good costs)</w:t>
            </w:r>
          </w:p>
        </w:tc>
        <w:tc>
          <w:tcPr>
            <w:tcW w:w="4888" w:type="dxa"/>
          </w:tcPr>
          <w:p w14:paraId="33CC1363" w14:textId="2F967777" w:rsidR="00C4443F" w:rsidRPr="00DD370B" w:rsidRDefault="00E54147" w:rsidP="00DD370B">
            <w:pPr>
              <w:pStyle w:val="ListParagraph"/>
              <w:numPr>
                <w:ilvl w:val="0"/>
                <w:numId w:val="24"/>
              </w:numPr>
              <w:spacing w:before="80" w:after="80"/>
              <w:jc w:val="left"/>
              <w:rPr>
                <w:sz w:val="20"/>
                <w:szCs w:val="20"/>
              </w:rPr>
            </w:pPr>
            <w:r w:rsidRPr="00DD370B">
              <w:rPr>
                <w:sz w:val="20"/>
                <w:szCs w:val="20"/>
              </w:rPr>
              <w:t xml:space="preserve">to ensure that </w:t>
            </w:r>
            <w:r w:rsidR="00C4443F" w:rsidRPr="00DD370B">
              <w:rPr>
                <w:sz w:val="20"/>
                <w:szCs w:val="20"/>
              </w:rPr>
              <w:t>tax deductions are only available in a similar period to when the expenditure is incurred</w:t>
            </w:r>
            <w:r w:rsidR="00DD370B">
              <w:rPr>
                <w:sz w:val="20"/>
                <w:szCs w:val="20"/>
              </w:rPr>
              <w:t>.</w:t>
            </w:r>
          </w:p>
        </w:tc>
      </w:tr>
      <w:tr w:rsidR="00C4443F" w14:paraId="3F4B5F93" w14:textId="77777777" w:rsidTr="00DD370B">
        <w:tc>
          <w:tcPr>
            <w:tcW w:w="4888" w:type="dxa"/>
          </w:tcPr>
          <w:p w14:paraId="11764CE9" w14:textId="77777777" w:rsidR="00DD370B" w:rsidRDefault="00C4443F" w:rsidP="00DD370B">
            <w:pPr>
              <w:spacing w:before="80" w:after="80"/>
              <w:jc w:val="left"/>
              <w:rPr>
                <w:sz w:val="20"/>
                <w:szCs w:val="20"/>
              </w:rPr>
            </w:pPr>
            <w:r w:rsidRPr="00DD370B">
              <w:rPr>
                <w:sz w:val="20"/>
                <w:szCs w:val="20"/>
              </w:rPr>
              <w:t>later than when the expenditure is incurred</w:t>
            </w:r>
          </w:p>
          <w:p w14:paraId="07F7C844" w14:textId="7FFDC1B7" w:rsidR="00C4443F" w:rsidRPr="00DD370B" w:rsidRDefault="00E54147" w:rsidP="00DD370B">
            <w:pPr>
              <w:spacing w:before="80" w:after="80"/>
              <w:jc w:val="left"/>
              <w:rPr>
                <w:sz w:val="20"/>
                <w:szCs w:val="20"/>
              </w:rPr>
            </w:pPr>
            <w:r w:rsidRPr="00DD370B">
              <w:rPr>
                <w:sz w:val="20"/>
                <w:szCs w:val="20"/>
              </w:rPr>
              <w:t xml:space="preserve">(for </w:t>
            </w:r>
            <w:r w:rsidR="0096691A" w:rsidRPr="00DD370B">
              <w:rPr>
                <w:sz w:val="20"/>
                <w:szCs w:val="20"/>
              </w:rPr>
              <w:t>example,</w:t>
            </w:r>
            <w:r w:rsidRPr="00DD370B">
              <w:rPr>
                <w:sz w:val="20"/>
                <w:szCs w:val="20"/>
              </w:rPr>
              <w:t xml:space="preserve"> certain direct or mobilisation costs)</w:t>
            </w:r>
          </w:p>
        </w:tc>
        <w:tc>
          <w:tcPr>
            <w:tcW w:w="4888" w:type="dxa"/>
          </w:tcPr>
          <w:p w14:paraId="1B9D0FBC" w14:textId="7945756D" w:rsidR="00E54147" w:rsidRPr="00DD370B" w:rsidRDefault="00C4443F" w:rsidP="00DD370B">
            <w:pPr>
              <w:pStyle w:val="ListParagraph"/>
              <w:numPr>
                <w:ilvl w:val="0"/>
                <w:numId w:val="23"/>
              </w:numPr>
              <w:spacing w:before="80" w:after="80"/>
              <w:jc w:val="left"/>
              <w:rPr>
                <w:sz w:val="20"/>
                <w:szCs w:val="20"/>
              </w:rPr>
            </w:pPr>
            <w:r w:rsidRPr="00DD370B">
              <w:rPr>
                <w:sz w:val="20"/>
                <w:szCs w:val="20"/>
              </w:rPr>
              <w:t>to ensure tax deductions are available in a similar period to when the expenditure is incurred</w:t>
            </w:r>
            <w:r w:rsidR="00DD370B">
              <w:rPr>
                <w:sz w:val="20"/>
                <w:szCs w:val="20"/>
              </w:rPr>
              <w:t>, and</w:t>
            </w:r>
          </w:p>
          <w:p w14:paraId="47CA8489" w14:textId="370DAF9F" w:rsidR="00C4443F" w:rsidRPr="00DD370B" w:rsidRDefault="00DD370B" w:rsidP="00DD370B">
            <w:pPr>
              <w:pStyle w:val="ListParagraph"/>
              <w:numPr>
                <w:ilvl w:val="0"/>
                <w:numId w:val="23"/>
              </w:numPr>
              <w:spacing w:before="80" w:after="80"/>
              <w:jc w:val="left"/>
              <w:rPr>
                <w:sz w:val="20"/>
                <w:szCs w:val="20"/>
              </w:rPr>
            </w:pPr>
            <w:r>
              <w:rPr>
                <w:sz w:val="20"/>
                <w:szCs w:val="20"/>
              </w:rPr>
              <w:t>it</w:t>
            </w:r>
            <w:r w:rsidR="00C4443F" w:rsidRPr="00DD370B">
              <w:rPr>
                <w:sz w:val="20"/>
                <w:szCs w:val="20"/>
              </w:rPr>
              <w:t xml:space="preserve"> would be optional, so that a taxpayer who would incur higher compliance costs in making the adjustment than the perceived value of that adjustment will not be required to do so.</w:t>
            </w:r>
          </w:p>
        </w:tc>
      </w:tr>
    </w:tbl>
    <w:p w14:paraId="5910614F" w14:textId="22744E3B" w:rsidR="000C2270" w:rsidRDefault="000C2270" w:rsidP="000C2270">
      <w:r>
        <w:t xml:space="preserve">Officials are still finalising </w:t>
      </w:r>
      <w:r w:rsidR="00DF7895">
        <w:t xml:space="preserve">the </w:t>
      </w:r>
      <w:r>
        <w:t xml:space="preserve">exact details of how these adjustments </w:t>
      </w:r>
      <w:r w:rsidR="00DF7895">
        <w:t xml:space="preserve">would </w:t>
      </w:r>
      <w:r>
        <w:t>be calculated. Further detail</w:t>
      </w:r>
      <w:r w:rsidR="00DF7895">
        <w:t>s</w:t>
      </w:r>
      <w:r>
        <w:t xml:space="preserve"> will be available in the bill containing the proposals</w:t>
      </w:r>
      <w:r w:rsidR="00DF7895">
        <w:t xml:space="preserve"> when it is introduced</w:t>
      </w:r>
      <w:r>
        <w:t>, and the associated bill commentary. Officials expect the exclusion of real property from the proposed rules will significantly reduce the number of tax adjustments required.</w:t>
      </w:r>
    </w:p>
    <w:p w14:paraId="6C221EAD" w14:textId="77777777" w:rsidR="000C2270" w:rsidRDefault="000C2270" w:rsidP="00A00113">
      <w:pPr>
        <w:pStyle w:val="Heading3"/>
      </w:pPr>
      <w:r>
        <w:t>Ceasing to be a lessee to a qualifying lease</w:t>
      </w:r>
    </w:p>
    <w:p w14:paraId="34E97295" w14:textId="1C2BD996" w:rsidR="000C2270" w:rsidRDefault="000C2270" w:rsidP="000C2270">
      <w:r>
        <w:t xml:space="preserve">When a taxpayer ceases to be a lessee to a qualifying </w:t>
      </w:r>
      <w:r w:rsidR="006A6F84">
        <w:t>lease,</w:t>
      </w:r>
      <w:r>
        <w:t xml:space="preserve"> </w:t>
      </w:r>
      <w:r w:rsidR="00B00C58">
        <w:t>it is</w:t>
      </w:r>
      <w:r>
        <w:t xml:space="preserve"> proposed </w:t>
      </w:r>
      <w:r w:rsidR="00B00C58">
        <w:t>that they</w:t>
      </w:r>
      <w:r>
        <w:t xml:space="preserve"> calculate </w:t>
      </w:r>
      <w:r w:rsidR="00B00C58">
        <w:t>an</w:t>
      </w:r>
      <w:r>
        <w:t xml:space="preserve"> adjustment to ensure total deductions match what would have been available under the existing tax treatment. This adjustment would be similar conceptually to a base price adjustment under the financial arrangement rules.</w:t>
      </w:r>
    </w:p>
    <w:p w14:paraId="10999018" w14:textId="276AE356" w:rsidR="00813B92" w:rsidRDefault="00813B92" w:rsidP="000C2270">
      <w:r>
        <w:t xml:space="preserve">The </w:t>
      </w:r>
      <w:r w:rsidR="00B00C58">
        <w:t>adjustment</w:t>
      </w:r>
      <w:r w:rsidR="000C2270">
        <w:t xml:space="preserve"> </w:t>
      </w:r>
      <w:r>
        <w:t xml:space="preserve">would </w:t>
      </w:r>
      <w:r w:rsidR="000C2270">
        <w:t>be required when</w:t>
      </w:r>
      <w:r>
        <w:t>:</w:t>
      </w:r>
    </w:p>
    <w:p w14:paraId="42DFB185" w14:textId="4C732D94" w:rsidR="00241556" w:rsidRDefault="000C2270" w:rsidP="00813B92">
      <w:pPr>
        <w:pStyle w:val="List-Bullet"/>
      </w:pPr>
      <w:r>
        <w:t>the lease matures</w:t>
      </w:r>
      <w:r w:rsidR="00241556">
        <w:t>;</w:t>
      </w:r>
    </w:p>
    <w:p w14:paraId="16D6DF34" w14:textId="79A85FED" w:rsidR="00813B92" w:rsidRDefault="000C2270" w:rsidP="00813B92">
      <w:pPr>
        <w:pStyle w:val="List-Bullet"/>
      </w:pPr>
      <w:r>
        <w:t>the lease ceases to qualify because the lessee and lessor have become associated</w:t>
      </w:r>
      <w:r w:rsidR="00813B92">
        <w:t>;</w:t>
      </w:r>
    </w:p>
    <w:p w14:paraId="0C7996AD" w14:textId="580975F4" w:rsidR="00241556" w:rsidRDefault="000C2270" w:rsidP="00813B92">
      <w:pPr>
        <w:pStyle w:val="List-Bullet"/>
      </w:pPr>
      <w:r>
        <w:t>the asset has been subleased to another person</w:t>
      </w:r>
      <w:r w:rsidR="00241556">
        <w:t>; or</w:t>
      </w:r>
    </w:p>
    <w:p w14:paraId="6C00CD7B" w14:textId="14878BD3" w:rsidR="00813B92" w:rsidRDefault="00241556" w:rsidP="00813B92">
      <w:pPr>
        <w:pStyle w:val="List-Bullet"/>
      </w:pPr>
      <w:r>
        <w:t>the lessee ceases to follow IFRS 16 for accounting.</w:t>
      </w:r>
    </w:p>
    <w:p w14:paraId="1F75754A" w14:textId="76D808D3" w:rsidR="000C2270" w:rsidRDefault="000C2270" w:rsidP="00813B92">
      <w:r>
        <w:t xml:space="preserve">Officials expect the result of this </w:t>
      </w:r>
      <w:r w:rsidR="00813B92">
        <w:t>adjustment to</w:t>
      </w:r>
      <w:r>
        <w:t xml:space="preserve"> typically be zero when a lease runs for its full term.</w:t>
      </w:r>
    </w:p>
    <w:p w14:paraId="12A87105" w14:textId="77777777" w:rsidR="000C2270" w:rsidRDefault="000C2270" w:rsidP="004C69A4">
      <w:pPr>
        <w:pStyle w:val="Heading1"/>
      </w:pPr>
      <w:r>
        <w:t>Application date</w:t>
      </w:r>
    </w:p>
    <w:p w14:paraId="47701925" w14:textId="279DB5A2" w:rsidR="000A4C61" w:rsidRDefault="00B74BDF" w:rsidP="000C2270">
      <w:r>
        <w:t xml:space="preserve">It is </w:t>
      </w:r>
      <w:r w:rsidR="000A4C61">
        <w:t xml:space="preserve">proposed </w:t>
      </w:r>
      <w:r>
        <w:t xml:space="preserve">that the </w:t>
      </w:r>
      <w:r w:rsidR="000C2270">
        <w:t xml:space="preserve">rules </w:t>
      </w:r>
      <w:r w:rsidR="000A4C61">
        <w:t>would</w:t>
      </w:r>
      <w:r w:rsidR="000C2270">
        <w:t xml:space="preserve"> apply to income years starting on or after 1 January 2019</w:t>
      </w:r>
      <w:r w:rsidR="000A4C61">
        <w:t>,</w:t>
      </w:r>
      <w:r w:rsidR="000C2270">
        <w:t xml:space="preserve"> to align with the application date of IFRS 16.</w:t>
      </w:r>
    </w:p>
    <w:p w14:paraId="739972AE" w14:textId="78C0CC5E" w:rsidR="00B74BDF" w:rsidRDefault="000C2270" w:rsidP="00B74BDF">
      <w:r>
        <w:t>It is possible for taxpayers to elect to apply IFRS 16 for earlier years</w:t>
      </w:r>
      <w:r w:rsidR="000A4C61">
        <w:t>,</w:t>
      </w:r>
      <w:r>
        <w:t xml:space="preserve"> and officials are aware </w:t>
      </w:r>
      <w:r w:rsidR="008B6717">
        <w:t xml:space="preserve">that </w:t>
      </w:r>
      <w:r>
        <w:t>a small group of taxpayers have done so.</w:t>
      </w:r>
    </w:p>
    <w:p w14:paraId="169FEE28" w14:textId="7DFF0374" w:rsidR="000C2270" w:rsidRDefault="00B74BDF" w:rsidP="00B74BDF">
      <w:r>
        <w:t>T</w:t>
      </w:r>
      <w:r w:rsidR="000C2270">
        <w:t xml:space="preserve">axpayers who have elected to apply </w:t>
      </w:r>
      <w:r w:rsidR="000F6742">
        <w:t>IFRS </w:t>
      </w:r>
      <w:r w:rsidR="000C2270">
        <w:t xml:space="preserve">16 in earlier years </w:t>
      </w:r>
      <w:r>
        <w:t xml:space="preserve">would </w:t>
      </w:r>
      <w:r w:rsidR="000C2270">
        <w:t xml:space="preserve">typically </w:t>
      </w:r>
      <w:r>
        <w:t>be expected to file their tax returns</w:t>
      </w:r>
      <w:r w:rsidR="000C2270">
        <w:t xml:space="preserve"> on or before 31 March 2020. It </w:t>
      </w:r>
      <w:r>
        <w:t>is</w:t>
      </w:r>
      <w:r w:rsidR="000C2270">
        <w:t xml:space="preserve"> not possible for the bill containing these proposals to be enacted before this date.</w:t>
      </w:r>
    </w:p>
    <w:p w14:paraId="1F944603" w14:textId="05EB2608" w:rsidR="000C2270" w:rsidRPr="000C2270" w:rsidRDefault="000C2270" w:rsidP="000C2270">
      <w:r>
        <w:t xml:space="preserve">Officials consider it would be desirable for the new rules to also be available in the year of adoption for taxpayers who elect to adopt IFRS 16 early. We will work with affected taxpayers to </w:t>
      </w:r>
      <w:r w:rsidR="00B74BDF">
        <w:t>determine</w:t>
      </w:r>
      <w:r w:rsidR="000F6742">
        <w:t xml:space="preserve"> </w:t>
      </w:r>
      <w:r>
        <w:t xml:space="preserve">the best way </w:t>
      </w:r>
      <w:r w:rsidR="000F6742">
        <w:t xml:space="preserve">to resolve </w:t>
      </w:r>
      <w:r>
        <w:t>this.</w:t>
      </w:r>
    </w:p>
    <w:sectPr w:rsidR="000C2270" w:rsidRPr="000C2270" w:rsidSect="00B63DD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81E8" w14:textId="77777777" w:rsidR="000F21A4" w:rsidRDefault="000F21A4" w:rsidP="00DE5454">
      <w:r>
        <w:separator/>
      </w:r>
    </w:p>
  </w:endnote>
  <w:endnote w:type="continuationSeparator" w:id="0">
    <w:p w14:paraId="283674BC" w14:textId="77777777" w:rsidR="000F21A4" w:rsidRDefault="000F21A4" w:rsidP="00DE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3C94" w14:textId="2C9E9815" w:rsidR="00413BC4" w:rsidRPr="00984A50" w:rsidRDefault="000F21A4" w:rsidP="00984A50">
    <w:pPr>
      <w:pStyle w:val="Footer"/>
      <w:jc w:val="center"/>
      <w:rPr>
        <w:sz w:val="22"/>
      </w:rPr>
    </w:pPr>
    <w:sdt>
      <w:sdtPr>
        <w:id w:val="342359102"/>
        <w:docPartObj>
          <w:docPartGallery w:val="Page Numbers (Bottom of Page)"/>
          <w:docPartUnique/>
        </w:docPartObj>
      </w:sdtPr>
      <w:sdtEndPr>
        <w:rPr>
          <w:noProof/>
          <w:sz w:val="22"/>
        </w:rPr>
      </w:sdtEndPr>
      <w:sdtContent>
        <w:r w:rsidR="00413BC4" w:rsidRPr="00984A50">
          <w:rPr>
            <w:sz w:val="22"/>
          </w:rPr>
          <w:fldChar w:fldCharType="begin"/>
        </w:r>
        <w:r w:rsidR="00413BC4" w:rsidRPr="00984A50">
          <w:rPr>
            <w:sz w:val="22"/>
          </w:rPr>
          <w:instrText xml:space="preserve"> PAGE   \* MERGEFORMAT </w:instrText>
        </w:r>
        <w:r w:rsidR="00413BC4" w:rsidRPr="00984A50">
          <w:rPr>
            <w:sz w:val="22"/>
          </w:rPr>
          <w:fldChar w:fldCharType="separate"/>
        </w:r>
        <w:r w:rsidR="00D77E26">
          <w:rPr>
            <w:noProof/>
            <w:sz w:val="22"/>
          </w:rPr>
          <w:t>1</w:t>
        </w:r>
        <w:r w:rsidR="00413BC4" w:rsidRPr="00984A50">
          <w:rPr>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F80B0" w14:textId="77777777" w:rsidR="000F21A4" w:rsidRDefault="000F21A4" w:rsidP="00DE5454">
      <w:r>
        <w:separator/>
      </w:r>
    </w:p>
  </w:footnote>
  <w:footnote w:type="continuationSeparator" w:id="0">
    <w:p w14:paraId="785364DC" w14:textId="77777777" w:rsidR="000F21A4" w:rsidRDefault="000F21A4" w:rsidP="00DE5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519"/>
    <w:multiLevelType w:val="hybridMultilevel"/>
    <w:tmpl w:val="70FE57FA"/>
    <w:lvl w:ilvl="0" w:tplc="825C818A">
      <w:start w:val="1"/>
      <w:numFmt w:val="bullet"/>
      <w:pStyle w:val="List-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C028CE"/>
    <w:multiLevelType w:val="multilevel"/>
    <w:tmpl w:val="3BF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F016E"/>
    <w:multiLevelType w:val="hybridMultilevel"/>
    <w:tmpl w:val="10E09D46"/>
    <w:lvl w:ilvl="0" w:tplc="14090001">
      <w:start w:val="1"/>
      <w:numFmt w:val="bullet"/>
      <w:lvlText w:val=""/>
      <w:lvlJc w:val="left"/>
      <w:pPr>
        <w:ind w:left="270" w:hanging="360"/>
      </w:pPr>
      <w:rPr>
        <w:rFonts w:ascii="Symbol" w:hAnsi="Symbol" w:hint="default"/>
      </w:rPr>
    </w:lvl>
    <w:lvl w:ilvl="1" w:tplc="14090003" w:tentative="1">
      <w:start w:val="1"/>
      <w:numFmt w:val="bullet"/>
      <w:lvlText w:val="o"/>
      <w:lvlJc w:val="left"/>
      <w:pPr>
        <w:ind w:left="990" w:hanging="360"/>
      </w:pPr>
      <w:rPr>
        <w:rFonts w:ascii="Courier New" w:hAnsi="Courier New" w:cs="Courier New" w:hint="default"/>
      </w:rPr>
    </w:lvl>
    <w:lvl w:ilvl="2" w:tplc="14090005" w:tentative="1">
      <w:start w:val="1"/>
      <w:numFmt w:val="bullet"/>
      <w:lvlText w:val=""/>
      <w:lvlJc w:val="left"/>
      <w:pPr>
        <w:ind w:left="1710" w:hanging="360"/>
      </w:pPr>
      <w:rPr>
        <w:rFonts w:ascii="Wingdings" w:hAnsi="Wingdings" w:hint="default"/>
      </w:rPr>
    </w:lvl>
    <w:lvl w:ilvl="3" w:tplc="14090001" w:tentative="1">
      <w:start w:val="1"/>
      <w:numFmt w:val="bullet"/>
      <w:lvlText w:val=""/>
      <w:lvlJc w:val="left"/>
      <w:pPr>
        <w:ind w:left="2430" w:hanging="360"/>
      </w:pPr>
      <w:rPr>
        <w:rFonts w:ascii="Symbol" w:hAnsi="Symbol" w:hint="default"/>
      </w:rPr>
    </w:lvl>
    <w:lvl w:ilvl="4" w:tplc="14090003" w:tentative="1">
      <w:start w:val="1"/>
      <w:numFmt w:val="bullet"/>
      <w:lvlText w:val="o"/>
      <w:lvlJc w:val="left"/>
      <w:pPr>
        <w:ind w:left="3150" w:hanging="360"/>
      </w:pPr>
      <w:rPr>
        <w:rFonts w:ascii="Courier New" w:hAnsi="Courier New" w:cs="Courier New" w:hint="default"/>
      </w:rPr>
    </w:lvl>
    <w:lvl w:ilvl="5" w:tplc="14090005" w:tentative="1">
      <w:start w:val="1"/>
      <w:numFmt w:val="bullet"/>
      <w:lvlText w:val=""/>
      <w:lvlJc w:val="left"/>
      <w:pPr>
        <w:ind w:left="3870" w:hanging="360"/>
      </w:pPr>
      <w:rPr>
        <w:rFonts w:ascii="Wingdings" w:hAnsi="Wingdings" w:hint="default"/>
      </w:rPr>
    </w:lvl>
    <w:lvl w:ilvl="6" w:tplc="14090001" w:tentative="1">
      <w:start w:val="1"/>
      <w:numFmt w:val="bullet"/>
      <w:lvlText w:val=""/>
      <w:lvlJc w:val="left"/>
      <w:pPr>
        <w:ind w:left="4590" w:hanging="360"/>
      </w:pPr>
      <w:rPr>
        <w:rFonts w:ascii="Symbol" w:hAnsi="Symbol" w:hint="default"/>
      </w:rPr>
    </w:lvl>
    <w:lvl w:ilvl="7" w:tplc="14090003" w:tentative="1">
      <w:start w:val="1"/>
      <w:numFmt w:val="bullet"/>
      <w:lvlText w:val="o"/>
      <w:lvlJc w:val="left"/>
      <w:pPr>
        <w:ind w:left="5310" w:hanging="360"/>
      </w:pPr>
      <w:rPr>
        <w:rFonts w:ascii="Courier New" w:hAnsi="Courier New" w:cs="Courier New" w:hint="default"/>
      </w:rPr>
    </w:lvl>
    <w:lvl w:ilvl="8" w:tplc="14090005" w:tentative="1">
      <w:start w:val="1"/>
      <w:numFmt w:val="bullet"/>
      <w:lvlText w:val=""/>
      <w:lvlJc w:val="left"/>
      <w:pPr>
        <w:ind w:left="6030" w:hanging="360"/>
      </w:pPr>
      <w:rPr>
        <w:rFonts w:ascii="Wingdings" w:hAnsi="Wingdings" w:hint="default"/>
      </w:rPr>
    </w:lvl>
  </w:abstractNum>
  <w:abstractNum w:abstractNumId="3" w15:restartNumberingAfterBreak="0">
    <w:nsid w:val="124E6CC1"/>
    <w:multiLevelType w:val="hybridMultilevel"/>
    <w:tmpl w:val="6114AE74"/>
    <w:lvl w:ilvl="0" w:tplc="74E623D8">
      <w:numFmt w:val="bullet"/>
      <w:lvlText w:val="-"/>
      <w:lvlJc w:val="left"/>
      <w:pPr>
        <w:ind w:left="135" w:hanging="585"/>
      </w:pPr>
      <w:rPr>
        <w:rFonts w:ascii="Verdana" w:eastAsia="Times New Roman" w:hAnsi="Verdana" w:cs="Times New Roman"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4" w15:restartNumberingAfterBreak="0">
    <w:nsid w:val="17A84E67"/>
    <w:multiLevelType w:val="multilevel"/>
    <w:tmpl w:val="F61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7509E"/>
    <w:multiLevelType w:val="hybridMultilevel"/>
    <w:tmpl w:val="E9BEC7FC"/>
    <w:lvl w:ilvl="0" w:tplc="1876BB9C">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F11DAE"/>
    <w:multiLevelType w:val="multilevel"/>
    <w:tmpl w:val="907E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63DB6"/>
    <w:multiLevelType w:val="hybridMultilevel"/>
    <w:tmpl w:val="EEC2104E"/>
    <w:lvl w:ilvl="0" w:tplc="C0365B8E">
      <w:start w:val="1"/>
      <w:numFmt w:val="decimal"/>
      <w:lvlText w:val="%1."/>
      <w:lvlJc w:val="left"/>
      <w:pPr>
        <w:ind w:left="-88" w:hanging="360"/>
      </w:pPr>
      <w:rPr>
        <w:rFonts w:hint="default"/>
      </w:rPr>
    </w:lvl>
    <w:lvl w:ilvl="1" w:tplc="14090019" w:tentative="1">
      <w:start w:val="1"/>
      <w:numFmt w:val="lowerLetter"/>
      <w:lvlText w:val="%2."/>
      <w:lvlJc w:val="left"/>
      <w:pPr>
        <w:ind w:left="632" w:hanging="360"/>
      </w:pPr>
    </w:lvl>
    <w:lvl w:ilvl="2" w:tplc="1409001B" w:tentative="1">
      <w:start w:val="1"/>
      <w:numFmt w:val="lowerRoman"/>
      <w:lvlText w:val="%3."/>
      <w:lvlJc w:val="right"/>
      <w:pPr>
        <w:ind w:left="1352" w:hanging="180"/>
      </w:pPr>
    </w:lvl>
    <w:lvl w:ilvl="3" w:tplc="1409000F" w:tentative="1">
      <w:start w:val="1"/>
      <w:numFmt w:val="decimal"/>
      <w:lvlText w:val="%4."/>
      <w:lvlJc w:val="left"/>
      <w:pPr>
        <w:ind w:left="2072" w:hanging="360"/>
      </w:pPr>
    </w:lvl>
    <w:lvl w:ilvl="4" w:tplc="14090019" w:tentative="1">
      <w:start w:val="1"/>
      <w:numFmt w:val="lowerLetter"/>
      <w:lvlText w:val="%5."/>
      <w:lvlJc w:val="left"/>
      <w:pPr>
        <w:ind w:left="2792" w:hanging="360"/>
      </w:pPr>
    </w:lvl>
    <w:lvl w:ilvl="5" w:tplc="1409001B" w:tentative="1">
      <w:start w:val="1"/>
      <w:numFmt w:val="lowerRoman"/>
      <w:lvlText w:val="%6."/>
      <w:lvlJc w:val="right"/>
      <w:pPr>
        <w:ind w:left="3512" w:hanging="180"/>
      </w:pPr>
    </w:lvl>
    <w:lvl w:ilvl="6" w:tplc="1409000F" w:tentative="1">
      <w:start w:val="1"/>
      <w:numFmt w:val="decimal"/>
      <w:lvlText w:val="%7."/>
      <w:lvlJc w:val="left"/>
      <w:pPr>
        <w:ind w:left="4232" w:hanging="360"/>
      </w:pPr>
    </w:lvl>
    <w:lvl w:ilvl="7" w:tplc="14090019" w:tentative="1">
      <w:start w:val="1"/>
      <w:numFmt w:val="lowerLetter"/>
      <w:lvlText w:val="%8."/>
      <w:lvlJc w:val="left"/>
      <w:pPr>
        <w:ind w:left="4952" w:hanging="360"/>
      </w:pPr>
    </w:lvl>
    <w:lvl w:ilvl="8" w:tplc="1409001B" w:tentative="1">
      <w:start w:val="1"/>
      <w:numFmt w:val="lowerRoman"/>
      <w:lvlText w:val="%9."/>
      <w:lvlJc w:val="right"/>
      <w:pPr>
        <w:ind w:left="5672" w:hanging="180"/>
      </w:pPr>
    </w:lvl>
  </w:abstractNum>
  <w:abstractNum w:abstractNumId="8" w15:restartNumberingAfterBreak="0">
    <w:nsid w:val="2AC04AA9"/>
    <w:multiLevelType w:val="multilevel"/>
    <w:tmpl w:val="1762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3E5373"/>
    <w:multiLevelType w:val="hybridMultilevel"/>
    <w:tmpl w:val="60A2B422"/>
    <w:lvl w:ilvl="0" w:tplc="34981EF6">
      <w:start w:val="1"/>
      <w:numFmt w:val="decimal"/>
      <w:pStyle w:val="List-Numbered"/>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E6212F7"/>
    <w:multiLevelType w:val="hybridMultilevel"/>
    <w:tmpl w:val="8B62D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9F7EFF"/>
    <w:multiLevelType w:val="multilevel"/>
    <w:tmpl w:val="83E2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D21FE3"/>
    <w:multiLevelType w:val="hybridMultilevel"/>
    <w:tmpl w:val="4B52E23E"/>
    <w:lvl w:ilvl="0" w:tplc="C11602C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E16C0C"/>
    <w:multiLevelType w:val="hybridMultilevel"/>
    <w:tmpl w:val="C58C25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0D277A1"/>
    <w:multiLevelType w:val="hybridMultilevel"/>
    <w:tmpl w:val="72688B92"/>
    <w:lvl w:ilvl="0" w:tplc="4378E7BA">
      <w:start w:val="1"/>
      <w:numFmt w:val="bullet"/>
      <w:lvlText w:val=""/>
      <w:lvlJc w:val="left"/>
      <w:pPr>
        <w:ind w:left="135" w:hanging="585"/>
      </w:pPr>
      <w:rPr>
        <w:rFonts w:ascii="Symbol" w:hAnsi="Symbol" w:hint="default"/>
        <w:b/>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7421B8"/>
    <w:multiLevelType w:val="hybridMultilevel"/>
    <w:tmpl w:val="96C45C90"/>
    <w:lvl w:ilvl="0" w:tplc="74E623D8">
      <w:numFmt w:val="bullet"/>
      <w:lvlText w:val="-"/>
      <w:lvlJc w:val="left"/>
      <w:pPr>
        <w:ind w:left="135" w:hanging="585"/>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C423DC7"/>
    <w:multiLevelType w:val="hybridMultilevel"/>
    <w:tmpl w:val="96281EDE"/>
    <w:lvl w:ilvl="0" w:tplc="14090005">
      <w:start w:val="1"/>
      <w:numFmt w:val="bullet"/>
      <w:lvlText w:val=""/>
      <w:lvlJc w:val="left"/>
      <w:pPr>
        <w:ind w:left="-90" w:hanging="360"/>
      </w:pPr>
      <w:rPr>
        <w:rFonts w:ascii="Wingdings" w:hAnsi="Wingdings"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17" w15:restartNumberingAfterBreak="0">
    <w:nsid w:val="57C14008"/>
    <w:multiLevelType w:val="multilevel"/>
    <w:tmpl w:val="8348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190B92"/>
    <w:multiLevelType w:val="hybridMultilevel"/>
    <w:tmpl w:val="1BF28D2E"/>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C087A91"/>
    <w:multiLevelType w:val="multilevel"/>
    <w:tmpl w:val="DB2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6E39D7"/>
    <w:multiLevelType w:val="hybridMultilevel"/>
    <w:tmpl w:val="50E4BAA2"/>
    <w:lvl w:ilvl="0" w:tplc="6CD0EBE4">
      <w:numFmt w:val="bullet"/>
      <w:lvlText w:val=""/>
      <w:lvlJc w:val="left"/>
      <w:pPr>
        <w:ind w:left="-90" w:hanging="360"/>
      </w:pPr>
      <w:rPr>
        <w:rFonts w:ascii="Symbol" w:eastAsia="Times New Roman" w:hAnsi="Symbol" w:cs="Times New Roman"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21"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sz w:val="24"/>
      </w:rPr>
    </w:lvl>
    <w:lvl w:ilvl="4">
      <w:start w:val="1"/>
      <w:numFmt w:val="lowerLetter"/>
      <w:lvlText w:val="(%5)"/>
      <w:lvlJc w:val="left"/>
      <w:pPr>
        <w:tabs>
          <w:tab w:val="num" w:pos="3545"/>
        </w:tabs>
        <w:ind w:left="3545" w:hanging="709"/>
      </w:pPr>
    </w:lvl>
    <w:lvl w:ilvl="5">
      <w:start w:val="1"/>
      <w:numFmt w:val="lowerRoman"/>
      <w:lvlText w:val="(%6)"/>
      <w:lvlJc w:val="left"/>
      <w:pPr>
        <w:tabs>
          <w:tab w:val="num" w:pos="4254"/>
        </w:tabs>
        <w:ind w:left="4254" w:hanging="709"/>
      </w:pPr>
    </w:lvl>
    <w:lvl w:ilvl="6">
      <w:start w:val="1"/>
      <w:numFmt w:val="decimal"/>
      <w:lvlText w:val="%7."/>
      <w:lvlJc w:val="left"/>
      <w:pPr>
        <w:tabs>
          <w:tab w:val="num" w:pos="4963"/>
        </w:tabs>
        <w:ind w:left="4963" w:hanging="709"/>
      </w:pPr>
    </w:lvl>
    <w:lvl w:ilvl="7">
      <w:start w:val="1"/>
      <w:numFmt w:val="lowerLetter"/>
      <w:lvlText w:val="%8."/>
      <w:lvlJc w:val="left"/>
      <w:pPr>
        <w:tabs>
          <w:tab w:val="num" w:pos="5672"/>
        </w:tabs>
        <w:ind w:left="5672" w:hanging="709"/>
      </w:pPr>
    </w:lvl>
    <w:lvl w:ilvl="8">
      <w:start w:val="1"/>
      <w:numFmt w:val="lowerRoman"/>
      <w:lvlText w:val="%9."/>
      <w:lvlJc w:val="left"/>
      <w:pPr>
        <w:tabs>
          <w:tab w:val="num" w:pos="6381"/>
        </w:tabs>
        <w:ind w:left="6381" w:hanging="709"/>
      </w:pPr>
    </w:lvl>
  </w:abstractNum>
  <w:abstractNum w:abstractNumId="22" w15:restartNumberingAfterBreak="0">
    <w:nsid w:val="6587428D"/>
    <w:multiLevelType w:val="hybridMultilevel"/>
    <w:tmpl w:val="CFF233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9"/>
  </w:num>
  <w:num w:numId="4">
    <w:abstractNumId w:val="17"/>
  </w:num>
  <w:num w:numId="5">
    <w:abstractNumId w:val="11"/>
  </w:num>
  <w:num w:numId="6">
    <w:abstractNumId w:val="8"/>
  </w:num>
  <w:num w:numId="7">
    <w:abstractNumId w:val="1"/>
  </w:num>
  <w:num w:numId="8">
    <w:abstractNumId w:val="10"/>
  </w:num>
  <w:num w:numId="9">
    <w:abstractNumId w:val="5"/>
  </w:num>
  <w:num w:numId="10">
    <w:abstractNumId w:val="2"/>
  </w:num>
  <w:num w:numId="11">
    <w:abstractNumId w:val="20"/>
  </w:num>
  <w:num w:numId="12">
    <w:abstractNumId w:val="16"/>
  </w:num>
  <w:num w:numId="13">
    <w:abstractNumId w:val="18"/>
  </w:num>
  <w:num w:numId="14">
    <w:abstractNumId w:val="3"/>
  </w:num>
  <w:num w:numId="15">
    <w:abstractNumId w:val="15"/>
  </w:num>
  <w:num w:numId="16">
    <w:abstractNumId w:val="14"/>
  </w:num>
  <w:num w:numId="17">
    <w:abstractNumId w:val="7"/>
  </w:num>
  <w:num w:numId="18">
    <w:abstractNumId w:val="0"/>
  </w:num>
  <w:num w:numId="19">
    <w:abstractNumId w:val="9"/>
  </w:num>
  <w:num w:numId="20">
    <w:abstractNumId w:val="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64"/>
    <w:rsid w:val="00002079"/>
    <w:rsid w:val="000035B8"/>
    <w:rsid w:val="00006191"/>
    <w:rsid w:val="0001280B"/>
    <w:rsid w:val="00013177"/>
    <w:rsid w:val="00015940"/>
    <w:rsid w:val="00016356"/>
    <w:rsid w:val="00022AF1"/>
    <w:rsid w:val="00027780"/>
    <w:rsid w:val="00030175"/>
    <w:rsid w:val="00033206"/>
    <w:rsid w:val="00035741"/>
    <w:rsid w:val="00036F33"/>
    <w:rsid w:val="000376CF"/>
    <w:rsid w:val="00040E91"/>
    <w:rsid w:val="00050953"/>
    <w:rsid w:val="000528E7"/>
    <w:rsid w:val="00054D27"/>
    <w:rsid w:val="00057993"/>
    <w:rsid w:val="00060748"/>
    <w:rsid w:val="00074C85"/>
    <w:rsid w:val="000763E4"/>
    <w:rsid w:val="00080FD4"/>
    <w:rsid w:val="00086E10"/>
    <w:rsid w:val="00087D2D"/>
    <w:rsid w:val="00092E76"/>
    <w:rsid w:val="0009575F"/>
    <w:rsid w:val="00096503"/>
    <w:rsid w:val="000A4C61"/>
    <w:rsid w:val="000B3705"/>
    <w:rsid w:val="000C2270"/>
    <w:rsid w:val="000C40D6"/>
    <w:rsid w:val="000D34C4"/>
    <w:rsid w:val="000D58A6"/>
    <w:rsid w:val="000D6405"/>
    <w:rsid w:val="000E0D64"/>
    <w:rsid w:val="000E502B"/>
    <w:rsid w:val="000E7654"/>
    <w:rsid w:val="000F21A4"/>
    <w:rsid w:val="000F65D5"/>
    <w:rsid w:val="000F6742"/>
    <w:rsid w:val="000F6A34"/>
    <w:rsid w:val="00100EE1"/>
    <w:rsid w:val="001077D3"/>
    <w:rsid w:val="0011124E"/>
    <w:rsid w:val="00113F43"/>
    <w:rsid w:val="00114BC1"/>
    <w:rsid w:val="00121D85"/>
    <w:rsid w:val="00124B7B"/>
    <w:rsid w:val="00142313"/>
    <w:rsid w:val="00143855"/>
    <w:rsid w:val="001614EC"/>
    <w:rsid w:val="00161D0E"/>
    <w:rsid w:val="0016213B"/>
    <w:rsid w:val="00165A55"/>
    <w:rsid w:val="00177C8D"/>
    <w:rsid w:val="00181CF4"/>
    <w:rsid w:val="00182AAB"/>
    <w:rsid w:val="001837F8"/>
    <w:rsid w:val="00187ADC"/>
    <w:rsid w:val="00192B82"/>
    <w:rsid w:val="001A0B89"/>
    <w:rsid w:val="001A2332"/>
    <w:rsid w:val="001B05D5"/>
    <w:rsid w:val="001B459A"/>
    <w:rsid w:val="001C08DF"/>
    <w:rsid w:val="001C3B96"/>
    <w:rsid w:val="001C55B7"/>
    <w:rsid w:val="001C6FE7"/>
    <w:rsid w:val="001D23B2"/>
    <w:rsid w:val="001E0E24"/>
    <w:rsid w:val="001E2E4B"/>
    <w:rsid w:val="001E38A6"/>
    <w:rsid w:val="001E64F7"/>
    <w:rsid w:val="001E6676"/>
    <w:rsid w:val="001E6677"/>
    <w:rsid w:val="001F40E4"/>
    <w:rsid w:val="00202EF8"/>
    <w:rsid w:val="00206CBF"/>
    <w:rsid w:val="0021248F"/>
    <w:rsid w:val="00220606"/>
    <w:rsid w:val="00241556"/>
    <w:rsid w:val="002425EF"/>
    <w:rsid w:val="00255AA9"/>
    <w:rsid w:val="00262330"/>
    <w:rsid w:val="0026598F"/>
    <w:rsid w:val="00285609"/>
    <w:rsid w:val="002878FE"/>
    <w:rsid w:val="00292F10"/>
    <w:rsid w:val="002A5ACD"/>
    <w:rsid w:val="002A5C9E"/>
    <w:rsid w:val="002B5BC2"/>
    <w:rsid w:val="002C6A49"/>
    <w:rsid w:val="002C6FE8"/>
    <w:rsid w:val="002C7D72"/>
    <w:rsid w:val="002D2655"/>
    <w:rsid w:val="002D4514"/>
    <w:rsid w:val="002F145B"/>
    <w:rsid w:val="002F68F7"/>
    <w:rsid w:val="00300092"/>
    <w:rsid w:val="00301D4E"/>
    <w:rsid w:val="003032DC"/>
    <w:rsid w:val="00304541"/>
    <w:rsid w:val="003058D6"/>
    <w:rsid w:val="00311093"/>
    <w:rsid w:val="00312578"/>
    <w:rsid w:val="00321880"/>
    <w:rsid w:val="00321A32"/>
    <w:rsid w:val="00322169"/>
    <w:rsid w:val="00332C80"/>
    <w:rsid w:val="00335CCA"/>
    <w:rsid w:val="00341003"/>
    <w:rsid w:val="00341F31"/>
    <w:rsid w:val="003579EC"/>
    <w:rsid w:val="00360ECD"/>
    <w:rsid w:val="003614D4"/>
    <w:rsid w:val="00365971"/>
    <w:rsid w:val="0036729B"/>
    <w:rsid w:val="00372588"/>
    <w:rsid w:val="0037398D"/>
    <w:rsid w:val="0037484F"/>
    <w:rsid w:val="003834B3"/>
    <w:rsid w:val="003834CD"/>
    <w:rsid w:val="00383ABC"/>
    <w:rsid w:val="0038477F"/>
    <w:rsid w:val="003865F7"/>
    <w:rsid w:val="003910FD"/>
    <w:rsid w:val="00391EBC"/>
    <w:rsid w:val="00395981"/>
    <w:rsid w:val="003B3058"/>
    <w:rsid w:val="003B6D42"/>
    <w:rsid w:val="003C2144"/>
    <w:rsid w:val="003C60AF"/>
    <w:rsid w:val="003C732A"/>
    <w:rsid w:val="003D277A"/>
    <w:rsid w:val="003D356A"/>
    <w:rsid w:val="003D3FB2"/>
    <w:rsid w:val="003D5A89"/>
    <w:rsid w:val="003E21AE"/>
    <w:rsid w:val="003E2A82"/>
    <w:rsid w:val="003E5D03"/>
    <w:rsid w:val="003E6B37"/>
    <w:rsid w:val="003F30C4"/>
    <w:rsid w:val="003F6FA5"/>
    <w:rsid w:val="0040742D"/>
    <w:rsid w:val="00413BC4"/>
    <w:rsid w:val="00415445"/>
    <w:rsid w:val="0043583A"/>
    <w:rsid w:val="00442BD6"/>
    <w:rsid w:val="00444100"/>
    <w:rsid w:val="004537E4"/>
    <w:rsid w:val="0045723C"/>
    <w:rsid w:val="004622D6"/>
    <w:rsid w:val="00465D8A"/>
    <w:rsid w:val="0046627B"/>
    <w:rsid w:val="00467300"/>
    <w:rsid w:val="00472A3A"/>
    <w:rsid w:val="00475918"/>
    <w:rsid w:val="00480BC9"/>
    <w:rsid w:val="00487397"/>
    <w:rsid w:val="00491114"/>
    <w:rsid w:val="004A271F"/>
    <w:rsid w:val="004A2E00"/>
    <w:rsid w:val="004A3628"/>
    <w:rsid w:val="004A456E"/>
    <w:rsid w:val="004B469A"/>
    <w:rsid w:val="004B4A12"/>
    <w:rsid w:val="004B5EF7"/>
    <w:rsid w:val="004C69A4"/>
    <w:rsid w:val="004D3D47"/>
    <w:rsid w:val="004E5620"/>
    <w:rsid w:val="004F66FE"/>
    <w:rsid w:val="005010D3"/>
    <w:rsid w:val="00502201"/>
    <w:rsid w:val="00502706"/>
    <w:rsid w:val="0050338F"/>
    <w:rsid w:val="005150B8"/>
    <w:rsid w:val="00516EF9"/>
    <w:rsid w:val="00525A43"/>
    <w:rsid w:val="00527AAC"/>
    <w:rsid w:val="005313CC"/>
    <w:rsid w:val="005352EF"/>
    <w:rsid w:val="00536C26"/>
    <w:rsid w:val="005517F7"/>
    <w:rsid w:val="005548B3"/>
    <w:rsid w:val="005623B1"/>
    <w:rsid w:val="00570515"/>
    <w:rsid w:val="00576E43"/>
    <w:rsid w:val="005A08EF"/>
    <w:rsid w:val="005A2397"/>
    <w:rsid w:val="005A2CEC"/>
    <w:rsid w:val="005A467B"/>
    <w:rsid w:val="005A7BE5"/>
    <w:rsid w:val="005B52C3"/>
    <w:rsid w:val="005B5E58"/>
    <w:rsid w:val="005C471C"/>
    <w:rsid w:val="005D3EAE"/>
    <w:rsid w:val="005E5CA0"/>
    <w:rsid w:val="005E6253"/>
    <w:rsid w:val="005E6340"/>
    <w:rsid w:val="005F4F76"/>
    <w:rsid w:val="005F69B8"/>
    <w:rsid w:val="00602E87"/>
    <w:rsid w:val="00616A8B"/>
    <w:rsid w:val="0062112A"/>
    <w:rsid w:val="00626055"/>
    <w:rsid w:val="0064163B"/>
    <w:rsid w:val="00643756"/>
    <w:rsid w:val="00651FF1"/>
    <w:rsid w:val="00652401"/>
    <w:rsid w:val="00661255"/>
    <w:rsid w:val="00661E3A"/>
    <w:rsid w:val="00674B2F"/>
    <w:rsid w:val="00680D52"/>
    <w:rsid w:val="00681F68"/>
    <w:rsid w:val="00685B1F"/>
    <w:rsid w:val="0069022E"/>
    <w:rsid w:val="00692CD2"/>
    <w:rsid w:val="00695E5D"/>
    <w:rsid w:val="006A1097"/>
    <w:rsid w:val="006A31BE"/>
    <w:rsid w:val="006A6F84"/>
    <w:rsid w:val="006A725C"/>
    <w:rsid w:val="006B01B5"/>
    <w:rsid w:val="006C0967"/>
    <w:rsid w:val="006C1B27"/>
    <w:rsid w:val="006C2AAB"/>
    <w:rsid w:val="006C72EE"/>
    <w:rsid w:val="006D5663"/>
    <w:rsid w:val="006D651E"/>
    <w:rsid w:val="006E4A97"/>
    <w:rsid w:val="006E7DB6"/>
    <w:rsid w:val="006F1355"/>
    <w:rsid w:val="006F22B0"/>
    <w:rsid w:val="006F55A6"/>
    <w:rsid w:val="00722171"/>
    <w:rsid w:val="00735D05"/>
    <w:rsid w:val="0073730A"/>
    <w:rsid w:val="00753448"/>
    <w:rsid w:val="007537DE"/>
    <w:rsid w:val="00763F88"/>
    <w:rsid w:val="00767C45"/>
    <w:rsid w:val="00770CA9"/>
    <w:rsid w:val="007755AC"/>
    <w:rsid w:val="00775EFE"/>
    <w:rsid w:val="007822BA"/>
    <w:rsid w:val="00793C11"/>
    <w:rsid w:val="00794D1A"/>
    <w:rsid w:val="00795E88"/>
    <w:rsid w:val="007A04BC"/>
    <w:rsid w:val="007A2D42"/>
    <w:rsid w:val="007A41E9"/>
    <w:rsid w:val="007A6CC2"/>
    <w:rsid w:val="007A7D8A"/>
    <w:rsid w:val="007B1DE9"/>
    <w:rsid w:val="007B632C"/>
    <w:rsid w:val="007D26BD"/>
    <w:rsid w:val="007D429F"/>
    <w:rsid w:val="007F2F36"/>
    <w:rsid w:val="007F7301"/>
    <w:rsid w:val="007F7B44"/>
    <w:rsid w:val="00805A6F"/>
    <w:rsid w:val="00813B92"/>
    <w:rsid w:val="00814D68"/>
    <w:rsid w:val="00817DEB"/>
    <w:rsid w:val="00827A88"/>
    <w:rsid w:val="00830B04"/>
    <w:rsid w:val="00832A9E"/>
    <w:rsid w:val="008378FA"/>
    <w:rsid w:val="00842F43"/>
    <w:rsid w:val="00844789"/>
    <w:rsid w:val="00846723"/>
    <w:rsid w:val="00850CF3"/>
    <w:rsid w:val="008523B3"/>
    <w:rsid w:val="0085595B"/>
    <w:rsid w:val="00856366"/>
    <w:rsid w:val="0085671A"/>
    <w:rsid w:val="00856E9F"/>
    <w:rsid w:val="008579E8"/>
    <w:rsid w:val="00872C25"/>
    <w:rsid w:val="0087339C"/>
    <w:rsid w:val="00890BE1"/>
    <w:rsid w:val="00891253"/>
    <w:rsid w:val="00896BD0"/>
    <w:rsid w:val="008A1E32"/>
    <w:rsid w:val="008A2922"/>
    <w:rsid w:val="008A70B1"/>
    <w:rsid w:val="008A7DE5"/>
    <w:rsid w:val="008B033F"/>
    <w:rsid w:val="008B6717"/>
    <w:rsid w:val="008C194A"/>
    <w:rsid w:val="008C1EB7"/>
    <w:rsid w:val="008D0610"/>
    <w:rsid w:val="008D1873"/>
    <w:rsid w:val="008D4A59"/>
    <w:rsid w:val="008E256C"/>
    <w:rsid w:val="008E613C"/>
    <w:rsid w:val="008F4A3E"/>
    <w:rsid w:val="00901D62"/>
    <w:rsid w:val="00906F60"/>
    <w:rsid w:val="00907D3D"/>
    <w:rsid w:val="00923A7C"/>
    <w:rsid w:val="00940050"/>
    <w:rsid w:val="009420DC"/>
    <w:rsid w:val="0094210B"/>
    <w:rsid w:val="00946D8B"/>
    <w:rsid w:val="00950842"/>
    <w:rsid w:val="009650EF"/>
    <w:rsid w:val="0096691A"/>
    <w:rsid w:val="00966933"/>
    <w:rsid w:val="0097037A"/>
    <w:rsid w:val="00974DB1"/>
    <w:rsid w:val="00977C16"/>
    <w:rsid w:val="00981B46"/>
    <w:rsid w:val="0098452E"/>
    <w:rsid w:val="00984A50"/>
    <w:rsid w:val="0099635E"/>
    <w:rsid w:val="00996526"/>
    <w:rsid w:val="00996606"/>
    <w:rsid w:val="009A1A35"/>
    <w:rsid w:val="009A4D68"/>
    <w:rsid w:val="009A4DDE"/>
    <w:rsid w:val="009A5020"/>
    <w:rsid w:val="009A75EE"/>
    <w:rsid w:val="009A79A5"/>
    <w:rsid w:val="009A7DFC"/>
    <w:rsid w:val="009B7341"/>
    <w:rsid w:val="009C3FDA"/>
    <w:rsid w:val="009C60A5"/>
    <w:rsid w:val="009C7BAC"/>
    <w:rsid w:val="009D0A43"/>
    <w:rsid w:val="009D1008"/>
    <w:rsid w:val="009D27A0"/>
    <w:rsid w:val="009D315F"/>
    <w:rsid w:val="009D5C0D"/>
    <w:rsid w:val="009E2847"/>
    <w:rsid w:val="009E2F8F"/>
    <w:rsid w:val="009F351A"/>
    <w:rsid w:val="00A00113"/>
    <w:rsid w:val="00A12572"/>
    <w:rsid w:val="00A14944"/>
    <w:rsid w:val="00A14F5D"/>
    <w:rsid w:val="00A16E25"/>
    <w:rsid w:val="00A2278C"/>
    <w:rsid w:val="00A245E5"/>
    <w:rsid w:val="00A2711D"/>
    <w:rsid w:val="00A52041"/>
    <w:rsid w:val="00A53077"/>
    <w:rsid w:val="00A53F73"/>
    <w:rsid w:val="00A564A2"/>
    <w:rsid w:val="00A65AE9"/>
    <w:rsid w:val="00A722F1"/>
    <w:rsid w:val="00A76692"/>
    <w:rsid w:val="00A807D8"/>
    <w:rsid w:val="00A81BB8"/>
    <w:rsid w:val="00A82635"/>
    <w:rsid w:val="00A85141"/>
    <w:rsid w:val="00A85827"/>
    <w:rsid w:val="00A904E6"/>
    <w:rsid w:val="00A96F43"/>
    <w:rsid w:val="00A97E7B"/>
    <w:rsid w:val="00AB0EBA"/>
    <w:rsid w:val="00AB108F"/>
    <w:rsid w:val="00AB2F1E"/>
    <w:rsid w:val="00AB30F1"/>
    <w:rsid w:val="00AB6982"/>
    <w:rsid w:val="00AC005F"/>
    <w:rsid w:val="00AC0CE8"/>
    <w:rsid w:val="00AC25C9"/>
    <w:rsid w:val="00AD0DBA"/>
    <w:rsid w:val="00AE06DF"/>
    <w:rsid w:val="00AE1E12"/>
    <w:rsid w:val="00AE39A7"/>
    <w:rsid w:val="00AE62C1"/>
    <w:rsid w:val="00AE65C1"/>
    <w:rsid w:val="00AF232F"/>
    <w:rsid w:val="00B00C58"/>
    <w:rsid w:val="00B00E5E"/>
    <w:rsid w:val="00B10A07"/>
    <w:rsid w:val="00B12BEF"/>
    <w:rsid w:val="00B17548"/>
    <w:rsid w:val="00B21A25"/>
    <w:rsid w:val="00B3081B"/>
    <w:rsid w:val="00B335BF"/>
    <w:rsid w:val="00B376E5"/>
    <w:rsid w:val="00B45501"/>
    <w:rsid w:val="00B4665F"/>
    <w:rsid w:val="00B50EA2"/>
    <w:rsid w:val="00B5187C"/>
    <w:rsid w:val="00B5535A"/>
    <w:rsid w:val="00B63DD9"/>
    <w:rsid w:val="00B73352"/>
    <w:rsid w:val="00B74BDF"/>
    <w:rsid w:val="00B77449"/>
    <w:rsid w:val="00B84084"/>
    <w:rsid w:val="00B85565"/>
    <w:rsid w:val="00B85D42"/>
    <w:rsid w:val="00B93331"/>
    <w:rsid w:val="00B97279"/>
    <w:rsid w:val="00BA0940"/>
    <w:rsid w:val="00BA1D49"/>
    <w:rsid w:val="00BA44C3"/>
    <w:rsid w:val="00BA7F57"/>
    <w:rsid w:val="00BB4C63"/>
    <w:rsid w:val="00BD1E70"/>
    <w:rsid w:val="00BD2AB8"/>
    <w:rsid w:val="00BE1291"/>
    <w:rsid w:val="00BF360F"/>
    <w:rsid w:val="00BF38BC"/>
    <w:rsid w:val="00C11261"/>
    <w:rsid w:val="00C13F9F"/>
    <w:rsid w:val="00C400F8"/>
    <w:rsid w:val="00C4443F"/>
    <w:rsid w:val="00C45880"/>
    <w:rsid w:val="00C460CA"/>
    <w:rsid w:val="00C46814"/>
    <w:rsid w:val="00C55F6F"/>
    <w:rsid w:val="00C578AD"/>
    <w:rsid w:val="00C61440"/>
    <w:rsid w:val="00C633B8"/>
    <w:rsid w:val="00C640CF"/>
    <w:rsid w:val="00C72997"/>
    <w:rsid w:val="00C7378C"/>
    <w:rsid w:val="00C77057"/>
    <w:rsid w:val="00C82E37"/>
    <w:rsid w:val="00C86311"/>
    <w:rsid w:val="00C97E3C"/>
    <w:rsid w:val="00CA0847"/>
    <w:rsid w:val="00CA62BB"/>
    <w:rsid w:val="00CA6BED"/>
    <w:rsid w:val="00CA6DCC"/>
    <w:rsid w:val="00CB1DB0"/>
    <w:rsid w:val="00CC2BD6"/>
    <w:rsid w:val="00CC4C50"/>
    <w:rsid w:val="00CC64BF"/>
    <w:rsid w:val="00CC735A"/>
    <w:rsid w:val="00CD2F9F"/>
    <w:rsid w:val="00CE2DA8"/>
    <w:rsid w:val="00CE5DA5"/>
    <w:rsid w:val="00CF4A6F"/>
    <w:rsid w:val="00D036F0"/>
    <w:rsid w:val="00D163A2"/>
    <w:rsid w:val="00D17E5A"/>
    <w:rsid w:val="00D36B68"/>
    <w:rsid w:val="00D454E1"/>
    <w:rsid w:val="00D60FE1"/>
    <w:rsid w:val="00D62F43"/>
    <w:rsid w:val="00D66354"/>
    <w:rsid w:val="00D66749"/>
    <w:rsid w:val="00D73442"/>
    <w:rsid w:val="00D77E26"/>
    <w:rsid w:val="00D83534"/>
    <w:rsid w:val="00D865BF"/>
    <w:rsid w:val="00D90B2A"/>
    <w:rsid w:val="00DA68C6"/>
    <w:rsid w:val="00DB1DC8"/>
    <w:rsid w:val="00DB2A69"/>
    <w:rsid w:val="00DB3159"/>
    <w:rsid w:val="00DB640D"/>
    <w:rsid w:val="00DC22B6"/>
    <w:rsid w:val="00DC6F08"/>
    <w:rsid w:val="00DD370B"/>
    <w:rsid w:val="00DE0BBC"/>
    <w:rsid w:val="00DE282E"/>
    <w:rsid w:val="00DE2D26"/>
    <w:rsid w:val="00DE39E0"/>
    <w:rsid w:val="00DE5454"/>
    <w:rsid w:val="00DF19B0"/>
    <w:rsid w:val="00DF21C9"/>
    <w:rsid w:val="00DF7895"/>
    <w:rsid w:val="00E00A20"/>
    <w:rsid w:val="00E03B22"/>
    <w:rsid w:val="00E14C1D"/>
    <w:rsid w:val="00E14DAC"/>
    <w:rsid w:val="00E20DC6"/>
    <w:rsid w:val="00E228E8"/>
    <w:rsid w:val="00E234DE"/>
    <w:rsid w:val="00E315C2"/>
    <w:rsid w:val="00E325DD"/>
    <w:rsid w:val="00E32D0E"/>
    <w:rsid w:val="00E32EED"/>
    <w:rsid w:val="00E369B0"/>
    <w:rsid w:val="00E36F33"/>
    <w:rsid w:val="00E54147"/>
    <w:rsid w:val="00E61F79"/>
    <w:rsid w:val="00E65F60"/>
    <w:rsid w:val="00E775CB"/>
    <w:rsid w:val="00E84B04"/>
    <w:rsid w:val="00E85304"/>
    <w:rsid w:val="00E9152D"/>
    <w:rsid w:val="00E9164F"/>
    <w:rsid w:val="00E9257E"/>
    <w:rsid w:val="00E96AFC"/>
    <w:rsid w:val="00EA1BCC"/>
    <w:rsid w:val="00EA31C4"/>
    <w:rsid w:val="00EC3CAC"/>
    <w:rsid w:val="00EC461B"/>
    <w:rsid w:val="00EC6B63"/>
    <w:rsid w:val="00ED14A1"/>
    <w:rsid w:val="00ED1784"/>
    <w:rsid w:val="00ED209B"/>
    <w:rsid w:val="00EE3ECC"/>
    <w:rsid w:val="00EF1367"/>
    <w:rsid w:val="00EF1F34"/>
    <w:rsid w:val="00EF67BE"/>
    <w:rsid w:val="00F04E12"/>
    <w:rsid w:val="00F10896"/>
    <w:rsid w:val="00F10F5A"/>
    <w:rsid w:val="00F14A59"/>
    <w:rsid w:val="00F165F7"/>
    <w:rsid w:val="00F24A25"/>
    <w:rsid w:val="00F307C5"/>
    <w:rsid w:val="00F355F1"/>
    <w:rsid w:val="00F379F2"/>
    <w:rsid w:val="00F41643"/>
    <w:rsid w:val="00F436AE"/>
    <w:rsid w:val="00F5336F"/>
    <w:rsid w:val="00F6031F"/>
    <w:rsid w:val="00F624AD"/>
    <w:rsid w:val="00F64628"/>
    <w:rsid w:val="00F670FE"/>
    <w:rsid w:val="00F76CBC"/>
    <w:rsid w:val="00F93A36"/>
    <w:rsid w:val="00FA026E"/>
    <w:rsid w:val="00FB1125"/>
    <w:rsid w:val="00FB16D3"/>
    <w:rsid w:val="00FB3B49"/>
    <w:rsid w:val="00FB4161"/>
    <w:rsid w:val="00FC3FD5"/>
    <w:rsid w:val="00FD152E"/>
    <w:rsid w:val="00FD2431"/>
    <w:rsid w:val="00FD4B03"/>
    <w:rsid w:val="00FD6C31"/>
    <w:rsid w:val="00FE0137"/>
    <w:rsid w:val="00FF58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0C76A"/>
  <w15:docId w15:val="{FFAF9390-38A2-4E4B-BD35-85F4566B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B92"/>
    <w:pPr>
      <w:spacing w:before="240"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813B92"/>
    <w:pPr>
      <w:spacing w:before="480" w:after="240"/>
      <w:outlineLvl w:val="0"/>
    </w:pPr>
    <w:rPr>
      <w:b/>
      <w:color w:val="336600"/>
      <w:sz w:val="28"/>
    </w:rPr>
  </w:style>
  <w:style w:type="paragraph" w:styleId="Heading2">
    <w:name w:val="heading 2"/>
    <w:basedOn w:val="Normal"/>
    <w:next w:val="Normal"/>
    <w:link w:val="Heading2Char"/>
    <w:uiPriority w:val="9"/>
    <w:qFormat/>
    <w:rsid w:val="00813B92"/>
    <w:pPr>
      <w:keepNext/>
      <w:outlineLvl w:val="1"/>
    </w:pPr>
    <w:rPr>
      <w:b/>
      <w:color w:val="009900"/>
    </w:rPr>
  </w:style>
  <w:style w:type="paragraph" w:styleId="Heading3">
    <w:name w:val="heading 3"/>
    <w:basedOn w:val="Normal"/>
    <w:next w:val="Normal"/>
    <w:link w:val="Heading3Char"/>
    <w:uiPriority w:val="9"/>
    <w:unhideWhenUsed/>
    <w:qFormat/>
    <w:rsid w:val="00813B92"/>
    <w:pPr>
      <w:keepNext/>
      <w:outlineLvl w:val="2"/>
    </w:pPr>
    <w:rPr>
      <w:b/>
      <w:i/>
      <w:color w:val="009900"/>
    </w:rPr>
  </w:style>
  <w:style w:type="paragraph" w:styleId="Heading4">
    <w:name w:val="heading 4"/>
    <w:basedOn w:val="Normal"/>
    <w:next w:val="Normal"/>
    <w:link w:val="Heading4Char"/>
    <w:uiPriority w:val="9"/>
    <w:unhideWhenUsed/>
    <w:qFormat/>
    <w:rsid w:val="006D5663"/>
    <w:pPr>
      <w:keepNext/>
      <w:keepLines/>
      <w:outlineLvl w:val="3"/>
    </w:pPr>
    <w:rPr>
      <w:rFonts w:eastAsiaTheme="majorEastAsia" w:cstheme="majorBidi"/>
      <w:i/>
      <w:iCs/>
      <w:color w:val="00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43"/>
    <w:pPr>
      <w:spacing w:before="100" w:beforeAutospacing="1" w:after="100" w:afterAutospacing="1"/>
    </w:pPr>
    <w:rPr>
      <w:rFonts w:eastAsia="Times New Roman" w:cs="Times New Roman"/>
      <w:szCs w:val="24"/>
      <w:lang w:eastAsia="en-NZ"/>
    </w:rPr>
  </w:style>
  <w:style w:type="paragraph" w:customStyle="1" w:styleId="Default">
    <w:name w:val="Default"/>
    <w:rsid w:val="00516EF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96503"/>
    <w:pPr>
      <w:spacing w:after="140"/>
      <w:ind w:left="567" w:hanging="567"/>
    </w:pPr>
  </w:style>
  <w:style w:type="paragraph" w:styleId="BalloonText">
    <w:name w:val="Balloon Text"/>
    <w:basedOn w:val="Normal"/>
    <w:link w:val="BalloonTextChar"/>
    <w:uiPriority w:val="99"/>
    <w:semiHidden/>
    <w:unhideWhenUsed/>
    <w:rsid w:val="003614D4"/>
    <w:rPr>
      <w:rFonts w:ascii="Tahoma" w:hAnsi="Tahoma" w:cs="Tahoma"/>
      <w:sz w:val="16"/>
      <w:szCs w:val="16"/>
    </w:rPr>
  </w:style>
  <w:style w:type="character" w:customStyle="1" w:styleId="BalloonTextChar">
    <w:name w:val="Balloon Text Char"/>
    <w:basedOn w:val="DefaultParagraphFont"/>
    <w:link w:val="BalloonText"/>
    <w:uiPriority w:val="99"/>
    <w:semiHidden/>
    <w:rsid w:val="003614D4"/>
    <w:rPr>
      <w:rFonts w:ascii="Tahoma" w:hAnsi="Tahoma" w:cs="Tahoma"/>
      <w:sz w:val="16"/>
      <w:szCs w:val="16"/>
    </w:rPr>
  </w:style>
  <w:style w:type="character" w:styleId="CommentReference">
    <w:name w:val="annotation reference"/>
    <w:basedOn w:val="DefaultParagraphFont"/>
    <w:uiPriority w:val="99"/>
    <w:semiHidden/>
    <w:unhideWhenUsed/>
    <w:rsid w:val="00890BE1"/>
    <w:rPr>
      <w:sz w:val="16"/>
      <w:szCs w:val="16"/>
    </w:rPr>
  </w:style>
  <w:style w:type="paragraph" w:styleId="CommentText">
    <w:name w:val="annotation text"/>
    <w:basedOn w:val="Normal"/>
    <w:link w:val="CommentTextChar"/>
    <w:uiPriority w:val="99"/>
    <w:semiHidden/>
    <w:unhideWhenUsed/>
    <w:rsid w:val="00890BE1"/>
    <w:rPr>
      <w:sz w:val="20"/>
      <w:szCs w:val="20"/>
    </w:rPr>
  </w:style>
  <w:style w:type="character" w:customStyle="1" w:styleId="CommentTextChar">
    <w:name w:val="Comment Text Char"/>
    <w:basedOn w:val="DefaultParagraphFont"/>
    <w:link w:val="CommentText"/>
    <w:uiPriority w:val="99"/>
    <w:semiHidden/>
    <w:rsid w:val="00890BE1"/>
    <w:rPr>
      <w:sz w:val="20"/>
      <w:szCs w:val="20"/>
    </w:rPr>
  </w:style>
  <w:style w:type="paragraph" w:styleId="CommentSubject">
    <w:name w:val="annotation subject"/>
    <w:basedOn w:val="CommentText"/>
    <w:next w:val="CommentText"/>
    <w:link w:val="CommentSubjectChar"/>
    <w:uiPriority w:val="99"/>
    <w:semiHidden/>
    <w:unhideWhenUsed/>
    <w:rsid w:val="00890BE1"/>
    <w:rPr>
      <w:b/>
      <w:bCs/>
    </w:rPr>
  </w:style>
  <w:style w:type="character" w:customStyle="1" w:styleId="CommentSubjectChar">
    <w:name w:val="Comment Subject Char"/>
    <w:basedOn w:val="CommentTextChar"/>
    <w:link w:val="CommentSubject"/>
    <w:uiPriority w:val="99"/>
    <w:semiHidden/>
    <w:rsid w:val="00890BE1"/>
    <w:rPr>
      <w:b/>
      <w:bCs/>
      <w:sz w:val="20"/>
      <w:szCs w:val="20"/>
    </w:rPr>
  </w:style>
  <w:style w:type="character" w:styleId="Hyperlink">
    <w:name w:val="Hyperlink"/>
    <w:basedOn w:val="DefaultParagraphFont"/>
    <w:uiPriority w:val="99"/>
    <w:unhideWhenUsed/>
    <w:rsid w:val="00124B7B"/>
    <w:rPr>
      <w:color w:val="0000FF" w:themeColor="hyperlink"/>
      <w:u w:val="single"/>
    </w:rPr>
  </w:style>
  <w:style w:type="character" w:styleId="FollowedHyperlink">
    <w:name w:val="FollowedHyperlink"/>
    <w:basedOn w:val="DefaultParagraphFont"/>
    <w:uiPriority w:val="99"/>
    <w:semiHidden/>
    <w:unhideWhenUsed/>
    <w:rsid w:val="009D5C0D"/>
    <w:rPr>
      <w:color w:val="800080" w:themeColor="followedHyperlink"/>
      <w:u w:val="single"/>
    </w:rPr>
  </w:style>
  <w:style w:type="paragraph" w:styleId="Header">
    <w:name w:val="header"/>
    <w:basedOn w:val="Normal"/>
    <w:link w:val="HeaderChar"/>
    <w:uiPriority w:val="99"/>
    <w:unhideWhenUsed/>
    <w:rsid w:val="00DE5454"/>
    <w:pPr>
      <w:tabs>
        <w:tab w:val="center" w:pos="4513"/>
        <w:tab w:val="right" w:pos="9026"/>
      </w:tabs>
    </w:pPr>
  </w:style>
  <w:style w:type="character" w:customStyle="1" w:styleId="HeaderChar">
    <w:name w:val="Header Char"/>
    <w:basedOn w:val="DefaultParagraphFont"/>
    <w:link w:val="Header"/>
    <w:uiPriority w:val="99"/>
    <w:rsid w:val="00DE5454"/>
  </w:style>
  <w:style w:type="paragraph" w:styleId="Footer">
    <w:name w:val="footer"/>
    <w:basedOn w:val="Normal"/>
    <w:link w:val="FooterChar"/>
    <w:uiPriority w:val="99"/>
    <w:unhideWhenUsed/>
    <w:rsid w:val="00DE5454"/>
    <w:pPr>
      <w:tabs>
        <w:tab w:val="center" w:pos="4513"/>
        <w:tab w:val="right" w:pos="9026"/>
      </w:tabs>
    </w:pPr>
  </w:style>
  <w:style w:type="character" w:customStyle="1" w:styleId="FooterChar">
    <w:name w:val="Footer Char"/>
    <w:basedOn w:val="DefaultParagraphFont"/>
    <w:link w:val="Footer"/>
    <w:uiPriority w:val="99"/>
    <w:rsid w:val="00DE5454"/>
  </w:style>
  <w:style w:type="paragraph" w:styleId="FootnoteText">
    <w:name w:val="footnote text"/>
    <w:basedOn w:val="Normal"/>
    <w:link w:val="FootnoteTextChar"/>
    <w:uiPriority w:val="99"/>
    <w:semiHidden/>
    <w:unhideWhenUsed/>
    <w:rsid w:val="00A14944"/>
    <w:rPr>
      <w:sz w:val="20"/>
      <w:szCs w:val="20"/>
    </w:rPr>
  </w:style>
  <w:style w:type="character" w:customStyle="1" w:styleId="FootnoteTextChar">
    <w:name w:val="Footnote Text Char"/>
    <w:basedOn w:val="DefaultParagraphFont"/>
    <w:link w:val="FootnoteText"/>
    <w:uiPriority w:val="99"/>
    <w:semiHidden/>
    <w:rsid w:val="00A14944"/>
    <w:rPr>
      <w:sz w:val="20"/>
      <w:szCs w:val="20"/>
    </w:rPr>
  </w:style>
  <w:style w:type="character" w:styleId="FootnoteReference">
    <w:name w:val="footnote reference"/>
    <w:basedOn w:val="DefaultParagraphFont"/>
    <w:uiPriority w:val="99"/>
    <w:semiHidden/>
    <w:unhideWhenUsed/>
    <w:rsid w:val="00A14944"/>
    <w:rPr>
      <w:vertAlign w:val="superscript"/>
    </w:rPr>
  </w:style>
  <w:style w:type="character" w:customStyle="1" w:styleId="Heading2Char">
    <w:name w:val="Heading 2 Char"/>
    <w:basedOn w:val="DefaultParagraphFont"/>
    <w:link w:val="Heading2"/>
    <w:uiPriority w:val="9"/>
    <w:rsid w:val="00813B92"/>
    <w:rPr>
      <w:rFonts w:ascii="Times New Roman" w:hAnsi="Times New Roman"/>
      <w:b/>
      <w:color w:val="009900"/>
      <w:sz w:val="24"/>
    </w:rPr>
  </w:style>
  <w:style w:type="paragraph" w:styleId="Title">
    <w:name w:val="Title"/>
    <w:basedOn w:val="Normal"/>
    <w:next w:val="Normal"/>
    <w:link w:val="TitleChar"/>
    <w:uiPriority w:val="10"/>
    <w:qFormat/>
    <w:rsid w:val="007A7D8A"/>
    <w:pPr>
      <w:jc w:val="center"/>
    </w:pPr>
    <w:rPr>
      <w:b/>
      <w:sz w:val="36"/>
      <w:szCs w:val="36"/>
    </w:rPr>
  </w:style>
  <w:style w:type="character" w:customStyle="1" w:styleId="TitleChar">
    <w:name w:val="Title Char"/>
    <w:basedOn w:val="DefaultParagraphFont"/>
    <w:link w:val="Title"/>
    <w:uiPriority w:val="10"/>
    <w:rsid w:val="007A7D8A"/>
    <w:rPr>
      <w:rFonts w:ascii="Times New Roman" w:hAnsi="Times New Roman"/>
      <w:b/>
      <w:sz w:val="36"/>
      <w:szCs w:val="36"/>
    </w:rPr>
  </w:style>
  <w:style w:type="character" w:customStyle="1" w:styleId="Heading1Char">
    <w:name w:val="Heading 1 Char"/>
    <w:basedOn w:val="DefaultParagraphFont"/>
    <w:link w:val="Heading1"/>
    <w:uiPriority w:val="9"/>
    <w:rsid w:val="00813B92"/>
    <w:rPr>
      <w:rFonts w:ascii="Times New Roman" w:hAnsi="Times New Roman"/>
      <w:b/>
      <w:color w:val="336600"/>
      <w:sz w:val="28"/>
    </w:rPr>
  </w:style>
  <w:style w:type="character" w:customStyle="1" w:styleId="Heading3Char">
    <w:name w:val="Heading 3 Char"/>
    <w:basedOn w:val="DefaultParagraphFont"/>
    <w:link w:val="Heading3"/>
    <w:uiPriority w:val="9"/>
    <w:rsid w:val="00813B92"/>
    <w:rPr>
      <w:rFonts w:ascii="Times New Roman" w:hAnsi="Times New Roman"/>
      <w:b/>
      <w:i/>
      <w:color w:val="009900"/>
      <w:sz w:val="24"/>
    </w:rPr>
  </w:style>
  <w:style w:type="paragraph" w:customStyle="1" w:styleId="List-Numbered">
    <w:name w:val="List - Numbered"/>
    <w:basedOn w:val="Normal"/>
    <w:qFormat/>
    <w:rsid w:val="00CE5DA5"/>
    <w:pPr>
      <w:numPr>
        <w:numId w:val="19"/>
      </w:numPr>
      <w:ind w:left="567" w:hanging="567"/>
    </w:pPr>
  </w:style>
  <w:style w:type="paragraph" w:customStyle="1" w:styleId="List-Bullet">
    <w:name w:val="List - Bullet"/>
    <w:basedOn w:val="Normal"/>
    <w:qFormat/>
    <w:rsid w:val="00813B92"/>
    <w:pPr>
      <w:numPr>
        <w:numId w:val="18"/>
      </w:numPr>
      <w:spacing w:before="120"/>
      <w:ind w:left="567" w:hanging="567"/>
    </w:pPr>
  </w:style>
  <w:style w:type="table" w:styleId="TableGrid">
    <w:name w:val="Table Grid"/>
    <w:basedOn w:val="TableNormal"/>
    <w:uiPriority w:val="59"/>
    <w:rsid w:val="00CE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2655"/>
    <w:rPr>
      <w:i/>
      <w:iCs/>
    </w:rPr>
  </w:style>
  <w:style w:type="paragraph" w:customStyle="1" w:styleId="Caption-Table">
    <w:name w:val="Caption - Table"/>
    <w:basedOn w:val="Normal"/>
    <w:qFormat/>
    <w:rsid w:val="00DD370B"/>
    <w:pPr>
      <w:keepNext/>
      <w:spacing w:after="120"/>
    </w:pPr>
    <w:rPr>
      <w:b/>
      <w:sz w:val="22"/>
    </w:rPr>
  </w:style>
  <w:style w:type="character" w:styleId="Strong">
    <w:name w:val="Strong"/>
    <w:basedOn w:val="DefaultParagraphFont"/>
    <w:uiPriority w:val="22"/>
    <w:qFormat/>
    <w:rsid w:val="002D2655"/>
    <w:rPr>
      <w:b/>
      <w:bCs/>
    </w:rPr>
  </w:style>
  <w:style w:type="paragraph" w:customStyle="1" w:styleId="NumberedParagraph">
    <w:name w:val="Numbered Paragraph"/>
    <w:basedOn w:val="Normal"/>
    <w:qFormat/>
    <w:rsid w:val="002A5ACD"/>
    <w:pPr>
      <w:numPr>
        <w:numId w:val="21"/>
      </w:numPr>
      <w:spacing w:after="200"/>
    </w:pPr>
    <w:rPr>
      <w:rFonts w:ascii="Verdana" w:hAnsi="Verdana"/>
      <w:sz w:val="20"/>
      <w:szCs w:val="23"/>
      <w:lang w:eastAsia="en-NZ"/>
    </w:rPr>
  </w:style>
  <w:style w:type="character" w:customStyle="1" w:styleId="Heading4Char">
    <w:name w:val="Heading 4 Char"/>
    <w:basedOn w:val="DefaultParagraphFont"/>
    <w:link w:val="Heading4"/>
    <w:uiPriority w:val="9"/>
    <w:rsid w:val="006D5663"/>
    <w:rPr>
      <w:rFonts w:ascii="Times New Roman" w:eastAsiaTheme="majorEastAsia" w:hAnsi="Times New Roman" w:cstheme="majorBidi"/>
      <w:i/>
      <w:iCs/>
      <w:color w:val="009900"/>
      <w:sz w:val="24"/>
    </w:rPr>
  </w:style>
  <w:style w:type="paragraph" w:styleId="Revision">
    <w:name w:val="Revision"/>
    <w:hidden/>
    <w:uiPriority w:val="99"/>
    <w:semiHidden/>
    <w:rsid w:val="00D90B2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3494">
      <w:bodyDiv w:val="1"/>
      <w:marLeft w:val="0"/>
      <w:marRight w:val="0"/>
      <w:marTop w:val="0"/>
      <w:marBottom w:val="0"/>
      <w:divBdr>
        <w:top w:val="none" w:sz="0" w:space="0" w:color="auto"/>
        <w:left w:val="none" w:sz="0" w:space="0" w:color="auto"/>
        <w:bottom w:val="none" w:sz="0" w:space="0" w:color="auto"/>
        <w:right w:val="none" w:sz="0" w:space="0" w:color="auto"/>
      </w:divBdr>
    </w:div>
    <w:div w:id="343939925">
      <w:bodyDiv w:val="1"/>
      <w:marLeft w:val="0"/>
      <w:marRight w:val="0"/>
      <w:marTop w:val="0"/>
      <w:marBottom w:val="0"/>
      <w:divBdr>
        <w:top w:val="none" w:sz="0" w:space="0" w:color="auto"/>
        <w:left w:val="none" w:sz="0" w:space="0" w:color="auto"/>
        <w:bottom w:val="none" w:sz="0" w:space="0" w:color="auto"/>
        <w:right w:val="none" w:sz="0" w:space="0" w:color="auto"/>
      </w:divBdr>
    </w:div>
    <w:div w:id="676427384">
      <w:bodyDiv w:val="1"/>
      <w:marLeft w:val="0"/>
      <w:marRight w:val="0"/>
      <w:marTop w:val="0"/>
      <w:marBottom w:val="0"/>
      <w:divBdr>
        <w:top w:val="none" w:sz="0" w:space="0" w:color="auto"/>
        <w:left w:val="none" w:sz="0" w:space="0" w:color="auto"/>
        <w:bottom w:val="none" w:sz="0" w:space="0" w:color="auto"/>
        <w:right w:val="none" w:sz="0" w:space="0" w:color="auto"/>
      </w:divBdr>
      <w:divsChild>
        <w:div w:id="1345670152">
          <w:marLeft w:val="0"/>
          <w:marRight w:val="0"/>
          <w:marTop w:val="0"/>
          <w:marBottom w:val="0"/>
          <w:divBdr>
            <w:top w:val="none" w:sz="0" w:space="0" w:color="auto"/>
            <w:left w:val="none" w:sz="0" w:space="0" w:color="auto"/>
            <w:bottom w:val="none" w:sz="0" w:space="0" w:color="auto"/>
            <w:right w:val="none" w:sz="0" w:space="0" w:color="auto"/>
          </w:divBdr>
          <w:divsChild>
            <w:div w:id="374308094">
              <w:marLeft w:val="0"/>
              <w:marRight w:val="0"/>
              <w:marTop w:val="0"/>
              <w:marBottom w:val="0"/>
              <w:divBdr>
                <w:top w:val="none" w:sz="0" w:space="0" w:color="auto"/>
                <w:left w:val="none" w:sz="0" w:space="0" w:color="auto"/>
                <w:bottom w:val="none" w:sz="0" w:space="0" w:color="auto"/>
                <w:right w:val="none" w:sz="0" w:space="0" w:color="auto"/>
              </w:divBdr>
              <w:divsChild>
                <w:div w:id="1095322373">
                  <w:marLeft w:val="0"/>
                  <w:marRight w:val="0"/>
                  <w:marTop w:val="0"/>
                  <w:marBottom w:val="0"/>
                  <w:divBdr>
                    <w:top w:val="none" w:sz="0" w:space="0" w:color="auto"/>
                    <w:left w:val="none" w:sz="0" w:space="0" w:color="auto"/>
                    <w:bottom w:val="none" w:sz="0" w:space="0" w:color="auto"/>
                    <w:right w:val="none" w:sz="0" w:space="0" w:color="auto"/>
                  </w:divBdr>
                  <w:divsChild>
                    <w:div w:id="20383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2422">
      <w:bodyDiv w:val="1"/>
      <w:marLeft w:val="0"/>
      <w:marRight w:val="0"/>
      <w:marTop w:val="0"/>
      <w:marBottom w:val="0"/>
      <w:divBdr>
        <w:top w:val="none" w:sz="0" w:space="0" w:color="auto"/>
        <w:left w:val="none" w:sz="0" w:space="0" w:color="auto"/>
        <w:bottom w:val="none" w:sz="0" w:space="0" w:color="auto"/>
        <w:right w:val="none" w:sz="0" w:space="0" w:color="auto"/>
      </w:divBdr>
      <w:divsChild>
        <w:div w:id="1357274389">
          <w:marLeft w:val="0"/>
          <w:marRight w:val="0"/>
          <w:marTop w:val="0"/>
          <w:marBottom w:val="0"/>
          <w:divBdr>
            <w:top w:val="none" w:sz="0" w:space="0" w:color="auto"/>
            <w:left w:val="none" w:sz="0" w:space="0" w:color="auto"/>
            <w:bottom w:val="none" w:sz="0" w:space="0" w:color="auto"/>
            <w:right w:val="none" w:sz="0" w:space="0" w:color="auto"/>
          </w:divBdr>
          <w:divsChild>
            <w:div w:id="167260899">
              <w:marLeft w:val="0"/>
              <w:marRight w:val="0"/>
              <w:marTop w:val="0"/>
              <w:marBottom w:val="0"/>
              <w:divBdr>
                <w:top w:val="none" w:sz="0" w:space="0" w:color="auto"/>
                <w:left w:val="none" w:sz="0" w:space="0" w:color="auto"/>
                <w:bottom w:val="none" w:sz="0" w:space="0" w:color="auto"/>
                <w:right w:val="none" w:sz="0" w:space="0" w:color="auto"/>
              </w:divBdr>
              <w:divsChild>
                <w:div w:id="126896427">
                  <w:marLeft w:val="0"/>
                  <w:marRight w:val="0"/>
                  <w:marTop w:val="0"/>
                  <w:marBottom w:val="0"/>
                  <w:divBdr>
                    <w:top w:val="none" w:sz="0" w:space="0" w:color="auto"/>
                    <w:left w:val="none" w:sz="0" w:space="0" w:color="auto"/>
                    <w:bottom w:val="none" w:sz="0" w:space="0" w:color="auto"/>
                    <w:right w:val="none" w:sz="0" w:space="0" w:color="auto"/>
                  </w:divBdr>
                  <w:divsChild>
                    <w:div w:id="10023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928">
      <w:bodyDiv w:val="1"/>
      <w:marLeft w:val="0"/>
      <w:marRight w:val="0"/>
      <w:marTop w:val="0"/>
      <w:marBottom w:val="0"/>
      <w:divBdr>
        <w:top w:val="none" w:sz="0" w:space="0" w:color="auto"/>
        <w:left w:val="none" w:sz="0" w:space="0" w:color="auto"/>
        <w:bottom w:val="none" w:sz="0" w:space="0" w:color="auto"/>
        <w:right w:val="none" w:sz="0" w:space="0" w:color="auto"/>
      </w:divBdr>
    </w:div>
    <w:div w:id="977566165">
      <w:bodyDiv w:val="1"/>
      <w:marLeft w:val="0"/>
      <w:marRight w:val="0"/>
      <w:marTop w:val="0"/>
      <w:marBottom w:val="0"/>
      <w:divBdr>
        <w:top w:val="none" w:sz="0" w:space="0" w:color="auto"/>
        <w:left w:val="none" w:sz="0" w:space="0" w:color="auto"/>
        <w:bottom w:val="none" w:sz="0" w:space="0" w:color="auto"/>
        <w:right w:val="none" w:sz="0" w:space="0" w:color="auto"/>
      </w:divBdr>
    </w:div>
    <w:div w:id="1655447199">
      <w:bodyDiv w:val="1"/>
      <w:marLeft w:val="0"/>
      <w:marRight w:val="0"/>
      <w:marTop w:val="0"/>
      <w:marBottom w:val="0"/>
      <w:divBdr>
        <w:top w:val="none" w:sz="0" w:space="0" w:color="auto"/>
        <w:left w:val="none" w:sz="0" w:space="0" w:color="auto"/>
        <w:bottom w:val="none" w:sz="0" w:space="0" w:color="auto"/>
        <w:right w:val="none" w:sz="0" w:space="0" w:color="auto"/>
      </w:divBdr>
      <w:divsChild>
        <w:div w:id="518979690">
          <w:marLeft w:val="0"/>
          <w:marRight w:val="0"/>
          <w:marTop w:val="0"/>
          <w:marBottom w:val="0"/>
          <w:divBdr>
            <w:top w:val="none" w:sz="0" w:space="0" w:color="auto"/>
            <w:left w:val="none" w:sz="0" w:space="0" w:color="auto"/>
            <w:bottom w:val="none" w:sz="0" w:space="0" w:color="auto"/>
            <w:right w:val="none" w:sz="0" w:space="0" w:color="auto"/>
          </w:divBdr>
          <w:divsChild>
            <w:div w:id="1038623517">
              <w:marLeft w:val="0"/>
              <w:marRight w:val="0"/>
              <w:marTop w:val="0"/>
              <w:marBottom w:val="0"/>
              <w:divBdr>
                <w:top w:val="none" w:sz="0" w:space="0" w:color="auto"/>
                <w:left w:val="none" w:sz="0" w:space="0" w:color="auto"/>
                <w:bottom w:val="none" w:sz="0" w:space="0" w:color="auto"/>
                <w:right w:val="none" w:sz="0" w:space="0" w:color="auto"/>
              </w:divBdr>
              <w:divsChild>
                <w:div w:id="528883892">
                  <w:marLeft w:val="0"/>
                  <w:marRight w:val="0"/>
                  <w:marTop w:val="0"/>
                  <w:marBottom w:val="0"/>
                  <w:divBdr>
                    <w:top w:val="none" w:sz="0" w:space="0" w:color="auto"/>
                    <w:left w:val="none" w:sz="0" w:space="0" w:color="auto"/>
                    <w:bottom w:val="none" w:sz="0" w:space="0" w:color="auto"/>
                    <w:right w:val="none" w:sz="0" w:space="0" w:color="auto"/>
                  </w:divBdr>
                  <w:divsChild>
                    <w:div w:id="11798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8009">
      <w:bodyDiv w:val="1"/>
      <w:marLeft w:val="0"/>
      <w:marRight w:val="0"/>
      <w:marTop w:val="0"/>
      <w:marBottom w:val="0"/>
      <w:divBdr>
        <w:top w:val="none" w:sz="0" w:space="0" w:color="auto"/>
        <w:left w:val="none" w:sz="0" w:space="0" w:color="auto"/>
        <w:bottom w:val="none" w:sz="0" w:space="0" w:color="auto"/>
        <w:right w:val="none" w:sz="0" w:space="0" w:color="auto"/>
      </w:divBdr>
    </w:div>
    <w:div w:id="20833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1710</Words>
  <Characters>8500</Characters>
  <Application>Microsoft Office Word</Application>
  <DocSecurity>0</DocSecurity>
  <Lines>149</Lines>
  <Paragraphs>85</Paragraphs>
  <ScaleCrop>false</ScaleCrop>
  <HeadingPairs>
    <vt:vector size="2" baseType="variant">
      <vt:variant>
        <vt:lpstr>Title</vt:lpstr>
      </vt:variant>
      <vt:variant>
        <vt:i4>1</vt:i4>
      </vt:variant>
    </vt:vector>
  </HeadingPairs>
  <TitlesOfParts>
    <vt:vector size="1" baseType="lpstr">
      <vt:lpstr>Proposed changes to the income tax treatment of leases where IFRS 16 applies (December 2019)</vt:lpstr>
    </vt:vector>
  </TitlesOfParts>
  <Company>Inland Revenue</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the income tax treatment of leases where IFRS 16 applies (December 2019)</dc:title>
  <dc:creator>Policy and Strategy</dc:creator>
  <dc:description/>
  <dcterms:created xsi:type="dcterms:W3CDTF">2019-12-10T20:15:00Z</dcterms:created>
  <dcterms:modified xsi:type="dcterms:W3CDTF">2019-12-10T20:16:00Z</dcterms:modified>
</cp:coreProperties>
</file>