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InfoTable"/>
        <w:tblW w:w="4999" w:type="pct"/>
        <w:tblLayout w:type="fixed"/>
        <w:tblLook w:val="04A0" w:firstRow="1" w:lastRow="0" w:firstColumn="1" w:lastColumn="0" w:noHBand="0" w:noVBand="1"/>
      </w:tblPr>
      <w:tblGrid>
        <w:gridCol w:w="4797"/>
        <w:gridCol w:w="4227"/>
      </w:tblGrid>
      <w:tr w:rsidR="00D54A3A" w:rsidRPr="006B72F2" w14:paraId="2EC37B0B" w14:textId="77777777" w:rsidTr="002800A9">
        <w:trPr>
          <w:cnfStyle w:val="100000000000" w:firstRow="1" w:lastRow="0" w:firstColumn="0" w:lastColumn="0" w:oddVBand="0" w:evenVBand="0" w:oddHBand="0" w:evenHBand="0" w:firstRowFirstColumn="0" w:firstRowLastColumn="0" w:lastRowFirstColumn="0" w:lastRowLastColumn="0"/>
        </w:trPr>
        <w:tc>
          <w:tcPr>
            <w:tcW w:w="4820" w:type="dxa"/>
          </w:tcPr>
          <w:p w14:paraId="06280F85" w14:textId="785E5A3A" w:rsidR="00DB6C3C" w:rsidRDefault="00DB6C3C" w:rsidP="007C0DD9">
            <w:pPr>
              <w:pStyle w:val="Heading1"/>
              <w:spacing w:line="240" w:lineRule="auto"/>
              <w:outlineLvl w:val="0"/>
            </w:pPr>
            <w:r w:rsidRPr="00DB6C3C">
              <w:t>MLI Article 4</w:t>
            </w:r>
            <w:r w:rsidR="00BD50BB">
              <w:t>(1)</w:t>
            </w:r>
            <w:r w:rsidRPr="00DB6C3C">
              <w:t xml:space="preserve"> </w:t>
            </w:r>
          </w:p>
          <w:p w14:paraId="49E80B93" w14:textId="77777777" w:rsidR="00D54A3A" w:rsidRPr="006B72F2" w:rsidRDefault="00AE0301" w:rsidP="00AE0301">
            <w:pPr>
              <w:pStyle w:val="Heading1"/>
              <w:spacing w:line="240" w:lineRule="auto"/>
              <w:outlineLvl w:val="0"/>
            </w:pPr>
            <w:r>
              <w:t>A</w:t>
            </w:r>
            <w:r w:rsidRPr="00AE0301">
              <w:t xml:space="preserve">dministrative </w:t>
            </w:r>
            <w:r>
              <w:t>A</w:t>
            </w:r>
            <w:r w:rsidRPr="00AE0301">
              <w:t>pproach</w:t>
            </w:r>
          </w:p>
        </w:tc>
        <w:tc>
          <w:tcPr>
            <w:tcW w:w="4248" w:type="dxa"/>
            <w:vAlign w:val="bottom"/>
          </w:tcPr>
          <w:p w14:paraId="6610F153" w14:textId="77777777" w:rsidR="0056745C" w:rsidRPr="006B72F2" w:rsidRDefault="0056745C" w:rsidP="007C0DD9">
            <w:pPr>
              <w:pStyle w:val="ClassificationInfo"/>
              <w:rPr>
                <w:rStyle w:val="ClassificationBody"/>
                <w:rFonts w:asciiTheme="majorHAnsi" w:hAnsiTheme="majorHAnsi"/>
              </w:rPr>
            </w:pPr>
          </w:p>
          <w:p w14:paraId="3306DEB6" w14:textId="77777777" w:rsidR="0056745C" w:rsidRPr="006B72F2" w:rsidRDefault="0056745C" w:rsidP="007C0DD9">
            <w:pPr>
              <w:pStyle w:val="ClassificationInfo"/>
              <w:rPr>
                <w:rFonts w:asciiTheme="majorHAnsi" w:hAnsiTheme="majorHAnsi"/>
              </w:rPr>
            </w:pPr>
          </w:p>
          <w:p w14:paraId="299AB2A0" w14:textId="5B014C02" w:rsidR="00D54A3A" w:rsidRPr="006B72F2" w:rsidRDefault="00D54A3A" w:rsidP="00244DA8">
            <w:pPr>
              <w:pStyle w:val="ClassificationInfo"/>
              <w:rPr>
                <w:rFonts w:asciiTheme="majorHAnsi" w:hAnsiTheme="majorHAnsi"/>
              </w:rPr>
            </w:pPr>
          </w:p>
        </w:tc>
      </w:tr>
    </w:tbl>
    <w:p w14:paraId="06867039" w14:textId="77777777" w:rsidR="00187FB5" w:rsidRDefault="00187FB5" w:rsidP="007108C2">
      <w:pPr>
        <w:spacing w:before="120"/>
      </w:pPr>
    </w:p>
    <w:p w14:paraId="5EA11DB4" w14:textId="030BFAD4" w:rsidR="00747204" w:rsidRPr="00A27E4E" w:rsidRDefault="00747204" w:rsidP="00A27E4E">
      <w:pPr>
        <w:rPr>
          <w:b/>
          <w:bCs/>
          <w:u w:val="single"/>
        </w:rPr>
      </w:pPr>
      <w:r w:rsidRPr="00A27E4E">
        <w:rPr>
          <w:b/>
          <w:bCs/>
          <w:u w:val="single"/>
        </w:rPr>
        <w:t xml:space="preserve">Australia and New Zealand </w:t>
      </w:r>
      <w:r w:rsidR="00662644" w:rsidRPr="00A27E4E">
        <w:rPr>
          <w:b/>
          <w:bCs/>
          <w:u w:val="single"/>
        </w:rPr>
        <w:t>administrative approach</w:t>
      </w:r>
    </w:p>
    <w:p w14:paraId="6308A857" w14:textId="77777777" w:rsidR="00A27E4E" w:rsidRDefault="00A27E4E" w:rsidP="000076C9">
      <w:pPr>
        <w:spacing w:before="0" w:line="240" w:lineRule="auto"/>
        <w:rPr>
          <w:rFonts w:cs="Calibri"/>
          <w:szCs w:val="22"/>
        </w:rPr>
      </w:pPr>
    </w:p>
    <w:p w14:paraId="605C7184" w14:textId="4363B44C" w:rsidR="00AB00D2" w:rsidRPr="009402BC" w:rsidRDefault="00404C10" w:rsidP="000076C9">
      <w:pPr>
        <w:spacing w:before="0" w:line="240" w:lineRule="auto"/>
        <w:rPr>
          <w:rFonts w:cs="Calibri"/>
          <w:szCs w:val="22"/>
        </w:rPr>
      </w:pPr>
      <w:r w:rsidRPr="009402BC">
        <w:rPr>
          <w:rFonts w:cs="Calibri"/>
          <w:szCs w:val="22"/>
        </w:rPr>
        <w:t xml:space="preserve">Australia and New Zealand are signatories to the </w:t>
      </w:r>
      <w:r w:rsidR="00393ED7" w:rsidRPr="009402BC">
        <w:rPr>
          <w:rFonts w:cs="Calibri"/>
          <w:szCs w:val="22"/>
        </w:rPr>
        <w:t>Multilateral Convention</w:t>
      </w:r>
      <w:r w:rsidR="00AB00D2" w:rsidRPr="009402BC">
        <w:rPr>
          <w:rStyle w:val="EndnoteReference"/>
          <w:rFonts w:cs="Calibri"/>
          <w:szCs w:val="22"/>
        </w:rPr>
        <w:endnoteReference w:id="1"/>
      </w:r>
      <w:r w:rsidR="00AB00D2" w:rsidRPr="009402BC">
        <w:rPr>
          <w:rFonts w:cs="Calibri"/>
          <w:szCs w:val="22"/>
        </w:rPr>
        <w:t xml:space="preserve"> (MLI) and have both deposited their instruments of ratification with the OECD. This reinforces the commitment of Australia and New Zealand to addressing </w:t>
      </w:r>
      <w:r w:rsidR="00D210C7" w:rsidRPr="009402BC">
        <w:rPr>
          <w:rFonts w:cs="Calibri"/>
          <w:szCs w:val="22"/>
        </w:rPr>
        <w:t>base erosion and profit shifting (</w:t>
      </w:r>
      <w:r w:rsidR="00AB00D2" w:rsidRPr="009402BC">
        <w:rPr>
          <w:rFonts w:cs="Calibri"/>
          <w:szCs w:val="22"/>
        </w:rPr>
        <w:t>BEPS</w:t>
      </w:r>
      <w:r w:rsidR="00D210C7" w:rsidRPr="009402BC">
        <w:rPr>
          <w:rFonts w:cs="Calibri"/>
          <w:szCs w:val="22"/>
        </w:rPr>
        <w:t>)</w:t>
      </w:r>
      <w:r w:rsidR="00AB00D2" w:rsidRPr="009402BC">
        <w:rPr>
          <w:rFonts w:cs="Calibri"/>
          <w:szCs w:val="22"/>
        </w:rPr>
        <w:t xml:space="preserve"> risks and ensuring a better functioning international tax system.</w:t>
      </w:r>
    </w:p>
    <w:p w14:paraId="3B71BC86" w14:textId="77777777" w:rsidR="00AB00D2" w:rsidRPr="009402BC" w:rsidRDefault="00AB00D2" w:rsidP="000076C9">
      <w:pPr>
        <w:spacing w:before="0" w:line="240" w:lineRule="auto"/>
        <w:rPr>
          <w:rFonts w:cs="Calibri"/>
          <w:szCs w:val="22"/>
        </w:rPr>
      </w:pPr>
    </w:p>
    <w:p w14:paraId="6BA1E128" w14:textId="3F2BDC72" w:rsidR="00AB00D2" w:rsidRPr="009402BC" w:rsidRDefault="00AB00D2" w:rsidP="000076C9">
      <w:pPr>
        <w:spacing w:before="0" w:line="240" w:lineRule="auto"/>
        <w:rPr>
          <w:rFonts w:cs="Calibri"/>
          <w:szCs w:val="22"/>
        </w:rPr>
      </w:pPr>
      <w:r w:rsidRPr="009402BC">
        <w:rPr>
          <w:rFonts w:cs="Calibri"/>
          <w:szCs w:val="22"/>
        </w:rPr>
        <w:t>In recognition of the Single Economic Market agenda between Australia and New Zealand, which seeks to create a seamless trans-Tasman business environment, and the fact that our respective tax systems and administrations are comparable and both countries are committed to adopting measures to address BEPS risks, this joint approach represents a measured risk-based approach that seeks to provide certainty and minimise compliance costs for taxpayers. It is envisaged that this approach will only be implemented between Australia and New Zealand at this stage.</w:t>
      </w:r>
    </w:p>
    <w:p w14:paraId="244DCBD3" w14:textId="77777777" w:rsidR="00AB00D2" w:rsidRPr="009402BC" w:rsidRDefault="00AB00D2" w:rsidP="000076C9">
      <w:pPr>
        <w:spacing w:before="0" w:line="240" w:lineRule="auto"/>
        <w:rPr>
          <w:rFonts w:cs="Calibri"/>
          <w:szCs w:val="22"/>
        </w:rPr>
      </w:pPr>
    </w:p>
    <w:p w14:paraId="375C266C" w14:textId="25253534" w:rsidR="00AB00D2" w:rsidRPr="009402BC" w:rsidRDefault="00AB00D2" w:rsidP="00B06AC3">
      <w:pPr>
        <w:spacing w:before="0" w:line="240" w:lineRule="auto"/>
        <w:rPr>
          <w:rFonts w:cs="Calibri"/>
          <w:szCs w:val="22"/>
        </w:rPr>
      </w:pPr>
      <w:r w:rsidRPr="009402BC">
        <w:rPr>
          <w:rFonts w:cs="Calibri"/>
          <w:szCs w:val="22"/>
        </w:rPr>
        <w:t xml:space="preserve">For taxpayers that satisfy </w:t>
      </w:r>
      <w:proofErr w:type="gramStart"/>
      <w:r w:rsidRPr="009402BC">
        <w:rPr>
          <w:rFonts w:cs="Calibri"/>
          <w:szCs w:val="22"/>
        </w:rPr>
        <w:t>all of</w:t>
      </w:r>
      <w:proofErr w:type="gramEnd"/>
      <w:r w:rsidRPr="009402BC">
        <w:rPr>
          <w:rFonts w:cs="Calibri"/>
          <w:szCs w:val="22"/>
        </w:rPr>
        <w:t xml:space="preserve"> the eligibility criteria outlined below for the relevant year, the Australian Taxation Office (ATO) and New Zealand Inland Revenue (IR) jointly determine that:</w:t>
      </w:r>
    </w:p>
    <w:p w14:paraId="6C0995BB" w14:textId="21A7BC5E" w:rsidR="00AB00D2" w:rsidRPr="009402BC" w:rsidRDefault="00147DE0" w:rsidP="0064400B">
      <w:pPr>
        <w:pStyle w:val="ListParagraph"/>
        <w:numPr>
          <w:ilvl w:val="0"/>
          <w:numId w:val="49"/>
        </w:numPr>
        <w:spacing w:after="140" w:line="240" w:lineRule="auto"/>
        <w:ind w:left="709" w:hanging="357"/>
        <w:contextualSpacing w:val="0"/>
      </w:pPr>
      <w:r w:rsidRPr="009402BC">
        <w:t>W</w:t>
      </w:r>
      <w:r w:rsidR="00AB00D2" w:rsidRPr="009402BC">
        <w:t>here an eligible taxpayer reasonably self-determines its place of effective management (</w:t>
      </w:r>
      <w:proofErr w:type="spellStart"/>
      <w:r w:rsidR="00AB00D2" w:rsidRPr="009402BC">
        <w:t>PoEM</w:t>
      </w:r>
      <w:proofErr w:type="spellEnd"/>
      <w:r w:rsidR="00AB00D2" w:rsidRPr="009402BC">
        <w:t xml:space="preserve">) to </w:t>
      </w:r>
      <w:proofErr w:type="gramStart"/>
      <w:r w:rsidR="00AB00D2" w:rsidRPr="009402BC">
        <w:t>be located in</w:t>
      </w:r>
      <w:proofErr w:type="gramEnd"/>
      <w:r w:rsidR="00AB00D2" w:rsidRPr="009402BC">
        <w:t xml:space="preserve"> Australia, it will be deemed to be a resident of Australia for the purposes of the Convention between Australia and New Zealand for the </w:t>
      </w:r>
      <w:r w:rsidR="00815CA2" w:rsidRPr="009402BC">
        <w:t xml:space="preserve">avoidance </w:t>
      </w:r>
      <w:r w:rsidR="00AB00D2" w:rsidRPr="009402BC">
        <w:t xml:space="preserve">of </w:t>
      </w:r>
      <w:r w:rsidR="00815CA2" w:rsidRPr="009402BC">
        <w:t xml:space="preserve">double taxation </w:t>
      </w:r>
      <w:r w:rsidR="00AB00D2" w:rsidRPr="009402BC">
        <w:t xml:space="preserve">with </w:t>
      </w:r>
      <w:r w:rsidR="00815CA2" w:rsidRPr="009402BC">
        <w:t xml:space="preserve">respect </w:t>
      </w:r>
      <w:r w:rsidR="00AB00D2" w:rsidRPr="009402BC">
        <w:t xml:space="preserve">to </w:t>
      </w:r>
      <w:r w:rsidR="00815CA2" w:rsidRPr="009402BC">
        <w:t xml:space="preserve">taxes </w:t>
      </w:r>
      <w:r w:rsidR="00AB00D2" w:rsidRPr="009402BC">
        <w:t xml:space="preserve">on </w:t>
      </w:r>
      <w:r w:rsidR="00815CA2" w:rsidRPr="009402BC">
        <w:t xml:space="preserve">income </w:t>
      </w:r>
      <w:r w:rsidR="00AB00D2" w:rsidRPr="009402BC">
        <w:t xml:space="preserve">and </w:t>
      </w:r>
      <w:r w:rsidR="00815CA2" w:rsidRPr="009402BC">
        <w:t xml:space="preserve">fringe benefits </w:t>
      </w:r>
      <w:r w:rsidR="00AB00D2" w:rsidRPr="009402BC">
        <w:t xml:space="preserve">and the </w:t>
      </w:r>
      <w:r w:rsidR="00815CA2" w:rsidRPr="009402BC">
        <w:t xml:space="preserve">prevention </w:t>
      </w:r>
      <w:r w:rsidR="00AB00D2" w:rsidRPr="009402BC">
        <w:t xml:space="preserve">of </w:t>
      </w:r>
      <w:r w:rsidR="00815CA2" w:rsidRPr="009402BC">
        <w:t xml:space="preserve">fiscal evasion </w:t>
      </w:r>
      <w:r w:rsidR="00AB00D2" w:rsidRPr="009402BC">
        <w:t>(Australia-New Zealand treaty)</w:t>
      </w:r>
    </w:p>
    <w:p w14:paraId="2766377B" w14:textId="3AF22B34" w:rsidR="00AB00D2" w:rsidRPr="009402BC" w:rsidRDefault="00147DE0" w:rsidP="00CD7DA0">
      <w:pPr>
        <w:pStyle w:val="ListParagraph"/>
        <w:numPr>
          <w:ilvl w:val="0"/>
          <w:numId w:val="49"/>
        </w:numPr>
        <w:ind w:left="709"/>
      </w:pPr>
      <w:r w:rsidRPr="009402BC">
        <w:t xml:space="preserve">Where </w:t>
      </w:r>
      <w:r w:rsidR="00AB00D2" w:rsidRPr="009402BC">
        <w:t xml:space="preserve">an eligible taxpayer reasonably self-determines its </w:t>
      </w:r>
      <w:proofErr w:type="spellStart"/>
      <w:r w:rsidR="00AB00D2" w:rsidRPr="009402BC">
        <w:t>PoEM</w:t>
      </w:r>
      <w:proofErr w:type="spellEnd"/>
      <w:r w:rsidR="00AB00D2" w:rsidRPr="009402BC">
        <w:t xml:space="preserve"> to </w:t>
      </w:r>
      <w:proofErr w:type="gramStart"/>
      <w:r w:rsidR="00AB00D2" w:rsidRPr="009402BC">
        <w:t>be located in</w:t>
      </w:r>
      <w:proofErr w:type="gramEnd"/>
      <w:r w:rsidR="00AB00D2" w:rsidRPr="009402BC">
        <w:t xml:space="preserve"> New Zealand, it will be deemed to be a resident of New Zealand for the purposes of the Australia-New Zealand treaty.</w:t>
      </w:r>
    </w:p>
    <w:p w14:paraId="22A8F33A" w14:textId="6438BAC9" w:rsidR="00AB00D2" w:rsidRDefault="00AB00D2" w:rsidP="00AD60BC">
      <w:r>
        <w:t xml:space="preserve">This determination is made for the purposes of the </w:t>
      </w:r>
      <w:r w:rsidRPr="00351641">
        <w:t>Australia-New Zealand treaty</w:t>
      </w:r>
      <w:r>
        <w:t xml:space="preserve"> as modified by Article 4(1) of the </w:t>
      </w:r>
      <w:r w:rsidRPr="00393ED7">
        <w:t>MLI</w:t>
      </w:r>
      <w:r>
        <w:t>.</w:t>
      </w:r>
    </w:p>
    <w:p w14:paraId="0469DE85" w14:textId="06C67E02" w:rsidR="00AB00D2" w:rsidRPr="00E67BFD" w:rsidRDefault="00AB00D2" w:rsidP="00AD60BC">
      <w:r>
        <w:t xml:space="preserve">Where an eligible taxpayer reasonably self-determines its </w:t>
      </w:r>
      <w:proofErr w:type="spellStart"/>
      <w:r>
        <w:t>PoEM</w:t>
      </w:r>
      <w:proofErr w:type="spellEnd"/>
      <w:r>
        <w:t xml:space="preserve"> to </w:t>
      </w:r>
      <w:proofErr w:type="gramStart"/>
      <w:r>
        <w:t>be located in</w:t>
      </w:r>
      <w:proofErr w:type="gramEnd"/>
      <w:r>
        <w:t xml:space="preserve"> New Zealand and it is deemed to be a resident of New Zealand for the purposes of the Australia-New Zealand treaty, the taxpayer will also be a prescribed dual resident under the definition in </w:t>
      </w:r>
      <w:r w:rsidR="00BD50BB">
        <w:t>sub</w:t>
      </w:r>
      <w:r>
        <w:t xml:space="preserve">section 6(1) of </w:t>
      </w:r>
      <w:r w:rsidRPr="00E67BFD">
        <w:t xml:space="preserve">the </w:t>
      </w:r>
      <w:r w:rsidRPr="00E67BFD">
        <w:rPr>
          <w:i/>
        </w:rPr>
        <w:t xml:space="preserve">Income Tax Assessment Act 1936 </w:t>
      </w:r>
      <w:r w:rsidRPr="00E67BFD">
        <w:t>(ITAA 1936).</w:t>
      </w:r>
    </w:p>
    <w:p w14:paraId="0701C1C4" w14:textId="32A6C965" w:rsidR="00AB00D2" w:rsidRPr="00035F05" w:rsidRDefault="00AB00D2" w:rsidP="007108C2">
      <w:r>
        <w:t xml:space="preserve">This approach is designed to reduce the compliance burden and costs for lower materiality taxpayers as they </w:t>
      </w:r>
      <w:proofErr w:type="gramStart"/>
      <w:r>
        <w:t>are able to</w:t>
      </w:r>
      <w:proofErr w:type="gramEnd"/>
      <w:r>
        <w:t xml:space="preserve"> assess their eligibility based on readily available information. It also allows the ATO and IR to focus compliance resources on arrangements that could have material revenue consequences and/or pose higher risk of non-compliance with the tax laws.</w:t>
      </w:r>
    </w:p>
    <w:p w14:paraId="44DFCA85" w14:textId="4444D6FB" w:rsidR="008F0541" w:rsidRDefault="00AB00D2" w:rsidP="007108C2">
      <w:pPr>
        <w:rPr>
          <w:color w:val="auto"/>
        </w:rPr>
      </w:pPr>
      <w:r>
        <w:rPr>
          <w:rFonts w:asciiTheme="majorHAnsi" w:hAnsiTheme="majorHAnsi"/>
          <w:szCs w:val="22"/>
        </w:rPr>
        <w:t>Where the taxpayer is uncertain as to whether they satisfy the</w:t>
      </w:r>
      <w:r w:rsidRPr="009C3ED1">
        <w:rPr>
          <w:rFonts w:asciiTheme="majorHAnsi" w:hAnsiTheme="majorHAnsi"/>
          <w:szCs w:val="22"/>
        </w:rPr>
        <w:t xml:space="preserve"> </w:t>
      </w:r>
      <w:r>
        <w:rPr>
          <w:rFonts w:asciiTheme="majorHAnsi" w:hAnsiTheme="majorHAnsi"/>
          <w:szCs w:val="22"/>
        </w:rPr>
        <w:t xml:space="preserve">eligibility </w:t>
      </w:r>
      <w:r w:rsidRPr="00035F05">
        <w:rPr>
          <w:rFonts w:asciiTheme="majorHAnsi" w:hAnsiTheme="majorHAnsi"/>
          <w:szCs w:val="22"/>
        </w:rPr>
        <w:t>criteria</w:t>
      </w:r>
      <w:r>
        <w:rPr>
          <w:rFonts w:asciiTheme="majorHAnsi" w:hAnsiTheme="majorHAnsi"/>
          <w:szCs w:val="22"/>
        </w:rPr>
        <w:t xml:space="preserve"> or uncertain as to the self-determination of </w:t>
      </w:r>
      <w:proofErr w:type="spellStart"/>
      <w:r>
        <w:rPr>
          <w:rFonts w:asciiTheme="majorHAnsi" w:hAnsiTheme="majorHAnsi"/>
          <w:szCs w:val="22"/>
        </w:rPr>
        <w:t>PoEM</w:t>
      </w:r>
      <w:proofErr w:type="spellEnd"/>
      <w:r>
        <w:rPr>
          <w:rFonts w:asciiTheme="majorHAnsi" w:hAnsiTheme="majorHAnsi"/>
          <w:szCs w:val="22"/>
        </w:rPr>
        <w:t xml:space="preserve">, </w:t>
      </w:r>
      <w:r w:rsidRPr="00035F05">
        <w:rPr>
          <w:rFonts w:asciiTheme="majorHAnsi" w:hAnsiTheme="majorHAnsi"/>
          <w:szCs w:val="22"/>
        </w:rPr>
        <w:t xml:space="preserve">we encourage the taxpayer to engage with either </w:t>
      </w:r>
      <w:r w:rsidR="00566DC2">
        <w:rPr>
          <w:rFonts w:asciiTheme="majorHAnsi" w:hAnsiTheme="majorHAnsi"/>
          <w:szCs w:val="22"/>
        </w:rPr>
        <w:t>c</w:t>
      </w:r>
      <w:r w:rsidR="00566DC2" w:rsidRPr="00035F05">
        <w:rPr>
          <w:rFonts w:asciiTheme="majorHAnsi" w:hAnsiTheme="majorHAnsi"/>
          <w:szCs w:val="22"/>
        </w:rPr>
        <w:t xml:space="preserve">ompetent </w:t>
      </w:r>
      <w:r w:rsidR="00566DC2">
        <w:rPr>
          <w:rFonts w:asciiTheme="majorHAnsi" w:hAnsiTheme="majorHAnsi"/>
          <w:szCs w:val="22"/>
        </w:rPr>
        <w:t>a</w:t>
      </w:r>
      <w:r w:rsidR="00566DC2" w:rsidRPr="00035F05">
        <w:rPr>
          <w:rFonts w:asciiTheme="majorHAnsi" w:hAnsiTheme="majorHAnsi"/>
          <w:szCs w:val="22"/>
        </w:rPr>
        <w:t xml:space="preserve">uthority </w:t>
      </w:r>
      <w:r w:rsidRPr="00035F05">
        <w:rPr>
          <w:rFonts w:asciiTheme="majorHAnsi" w:hAnsiTheme="majorHAnsi"/>
          <w:szCs w:val="22"/>
        </w:rPr>
        <w:t>about their circumstances.</w:t>
      </w:r>
      <w:r>
        <w:rPr>
          <w:rFonts w:asciiTheme="majorHAnsi" w:hAnsiTheme="majorHAnsi"/>
          <w:szCs w:val="22"/>
        </w:rPr>
        <w:t xml:space="preserve"> I</w:t>
      </w:r>
      <w:r w:rsidRPr="008F0541">
        <w:rPr>
          <w:rFonts w:asciiTheme="majorHAnsi" w:hAnsiTheme="majorHAnsi" w:cstheme="majorHAnsi"/>
          <w:szCs w:val="22"/>
        </w:rPr>
        <w:t xml:space="preserve">f the taxpayer does not meet the eligibility criteria, then an application will need to be lodged </w:t>
      </w:r>
      <w:r w:rsidR="008F0541">
        <w:rPr>
          <w:rFonts w:asciiTheme="majorHAnsi" w:hAnsiTheme="majorHAnsi" w:cstheme="majorHAnsi"/>
          <w:szCs w:val="22"/>
        </w:rPr>
        <w:t xml:space="preserve">(see: </w:t>
      </w:r>
      <w:hyperlink r:id="rId8" w:history="1">
        <w:r w:rsidR="008F0541" w:rsidRPr="00D66FB9">
          <w:rPr>
            <w:rStyle w:val="Hyperlink"/>
            <w:rFonts w:asciiTheme="majorHAnsi" w:hAnsiTheme="majorHAnsi" w:cstheme="majorHAnsi"/>
          </w:rPr>
          <w:t>http://taxpolicy.ird.govt.nz/tax-treaties/australia</w:t>
        </w:r>
      </w:hyperlink>
      <w:r w:rsidR="008F0541">
        <w:rPr>
          <w:rFonts w:asciiTheme="majorHAnsi" w:hAnsiTheme="majorHAnsi" w:cstheme="majorHAnsi"/>
        </w:rPr>
        <w:t>).</w:t>
      </w:r>
    </w:p>
    <w:p w14:paraId="7756A1CC" w14:textId="77777777" w:rsidR="00FC154C" w:rsidRDefault="00FC154C">
      <w:pPr>
        <w:spacing w:before="0" w:line="240" w:lineRule="auto"/>
      </w:pPr>
      <w:r>
        <w:br w:type="page"/>
      </w:r>
    </w:p>
    <w:p w14:paraId="7CBF14A7" w14:textId="50340953" w:rsidR="00AB00D2" w:rsidRDefault="00D34371" w:rsidP="00927331">
      <w:r w:rsidRPr="00D34371">
        <w:lastRenderedPageBreak/>
        <w:t>The ATO and IR will monitor the operation of this administrative approach to ensure it remains fit for purpose.</w:t>
      </w:r>
    </w:p>
    <w:p w14:paraId="0383F29C" w14:textId="77777777" w:rsidR="00F84A10" w:rsidRDefault="00F84A10" w:rsidP="00F84A10">
      <w:pPr>
        <w:spacing w:before="0"/>
      </w:pPr>
    </w:p>
    <w:p w14:paraId="1EF563AB" w14:textId="6B6D2913" w:rsidR="00AB00D2" w:rsidRPr="00893277" w:rsidRDefault="00AB00D2" w:rsidP="00893277">
      <w:pPr>
        <w:rPr>
          <w:b/>
          <w:bCs/>
          <w:u w:val="single"/>
        </w:rPr>
      </w:pPr>
      <w:r w:rsidRPr="00893277">
        <w:rPr>
          <w:b/>
          <w:bCs/>
          <w:u w:val="single"/>
        </w:rPr>
        <w:t xml:space="preserve">Eligibility </w:t>
      </w:r>
      <w:r w:rsidR="0027405D" w:rsidRPr="00893277">
        <w:rPr>
          <w:b/>
          <w:bCs/>
          <w:u w:val="single"/>
        </w:rPr>
        <w:t>criteria</w:t>
      </w:r>
    </w:p>
    <w:p w14:paraId="46FD62A6" w14:textId="77777777" w:rsidR="00AB00D2" w:rsidRPr="00303625" w:rsidRDefault="00AB00D2" w:rsidP="00303625">
      <w:pPr>
        <w:ind w:firstLine="360"/>
        <w:rPr>
          <w:i/>
          <w:iCs/>
          <w:u w:val="single"/>
        </w:rPr>
      </w:pPr>
      <w:r w:rsidRPr="00303625">
        <w:rPr>
          <w:i/>
          <w:iCs/>
          <w:u w:val="single"/>
        </w:rPr>
        <w:t>Structure</w:t>
      </w:r>
    </w:p>
    <w:p w14:paraId="01BE57BF" w14:textId="46FAEEE4" w:rsidR="00AB00D2" w:rsidRPr="000076C9" w:rsidRDefault="00AB00D2" w:rsidP="00926546">
      <w:pPr>
        <w:pStyle w:val="ListParagraph"/>
        <w:numPr>
          <w:ilvl w:val="0"/>
          <w:numId w:val="10"/>
        </w:numPr>
        <w:rPr>
          <w:rFonts w:asciiTheme="majorHAnsi" w:hAnsiTheme="majorHAnsi"/>
          <w:szCs w:val="22"/>
        </w:rPr>
      </w:pPr>
      <w:r w:rsidRPr="000076C9">
        <w:rPr>
          <w:rFonts w:asciiTheme="majorHAnsi" w:hAnsiTheme="majorHAnsi"/>
          <w:szCs w:val="22"/>
        </w:rPr>
        <w:t>The taxpayer is an ordinary company</w:t>
      </w:r>
      <w:r>
        <w:rPr>
          <w:rStyle w:val="EndnoteReference"/>
          <w:rFonts w:asciiTheme="majorHAnsi" w:hAnsiTheme="majorHAnsi"/>
          <w:szCs w:val="22"/>
        </w:rPr>
        <w:endnoteReference w:id="2"/>
      </w:r>
      <w:r w:rsidRPr="000076C9">
        <w:rPr>
          <w:rFonts w:asciiTheme="majorHAnsi" w:hAnsiTheme="majorHAnsi"/>
          <w:szCs w:val="22"/>
        </w:rPr>
        <w:t xml:space="preserve"> incorporated under either the </w:t>
      </w:r>
      <w:r w:rsidRPr="004B0D5C">
        <w:rPr>
          <w:rFonts w:asciiTheme="majorHAnsi" w:hAnsiTheme="majorHAnsi"/>
          <w:i/>
          <w:szCs w:val="22"/>
        </w:rPr>
        <w:t>Corporations Act 2001</w:t>
      </w:r>
      <w:r w:rsidRPr="000076C9">
        <w:rPr>
          <w:rFonts w:asciiTheme="majorHAnsi" w:hAnsiTheme="majorHAnsi"/>
          <w:szCs w:val="22"/>
        </w:rPr>
        <w:t xml:space="preserve"> in the case of Australia or the </w:t>
      </w:r>
      <w:r w:rsidRPr="004B0D5C">
        <w:rPr>
          <w:rFonts w:asciiTheme="majorHAnsi" w:hAnsiTheme="majorHAnsi"/>
          <w:i/>
          <w:szCs w:val="22"/>
        </w:rPr>
        <w:t>Companies Act 1993</w:t>
      </w:r>
      <w:r w:rsidRPr="000076C9">
        <w:rPr>
          <w:rFonts w:asciiTheme="majorHAnsi" w:hAnsiTheme="majorHAnsi"/>
          <w:szCs w:val="22"/>
        </w:rPr>
        <w:t xml:space="preserve"> in the case of New Zealand</w:t>
      </w:r>
      <w:r>
        <w:rPr>
          <w:rFonts w:asciiTheme="majorHAnsi" w:hAnsiTheme="majorHAnsi"/>
          <w:szCs w:val="22"/>
        </w:rPr>
        <w:t>.</w:t>
      </w:r>
    </w:p>
    <w:p w14:paraId="7E38DAE7" w14:textId="77777777" w:rsidR="00AB00D2" w:rsidRPr="000076C9" w:rsidRDefault="00AB00D2" w:rsidP="00F321CF">
      <w:pPr>
        <w:pStyle w:val="ListParagraph"/>
        <w:rPr>
          <w:rFonts w:asciiTheme="majorHAnsi" w:hAnsiTheme="majorHAnsi"/>
          <w:szCs w:val="22"/>
        </w:rPr>
      </w:pPr>
    </w:p>
    <w:p w14:paraId="6632C9AD" w14:textId="0B220B5E" w:rsidR="00AB00D2" w:rsidRPr="000076C9" w:rsidRDefault="00AB00D2" w:rsidP="00AC3FD9">
      <w:pPr>
        <w:pStyle w:val="ListParagraph"/>
        <w:numPr>
          <w:ilvl w:val="0"/>
          <w:numId w:val="10"/>
        </w:numPr>
        <w:rPr>
          <w:rFonts w:asciiTheme="majorHAnsi" w:hAnsiTheme="majorHAnsi"/>
          <w:szCs w:val="22"/>
        </w:rPr>
      </w:pPr>
      <w:r w:rsidRPr="000076C9">
        <w:rPr>
          <w:rFonts w:asciiTheme="majorHAnsi" w:hAnsiTheme="majorHAnsi"/>
          <w:szCs w:val="22"/>
        </w:rPr>
        <w:t>The taxpayer</w:t>
      </w:r>
      <w:r>
        <w:rPr>
          <w:rFonts w:asciiTheme="majorHAnsi" w:hAnsiTheme="majorHAnsi"/>
          <w:szCs w:val="22"/>
        </w:rPr>
        <w:t xml:space="preserve"> ha</w:t>
      </w:r>
      <w:r w:rsidRPr="000076C9">
        <w:rPr>
          <w:rFonts w:asciiTheme="majorHAnsi" w:hAnsiTheme="majorHAnsi"/>
          <w:szCs w:val="22"/>
        </w:rPr>
        <w:t xml:space="preserve">s </w:t>
      </w:r>
      <w:r w:rsidRPr="00162D4D">
        <w:rPr>
          <w:rFonts w:asciiTheme="majorHAnsi" w:hAnsiTheme="majorHAnsi"/>
          <w:szCs w:val="22"/>
        </w:rPr>
        <w:t>reasonably</w:t>
      </w:r>
      <w:r w:rsidRPr="00F00AE7">
        <w:rPr>
          <w:rFonts w:asciiTheme="majorHAnsi" w:hAnsiTheme="majorHAnsi"/>
          <w:szCs w:val="22"/>
        </w:rPr>
        <w:t xml:space="preserve"> self</w:t>
      </w:r>
      <w:r>
        <w:rPr>
          <w:rFonts w:asciiTheme="majorHAnsi" w:hAnsiTheme="majorHAnsi"/>
          <w:szCs w:val="22"/>
        </w:rPr>
        <w:t>-determined its place of effective management</w:t>
      </w:r>
      <w:r w:rsidRPr="000076C9">
        <w:rPr>
          <w:rFonts w:asciiTheme="majorHAnsi" w:hAnsiTheme="majorHAnsi"/>
          <w:szCs w:val="22"/>
        </w:rPr>
        <w:t xml:space="preserve"> to be solely in either Australia or New Zealand</w:t>
      </w:r>
      <w:r>
        <w:rPr>
          <w:rFonts w:asciiTheme="majorHAnsi" w:hAnsiTheme="majorHAnsi"/>
          <w:szCs w:val="22"/>
        </w:rPr>
        <w:t xml:space="preserve"> for the purposes of the </w:t>
      </w:r>
      <w:r w:rsidRPr="00AC3FD9">
        <w:rPr>
          <w:rFonts w:asciiTheme="majorHAnsi" w:hAnsiTheme="majorHAnsi"/>
          <w:szCs w:val="22"/>
        </w:rPr>
        <w:t>Australia-New Zealand treaty</w:t>
      </w:r>
      <w:r w:rsidRPr="000076C9">
        <w:rPr>
          <w:rFonts w:asciiTheme="majorHAnsi" w:hAnsiTheme="majorHAnsi"/>
          <w:szCs w:val="22"/>
        </w:rPr>
        <w:t>.</w:t>
      </w:r>
    </w:p>
    <w:p w14:paraId="456FE90F" w14:textId="77777777" w:rsidR="00AB00D2" w:rsidRPr="000076C9" w:rsidRDefault="00AB00D2" w:rsidP="000A75F5">
      <w:pPr>
        <w:pStyle w:val="ListParagraph"/>
        <w:rPr>
          <w:rFonts w:asciiTheme="majorHAnsi" w:hAnsiTheme="majorHAnsi"/>
          <w:szCs w:val="22"/>
        </w:rPr>
      </w:pPr>
    </w:p>
    <w:p w14:paraId="281E8F34" w14:textId="5D64F07C" w:rsidR="00AB00D2" w:rsidRPr="003F4087" w:rsidRDefault="00AB00D2" w:rsidP="003F4087">
      <w:pPr>
        <w:ind w:firstLine="357"/>
        <w:rPr>
          <w:i/>
          <w:iCs/>
          <w:u w:val="single"/>
        </w:rPr>
      </w:pPr>
      <w:r w:rsidRPr="003F4087">
        <w:rPr>
          <w:i/>
          <w:iCs/>
          <w:u w:val="single"/>
        </w:rPr>
        <w:t>Financials</w:t>
      </w:r>
    </w:p>
    <w:p w14:paraId="37688599" w14:textId="74A83E98" w:rsidR="00AB00D2" w:rsidRPr="000076C9" w:rsidRDefault="00AB00D2" w:rsidP="00926546">
      <w:pPr>
        <w:pStyle w:val="ListParagraph"/>
        <w:numPr>
          <w:ilvl w:val="0"/>
          <w:numId w:val="10"/>
        </w:numPr>
        <w:spacing w:after="140"/>
        <w:ind w:left="714" w:hanging="357"/>
        <w:contextualSpacing w:val="0"/>
        <w:rPr>
          <w:rFonts w:asciiTheme="majorHAnsi" w:hAnsiTheme="majorHAnsi"/>
          <w:szCs w:val="22"/>
        </w:rPr>
      </w:pPr>
      <w:r w:rsidRPr="000076C9">
        <w:rPr>
          <w:rFonts w:asciiTheme="majorHAnsi" w:hAnsiTheme="majorHAnsi"/>
          <w:szCs w:val="22"/>
        </w:rPr>
        <w:t>The taxpayer’s group</w:t>
      </w:r>
      <w:r w:rsidRPr="000076C9">
        <w:rPr>
          <w:rStyle w:val="EndnoteReference"/>
          <w:rFonts w:asciiTheme="majorHAnsi" w:hAnsiTheme="majorHAnsi"/>
          <w:szCs w:val="22"/>
        </w:rPr>
        <w:endnoteReference w:id="3"/>
      </w:r>
      <w:r w:rsidRPr="000076C9">
        <w:rPr>
          <w:rFonts w:asciiTheme="majorHAnsi" w:hAnsiTheme="majorHAnsi"/>
          <w:szCs w:val="22"/>
        </w:rPr>
        <w:t xml:space="preserve"> annual accounting income</w:t>
      </w:r>
      <w:r>
        <w:rPr>
          <w:rStyle w:val="EndnoteReference"/>
          <w:rFonts w:asciiTheme="majorHAnsi" w:hAnsiTheme="majorHAnsi"/>
          <w:szCs w:val="22"/>
        </w:rPr>
        <w:endnoteReference w:id="4"/>
      </w:r>
      <w:r w:rsidRPr="000076C9">
        <w:rPr>
          <w:rFonts w:asciiTheme="majorHAnsi" w:hAnsiTheme="majorHAnsi"/>
          <w:szCs w:val="22"/>
        </w:rPr>
        <w:t xml:space="preserve"> is less than AUD $250 million or NZD $260 million</w:t>
      </w:r>
      <w:r>
        <w:rPr>
          <w:rFonts w:asciiTheme="majorHAnsi" w:hAnsiTheme="majorHAnsi"/>
          <w:szCs w:val="22"/>
        </w:rPr>
        <w:t xml:space="preserve"> based on prepared financial statements</w:t>
      </w:r>
      <w:r w:rsidRPr="000076C9">
        <w:rPr>
          <w:rFonts w:asciiTheme="majorHAnsi" w:hAnsiTheme="majorHAnsi"/>
          <w:szCs w:val="22"/>
        </w:rPr>
        <w:t xml:space="preserve"> </w:t>
      </w:r>
      <w:r w:rsidRPr="00E81416">
        <w:rPr>
          <w:rFonts w:asciiTheme="majorHAnsi" w:hAnsiTheme="majorHAnsi"/>
          <w:szCs w:val="22"/>
        </w:rPr>
        <w:t>for the most recent reporting period</w:t>
      </w:r>
      <w:r w:rsidRPr="000076C9">
        <w:rPr>
          <w:rFonts w:asciiTheme="majorHAnsi" w:hAnsiTheme="majorHAnsi"/>
          <w:szCs w:val="22"/>
        </w:rPr>
        <w:t>.</w:t>
      </w:r>
      <w:r>
        <w:rPr>
          <w:rStyle w:val="EndnoteReference"/>
          <w:rFonts w:asciiTheme="majorHAnsi" w:hAnsiTheme="majorHAnsi"/>
          <w:szCs w:val="22"/>
        </w:rPr>
        <w:endnoteReference w:id="5"/>
      </w:r>
    </w:p>
    <w:p w14:paraId="3FDA11E7" w14:textId="2142DE2F" w:rsidR="00AB00D2" w:rsidRPr="000076C9" w:rsidRDefault="00AB00D2" w:rsidP="00926546">
      <w:pPr>
        <w:pStyle w:val="ListParagraph"/>
        <w:numPr>
          <w:ilvl w:val="0"/>
          <w:numId w:val="10"/>
        </w:numPr>
        <w:spacing w:after="140"/>
        <w:ind w:left="714" w:hanging="357"/>
        <w:contextualSpacing w:val="0"/>
        <w:rPr>
          <w:rFonts w:asciiTheme="majorHAnsi" w:hAnsiTheme="majorHAnsi"/>
          <w:szCs w:val="22"/>
        </w:rPr>
      </w:pPr>
      <w:r w:rsidRPr="000076C9">
        <w:rPr>
          <w:rFonts w:asciiTheme="majorHAnsi" w:hAnsiTheme="majorHAnsi"/>
          <w:szCs w:val="22"/>
        </w:rPr>
        <w:t>The taxpayer’s gross passive</w:t>
      </w:r>
      <w:r>
        <w:rPr>
          <w:rStyle w:val="EndnoteReference"/>
          <w:rFonts w:asciiTheme="majorHAnsi" w:hAnsiTheme="majorHAnsi"/>
          <w:szCs w:val="22"/>
        </w:rPr>
        <w:endnoteReference w:id="6"/>
      </w:r>
      <w:r w:rsidRPr="000076C9">
        <w:rPr>
          <w:rFonts w:asciiTheme="majorHAnsi" w:hAnsiTheme="majorHAnsi"/>
          <w:szCs w:val="22"/>
        </w:rPr>
        <w:t xml:space="preserve"> income is less than </w:t>
      </w:r>
      <w:r>
        <w:rPr>
          <w:rFonts w:asciiTheme="majorHAnsi" w:hAnsiTheme="majorHAnsi"/>
          <w:szCs w:val="22"/>
        </w:rPr>
        <w:t>20</w:t>
      </w:r>
      <w:r w:rsidRPr="000076C9">
        <w:rPr>
          <w:rFonts w:asciiTheme="majorHAnsi" w:hAnsiTheme="majorHAnsi"/>
          <w:szCs w:val="22"/>
        </w:rPr>
        <w:t>% of its total</w:t>
      </w:r>
      <w:r>
        <w:rPr>
          <w:rFonts w:asciiTheme="majorHAnsi" w:hAnsiTheme="majorHAnsi"/>
          <w:szCs w:val="22"/>
        </w:rPr>
        <w:t xml:space="preserve"> assessable</w:t>
      </w:r>
      <w:r w:rsidRPr="000076C9">
        <w:rPr>
          <w:rFonts w:asciiTheme="majorHAnsi" w:hAnsiTheme="majorHAnsi"/>
          <w:szCs w:val="22"/>
        </w:rPr>
        <w:t xml:space="preserve"> </w:t>
      </w:r>
      <w:r w:rsidRPr="00E81416">
        <w:rPr>
          <w:rFonts w:asciiTheme="majorHAnsi" w:hAnsiTheme="majorHAnsi"/>
          <w:szCs w:val="22"/>
        </w:rPr>
        <w:t>income for the most recent income tax year</w:t>
      </w:r>
      <w:r w:rsidRPr="000076C9">
        <w:rPr>
          <w:rFonts w:asciiTheme="majorHAnsi" w:hAnsiTheme="majorHAnsi"/>
          <w:szCs w:val="22"/>
        </w:rPr>
        <w:t>.</w:t>
      </w:r>
    </w:p>
    <w:p w14:paraId="2BEDA429" w14:textId="757630F2" w:rsidR="00AB00D2" w:rsidRPr="000076C9" w:rsidRDefault="00AB00D2" w:rsidP="008D0522">
      <w:pPr>
        <w:pStyle w:val="ListParagraph"/>
        <w:numPr>
          <w:ilvl w:val="0"/>
          <w:numId w:val="10"/>
        </w:numPr>
        <w:rPr>
          <w:rFonts w:asciiTheme="majorHAnsi" w:hAnsiTheme="majorHAnsi"/>
          <w:szCs w:val="22"/>
        </w:rPr>
      </w:pPr>
      <w:r w:rsidRPr="000076C9">
        <w:rPr>
          <w:rFonts w:asciiTheme="majorHAnsi" w:hAnsiTheme="majorHAnsi"/>
          <w:szCs w:val="22"/>
        </w:rPr>
        <w:t xml:space="preserve">The total value of </w:t>
      </w:r>
      <w:r w:rsidRPr="00E81416">
        <w:rPr>
          <w:rFonts w:asciiTheme="majorHAnsi" w:hAnsiTheme="majorHAnsi"/>
          <w:szCs w:val="22"/>
        </w:rPr>
        <w:t>intangible assets</w:t>
      </w:r>
      <w:r w:rsidRPr="000076C9">
        <w:rPr>
          <w:rStyle w:val="EndnoteReference"/>
          <w:rFonts w:asciiTheme="majorHAnsi" w:hAnsiTheme="majorHAnsi"/>
          <w:szCs w:val="22"/>
        </w:rPr>
        <w:endnoteReference w:id="7"/>
      </w:r>
      <w:r w:rsidRPr="000076C9">
        <w:rPr>
          <w:rFonts w:asciiTheme="majorHAnsi" w:hAnsiTheme="majorHAnsi"/>
          <w:szCs w:val="22"/>
        </w:rPr>
        <w:t xml:space="preserve"> </w:t>
      </w:r>
      <w:r>
        <w:rPr>
          <w:rFonts w:asciiTheme="majorHAnsi" w:hAnsiTheme="majorHAnsi"/>
          <w:szCs w:val="22"/>
        </w:rPr>
        <w:t xml:space="preserve">(other than goodwill) </w:t>
      </w:r>
      <w:r w:rsidRPr="000076C9">
        <w:rPr>
          <w:rFonts w:asciiTheme="majorHAnsi" w:hAnsiTheme="majorHAnsi"/>
          <w:szCs w:val="22"/>
        </w:rPr>
        <w:t xml:space="preserve">held by the taxpayer is less than 20% of the </w:t>
      </w:r>
      <w:r w:rsidRPr="00E81416">
        <w:rPr>
          <w:rFonts w:asciiTheme="majorHAnsi" w:hAnsiTheme="majorHAnsi"/>
          <w:szCs w:val="22"/>
        </w:rPr>
        <w:t xml:space="preserve">value of its total assets </w:t>
      </w:r>
      <w:r>
        <w:rPr>
          <w:rFonts w:asciiTheme="majorHAnsi" w:hAnsiTheme="majorHAnsi"/>
          <w:szCs w:val="22"/>
        </w:rPr>
        <w:t>based on prepared financial statements</w:t>
      </w:r>
      <w:r w:rsidRPr="000076C9">
        <w:rPr>
          <w:rFonts w:asciiTheme="majorHAnsi" w:hAnsiTheme="majorHAnsi"/>
          <w:szCs w:val="22"/>
        </w:rPr>
        <w:t xml:space="preserve"> </w:t>
      </w:r>
      <w:r w:rsidRPr="00E81416">
        <w:rPr>
          <w:rFonts w:asciiTheme="majorHAnsi" w:hAnsiTheme="majorHAnsi"/>
          <w:szCs w:val="22"/>
        </w:rPr>
        <w:t>for the most recent reporting period</w:t>
      </w:r>
      <w:r w:rsidRPr="000076C9">
        <w:rPr>
          <w:rFonts w:asciiTheme="majorHAnsi" w:hAnsiTheme="majorHAnsi"/>
          <w:szCs w:val="22"/>
        </w:rPr>
        <w:t>.</w:t>
      </w:r>
    </w:p>
    <w:p w14:paraId="19F32A10" w14:textId="77777777" w:rsidR="00AB00D2" w:rsidRPr="002F22CE" w:rsidRDefault="00AB00D2" w:rsidP="008D0522">
      <w:pPr>
        <w:pStyle w:val="ListParagraph"/>
        <w:rPr>
          <w:rFonts w:asciiTheme="majorHAnsi" w:hAnsiTheme="majorHAnsi"/>
          <w:iCs/>
          <w:szCs w:val="22"/>
        </w:rPr>
      </w:pPr>
    </w:p>
    <w:p w14:paraId="56BF792F" w14:textId="77777777" w:rsidR="00AB00D2" w:rsidRPr="003F4087" w:rsidRDefault="00AB00D2" w:rsidP="003F4087">
      <w:pPr>
        <w:ind w:firstLine="357"/>
        <w:rPr>
          <w:i/>
          <w:iCs/>
          <w:u w:val="single"/>
        </w:rPr>
      </w:pPr>
      <w:r w:rsidRPr="003F4087">
        <w:rPr>
          <w:i/>
          <w:iCs/>
          <w:u w:val="single"/>
        </w:rPr>
        <w:t>Compliance activities</w:t>
      </w:r>
    </w:p>
    <w:p w14:paraId="0A98D413" w14:textId="31065A6F" w:rsidR="00AB00D2" w:rsidRPr="000076C9" w:rsidRDefault="00AB00D2" w:rsidP="00926546">
      <w:pPr>
        <w:pStyle w:val="ListParagraph"/>
        <w:numPr>
          <w:ilvl w:val="0"/>
          <w:numId w:val="10"/>
        </w:numPr>
        <w:spacing w:after="140"/>
        <w:ind w:left="714" w:hanging="357"/>
        <w:contextualSpacing w:val="0"/>
        <w:rPr>
          <w:rFonts w:asciiTheme="majorHAnsi" w:hAnsiTheme="majorHAnsi"/>
          <w:szCs w:val="22"/>
        </w:rPr>
      </w:pPr>
      <w:r w:rsidRPr="000076C9">
        <w:rPr>
          <w:rFonts w:asciiTheme="majorHAnsi" w:hAnsiTheme="majorHAnsi"/>
          <w:szCs w:val="22"/>
        </w:rPr>
        <w:t>The taxpayer</w:t>
      </w:r>
      <w:r>
        <w:rPr>
          <w:rFonts w:asciiTheme="majorHAnsi" w:hAnsiTheme="majorHAnsi"/>
          <w:szCs w:val="22"/>
        </w:rPr>
        <w:t xml:space="preserve"> or any member of the group</w:t>
      </w:r>
      <w:r w:rsidRPr="000076C9">
        <w:rPr>
          <w:rStyle w:val="EndnoteReference"/>
          <w:rFonts w:asciiTheme="majorHAnsi" w:hAnsiTheme="majorHAnsi"/>
          <w:szCs w:val="22"/>
        </w:rPr>
        <w:endnoteReference w:id="8"/>
      </w:r>
      <w:r w:rsidRPr="000076C9">
        <w:rPr>
          <w:rFonts w:asciiTheme="majorHAnsi" w:hAnsiTheme="majorHAnsi"/>
          <w:szCs w:val="22"/>
        </w:rPr>
        <w:t xml:space="preserve"> </w:t>
      </w:r>
      <w:r>
        <w:rPr>
          <w:rFonts w:asciiTheme="majorHAnsi" w:hAnsiTheme="majorHAnsi"/>
          <w:szCs w:val="22"/>
        </w:rPr>
        <w:t xml:space="preserve">is currently </w:t>
      </w:r>
      <w:r w:rsidRPr="00414C32">
        <w:rPr>
          <w:rFonts w:asciiTheme="majorHAnsi" w:hAnsiTheme="majorHAnsi"/>
          <w:b/>
          <w:szCs w:val="22"/>
        </w:rPr>
        <w:t>not</w:t>
      </w:r>
      <w:r>
        <w:rPr>
          <w:rFonts w:asciiTheme="majorHAnsi" w:hAnsiTheme="majorHAnsi"/>
          <w:szCs w:val="22"/>
        </w:rPr>
        <w:t xml:space="preserve">, and has </w:t>
      </w:r>
      <w:r w:rsidRPr="00414C32">
        <w:rPr>
          <w:rFonts w:asciiTheme="majorHAnsi" w:hAnsiTheme="majorHAnsi"/>
          <w:b/>
          <w:szCs w:val="22"/>
        </w:rPr>
        <w:t>not</w:t>
      </w:r>
      <w:r>
        <w:rPr>
          <w:rFonts w:asciiTheme="majorHAnsi" w:hAnsiTheme="majorHAnsi"/>
          <w:szCs w:val="22"/>
        </w:rPr>
        <w:t xml:space="preserve"> been</w:t>
      </w:r>
      <w:r w:rsidRPr="000076C9">
        <w:rPr>
          <w:rFonts w:asciiTheme="majorHAnsi" w:hAnsiTheme="majorHAnsi"/>
          <w:szCs w:val="22"/>
        </w:rPr>
        <w:t xml:space="preserve"> </w:t>
      </w:r>
      <w:r>
        <w:rPr>
          <w:rFonts w:asciiTheme="majorHAnsi" w:hAnsiTheme="majorHAnsi"/>
          <w:szCs w:val="22"/>
        </w:rPr>
        <w:t xml:space="preserve">in the last five years, </w:t>
      </w:r>
      <w:r w:rsidRPr="000076C9">
        <w:rPr>
          <w:rFonts w:asciiTheme="majorHAnsi" w:hAnsiTheme="majorHAnsi"/>
          <w:szCs w:val="22"/>
        </w:rPr>
        <w:t xml:space="preserve">subject to any </w:t>
      </w:r>
      <w:r>
        <w:rPr>
          <w:rFonts w:asciiTheme="majorHAnsi" w:hAnsiTheme="majorHAnsi"/>
          <w:szCs w:val="22"/>
        </w:rPr>
        <w:t>compliance activity</w:t>
      </w:r>
      <w:r>
        <w:rPr>
          <w:rStyle w:val="EndnoteReference"/>
          <w:rFonts w:asciiTheme="majorHAnsi" w:hAnsiTheme="majorHAnsi"/>
          <w:szCs w:val="22"/>
        </w:rPr>
        <w:endnoteReference w:id="9"/>
      </w:r>
      <w:r w:rsidRPr="000076C9">
        <w:rPr>
          <w:rFonts w:asciiTheme="majorHAnsi" w:hAnsiTheme="majorHAnsi"/>
          <w:szCs w:val="22"/>
        </w:rPr>
        <w:t xml:space="preserve"> undertaken by either the ATO or IR which relates to the determination of residency for taxation purposes.</w:t>
      </w:r>
    </w:p>
    <w:p w14:paraId="183EDC2B" w14:textId="15F1C42B" w:rsidR="00AB00D2" w:rsidRDefault="00AB00D2" w:rsidP="00E30010">
      <w:pPr>
        <w:pStyle w:val="ListParagraph"/>
        <w:numPr>
          <w:ilvl w:val="0"/>
          <w:numId w:val="10"/>
        </w:numPr>
        <w:spacing w:after="140"/>
        <w:contextualSpacing w:val="0"/>
        <w:rPr>
          <w:rFonts w:asciiTheme="majorHAnsi" w:hAnsiTheme="majorHAnsi"/>
          <w:szCs w:val="22"/>
        </w:rPr>
      </w:pPr>
      <w:r w:rsidRPr="000076C9">
        <w:rPr>
          <w:rFonts w:asciiTheme="majorHAnsi" w:hAnsiTheme="majorHAnsi"/>
          <w:szCs w:val="22"/>
        </w:rPr>
        <w:t xml:space="preserve">The taxpayer </w:t>
      </w:r>
      <w:r>
        <w:rPr>
          <w:rFonts w:asciiTheme="majorHAnsi" w:hAnsiTheme="majorHAnsi"/>
          <w:szCs w:val="22"/>
        </w:rPr>
        <w:t>or any member of the group</w:t>
      </w:r>
      <w:r w:rsidRPr="000076C9">
        <w:rPr>
          <w:rStyle w:val="EndnoteReference"/>
          <w:rFonts w:asciiTheme="majorHAnsi" w:hAnsiTheme="majorHAnsi"/>
          <w:szCs w:val="22"/>
        </w:rPr>
        <w:endnoteReference w:id="10"/>
      </w:r>
      <w:r w:rsidRPr="000076C9">
        <w:rPr>
          <w:rFonts w:asciiTheme="majorHAnsi" w:hAnsiTheme="majorHAnsi"/>
          <w:szCs w:val="22"/>
        </w:rPr>
        <w:t xml:space="preserve"> is currently </w:t>
      </w:r>
      <w:r w:rsidRPr="00414C32">
        <w:rPr>
          <w:rFonts w:asciiTheme="majorHAnsi" w:hAnsiTheme="majorHAnsi"/>
          <w:b/>
          <w:szCs w:val="22"/>
        </w:rPr>
        <w:t>not</w:t>
      </w:r>
      <w:r w:rsidRPr="000076C9">
        <w:rPr>
          <w:rFonts w:asciiTheme="majorHAnsi" w:hAnsiTheme="majorHAnsi"/>
          <w:szCs w:val="22"/>
        </w:rPr>
        <w:t xml:space="preserve"> </w:t>
      </w:r>
      <w:r w:rsidRPr="00940734">
        <w:rPr>
          <w:rFonts w:asciiTheme="majorHAnsi" w:hAnsiTheme="majorHAnsi"/>
          <w:szCs w:val="22"/>
        </w:rPr>
        <w:t>engaged in an objection</w:t>
      </w:r>
      <w:r w:rsidR="00427B4E">
        <w:rPr>
          <w:rFonts w:asciiTheme="majorHAnsi" w:hAnsiTheme="majorHAnsi"/>
          <w:szCs w:val="22"/>
        </w:rPr>
        <w:t>,</w:t>
      </w:r>
      <w:r w:rsidRPr="00D60964">
        <w:rPr>
          <w:rStyle w:val="EndnoteReference"/>
          <w:rFonts w:asciiTheme="majorHAnsi" w:hAnsiTheme="majorHAnsi"/>
          <w:szCs w:val="22"/>
        </w:rPr>
        <w:endnoteReference w:id="11"/>
      </w:r>
      <w:r>
        <w:rPr>
          <w:rFonts w:asciiTheme="majorHAnsi" w:hAnsiTheme="majorHAnsi"/>
          <w:szCs w:val="22"/>
        </w:rPr>
        <w:t xml:space="preserve"> challenge,</w:t>
      </w:r>
      <w:r>
        <w:rPr>
          <w:rStyle w:val="EndnoteReference"/>
          <w:rFonts w:asciiTheme="majorHAnsi" w:hAnsiTheme="majorHAnsi"/>
          <w:szCs w:val="22"/>
        </w:rPr>
        <w:endnoteReference w:id="12"/>
      </w:r>
      <w:r>
        <w:rPr>
          <w:rFonts w:asciiTheme="majorHAnsi" w:hAnsiTheme="majorHAnsi"/>
          <w:szCs w:val="22"/>
        </w:rPr>
        <w:t xml:space="preserve"> </w:t>
      </w:r>
      <w:r w:rsidRPr="000076C9">
        <w:rPr>
          <w:rFonts w:asciiTheme="majorHAnsi" w:hAnsiTheme="majorHAnsi"/>
          <w:szCs w:val="22"/>
        </w:rPr>
        <w:t>settlement procedure or litigation in either Australia or New Zealand in relation to a dispute with either the ATO or IR.</w:t>
      </w:r>
    </w:p>
    <w:p w14:paraId="240C81C5" w14:textId="01D31F1A" w:rsidR="00AB00D2" w:rsidRPr="00AD2EE1" w:rsidRDefault="00AB00D2" w:rsidP="009B74AF">
      <w:pPr>
        <w:pStyle w:val="ListParagraph"/>
        <w:contextualSpacing w:val="0"/>
        <w:rPr>
          <w:rFonts w:asciiTheme="majorHAnsi" w:hAnsiTheme="majorHAnsi"/>
          <w:szCs w:val="22"/>
        </w:rPr>
      </w:pPr>
      <w:r w:rsidRPr="00414C32">
        <w:rPr>
          <w:rFonts w:asciiTheme="majorHAnsi" w:hAnsiTheme="majorHAnsi"/>
          <w:szCs w:val="22"/>
        </w:rPr>
        <w:t>Where the taxpayer has only failed criterion 7 (</w:t>
      </w:r>
      <w:r w:rsidR="005557C0" w:rsidRPr="00414C32">
        <w:rPr>
          <w:rFonts w:asciiTheme="majorHAnsi" w:hAnsiTheme="majorHAnsi"/>
          <w:szCs w:val="22"/>
        </w:rPr>
        <w:t>that is,</w:t>
      </w:r>
      <w:r w:rsidRPr="00414C32">
        <w:rPr>
          <w:rFonts w:asciiTheme="majorHAnsi" w:hAnsiTheme="majorHAnsi"/>
          <w:szCs w:val="22"/>
        </w:rPr>
        <w:t xml:space="preserve"> the taxpayer meets all other criteria), we encourage the taxpayer to contact either </w:t>
      </w:r>
      <w:r w:rsidR="006D6C6B">
        <w:rPr>
          <w:rFonts w:asciiTheme="majorHAnsi" w:hAnsiTheme="majorHAnsi"/>
          <w:szCs w:val="22"/>
        </w:rPr>
        <w:t>c</w:t>
      </w:r>
      <w:r w:rsidRPr="00414C32">
        <w:rPr>
          <w:rFonts w:asciiTheme="majorHAnsi" w:hAnsiTheme="majorHAnsi"/>
          <w:szCs w:val="22"/>
        </w:rPr>
        <w:t xml:space="preserve">ompetent </w:t>
      </w:r>
      <w:r w:rsidR="006D6C6B">
        <w:rPr>
          <w:rFonts w:asciiTheme="majorHAnsi" w:hAnsiTheme="majorHAnsi"/>
          <w:szCs w:val="22"/>
        </w:rPr>
        <w:t>a</w:t>
      </w:r>
      <w:r w:rsidR="006D6C6B" w:rsidRPr="00414C32">
        <w:rPr>
          <w:rFonts w:asciiTheme="majorHAnsi" w:hAnsiTheme="majorHAnsi"/>
          <w:szCs w:val="22"/>
        </w:rPr>
        <w:t xml:space="preserve">uthority </w:t>
      </w:r>
      <w:r w:rsidRPr="00414C32">
        <w:rPr>
          <w:rFonts w:asciiTheme="majorHAnsi" w:hAnsiTheme="majorHAnsi"/>
          <w:szCs w:val="22"/>
        </w:rPr>
        <w:t xml:space="preserve">to discuss their particular facts and circumstances prior to lodging an application for a </w:t>
      </w:r>
      <w:r w:rsidR="00696080" w:rsidRPr="00414C32">
        <w:rPr>
          <w:rFonts w:asciiTheme="majorHAnsi" w:hAnsiTheme="majorHAnsi"/>
          <w:szCs w:val="22"/>
        </w:rPr>
        <w:t xml:space="preserve">competent authority </w:t>
      </w:r>
      <w:r w:rsidRPr="00414C32">
        <w:rPr>
          <w:rFonts w:asciiTheme="majorHAnsi" w:hAnsiTheme="majorHAnsi"/>
          <w:szCs w:val="22"/>
        </w:rPr>
        <w:t>determination.</w:t>
      </w:r>
    </w:p>
    <w:p w14:paraId="6409BDF4" w14:textId="19E133A6" w:rsidR="00AB00D2" w:rsidRPr="000076C9" w:rsidRDefault="00AB00D2" w:rsidP="001C2C78">
      <w:r w:rsidRPr="000076C9">
        <w:t xml:space="preserve">The administrative approach will only be valid if the taxpayer satisfies </w:t>
      </w:r>
      <w:proofErr w:type="gramStart"/>
      <w:r w:rsidRPr="000076C9">
        <w:t>all of</w:t>
      </w:r>
      <w:proofErr w:type="gramEnd"/>
      <w:r w:rsidRPr="000076C9">
        <w:t xml:space="preserve"> the following conditions on an on-going basis:</w:t>
      </w:r>
    </w:p>
    <w:p w14:paraId="64C927EF" w14:textId="01CFE28A" w:rsidR="00AB00D2" w:rsidRPr="000076C9" w:rsidRDefault="00AB00D2" w:rsidP="00A0268B">
      <w:pPr>
        <w:pStyle w:val="ListParagraph"/>
        <w:numPr>
          <w:ilvl w:val="0"/>
          <w:numId w:val="10"/>
        </w:numPr>
        <w:spacing w:after="140"/>
        <w:contextualSpacing w:val="0"/>
        <w:rPr>
          <w:rFonts w:asciiTheme="majorHAnsi" w:hAnsiTheme="majorHAnsi"/>
          <w:szCs w:val="22"/>
        </w:rPr>
      </w:pPr>
      <w:r w:rsidRPr="000076C9">
        <w:rPr>
          <w:rFonts w:asciiTheme="majorHAnsi" w:hAnsiTheme="majorHAnsi"/>
          <w:szCs w:val="22"/>
        </w:rPr>
        <w:t>Upon being notified by either the ATO or IR of a new compliance activity</w:t>
      </w:r>
      <w:r>
        <w:rPr>
          <w:rFonts w:asciiTheme="majorHAnsi" w:hAnsiTheme="majorHAnsi"/>
          <w:szCs w:val="22"/>
        </w:rPr>
        <w:t>,</w:t>
      </w:r>
      <w:r w:rsidRPr="000076C9">
        <w:rPr>
          <w:rStyle w:val="EndnoteReference"/>
          <w:rFonts w:asciiTheme="majorHAnsi" w:hAnsiTheme="majorHAnsi"/>
          <w:szCs w:val="22"/>
        </w:rPr>
        <w:endnoteReference w:id="13"/>
      </w:r>
      <w:r w:rsidRPr="000076C9">
        <w:rPr>
          <w:rFonts w:asciiTheme="majorHAnsi" w:hAnsiTheme="majorHAnsi"/>
          <w:szCs w:val="22"/>
        </w:rPr>
        <w:t xml:space="preserve"> the taxpayer notifies the ATO or IR that it has been eligible for the </w:t>
      </w:r>
      <w:r>
        <w:rPr>
          <w:rFonts w:asciiTheme="majorHAnsi" w:hAnsiTheme="majorHAnsi"/>
          <w:szCs w:val="22"/>
        </w:rPr>
        <w:t xml:space="preserve">dual resident </w:t>
      </w:r>
      <w:r w:rsidRPr="000076C9">
        <w:rPr>
          <w:rFonts w:asciiTheme="majorHAnsi" w:hAnsiTheme="majorHAnsi"/>
          <w:szCs w:val="22"/>
        </w:rPr>
        <w:t xml:space="preserve">administrative approach and the jurisdiction of residence for the purposes of the </w:t>
      </w:r>
      <w:r w:rsidRPr="000B5293">
        <w:rPr>
          <w:rFonts w:asciiTheme="majorHAnsi" w:hAnsiTheme="majorHAnsi"/>
          <w:szCs w:val="22"/>
        </w:rPr>
        <w:t>Australia-New Zealand treaty</w:t>
      </w:r>
      <w:r>
        <w:rPr>
          <w:rFonts w:asciiTheme="majorHAnsi" w:hAnsiTheme="majorHAnsi"/>
          <w:szCs w:val="22"/>
        </w:rPr>
        <w:t xml:space="preserve"> </w:t>
      </w:r>
      <w:r w:rsidRPr="00E81416">
        <w:rPr>
          <w:rFonts w:asciiTheme="majorHAnsi" w:hAnsiTheme="majorHAnsi"/>
          <w:szCs w:val="22"/>
        </w:rPr>
        <w:t>has been determined under this approach</w:t>
      </w:r>
      <w:r w:rsidRPr="000076C9">
        <w:rPr>
          <w:rFonts w:asciiTheme="majorHAnsi" w:hAnsiTheme="majorHAnsi"/>
          <w:szCs w:val="22"/>
        </w:rPr>
        <w:t>.</w:t>
      </w:r>
    </w:p>
    <w:p w14:paraId="73F29399" w14:textId="61269DEF" w:rsidR="00AB00D2" w:rsidRPr="000076C9" w:rsidRDefault="00AB00D2" w:rsidP="00A0268B">
      <w:pPr>
        <w:pStyle w:val="ListParagraph"/>
        <w:numPr>
          <w:ilvl w:val="0"/>
          <w:numId w:val="10"/>
        </w:numPr>
        <w:spacing w:after="140"/>
        <w:contextualSpacing w:val="0"/>
        <w:rPr>
          <w:rFonts w:asciiTheme="majorHAnsi" w:hAnsiTheme="majorHAnsi"/>
          <w:szCs w:val="22"/>
        </w:rPr>
      </w:pPr>
      <w:r w:rsidRPr="000076C9">
        <w:rPr>
          <w:rFonts w:asciiTheme="majorHAnsi" w:hAnsiTheme="majorHAnsi"/>
          <w:szCs w:val="22"/>
        </w:rPr>
        <w:t>The taxpayer or any member of the taxpayer group</w:t>
      </w:r>
      <w:r w:rsidRPr="000076C9">
        <w:rPr>
          <w:rStyle w:val="EndnoteReference"/>
          <w:rFonts w:asciiTheme="majorHAnsi" w:hAnsiTheme="majorHAnsi"/>
          <w:szCs w:val="22"/>
        </w:rPr>
        <w:endnoteReference w:id="14"/>
      </w:r>
      <w:r w:rsidRPr="000076C9">
        <w:rPr>
          <w:rFonts w:asciiTheme="majorHAnsi" w:hAnsiTheme="majorHAnsi"/>
          <w:szCs w:val="22"/>
        </w:rPr>
        <w:t xml:space="preserve"> has </w:t>
      </w:r>
      <w:r w:rsidRPr="00414C32">
        <w:rPr>
          <w:rFonts w:asciiTheme="majorHAnsi" w:hAnsiTheme="majorHAnsi"/>
          <w:b/>
          <w:szCs w:val="22"/>
        </w:rPr>
        <w:t>not</w:t>
      </w:r>
      <w:r w:rsidRPr="000076C9">
        <w:rPr>
          <w:rFonts w:asciiTheme="majorHAnsi" w:hAnsiTheme="majorHAnsi"/>
          <w:szCs w:val="22"/>
        </w:rPr>
        <w:t xml:space="preserve"> </w:t>
      </w:r>
      <w:proofErr w:type="gramStart"/>
      <w:r w:rsidRPr="000076C9">
        <w:rPr>
          <w:rFonts w:asciiTheme="majorHAnsi" w:hAnsiTheme="majorHAnsi"/>
          <w:szCs w:val="22"/>
        </w:rPr>
        <w:t>entered into</w:t>
      </w:r>
      <w:proofErr w:type="gramEnd"/>
      <w:r w:rsidRPr="000076C9">
        <w:rPr>
          <w:rFonts w:asciiTheme="majorHAnsi" w:hAnsiTheme="majorHAnsi"/>
          <w:szCs w:val="22"/>
        </w:rPr>
        <w:t>, or carried out:</w:t>
      </w:r>
    </w:p>
    <w:p w14:paraId="3C153C5C" w14:textId="1AAB0552" w:rsidR="00AB00D2" w:rsidRPr="000076C9" w:rsidRDefault="00AB00D2" w:rsidP="00414C32">
      <w:pPr>
        <w:pStyle w:val="ListParagraph"/>
        <w:numPr>
          <w:ilvl w:val="1"/>
          <w:numId w:val="48"/>
        </w:numPr>
        <w:spacing w:after="140"/>
        <w:ind w:left="1134" w:hanging="425"/>
        <w:contextualSpacing w:val="0"/>
        <w:rPr>
          <w:rFonts w:asciiTheme="majorHAnsi" w:hAnsiTheme="majorHAnsi"/>
          <w:szCs w:val="22"/>
        </w:rPr>
      </w:pPr>
      <w:r w:rsidRPr="000076C9">
        <w:rPr>
          <w:rFonts w:asciiTheme="majorHAnsi" w:hAnsiTheme="majorHAnsi"/>
          <w:szCs w:val="22"/>
        </w:rPr>
        <w:t>a tax avoidance scheme whose outcome depends, in whole or part, on the location of its residence</w:t>
      </w:r>
    </w:p>
    <w:p w14:paraId="15B95EEE" w14:textId="77777777" w:rsidR="00AB00D2" w:rsidRPr="000076C9" w:rsidRDefault="00AB00D2" w:rsidP="00414C32">
      <w:pPr>
        <w:pStyle w:val="ListParagraph"/>
        <w:numPr>
          <w:ilvl w:val="1"/>
          <w:numId w:val="48"/>
        </w:numPr>
        <w:spacing w:after="140"/>
        <w:ind w:left="1134" w:hanging="425"/>
        <w:contextualSpacing w:val="0"/>
        <w:rPr>
          <w:rFonts w:asciiTheme="majorHAnsi" w:hAnsiTheme="majorHAnsi"/>
          <w:szCs w:val="22"/>
        </w:rPr>
      </w:pPr>
      <w:r w:rsidRPr="000076C9">
        <w:rPr>
          <w:rFonts w:asciiTheme="majorHAnsi" w:hAnsiTheme="majorHAnsi"/>
          <w:szCs w:val="22"/>
        </w:rPr>
        <w:t>a tax avoidance scheme affecting the location of its central management and control, including previous or subsequent 'migration' of residency</w:t>
      </w:r>
    </w:p>
    <w:p w14:paraId="037B8B35" w14:textId="77777777" w:rsidR="00AB00D2" w:rsidRPr="000076C9" w:rsidRDefault="00AB00D2" w:rsidP="00414C32">
      <w:pPr>
        <w:pStyle w:val="ListParagraph"/>
        <w:numPr>
          <w:ilvl w:val="1"/>
          <w:numId w:val="48"/>
        </w:numPr>
        <w:spacing w:after="140"/>
        <w:ind w:left="1134" w:hanging="425"/>
        <w:contextualSpacing w:val="0"/>
        <w:rPr>
          <w:rFonts w:asciiTheme="majorHAnsi" w:hAnsiTheme="majorHAnsi"/>
          <w:szCs w:val="22"/>
        </w:rPr>
      </w:pPr>
      <w:r w:rsidRPr="000076C9">
        <w:rPr>
          <w:rFonts w:asciiTheme="majorHAnsi" w:hAnsiTheme="majorHAnsi"/>
          <w:szCs w:val="22"/>
        </w:rPr>
        <w:t>arrangements to conceal ultimate beneficial or economic ownership</w:t>
      </w:r>
    </w:p>
    <w:p w14:paraId="35983351" w14:textId="77777777" w:rsidR="00AB00D2" w:rsidRPr="000076C9" w:rsidRDefault="00AB00D2" w:rsidP="00414C32">
      <w:pPr>
        <w:pStyle w:val="ListParagraph"/>
        <w:numPr>
          <w:ilvl w:val="1"/>
          <w:numId w:val="48"/>
        </w:numPr>
        <w:spacing w:after="140"/>
        <w:ind w:left="1134" w:hanging="425"/>
        <w:contextualSpacing w:val="0"/>
        <w:rPr>
          <w:rFonts w:asciiTheme="majorHAnsi" w:hAnsiTheme="majorHAnsi"/>
          <w:szCs w:val="22"/>
        </w:rPr>
      </w:pPr>
      <w:r w:rsidRPr="000076C9">
        <w:rPr>
          <w:rFonts w:asciiTheme="majorHAnsi" w:hAnsiTheme="majorHAnsi"/>
          <w:szCs w:val="22"/>
        </w:rPr>
        <w:t>arrangements involving abuse of board processes (including backdating of documents) or the board not truly executing its functions, or</w:t>
      </w:r>
    </w:p>
    <w:p w14:paraId="2AF573B5" w14:textId="1F327CF6" w:rsidR="00AB00D2" w:rsidRPr="000076C9" w:rsidRDefault="00AB00D2" w:rsidP="00E66C41">
      <w:pPr>
        <w:pStyle w:val="ListParagraph"/>
        <w:numPr>
          <w:ilvl w:val="1"/>
          <w:numId w:val="48"/>
        </w:numPr>
        <w:spacing w:before="0" w:line="240" w:lineRule="auto"/>
        <w:ind w:left="1134" w:hanging="425"/>
        <w:contextualSpacing w:val="0"/>
        <w:rPr>
          <w:rFonts w:asciiTheme="majorHAnsi" w:hAnsiTheme="majorHAnsi"/>
          <w:szCs w:val="22"/>
        </w:rPr>
      </w:pPr>
      <w:r w:rsidRPr="000076C9">
        <w:rPr>
          <w:rFonts w:asciiTheme="majorHAnsi" w:hAnsiTheme="majorHAnsi"/>
          <w:szCs w:val="22"/>
        </w:rPr>
        <w:lastRenderedPageBreak/>
        <w:t xml:space="preserve">arrangements under which any benefits under the </w:t>
      </w:r>
      <w:r w:rsidRPr="00E81416">
        <w:rPr>
          <w:rFonts w:asciiTheme="majorHAnsi" w:hAnsiTheme="majorHAnsi"/>
          <w:szCs w:val="22"/>
        </w:rPr>
        <w:t xml:space="preserve">Australia-New Zealand </w:t>
      </w:r>
      <w:proofErr w:type="gramStart"/>
      <w:r w:rsidRPr="00E81416">
        <w:rPr>
          <w:rFonts w:asciiTheme="majorHAnsi" w:hAnsiTheme="majorHAnsi"/>
          <w:szCs w:val="22"/>
        </w:rPr>
        <w:t>treaty</w:t>
      </w:r>
      <w:r>
        <w:rPr>
          <w:rFonts w:asciiTheme="majorHAnsi" w:hAnsiTheme="majorHAnsi"/>
          <w:i/>
          <w:szCs w:val="22"/>
        </w:rPr>
        <w:t xml:space="preserve"> </w:t>
      </w:r>
      <w:r w:rsidRPr="000076C9">
        <w:rPr>
          <w:rFonts w:asciiTheme="majorHAnsi" w:hAnsiTheme="majorHAnsi"/>
          <w:szCs w:val="22"/>
        </w:rPr>
        <w:t xml:space="preserve"> would</w:t>
      </w:r>
      <w:proofErr w:type="gramEnd"/>
      <w:r w:rsidRPr="000076C9">
        <w:rPr>
          <w:rFonts w:asciiTheme="majorHAnsi" w:hAnsiTheme="majorHAnsi"/>
          <w:szCs w:val="22"/>
        </w:rPr>
        <w:t xml:space="preserve"> be </w:t>
      </w:r>
      <w:r w:rsidRPr="00E81416">
        <w:rPr>
          <w:rFonts w:asciiTheme="majorHAnsi" w:hAnsiTheme="majorHAnsi"/>
          <w:szCs w:val="22"/>
        </w:rPr>
        <w:t>potentially denied</w:t>
      </w:r>
      <w:r w:rsidRPr="000076C9">
        <w:rPr>
          <w:rFonts w:asciiTheme="majorHAnsi" w:hAnsiTheme="majorHAnsi"/>
          <w:szCs w:val="22"/>
        </w:rPr>
        <w:t xml:space="preserve"> under the conditions of the Principal Purpose Test in paragraph 1 of MLI Article 7.</w:t>
      </w:r>
    </w:p>
    <w:p w14:paraId="5C9E930B" w14:textId="77777777" w:rsidR="005323A4" w:rsidRPr="005323A4" w:rsidRDefault="005323A4" w:rsidP="005323A4">
      <w:pPr>
        <w:spacing w:before="0"/>
      </w:pPr>
    </w:p>
    <w:p w14:paraId="2332306E" w14:textId="163078FF" w:rsidR="00AB00D2" w:rsidRPr="00F411AC" w:rsidRDefault="00AB00D2" w:rsidP="00F411AC">
      <w:pPr>
        <w:rPr>
          <w:b/>
          <w:bCs/>
          <w:u w:val="single"/>
        </w:rPr>
      </w:pPr>
      <w:r w:rsidRPr="00F411AC">
        <w:rPr>
          <w:b/>
          <w:bCs/>
          <w:u w:val="single"/>
        </w:rPr>
        <w:t xml:space="preserve">Taxpayer </w:t>
      </w:r>
      <w:r w:rsidR="00C479DF" w:rsidRPr="00F411AC">
        <w:rPr>
          <w:b/>
          <w:bCs/>
          <w:u w:val="single"/>
        </w:rPr>
        <w:t>obligations</w:t>
      </w:r>
    </w:p>
    <w:p w14:paraId="19B995A3" w14:textId="24B5C597" w:rsidR="00AB00D2" w:rsidRPr="000076C9" w:rsidRDefault="00AB00D2" w:rsidP="00721866">
      <w:r w:rsidRPr="000076C9">
        <w:t xml:space="preserve">Where there is a material change, the taxpayer is required to re-assess their eligibility and approach </w:t>
      </w:r>
      <w:proofErr w:type="gramStart"/>
      <w:r>
        <w:t xml:space="preserve">either </w:t>
      </w:r>
      <w:r w:rsidR="00C936EA">
        <w:t>competent</w:t>
      </w:r>
      <w:proofErr w:type="gramEnd"/>
      <w:r w:rsidR="00C936EA">
        <w:t xml:space="preserve"> authority</w:t>
      </w:r>
      <w:r w:rsidR="00C936EA" w:rsidRPr="000076C9">
        <w:t xml:space="preserve"> </w:t>
      </w:r>
      <w:r w:rsidRPr="000076C9">
        <w:t xml:space="preserve">if the </w:t>
      </w:r>
      <w:r>
        <w:t xml:space="preserve">practical </w:t>
      </w:r>
      <w:r w:rsidRPr="000076C9">
        <w:t>administrative approach no longer applies to their circumstances.</w:t>
      </w:r>
    </w:p>
    <w:p w14:paraId="7952B431" w14:textId="6C6A07F2" w:rsidR="004437BD" w:rsidRDefault="00AB00D2" w:rsidP="00721866">
      <w:r>
        <w:t>Where the taxpayer has assessed their circumstances and eligibility to apply the practical administrative approach, they are still required to meet the general record-keeping requirements under domestic law.</w:t>
      </w:r>
      <w:r>
        <w:rPr>
          <w:rStyle w:val="EndnoteReference"/>
          <w:rFonts w:asciiTheme="majorHAnsi" w:hAnsiTheme="majorHAnsi"/>
          <w:szCs w:val="22"/>
        </w:rPr>
        <w:endnoteReference w:id="15"/>
      </w:r>
      <w:r>
        <w:t xml:space="preserve"> </w:t>
      </w:r>
      <w:r w:rsidR="00237734">
        <w:t xml:space="preserve">This includes supporting documentation that </w:t>
      </w:r>
      <w:r w:rsidR="00237734" w:rsidRPr="000076C9">
        <w:t xml:space="preserve">must be clearly identifiable </w:t>
      </w:r>
      <w:r w:rsidR="00237734" w:rsidRPr="00E81416">
        <w:t xml:space="preserve">for each relevant </w:t>
      </w:r>
      <w:r w:rsidR="002963F0" w:rsidRPr="00E81416">
        <w:t>year</w:t>
      </w:r>
      <w:r w:rsidR="00237734" w:rsidRPr="000076C9">
        <w:t xml:space="preserve"> for which </w:t>
      </w:r>
      <w:r w:rsidR="006F2BEC">
        <w:t>they</w:t>
      </w:r>
      <w:r w:rsidR="00D4620B">
        <w:t xml:space="preserve"> have</w:t>
      </w:r>
      <w:r w:rsidR="00237734" w:rsidRPr="000076C9">
        <w:t xml:space="preserve"> determined </w:t>
      </w:r>
      <w:r w:rsidR="006F2BEC">
        <w:t>their</w:t>
      </w:r>
      <w:r w:rsidR="00237734" w:rsidRPr="000076C9">
        <w:t xml:space="preserve"> residency</w:t>
      </w:r>
      <w:r w:rsidR="007F7EC5">
        <w:t xml:space="preserve"> </w:t>
      </w:r>
      <w:r w:rsidR="00CF3B39">
        <w:t xml:space="preserve">for the purposes of the </w:t>
      </w:r>
      <w:r w:rsidR="001F41EB" w:rsidRPr="001F41EB">
        <w:t>Australia-New Zealand treaty</w:t>
      </w:r>
      <w:r w:rsidR="001F41EB">
        <w:t xml:space="preserve"> </w:t>
      </w:r>
      <w:r w:rsidR="007F7EC5">
        <w:t>under this approach</w:t>
      </w:r>
      <w:r w:rsidR="00237734" w:rsidRPr="000076C9">
        <w:t>.</w:t>
      </w:r>
    </w:p>
    <w:p w14:paraId="725541C3" w14:textId="77777777" w:rsidR="00883E89" w:rsidRDefault="00883E89" w:rsidP="000076C9">
      <w:pPr>
        <w:spacing w:before="0" w:line="240" w:lineRule="auto"/>
        <w:rPr>
          <w:rFonts w:asciiTheme="majorHAnsi" w:hAnsiTheme="majorHAnsi"/>
          <w:szCs w:val="22"/>
        </w:rPr>
      </w:pPr>
    </w:p>
    <w:p w14:paraId="7DEC2AAC" w14:textId="3ABFC3CE" w:rsidR="00883E89" w:rsidRPr="00F411AC" w:rsidRDefault="00F1317B" w:rsidP="00F411AC">
      <w:pPr>
        <w:rPr>
          <w:b/>
          <w:bCs/>
          <w:u w:val="single"/>
        </w:rPr>
      </w:pPr>
      <w:r w:rsidRPr="00F411AC">
        <w:rPr>
          <w:b/>
          <w:bCs/>
          <w:u w:val="single"/>
        </w:rPr>
        <w:t xml:space="preserve">Review of </w:t>
      </w:r>
      <w:r w:rsidR="00C479DF" w:rsidRPr="00F411AC">
        <w:rPr>
          <w:b/>
          <w:bCs/>
          <w:u w:val="single"/>
        </w:rPr>
        <w:t>a</w:t>
      </w:r>
      <w:r w:rsidRPr="00F411AC">
        <w:rPr>
          <w:b/>
          <w:bCs/>
          <w:u w:val="single"/>
        </w:rPr>
        <w:t>greement</w:t>
      </w:r>
    </w:p>
    <w:p w14:paraId="275EEB34" w14:textId="69C77719" w:rsidR="00F1317B" w:rsidRDefault="00F1317B" w:rsidP="00721866">
      <w:r>
        <w:t xml:space="preserve">The ATO and IR will generally not seek to review a taxpayer’s self-determined </w:t>
      </w:r>
      <w:proofErr w:type="spellStart"/>
      <w:r>
        <w:t>PoEM</w:t>
      </w:r>
      <w:proofErr w:type="spellEnd"/>
      <w:r>
        <w:t xml:space="preserve"> </w:t>
      </w:r>
      <w:proofErr w:type="gramStart"/>
      <w:r>
        <w:t>as long as</w:t>
      </w:r>
      <w:proofErr w:type="gramEnd"/>
      <w:r>
        <w:t xml:space="preserve"> all material facts and circumstances remain the same. The ATO and IR reserve the right to review the outcome of a taxpayer’s self-determined </w:t>
      </w:r>
      <w:proofErr w:type="spellStart"/>
      <w:r>
        <w:t>PoEM</w:t>
      </w:r>
      <w:proofErr w:type="spellEnd"/>
      <w:r>
        <w:t xml:space="preserve"> especially in instances where the ATO or IR is of the opinion that any anti-avoidance rules may apply.</w:t>
      </w:r>
    </w:p>
    <w:p w14:paraId="4539AE6A" w14:textId="1D226F79" w:rsidR="00F1317B" w:rsidRDefault="00F1317B" w:rsidP="00721866">
      <w:r>
        <w:t>In most circumstances, the tax law puts a time limit on the period in which the ATO</w:t>
      </w:r>
      <w:r w:rsidR="000007DC">
        <w:t xml:space="preserve"> or IR</w:t>
      </w:r>
      <w:r>
        <w:t xml:space="preserve"> can amend a tax assessment. These time limits provide certainty and finality for both the taxpayer and the Commissioner. </w:t>
      </w:r>
      <w:proofErr w:type="gramStart"/>
      <w:r>
        <w:t>Generally</w:t>
      </w:r>
      <w:proofErr w:type="gramEnd"/>
      <w:r>
        <w:t xml:space="preserve"> the period of review of a taxpayer’s assessment is four years.</w:t>
      </w:r>
      <w:r w:rsidR="00717034">
        <w:t xml:space="preserve"> </w:t>
      </w:r>
      <w:r>
        <w:t>However, in a case where the ATO or the IR forms an opinion of fraud or evasion, there is no time limit for amending an assessment.</w:t>
      </w:r>
    </w:p>
    <w:p w14:paraId="7439C77A" w14:textId="4D1B44E8" w:rsidR="00F1317B" w:rsidRPr="00E81416" w:rsidRDefault="00F1317B" w:rsidP="00721866">
      <w:r>
        <w:t>When a review concludes, the outcome will be communicated in writing, generally within seven days of a decision. If the outcome of the review results in the reversal of a taxpayer’s self-</w:t>
      </w:r>
      <w:r w:rsidR="00717034">
        <w:t xml:space="preserve">determined </w:t>
      </w:r>
      <w:r>
        <w:t>position the result will be retrospectively applied from the later of:</w:t>
      </w:r>
    </w:p>
    <w:p w14:paraId="5BA9A4DE" w14:textId="2A2F565B" w:rsidR="00F1317B" w:rsidRPr="00E81416" w:rsidRDefault="00F1317B" w:rsidP="00637C8B">
      <w:pPr>
        <w:pStyle w:val="ListParagraph"/>
        <w:numPr>
          <w:ilvl w:val="0"/>
          <w:numId w:val="31"/>
        </w:numPr>
        <w:ind w:left="714" w:hanging="357"/>
        <w:contextualSpacing w:val="0"/>
        <w:rPr>
          <w:rFonts w:asciiTheme="majorHAnsi" w:hAnsiTheme="majorHAnsi"/>
          <w:szCs w:val="22"/>
        </w:rPr>
      </w:pPr>
      <w:r w:rsidRPr="00E81416">
        <w:rPr>
          <w:rFonts w:asciiTheme="majorHAnsi" w:hAnsiTheme="majorHAnsi"/>
          <w:szCs w:val="22"/>
        </w:rPr>
        <w:t>the date of the MLI (1 January 2019)</w:t>
      </w:r>
    </w:p>
    <w:p w14:paraId="1626CD2A" w14:textId="7F63B61B" w:rsidR="00F1317B" w:rsidRPr="00E81416" w:rsidRDefault="00F1317B" w:rsidP="00637C8B">
      <w:pPr>
        <w:pStyle w:val="ListParagraph"/>
        <w:numPr>
          <w:ilvl w:val="0"/>
          <w:numId w:val="31"/>
        </w:numPr>
        <w:ind w:left="714" w:hanging="357"/>
        <w:contextualSpacing w:val="0"/>
        <w:rPr>
          <w:rFonts w:asciiTheme="majorHAnsi" w:hAnsiTheme="majorHAnsi"/>
          <w:szCs w:val="22"/>
        </w:rPr>
      </w:pPr>
      <w:r w:rsidRPr="00E81416">
        <w:rPr>
          <w:rFonts w:asciiTheme="majorHAnsi" w:hAnsiTheme="majorHAnsi"/>
          <w:szCs w:val="22"/>
        </w:rPr>
        <w:t xml:space="preserve">the date of the change in a taxpayer’s circumstances that resulted in the </w:t>
      </w:r>
      <w:r w:rsidR="00717034">
        <w:rPr>
          <w:rFonts w:asciiTheme="majorHAnsi" w:hAnsiTheme="majorHAnsi"/>
          <w:szCs w:val="22"/>
        </w:rPr>
        <w:t>determination</w:t>
      </w:r>
      <w:r w:rsidRPr="00E81416">
        <w:rPr>
          <w:rFonts w:asciiTheme="majorHAnsi" w:hAnsiTheme="majorHAnsi"/>
          <w:szCs w:val="22"/>
        </w:rPr>
        <w:t xml:space="preserve"> ceasing to be correct.</w:t>
      </w:r>
    </w:p>
    <w:p w14:paraId="52169D22" w14:textId="77777777" w:rsidR="00717034" w:rsidRDefault="00717034" w:rsidP="00F1317B">
      <w:pPr>
        <w:pStyle w:val="ListParagraph"/>
        <w:rPr>
          <w:rFonts w:asciiTheme="majorHAnsi" w:hAnsiTheme="majorHAnsi"/>
          <w:szCs w:val="22"/>
        </w:rPr>
      </w:pPr>
    </w:p>
    <w:p w14:paraId="2347DA61" w14:textId="4DAE97B7" w:rsidR="00E80E63" w:rsidRPr="00C92C9B" w:rsidRDefault="00E80E63" w:rsidP="00BB2DDE"/>
    <w:sectPr w:rsidR="00E80E63" w:rsidRPr="00C92C9B" w:rsidSect="0033481F">
      <w:footerReference w:type="default" r:id="rId9"/>
      <w:footerReference w:type="first" r:id="rId10"/>
      <w:endnotePr>
        <w:numFmt w:val="decimal"/>
      </w:endnotePr>
      <w:pgSz w:w="11906" w:h="16838"/>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9E46E" w14:textId="77777777" w:rsidR="00EF5150" w:rsidRDefault="00EF5150" w:rsidP="00B538D7">
      <w:r>
        <w:separator/>
      </w:r>
    </w:p>
  </w:endnote>
  <w:endnote w:type="continuationSeparator" w:id="0">
    <w:p w14:paraId="2702A1D8" w14:textId="77777777" w:rsidR="00EF5150" w:rsidRDefault="00EF5150" w:rsidP="00B538D7">
      <w:r>
        <w:continuationSeparator/>
      </w:r>
    </w:p>
  </w:endnote>
  <w:endnote w:id="1">
    <w:p w14:paraId="3CB1903B" w14:textId="77777777" w:rsidR="00AB00D2" w:rsidRPr="00D51127" w:rsidRDefault="00AB00D2" w:rsidP="00F73509">
      <w:pPr>
        <w:pStyle w:val="EndnoteText"/>
        <w:spacing w:before="0" w:line="240" w:lineRule="auto"/>
        <w:rPr>
          <w:rFonts w:asciiTheme="majorHAnsi" w:hAnsiTheme="majorHAnsi"/>
          <w:sz w:val="20"/>
        </w:rPr>
      </w:pPr>
      <w:r w:rsidRPr="009C06D8">
        <w:rPr>
          <w:rStyle w:val="EndnoteReference"/>
          <w:rFonts w:asciiTheme="majorHAnsi" w:hAnsiTheme="majorHAnsi"/>
          <w:sz w:val="20"/>
        </w:rPr>
        <w:endnoteRef/>
      </w:r>
      <w:r w:rsidRPr="00D51127">
        <w:rPr>
          <w:rFonts w:asciiTheme="majorHAnsi" w:hAnsiTheme="majorHAnsi"/>
          <w:sz w:val="20"/>
        </w:rPr>
        <w:t xml:space="preserve"> </w:t>
      </w:r>
      <w:r w:rsidRPr="00D51127">
        <w:rPr>
          <w:rFonts w:asciiTheme="majorHAnsi" w:hAnsiTheme="majorHAnsi"/>
          <w:i/>
          <w:sz w:val="20"/>
        </w:rPr>
        <w:t>Multilateral Convention to Implement Tax Treaty Related Measures to Prevent Base Erosion and Profit Shifting</w:t>
      </w:r>
      <w:r w:rsidRPr="00D51127">
        <w:rPr>
          <w:rFonts w:asciiTheme="majorHAnsi" w:hAnsiTheme="majorHAnsi"/>
          <w:sz w:val="20"/>
        </w:rPr>
        <w:t>.</w:t>
      </w:r>
    </w:p>
  </w:endnote>
  <w:endnote w:id="2">
    <w:p w14:paraId="23AB865C" w14:textId="2E23C611" w:rsidR="00AB00D2" w:rsidRPr="00D51127" w:rsidRDefault="00AB00D2" w:rsidP="00F73509">
      <w:pPr>
        <w:pStyle w:val="EndnoteText"/>
        <w:spacing w:before="0" w:line="240" w:lineRule="auto"/>
        <w:rPr>
          <w:rFonts w:asciiTheme="majorHAnsi" w:hAnsiTheme="majorHAnsi"/>
          <w:sz w:val="20"/>
        </w:rPr>
      </w:pPr>
      <w:r w:rsidRPr="00D51127">
        <w:rPr>
          <w:rStyle w:val="EndnoteReference"/>
          <w:rFonts w:asciiTheme="majorHAnsi" w:hAnsiTheme="majorHAnsi"/>
          <w:sz w:val="20"/>
        </w:rPr>
        <w:endnoteRef/>
      </w:r>
      <w:r w:rsidRPr="00D51127">
        <w:rPr>
          <w:rFonts w:asciiTheme="majorHAnsi" w:hAnsiTheme="majorHAnsi"/>
          <w:sz w:val="20"/>
        </w:rPr>
        <w:t xml:space="preserve"> Ordinary company takes its meaning from plain English that is, an entity that is not a trust, partnership, cooperative, or other like vehicle. </w:t>
      </w:r>
      <w:r w:rsidR="00BB16A7" w:rsidRPr="00BB16A7">
        <w:rPr>
          <w:rFonts w:asciiTheme="majorHAnsi" w:hAnsiTheme="majorHAnsi"/>
          <w:sz w:val="20"/>
        </w:rPr>
        <w:t>For the purposes of assessing this criterion, ‘ordinary company’ does not include an entity acting in the capacity of a trustee.</w:t>
      </w:r>
    </w:p>
  </w:endnote>
  <w:endnote w:id="3">
    <w:p w14:paraId="157C80DC" w14:textId="5D82BA7F" w:rsidR="00AB00D2" w:rsidRDefault="00AB00D2" w:rsidP="0015528C">
      <w:pPr>
        <w:pStyle w:val="CommentText"/>
        <w:spacing w:before="0"/>
        <w:rPr>
          <w:rFonts w:asciiTheme="majorHAnsi" w:eastAsia="Times New Roman" w:hAnsiTheme="majorHAnsi" w:cs="Arial"/>
          <w:color w:val="auto"/>
          <w:lang w:eastAsia="en-AU"/>
        </w:rPr>
      </w:pPr>
      <w:r w:rsidRPr="00D51127">
        <w:rPr>
          <w:rStyle w:val="EndnoteReference"/>
          <w:rFonts w:asciiTheme="majorHAnsi" w:hAnsiTheme="majorHAnsi"/>
        </w:rPr>
        <w:endnoteRef/>
      </w:r>
      <w:r w:rsidRPr="00D51127">
        <w:rPr>
          <w:rFonts w:asciiTheme="majorHAnsi" w:hAnsiTheme="majorHAnsi"/>
        </w:rPr>
        <w:t xml:space="preserve"> For the purposes of assessing this criterion, </w:t>
      </w:r>
      <w:r w:rsidR="00DE7850">
        <w:rPr>
          <w:rFonts w:asciiTheme="majorHAnsi" w:hAnsiTheme="majorHAnsi"/>
        </w:rPr>
        <w:t>‘</w:t>
      </w:r>
      <w:proofErr w:type="gramStart"/>
      <w:r w:rsidRPr="00D51127">
        <w:rPr>
          <w:rFonts w:asciiTheme="majorHAnsi" w:hAnsiTheme="majorHAnsi"/>
        </w:rPr>
        <w:t>group</w:t>
      </w:r>
      <w:r w:rsidR="00C517C6">
        <w:rPr>
          <w:rFonts w:asciiTheme="majorHAnsi" w:hAnsiTheme="majorHAnsi"/>
        </w:rPr>
        <w:t>‘</w:t>
      </w:r>
      <w:r w:rsidR="00C517C6" w:rsidRPr="00D51127">
        <w:rPr>
          <w:rFonts w:asciiTheme="majorHAnsi" w:hAnsiTheme="majorHAnsi"/>
        </w:rPr>
        <w:t xml:space="preserve"> </w:t>
      </w:r>
      <w:r w:rsidRPr="00D51127">
        <w:rPr>
          <w:rFonts w:asciiTheme="majorHAnsi" w:eastAsia="Times New Roman" w:hAnsiTheme="majorHAnsi" w:cs="Arial"/>
          <w:color w:val="auto"/>
          <w:lang w:eastAsia="en-AU"/>
        </w:rPr>
        <w:t>consists</w:t>
      </w:r>
      <w:proofErr w:type="gramEnd"/>
      <w:r w:rsidRPr="00D51127">
        <w:rPr>
          <w:rFonts w:asciiTheme="majorHAnsi" w:eastAsia="Times New Roman" w:hAnsiTheme="majorHAnsi" w:cs="Arial"/>
          <w:color w:val="auto"/>
          <w:lang w:eastAsia="en-AU"/>
        </w:rPr>
        <w:t xml:space="preserve"> of an </w:t>
      </w:r>
      <w:r>
        <w:rPr>
          <w:rFonts w:asciiTheme="majorHAnsi" w:eastAsia="Times New Roman" w:hAnsiTheme="majorHAnsi" w:cs="Arial"/>
          <w:color w:val="auto"/>
          <w:lang w:eastAsia="en-AU"/>
        </w:rPr>
        <w:t xml:space="preserve">ultimate </w:t>
      </w:r>
      <w:r w:rsidRPr="00D51127">
        <w:rPr>
          <w:rFonts w:asciiTheme="majorHAnsi" w:eastAsia="Times New Roman" w:hAnsiTheme="majorHAnsi" w:cs="Arial"/>
          <w:color w:val="auto"/>
          <w:lang w:eastAsia="en-AU"/>
        </w:rPr>
        <w:t xml:space="preserve">Australian </w:t>
      </w:r>
      <w:r>
        <w:rPr>
          <w:rFonts w:asciiTheme="majorHAnsi" w:eastAsia="Times New Roman" w:hAnsiTheme="majorHAnsi" w:cs="Arial"/>
          <w:color w:val="auto"/>
          <w:lang w:eastAsia="en-AU"/>
        </w:rPr>
        <w:t xml:space="preserve">or </w:t>
      </w:r>
      <w:r w:rsidRPr="006D7084">
        <w:rPr>
          <w:rFonts w:asciiTheme="majorHAnsi" w:eastAsia="Times New Roman" w:hAnsiTheme="majorHAnsi" w:cs="Arial"/>
          <w:color w:val="auto"/>
          <w:lang w:eastAsia="en-AU"/>
        </w:rPr>
        <w:t xml:space="preserve">New Zealand </w:t>
      </w:r>
      <w:r>
        <w:rPr>
          <w:rFonts w:asciiTheme="majorHAnsi" w:eastAsia="Times New Roman" w:hAnsiTheme="majorHAnsi" w:cs="Arial"/>
          <w:color w:val="auto"/>
          <w:lang w:eastAsia="en-AU"/>
        </w:rPr>
        <w:t xml:space="preserve">parent </w:t>
      </w:r>
      <w:r w:rsidRPr="00345912">
        <w:rPr>
          <w:rFonts w:asciiTheme="majorHAnsi" w:eastAsia="Times New Roman" w:hAnsiTheme="majorHAnsi" w:cs="Arial"/>
          <w:color w:val="auto"/>
          <w:lang w:eastAsia="en-AU"/>
        </w:rPr>
        <w:t>together with all the entities</w:t>
      </w:r>
      <w:r>
        <w:rPr>
          <w:rFonts w:asciiTheme="majorHAnsi" w:eastAsia="Times New Roman" w:hAnsiTheme="majorHAnsi" w:cs="Arial"/>
          <w:color w:val="auto"/>
          <w:lang w:eastAsia="en-AU"/>
        </w:rPr>
        <w:t xml:space="preserve"> (including any offshore subsidiaries) </w:t>
      </w:r>
      <w:r w:rsidRPr="00345912">
        <w:rPr>
          <w:rFonts w:asciiTheme="majorHAnsi" w:eastAsia="Times New Roman" w:hAnsiTheme="majorHAnsi" w:cs="Arial"/>
          <w:color w:val="auto"/>
          <w:lang w:eastAsia="en-AU"/>
        </w:rPr>
        <w:t xml:space="preserve">it is </w:t>
      </w:r>
      <w:r w:rsidRPr="005C06CE">
        <w:rPr>
          <w:rFonts w:asciiTheme="majorHAnsi" w:eastAsia="Times New Roman" w:hAnsiTheme="majorHAnsi" w:cs="Arial"/>
          <w:color w:val="auto"/>
          <w:lang w:eastAsia="en-AU"/>
        </w:rPr>
        <w:t xml:space="preserve">required by the Australian Accounting Standard </w:t>
      </w:r>
      <w:r w:rsidRPr="00C07E26">
        <w:rPr>
          <w:rFonts w:asciiTheme="majorHAnsi" w:eastAsia="Times New Roman" w:hAnsiTheme="majorHAnsi" w:cs="Arial"/>
          <w:i/>
          <w:color w:val="auto"/>
          <w:lang w:eastAsia="en-AU"/>
        </w:rPr>
        <w:t>AASB</w:t>
      </w:r>
      <w:r>
        <w:rPr>
          <w:rFonts w:asciiTheme="majorHAnsi" w:eastAsia="Times New Roman" w:hAnsiTheme="majorHAnsi" w:cs="Arial"/>
          <w:i/>
          <w:color w:val="auto"/>
          <w:lang w:eastAsia="en-AU"/>
        </w:rPr>
        <w:t xml:space="preserve"> </w:t>
      </w:r>
      <w:r w:rsidRPr="00C07E26">
        <w:rPr>
          <w:rFonts w:asciiTheme="majorHAnsi" w:eastAsia="Times New Roman" w:hAnsiTheme="majorHAnsi" w:cs="Arial"/>
          <w:i/>
          <w:color w:val="auto"/>
          <w:lang w:eastAsia="en-AU"/>
        </w:rPr>
        <w:t xml:space="preserve">10 </w:t>
      </w:r>
      <w:r w:rsidRPr="009C06D8">
        <w:rPr>
          <w:rFonts w:asciiTheme="majorHAnsi" w:eastAsia="Times New Roman" w:hAnsiTheme="majorHAnsi" w:cs="Arial"/>
          <w:i/>
          <w:color w:val="auto"/>
          <w:lang w:eastAsia="en-AU"/>
        </w:rPr>
        <w:t>Consolidated Financial Statements</w:t>
      </w:r>
      <w:r w:rsidRPr="009C06D8">
        <w:rPr>
          <w:rFonts w:asciiTheme="majorHAnsi" w:eastAsia="Times New Roman" w:hAnsiTheme="majorHAnsi" w:cs="Arial"/>
          <w:color w:val="auto"/>
          <w:lang w:eastAsia="en-AU"/>
        </w:rPr>
        <w:t xml:space="preserve"> or the New Zealand Accounting Standard equivalent </w:t>
      </w:r>
      <w:r w:rsidRPr="00C07E26">
        <w:rPr>
          <w:rFonts w:asciiTheme="majorHAnsi" w:eastAsia="Times New Roman" w:hAnsiTheme="majorHAnsi" w:cs="Arial"/>
          <w:i/>
          <w:color w:val="auto"/>
          <w:lang w:eastAsia="en-AU"/>
        </w:rPr>
        <w:t>NZ IFRS 10</w:t>
      </w:r>
      <w:r w:rsidRPr="009C06D8">
        <w:rPr>
          <w:rFonts w:asciiTheme="majorHAnsi" w:eastAsia="Times New Roman" w:hAnsiTheme="majorHAnsi" w:cs="Arial"/>
          <w:color w:val="auto"/>
          <w:lang w:eastAsia="en-AU"/>
        </w:rPr>
        <w:t xml:space="preserve"> to include in its consolidated financial statements</w:t>
      </w:r>
      <w:r>
        <w:rPr>
          <w:rFonts w:asciiTheme="majorHAnsi" w:eastAsia="Times New Roman" w:hAnsiTheme="majorHAnsi" w:cs="Arial"/>
          <w:color w:val="auto"/>
          <w:lang w:eastAsia="en-AU"/>
        </w:rPr>
        <w:t xml:space="preserve"> (or would be required to consolidate if it had been required to prepare consolidated financial statements).</w:t>
      </w:r>
    </w:p>
    <w:p w14:paraId="0D0AB471" w14:textId="77777777" w:rsidR="00AB00D2" w:rsidRDefault="00AB00D2" w:rsidP="0015528C">
      <w:pPr>
        <w:pStyle w:val="CommentText"/>
        <w:spacing w:before="0"/>
        <w:rPr>
          <w:rFonts w:asciiTheme="majorHAnsi" w:eastAsia="Times New Roman" w:hAnsiTheme="majorHAnsi" w:cs="Arial"/>
          <w:color w:val="auto"/>
          <w:lang w:eastAsia="en-AU"/>
        </w:rPr>
      </w:pPr>
    </w:p>
    <w:p w14:paraId="6F623EE4" w14:textId="559352DE" w:rsidR="00AB00D2" w:rsidRDefault="00AB00D2" w:rsidP="0015528C">
      <w:pPr>
        <w:pStyle w:val="CommentText"/>
        <w:spacing w:before="0"/>
        <w:rPr>
          <w:rFonts w:asciiTheme="majorHAnsi" w:eastAsia="Times New Roman" w:hAnsiTheme="majorHAnsi" w:cs="Arial"/>
          <w:color w:val="auto"/>
          <w:lang w:eastAsia="en-AU"/>
        </w:rPr>
      </w:pPr>
      <w:r>
        <w:rPr>
          <w:rFonts w:asciiTheme="majorHAnsi" w:eastAsia="Times New Roman" w:hAnsiTheme="majorHAnsi" w:cs="Arial"/>
          <w:color w:val="auto"/>
          <w:lang w:eastAsia="en-AU"/>
        </w:rPr>
        <w:t xml:space="preserve">If there are two or more entry points into Australia that are under the control of the same offshore ultimate parent, for the purposes of assessing this criterion, </w:t>
      </w:r>
      <w:r w:rsidR="00DE7850">
        <w:rPr>
          <w:rFonts w:asciiTheme="majorHAnsi" w:eastAsia="Times New Roman" w:hAnsiTheme="majorHAnsi" w:cs="Arial"/>
          <w:color w:val="auto"/>
          <w:lang w:eastAsia="en-AU"/>
        </w:rPr>
        <w:t>‘</w:t>
      </w:r>
      <w:r>
        <w:rPr>
          <w:rFonts w:asciiTheme="majorHAnsi" w:eastAsia="Times New Roman" w:hAnsiTheme="majorHAnsi" w:cs="Arial"/>
          <w:color w:val="auto"/>
          <w:lang w:eastAsia="en-AU"/>
        </w:rPr>
        <w:t>group</w:t>
      </w:r>
      <w:r w:rsidR="000A40D2">
        <w:rPr>
          <w:rFonts w:asciiTheme="majorHAnsi" w:eastAsia="Times New Roman" w:hAnsiTheme="majorHAnsi" w:cs="Arial"/>
          <w:color w:val="auto"/>
          <w:lang w:eastAsia="en-AU"/>
        </w:rPr>
        <w:t>’</w:t>
      </w:r>
      <w:r w:rsidR="00C517C6">
        <w:rPr>
          <w:rFonts w:asciiTheme="majorHAnsi" w:eastAsia="Times New Roman" w:hAnsiTheme="majorHAnsi" w:cs="Arial"/>
          <w:color w:val="auto"/>
          <w:lang w:eastAsia="en-AU"/>
        </w:rPr>
        <w:t xml:space="preserve"> </w:t>
      </w:r>
      <w:r>
        <w:rPr>
          <w:rFonts w:asciiTheme="majorHAnsi" w:eastAsia="Times New Roman" w:hAnsiTheme="majorHAnsi" w:cs="Arial"/>
          <w:color w:val="auto"/>
          <w:lang w:eastAsia="en-AU"/>
        </w:rPr>
        <w:t xml:space="preserve">includes all relevant Australian top-tier parent entities and their subsidiaries as required by </w:t>
      </w:r>
      <w:r w:rsidRPr="00C07E26">
        <w:rPr>
          <w:rFonts w:asciiTheme="majorHAnsi" w:eastAsia="Times New Roman" w:hAnsiTheme="majorHAnsi" w:cs="Arial"/>
          <w:i/>
          <w:color w:val="auto"/>
          <w:lang w:eastAsia="en-AU"/>
        </w:rPr>
        <w:t>AASB 10</w:t>
      </w:r>
      <w:r>
        <w:rPr>
          <w:rFonts w:asciiTheme="majorHAnsi" w:eastAsia="Times New Roman" w:hAnsiTheme="majorHAnsi" w:cs="Arial"/>
          <w:color w:val="auto"/>
          <w:lang w:eastAsia="en-AU"/>
        </w:rPr>
        <w:t xml:space="preserve"> </w:t>
      </w:r>
      <w:r w:rsidRPr="000506CA">
        <w:rPr>
          <w:rFonts w:asciiTheme="majorHAnsi" w:eastAsia="Times New Roman" w:hAnsiTheme="majorHAnsi" w:cs="Arial"/>
          <w:color w:val="auto"/>
          <w:lang w:eastAsia="en-AU"/>
        </w:rPr>
        <w:t xml:space="preserve">to </w:t>
      </w:r>
      <w:r>
        <w:rPr>
          <w:rFonts w:asciiTheme="majorHAnsi" w:eastAsia="Times New Roman" w:hAnsiTheme="majorHAnsi" w:cs="Arial"/>
          <w:color w:val="auto"/>
          <w:lang w:eastAsia="en-AU"/>
        </w:rPr>
        <w:t xml:space="preserve">be </w:t>
      </w:r>
      <w:r w:rsidRPr="000506CA">
        <w:rPr>
          <w:rFonts w:asciiTheme="majorHAnsi" w:eastAsia="Times New Roman" w:hAnsiTheme="majorHAnsi" w:cs="Arial"/>
          <w:color w:val="auto"/>
          <w:lang w:eastAsia="en-AU"/>
        </w:rPr>
        <w:t>include</w:t>
      </w:r>
      <w:r>
        <w:rPr>
          <w:rFonts w:asciiTheme="majorHAnsi" w:eastAsia="Times New Roman" w:hAnsiTheme="majorHAnsi" w:cs="Arial"/>
          <w:color w:val="auto"/>
          <w:lang w:eastAsia="en-AU"/>
        </w:rPr>
        <w:t>d</w:t>
      </w:r>
      <w:r w:rsidRPr="000506CA">
        <w:rPr>
          <w:rFonts w:asciiTheme="majorHAnsi" w:eastAsia="Times New Roman" w:hAnsiTheme="majorHAnsi" w:cs="Arial"/>
          <w:color w:val="auto"/>
          <w:lang w:eastAsia="en-AU"/>
        </w:rPr>
        <w:t xml:space="preserve"> in </w:t>
      </w:r>
      <w:r>
        <w:rPr>
          <w:rFonts w:asciiTheme="majorHAnsi" w:eastAsia="Times New Roman" w:hAnsiTheme="majorHAnsi" w:cs="Arial"/>
          <w:color w:val="auto"/>
          <w:lang w:eastAsia="en-AU"/>
        </w:rPr>
        <w:t>their respective</w:t>
      </w:r>
      <w:r w:rsidRPr="000506CA">
        <w:rPr>
          <w:rFonts w:asciiTheme="majorHAnsi" w:eastAsia="Times New Roman" w:hAnsiTheme="majorHAnsi" w:cs="Arial"/>
          <w:color w:val="auto"/>
          <w:lang w:eastAsia="en-AU"/>
        </w:rPr>
        <w:t xml:space="preserve"> consolidated financial statements (or would be required to </w:t>
      </w:r>
      <w:r>
        <w:rPr>
          <w:rFonts w:asciiTheme="majorHAnsi" w:eastAsia="Times New Roman" w:hAnsiTheme="majorHAnsi" w:cs="Arial"/>
          <w:color w:val="auto"/>
          <w:lang w:eastAsia="en-AU"/>
        </w:rPr>
        <w:t xml:space="preserve">be </w:t>
      </w:r>
      <w:r w:rsidRPr="000506CA">
        <w:rPr>
          <w:rFonts w:asciiTheme="majorHAnsi" w:eastAsia="Times New Roman" w:hAnsiTheme="majorHAnsi" w:cs="Arial"/>
          <w:color w:val="auto"/>
          <w:lang w:eastAsia="en-AU"/>
        </w:rPr>
        <w:t>consolidate</w:t>
      </w:r>
      <w:r>
        <w:rPr>
          <w:rFonts w:asciiTheme="majorHAnsi" w:eastAsia="Times New Roman" w:hAnsiTheme="majorHAnsi" w:cs="Arial"/>
          <w:color w:val="auto"/>
          <w:lang w:eastAsia="en-AU"/>
        </w:rPr>
        <w:t>d</w:t>
      </w:r>
      <w:r w:rsidRPr="000506CA">
        <w:rPr>
          <w:rFonts w:asciiTheme="majorHAnsi" w:eastAsia="Times New Roman" w:hAnsiTheme="majorHAnsi" w:cs="Arial"/>
          <w:color w:val="auto"/>
          <w:lang w:eastAsia="en-AU"/>
        </w:rPr>
        <w:t xml:space="preserve"> if </w:t>
      </w:r>
      <w:r>
        <w:rPr>
          <w:rFonts w:asciiTheme="majorHAnsi" w:eastAsia="Times New Roman" w:hAnsiTheme="majorHAnsi" w:cs="Arial"/>
          <w:color w:val="auto"/>
          <w:lang w:eastAsia="en-AU"/>
        </w:rPr>
        <w:t>the entities</w:t>
      </w:r>
      <w:r w:rsidRPr="000506CA">
        <w:rPr>
          <w:rFonts w:asciiTheme="majorHAnsi" w:eastAsia="Times New Roman" w:hAnsiTheme="majorHAnsi" w:cs="Arial"/>
          <w:color w:val="auto"/>
          <w:lang w:eastAsia="en-AU"/>
        </w:rPr>
        <w:t xml:space="preserve"> had been required to prepare consolidated financial statements)</w:t>
      </w:r>
      <w:r w:rsidRPr="009C06D8">
        <w:rPr>
          <w:rFonts w:asciiTheme="majorHAnsi" w:eastAsia="Times New Roman" w:hAnsiTheme="majorHAnsi" w:cs="Arial"/>
          <w:color w:val="auto"/>
          <w:lang w:eastAsia="en-AU"/>
        </w:rPr>
        <w:t>.</w:t>
      </w:r>
    </w:p>
    <w:p w14:paraId="39E88CBD" w14:textId="77777777" w:rsidR="00AB00D2" w:rsidRDefault="00AB00D2" w:rsidP="0015528C">
      <w:pPr>
        <w:pStyle w:val="CommentText"/>
        <w:spacing w:before="0"/>
        <w:rPr>
          <w:rFonts w:asciiTheme="majorHAnsi" w:eastAsia="Times New Roman" w:hAnsiTheme="majorHAnsi" w:cs="Arial"/>
          <w:color w:val="auto"/>
          <w:lang w:eastAsia="en-AU"/>
        </w:rPr>
      </w:pPr>
    </w:p>
    <w:p w14:paraId="55745ED7" w14:textId="0EBF5295" w:rsidR="00AB00D2" w:rsidRPr="005C06CE" w:rsidRDefault="00AB00D2" w:rsidP="0015528C">
      <w:pPr>
        <w:pStyle w:val="CommentText"/>
        <w:spacing w:before="0"/>
        <w:rPr>
          <w:lang w:val="en-NZ" w:eastAsia="en-AU"/>
        </w:rPr>
      </w:pPr>
      <w:r>
        <w:rPr>
          <w:rFonts w:asciiTheme="majorHAnsi" w:eastAsia="Times New Roman" w:hAnsiTheme="majorHAnsi" w:cs="Arial"/>
          <w:color w:val="auto"/>
          <w:lang w:eastAsia="en-AU"/>
        </w:rPr>
        <w:t xml:space="preserve">If there are two or more entry points into New Zealand that are under the control of the same offshore ultimate parent, for the purposes of assessing this criterion, </w:t>
      </w:r>
      <w:r w:rsidR="00FF6E1C">
        <w:rPr>
          <w:rFonts w:asciiTheme="majorHAnsi" w:eastAsia="Times New Roman" w:hAnsiTheme="majorHAnsi" w:cs="Arial"/>
          <w:color w:val="auto"/>
          <w:lang w:eastAsia="en-AU"/>
        </w:rPr>
        <w:t>‘</w:t>
      </w:r>
      <w:r>
        <w:rPr>
          <w:rFonts w:asciiTheme="majorHAnsi" w:eastAsia="Times New Roman" w:hAnsiTheme="majorHAnsi" w:cs="Arial"/>
          <w:color w:val="auto"/>
          <w:lang w:eastAsia="en-AU"/>
        </w:rPr>
        <w:t>group</w:t>
      </w:r>
      <w:r w:rsidR="000A40D2">
        <w:rPr>
          <w:rFonts w:asciiTheme="majorHAnsi" w:eastAsia="Times New Roman" w:hAnsiTheme="majorHAnsi" w:cs="Arial"/>
          <w:color w:val="auto"/>
          <w:lang w:eastAsia="en-AU"/>
        </w:rPr>
        <w:t>’</w:t>
      </w:r>
      <w:r w:rsidR="00C517C6">
        <w:rPr>
          <w:rFonts w:asciiTheme="majorHAnsi" w:eastAsia="Times New Roman" w:hAnsiTheme="majorHAnsi" w:cs="Arial"/>
          <w:color w:val="auto"/>
          <w:lang w:eastAsia="en-AU"/>
        </w:rPr>
        <w:t xml:space="preserve"> </w:t>
      </w:r>
      <w:r>
        <w:rPr>
          <w:rFonts w:asciiTheme="majorHAnsi" w:eastAsia="Times New Roman" w:hAnsiTheme="majorHAnsi" w:cs="Arial"/>
          <w:color w:val="auto"/>
          <w:lang w:eastAsia="en-AU"/>
        </w:rPr>
        <w:t xml:space="preserve">includes all relevant New Zealand top-tier parent entities and their subsidiaries as required </w:t>
      </w:r>
      <w:r w:rsidR="00BD50BB">
        <w:rPr>
          <w:rFonts w:asciiTheme="majorHAnsi" w:eastAsia="Times New Roman" w:hAnsiTheme="majorHAnsi" w:cs="Arial"/>
          <w:color w:val="auto"/>
          <w:lang w:eastAsia="en-AU"/>
        </w:rPr>
        <w:t xml:space="preserve">by </w:t>
      </w:r>
      <w:r w:rsidRPr="00C07E26">
        <w:rPr>
          <w:rFonts w:asciiTheme="majorHAnsi" w:eastAsia="Times New Roman" w:hAnsiTheme="majorHAnsi" w:cs="Arial"/>
          <w:i/>
          <w:color w:val="auto"/>
          <w:lang w:eastAsia="en-AU"/>
        </w:rPr>
        <w:t>NZ IFRS 10</w:t>
      </w:r>
      <w:r>
        <w:rPr>
          <w:rFonts w:asciiTheme="majorHAnsi" w:eastAsia="Times New Roman" w:hAnsiTheme="majorHAnsi" w:cs="Arial"/>
          <w:i/>
          <w:color w:val="auto"/>
          <w:lang w:eastAsia="en-AU"/>
        </w:rPr>
        <w:t xml:space="preserve"> </w:t>
      </w:r>
      <w:r w:rsidRPr="000506CA">
        <w:rPr>
          <w:rFonts w:asciiTheme="majorHAnsi" w:eastAsia="Times New Roman" w:hAnsiTheme="majorHAnsi" w:cs="Arial"/>
          <w:color w:val="auto"/>
          <w:lang w:eastAsia="en-AU"/>
        </w:rPr>
        <w:t>to</w:t>
      </w:r>
      <w:r>
        <w:rPr>
          <w:rFonts w:asciiTheme="majorHAnsi" w:eastAsia="Times New Roman" w:hAnsiTheme="majorHAnsi" w:cs="Arial"/>
          <w:color w:val="auto"/>
          <w:lang w:eastAsia="en-AU"/>
        </w:rPr>
        <w:t xml:space="preserve"> be</w:t>
      </w:r>
      <w:r w:rsidRPr="000506CA">
        <w:rPr>
          <w:rFonts w:asciiTheme="majorHAnsi" w:eastAsia="Times New Roman" w:hAnsiTheme="majorHAnsi" w:cs="Arial"/>
          <w:color w:val="auto"/>
          <w:lang w:eastAsia="en-AU"/>
        </w:rPr>
        <w:t xml:space="preserve"> include</w:t>
      </w:r>
      <w:r>
        <w:rPr>
          <w:rFonts w:asciiTheme="majorHAnsi" w:eastAsia="Times New Roman" w:hAnsiTheme="majorHAnsi" w:cs="Arial"/>
          <w:color w:val="auto"/>
          <w:lang w:eastAsia="en-AU"/>
        </w:rPr>
        <w:t>d</w:t>
      </w:r>
      <w:r w:rsidRPr="000506CA">
        <w:rPr>
          <w:rFonts w:asciiTheme="majorHAnsi" w:eastAsia="Times New Roman" w:hAnsiTheme="majorHAnsi" w:cs="Arial"/>
          <w:color w:val="auto"/>
          <w:lang w:eastAsia="en-AU"/>
        </w:rPr>
        <w:t xml:space="preserve"> in </w:t>
      </w:r>
      <w:r>
        <w:rPr>
          <w:rFonts w:asciiTheme="majorHAnsi" w:eastAsia="Times New Roman" w:hAnsiTheme="majorHAnsi" w:cs="Arial"/>
          <w:color w:val="auto"/>
          <w:lang w:eastAsia="en-AU"/>
        </w:rPr>
        <w:t>their respective</w:t>
      </w:r>
      <w:r w:rsidRPr="000506CA">
        <w:rPr>
          <w:rFonts w:asciiTheme="majorHAnsi" w:eastAsia="Times New Roman" w:hAnsiTheme="majorHAnsi" w:cs="Arial"/>
          <w:color w:val="auto"/>
          <w:lang w:eastAsia="en-AU"/>
        </w:rPr>
        <w:t xml:space="preserve"> consolidated financial statements (or would be required to </w:t>
      </w:r>
      <w:r>
        <w:rPr>
          <w:rFonts w:asciiTheme="majorHAnsi" w:eastAsia="Times New Roman" w:hAnsiTheme="majorHAnsi" w:cs="Arial"/>
          <w:color w:val="auto"/>
          <w:lang w:eastAsia="en-AU"/>
        </w:rPr>
        <w:t xml:space="preserve">be </w:t>
      </w:r>
      <w:r w:rsidRPr="000506CA">
        <w:rPr>
          <w:rFonts w:asciiTheme="majorHAnsi" w:eastAsia="Times New Roman" w:hAnsiTheme="majorHAnsi" w:cs="Arial"/>
          <w:color w:val="auto"/>
          <w:lang w:eastAsia="en-AU"/>
        </w:rPr>
        <w:t>consolidate</w:t>
      </w:r>
      <w:r>
        <w:rPr>
          <w:rFonts w:asciiTheme="majorHAnsi" w:eastAsia="Times New Roman" w:hAnsiTheme="majorHAnsi" w:cs="Arial"/>
          <w:color w:val="auto"/>
          <w:lang w:eastAsia="en-AU"/>
        </w:rPr>
        <w:t>d</w:t>
      </w:r>
      <w:r w:rsidRPr="000506CA">
        <w:rPr>
          <w:rFonts w:asciiTheme="majorHAnsi" w:eastAsia="Times New Roman" w:hAnsiTheme="majorHAnsi" w:cs="Arial"/>
          <w:color w:val="auto"/>
          <w:lang w:eastAsia="en-AU"/>
        </w:rPr>
        <w:t xml:space="preserve"> if </w:t>
      </w:r>
      <w:r>
        <w:rPr>
          <w:rFonts w:asciiTheme="majorHAnsi" w:eastAsia="Times New Roman" w:hAnsiTheme="majorHAnsi" w:cs="Arial"/>
          <w:color w:val="auto"/>
          <w:lang w:eastAsia="en-AU"/>
        </w:rPr>
        <w:t>the entities</w:t>
      </w:r>
      <w:r w:rsidRPr="000506CA">
        <w:rPr>
          <w:rFonts w:asciiTheme="majorHAnsi" w:eastAsia="Times New Roman" w:hAnsiTheme="majorHAnsi" w:cs="Arial"/>
          <w:color w:val="auto"/>
          <w:lang w:eastAsia="en-AU"/>
        </w:rPr>
        <w:t xml:space="preserve"> had been required to prepare consolidated financial statements)</w:t>
      </w:r>
      <w:r w:rsidRPr="009C06D8">
        <w:rPr>
          <w:rFonts w:asciiTheme="majorHAnsi" w:eastAsia="Times New Roman" w:hAnsiTheme="majorHAnsi" w:cs="Arial"/>
          <w:color w:val="auto"/>
          <w:lang w:eastAsia="en-AU"/>
        </w:rPr>
        <w:t>.</w:t>
      </w:r>
    </w:p>
  </w:endnote>
  <w:endnote w:id="4">
    <w:p w14:paraId="301A5FA4" w14:textId="7DDB280B" w:rsidR="00AB00D2" w:rsidRDefault="00AB00D2" w:rsidP="0015528C">
      <w:pPr>
        <w:pStyle w:val="EndnoteText"/>
        <w:spacing w:before="0" w:line="240" w:lineRule="auto"/>
        <w:rPr>
          <w:rFonts w:asciiTheme="majorHAnsi" w:hAnsiTheme="majorHAnsi"/>
          <w:sz w:val="20"/>
        </w:rPr>
      </w:pPr>
      <w:r w:rsidRPr="009C06D8">
        <w:rPr>
          <w:rStyle w:val="EndnoteReference"/>
          <w:rFonts w:asciiTheme="majorHAnsi" w:hAnsiTheme="majorHAnsi"/>
          <w:sz w:val="20"/>
        </w:rPr>
        <w:endnoteRef/>
      </w:r>
      <w:r w:rsidRPr="009C06D8">
        <w:rPr>
          <w:rFonts w:asciiTheme="majorHAnsi" w:hAnsiTheme="majorHAnsi"/>
          <w:sz w:val="20"/>
        </w:rPr>
        <w:t xml:space="preserve"> Income includes revenue, gains from investment activities and other inflows that go to the determination of the profit or loss in accordance with the Australian Accounting Standard </w:t>
      </w:r>
      <w:r w:rsidRPr="004D4824">
        <w:rPr>
          <w:rFonts w:asciiTheme="majorHAnsi" w:hAnsiTheme="majorHAnsi"/>
          <w:i/>
          <w:sz w:val="20"/>
        </w:rPr>
        <w:t>AASB 101</w:t>
      </w:r>
      <w:r w:rsidRPr="009C06D8">
        <w:rPr>
          <w:rFonts w:asciiTheme="majorHAnsi" w:hAnsiTheme="majorHAnsi"/>
          <w:sz w:val="20"/>
        </w:rPr>
        <w:t xml:space="preserve"> </w:t>
      </w:r>
      <w:r w:rsidRPr="009C06D8">
        <w:rPr>
          <w:rFonts w:asciiTheme="majorHAnsi" w:hAnsiTheme="majorHAnsi"/>
          <w:i/>
          <w:sz w:val="20"/>
        </w:rPr>
        <w:t xml:space="preserve">Presentation of Financial Statements </w:t>
      </w:r>
      <w:r w:rsidRPr="009C06D8">
        <w:rPr>
          <w:rFonts w:asciiTheme="majorHAnsi" w:hAnsiTheme="majorHAnsi"/>
          <w:sz w:val="20"/>
        </w:rPr>
        <w:t xml:space="preserve">or with the New Zealand Accounting Standards equivalent </w:t>
      </w:r>
      <w:r w:rsidRPr="00C07E26">
        <w:rPr>
          <w:rFonts w:asciiTheme="majorHAnsi" w:hAnsiTheme="majorHAnsi"/>
          <w:i/>
          <w:sz w:val="20"/>
        </w:rPr>
        <w:t>NZ IAS 1</w:t>
      </w:r>
      <w:r w:rsidRPr="009C06D8">
        <w:rPr>
          <w:rFonts w:asciiTheme="majorHAnsi" w:hAnsiTheme="majorHAnsi"/>
          <w:sz w:val="20"/>
        </w:rPr>
        <w:t>.</w:t>
      </w:r>
    </w:p>
    <w:p w14:paraId="0E4C92D1" w14:textId="77777777" w:rsidR="00E653EC" w:rsidRPr="001F0B0C" w:rsidRDefault="00E653EC" w:rsidP="0015528C">
      <w:pPr>
        <w:pStyle w:val="EndnoteText"/>
        <w:spacing w:before="0" w:line="240" w:lineRule="auto"/>
        <w:rPr>
          <w:rFonts w:asciiTheme="majorHAnsi" w:eastAsia="Times New Roman" w:hAnsiTheme="majorHAnsi" w:cs="Arial"/>
          <w:color w:val="auto"/>
          <w:sz w:val="20"/>
          <w:lang w:val="en-NZ" w:eastAsia="en-AU"/>
        </w:rPr>
      </w:pPr>
    </w:p>
    <w:p w14:paraId="34A28817" w14:textId="59029CB8" w:rsidR="00AB00D2" w:rsidRPr="009C06D8" w:rsidRDefault="00AB00D2" w:rsidP="0015528C">
      <w:pPr>
        <w:pStyle w:val="EndnoteText"/>
        <w:spacing w:before="0" w:line="240" w:lineRule="auto"/>
        <w:rPr>
          <w:rFonts w:asciiTheme="majorHAnsi" w:hAnsiTheme="majorHAnsi"/>
          <w:sz w:val="20"/>
        </w:rPr>
      </w:pPr>
      <w:r w:rsidRPr="00D51127">
        <w:rPr>
          <w:rFonts w:asciiTheme="majorHAnsi" w:hAnsiTheme="majorHAnsi"/>
          <w:sz w:val="20"/>
        </w:rPr>
        <w:t xml:space="preserve">For the avoidance of doubt, </w:t>
      </w:r>
      <w:r>
        <w:rPr>
          <w:rFonts w:asciiTheme="majorHAnsi" w:hAnsiTheme="majorHAnsi"/>
          <w:sz w:val="20"/>
        </w:rPr>
        <w:t xml:space="preserve">if the Australian or New Zealand parent is within a larger global group, criterion 3 refers to the consolidated annual accounting income of the ultimate Australian or New Zealand parent (for multiple entry groups, it will be the sum of the consolidated annual accounting income of the relevant top-tier parent entities (refer to </w:t>
      </w:r>
      <w:r w:rsidR="00A14A6D">
        <w:rPr>
          <w:rFonts w:asciiTheme="majorHAnsi" w:hAnsiTheme="majorHAnsi"/>
          <w:sz w:val="20"/>
        </w:rPr>
        <w:t xml:space="preserve">note </w:t>
      </w:r>
      <w:r>
        <w:rPr>
          <w:rFonts w:asciiTheme="majorHAnsi" w:hAnsiTheme="majorHAnsi"/>
          <w:sz w:val="20"/>
        </w:rPr>
        <w:t>3)).</w:t>
      </w:r>
    </w:p>
  </w:endnote>
  <w:endnote w:id="5">
    <w:p w14:paraId="1D631496" w14:textId="20BCA896" w:rsidR="00AB00D2" w:rsidRPr="009C06D8" w:rsidRDefault="00AB00D2" w:rsidP="0015528C">
      <w:pPr>
        <w:pStyle w:val="EndnoteText"/>
        <w:spacing w:before="0" w:line="240" w:lineRule="auto"/>
        <w:rPr>
          <w:rFonts w:asciiTheme="majorHAnsi" w:hAnsiTheme="majorHAnsi"/>
          <w:sz w:val="20"/>
        </w:rPr>
      </w:pPr>
      <w:r w:rsidRPr="005C06CE">
        <w:rPr>
          <w:rStyle w:val="EndnoteReference"/>
          <w:rFonts w:asciiTheme="majorHAnsi" w:hAnsiTheme="majorHAnsi"/>
          <w:sz w:val="20"/>
        </w:rPr>
        <w:endnoteRef/>
      </w:r>
      <w:r w:rsidRPr="009C06D8">
        <w:rPr>
          <w:rFonts w:asciiTheme="majorHAnsi" w:hAnsiTheme="majorHAnsi"/>
          <w:sz w:val="20"/>
        </w:rPr>
        <w:t xml:space="preserve"> If the taxpayer starts or ceases a business part way through a reporting period, a reasonable estimate of what their annual accounting income would have been if the entity had carried on the business for the entire reporting period should be used.</w:t>
      </w:r>
    </w:p>
  </w:endnote>
  <w:endnote w:id="6">
    <w:p w14:paraId="6CC03553" w14:textId="2C9B28CF" w:rsidR="00AB00D2" w:rsidRPr="009C06D8" w:rsidRDefault="00AB00D2" w:rsidP="0015528C">
      <w:pPr>
        <w:pStyle w:val="EndnoteText"/>
        <w:spacing w:before="0" w:line="240" w:lineRule="auto"/>
        <w:rPr>
          <w:rFonts w:asciiTheme="majorHAnsi" w:hAnsiTheme="majorHAnsi"/>
          <w:sz w:val="20"/>
        </w:rPr>
      </w:pPr>
      <w:r w:rsidRPr="009C06D8">
        <w:rPr>
          <w:rStyle w:val="EndnoteReference"/>
          <w:rFonts w:asciiTheme="majorHAnsi" w:hAnsiTheme="majorHAnsi"/>
          <w:sz w:val="20"/>
        </w:rPr>
        <w:endnoteRef/>
      </w:r>
      <w:r w:rsidRPr="009C06D8">
        <w:rPr>
          <w:rFonts w:asciiTheme="majorHAnsi" w:hAnsiTheme="majorHAnsi"/>
          <w:sz w:val="20"/>
        </w:rPr>
        <w:t xml:space="preserve"> For the purposes of assessing this criterion, </w:t>
      </w:r>
      <w:r w:rsidR="00AC3CE5">
        <w:rPr>
          <w:rFonts w:asciiTheme="majorHAnsi" w:hAnsiTheme="majorHAnsi"/>
          <w:sz w:val="20"/>
        </w:rPr>
        <w:t>‘</w:t>
      </w:r>
      <w:r w:rsidRPr="009C06D8">
        <w:rPr>
          <w:rFonts w:asciiTheme="majorHAnsi" w:hAnsiTheme="majorHAnsi"/>
          <w:sz w:val="20"/>
        </w:rPr>
        <w:t>passive income</w:t>
      </w:r>
      <w:r w:rsidR="00751043">
        <w:rPr>
          <w:rFonts w:asciiTheme="majorHAnsi" w:hAnsiTheme="majorHAnsi"/>
          <w:sz w:val="20"/>
        </w:rPr>
        <w:t>’</w:t>
      </w:r>
      <w:r w:rsidR="009C3836" w:rsidRPr="009C06D8">
        <w:rPr>
          <w:rFonts w:asciiTheme="majorHAnsi" w:hAnsiTheme="majorHAnsi"/>
          <w:sz w:val="20"/>
        </w:rPr>
        <w:t xml:space="preserve"> </w:t>
      </w:r>
      <w:r w:rsidRPr="009C06D8">
        <w:rPr>
          <w:rFonts w:asciiTheme="majorHAnsi" w:hAnsiTheme="majorHAnsi"/>
          <w:sz w:val="20"/>
        </w:rPr>
        <w:t xml:space="preserve">is any of the following as defined in section 23AB of the </w:t>
      </w:r>
      <w:r w:rsidRPr="009C06D8">
        <w:rPr>
          <w:rFonts w:asciiTheme="majorHAnsi" w:hAnsiTheme="majorHAnsi"/>
          <w:i/>
          <w:sz w:val="20"/>
        </w:rPr>
        <w:t>Income Tax Rates Act 1986</w:t>
      </w:r>
      <w:r w:rsidRPr="009C06D8">
        <w:rPr>
          <w:rFonts w:asciiTheme="majorHAnsi" w:hAnsiTheme="majorHAnsi"/>
          <w:sz w:val="20"/>
        </w:rPr>
        <w:t>:</w:t>
      </w:r>
    </w:p>
    <w:p w14:paraId="02B77E4D" w14:textId="77777777" w:rsidR="00AB00D2" w:rsidRPr="009C06D8" w:rsidRDefault="00AB00D2" w:rsidP="0015528C">
      <w:pPr>
        <w:pStyle w:val="EndnoteText"/>
        <w:numPr>
          <w:ilvl w:val="0"/>
          <w:numId w:val="37"/>
        </w:numPr>
        <w:spacing w:before="0" w:line="240" w:lineRule="auto"/>
        <w:rPr>
          <w:rFonts w:asciiTheme="majorHAnsi" w:hAnsiTheme="majorHAnsi"/>
          <w:sz w:val="20"/>
        </w:rPr>
      </w:pPr>
      <w:r w:rsidRPr="009C06D8">
        <w:rPr>
          <w:rFonts w:asciiTheme="majorHAnsi" w:hAnsiTheme="majorHAnsi"/>
          <w:sz w:val="20"/>
        </w:rPr>
        <w:t>dividends other than non-portfolio dividends</w:t>
      </w:r>
    </w:p>
    <w:p w14:paraId="2D9C3519" w14:textId="77777777" w:rsidR="00AB00D2" w:rsidRPr="009C06D8" w:rsidRDefault="00AB00D2" w:rsidP="0015528C">
      <w:pPr>
        <w:pStyle w:val="EndnoteText"/>
        <w:numPr>
          <w:ilvl w:val="0"/>
          <w:numId w:val="37"/>
        </w:numPr>
        <w:spacing w:before="0" w:line="240" w:lineRule="auto"/>
        <w:rPr>
          <w:rFonts w:asciiTheme="majorHAnsi" w:hAnsiTheme="majorHAnsi"/>
          <w:sz w:val="20"/>
        </w:rPr>
      </w:pPr>
      <w:r w:rsidRPr="009C06D8">
        <w:rPr>
          <w:rFonts w:asciiTheme="majorHAnsi" w:hAnsiTheme="majorHAnsi"/>
          <w:sz w:val="20"/>
        </w:rPr>
        <w:t>franking credits on such dividends</w:t>
      </w:r>
    </w:p>
    <w:p w14:paraId="50F45BD1" w14:textId="77777777" w:rsidR="00AB00D2" w:rsidRPr="009C06D8" w:rsidRDefault="00AB00D2" w:rsidP="0015528C">
      <w:pPr>
        <w:pStyle w:val="EndnoteText"/>
        <w:numPr>
          <w:ilvl w:val="0"/>
          <w:numId w:val="37"/>
        </w:numPr>
        <w:spacing w:before="0" w:line="240" w:lineRule="auto"/>
        <w:rPr>
          <w:rFonts w:asciiTheme="majorHAnsi" w:hAnsiTheme="majorHAnsi"/>
          <w:sz w:val="20"/>
        </w:rPr>
      </w:pPr>
      <w:r w:rsidRPr="009C06D8">
        <w:rPr>
          <w:rFonts w:asciiTheme="majorHAnsi" w:hAnsiTheme="majorHAnsi"/>
          <w:sz w:val="20"/>
        </w:rPr>
        <w:t>non-share dividends</w:t>
      </w:r>
    </w:p>
    <w:p w14:paraId="56BB7C57" w14:textId="77777777" w:rsidR="00AB00D2" w:rsidRPr="009C06D8" w:rsidRDefault="00AB00D2" w:rsidP="0015528C">
      <w:pPr>
        <w:pStyle w:val="EndnoteText"/>
        <w:numPr>
          <w:ilvl w:val="0"/>
          <w:numId w:val="37"/>
        </w:numPr>
        <w:spacing w:before="0" w:line="240" w:lineRule="auto"/>
        <w:rPr>
          <w:rFonts w:asciiTheme="majorHAnsi" w:hAnsiTheme="majorHAnsi"/>
          <w:sz w:val="20"/>
        </w:rPr>
      </w:pPr>
      <w:r w:rsidRPr="009C06D8">
        <w:rPr>
          <w:rFonts w:asciiTheme="majorHAnsi" w:hAnsiTheme="majorHAnsi"/>
          <w:sz w:val="20"/>
        </w:rPr>
        <w:t>interest income (some exceptions apply)</w:t>
      </w:r>
    </w:p>
    <w:p w14:paraId="3BF0105B" w14:textId="57B65515" w:rsidR="00AB00D2" w:rsidRPr="009C06D8" w:rsidRDefault="00AB00D2" w:rsidP="0015528C">
      <w:pPr>
        <w:pStyle w:val="EndnoteText"/>
        <w:numPr>
          <w:ilvl w:val="0"/>
          <w:numId w:val="37"/>
        </w:numPr>
        <w:spacing w:before="0" w:line="240" w:lineRule="auto"/>
        <w:rPr>
          <w:rFonts w:asciiTheme="majorHAnsi" w:hAnsiTheme="majorHAnsi"/>
          <w:sz w:val="20"/>
        </w:rPr>
      </w:pPr>
      <w:r w:rsidRPr="009C06D8">
        <w:rPr>
          <w:rFonts w:asciiTheme="majorHAnsi" w:hAnsiTheme="majorHAnsi"/>
          <w:sz w:val="20"/>
        </w:rPr>
        <w:t>royalties</w:t>
      </w:r>
    </w:p>
    <w:p w14:paraId="4D10DFA8" w14:textId="03B04C14" w:rsidR="00AB00D2" w:rsidRPr="009C06D8" w:rsidRDefault="00AB00D2" w:rsidP="0015528C">
      <w:pPr>
        <w:pStyle w:val="EndnoteText"/>
        <w:numPr>
          <w:ilvl w:val="0"/>
          <w:numId w:val="37"/>
        </w:numPr>
        <w:spacing w:before="0" w:line="240" w:lineRule="auto"/>
        <w:rPr>
          <w:rFonts w:asciiTheme="majorHAnsi" w:hAnsiTheme="majorHAnsi"/>
          <w:sz w:val="20"/>
        </w:rPr>
      </w:pPr>
      <w:r w:rsidRPr="009C06D8">
        <w:rPr>
          <w:rFonts w:asciiTheme="majorHAnsi" w:hAnsiTheme="majorHAnsi"/>
          <w:sz w:val="20"/>
        </w:rPr>
        <w:t>rent</w:t>
      </w:r>
    </w:p>
    <w:p w14:paraId="20FC4A3F" w14:textId="4EFA98DF" w:rsidR="00AB00D2" w:rsidRPr="009C06D8" w:rsidRDefault="00AB00D2" w:rsidP="0015528C">
      <w:pPr>
        <w:pStyle w:val="EndnoteText"/>
        <w:numPr>
          <w:ilvl w:val="0"/>
          <w:numId w:val="37"/>
        </w:numPr>
        <w:spacing w:before="0" w:line="240" w:lineRule="auto"/>
        <w:rPr>
          <w:rFonts w:asciiTheme="majorHAnsi" w:hAnsiTheme="majorHAnsi"/>
          <w:sz w:val="20"/>
        </w:rPr>
      </w:pPr>
      <w:r w:rsidRPr="009C06D8">
        <w:rPr>
          <w:rFonts w:asciiTheme="majorHAnsi" w:hAnsiTheme="majorHAnsi"/>
          <w:sz w:val="20"/>
        </w:rPr>
        <w:t>gains on qualifying securities</w:t>
      </w:r>
    </w:p>
    <w:p w14:paraId="69427C9C" w14:textId="77777777" w:rsidR="00AB00D2" w:rsidRPr="009C06D8" w:rsidRDefault="00AB00D2" w:rsidP="0015528C">
      <w:pPr>
        <w:pStyle w:val="EndnoteText"/>
        <w:numPr>
          <w:ilvl w:val="0"/>
          <w:numId w:val="37"/>
        </w:numPr>
        <w:spacing w:before="0" w:line="240" w:lineRule="auto"/>
        <w:rPr>
          <w:rFonts w:asciiTheme="majorHAnsi" w:hAnsiTheme="majorHAnsi"/>
          <w:sz w:val="20"/>
        </w:rPr>
      </w:pPr>
      <w:r w:rsidRPr="009C06D8">
        <w:rPr>
          <w:rFonts w:asciiTheme="majorHAnsi" w:hAnsiTheme="majorHAnsi"/>
          <w:sz w:val="20"/>
        </w:rPr>
        <w:t>net capital gains</w:t>
      </w:r>
    </w:p>
    <w:p w14:paraId="23C8DF39" w14:textId="36B364C8" w:rsidR="00AB00D2" w:rsidRPr="009C06D8" w:rsidRDefault="00AB00D2" w:rsidP="0015528C">
      <w:pPr>
        <w:pStyle w:val="EndnoteText"/>
        <w:numPr>
          <w:ilvl w:val="0"/>
          <w:numId w:val="37"/>
        </w:numPr>
        <w:spacing w:before="0" w:line="240" w:lineRule="auto"/>
        <w:ind w:left="357" w:hanging="357"/>
        <w:rPr>
          <w:rFonts w:asciiTheme="majorHAnsi" w:hAnsiTheme="majorHAnsi"/>
          <w:sz w:val="20"/>
        </w:rPr>
      </w:pPr>
      <w:r w:rsidRPr="009C06D8">
        <w:rPr>
          <w:rFonts w:asciiTheme="majorHAnsi" w:hAnsiTheme="majorHAnsi"/>
          <w:sz w:val="20"/>
        </w:rPr>
        <w:t xml:space="preserve">income </w:t>
      </w:r>
      <w:proofErr w:type="gramStart"/>
      <w:r w:rsidRPr="009C06D8">
        <w:rPr>
          <w:rFonts w:asciiTheme="majorHAnsi" w:hAnsiTheme="majorHAnsi"/>
          <w:sz w:val="20"/>
        </w:rPr>
        <w:t>from trusts or partnerships,</w:t>
      </w:r>
      <w:proofErr w:type="gramEnd"/>
      <w:r w:rsidRPr="009C06D8">
        <w:rPr>
          <w:rFonts w:asciiTheme="majorHAnsi" w:hAnsiTheme="majorHAnsi"/>
          <w:sz w:val="20"/>
        </w:rPr>
        <w:t xml:space="preserve"> to the extent it is referable (either directly or indirectly) to an amount that is otherwise base rate entity passive income.</w:t>
      </w:r>
    </w:p>
  </w:endnote>
  <w:endnote w:id="7">
    <w:p w14:paraId="6C67407C" w14:textId="6530F64C" w:rsidR="00AB00D2" w:rsidRPr="009C06D8" w:rsidRDefault="00AB00D2" w:rsidP="0015528C">
      <w:pPr>
        <w:pStyle w:val="EndnoteText"/>
        <w:spacing w:before="0" w:line="240" w:lineRule="auto"/>
        <w:rPr>
          <w:rFonts w:asciiTheme="majorHAnsi" w:hAnsiTheme="majorHAnsi"/>
          <w:sz w:val="20"/>
        </w:rPr>
      </w:pPr>
      <w:r w:rsidRPr="009C06D8">
        <w:rPr>
          <w:rStyle w:val="EndnoteReference"/>
          <w:rFonts w:asciiTheme="majorHAnsi" w:hAnsiTheme="majorHAnsi"/>
          <w:sz w:val="20"/>
        </w:rPr>
        <w:endnoteRef/>
      </w:r>
      <w:r w:rsidRPr="009C06D8">
        <w:rPr>
          <w:rFonts w:asciiTheme="majorHAnsi" w:hAnsiTheme="majorHAnsi"/>
          <w:sz w:val="20"/>
        </w:rPr>
        <w:t xml:space="preserve"> </w:t>
      </w:r>
      <w:r w:rsidR="00C517C6">
        <w:rPr>
          <w:rFonts w:asciiTheme="majorHAnsi" w:hAnsiTheme="majorHAnsi"/>
          <w:sz w:val="20"/>
        </w:rPr>
        <w:t>’</w:t>
      </w:r>
      <w:r w:rsidRPr="009C06D8">
        <w:rPr>
          <w:rFonts w:asciiTheme="majorHAnsi" w:hAnsiTheme="majorHAnsi"/>
          <w:sz w:val="20"/>
        </w:rPr>
        <w:t>Intangible asset</w:t>
      </w:r>
      <w:r w:rsidR="00C517C6">
        <w:rPr>
          <w:rFonts w:asciiTheme="majorHAnsi" w:hAnsiTheme="majorHAnsi"/>
          <w:sz w:val="20"/>
        </w:rPr>
        <w:t>’</w:t>
      </w:r>
      <w:r w:rsidRPr="009C06D8">
        <w:rPr>
          <w:rFonts w:asciiTheme="majorHAnsi" w:hAnsiTheme="majorHAnsi"/>
          <w:sz w:val="20"/>
        </w:rPr>
        <w:t xml:space="preserve"> is as defined under the Australian Accounting Standard </w:t>
      </w:r>
      <w:r w:rsidRPr="009C06D8">
        <w:rPr>
          <w:rFonts w:asciiTheme="majorHAnsi" w:hAnsiTheme="majorHAnsi"/>
          <w:i/>
          <w:sz w:val="20"/>
        </w:rPr>
        <w:t xml:space="preserve">AASB 138 Intangible Assets </w:t>
      </w:r>
      <w:r w:rsidRPr="009C06D8">
        <w:rPr>
          <w:rFonts w:asciiTheme="majorHAnsi" w:hAnsiTheme="majorHAnsi"/>
          <w:sz w:val="20"/>
        </w:rPr>
        <w:t xml:space="preserve">and under the New Zealand Accounting Standard </w:t>
      </w:r>
      <w:r w:rsidRPr="009C06D8">
        <w:rPr>
          <w:rFonts w:asciiTheme="majorHAnsi" w:hAnsiTheme="majorHAnsi"/>
          <w:i/>
          <w:sz w:val="20"/>
        </w:rPr>
        <w:t>NZ IAS 38 Intangible Assets</w:t>
      </w:r>
      <w:r w:rsidRPr="009C06D8">
        <w:rPr>
          <w:rFonts w:asciiTheme="majorHAnsi" w:hAnsiTheme="majorHAnsi"/>
          <w:sz w:val="20"/>
        </w:rPr>
        <w:t>.</w:t>
      </w:r>
    </w:p>
  </w:endnote>
  <w:endnote w:id="8">
    <w:p w14:paraId="5EA9B51D" w14:textId="2265B1B4" w:rsidR="00AB00D2" w:rsidRPr="00D66A5B" w:rsidRDefault="00AB00D2" w:rsidP="0015528C">
      <w:pPr>
        <w:spacing w:before="0" w:line="240" w:lineRule="auto"/>
        <w:rPr>
          <w:rFonts w:asciiTheme="majorHAnsi" w:eastAsia="Times New Roman" w:hAnsiTheme="majorHAnsi" w:cs="Arial"/>
          <w:color w:val="auto"/>
          <w:sz w:val="20"/>
          <w:lang w:val="en-NZ" w:eastAsia="en-AU"/>
        </w:rPr>
      </w:pPr>
      <w:r w:rsidRPr="009C06D8">
        <w:rPr>
          <w:rStyle w:val="EndnoteReference"/>
          <w:rFonts w:asciiTheme="majorHAnsi" w:hAnsiTheme="majorHAnsi"/>
          <w:sz w:val="20"/>
        </w:rPr>
        <w:endnoteRef/>
      </w:r>
      <w:r w:rsidRPr="009C06D8">
        <w:rPr>
          <w:rFonts w:asciiTheme="majorHAnsi" w:hAnsiTheme="majorHAnsi"/>
          <w:sz w:val="20"/>
        </w:rPr>
        <w:t xml:space="preserve"> Determined under the same definition contained in note </w:t>
      </w:r>
      <w:r w:rsidRPr="00D51127">
        <w:rPr>
          <w:rFonts w:asciiTheme="majorHAnsi" w:hAnsiTheme="majorHAnsi"/>
          <w:sz w:val="20"/>
        </w:rPr>
        <w:t>3</w:t>
      </w:r>
      <w:r w:rsidRPr="001451E4">
        <w:rPr>
          <w:rFonts w:asciiTheme="majorHAnsi" w:hAnsiTheme="majorHAnsi"/>
          <w:sz w:val="20"/>
        </w:rPr>
        <w:t>.</w:t>
      </w:r>
    </w:p>
  </w:endnote>
  <w:endnote w:id="9">
    <w:p w14:paraId="4B692A03" w14:textId="4C21A3A1" w:rsidR="00AB00D2" w:rsidRPr="009C06D8" w:rsidRDefault="00AB00D2" w:rsidP="0015528C">
      <w:pPr>
        <w:pStyle w:val="EndnoteText"/>
        <w:spacing w:before="0" w:line="240" w:lineRule="auto"/>
        <w:rPr>
          <w:rFonts w:asciiTheme="majorHAnsi" w:hAnsiTheme="majorHAnsi"/>
          <w:sz w:val="20"/>
        </w:rPr>
      </w:pPr>
      <w:r w:rsidRPr="005C06CE">
        <w:rPr>
          <w:rStyle w:val="EndnoteReference"/>
          <w:rFonts w:asciiTheme="majorHAnsi" w:hAnsiTheme="majorHAnsi"/>
          <w:sz w:val="20"/>
        </w:rPr>
        <w:endnoteRef/>
      </w:r>
      <w:r w:rsidRPr="009C06D8">
        <w:rPr>
          <w:rFonts w:asciiTheme="majorHAnsi" w:hAnsiTheme="majorHAnsi"/>
          <w:sz w:val="20"/>
        </w:rPr>
        <w:t xml:space="preserve"> This includes any risk review, audit or any other compliance activity carried out by the ATO or IR and notified to the taxpayer.</w:t>
      </w:r>
    </w:p>
  </w:endnote>
  <w:endnote w:id="10">
    <w:p w14:paraId="6F11AF10" w14:textId="325F160A" w:rsidR="00AB00D2" w:rsidRPr="00D66A5B" w:rsidRDefault="00AB00D2" w:rsidP="0015528C">
      <w:pPr>
        <w:spacing w:before="0" w:line="240" w:lineRule="auto"/>
        <w:rPr>
          <w:rFonts w:asciiTheme="majorHAnsi" w:eastAsia="Times New Roman" w:hAnsiTheme="majorHAnsi" w:cs="Arial"/>
          <w:color w:val="auto"/>
          <w:sz w:val="20"/>
          <w:lang w:val="en-NZ" w:eastAsia="en-AU"/>
        </w:rPr>
      </w:pPr>
      <w:r w:rsidRPr="009C06D8">
        <w:rPr>
          <w:rStyle w:val="EndnoteReference"/>
          <w:rFonts w:asciiTheme="majorHAnsi" w:hAnsiTheme="majorHAnsi"/>
          <w:sz w:val="20"/>
        </w:rPr>
        <w:endnoteRef/>
      </w:r>
      <w:r w:rsidRPr="009C06D8">
        <w:rPr>
          <w:rFonts w:asciiTheme="majorHAnsi" w:hAnsiTheme="majorHAnsi"/>
          <w:sz w:val="20"/>
        </w:rPr>
        <w:t xml:space="preserve"> Determined under the same definition contained in note </w:t>
      </w:r>
      <w:r w:rsidRPr="00D51127">
        <w:rPr>
          <w:rFonts w:asciiTheme="majorHAnsi" w:hAnsiTheme="majorHAnsi"/>
          <w:sz w:val="20"/>
        </w:rPr>
        <w:t>3</w:t>
      </w:r>
      <w:r w:rsidRPr="001451E4">
        <w:rPr>
          <w:rFonts w:asciiTheme="majorHAnsi" w:hAnsiTheme="majorHAnsi"/>
          <w:sz w:val="20"/>
        </w:rPr>
        <w:t>.</w:t>
      </w:r>
    </w:p>
  </w:endnote>
  <w:endnote w:id="11">
    <w:p w14:paraId="2E409344" w14:textId="3F132BF8" w:rsidR="00AB00D2" w:rsidRPr="009C06D8" w:rsidRDefault="00AB00D2" w:rsidP="0015528C">
      <w:pPr>
        <w:pStyle w:val="EndnoteText"/>
        <w:spacing w:before="0" w:line="240" w:lineRule="auto"/>
        <w:rPr>
          <w:rFonts w:asciiTheme="majorHAnsi" w:hAnsiTheme="majorHAnsi"/>
          <w:sz w:val="20"/>
        </w:rPr>
      </w:pPr>
      <w:r w:rsidRPr="005C06CE">
        <w:rPr>
          <w:rStyle w:val="EndnoteReference"/>
          <w:rFonts w:asciiTheme="majorHAnsi" w:hAnsiTheme="majorHAnsi"/>
          <w:sz w:val="20"/>
        </w:rPr>
        <w:endnoteRef/>
      </w:r>
      <w:r w:rsidRPr="009C06D8">
        <w:rPr>
          <w:rFonts w:asciiTheme="majorHAnsi" w:hAnsiTheme="majorHAnsi"/>
          <w:sz w:val="20"/>
        </w:rPr>
        <w:t xml:space="preserve"> An objection lodged by a taxpayer against an assessment under section 175A of ITAA 1936 is a formal avenue of dispute resolution which attracts appeal rights. This </w:t>
      </w:r>
      <w:proofErr w:type="gramStart"/>
      <w:r w:rsidRPr="009C06D8">
        <w:rPr>
          <w:rFonts w:asciiTheme="majorHAnsi" w:hAnsiTheme="majorHAnsi"/>
          <w:sz w:val="20"/>
        </w:rPr>
        <w:t>is in contrast to</w:t>
      </w:r>
      <w:proofErr w:type="gramEnd"/>
      <w:r w:rsidRPr="009C06D8">
        <w:rPr>
          <w:rFonts w:asciiTheme="majorHAnsi" w:hAnsiTheme="majorHAnsi"/>
          <w:sz w:val="20"/>
        </w:rPr>
        <w:t xml:space="preserve"> a request for amendment of an assessment under section 170 of the ITAA 1936 to correct a mistake or omission where there is no dispute about the facts or the law.</w:t>
      </w:r>
    </w:p>
  </w:endnote>
  <w:endnote w:id="12">
    <w:p w14:paraId="46C37BFD" w14:textId="7EC791C1" w:rsidR="00AB00D2" w:rsidRPr="00585FF2" w:rsidRDefault="00AB00D2" w:rsidP="0015528C">
      <w:pPr>
        <w:pStyle w:val="EndnoteText"/>
        <w:spacing w:before="0" w:line="240" w:lineRule="auto"/>
        <w:rPr>
          <w:rFonts w:asciiTheme="majorHAnsi" w:hAnsiTheme="majorHAnsi" w:cstheme="majorHAnsi"/>
          <w:sz w:val="20"/>
          <w:lang w:val="en-NZ"/>
        </w:rPr>
      </w:pPr>
      <w:r w:rsidRPr="009C06D8">
        <w:rPr>
          <w:rStyle w:val="EndnoteReference"/>
          <w:rFonts w:asciiTheme="majorHAnsi" w:hAnsiTheme="majorHAnsi" w:cstheme="majorHAnsi"/>
          <w:sz w:val="20"/>
        </w:rPr>
        <w:endnoteRef/>
      </w:r>
      <w:r w:rsidRPr="009C06D8">
        <w:rPr>
          <w:rFonts w:asciiTheme="majorHAnsi" w:hAnsiTheme="majorHAnsi" w:cstheme="majorHAnsi"/>
          <w:sz w:val="20"/>
        </w:rPr>
        <w:t xml:space="preserve"> </w:t>
      </w:r>
      <w:r w:rsidRPr="009C06D8">
        <w:rPr>
          <w:rFonts w:asciiTheme="majorHAnsi" w:hAnsiTheme="majorHAnsi" w:cstheme="majorHAnsi"/>
          <w:sz w:val="20"/>
          <w:lang w:val="en-NZ"/>
        </w:rPr>
        <w:t xml:space="preserve">The challenge process in Part 8A of the </w:t>
      </w:r>
      <w:r w:rsidRPr="009C06D8">
        <w:rPr>
          <w:rFonts w:asciiTheme="majorHAnsi" w:hAnsiTheme="majorHAnsi" w:cstheme="majorHAnsi"/>
          <w:i/>
          <w:sz w:val="20"/>
          <w:lang w:val="en-NZ"/>
        </w:rPr>
        <w:t>Tax Administration Act 1994</w:t>
      </w:r>
      <w:r w:rsidRPr="009C06D8">
        <w:rPr>
          <w:rFonts w:asciiTheme="majorHAnsi" w:hAnsiTheme="majorHAnsi" w:cstheme="majorHAnsi"/>
          <w:sz w:val="20"/>
          <w:lang w:val="en-NZ"/>
        </w:rPr>
        <w:t xml:space="preserve"> (TAA) is a formal avenue of dispute resolution which attracts appeal rights. This is in contrast to a request for amendment of an assessment under section 113 of the TAA to correct a mistake or omission where there is no dispute about the facts or law.</w:t>
      </w:r>
    </w:p>
  </w:endnote>
  <w:endnote w:id="13">
    <w:p w14:paraId="5021C1D8" w14:textId="492F84C9" w:rsidR="00AB00D2" w:rsidRPr="009C06D8" w:rsidRDefault="00AB00D2" w:rsidP="0015528C">
      <w:pPr>
        <w:pStyle w:val="EndnoteText"/>
        <w:spacing w:before="0" w:line="240" w:lineRule="auto"/>
        <w:rPr>
          <w:rFonts w:asciiTheme="majorHAnsi" w:hAnsiTheme="majorHAnsi"/>
          <w:sz w:val="20"/>
        </w:rPr>
      </w:pPr>
      <w:r w:rsidRPr="009C06D8">
        <w:rPr>
          <w:rStyle w:val="EndnoteReference"/>
          <w:rFonts w:asciiTheme="majorHAnsi" w:hAnsiTheme="majorHAnsi"/>
          <w:sz w:val="20"/>
        </w:rPr>
        <w:endnoteRef/>
      </w:r>
      <w:r w:rsidRPr="00D51127">
        <w:rPr>
          <w:rFonts w:asciiTheme="majorHAnsi" w:hAnsiTheme="majorHAnsi"/>
          <w:sz w:val="20"/>
        </w:rPr>
        <w:t xml:space="preserve"> </w:t>
      </w:r>
      <w:bookmarkStart w:id="0" w:name="_Hlk534794241"/>
      <w:r w:rsidRPr="00D51127">
        <w:rPr>
          <w:rFonts w:asciiTheme="majorHAnsi" w:hAnsiTheme="majorHAnsi"/>
          <w:sz w:val="20"/>
        </w:rPr>
        <w:t>This includes any risk review, audit or any other compliance activity carried out by the ATO</w:t>
      </w:r>
      <w:r w:rsidRPr="001451E4">
        <w:rPr>
          <w:rFonts w:asciiTheme="majorHAnsi" w:hAnsiTheme="majorHAnsi"/>
          <w:sz w:val="20"/>
        </w:rPr>
        <w:t xml:space="preserve"> or IR</w:t>
      </w:r>
      <w:r w:rsidRPr="00D66A5B">
        <w:rPr>
          <w:rFonts w:asciiTheme="majorHAnsi" w:hAnsiTheme="majorHAnsi"/>
          <w:sz w:val="20"/>
        </w:rPr>
        <w:t xml:space="preserve"> and notified to the taxpayer</w:t>
      </w:r>
      <w:r w:rsidRPr="005C06CE">
        <w:rPr>
          <w:rFonts w:asciiTheme="majorHAnsi" w:hAnsiTheme="majorHAnsi"/>
          <w:sz w:val="20"/>
        </w:rPr>
        <w:t>.</w:t>
      </w:r>
      <w:bookmarkEnd w:id="0"/>
    </w:p>
  </w:endnote>
  <w:endnote w:id="14">
    <w:p w14:paraId="42FB4155" w14:textId="04DD5AB3" w:rsidR="00AB00D2" w:rsidRPr="009C06D8" w:rsidRDefault="00AB00D2" w:rsidP="0015528C">
      <w:pPr>
        <w:pStyle w:val="EndnoteText"/>
        <w:spacing w:before="0" w:line="240" w:lineRule="auto"/>
        <w:rPr>
          <w:rFonts w:asciiTheme="majorHAnsi" w:hAnsiTheme="majorHAnsi"/>
          <w:sz w:val="20"/>
        </w:rPr>
      </w:pPr>
      <w:r w:rsidRPr="009C06D8">
        <w:rPr>
          <w:rStyle w:val="EndnoteReference"/>
          <w:rFonts w:asciiTheme="majorHAnsi" w:hAnsiTheme="majorHAnsi"/>
          <w:sz w:val="20"/>
        </w:rPr>
        <w:endnoteRef/>
      </w:r>
      <w:r w:rsidRPr="009C06D8">
        <w:rPr>
          <w:rFonts w:asciiTheme="majorHAnsi" w:hAnsiTheme="majorHAnsi"/>
          <w:sz w:val="20"/>
        </w:rPr>
        <w:t xml:space="preserve"> Determined under the same definition contained in note 3.</w:t>
      </w:r>
    </w:p>
  </w:endnote>
  <w:endnote w:id="15">
    <w:p w14:paraId="31EE0053" w14:textId="4341C1A2" w:rsidR="00AB00D2" w:rsidRPr="009C06D8" w:rsidRDefault="00AB00D2" w:rsidP="0015528C">
      <w:pPr>
        <w:pStyle w:val="EndnoteText"/>
        <w:spacing w:before="0" w:line="240" w:lineRule="auto"/>
        <w:rPr>
          <w:rFonts w:asciiTheme="majorHAnsi" w:hAnsiTheme="majorHAnsi"/>
          <w:sz w:val="20"/>
        </w:rPr>
      </w:pPr>
      <w:r w:rsidRPr="009C06D8">
        <w:rPr>
          <w:rStyle w:val="EndnoteReference"/>
          <w:rFonts w:asciiTheme="majorHAnsi" w:hAnsiTheme="majorHAnsi"/>
          <w:sz w:val="20"/>
        </w:rPr>
        <w:endnoteRef/>
      </w:r>
      <w:r w:rsidRPr="009C06D8">
        <w:rPr>
          <w:rFonts w:asciiTheme="majorHAnsi" w:hAnsiTheme="majorHAnsi"/>
          <w:sz w:val="20"/>
        </w:rPr>
        <w:t xml:space="preserve"> Section 262A of the ITAA 1936 or section 22 of the TAA.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405D" w14:textId="707C001C" w:rsidR="007070E9" w:rsidRPr="00ED0663" w:rsidRDefault="006A5E09" w:rsidP="006630DB">
    <w:pPr>
      <w:pStyle w:val="Footer"/>
      <w:tabs>
        <w:tab w:val="clear" w:pos="4513"/>
        <w:tab w:val="clear" w:pos="9026"/>
        <w:tab w:val="right" w:pos="8931"/>
      </w:tabs>
      <w:ind w:left="0"/>
      <w:rPr>
        <w:rFonts w:asciiTheme="majorHAnsi" w:hAnsiTheme="majorHAnsi"/>
        <w:sz w:val="20"/>
        <w:lang w:val="en-US"/>
      </w:rPr>
    </w:pPr>
    <w:r>
      <w:rPr>
        <w:rFonts w:asciiTheme="majorHAnsi" w:hAnsiTheme="majorHAnsi"/>
        <w:caps w:val="0"/>
        <w:noProof/>
        <w:sz w:val="20"/>
        <w:lang w:val="en-US"/>
      </w:rPr>
      <w:t>October</w:t>
    </w:r>
    <w:r w:rsidR="006630DB">
      <w:rPr>
        <w:rFonts w:asciiTheme="majorHAnsi" w:hAnsiTheme="majorHAnsi"/>
        <w:noProof/>
        <w:sz w:val="20"/>
        <w:lang w:val="en-US"/>
      </w:rPr>
      <w:t xml:space="preserve"> </w:t>
    </w:r>
    <w:r>
      <w:rPr>
        <w:rFonts w:asciiTheme="majorHAnsi" w:hAnsiTheme="majorHAnsi"/>
        <w:noProof/>
        <w:sz w:val="20"/>
        <w:lang w:val="en-US"/>
      </w:rPr>
      <w:t>2022</w:t>
    </w:r>
    <w:r w:rsidR="006630DB">
      <w:rPr>
        <w:rFonts w:asciiTheme="majorHAnsi" w:hAnsiTheme="majorHAnsi"/>
        <w:noProof/>
        <w:sz w:val="20"/>
        <w:lang w:val="en-US"/>
      </w:rPr>
      <w:tab/>
    </w:r>
    <w:r w:rsidR="007070E9" w:rsidRPr="00D02F43">
      <w:rPr>
        <w:rFonts w:asciiTheme="majorHAnsi" w:hAnsiTheme="majorHAnsi"/>
        <w:noProof/>
        <w:sz w:val="20"/>
        <w:lang w:val="en-US"/>
      </w:rPr>
      <w:fldChar w:fldCharType="begin"/>
    </w:r>
    <w:r w:rsidR="007070E9" w:rsidRPr="00D02F43">
      <w:rPr>
        <w:rFonts w:asciiTheme="majorHAnsi" w:hAnsiTheme="majorHAnsi"/>
        <w:noProof/>
        <w:sz w:val="20"/>
        <w:lang w:val="en-US"/>
      </w:rPr>
      <w:instrText xml:space="preserve"> PAGE   \* MERGEFORMAT </w:instrText>
    </w:r>
    <w:r w:rsidR="007070E9" w:rsidRPr="00D02F43">
      <w:rPr>
        <w:rFonts w:asciiTheme="majorHAnsi" w:hAnsiTheme="majorHAnsi"/>
        <w:noProof/>
        <w:sz w:val="20"/>
        <w:lang w:val="en-US"/>
      </w:rPr>
      <w:fldChar w:fldCharType="separate"/>
    </w:r>
    <w:r w:rsidR="00DE7850" w:rsidRPr="00DE7850">
      <w:rPr>
        <w:rFonts w:asciiTheme="majorHAnsi" w:hAnsiTheme="majorHAnsi"/>
        <w:caps w:val="0"/>
        <w:noProof/>
        <w:sz w:val="20"/>
        <w:lang w:val="en-US"/>
      </w:rPr>
      <w:t>3</w:t>
    </w:r>
    <w:r w:rsidR="007070E9" w:rsidRPr="00D02F43">
      <w:rPr>
        <w:rFonts w:asciiTheme="majorHAnsi" w:hAnsiTheme="majorHAnsi"/>
        <w:noProof/>
        <w:sz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E1E43" w14:textId="77777777" w:rsidR="00EC6C09" w:rsidRDefault="00EC6C09" w:rsidP="0056745C">
    <w:pPr>
      <w:pStyle w:val="Footer"/>
      <w:tabs>
        <w:tab w:val="clear" w:pos="4513"/>
        <w:tab w:val="clear" w:pos="9026"/>
        <w:tab w:val="right" w:pos="9923"/>
      </w:tabs>
      <w:rPr>
        <w:rStyle w:val="Classification"/>
        <w:rFonts w:asciiTheme="majorHAnsi" w:hAnsiTheme="majorHAnsi"/>
        <w:sz w:val="20"/>
      </w:rPr>
    </w:pPr>
    <w:r>
      <w:rPr>
        <w:rStyle w:val="Classification"/>
        <w:rFonts w:asciiTheme="majorHAnsi" w:hAnsiTheme="majorHAnsi"/>
        <w:sz w:val="20"/>
      </w:rPr>
      <w:t>CONFIDENTIAL</w:t>
    </w:r>
  </w:p>
  <w:p w14:paraId="4874CC13" w14:textId="329F6DE4" w:rsidR="007070E9" w:rsidRPr="00D02F43" w:rsidRDefault="000076C9" w:rsidP="0056745C">
    <w:pPr>
      <w:pStyle w:val="Footer"/>
      <w:tabs>
        <w:tab w:val="clear" w:pos="4513"/>
        <w:tab w:val="clear" w:pos="9026"/>
        <w:tab w:val="right" w:pos="9923"/>
      </w:tabs>
      <w:rPr>
        <w:rFonts w:asciiTheme="majorHAnsi" w:hAnsiTheme="majorHAnsi"/>
        <w:sz w:val="20"/>
        <w:lang w:val="en-US"/>
      </w:rPr>
    </w:pPr>
    <w:r>
      <w:rPr>
        <w:rStyle w:val="Classification"/>
        <w:rFonts w:asciiTheme="majorHAnsi" w:hAnsiTheme="majorHAnsi"/>
        <w:sz w:val="20"/>
        <w:lang w:val="en-AU"/>
      </w:rPr>
      <w:t>draft FOR DISCUSSION ONLY</w:t>
    </w:r>
    <w:r w:rsidR="007070E9" w:rsidRPr="00D02F43">
      <w:rPr>
        <w:rFonts w:asciiTheme="majorHAnsi" w:hAnsiTheme="majorHAnsi"/>
        <w:sz w:val="20"/>
        <w:lang w:val="en-US"/>
      </w:rPr>
      <w:t xml:space="preserve">  </w:t>
    </w:r>
    <w:sdt>
      <w:sdtPr>
        <w:rPr>
          <w:rFonts w:asciiTheme="majorHAnsi" w:hAnsiTheme="majorHAnsi"/>
          <w:sz w:val="20"/>
          <w:lang w:val="en-US"/>
        </w:rPr>
        <w:alias w:val="Internal/External"/>
        <w:tag w:val="Internal/External"/>
        <w:id w:val="1509954336"/>
        <w:dataBinding w:prefixMappings="xmlns:ns0='www.drdoc.com.au'" w:xpath="/ns0:root[1]/ns0:internalExternal[1]" w:storeItemID="{00000000-0000-0000-0000-000000000000}"/>
        <w:comboBox>
          <w:listItem w:value="Choose an item."/>
          <w:listItem w:displayText="Internal" w:value="Internal"/>
          <w:listItem w:displayText="External" w:value="External"/>
        </w:comboBox>
      </w:sdtPr>
      <w:sdtEndPr/>
      <w:sdtContent>
        <w:r w:rsidR="00606BF4">
          <w:rPr>
            <w:rFonts w:asciiTheme="majorHAnsi" w:hAnsiTheme="majorHAnsi"/>
            <w:sz w:val="20"/>
          </w:rPr>
          <w:t>Internal</w:t>
        </w:r>
      </w:sdtContent>
    </w:sdt>
    <w:r w:rsidR="007070E9" w:rsidRPr="00D02F43">
      <w:rPr>
        <w:rFonts w:asciiTheme="majorHAnsi" w:hAnsiTheme="majorHAnsi"/>
        <w:sz w:val="20"/>
        <w:lang w:val="en-US"/>
      </w:rPr>
      <w:tab/>
    </w:r>
    <w:r w:rsidR="007070E9" w:rsidRPr="00D02F43">
      <w:rPr>
        <w:rFonts w:asciiTheme="majorHAnsi" w:hAnsiTheme="majorHAnsi"/>
        <w:noProof/>
        <w:sz w:val="20"/>
        <w:lang w:val="en-US"/>
      </w:rPr>
      <w:fldChar w:fldCharType="begin"/>
    </w:r>
    <w:r w:rsidR="007070E9" w:rsidRPr="00D02F43">
      <w:rPr>
        <w:rFonts w:asciiTheme="majorHAnsi" w:hAnsiTheme="majorHAnsi"/>
        <w:noProof/>
        <w:sz w:val="20"/>
        <w:lang w:val="en-US"/>
      </w:rPr>
      <w:instrText xml:space="preserve"> PAGE   \* MERGEFORMAT </w:instrText>
    </w:r>
    <w:r w:rsidR="007070E9" w:rsidRPr="00D02F43">
      <w:rPr>
        <w:rFonts w:asciiTheme="majorHAnsi" w:hAnsiTheme="majorHAnsi"/>
        <w:noProof/>
        <w:sz w:val="20"/>
        <w:lang w:val="en-US"/>
      </w:rPr>
      <w:fldChar w:fldCharType="separate"/>
    </w:r>
    <w:r w:rsidR="00C07C7D" w:rsidRPr="00C07C7D">
      <w:rPr>
        <w:rFonts w:asciiTheme="majorHAnsi" w:hAnsiTheme="majorHAnsi"/>
        <w:caps w:val="0"/>
        <w:noProof/>
        <w:sz w:val="20"/>
        <w:lang w:val="en-US"/>
      </w:rPr>
      <w:t>1</w:t>
    </w:r>
    <w:r w:rsidR="007070E9" w:rsidRPr="00D02F43">
      <w:rPr>
        <w:rFonts w:asciiTheme="majorHAnsi" w:hAnsiTheme="majorHAnsi"/>
        <w:noProof/>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97ACF" w14:textId="77777777" w:rsidR="00EF5150" w:rsidRDefault="00EF5150" w:rsidP="00B538D7">
      <w:r>
        <w:separator/>
      </w:r>
    </w:p>
  </w:footnote>
  <w:footnote w:type="continuationSeparator" w:id="0">
    <w:p w14:paraId="0EABC632" w14:textId="77777777" w:rsidR="00EF5150" w:rsidRDefault="00EF5150" w:rsidP="00B53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BDF"/>
    <w:multiLevelType w:val="hybridMultilevel"/>
    <w:tmpl w:val="16BEE30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D32EF"/>
    <w:multiLevelType w:val="hybridMultilevel"/>
    <w:tmpl w:val="8D9E7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6351B3"/>
    <w:multiLevelType w:val="hybridMultilevel"/>
    <w:tmpl w:val="774C271E"/>
    <w:lvl w:ilvl="0" w:tplc="4AF8718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891A84"/>
    <w:multiLevelType w:val="hybridMultilevel"/>
    <w:tmpl w:val="CF0C745E"/>
    <w:lvl w:ilvl="0" w:tplc="0C090011">
      <w:start w:val="1"/>
      <w:numFmt w:val="decimal"/>
      <w:lvlText w:val="%1)"/>
      <w:lvlJc w:val="left"/>
      <w:pPr>
        <w:ind w:left="720" w:hanging="360"/>
      </w:pPr>
      <w:rPr>
        <w:rFont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A64F41"/>
    <w:multiLevelType w:val="hybridMultilevel"/>
    <w:tmpl w:val="8BB2A5EC"/>
    <w:lvl w:ilvl="0" w:tplc="0C090011">
      <w:start w:val="1"/>
      <w:numFmt w:val="decimal"/>
      <w:lvlText w:val="%1)"/>
      <w:lvlJc w:val="left"/>
      <w:pPr>
        <w:ind w:left="1068" w:hanging="360"/>
      </w:pPr>
      <w:rPr>
        <w:rFonts w:hint="default"/>
      </w:rPr>
    </w:lvl>
    <w:lvl w:ilvl="1" w:tplc="0C090003">
      <w:start w:val="1"/>
      <w:numFmt w:val="bullet"/>
      <w:lvlText w:val="o"/>
      <w:lvlJc w:val="left"/>
      <w:pPr>
        <w:ind w:left="1788" w:hanging="360"/>
      </w:pPr>
      <w:rPr>
        <w:rFonts w:ascii="Courier New" w:hAnsi="Courier New" w:cs="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5" w15:restartNumberingAfterBreak="0">
    <w:nsid w:val="08A13C6C"/>
    <w:multiLevelType w:val="hybridMultilevel"/>
    <w:tmpl w:val="8EE43522"/>
    <w:lvl w:ilvl="0" w:tplc="0C090005">
      <w:start w:val="1"/>
      <w:numFmt w:val="bullet"/>
      <w:lvlText w:val=""/>
      <w:lvlJc w:val="left"/>
      <w:pPr>
        <w:ind w:left="717" w:hanging="360"/>
      </w:pPr>
      <w:rPr>
        <w:rFonts w:ascii="Wingdings" w:hAnsi="Wingdings" w:hint="default"/>
      </w:rPr>
    </w:lvl>
    <w:lvl w:ilvl="1" w:tplc="45D46ADE">
      <w:start w:val="1"/>
      <w:numFmt w:val="bullet"/>
      <w:lvlText w:val="-"/>
      <w:lvlJc w:val="left"/>
      <w:pPr>
        <w:ind w:left="1437" w:hanging="360"/>
      </w:pPr>
      <w:rPr>
        <w:rFonts w:ascii="Calibri" w:hAnsi="Calibri" w:hint="default"/>
      </w:rPr>
    </w:lvl>
    <w:lvl w:ilvl="2" w:tplc="0C090005">
      <w:start w:val="1"/>
      <w:numFmt w:val="bullet"/>
      <w:lvlText w:val=""/>
      <w:lvlJc w:val="left"/>
      <w:pPr>
        <w:ind w:left="2157" w:hanging="360"/>
      </w:pPr>
      <w:rPr>
        <w:rFonts w:ascii="Wingdings" w:hAnsi="Wingdings" w:hint="default"/>
      </w:rPr>
    </w:lvl>
    <w:lvl w:ilvl="3" w:tplc="0C09000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6" w15:restartNumberingAfterBreak="0">
    <w:nsid w:val="0C4C01C3"/>
    <w:multiLevelType w:val="hybridMultilevel"/>
    <w:tmpl w:val="8CAC16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E580490"/>
    <w:multiLevelType w:val="hybridMultilevel"/>
    <w:tmpl w:val="7A88225C"/>
    <w:lvl w:ilvl="0" w:tplc="C804D52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4455F7F"/>
    <w:multiLevelType w:val="hybridMultilevel"/>
    <w:tmpl w:val="172AE79A"/>
    <w:lvl w:ilvl="0" w:tplc="0C09000F">
      <w:start w:val="1"/>
      <w:numFmt w:val="decimal"/>
      <w:lvlText w:val="%1."/>
      <w:lvlJc w:val="left"/>
      <w:pPr>
        <w:ind w:left="720" w:hanging="360"/>
      </w:pPr>
      <w:rPr>
        <w:rFonts w:hint="default"/>
      </w:rPr>
    </w:lvl>
    <w:lvl w:ilvl="1" w:tplc="D626F8CC">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DD7397"/>
    <w:multiLevelType w:val="hybridMultilevel"/>
    <w:tmpl w:val="615EC0C6"/>
    <w:lvl w:ilvl="0" w:tplc="0C090005">
      <w:start w:val="1"/>
      <w:numFmt w:val="bullet"/>
      <w:lvlText w:val=""/>
      <w:lvlJc w:val="left"/>
      <w:pPr>
        <w:ind w:left="717" w:hanging="360"/>
      </w:pPr>
      <w:rPr>
        <w:rFonts w:ascii="Wingdings" w:hAnsi="Wingdings" w:hint="default"/>
      </w:rPr>
    </w:lvl>
    <w:lvl w:ilvl="1" w:tplc="0C090005">
      <w:start w:val="1"/>
      <w:numFmt w:val="bullet"/>
      <w:lvlText w:val=""/>
      <w:lvlJc w:val="left"/>
      <w:pPr>
        <w:ind w:left="1437" w:hanging="360"/>
      </w:pPr>
      <w:rPr>
        <w:rFonts w:ascii="Wingdings" w:hAnsi="Wingdings" w:hint="default"/>
      </w:rPr>
    </w:lvl>
    <w:lvl w:ilvl="2" w:tplc="0C090005">
      <w:start w:val="1"/>
      <w:numFmt w:val="bullet"/>
      <w:lvlText w:val=""/>
      <w:lvlJc w:val="left"/>
      <w:pPr>
        <w:ind w:left="2157" w:hanging="360"/>
      </w:pPr>
      <w:rPr>
        <w:rFonts w:ascii="Wingdings" w:hAnsi="Wingdings" w:hint="default"/>
      </w:rPr>
    </w:lvl>
    <w:lvl w:ilvl="3" w:tplc="0C09000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0" w15:restartNumberingAfterBreak="0">
    <w:nsid w:val="160B6906"/>
    <w:multiLevelType w:val="hybridMultilevel"/>
    <w:tmpl w:val="C5249D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6777E0D"/>
    <w:multiLevelType w:val="hybridMultilevel"/>
    <w:tmpl w:val="0B9CDA5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586ACB"/>
    <w:multiLevelType w:val="hybridMultilevel"/>
    <w:tmpl w:val="2EB2AD74"/>
    <w:lvl w:ilvl="0" w:tplc="C804D52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77040B"/>
    <w:multiLevelType w:val="hybridMultilevel"/>
    <w:tmpl w:val="855EF1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B34C0D"/>
    <w:multiLevelType w:val="hybridMultilevel"/>
    <w:tmpl w:val="DF684466"/>
    <w:lvl w:ilvl="0" w:tplc="11845DB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173641"/>
    <w:multiLevelType w:val="hybridMultilevel"/>
    <w:tmpl w:val="E81863B4"/>
    <w:lvl w:ilvl="0" w:tplc="0618FFA4">
      <w:numFmt w:val="bullet"/>
      <w:lvlText w:val="-"/>
      <w:lvlJc w:val="left"/>
      <w:pPr>
        <w:ind w:left="720" w:hanging="360"/>
      </w:pPr>
      <w:rPr>
        <w:rFonts w:ascii="Calibri" w:eastAsiaTheme="minorHAns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B537E6"/>
    <w:multiLevelType w:val="hybridMultilevel"/>
    <w:tmpl w:val="82F454F2"/>
    <w:lvl w:ilvl="0" w:tplc="1640DD2A">
      <w:start w:val="1"/>
      <w:numFmt w:val="decimal"/>
      <w:pStyle w:val="ItemNumber"/>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7" w15:restartNumberingAfterBreak="0">
    <w:nsid w:val="2B603FA8"/>
    <w:multiLevelType w:val="hybridMultilevel"/>
    <w:tmpl w:val="9EFCA4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3A567E"/>
    <w:multiLevelType w:val="hybridMultilevel"/>
    <w:tmpl w:val="C2781A6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F15629A"/>
    <w:multiLevelType w:val="hybridMultilevel"/>
    <w:tmpl w:val="E068AC20"/>
    <w:lvl w:ilvl="0" w:tplc="0C09000F">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2F7712E9"/>
    <w:multiLevelType w:val="hybridMultilevel"/>
    <w:tmpl w:val="2E4A3854"/>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1" w15:restartNumberingAfterBreak="0">
    <w:nsid w:val="327E4D72"/>
    <w:multiLevelType w:val="hybridMultilevel"/>
    <w:tmpl w:val="C6705DD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3" w15:restartNumberingAfterBreak="0">
    <w:nsid w:val="3B9D2755"/>
    <w:multiLevelType w:val="hybridMultilevel"/>
    <w:tmpl w:val="282C965A"/>
    <w:lvl w:ilvl="0" w:tplc="7DB61C76">
      <w:start w:val="1"/>
      <w:numFmt w:val="decimal"/>
      <w:lvlText w:val="%1)"/>
      <w:lvlJc w:val="left"/>
      <w:pPr>
        <w:ind w:left="1080" w:hanging="720"/>
      </w:pPr>
      <w:rPr>
        <w:rFonts w:asciiTheme="majorHAnsi" w:hAnsiTheme="majorHAnsi"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D2619E0"/>
    <w:multiLevelType w:val="hybridMultilevel"/>
    <w:tmpl w:val="C76AA38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8047506"/>
    <w:multiLevelType w:val="hybridMultilevel"/>
    <w:tmpl w:val="6FB25C58"/>
    <w:lvl w:ilvl="0" w:tplc="45D46ADE">
      <w:start w:val="1"/>
      <w:numFmt w:val="bullet"/>
      <w:lvlText w:val="-"/>
      <w:lvlJc w:val="left"/>
      <w:pPr>
        <w:ind w:left="360" w:hanging="360"/>
      </w:pPr>
      <w:rPr>
        <w:rFonts w:ascii="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B4735C2"/>
    <w:multiLevelType w:val="hybridMultilevel"/>
    <w:tmpl w:val="2D52EE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D382E21"/>
    <w:multiLevelType w:val="hybridMultilevel"/>
    <w:tmpl w:val="CDF002B6"/>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E141840"/>
    <w:multiLevelType w:val="hybridMultilevel"/>
    <w:tmpl w:val="FED618E6"/>
    <w:lvl w:ilvl="0" w:tplc="0C090005">
      <w:start w:val="1"/>
      <w:numFmt w:val="bullet"/>
      <w:lvlText w:val=""/>
      <w:lvlJc w:val="left"/>
      <w:pPr>
        <w:ind w:left="717" w:hanging="360"/>
      </w:pPr>
      <w:rPr>
        <w:rFonts w:ascii="Wingdings" w:hAnsi="Wingdings" w:hint="default"/>
      </w:rPr>
    </w:lvl>
    <w:lvl w:ilvl="1" w:tplc="0C090003">
      <w:start w:val="1"/>
      <w:numFmt w:val="bullet"/>
      <w:lvlText w:val="o"/>
      <w:lvlJc w:val="left"/>
      <w:pPr>
        <w:ind w:left="1437" w:hanging="360"/>
      </w:pPr>
      <w:rPr>
        <w:rFonts w:ascii="Courier New" w:hAnsi="Courier New" w:cs="Courier New" w:hint="default"/>
      </w:rPr>
    </w:lvl>
    <w:lvl w:ilvl="2" w:tplc="0C090005">
      <w:start w:val="1"/>
      <w:numFmt w:val="bullet"/>
      <w:lvlText w:val=""/>
      <w:lvlJc w:val="left"/>
      <w:pPr>
        <w:ind w:left="2157" w:hanging="360"/>
      </w:pPr>
      <w:rPr>
        <w:rFonts w:ascii="Wingdings" w:hAnsi="Wingdings" w:hint="default"/>
      </w:rPr>
    </w:lvl>
    <w:lvl w:ilvl="3" w:tplc="0C09000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9" w15:restartNumberingAfterBreak="0">
    <w:nsid w:val="4E99198B"/>
    <w:multiLevelType w:val="hybridMultilevel"/>
    <w:tmpl w:val="9FF03850"/>
    <w:lvl w:ilvl="0" w:tplc="8C3C74E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25084F"/>
    <w:multiLevelType w:val="hybridMultilevel"/>
    <w:tmpl w:val="CC740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066C97"/>
    <w:multiLevelType w:val="hybridMultilevel"/>
    <w:tmpl w:val="0B1A47AC"/>
    <w:lvl w:ilvl="0" w:tplc="D00623FA">
      <w:start w:val="9"/>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55880768"/>
    <w:multiLevelType w:val="hybridMultilevel"/>
    <w:tmpl w:val="9DDED38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FB2FDC"/>
    <w:multiLevelType w:val="hybridMultilevel"/>
    <w:tmpl w:val="7FD8FF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87019A6"/>
    <w:multiLevelType w:val="hybridMultilevel"/>
    <w:tmpl w:val="00E007E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95F631B"/>
    <w:multiLevelType w:val="hybridMultilevel"/>
    <w:tmpl w:val="303A83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98046D6"/>
    <w:multiLevelType w:val="hybridMultilevel"/>
    <w:tmpl w:val="85DA8F1A"/>
    <w:lvl w:ilvl="0" w:tplc="51E895C8">
      <w:start w:val="8"/>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5A9A126E"/>
    <w:multiLevelType w:val="multilevel"/>
    <w:tmpl w:val="A90CA550"/>
    <w:styleLink w:val="Bullets"/>
    <w:lvl w:ilvl="0">
      <w:start w:val="1"/>
      <w:numFmt w:val="bullet"/>
      <w:pStyle w:val="Bulletedlist1"/>
      <w:lvlText w:val="&gt;"/>
      <w:lvlJc w:val="left"/>
      <w:pPr>
        <w:ind w:left="284" w:hanging="284"/>
      </w:pPr>
      <w:rPr>
        <w:rFonts w:ascii="Calibri" w:hAnsi="Calibri" w:hint="default"/>
        <w:color w:val="6679BA" w:themeColor="accent3"/>
      </w:rPr>
    </w:lvl>
    <w:lvl w:ilvl="1">
      <w:start w:val="1"/>
      <w:numFmt w:val="bullet"/>
      <w:pStyle w:val="Bulletedlist2"/>
      <w:lvlText w:val="–"/>
      <w:lvlJc w:val="left"/>
      <w:pPr>
        <w:ind w:left="539" w:hanging="255"/>
      </w:pPr>
      <w:rPr>
        <w:rFonts w:ascii="Arial" w:hAnsi="Arial" w:hint="default"/>
        <w:color w:val="6679BA" w:themeColor="accent3"/>
      </w:rPr>
    </w:lvl>
    <w:lvl w:ilvl="2">
      <w:start w:val="1"/>
      <w:numFmt w:val="bullet"/>
      <w:pStyle w:val="Bulletedlist3"/>
      <w:lvlText w:val="-"/>
      <w:lvlJc w:val="left"/>
      <w:pPr>
        <w:ind w:left="737" w:hanging="198"/>
      </w:pPr>
      <w:rPr>
        <w:rFonts w:hint="default"/>
        <w:color w:val="6679BA" w:themeColor="accent3"/>
      </w:rPr>
    </w:lvl>
    <w:lvl w:ilvl="3">
      <w:start w:val="1"/>
      <w:numFmt w:val="bullet"/>
      <w:pStyle w:val="Boxbulletedlist1"/>
      <w:lvlText w:val="&gt;"/>
      <w:lvlJc w:val="left"/>
      <w:pPr>
        <w:ind w:left="624" w:hanging="284"/>
      </w:pPr>
      <w:rPr>
        <w:rFonts w:ascii="Arial" w:hAnsi="Arial" w:hint="default"/>
        <w:color w:val="6679BA" w:themeColor="accent3"/>
      </w:rPr>
    </w:lvl>
    <w:lvl w:ilvl="4">
      <w:start w:val="1"/>
      <w:numFmt w:val="bullet"/>
      <w:pStyle w:val="Boxbulletedlist2"/>
      <w:lvlText w:val="–"/>
      <w:lvlJc w:val="left"/>
      <w:pPr>
        <w:ind w:left="879" w:hanging="255"/>
      </w:pPr>
      <w:rPr>
        <w:rFonts w:ascii="Arial" w:hAnsi="Arial" w:hint="default"/>
        <w:color w:val="6679BA" w:themeColor="accent3"/>
      </w:rPr>
    </w:lvl>
    <w:lvl w:ilvl="5">
      <w:start w:val="1"/>
      <w:numFmt w:val="bullet"/>
      <w:pStyle w:val="Boxbulletedlist3"/>
      <w:lvlText w:val="-"/>
      <w:lvlJc w:val="left"/>
      <w:pPr>
        <w:ind w:left="1077" w:hanging="198"/>
      </w:pPr>
      <w:rPr>
        <w:rFonts w:asciiTheme="minorHAnsi" w:hAnsiTheme="minorHAnsi" w:hint="default"/>
        <w:color w:val="6679BA" w:themeColor="accent3"/>
      </w:rPr>
    </w:lvl>
    <w:lvl w:ilvl="6">
      <w:start w:val="1"/>
      <w:numFmt w:val="bullet"/>
      <w:pStyle w:val="Tablebulletedlist1"/>
      <w:lvlText w:val="&gt;"/>
      <w:lvlJc w:val="left"/>
      <w:pPr>
        <w:ind w:left="510" w:hanging="283"/>
      </w:pPr>
      <w:rPr>
        <w:rFonts w:ascii="Arial" w:hAnsi="Arial" w:hint="default"/>
        <w:color w:val="6679BA" w:themeColor="accent3"/>
      </w:rPr>
    </w:lvl>
    <w:lvl w:ilvl="7">
      <w:start w:val="1"/>
      <w:numFmt w:val="bullet"/>
      <w:pStyle w:val="Tablebulletedlist2"/>
      <w:lvlText w:val="–"/>
      <w:lvlJc w:val="left"/>
      <w:pPr>
        <w:ind w:left="765" w:hanging="255"/>
      </w:pPr>
      <w:rPr>
        <w:rFonts w:ascii="Arial" w:hAnsi="Arial" w:hint="default"/>
        <w:color w:val="6679BA" w:themeColor="accent3"/>
      </w:rPr>
    </w:lvl>
    <w:lvl w:ilvl="8">
      <w:start w:val="1"/>
      <w:numFmt w:val="bullet"/>
      <w:pStyle w:val="Tablebulletedlist3"/>
      <w:lvlText w:val="-"/>
      <w:lvlJc w:val="left"/>
      <w:pPr>
        <w:ind w:left="964" w:hanging="199"/>
      </w:pPr>
      <w:rPr>
        <w:rFonts w:asciiTheme="minorHAnsi" w:hAnsiTheme="minorHAnsi" w:hint="default"/>
        <w:color w:val="6679BA" w:themeColor="accent3"/>
      </w:rPr>
    </w:lvl>
  </w:abstractNum>
  <w:abstractNum w:abstractNumId="38" w15:restartNumberingAfterBreak="0">
    <w:nsid w:val="5AC577B7"/>
    <w:multiLevelType w:val="hybridMultilevel"/>
    <w:tmpl w:val="FEBAC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D512F3A"/>
    <w:multiLevelType w:val="hybridMultilevel"/>
    <w:tmpl w:val="E698E9BA"/>
    <w:lvl w:ilvl="0" w:tplc="25BE5BBE">
      <w:start w:val="1"/>
      <w:numFmt w:val="decimal"/>
      <w:lvlText w:val="%1."/>
      <w:lvlJc w:val="left"/>
      <w:pPr>
        <w:ind w:left="360" w:hanging="360"/>
      </w:pPr>
      <w:rPr>
        <w:rFonts w:asciiTheme="majorHAnsi" w:hAnsiTheme="majorHAnsi" w:hint="default"/>
        <w:b w:val="0"/>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69B640F4"/>
    <w:multiLevelType w:val="hybridMultilevel"/>
    <w:tmpl w:val="A6D48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712324"/>
    <w:multiLevelType w:val="hybridMultilevel"/>
    <w:tmpl w:val="79FAD9F0"/>
    <w:lvl w:ilvl="0" w:tplc="0C090011">
      <w:start w:val="1"/>
      <w:numFmt w:val="decimal"/>
      <w:lvlText w:val="%1)"/>
      <w:lvlJc w:val="left"/>
      <w:pPr>
        <w:ind w:left="720" w:hanging="360"/>
      </w:pPr>
      <w:rPr>
        <w:rFonts w:hint="default"/>
      </w:rPr>
    </w:lvl>
    <w:lvl w:ilvl="1" w:tplc="D626F8CC">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03733CF"/>
    <w:multiLevelType w:val="hybridMultilevel"/>
    <w:tmpl w:val="CDACF210"/>
    <w:lvl w:ilvl="0" w:tplc="0C090011">
      <w:start w:val="1"/>
      <w:numFmt w:val="decimal"/>
      <w:lvlText w:val="%1)"/>
      <w:lvlJc w:val="left"/>
      <w:pPr>
        <w:ind w:left="720" w:hanging="360"/>
      </w:pPr>
      <w:rPr>
        <w:rFonts w:hint="default"/>
      </w:rPr>
    </w:lvl>
    <w:lvl w:ilvl="1" w:tplc="D626F8CC">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0FD5C48"/>
    <w:multiLevelType w:val="hybridMultilevel"/>
    <w:tmpl w:val="0C3235CE"/>
    <w:lvl w:ilvl="0" w:tplc="9A7C35C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43F694C"/>
    <w:multiLevelType w:val="hybridMultilevel"/>
    <w:tmpl w:val="E35E4BCC"/>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EE32A49"/>
    <w:multiLevelType w:val="hybridMultilevel"/>
    <w:tmpl w:val="2216308E"/>
    <w:lvl w:ilvl="0" w:tplc="07FA52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F6C1789"/>
    <w:multiLevelType w:val="multilevel"/>
    <w:tmpl w:val="0F7E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A65DFC"/>
    <w:multiLevelType w:val="hybridMultilevel"/>
    <w:tmpl w:val="B338ECC2"/>
    <w:lvl w:ilvl="0" w:tplc="C19893E8">
      <w:numFmt w:val="bullet"/>
      <w:lvlText w:val="-"/>
      <w:lvlJc w:val="left"/>
      <w:pPr>
        <w:ind w:left="720" w:hanging="360"/>
      </w:pPr>
      <w:rPr>
        <w:rFonts w:ascii="Calibri" w:eastAsiaTheme="minorHAns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37"/>
  </w:num>
  <w:num w:numId="3">
    <w:abstractNumId w:val="37"/>
  </w:num>
  <w:num w:numId="4">
    <w:abstractNumId w:val="16"/>
  </w:num>
  <w:num w:numId="5">
    <w:abstractNumId w:val="9"/>
  </w:num>
  <w:num w:numId="6">
    <w:abstractNumId w:val="13"/>
  </w:num>
  <w:num w:numId="7">
    <w:abstractNumId w:val="30"/>
  </w:num>
  <w:num w:numId="8">
    <w:abstractNumId w:val="23"/>
  </w:num>
  <w:num w:numId="9">
    <w:abstractNumId w:val="40"/>
  </w:num>
  <w:num w:numId="10">
    <w:abstractNumId w:val="8"/>
  </w:num>
  <w:num w:numId="11">
    <w:abstractNumId w:val="4"/>
  </w:num>
  <w:num w:numId="12">
    <w:abstractNumId w:val="41"/>
  </w:num>
  <w:num w:numId="13">
    <w:abstractNumId w:val="11"/>
  </w:num>
  <w:num w:numId="14">
    <w:abstractNumId w:val="14"/>
  </w:num>
  <w:num w:numId="15">
    <w:abstractNumId w:val="29"/>
  </w:num>
  <w:num w:numId="16">
    <w:abstractNumId w:val="39"/>
  </w:num>
  <w:num w:numId="17">
    <w:abstractNumId w:val="15"/>
  </w:num>
  <w:num w:numId="18">
    <w:abstractNumId w:val="24"/>
  </w:num>
  <w:num w:numId="19">
    <w:abstractNumId w:val="36"/>
  </w:num>
  <w:num w:numId="20">
    <w:abstractNumId w:val="26"/>
  </w:num>
  <w:num w:numId="21">
    <w:abstractNumId w:val="17"/>
  </w:num>
  <w:num w:numId="22">
    <w:abstractNumId w:val="6"/>
  </w:num>
  <w:num w:numId="23">
    <w:abstractNumId w:val="10"/>
  </w:num>
  <w:num w:numId="24">
    <w:abstractNumId w:val="43"/>
  </w:num>
  <w:num w:numId="25">
    <w:abstractNumId w:val="12"/>
  </w:num>
  <w:num w:numId="26">
    <w:abstractNumId w:val="7"/>
  </w:num>
  <w:num w:numId="27">
    <w:abstractNumId w:val="21"/>
  </w:num>
  <w:num w:numId="28">
    <w:abstractNumId w:val="31"/>
  </w:num>
  <w:num w:numId="29">
    <w:abstractNumId w:val="19"/>
  </w:num>
  <w:num w:numId="30">
    <w:abstractNumId w:val="42"/>
  </w:num>
  <w:num w:numId="31">
    <w:abstractNumId w:val="33"/>
  </w:num>
  <w:num w:numId="32">
    <w:abstractNumId w:val="47"/>
  </w:num>
  <w:num w:numId="33">
    <w:abstractNumId w:val="45"/>
  </w:num>
  <w:num w:numId="34">
    <w:abstractNumId w:val="34"/>
  </w:num>
  <w:num w:numId="35">
    <w:abstractNumId w:val="18"/>
  </w:num>
  <w:num w:numId="36">
    <w:abstractNumId w:val="32"/>
  </w:num>
  <w:num w:numId="37">
    <w:abstractNumId w:val="25"/>
  </w:num>
  <w:num w:numId="38">
    <w:abstractNumId w:val="1"/>
  </w:num>
  <w:num w:numId="39">
    <w:abstractNumId w:val="38"/>
  </w:num>
  <w:num w:numId="40">
    <w:abstractNumId w:val="35"/>
  </w:num>
  <w:num w:numId="41">
    <w:abstractNumId w:val="46"/>
  </w:num>
  <w:num w:numId="42">
    <w:abstractNumId w:val="28"/>
  </w:num>
  <w:num w:numId="43">
    <w:abstractNumId w:val="44"/>
  </w:num>
  <w:num w:numId="44">
    <w:abstractNumId w:val="27"/>
  </w:num>
  <w:num w:numId="45">
    <w:abstractNumId w:val="5"/>
  </w:num>
  <w:num w:numId="46">
    <w:abstractNumId w:val="0"/>
  </w:num>
  <w:num w:numId="47">
    <w:abstractNumId w:val="2"/>
  </w:num>
  <w:num w:numId="48">
    <w:abstractNumId w:val="3"/>
  </w:num>
  <w:num w:numId="49">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C9F"/>
    <w:rsid w:val="000007DC"/>
    <w:rsid w:val="00000943"/>
    <w:rsid w:val="00000CAE"/>
    <w:rsid w:val="000018BD"/>
    <w:rsid w:val="0000231C"/>
    <w:rsid w:val="00002ECB"/>
    <w:rsid w:val="0000352B"/>
    <w:rsid w:val="00003793"/>
    <w:rsid w:val="00004B86"/>
    <w:rsid w:val="00004CE6"/>
    <w:rsid w:val="00004EC0"/>
    <w:rsid w:val="000076C9"/>
    <w:rsid w:val="00007934"/>
    <w:rsid w:val="000102CD"/>
    <w:rsid w:val="00012E58"/>
    <w:rsid w:val="00012F4E"/>
    <w:rsid w:val="000132B5"/>
    <w:rsid w:val="00013ED9"/>
    <w:rsid w:val="00014C37"/>
    <w:rsid w:val="00014CB0"/>
    <w:rsid w:val="00015AE4"/>
    <w:rsid w:val="0002015C"/>
    <w:rsid w:val="00020EAD"/>
    <w:rsid w:val="00021064"/>
    <w:rsid w:val="000216C7"/>
    <w:rsid w:val="00025F62"/>
    <w:rsid w:val="00030485"/>
    <w:rsid w:val="000308CA"/>
    <w:rsid w:val="000309AF"/>
    <w:rsid w:val="00030C85"/>
    <w:rsid w:val="00031D41"/>
    <w:rsid w:val="000321AD"/>
    <w:rsid w:val="0003362A"/>
    <w:rsid w:val="000341F6"/>
    <w:rsid w:val="00034395"/>
    <w:rsid w:val="00035941"/>
    <w:rsid w:val="00035F05"/>
    <w:rsid w:val="00036D99"/>
    <w:rsid w:val="00037D78"/>
    <w:rsid w:val="00040554"/>
    <w:rsid w:val="000407D1"/>
    <w:rsid w:val="00040D50"/>
    <w:rsid w:val="0004265A"/>
    <w:rsid w:val="0004319B"/>
    <w:rsid w:val="00043758"/>
    <w:rsid w:val="00044B28"/>
    <w:rsid w:val="00045A8B"/>
    <w:rsid w:val="00045F4D"/>
    <w:rsid w:val="000466A1"/>
    <w:rsid w:val="000506CA"/>
    <w:rsid w:val="00050B69"/>
    <w:rsid w:val="00050D53"/>
    <w:rsid w:val="000511E9"/>
    <w:rsid w:val="00051876"/>
    <w:rsid w:val="00051A7B"/>
    <w:rsid w:val="000526A8"/>
    <w:rsid w:val="00053A68"/>
    <w:rsid w:val="0005429C"/>
    <w:rsid w:val="000545E6"/>
    <w:rsid w:val="000574F6"/>
    <w:rsid w:val="00061C33"/>
    <w:rsid w:val="0006394E"/>
    <w:rsid w:val="00064CC7"/>
    <w:rsid w:val="00065264"/>
    <w:rsid w:val="00065827"/>
    <w:rsid w:val="00066744"/>
    <w:rsid w:val="00066A36"/>
    <w:rsid w:val="00066B4A"/>
    <w:rsid w:val="00067064"/>
    <w:rsid w:val="00067DF0"/>
    <w:rsid w:val="00067FA9"/>
    <w:rsid w:val="00070425"/>
    <w:rsid w:val="00071322"/>
    <w:rsid w:val="000724C1"/>
    <w:rsid w:val="000730D5"/>
    <w:rsid w:val="00073459"/>
    <w:rsid w:val="0007364C"/>
    <w:rsid w:val="00074007"/>
    <w:rsid w:val="00075138"/>
    <w:rsid w:val="000755E9"/>
    <w:rsid w:val="0007596E"/>
    <w:rsid w:val="00076778"/>
    <w:rsid w:val="000767BE"/>
    <w:rsid w:val="00081A87"/>
    <w:rsid w:val="000821BE"/>
    <w:rsid w:val="000821E4"/>
    <w:rsid w:val="00084CEB"/>
    <w:rsid w:val="000857D8"/>
    <w:rsid w:val="000871F6"/>
    <w:rsid w:val="0008779A"/>
    <w:rsid w:val="00087D6E"/>
    <w:rsid w:val="00094393"/>
    <w:rsid w:val="000962A1"/>
    <w:rsid w:val="00096A40"/>
    <w:rsid w:val="000A076C"/>
    <w:rsid w:val="000A1266"/>
    <w:rsid w:val="000A23A6"/>
    <w:rsid w:val="000A275E"/>
    <w:rsid w:val="000A2B50"/>
    <w:rsid w:val="000A2D2B"/>
    <w:rsid w:val="000A33F0"/>
    <w:rsid w:val="000A371D"/>
    <w:rsid w:val="000A3D55"/>
    <w:rsid w:val="000A3E5C"/>
    <w:rsid w:val="000A40D2"/>
    <w:rsid w:val="000A4178"/>
    <w:rsid w:val="000A4A66"/>
    <w:rsid w:val="000A6B4E"/>
    <w:rsid w:val="000A6EE5"/>
    <w:rsid w:val="000A70B3"/>
    <w:rsid w:val="000A75F5"/>
    <w:rsid w:val="000A7E9F"/>
    <w:rsid w:val="000B04ED"/>
    <w:rsid w:val="000B0839"/>
    <w:rsid w:val="000B0B82"/>
    <w:rsid w:val="000B13E4"/>
    <w:rsid w:val="000B3D25"/>
    <w:rsid w:val="000B4342"/>
    <w:rsid w:val="000B480E"/>
    <w:rsid w:val="000B4FD6"/>
    <w:rsid w:val="000B5293"/>
    <w:rsid w:val="000B5F37"/>
    <w:rsid w:val="000B6C00"/>
    <w:rsid w:val="000B7092"/>
    <w:rsid w:val="000C0085"/>
    <w:rsid w:val="000C14A6"/>
    <w:rsid w:val="000C2C4D"/>
    <w:rsid w:val="000C2FAA"/>
    <w:rsid w:val="000C4949"/>
    <w:rsid w:val="000C53CB"/>
    <w:rsid w:val="000C6F98"/>
    <w:rsid w:val="000C7AA2"/>
    <w:rsid w:val="000D0D3E"/>
    <w:rsid w:val="000D2488"/>
    <w:rsid w:val="000D2C64"/>
    <w:rsid w:val="000D2F03"/>
    <w:rsid w:val="000D306D"/>
    <w:rsid w:val="000D383F"/>
    <w:rsid w:val="000D3CE4"/>
    <w:rsid w:val="000D40A1"/>
    <w:rsid w:val="000D6681"/>
    <w:rsid w:val="000D6C35"/>
    <w:rsid w:val="000E0639"/>
    <w:rsid w:val="000E0A19"/>
    <w:rsid w:val="000E0A25"/>
    <w:rsid w:val="000E0D2F"/>
    <w:rsid w:val="000E0DC9"/>
    <w:rsid w:val="000E26AA"/>
    <w:rsid w:val="000E3A2C"/>
    <w:rsid w:val="000E58FD"/>
    <w:rsid w:val="000E65BF"/>
    <w:rsid w:val="000F0F96"/>
    <w:rsid w:val="000F1007"/>
    <w:rsid w:val="000F1D51"/>
    <w:rsid w:val="000F28B8"/>
    <w:rsid w:val="000F2BEF"/>
    <w:rsid w:val="000F3766"/>
    <w:rsid w:val="000F417D"/>
    <w:rsid w:val="000F4EAD"/>
    <w:rsid w:val="000F50A9"/>
    <w:rsid w:val="000F5DC7"/>
    <w:rsid w:val="000F6100"/>
    <w:rsid w:val="000F6683"/>
    <w:rsid w:val="000F69EE"/>
    <w:rsid w:val="000F6AF0"/>
    <w:rsid w:val="0010005E"/>
    <w:rsid w:val="00100DDC"/>
    <w:rsid w:val="00103378"/>
    <w:rsid w:val="00104055"/>
    <w:rsid w:val="00105834"/>
    <w:rsid w:val="00106782"/>
    <w:rsid w:val="00106F50"/>
    <w:rsid w:val="00110561"/>
    <w:rsid w:val="00110CAF"/>
    <w:rsid w:val="00111C0A"/>
    <w:rsid w:val="00111F0C"/>
    <w:rsid w:val="00112CE9"/>
    <w:rsid w:val="001147F1"/>
    <w:rsid w:val="00116B37"/>
    <w:rsid w:val="001177FA"/>
    <w:rsid w:val="0012119F"/>
    <w:rsid w:val="001212E0"/>
    <w:rsid w:val="00124836"/>
    <w:rsid w:val="0012536F"/>
    <w:rsid w:val="00125CFB"/>
    <w:rsid w:val="001260EC"/>
    <w:rsid w:val="0012662E"/>
    <w:rsid w:val="001268EA"/>
    <w:rsid w:val="00126D56"/>
    <w:rsid w:val="00127A8A"/>
    <w:rsid w:val="00132C9F"/>
    <w:rsid w:val="00133A5D"/>
    <w:rsid w:val="00135A95"/>
    <w:rsid w:val="001370C5"/>
    <w:rsid w:val="00140546"/>
    <w:rsid w:val="00142430"/>
    <w:rsid w:val="00142854"/>
    <w:rsid w:val="001443D5"/>
    <w:rsid w:val="001451E4"/>
    <w:rsid w:val="00145E2D"/>
    <w:rsid w:val="0014628E"/>
    <w:rsid w:val="0014705D"/>
    <w:rsid w:val="00147295"/>
    <w:rsid w:val="0014747B"/>
    <w:rsid w:val="00147882"/>
    <w:rsid w:val="00147DE0"/>
    <w:rsid w:val="00147F9A"/>
    <w:rsid w:val="001516D3"/>
    <w:rsid w:val="0015209D"/>
    <w:rsid w:val="00152DE3"/>
    <w:rsid w:val="00152FCC"/>
    <w:rsid w:val="00153833"/>
    <w:rsid w:val="00154AF3"/>
    <w:rsid w:val="0015505E"/>
    <w:rsid w:val="0015528C"/>
    <w:rsid w:val="0015716A"/>
    <w:rsid w:val="00161400"/>
    <w:rsid w:val="00161460"/>
    <w:rsid w:val="00162689"/>
    <w:rsid w:val="00162D4D"/>
    <w:rsid w:val="0016368C"/>
    <w:rsid w:val="00163721"/>
    <w:rsid w:val="00164828"/>
    <w:rsid w:val="00164CD8"/>
    <w:rsid w:val="0016684C"/>
    <w:rsid w:val="00166A18"/>
    <w:rsid w:val="00166D7A"/>
    <w:rsid w:val="00166F18"/>
    <w:rsid w:val="00167718"/>
    <w:rsid w:val="00167E45"/>
    <w:rsid w:val="00167E99"/>
    <w:rsid w:val="00170EB9"/>
    <w:rsid w:val="0017164A"/>
    <w:rsid w:val="00173BA2"/>
    <w:rsid w:val="00173ED1"/>
    <w:rsid w:val="00174598"/>
    <w:rsid w:val="00175176"/>
    <w:rsid w:val="00175961"/>
    <w:rsid w:val="001763D4"/>
    <w:rsid w:val="0018012C"/>
    <w:rsid w:val="001805E4"/>
    <w:rsid w:val="00180C43"/>
    <w:rsid w:val="001855DC"/>
    <w:rsid w:val="00187FB5"/>
    <w:rsid w:val="00190EA5"/>
    <w:rsid w:val="00191810"/>
    <w:rsid w:val="001927D6"/>
    <w:rsid w:val="00192ABD"/>
    <w:rsid w:val="00192C18"/>
    <w:rsid w:val="001944D4"/>
    <w:rsid w:val="00194A0E"/>
    <w:rsid w:val="001955CF"/>
    <w:rsid w:val="00195792"/>
    <w:rsid w:val="001978A6"/>
    <w:rsid w:val="001A014B"/>
    <w:rsid w:val="001A0988"/>
    <w:rsid w:val="001A1E15"/>
    <w:rsid w:val="001A2C0C"/>
    <w:rsid w:val="001A42C5"/>
    <w:rsid w:val="001A5300"/>
    <w:rsid w:val="001A57E1"/>
    <w:rsid w:val="001A6204"/>
    <w:rsid w:val="001A6EC8"/>
    <w:rsid w:val="001A75BA"/>
    <w:rsid w:val="001B13FF"/>
    <w:rsid w:val="001B153D"/>
    <w:rsid w:val="001B4F72"/>
    <w:rsid w:val="001B511C"/>
    <w:rsid w:val="001B53B8"/>
    <w:rsid w:val="001B57A9"/>
    <w:rsid w:val="001B7933"/>
    <w:rsid w:val="001B7CC0"/>
    <w:rsid w:val="001C1950"/>
    <w:rsid w:val="001C2C78"/>
    <w:rsid w:val="001C30D5"/>
    <w:rsid w:val="001C32CC"/>
    <w:rsid w:val="001C340B"/>
    <w:rsid w:val="001C473F"/>
    <w:rsid w:val="001C53CE"/>
    <w:rsid w:val="001C68D3"/>
    <w:rsid w:val="001C6CAE"/>
    <w:rsid w:val="001C7071"/>
    <w:rsid w:val="001D0EAD"/>
    <w:rsid w:val="001D0FE1"/>
    <w:rsid w:val="001D24FA"/>
    <w:rsid w:val="001D2976"/>
    <w:rsid w:val="001D3CF9"/>
    <w:rsid w:val="001D41D1"/>
    <w:rsid w:val="001D7359"/>
    <w:rsid w:val="001D7742"/>
    <w:rsid w:val="001D7779"/>
    <w:rsid w:val="001D7A61"/>
    <w:rsid w:val="001E0867"/>
    <w:rsid w:val="001E0D35"/>
    <w:rsid w:val="001E1313"/>
    <w:rsid w:val="001E178A"/>
    <w:rsid w:val="001E26F6"/>
    <w:rsid w:val="001E2796"/>
    <w:rsid w:val="001E2DDF"/>
    <w:rsid w:val="001E2DF2"/>
    <w:rsid w:val="001E41F8"/>
    <w:rsid w:val="001E4D9A"/>
    <w:rsid w:val="001E5183"/>
    <w:rsid w:val="001E52C1"/>
    <w:rsid w:val="001E56DA"/>
    <w:rsid w:val="001E66CE"/>
    <w:rsid w:val="001E7878"/>
    <w:rsid w:val="001F0620"/>
    <w:rsid w:val="001F0B0C"/>
    <w:rsid w:val="001F1C44"/>
    <w:rsid w:val="001F1FA9"/>
    <w:rsid w:val="001F2107"/>
    <w:rsid w:val="001F2604"/>
    <w:rsid w:val="001F273C"/>
    <w:rsid w:val="001F2AD1"/>
    <w:rsid w:val="001F2BB7"/>
    <w:rsid w:val="001F41EB"/>
    <w:rsid w:val="001F525E"/>
    <w:rsid w:val="001F69EA"/>
    <w:rsid w:val="001F7A54"/>
    <w:rsid w:val="00201C35"/>
    <w:rsid w:val="00201E3D"/>
    <w:rsid w:val="00201F82"/>
    <w:rsid w:val="00203158"/>
    <w:rsid w:val="00203BE2"/>
    <w:rsid w:val="0020555D"/>
    <w:rsid w:val="00206716"/>
    <w:rsid w:val="00207C54"/>
    <w:rsid w:val="00207E2A"/>
    <w:rsid w:val="00210361"/>
    <w:rsid w:val="00210EBA"/>
    <w:rsid w:val="00210F11"/>
    <w:rsid w:val="0021133E"/>
    <w:rsid w:val="00211A48"/>
    <w:rsid w:val="0021251B"/>
    <w:rsid w:val="00212964"/>
    <w:rsid w:val="00213259"/>
    <w:rsid w:val="002134CC"/>
    <w:rsid w:val="002176C1"/>
    <w:rsid w:val="00217BC5"/>
    <w:rsid w:val="00220F67"/>
    <w:rsid w:val="00221A06"/>
    <w:rsid w:val="00221CAD"/>
    <w:rsid w:val="00221DC2"/>
    <w:rsid w:val="0022276F"/>
    <w:rsid w:val="002234E9"/>
    <w:rsid w:val="00223AF8"/>
    <w:rsid w:val="00223DE5"/>
    <w:rsid w:val="002247BA"/>
    <w:rsid w:val="00224FD1"/>
    <w:rsid w:val="00225E6D"/>
    <w:rsid w:val="00226221"/>
    <w:rsid w:val="00226703"/>
    <w:rsid w:val="00226853"/>
    <w:rsid w:val="002307EC"/>
    <w:rsid w:val="00231AD1"/>
    <w:rsid w:val="00232D5B"/>
    <w:rsid w:val="00232DA2"/>
    <w:rsid w:val="00232E9C"/>
    <w:rsid w:val="00233958"/>
    <w:rsid w:val="0023438D"/>
    <w:rsid w:val="0023464F"/>
    <w:rsid w:val="002356C6"/>
    <w:rsid w:val="00237734"/>
    <w:rsid w:val="002377A3"/>
    <w:rsid w:val="0024117F"/>
    <w:rsid w:val="00242138"/>
    <w:rsid w:val="002430C5"/>
    <w:rsid w:val="00243EA4"/>
    <w:rsid w:val="002441E2"/>
    <w:rsid w:val="00244DA8"/>
    <w:rsid w:val="00245021"/>
    <w:rsid w:val="002460D2"/>
    <w:rsid w:val="0025006A"/>
    <w:rsid w:val="002501E1"/>
    <w:rsid w:val="00250877"/>
    <w:rsid w:val="00250D2C"/>
    <w:rsid w:val="00253CF4"/>
    <w:rsid w:val="00254971"/>
    <w:rsid w:val="00254A90"/>
    <w:rsid w:val="002561B8"/>
    <w:rsid w:val="00256CD8"/>
    <w:rsid w:val="002573D5"/>
    <w:rsid w:val="0026021C"/>
    <w:rsid w:val="002610D1"/>
    <w:rsid w:val="00262FD8"/>
    <w:rsid w:val="00263067"/>
    <w:rsid w:val="002634BC"/>
    <w:rsid w:val="00264863"/>
    <w:rsid w:val="00265776"/>
    <w:rsid w:val="00270743"/>
    <w:rsid w:val="0027079F"/>
    <w:rsid w:val="00270C72"/>
    <w:rsid w:val="00270CF0"/>
    <w:rsid w:val="0027277E"/>
    <w:rsid w:val="00272B0F"/>
    <w:rsid w:val="00272C6A"/>
    <w:rsid w:val="00272F16"/>
    <w:rsid w:val="0027375C"/>
    <w:rsid w:val="0027405D"/>
    <w:rsid w:val="00275EE9"/>
    <w:rsid w:val="0027619E"/>
    <w:rsid w:val="0027650C"/>
    <w:rsid w:val="002765E2"/>
    <w:rsid w:val="002768DB"/>
    <w:rsid w:val="00276948"/>
    <w:rsid w:val="0027695D"/>
    <w:rsid w:val="002770C7"/>
    <w:rsid w:val="002775F5"/>
    <w:rsid w:val="002779E3"/>
    <w:rsid w:val="002800A9"/>
    <w:rsid w:val="00280DA5"/>
    <w:rsid w:val="00281386"/>
    <w:rsid w:val="002814EA"/>
    <w:rsid w:val="0028187A"/>
    <w:rsid w:val="002821AC"/>
    <w:rsid w:val="00282930"/>
    <w:rsid w:val="00283344"/>
    <w:rsid w:val="00284868"/>
    <w:rsid w:val="00284EAF"/>
    <w:rsid w:val="002853B6"/>
    <w:rsid w:val="00285AC4"/>
    <w:rsid w:val="002862F6"/>
    <w:rsid w:val="00286F1D"/>
    <w:rsid w:val="002871B9"/>
    <w:rsid w:val="00287439"/>
    <w:rsid w:val="00290248"/>
    <w:rsid w:val="00291FD7"/>
    <w:rsid w:val="0029207C"/>
    <w:rsid w:val="002925DD"/>
    <w:rsid w:val="0029356F"/>
    <w:rsid w:val="00293D27"/>
    <w:rsid w:val="00295F01"/>
    <w:rsid w:val="002962EA"/>
    <w:rsid w:val="002963F0"/>
    <w:rsid w:val="00297411"/>
    <w:rsid w:val="002978F7"/>
    <w:rsid w:val="002A0460"/>
    <w:rsid w:val="002A099F"/>
    <w:rsid w:val="002A0CD3"/>
    <w:rsid w:val="002A2376"/>
    <w:rsid w:val="002A292E"/>
    <w:rsid w:val="002A41E1"/>
    <w:rsid w:val="002A4919"/>
    <w:rsid w:val="002A6998"/>
    <w:rsid w:val="002A6B38"/>
    <w:rsid w:val="002A72F0"/>
    <w:rsid w:val="002B1171"/>
    <w:rsid w:val="002B2B6F"/>
    <w:rsid w:val="002B2C14"/>
    <w:rsid w:val="002B311F"/>
    <w:rsid w:val="002B4AF9"/>
    <w:rsid w:val="002B6574"/>
    <w:rsid w:val="002B7287"/>
    <w:rsid w:val="002C059E"/>
    <w:rsid w:val="002C0E06"/>
    <w:rsid w:val="002C0FB3"/>
    <w:rsid w:val="002C13F5"/>
    <w:rsid w:val="002C1D22"/>
    <w:rsid w:val="002C21D6"/>
    <w:rsid w:val="002C2974"/>
    <w:rsid w:val="002C2D2B"/>
    <w:rsid w:val="002C7D33"/>
    <w:rsid w:val="002C7EF9"/>
    <w:rsid w:val="002D0304"/>
    <w:rsid w:val="002D0877"/>
    <w:rsid w:val="002D15AE"/>
    <w:rsid w:val="002D2B4B"/>
    <w:rsid w:val="002D2EF2"/>
    <w:rsid w:val="002D4764"/>
    <w:rsid w:val="002D5A89"/>
    <w:rsid w:val="002D5AF8"/>
    <w:rsid w:val="002D6A3D"/>
    <w:rsid w:val="002D6C87"/>
    <w:rsid w:val="002D712E"/>
    <w:rsid w:val="002D7B7C"/>
    <w:rsid w:val="002D7C61"/>
    <w:rsid w:val="002E154D"/>
    <w:rsid w:val="002E1AE8"/>
    <w:rsid w:val="002E1BE3"/>
    <w:rsid w:val="002E2E2C"/>
    <w:rsid w:val="002E40F2"/>
    <w:rsid w:val="002E6450"/>
    <w:rsid w:val="002E6635"/>
    <w:rsid w:val="002E7F3B"/>
    <w:rsid w:val="002F032A"/>
    <w:rsid w:val="002F0457"/>
    <w:rsid w:val="002F04FF"/>
    <w:rsid w:val="002F12A1"/>
    <w:rsid w:val="002F22CE"/>
    <w:rsid w:val="002F39CF"/>
    <w:rsid w:val="002F3C77"/>
    <w:rsid w:val="002F3DAF"/>
    <w:rsid w:val="002F4265"/>
    <w:rsid w:val="002F49F3"/>
    <w:rsid w:val="002F55B0"/>
    <w:rsid w:val="002F5688"/>
    <w:rsid w:val="002F5930"/>
    <w:rsid w:val="002F5CF3"/>
    <w:rsid w:val="002F6670"/>
    <w:rsid w:val="002F7B77"/>
    <w:rsid w:val="002F7D3C"/>
    <w:rsid w:val="0030067E"/>
    <w:rsid w:val="00300CCA"/>
    <w:rsid w:val="00301181"/>
    <w:rsid w:val="00301D9A"/>
    <w:rsid w:val="00302C75"/>
    <w:rsid w:val="00302E66"/>
    <w:rsid w:val="00303625"/>
    <w:rsid w:val="003044E3"/>
    <w:rsid w:val="003045D5"/>
    <w:rsid w:val="00304EA4"/>
    <w:rsid w:val="0030547F"/>
    <w:rsid w:val="0030665E"/>
    <w:rsid w:val="00310CB3"/>
    <w:rsid w:val="003113F0"/>
    <w:rsid w:val="00311B0D"/>
    <w:rsid w:val="00312C77"/>
    <w:rsid w:val="003131AB"/>
    <w:rsid w:val="0031396D"/>
    <w:rsid w:val="00313A8D"/>
    <w:rsid w:val="00313BFA"/>
    <w:rsid w:val="00314AB0"/>
    <w:rsid w:val="00315975"/>
    <w:rsid w:val="00315FA6"/>
    <w:rsid w:val="003164D1"/>
    <w:rsid w:val="00317603"/>
    <w:rsid w:val="0031799B"/>
    <w:rsid w:val="0032068A"/>
    <w:rsid w:val="00320CFA"/>
    <w:rsid w:val="00320E8E"/>
    <w:rsid w:val="003217BE"/>
    <w:rsid w:val="0032203E"/>
    <w:rsid w:val="00322AF8"/>
    <w:rsid w:val="00322BB7"/>
    <w:rsid w:val="00322DEE"/>
    <w:rsid w:val="00323064"/>
    <w:rsid w:val="00323479"/>
    <w:rsid w:val="0032366F"/>
    <w:rsid w:val="0032391F"/>
    <w:rsid w:val="00323B09"/>
    <w:rsid w:val="003249F4"/>
    <w:rsid w:val="0032561B"/>
    <w:rsid w:val="003269D9"/>
    <w:rsid w:val="00326EDB"/>
    <w:rsid w:val="00327AC7"/>
    <w:rsid w:val="00327D8B"/>
    <w:rsid w:val="0033073C"/>
    <w:rsid w:val="00332898"/>
    <w:rsid w:val="00332DB2"/>
    <w:rsid w:val="00332E8D"/>
    <w:rsid w:val="00334798"/>
    <w:rsid w:val="00334830"/>
    <w:rsid w:val="00334B23"/>
    <w:rsid w:val="00335C17"/>
    <w:rsid w:val="00335CF9"/>
    <w:rsid w:val="00336FB5"/>
    <w:rsid w:val="0033725B"/>
    <w:rsid w:val="003375BD"/>
    <w:rsid w:val="003375DA"/>
    <w:rsid w:val="00340518"/>
    <w:rsid w:val="00341710"/>
    <w:rsid w:val="00344BF3"/>
    <w:rsid w:val="00344BFD"/>
    <w:rsid w:val="00344DC3"/>
    <w:rsid w:val="00345912"/>
    <w:rsid w:val="00345967"/>
    <w:rsid w:val="00345BB8"/>
    <w:rsid w:val="0034690A"/>
    <w:rsid w:val="00346DEE"/>
    <w:rsid w:val="00347EAB"/>
    <w:rsid w:val="0035019D"/>
    <w:rsid w:val="00352B42"/>
    <w:rsid w:val="00352EB8"/>
    <w:rsid w:val="00353044"/>
    <w:rsid w:val="00355035"/>
    <w:rsid w:val="003557DB"/>
    <w:rsid w:val="00356759"/>
    <w:rsid w:val="003567B7"/>
    <w:rsid w:val="00360066"/>
    <w:rsid w:val="0036096E"/>
    <w:rsid w:val="003609A7"/>
    <w:rsid w:val="00361D17"/>
    <w:rsid w:val="00362570"/>
    <w:rsid w:val="00362CAA"/>
    <w:rsid w:val="00363E2F"/>
    <w:rsid w:val="00364648"/>
    <w:rsid w:val="00365487"/>
    <w:rsid w:val="00366598"/>
    <w:rsid w:val="00367143"/>
    <w:rsid w:val="0036738D"/>
    <w:rsid w:val="003710D5"/>
    <w:rsid w:val="00371144"/>
    <w:rsid w:val="00372CE5"/>
    <w:rsid w:val="00373B61"/>
    <w:rsid w:val="00373BDE"/>
    <w:rsid w:val="003742C9"/>
    <w:rsid w:val="00374B6E"/>
    <w:rsid w:val="003764C2"/>
    <w:rsid w:val="00377D31"/>
    <w:rsid w:val="00377EBF"/>
    <w:rsid w:val="00380708"/>
    <w:rsid w:val="00380CC0"/>
    <w:rsid w:val="00381857"/>
    <w:rsid w:val="0038358B"/>
    <w:rsid w:val="003842CB"/>
    <w:rsid w:val="0038463C"/>
    <w:rsid w:val="00384880"/>
    <w:rsid w:val="00386185"/>
    <w:rsid w:val="0038761E"/>
    <w:rsid w:val="003905D2"/>
    <w:rsid w:val="0039073E"/>
    <w:rsid w:val="00390F98"/>
    <w:rsid w:val="003920C3"/>
    <w:rsid w:val="003924AE"/>
    <w:rsid w:val="003925BF"/>
    <w:rsid w:val="00392C8A"/>
    <w:rsid w:val="0039303B"/>
    <w:rsid w:val="003934EF"/>
    <w:rsid w:val="00393541"/>
    <w:rsid w:val="00393DD9"/>
    <w:rsid w:val="00393ED7"/>
    <w:rsid w:val="00393FD6"/>
    <w:rsid w:val="0039490E"/>
    <w:rsid w:val="00394F95"/>
    <w:rsid w:val="003973F5"/>
    <w:rsid w:val="003A07A3"/>
    <w:rsid w:val="003A11D6"/>
    <w:rsid w:val="003A1238"/>
    <w:rsid w:val="003A16EC"/>
    <w:rsid w:val="003A1B1D"/>
    <w:rsid w:val="003A301C"/>
    <w:rsid w:val="003A4EDD"/>
    <w:rsid w:val="003A6FDB"/>
    <w:rsid w:val="003A78F8"/>
    <w:rsid w:val="003A7A6E"/>
    <w:rsid w:val="003A7D9F"/>
    <w:rsid w:val="003B019A"/>
    <w:rsid w:val="003B02DD"/>
    <w:rsid w:val="003B0EEE"/>
    <w:rsid w:val="003B12D9"/>
    <w:rsid w:val="003B1D32"/>
    <w:rsid w:val="003B1F62"/>
    <w:rsid w:val="003B3802"/>
    <w:rsid w:val="003B3D26"/>
    <w:rsid w:val="003B4569"/>
    <w:rsid w:val="003B4859"/>
    <w:rsid w:val="003B4A27"/>
    <w:rsid w:val="003B504C"/>
    <w:rsid w:val="003B511E"/>
    <w:rsid w:val="003B53B7"/>
    <w:rsid w:val="003B555F"/>
    <w:rsid w:val="003C05BD"/>
    <w:rsid w:val="003C063B"/>
    <w:rsid w:val="003C28CE"/>
    <w:rsid w:val="003C3DAF"/>
    <w:rsid w:val="003C439C"/>
    <w:rsid w:val="003C6592"/>
    <w:rsid w:val="003C669B"/>
    <w:rsid w:val="003C7160"/>
    <w:rsid w:val="003C7241"/>
    <w:rsid w:val="003D2F07"/>
    <w:rsid w:val="003D36CC"/>
    <w:rsid w:val="003D3B1D"/>
    <w:rsid w:val="003D40C9"/>
    <w:rsid w:val="003D55B1"/>
    <w:rsid w:val="003D5DBE"/>
    <w:rsid w:val="003D601A"/>
    <w:rsid w:val="003D6B67"/>
    <w:rsid w:val="003E0019"/>
    <w:rsid w:val="003E0081"/>
    <w:rsid w:val="003E0DD1"/>
    <w:rsid w:val="003E0EC6"/>
    <w:rsid w:val="003E2B06"/>
    <w:rsid w:val="003E2F60"/>
    <w:rsid w:val="003E3601"/>
    <w:rsid w:val="003E44B6"/>
    <w:rsid w:val="003E459A"/>
    <w:rsid w:val="003E48F6"/>
    <w:rsid w:val="003E525C"/>
    <w:rsid w:val="003E5A83"/>
    <w:rsid w:val="003E6188"/>
    <w:rsid w:val="003E66E2"/>
    <w:rsid w:val="003E70BC"/>
    <w:rsid w:val="003E734D"/>
    <w:rsid w:val="003E782B"/>
    <w:rsid w:val="003E79F5"/>
    <w:rsid w:val="003E7BD9"/>
    <w:rsid w:val="003F0D17"/>
    <w:rsid w:val="003F26B0"/>
    <w:rsid w:val="003F2D5D"/>
    <w:rsid w:val="003F3C4F"/>
    <w:rsid w:val="003F4087"/>
    <w:rsid w:val="003F47FB"/>
    <w:rsid w:val="003F4F80"/>
    <w:rsid w:val="003F58C2"/>
    <w:rsid w:val="003F5A63"/>
    <w:rsid w:val="003F6621"/>
    <w:rsid w:val="003F7C04"/>
    <w:rsid w:val="004000F2"/>
    <w:rsid w:val="00400736"/>
    <w:rsid w:val="00401F54"/>
    <w:rsid w:val="004027C7"/>
    <w:rsid w:val="004041E2"/>
    <w:rsid w:val="004046E6"/>
    <w:rsid w:val="00404841"/>
    <w:rsid w:val="00404C10"/>
    <w:rsid w:val="004053F7"/>
    <w:rsid w:val="00405D52"/>
    <w:rsid w:val="00406000"/>
    <w:rsid w:val="004062B8"/>
    <w:rsid w:val="00406F3E"/>
    <w:rsid w:val="00407313"/>
    <w:rsid w:val="00407796"/>
    <w:rsid w:val="00412059"/>
    <w:rsid w:val="00412171"/>
    <w:rsid w:val="004125CB"/>
    <w:rsid w:val="00412DD9"/>
    <w:rsid w:val="00413AFB"/>
    <w:rsid w:val="0041430C"/>
    <w:rsid w:val="00414338"/>
    <w:rsid w:val="004148E5"/>
    <w:rsid w:val="00414C32"/>
    <w:rsid w:val="004155C6"/>
    <w:rsid w:val="004155E9"/>
    <w:rsid w:val="004176B9"/>
    <w:rsid w:val="004223B1"/>
    <w:rsid w:val="004224F1"/>
    <w:rsid w:val="00422774"/>
    <w:rsid w:val="00422A74"/>
    <w:rsid w:val="00424787"/>
    <w:rsid w:val="00424904"/>
    <w:rsid w:val="0042595C"/>
    <w:rsid w:val="00425F10"/>
    <w:rsid w:val="00427B4E"/>
    <w:rsid w:val="004301B4"/>
    <w:rsid w:val="00431BDD"/>
    <w:rsid w:val="00431F3E"/>
    <w:rsid w:val="00432488"/>
    <w:rsid w:val="00432D53"/>
    <w:rsid w:val="00434259"/>
    <w:rsid w:val="00435778"/>
    <w:rsid w:val="00436308"/>
    <w:rsid w:val="00436769"/>
    <w:rsid w:val="004378C8"/>
    <w:rsid w:val="004379C3"/>
    <w:rsid w:val="00441602"/>
    <w:rsid w:val="00441E79"/>
    <w:rsid w:val="004426AE"/>
    <w:rsid w:val="00442996"/>
    <w:rsid w:val="00442CAB"/>
    <w:rsid w:val="004437BD"/>
    <w:rsid w:val="00445E56"/>
    <w:rsid w:val="00446203"/>
    <w:rsid w:val="0044686F"/>
    <w:rsid w:val="00451565"/>
    <w:rsid w:val="0045279E"/>
    <w:rsid w:val="004529AC"/>
    <w:rsid w:val="00452DE6"/>
    <w:rsid w:val="00453473"/>
    <w:rsid w:val="00453D90"/>
    <w:rsid w:val="00454927"/>
    <w:rsid w:val="00455095"/>
    <w:rsid w:val="004561ED"/>
    <w:rsid w:val="004578B5"/>
    <w:rsid w:val="004606E9"/>
    <w:rsid w:val="004617EA"/>
    <w:rsid w:val="00461816"/>
    <w:rsid w:val="00462843"/>
    <w:rsid w:val="0046361F"/>
    <w:rsid w:val="0046375C"/>
    <w:rsid w:val="004641C5"/>
    <w:rsid w:val="0046504D"/>
    <w:rsid w:val="00465FC8"/>
    <w:rsid w:val="0046692B"/>
    <w:rsid w:val="00467B96"/>
    <w:rsid w:val="004701F7"/>
    <w:rsid w:val="004702BF"/>
    <w:rsid w:val="00470684"/>
    <w:rsid w:val="00470980"/>
    <w:rsid w:val="00471072"/>
    <w:rsid w:val="00471196"/>
    <w:rsid w:val="004711DB"/>
    <w:rsid w:val="004725C7"/>
    <w:rsid w:val="00472E2B"/>
    <w:rsid w:val="004745E2"/>
    <w:rsid w:val="00474903"/>
    <w:rsid w:val="00474ED7"/>
    <w:rsid w:val="00476054"/>
    <w:rsid w:val="00476739"/>
    <w:rsid w:val="00477908"/>
    <w:rsid w:val="00477DE3"/>
    <w:rsid w:val="004809BF"/>
    <w:rsid w:val="00481540"/>
    <w:rsid w:val="004815EF"/>
    <w:rsid w:val="00482493"/>
    <w:rsid w:val="004839AA"/>
    <w:rsid w:val="00483A58"/>
    <w:rsid w:val="00485484"/>
    <w:rsid w:val="004855CA"/>
    <w:rsid w:val="00485A87"/>
    <w:rsid w:val="0049229D"/>
    <w:rsid w:val="00492B4B"/>
    <w:rsid w:val="00492D02"/>
    <w:rsid w:val="0049351D"/>
    <w:rsid w:val="00495B8D"/>
    <w:rsid w:val="00496F2B"/>
    <w:rsid w:val="00497A17"/>
    <w:rsid w:val="004A00CC"/>
    <w:rsid w:val="004A124C"/>
    <w:rsid w:val="004A21F9"/>
    <w:rsid w:val="004A5F71"/>
    <w:rsid w:val="004A65D8"/>
    <w:rsid w:val="004A6F3E"/>
    <w:rsid w:val="004A7B55"/>
    <w:rsid w:val="004B0455"/>
    <w:rsid w:val="004B0D5C"/>
    <w:rsid w:val="004B0D6D"/>
    <w:rsid w:val="004B2166"/>
    <w:rsid w:val="004B21DA"/>
    <w:rsid w:val="004B2230"/>
    <w:rsid w:val="004B28BF"/>
    <w:rsid w:val="004B32A8"/>
    <w:rsid w:val="004B6020"/>
    <w:rsid w:val="004B6244"/>
    <w:rsid w:val="004B6F14"/>
    <w:rsid w:val="004B78D2"/>
    <w:rsid w:val="004C0EB3"/>
    <w:rsid w:val="004C0F15"/>
    <w:rsid w:val="004C0FA3"/>
    <w:rsid w:val="004C12EA"/>
    <w:rsid w:val="004C1FB4"/>
    <w:rsid w:val="004C2E07"/>
    <w:rsid w:val="004C3540"/>
    <w:rsid w:val="004C3F1D"/>
    <w:rsid w:val="004C4FE4"/>
    <w:rsid w:val="004C6782"/>
    <w:rsid w:val="004C74CD"/>
    <w:rsid w:val="004C7B90"/>
    <w:rsid w:val="004D012B"/>
    <w:rsid w:val="004D2028"/>
    <w:rsid w:val="004D3CEB"/>
    <w:rsid w:val="004D47D9"/>
    <w:rsid w:val="004D4824"/>
    <w:rsid w:val="004D4C01"/>
    <w:rsid w:val="004D513F"/>
    <w:rsid w:val="004D6773"/>
    <w:rsid w:val="004D782E"/>
    <w:rsid w:val="004D7F17"/>
    <w:rsid w:val="004E0736"/>
    <w:rsid w:val="004E0F0E"/>
    <w:rsid w:val="004E1AA9"/>
    <w:rsid w:val="004E1F2B"/>
    <w:rsid w:val="004E3D6D"/>
    <w:rsid w:val="004E4055"/>
    <w:rsid w:val="004E4684"/>
    <w:rsid w:val="004E49EB"/>
    <w:rsid w:val="004E6D8A"/>
    <w:rsid w:val="004E7189"/>
    <w:rsid w:val="004E74B3"/>
    <w:rsid w:val="004E7EB9"/>
    <w:rsid w:val="004E7F37"/>
    <w:rsid w:val="004F0FC9"/>
    <w:rsid w:val="004F244C"/>
    <w:rsid w:val="004F32EF"/>
    <w:rsid w:val="004F4582"/>
    <w:rsid w:val="004F5770"/>
    <w:rsid w:val="004F780E"/>
    <w:rsid w:val="004F7996"/>
    <w:rsid w:val="004F7C86"/>
    <w:rsid w:val="00500155"/>
    <w:rsid w:val="0050021A"/>
    <w:rsid w:val="0050104E"/>
    <w:rsid w:val="005015FD"/>
    <w:rsid w:val="005018C2"/>
    <w:rsid w:val="00502787"/>
    <w:rsid w:val="005031E1"/>
    <w:rsid w:val="0050349E"/>
    <w:rsid w:val="00504D67"/>
    <w:rsid w:val="0050601F"/>
    <w:rsid w:val="00512178"/>
    <w:rsid w:val="00512A31"/>
    <w:rsid w:val="0051382F"/>
    <w:rsid w:val="00515E10"/>
    <w:rsid w:val="005164B9"/>
    <w:rsid w:val="00516AE6"/>
    <w:rsid w:val="0051746C"/>
    <w:rsid w:val="005200B0"/>
    <w:rsid w:val="00520D05"/>
    <w:rsid w:val="005247D6"/>
    <w:rsid w:val="00524E7B"/>
    <w:rsid w:val="0052526C"/>
    <w:rsid w:val="00525C84"/>
    <w:rsid w:val="00527288"/>
    <w:rsid w:val="005275C0"/>
    <w:rsid w:val="00530D9F"/>
    <w:rsid w:val="005323A4"/>
    <w:rsid w:val="0053307A"/>
    <w:rsid w:val="005333C6"/>
    <w:rsid w:val="00533515"/>
    <w:rsid w:val="00534316"/>
    <w:rsid w:val="005343F9"/>
    <w:rsid w:val="00534F41"/>
    <w:rsid w:val="005359EC"/>
    <w:rsid w:val="00536E98"/>
    <w:rsid w:val="00537326"/>
    <w:rsid w:val="005375B3"/>
    <w:rsid w:val="00540CFE"/>
    <w:rsid w:val="00543EDD"/>
    <w:rsid w:val="0054431C"/>
    <w:rsid w:val="00545360"/>
    <w:rsid w:val="0054562C"/>
    <w:rsid w:val="00545A7D"/>
    <w:rsid w:val="00545FA6"/>
    <w:rsid w:val="00546767"/>
    <w:rsid w:val="005467E0"/>
    <w:rsid w:val="005474B0"/>
    <w:rsid w:val="005475B2"/>
    <w:rsid w:val="005479CB"/>
    <w:rsid w:val="00550CDA"/>
    <w:rsid w:val="0055221D"/>
    <w:rsid w:val="005557C0"/>
    <w:rsid w:val="00555895"/>
    <w:rsid w:val="005570F1"/>
    <w:rsid w:val="00560E84"/>
    <w:rsid w:val="005617B6"/>
    <w:rsid w:val="005634BC"/>
    <w:rsid w:val="00563A05"/>
    <w:rsid w:val="00564014"/>
    <w:rsid w:val="00564BD0"/>
    <w:rsid w:val="0056552E"/>
    <w:rsid w:val="00565DF7"/>
    <w:rsid w:val="00566DC2"/>
    <w:rsid w:val="0056745C"/>
    <w:rsid w:val="005675F8"/>
    <w:rsid w:val="005705BF"/>
    <w:rsid w:val="005705EE"/>
    <w:rsid w:val="00570AE1"/>
    <w:rsid w:val="00570C07"/>
    <w:rsid w:val="00571BEB"/>
    <w:rsid w:val="00571FA9"/>
    <w:rsid w:val="0057288D"/>
    <w:rsid w:val="00573105"/>
    <w:rsid w:val="00575A1E"/>
    <w:rsid w:val="00575ED4"/>
    <w:rsid w:val="005763C6"/>
    <w:rsid w:val="0058228D"/>
    <w:rsid w:val="00582628"/>
    <w:rsid w:val="00583683"/>
    <w:rsid w:val="0058577A"/>
    <w:rsid w:val="00585BD8"/>
    <w:rsid w:val="00585FF2"/>
    <w:rsid w:val="005875BA"/>
    <w:rsid w:val="00594967"/>
    <w:rsid w:val="00594FE8"/>
    <w:rsid w:val="005952F1"/>
    <w:rsid w:val="0059552B"/>
    <w:rsid w:val="005A0885"/>
    <w:rsid w:val="005A0C40"/>
    <w:rsid w:val="005A0D30"/>
    <w:rsid w:val="005A19A9"/>
    <w:rsid w:val="005A1A37"/>
    <w:rsid w:val="005A3A05"/>
    <w:rsid w:val="005A4DB8"/>
    <w:rsid w:val="005A53AB"/>
    <w:rsid w:val="005A5AA4"/>
    <w:rsid w:val="005A6939"/>
    <w:rsid w:val="005B07B5"/>
    <w:rsid w:val="005B0A76"/>
    <w:rsid w:val="005B130B"/>
    <w:rsid w:val="005B16E2"/>
    <w:rsid w:val="005B1B68"/>
    <w:rsid w:val="005B2478"/>
    <w:rsid w:val="005B2C1E"/>
    <w:rsid w:val="005B2D14"/>
    <w:rsid w:val="005B2D8C"/>
    <w:rsid w:val="005B2E02"/>
    <w:rsid w:val="005B3885"/>
    <w:rsid w:val="005B3CE8"/>
    <w:rsid w:val="005B410E"/>
    <w:rsid w:val="005B46F3"/>
    <w:rsid w:val="005B48FF"/>
    <w:rsid w:val="005B511B"/>
    <w:rsid w:val="005B552E"/>
    <w:rsid w:val="005B6575"/>
    <w:rsid w:val="005B6E18"/>
    <w:rsid w:val="005C02D2"/>
    <w:rsid w:val="005C06CE"/>
    <w:rsid w:val="005C09B5"/>
    <w:rsid w:val="005C1069"/>
    <w:rsid w:val="005C121A"/>
    <w:rsid w:val="005C30F1"/>
    <w:rsid w:val="005C3150"/>
    <w:rsid w:val="005C35CC"/>
    <w:rsid w:val="005C407A"/>
    <w:rsid w:val="005C429C"/>
    <w:rsid w:val="005C42EB"/>
    <w:rsid w:val="005C4E39"/>
    <w:rsid w:val="005C62CE"/>
    <w:rsid w:val="005C6EE2"/>
    <w:rsid w:val="005C79BE"/>
    <w:rsid w:val="005D0647"/>
    <w:rsid w:val="005D1C51"/>
    <w:rsid w:val="005D2DD0"/>
    <w:rsid w:val="005D4A68"/>
    <w:rsid w:val="005D52E0"/>
    <w:rsid w:val="005D6458"/>
    <w:rsid w:val="005E0312"/>
    <w:rsid w:val="005E0DC8"/>
    <w:rsid w:val="005E1526"/>
    <w:rsid w:val="005E1700"/>
    <w:rsid w:val="005E1767"/>
    <w:rsid w:val="005E1F80"/>
    <w:rsid w:val="005E1FB6"/>
    <w:rsid w:val="005E25F6"/>
    <w:rsid w:val="005E5CA1"/>
    <w:rsid w:val="005E6CD2"/>
    <w:rsid w:val="005E7558"/>
    <w:rsid w:val="005F0E6D"/>
    <w:rsid w:val="005F1389"/>
    <w:rsid w:val="005F2729"/>
    <w:rsid w:val="005F2CB4"/>
    <w:rsid w:val="005F31D5"/>
    <w:rsid w:val="005F3A45"/>
    <w:rsid w:val="005F3CCB"/>
    <w:rsid w:val="005F43BD"/>
    <w:rsid w:val="005F4D09"/>
    <w:rsid w:val="005F5943"/>
    <w:rsid w:val="005F71A5"/>
    <w:rsid w:val="0060097C"/>
    <w:rsid w:val="0060179F"/>
    <w:rsid w:val="00601CE8"/>
    <w:rsid w:val="00605D49"/>
    <w:rsid w:val="0060648A"/>
    <w:rsid w:val="00606BF4"/>
    <w:rsid w:val="006071CF"/>
    <w:rsid w:val="006073E6"/>
    <w:rsid w:val="00607C55"/>
    <w:rsid w:val="00611D8B"/>
    <w:rsid w:val="00612C36"/>
    <w:rsid w:val="00612E27"/>
    <w:rsid w:val="0061393B"/>
    <w:rsid w:val="0061472F"/>
    <w:rsid w:val="006153BA"/>
    <w:rsid w:val="00615952"/>
    <w:rsid w:val="0061595A"/>
    <w:rsid w:val="0061617E"/>
    <w:rsid w:val="00616EBA"/>
    <w:rsid w:val="00617AC3"/>
    <w:rsid w:val="00617B51"/>
    <w:rsid w:val="00617C8C"/>
    <w:rsid w:val="00620317"/>
    <w:rsid w:val="006208F0"/>
    <w:rsid w:val="00620C53"/>
    <w:rsid w:val="00621938"/>
    <w:rsid w:val="00621D97"/>
    <w:rsid w:val="006232A2"/>
    <w:rsid w:val="00624BCD"/>
    <w:rsid w:val="006258A6"/>
    <w:rsid w:val="00625A88"/>
    <w:rsid w:val="006267F4"/>
    <w:rsid w:val="00626AEF"/>
    <w:rsid w:val="00626B43"/>
    <w:rsid w:val="00627637"/>
    <w:rsid w:val="00627F2D"/>
    <w:rsid w:val="00627FA0"/>
    <w:rsid w:val="00631111"/>
    <w:rsid w:val="0063153B"/>
    <w:rsid w:val="00631F8F"/>
    <w:rsid w:val="006324AD"/>
    <w:rsid w:val="00632C08"/>
    <w:rsid w:val="00633DCA"/>
    <w:rsid w:val="006348A2"/>
    <w:rsid w:val="006348A6"/>
    <w:rsid w:val="00634A52"/>
    <w:rsid w:val="00637C8B"/>
    <w:rsid w:val="00637D8A"/>
    <w:rsid w:val="0064139A"/>
    <w:rsid w:val="00641446"/>
    <w:rsid w:val="006430FE"/>
    <w:rsid w:val="0064400B"/>
    <w:rsid w:val="0064417F"/>
    <w:rsid w:val="00644FB6"/>
    <w:rsid w:val="0064684E"/>
    <w:rsid w:val="0065089B"/>
    <w:rsid w:val="00650CE8"/>
    <w:rsid w:val="00651A2A"/>
    <w:rsid w:val="00652032"/>
    <w:rsid w:val="00653006"/>
    <w:rsid w:val="00653B1F"/>
    <w:rsid w:val="00655274"/>
    <w:rsid w:val="00656316"/>
    <w:rsid w:val="00656556"/>
    <w:rsid w:val="006600B6"/>
    <w:rsid w:val="006608BA"/>
    <w:rsid w:val="006615FE"/>
    <w:rsid w:val="00661E76"/>
    <w:rsid w:val="00662644"/>
    <w:rsid w:val="00662C2B"/>
    <w:rsid w:val="006630DB"/>
    <w:rsid w:val="00665298"/>
    <w:rsid w:val="00665B2D"/>
    <w:rsid w:val="00667988"/>
    <w:rsid w:val="00667EB0"/>
    <w:rsid w:val="0067005E"/>
    <w:rsid w:val="0067074A"/>
    <w:rsid w:val="006709B2"/>
    <w:rsid w:val="0067197C"/>
    <w:rsid w:val="00672994"/>
    <w:rsid w:val="00672CB9"/>
    <w:rsid w:val="00674B6D"/>
    <w:rsid w:val="00674C7B"/>
    <w:rsid w:val="00674D06"/>
    <w:rsid w:val="00675971"/>
    <w:rsid w:val="00675BE4"/>
    <w:rsid w:val="006762C8"/>
    <w:rsid w:val="00676719"/>
    <w:rsid w:val="006770AA"/>
    <w:rsid w:val="00681AC8"/>
    <w:rsid w:val="006827BB"/>
    <w:rsid w:val="00682E53"/>
    <w:rsid w:val="00683887"/>
    <w:rsid w:val="006845A5"/>
    <w:rsid w:val="00684780"/>
    <w:rsid w:val="006847CA"/>
    <w:rsid w:val="00685AB0"/>
    <w:rsid w:val="0068685F"/>
    <w:rsid w:val="00687854"/>
    <w:rsid w:val="006878F0"/>
    <w:rsid w:val="006879FA"/>
    <w:rsid w:val="00687C78"/>
    <w:rsid w:val="00687FB6"/>
    <w:rsid w:val="006902F1"/>
    <w:rsid w:val="006909EC"/>
    <w:rsid w:val="00690BA4"/>
    <w:rsid w:val="00690C76"/>
    <w:rsid w:val="006911DE"/>
    <w:rsid w:val="00691C54"/>
    <w:rsid w:val="006926C8"/>
    <w:rsid w:val="00692A3A"/>
    <w:rsid w:val="00692EA2"/>
    <w:rsid w:val="00692EBA"/>
    <w:rsid w:val="006943A3"/>
    <w:rsid w:val="0069476F"/>
    <w:rsid w:val="00696080"/>
    <w:rsid w:val="00696E7E"/>
    <w:rsid w:val="00696E88"/>
    <w:rsid w:val="006A06A8"/>
    <w:rsid w:val="006A06F7"/>
    <w:rsid w:val="006A25FD"/>
    <w:rsid w:val="006A32D3"/>
    <w:rsid w:val="006A3491"/>
    <w:rsid w:val="006A44C2"/>
    <w:rsid w:val="006A50B4"/>
    <w:rsid w:val="006A580B"/>
    <w:rsid w:val="006A5BB2"/>
    <w:rsid w:val="006A5E09"/>
    <w:rsid w:val="006A753E"/>
    <w:rsid w:val="006A7A8A"/>
    <w:rsid w:val="006B13AD"/>
    <w:rsid w:val="006B3279"/>
    <w:rsid w:val="006B3D4F"/>
    <w:rsid w:val="006B4601"/>
    <w:rsid w:val="006B5A70"/>
    <w:rsid w:val="006B5C58"/>
    <w:rsid w:val="006B72F2"/>
    <w:rsid w:val="006B7C10"/>
    <w:rsid w:val="006B7F18"/>
    <w:rsid w:val="006C12FC"/>
    <w:rsid w:val="006C1AA5"/>
    <w:rsid w:val="006C2BC2"/>
    <w:rsid w:val="006C2CE5"/>
    <w:rsid w:val="006C405B"/>
    <w:rsid w:val="006C5D17"/>
    <w:rsid w:val="006C64C1"/>
    <w:rsid w:val="006C7530"/>
    <w:rsid w:val="006C7BFC"/>
    <w:rsid w:val="006C7D85"/>
    <w:rsid w:val="006D2C5E"/>
    <w:rsid w:val="006D3AD8"/>
    <w:rsid w:val="006D468D"/>
    <w:rsid w:val="006D6C6B"/>
    <w:rsid w:val="006D7084"/>
    <w:rsid w:val="006D70D8"/>
    <w:rsid w:val="006D72D8"/>
    <w:rsid w:val="006D76C4"/>
    <w:rsid w:val="006D7B75"/>
    <w:rsid w:val="006E049E"/>
    <w:rsid w:val="006E098F"/>
    <w:rsid w:val="006E1468"/>
    <w:rsid w:val="006E18BC"/>
    <w:rsid w:val="006E2444"/>
    <w:rsid w:val="006E2A15"/>
    <w:rsid w:val="006E2C47"/>
    <w:rsid w:val="006E3355"/>
    <w:rsid w:val="006E430E"/>
    <w:rsid w:val="006E5D40"/>
    <w:rsid w:val="006E693D"/>
    <w:rsid w:val="006E6A58"/>
    <w:rsid w:val="006E6B1F"/>
    <w:rsid w:val="006E761D"/>
    <w:rsid w:val="006E7AB2"/>
    <w:rsid w:val="006F0696"/>
    <w:rsid w:val="006F1180"/>
    <w:rsid w:val="006F274A"/>
    <w:rsid w:val="006F2BEC"/>
    <w:rsid w:val="006F2E37"/>
    <w:rsid w:val="006F3604"/>
    <w:rsid w:val="006F378F"/>
    <w:rsid w:val="006F402B"/>
    <w:rsid w:val="006F5103"/>
    <w:rsid w:val="006F660A"/>
    <w:rsid w:val="006F6700"/>
    <w:rsid w:val="006F6E11"/>
    <w:rsid w:val="006F7B44"/>
    <w:rsid w:val="007015FA"/>
    <w:rsid w:val="007020F3"/>
    <w:rsid w:val="0070241E"/>
    <w:rsid w:val="007034CA"/>
    <w:rsid w:val="00703C5F"/>
    <w:rsid w:val="00704AEB"/>
    <w:rsid w:val="00704EAC"/>
    <w:rsid w:val="00706133"/>
    <w:rsid w:val="007066E9"/>
    <w:rsid w:val="00706960"/>
    <w:rsid w:val="00706C3A"/>
    <w:rsid w:val="00706D39"/>
    <w:rsid w:val="007070E9"/>
    <w:rsid w:val="00707D70"/>
    <w:rsid w:val="0071008E"/>
    <w:rsid w:val="007108C2"/>
    <w:rsid w:val="007109A6"/>
    <w:rsid w:val="00710A84"/>
    <w:rsid w:val="00711E78"/>
    <w:rsid w:val="0071387E"/>
    <w:rsid w:val="00714072"/>
    <w:rsid w:val="00714395"/>
    <w:rsid w:val="0071498A"/>
    <w:rsid w:val="00715008"/>
    <w:rsid w:val="00715ECE"/>
    <w:rsid w:val="007165D0"/>
    <w:rsid w:val="00717034"/>
    <w:rsid w:val="0071757D"/>
    <w:rsid w:val="00721866"/>
    <w:rsid w:val="00721A16"/>
    <w:rsid w:val="0072218E"/>
    <w:rsid w:val="00722197"/>
    <w:rsid w:val="00722A18"/>
    <w:rsid w:val="0072348A"/>
    <w:rsid w:val="007236BF"/>
    <w:rsid w:val="00726216"/>
    <w:rsid w:val="00727C0C"/>
    <w:rsid w:val="00730894"/>
    <w:rsid w:val="007308F3"/>
    <w:rsid w:val="007312CF"/>
    <w:rsid w:val="00731521"/>
    <w:rsid w:val="0073157E"/>
    <w:rsid w:val="00731A28"/>
    <w:rsid w:val="00731E88"/>
    <w:rsid w:val="007325A3"/>
    <w:rsid w:val="00733496"/>
    <w:rsid w:val="007354A6"/>
    <w:rsid w:val="00735656"/>
    <w:rsid w:val="00735675"/>
    <w:rsid w:val="007356AE"/>
    <w:rsid w:val="007368BB"/>
    <w:rsid w:val="00736F35"/>
    <w:rsid w:val="007375F8"/>
    <w:rsid w:val="00740042"/>
    <w:rsid w:val="007404F6"/>
    <w:rsid w:val="00740520"/>
    <w:rsid w:val="007418D5"/>
    <w:rsid w:val="007431FC"/>
    <w:rsid w:val="0074333D"/>
    <w:rsid w:val="007433B8"/>
    <w:rsid w:val="00744BE5"/>
    <w:rsid w:val="00744F4E"/>
    <w:rsid w:val="00745210"/>
    <w:rsid w:val="00745813"/>
    <w:rsid w:val="00747204"/>
    <w:rsid w:val="00747C3D"/>
    <w:rsid w:val="00750BAF"/>
    <w:rsid w:val="00751043"/>
    <w:rsid w:val="007518EB"/>
    <w:rsid w:val="00751BD7"/>
    <w:rsid w:val="00752C45"/>
    <w:rsid w:val="00752C6B"/>
    <w:rsid w:val="00753A42"/>
    <w:rsid w:val="00753BC8"/>
    <w:rsid w:val="00754177"/>
    <w:rsid w:val="00754994"/>
    <w:rsid w:val="0075530D"/>
    <w:rsid w:val="007553C8"/>
    <w:rsid w:val="00755E95"/>
    <w:rsid w:val="00756376"/>
    <w:rsid w:val="00757365"/>
    <w:rsid w:val="007575A0"/>
    <w:rsid w:val="00757867"/>
    <w:rsid w:val="00764553"/>
    <w:rsid w:val="007649AE"/>
    <w:rsid w:val="00765BA7"/>
    <w:rsid w:val="00765E64"/>
    <w:rsid w:val="00765FBD"/>
    <w:rsid w:val="00767004"/>
    <w:rsid w:val="00767018"/>
    <w:rsid w:val="007671A0"/>
    <w:rsid w:val="00770239"/>
    <w:rsid w:val="0077072F"/>
    <w:rsid w:val="00770860"/>
    <w:rsid w:val="00771513"/>
    <w:rsid w:val="00771A14"/>
    <w:rsid w:val="007729A1"/>
    <w:rsid w:val="00772E6B"/>
    <w:rsid w:val="00773296"/>
    <w:rsid w:val="00774184"/>
    <w:rsid w:val="00775A0F"/>
    <w:rsid w:val="00775A1C"/>
    <w:rsid w:val="007767A8"/>
    <w:rsid w:val="0078054F"/>
    <w:rsid w:val="00780FD4"/>
    <w:rsid w:val="00781AA7"/>
    <w:rsid w:val="007826BC"/>
    <w:rsid w:val="007827E8"/>
    <w:rsid w:val="00782B1F"/>
    <w:rsid w:val="007837F0"/>
    <w:rsid w:val="007839A2"/>
    <w:rsid w:val="0078483A"/>
    <w:rsid w:val="007865BD"/>
    <w:rsid w:val="007872C6"/>
    <w:rsid w:val="00787875"/>
    <w:rsid w:val="00787BC6"/>
    <w:rsid w:val="00790433"/>
    <w:rsid w:val="00790B21"/>
    <w:rsid w:val="00790D31"/>
    <w:rsid w:val="0079420A"/>
    <w:rsid w:val="007945F5"/>
    <w:rsid w:val="00794C14"/>
    <w:rsid w:val="00797BA8"/>
    <w:rsid w:val="007A044F"/>
    <w:rsid w:val="007A175C"/>
    <w:rsid w:val="007A1B22"/>
    <w:rsid w:val="007A20B4"/>
    <w:rsid w:val="007A3823"/>
    <w:rsid w:val="007A3F99"/>
    <w:rsid w:val="007A4C56"/>
    <w:rsid w:val="007A544A"/>
    <w:rsid w:val="007A56AC"/>
    <w:rsid w:val="007A5D86"/>
    <w:rsid w:val="007A5EC4"/>
    <w:rsid w:val="007A5FF5"/>
    <w:rsid w:val="007A6E51"/>
    <w:rsid w:val="007A72D5"/>
    <w:rsid w:val="007A7CA4"/>
    <w:rsid w:val="007A7CBF"/>
    <w:rsid w:val="007A7DBA"/>
    <w:rsid w:val="007B0D5A"/>
    <w:rsid w:val="007B1049"/>
    <w:rsid w:val="007B12DC"/>
    <w:rsid w:val="007B25BD"/>
    <w:rsid w:val="007B2611"/>
    <w:rsid w:val="007B4453"/>
    <w:rsid w:val="007B5D24"/>
    <w:rsid w:val="007B68BC"/>
    <w:rsid w:val="007C0DD9"/>
    <w:rsid w:val="007C2C30"/>
    <w:rsid w:val="007C3370"/>
    <w:rsid w:val="007C3FD4"/>
    <w:rsid w:val="007C4359"/>
    <w:rsid w:val="007C5AB3"/>
    <w:rsid w:val="007C6685"/>
    <w:rsid w:val="007C687F"/>
    <w:rsid w:val="007C68C7"/>
    <w:rsid w:val="007C6D71"/>
    <w:rsid w:val="007C7AE1"/>
    <w:rsid w:val="007C7D8D"/>
    <w:rsid w:val="007D0C6E"/>
    <w:rsid w:val="007D0F02"/>
    <w:rsid w:val="007D16BC"/>
    <w:rsid w:val="007D20E7"/>
    <w:rsid w:val="007D2C77"/>
    <w:rsid w:val="007D459E"/>
    <w:rsid w:val="007D7062"/>
    <w:rsid w:val="007D778C"/>
    <w:rsid w:val="007D7C32"/>
    <w:rsid w:val="007E0451"/>
    <w:rsid w:val="007E057E"/>
    <w:rsid w:val="007E069D"/>
    <w:rsid w:val="007E0700"/>
    <w:rsid w:val="007E0C92"/>
    <w:rsid w:val="007E2223"/>
    <w:rsid w:val="007E2DDF"/>
    <w:rsid w:val="007E56A5"/>
    <w:rsid w:val="007E5C77"/>
    <w:rsid w:val="007E68F3"/>
    <w:rsid w:val="007E6CEE"/>
    <w:rsid w:val="007E6FB6"/>
    <w:rsid w:val="007E7E69"/>
    <w:rsid w:val="007F01CE"/>
    <w:rsid w:val="007F0965"/>
    <w:rsid w:val="007F202C"/>
    <w:rsid w:val="007F2C83"/>
    <w:rsid w:val="007F2EF9"/>
    <w:rsid w:val="007F33B4"/>
    <w:rsid w:val="007F3D67"/>
    <w:rsid w:val="007F47DC"/>
    <w:rsid w:val="007F5308"/>
    <w:rsid w:val="007F57E8"/>
    <w:rsid w:val="007F5997"/>
    <w:rsid w:val="007F6B1B"/>
    <w:rsid w:val="007F6DA6"/>
    <w:rsid w:val="007F7EC5"/>
    <w:rsid w:val="00800569"/>
    <w:rsid w:val="00800C64"/>
    <w:rsid w:val="0080189A"/>
    <w:rsid w:val="00801919"/>
    <w:rsid w:val="008019FC"/>
    <w:rsid w:val="008027A5"/>
    <w:rsid w:val="00802D58"/>
    <w:rsid w:val="00804079"/>
    <w:rsid w:val="00804798"/>
    <w:rsid w:val="00804A42"/>
    <w:rsid w:val="00805288"/>
    <w:rsid w:val="0080634D"/>
    <w:rsid w:val="00813519"/>
    <w:rsid w:val="008140EB"/>
    <w:rsid w:val="00815287"/>
    <w:rsid w:val="00815CA2"/>
    <w:rsid w:val="00820752"/>
    <w:rsid w:val="00820B87"/>
    <w:rsid w:val="00820F20"/>
    <w:rsid w:val="00821C88"/>
    <w:rsid w:val="00822120"/>
    <w:rsid w:val="00825754"/>
    <w:rsid w:val="00825AFB"/>
    <w:rsid w:val="00825B38"/>
    <w:rsid w:val="00825BDF"/>
    <w:rsid w:val="00825E11"/>
    <w:rsid w:val="00825FAA"/>
    <w:rsid w:val="008262EE"/>
    <w:rsid w:val="00826A0A"/>
    <w:rsid w:val="00826DE2"/>
    <w:rsid w:val="00827E3B"/>
    <w:rsid w:val="00830DBF"/>
    <w:rsid w:val="0083203B"/>
    <w:rsid w:val="00832FF5"/>
    <w:rsid w:val="00833320"/>
    <w:rsid w:val="0083405C"/>
    <w:rsid w:val="008350F7"/>
    <w:rsid w:val="00837BEE"/>
    <w:rsid w:val="0084080D"/>
    <w:rsid w:val="00840BDD"/>
    <w:rsid w:val="00841A12"/>
    <w:rsid w:val="00841D09"/>
    <w:rsid w:val="00842A12"/>
    <w:rsid w:val="00843C29"/>
    <w:rsid w:val="008444FE"/>
    <w:rsid w:val="00844795"/>
    <w:rsid w:val="00844C2D"/>
    <w:rsid w:val="008465FF"/>
    <w:rsid w:val="00846D47"/>
    <w:rsid w:val="00847478"/>
    <w:rsid w:val="008501CF"/>
    <w:rsid w:val="00850A78"/>
    <w:rsid w:val="00851F73"/>
    <w:rsid w:val="008548BA"/>
    <w:rsid w:val="00854B36"/>
    <w:rsid w:val="00854E91"/>
    <w:rsid w:val="00854EF0"/>
    <w:rsid w:val="0085576B"/>
    <w:rsid w:val="008575FC"/>
    <w:rsid w:val="008577E7"/>
    <w:rsid w:val="008604EE"/>
    <w:rsid w:val="008608B5"/>
    <w:rsid w:val="00860BDC"/>
    <w:rsid w:val="0086167A"/>
    <w:rsid w:val="00861B2E"/>
    <w:rsid w:val="00863A78"/>
    <w:rsid w:val="00863F66"/>
    <w:rsid w:val="00864C04"/>
    <w:rsid w:val="0086589C"/>
    <w:rsid w:val="00865DAE"/>
    <w:rsid w:val="00866DF3"/>
    <w:rsid w:val="0086709B"/>
    <w:rsid w:val="00867382"/>
    <w:rsid w:val="00867E14"/>
    <w:rsid w:val="00870CE0"/>
    <w:rsid w:val="00872198"/>
    <w:rsid w:val="00873094"/>
    <w:rsid w:val="008730A5"/>
    <w:rsid w:val="0087396C"/>
    <w:rsid w:val="0087593E"/>
    <w:rsid w:val="00876248"/>
    <w:rsid w:val="0087770E"/>
    <w:rsid w:val="00880D3E"/>
    <w:rsid w:val="008827F7"/>
    <w:rsid w:val="0088330B"/>
    <w:rsid w:val="00883DA1"/>
    <w:rsid w:val="00883E89"/>
    <w:rsid w:val="00883FD2"/>
    <w:rsid w:val="008854AE"/>
    <w:rsid w:val="00885B05"/>
    <w:rsid w:val="0089011F"/>
    <w:rsid w:val="00890544"/>
    <w:rsid w:val="0089075D"/>
    <w:rsid w:val="00891119"/>
    <w:rsid w:val="008913D3"/>
    <w:rsid w:val="00893277"/>
    <w:rsid w:val="00893AB1"/>
    <w:rsid w:val="00894886"/>
    <w:rsid w:val="008948C9"/>
    <w:rsid w:val="00895582"/>
    <w:rsid w:val="0089577C"/>
    <w:rsid w:val="00895F8A"/>
    <w:rsid w:val="00896A0D"/>
    <w:rsid w:val="008A0064"/>
    <w:rsid w:val="008A0609"/>
    <w:rsid w:val="008A2100"/>
    <w:rsid w:val="008A31D2"/>
    <w:rsid w:val="008A3515"/>
    <w:rsid w:val="008A44A1"/>
    <w:rsid w:val="008A68C5"/>
    <w:rsid w:val="008A6D36"/>
    <w:rsid w:val="008A7751"/>
    <w:rsid w:val="008A7B16"/>
    <w:rsid w:val="008B03DD"/>
    <w:rsid w:val="008B0522"/>
    <w:rsid w:val="008B0E16"/>
    <w:rsid w:val="008B1A29"/>
    <w:rsid w:val="008B1A80"/>
    <w:rsid w:val="008B1B59"/>
    <w:rsid w:val="008B2113"/>
    <w:rsid w:val="008B349F"/>
    <w:rsid w:val="008B3ADC"/>
    <w:rsid w:val="008B3D15"/>
    <w:rsid w:val="008B4367"/>
    <w:rsid w:val="008B4FAD"/>
    <w:rsid w:val="008B5319"/>
    <w:rsid w:val="008B5F72"/>
    <w:rsid w:val="008B6109"/>
    <w:rsid w:val="008B61BD"/>
    <w:rsid w:val="008B7EA9"/>
    <w:rsid w:val="008C060B"/>
    <w:rsid w:val="008C0689"/>
    <w:rsid w:val="008C0EA2"/>
    <w:rsid w:val="008C171B"/>
    <w:rsid w:val="008C1AE0"/>
    <w:rsid w:val="008C3D59"/>
    <w:rsid w:val="008C5503"/>
    <w:rsid w:val="008C5A81"/>
    <w:rsid w:val="008C66C7"/>
    <w:rsid w:val="008C7D96"/>
    <w:rsid w:val="008C7E29"/>
    <w:rsid w:val="008D0218"/>
    <w:rsid w:val="008D051A"/>
    <w:rsid w:val="008D0522"/>
    <w:rsid w:val="008D0FD2"/>
    <w:rsid w:val="008D242D"/>
    <w:rsid w:val="008D366D"/>
    <w:rsid w:val="008D3E33"/>
    <w:rsid w:val="008D46A9"/>
    <w:rsid w:val="008D46E7"/>
    <w:rsid w:val="008D4E5C"/>
    <w:rsid w:val="008D5260"/>
    <w:rsid w:val="008D5719"/>
    <w:rsid w:val="008D68BC"/>
    <w:rsid w:val="008D6C4C"/>
    <w:rsid w:val="008D704C"/>
    <w:rsid w:val="008D794A"/>
    <w:rsid w:val="008E0ADE"/>
    <w:rsid w:val="008E23F4"/>
    <w:rsid w:val="008E2C09"/>
    <w:rsid w:val="008E2CB9"/>
    <w:rsid w:val="008E3207"/>
    <w:rsid w:val="008E3404"/>
    <w:rsid w:val="008E3B18"/>
    <w:rsid w:val="008E48D8"/>
    <w:rsid w:val="008E5B65"/>
    <w:rsid w:val="008E5DAB"/>
    <w:rsid w:val="008E61BD"/>
    <w:rsid w:val="008E6C2F"/>
    <w:rsid w:val="008F0541"/>
    <w:rsid w:val="008F13C4"/>
    <w:rsid w:val="008F14E5"/>
    <w:rsid w:val="008F1D42"/>
    <w:rsid w:val="008F52E5"/>
    <w:rsid w:val="008F5652"/>
    <w:rsid w:val="008F5C94"/>
    <w:rsid w:val="008F66C5"/>
    <w:rsid w:val="008F77E0"/>
    <w:rsid w:val="008F7C0A"/>
    <w:rsid w:val="0090138A"/>
    <w:rsid w:val="0090166C"/>
    <w:rsid w:val="009016D4"/>
    <w:rsid w:val="00902A16"/>
    <w:rsid w:val="00903439"/>
    <w:rsid w:val="00904BC1"/>
    <w:rsid w:val="009063A5"/>
    <w:rsid w:val="009068F9"/>
    <w:rsid w:val="00906CE6"/>
    <w:rsid w:val="0090729C"/>
    <w:rsid w:val="009079E9"/>
    <w:rsid w:val="00907F9F"/>
    <w:rsid w:val="009102E5"/>
    <w:rsid w:val="009112C2"/>
    <w:rsid w:val="009117DA"/>
    <w:rsid w:val="00912E26"/>
    <w:rsid w:val="00914F7E"/>
    <w:rsid w:val="00917307"/>
    <w:rsid w:val="009200C5"/>
    <w:rsid w:val="0092079B"/>
    <w:rsid w:val="00920A83"/>
    <w:rsid w:val="0092437B"/>
    <w:rsid w:val="009249F5"/>
    <w:rsid w:val="009253AB"/>
    <w:rsid w:val="00926546"/>
    <w:rsid w:val="009269F6"/>
    <w:rsid w:val="00927331"/>
    <w:rsid w:val="009301BF"/>
    <w:rsid w:val="00931145"/>
    <w:rsid w:val="00931983"/>
    <w:rsid w:val="00932B6F"/>
    <w:rsid w:val="00933EEB"/>
    <w:rsid w:val="009345F1"/>
    <w:rsid w:val="00934F91"/>
    <w:rsid w:val="00937A8D"/>
    <w:rsid w:val="00937EE3"/>
    <w:rsid w:val="009401D2"/>
    <w:rsid w:val="009402BC"/>
    <w:rsid w:val="009404C8"/>
    <w:rsid w:val="00940734"/>
    <w:rsid w:val="009414DD"/>
    <w:rsid w:val="00941D81"/>
    <w:rsid w:val="009433AB"/>
    <w:rsid w:val="0094368D"/>
    <w:rsid w:val="00943773"/>
    <w:rsid w:val="00944BB7"/>
    <w:rsid w:val="00944DF5"/>
    <w:rsid w:val="00944ECA"/>
    <w:rsid w:val="00950C0A"/>
    <w:rsid w:val="00954C20"/>
    <w:rsid w:val="00956C85"/>
    <w:rsid w:val="00961015"/>
    <w:rsid w:val="00961072"/>
    <w:rsid w:val="0096143C"/>
    <w:rsid w:val="00961D0C"/>
    <w:rsid w:val="009641D3"/>
    <w:rsid w:val="0096442E"/>
    <w:rsid w:val="009648D4"/>
    <w:rsid w:val="00965012"/>
    <w:rsid w:val="009653D1"/>
    <w:rsid w:val="00965C9A"/>
    <w:rsid w:val="00966A06"/>
    <w:rsid w:val="00967700"/>
    <w:rsid w:val="00972059"/>
    <w:rsid w:val="00972537"/>
    <w:rsid w:val="0097327E"/>
    <w:rsid w:val="0097380C"/>
    <w:rsid w:val="009743EC"/>
    <w:rsid w:val="00975299"/>
    <w:rsid w:val="009757F6"/>
    <w:rsid w:val="00975ABE"/>
    <w:rsid w:val="00975ECA"/>
    <w:rsid w:val="00975F01"/>
    <w:rsid w:val="00976D30"/>
    <w:rsid w:val="00977880"/>
    <w:rsid w:val="009779DF"/>
    <w:rsid w:val="009809F1"/>
    <w:rsid w:val="00982EAD"/>
    <w:rsid w:val="00983992"/>
    <w:rsid w:val="0098413F"/>
    <w:rsid w:val="00984584"/>
    <w:rsid w:val="00987119"/>
    <w:rsid w:val="00987A5E"/>
    <w:rsid w:val="00987D39"/>
    <w:rsid w:val="00987DDE"/>
    <w:rsid w:val="00991703"/>
    <w:rsid w:val="00991FB3"/>
    <w:rsid w:val="009925A9"/>
    <w:rsid w:val="009944FA"/>
    <w:rsid w:val="00996085"/>
    <w:rsid w:val="009961C0"/>
    <w:rsid w:val="00996DC4"/>
    <w:rsid w:val="0099716A"/>
    <w:rsid w:val="0099722E"/>
    <w:rsid w:val="00997370"/>
    <w:rsid w:val="009976AE"/>
    <w:rsid w:val="00997D19"/>
    <w:rsid w:val="009A20CF"/>
    <w:rsid w:val="009A2261"/>
    <w:rsid w:val="009A3712"/>
    <w:rsid w:val="009A3B71"/>
    <w:rsid w:val="009A418B"/>
    <w:rsid w:val="009A473B"/>
    <w:rsid w:val="009A4947"/>
    <w:rsid w:val="009A4EC5"/>
    <w:rsid w:val="009A73ED"/>
    <w:rsid w:val="009B0AE7"/>
    <w:rsid w:val="009B12F7"/>
    <w:rsid w:val="009B21AC"/>
    <w:rsid w:val="009B3224"/>
    <w:rsid w:val="009B74AF"/>
    <w:rsid w:val="009B77D4"/>
    <w:rsid w:val="009B7E06"/>
    <w:rsid w:val="009B7E17"/>
    <w:rsid w:val="009C06D8"/>
    <w:rsid w:val="009C0C66"/>
    <w:rsid w:val="009C2365"/>
    <w:rsid w:val="009C3836"/>
    <w:rsid w:val="009C3ED1"/>
    <w:rsid w:val="009C44A4"/>
    <w:rsid w:val="009C44AF"/>
    <w:rsid w:val="009C45B7"/>
    <w:rsid w:val="009C5191"/>
    <w:rsid w:val="009C5353"/>
    <w:rsid w:val="009C636D"/>
    <w:rsid w:val="009C726D"/>
    <w:rsid w:val="009C7512"/>
    <w:rsid w:val="009D09F8"/>
    <w:rsid w:val="009D0BB7"/>
    <w:rsid w:val="009D428A"/>
    <w:rsid w:val="009D477C"/>
    <w:rsid w:val="009D49BF"/>
    <w:rsid w:val="009D5E8C"/>
    <w:rsid w:val="009D68D7"/>
    <w:rsid w:val="009D6B87"/>
    <w:rsid w:val="009D7BF0"/>
    <w:rsid w:val="009E0364"/>
    <w:rsid w:val="009E0B57"/>
    <w:rsid w:val="009E0DE1"/>
    <w:rsid w:val="009E294E"/>
    <w:rsid w:val="009E2CD1"/>
    <w:rsid w:val="009E460A"/>
    <w:rsid w:val="009E4E3F"/>
    <w:rsid w:val="009E55E9"/>
    <w:rsid w:val="009E6BAB"/>
    <w:rsid w:val="009E72D7"/>
    <w:rsid w:val="009E750F"/>
    <w:rsid w:val="009F02A5"/>
    <w:rsid w:val="009F0316"/>
    <w:rsid w:val="009F109D"/>
    <w:rsid w:val="009F1349"/>
    <w:rsid w:val="009F1A6B"/>
    <w:rsid w:val="009F1FA5"/>
    <w:rsid w:val="009F23E2"/>
    <w:rsid w:val="009F2E84"/>
    <w:rsid w:val="009F3E95"/>
    <w:rsid w:val="009F4034"/>
    <w:rsid w:val="009F4D34"/>
    <w:rsid w:val="009F5D24"/>
    <w:rsid w:val="009F641A"/>
    <w:rsid w:val="009F77EA"/>
    <w:rsid w:val="00A01BCF"/>
    <w:rsid w:val="00A0268B"/>
    <w:rsid w:val="00A039E8"/>
    <w:rsid w:val="00A040DA"/>
    <w:rsid w:val="00A04C61"/>
    <w:rsid w:val="00A04D96"/>
    <w:rsid w:val="00A05076"/>
    <w:rsid w:val="00A05545"/>
    <w:rsid w:val="00A0629B"/>
    <w:rsid w:val="00A06B9A"/>
    <w:rsid w:val="00A07C50"/>
    <w:rsid w:val="00A10061"/>
    <w:rsid w:val="00A1270F"/>
    <w:rsid w:val="00A12F0F"/>
    <w:rsid w:val="00A14A6D"/>
    <w:rsid w:val="00A1504D"/>
    <w:rsid w:val="00A15356"/>
    <w:rsid w:val="00A1541D"/>
    <w:rsid w:val="00A1645E"/>
    <w:rsid w:val="00A16589"/>
    <w:rsid w:val="00A16F8B"/>
    <w:rsid w:val="00A1749C"/>
    <w:rsid w:val="00A174CF"/>
    <w:rsid w:val="00A20146"/>
    <w:rsid w:val="00A2091F"/>
    <w:rsid w:val="00A20A3D"/>
    <w:rsid w:val="00A20BCB"/>
    <w:rsid w:val="00A20BE3"/>
    <w:rsid w:val="00A2132E"/>
    <w:rsid w:val="00A21602"/>
    <w:rsid w:val="00A22AA2"/>
    <w:rsid w:val="00A22D83"/>
    <w:rsid w:val="00A2433A"/>
    <w:rsid w:val="00A25E70"/>
    <w:rsid w:val="00A26CB5"/>
    <w:rsid w:val="00A273AC"/>
    <w:rsid w:val="00A27428"/>
    <w:rsid w:val="00A278EE"/>
    <w:rsid w:val="00A27E4E"/>
    <w:rsid w:val="00A30569"/>
    <w:rsid w:val="00A3090B"/>
    <w:rsid w:val="00A315F0"/>
    <w:rsid w:val="00A31F69"/>
    <w:rsid w:val="00A3331A"/>
    <w:rsid w:val="00A343B9"/>
    <w:rsid w:val="00A34531"/>
    <w:rsid w:val="00A35745"/>
    <w:rsid w:val="00A36529"/>
    <w:rsid w:val="00A369CA"/>
    <w:rsid w:val="00A4029B"/>
    <w:rsid w:val="00A40312"/>
    <w:rsid w:val="00A41DC3"/>
    <w:rsid w:val="00A42839"/>
    <w:rsid w:val="00A42F20"/>
    <w:rsid w:val="00A434D8"/>
    <w:rsid w:val="00A44F42"/>
    <w:rsid w:val="00A4679D"/>
    <w:rsid w:val="00A474E2"/>
    <w:rsid w:val="00A47598"/>
    <w:rsid w:val="00A50D5E"/>
    <w:rsid w:val="00A51A4B"/>
    <w:rsid w:val="00A51E55"/>
    <w:rsid w:val="00A542B7"/>
    <w:rsid w:val="00A54694"/>
    <w:rsid w:val="00A55DC4"/>
    <w:rsid w:val="00A574C9"/>
    <w:rsid w:val="00A57FAB"/>
    <w:rsid w:val="00A60F1A"/>
    <w:rsid w:val="00A610C1"/>
    <w:rsid w:val="00A61473"/>
    <w:rsid w:val="00A61D00"/>
    <w:rsid w:val="00A626FF"/>
    <w:rsid w:val="00A659A8"/>
    <w:rsid w:val="00A65C8D"/>
    <w:rsid w:val="00A66528"/>
    <w:rsid w:val="00A70258"/>
    <w:rsid w:val="00A70481"/>
    <w:rsid w:val="00A70AD0"/>
    <w:rsid w:val="00A70B2A"/>
    <w:rsid w:val="00A70F33"/>
    <w:rsid w:val="00A7133F"/>
    <w:rsid w:val="00A722DB"/>
    <w:rsid w:val="00A72C66"/>
    <w:rsid w:val="00A737F4"/>
    <w:rsid w:val="00A745C5"/>
    <w:rsid w:val="00A7487F"/>
    <w:rsid w:val="00A74B5B"/>
    <w:rsid w:val="00A7569F"/>
    <w:rsid w:val="00A75914"/>
    <w:rsid w:val="00A75CAD"/>
    <w:rsid w:val="00A76EFB"/>
    <w:rsid w:val="00A776C8"/>
    <w:rsid w:val="00A82164"/>
    <w:rsid w:val="00A829A1"/>
    <w:rsid w:val="00A82C3C"/>
    <w:rsid w:val="00A832A5"/>
    <w:rsid w:val="00A83A80"/>
    <w:rsid w:val="00A871E1"/>
    <w:rsid w:val="00A87C71"/>
    <w:rsid w:val="00A90D1B"/>
    <w:rsid w:val="00A94773"/>
    <w:rsid w:val="00A948DA"/>
    <w:rsid w:val="00A97B1A"/>
    <w:rsid w:val="00AA0FE7"/>
    <w:rsid w:val="00AA17B5"/>
    <w:rsid w:val="00AA26ED"/>
    <w:rsid w:val="00AA3A1C"/>
    <w:rsid w:val="00AA5A8A"/>
    <w:rsid w:val="00AA69C1"/>
    <w:rsid w:val="00AA78F1"/>
    <w:rsid w:val="00AA78FF"/>
    <w:rsid w:val="00AB00D2"/>
    <w:rsid w:val="00AB0CF7"/>
    <w:rsid w:val="00AB233B"/>
    <w:rsid w:val="00AB2AF4"/>
    <w:rsid w:val="00AB3886"/>
    <w:rsid w:val="00AB3B3E"/>
    <w:rsid w:val="00AB60F2"/>
    <w:rsid w:val="00AB6E96"/>
    <w:rsid w:val="00AB7B60"/>
    <w:rsid w:val="00AC0563"/>
    <w:rsid w:val="00AC0C4F"/>
    <w:rsid w:val="00AC15A0"/>
    <w:rsid w:val="00AC270D"/>
    <w:rsid w:val="00AC275E"/>
    <w:rsid w:val="00AC2D6D"/>
    <w:rsid w:val="00AC3CC7"/>
    <w:rsid w:val="00AC3CE5"/>
    <w:rsid w:val="00AC3FD9"/>
    <w:rsid w:val="00AC5381"/>
    <w:rsid w:val="00AC6719"/>
    <w:rsid w:val="00AC7AFD"/>
    <w:rsid w:val="00AD12A5"/>
    <w:rsid w:val="00AD1BB6"/>
    <w:rsid w:val="00AD1EC0"/>
    <w:rsid w:val="00AD2180"/>
    <w:rsid w:val="00AD2727"/>
    <w:rsid w:val="00AD28CF"/>
    <w:rsid w:val="00AD2EE1"/>
    <w:rsid w:val="00AD3988"/>
    <w:rsid w:val="00AD49B5"/>
    <w:rsid w:val="00AD56A1"/>
    <w:rsid w:val="00AD5B59"/>
    <w:rsid w:val="00AD60BC"/>
    <w:rsid w:val="00AE0001"/>
    <w:rsid w:val="00AE00B4"/>
    <w:rsid w:val="00AE0301"/>
    <w:rsid w:val="00AE1161"/>
    <w:rsid w:val="00AE1B67"/>
    <w:rsid w:val="00AE2BA0"/>
    <w:rsid w:val="00AE2D6A"/>
    <w:rsid w:val="00AE42AC"/>
    <w:rsid w:val="00AE4BD2"/>
    <w:rsid w:val="00AE4E93"/>
    <w:rsid w:val="00AE50CC"/>
    <w:rsid w:val="00AE52C7"/>
    <w:rsid w:val="00AE78DA"/>
    <w:rsid w:val="00AF0531"/>
    <w:rsid w:val="00AF091D"/>
    <w:rsid w:val="00AF17F4"/>
    <w:rsid w:val="00AF4E21"/>
    <w:rsid w:val="00AF51E5"/>
    <w:rsid w:val="00AF52A1"/>
    <w:rsid w:val="00AF5ED5"/>
    <w:rsid w:val="00AF64C3"/>
    <w:rsid w:val="00AF75DF"/>
    <w:rsid w:val="00AF761C"/>
    <w:rsid w:val="00AF7FBB"/>
    <w:rsid w:val="00B0006B"/>
    <w:rsid w:val="00B00F71"/>
    <w:rsid w:val="00B01E0C"/>
    <w:rsid w:val="00B0247C"/>
    <w:rsid w:val="00B0323C"/>
    <w:rsid w:val="00B04A54"/>
    <w:rsid w:val="00B058FD"/>
    <w:rsid w:val="00B06A46"/>
    <w:rsid w:val="00B06AC3"/>
    <w:rsid w:val="00B073C4"/>
    <w:rsid w:val="00B10393"/>
    <w:rsid w:val="00B11D7D"/>
    <w:rsid w:val="00B12675"/>
    <w:rsid w:val="00B128B8"/>
    <w:rsid w:val="00B13851"/>
    <w:rsid w:val="00B15012"/>
    <w:rsid w:val="00B1572E"/>
    <w:rsid w:val="00B15CE9"/>
    <w:rsid w:val="00B16E5C"/>
    <w:rsid w:val="00B1736B"/>
    <w:rsid w:val="00B17E58"/>
    <w:rsid w:val="00B20C95"/>
    <w:rsid w:val="00B215DF"/>
    <w:rsid w:val="00B21699"/>
    <w:rsid w:val="00B2325D"/>
    <w:rsid w:val="00B232F8"/>
    <w:rsid w:val="00B235D2"/>
    <w:rsid w:val="00B24345"/>
    <w:rsid w:val="00B24B97"/>
    <w:rsid w:val="00B25989"/>
    <w:rsid w:val="00B309A8"/>
    <w:rsid w:val="00B31305"/>
    <w:rsid w:val="00B340D1"/>
    <w:rsid w:val="00B35483"/>
    <w:rsid w:val="00B35EF5"/>
    <w:rsid w:val="00B36E94"/>
    <w:rsid w:val="00B37971"/>
    <w:rsid w:val="00B37E24"/>
    <w:rsid w:val="00B40E3D"/>
    <w:rsid w:val="00B41347"/>
    <w:rsid w:val="00B413AB"/>
    <w:rsid w:val="00B4352F"/>
    <w:rsid w:val="00B435F3"/>
    <w:rsid w:val="00B45E96"/>
    <w:rsid w:val="00B46313"/>
    <w:rsid w:val="00B47282"/>
    <w:rsid w:val="00B5068E"/>
    <w:rsid w:val="00B528B8"/>
    <w:rsid w:val="00B52B71"/>
    <w:rsid w:val="00B538D7"/>
    <w:rsid w:val="00B5568B"/>
    <w:rsid w:val="00B56CF9"/>
    <w:rsid w:val="00B57012"/>
    <w:rsid w:val="00B572A8"/>
    <w:rsid w:val="00B60287"/>
    <w:rsid w:val="00B61418"/>
    <w:rsid w:val="00B61CDD"/>
    <w:rsid w:val="00B62243"/>
    <w:rsid w:val="00B63962"/>
    <w:rsid w:val="00B63AE2"/>
    <w:rsid w:val="00B64A92"/>
    <w:rsid w:val="00B64AA7"/>
    <w:rsid w:val="00B64FD1"/>
    <w:rsid w:val="00B670EF"/>
    <w:rsid w:val="00B70250"/>
    <w:rsid w:val="00B70673"/>
    <w:rsid w:val="00B74034"/>
    <w:rsid w:val="00B745F3"/>
    <w:rsid w:val="00B7475B"/>
    <w:rsid w:val="00B75000"/>
    <w:rsid w:val="00B756CB"/>
    <w:rsid w:val="00B7640B"/>
    <w:rsid w:val="00B77005"/>
    <w:rsid w:val="00B77651"/>
    <w:rsid w:val="00B80D9E"/>
    <w:rsid w:val="00B83B80"/>
    <w:rsid w:val="00B8432E"/>
    <w:rsid w:val="00B84340"/>
    <w:rsid w:val="00B84A2C"/>
    <w:rsid w:val="00B84E31"/>
    <w:rsid w:val="00B85197"/>
    <w:rsid w:val="00B85ECE"/>
    <w:rsid w:val="00B8662E"/>
    <w:rsid w:val="00B90808"/>
    <w:rsid w:val="00B90B6E"/>
    <w:rsid w:val="00B914A4"/>
    <w:rsid w:val="00B9350F"/>
    <w:rsid w:val="00B941FC"/>
    <w:rsid w:val="00B9495E"/>
    <w:rsid w:val="00B94AEC"/>
    <w:rsid w:val="00B97EBA"/>
    <w:rsid w:val="00BA00DB"/>
    <w:rsid w:val="00BA01A6"/>
    <w:rsid w:val="00BA1CA3"/>
    <w:rsid w:val="00BA1F95"/>
    <w:rsid w:val="00BA1FDA"/>
    <w:rsid w:val="00BA2044"/>
    <w:rsid w:val="00BA2ECF"/>
    <w:rsid w:val="00BA5101"/>
    <w:rsid w:val="00BA5CC2"/>
    <w:rsid w:val="00BA601C"/>
    <w:rsid w:val="00BA639C"/>
    <w:rsid w:val="00BA66F4"/>
    <w:rsid w:val="00BA6F16"/>
    <w:rsid w:val="00BA740D"/>
    <w:rsid w:val="00BA74A4"/>
    <w:rsid w:val="00BB16A7"/>
    <w:rsid w:val="00BB1868"/>
    <w:rsid w:val="00BB1B17"/>
    <w:rsid w:val="00BB27EB"/>
    <w:rsid w:val="00BB2DDE"/>
    <w:rsid w:val="00BB2FD4"/>
    <w:rsid w:val="00BB3137"/>
    <w:rsid w:val="00BB5DFA"/>
    <w:rsid w:val="00BB5EDE"/>
    <w:rsid w:val="00BB7334"/>
    <w:rsid w:val="00BB7BE0"/>
    <w:rsid w:val="00BB7C01"/>
    <w:rsid w:val="00BC0565"/>
    <w:rsid w:val="00BC093A"/>
    <w:rsid w:val="00BC0C00"/>
    <w:rsid w:val="00BC0CD7"/>
    <w:rsid w:val="00BC14EE"/>
    <w:rsid w:val="00BC1A83"/>
    <w:rsid w:val="00BC2AE8"/>
    <w:rsid w:val="00BC2E7E"/>
    <w:rsid w:val="00BC36CC"/>
    <w:rsid w:val="00BC4ACC"/>
    <w:rsid w:val="00BC4C3F"/>
    <w:rsid w:val="00BC6CC7"/>
    <w:rsid w:val="00BC7046"/>
    <w:rsid w:val="00BC7C27"/>
    <w:rsid w:val="00BD069B"/>
    <w:rsid w:val="00BD0861"/>
    <w:rsid w:val="00BD0CAE"/>
    <w:rsid w:val="00BD1764"/>
    <w:rsid w:val="00BD1E41"/>
    <w:rsid w:val="00BD357D"/>
    <w:rsid w:val="00BD3B9C"/>
    <w:rsid w:val="00BD50BB"/>
    <w:rsid w:val="00BD5662"/>
    <w:rsid w:val="00BD60A4"/>
    <w:rsid w:val="00BD70D5"/>
    <w:rsid w:val="00BD76A4"/>
    <w:rsid w:val="00BE0176"/>
    <w:rsid w:val="00BE21DC"/>
    <w:rsid w:val="00BE2E4E"/>
    <w:rsid w:val="00BE4466"/>
    <w:rsid w:val="00BE4590"/>
    <w:rsid w:val="00BE58AF"/>
    <w:rsid w:val="00BE58C5"/>
    <w:rsid w:val="00BE5B37"/>
    <w:rsid w:val="00BE682A"/>
    <w:rsid w:val="00BE6E39"/>
    <w:rsid w:val="00BE7499"/>
    <w:rsid w:val="00BE7587"/>
    <w:rsid w:val="00BF08F1"/>
    <w:rsid w:val="00BF132E"/>
    <w:rsid w:val="00BF19F1"/>
    <w:rsid w:val="00BF427A"/>
    <w:rsid w:val="00BF42DA"/>
    <w:rsid w:val="00BF5625"/>
    <w:rsid w:val="00BF57ED"/>
    <w:rsid w:val="00BF7239"/>
    <w:rsid w:val="00BF7E0C"/>
    <w:rsid w:val="00C02908"/>
    <w:rsid w:val="00C03679"/>
    <w:rsid w:val="00C03AED"/>
    <w:rsid w:val="00C0445B"/>
    <w:rsid w:val="00C05C87"/>
    <w:rsid w:val="00C05E53"/>
    <w:rsid w:val="00C0612C"/>
    <w:rsid w:val="00C06FB4"/>
    <w:rsid w:val="00C074D3"/>
    <w:rsid w:val="00C07C7D"/>
    <w:rsid w:val="00C07E26"/>
    <w:rsid w:val="00C07E83"/>
    <w:rsid w:val="00C101EA"/>
    <w:rsid w:val="00C12802"/>
    <w:rsid w:val="00C128D3"/>
    <w:rsid w:val="00C12CB2"/>
    <w:rsid w:val="00C13E25"/>
    <w:rsid w:val="00C14A22"/>
    <w:rsid w:val="00C15199"/>
    <w:rsid w:val="00C1543D"/>
    <w:rsid w:val="00C15779"/>
    <w:rsid w:val="00C15920"/>
    <w:rsid w:val="00C167AD"/>
    <w:rsid w:val="00C17D0A"/>
    <w:rsid w:val="00C217A8"/>
    <w:rsid w:val="00C21FC1"/>
    <w:rsid w:val="00C220D5"/>
    <w:rsid w:val="00C2274E"/>
    <w:rsid w:val="00C22B45"/>
    <w:rsid w:val="00C22D22"/>
    <w:rsid w:val="00C23459"/>
    <w:rsid w:val="00C24300"/>
    <w:rsid w:val="00C25249"/>
    <w:rsid w:val="00C25945"/>
    <w:rsid w:val="00C265F9"/>
    <w:rsid w:val="00C27495"/>
    <w:rsid w:val="00C276AC"/>
    <w:rsid w:val="00C3282A"/>
    <w:rsid w:val="00C33E7D"/>
    <w:rsid w:val="00C341A4"/>
    <w:rsid w:val="00C3592D"/>
    <w:rsid w:val="00C3723D"/>
    <w:rsid w:val="00C37CAE"/>
    <w:rsid w:val="00C40E6C"/>
    <w:rsid w:val="00C40F6F"/>
    <w:rsid w:val="00C445E5"/>
    <w:rsid w:val="00C451EF"/>
    <w:rsid w:val="00C45A7C"/>
    <w:rsid w:val="00C464FD"/>
    <w:rsid w:val="00C46E75"/>
    <w:rsid w:val="00C479DF"/>
    <w:rsid w:val="00C5066B"/>
    <w:rsid w:val="00C50BD8"/>
    <w:rsid w:val="00C517C6"/>
    <w:rsid w:val="00C53008"/>
    <w:rsid w:val="00C53D94"/>
    <w:rsid w:val="00C556D8"/>
    <w:rsid w:val="00C561B7"/>
    <w:rsid w:val="00C56234"/>
    <w:rsid w:val="00C56DD2"/>
    <w:rsid w:val="00C56DD9"/>
    <w:rsid w:val="00C56F19"/>
    <w:rsid w:val="00C6000B"/>
    <w:rsid w:val="00C62E5F"/>
    <w:rsid w:val="00C6342B"/>
    <w:rsid w:val="00C639A4"/>
    <w:rsid w:val="00C63E67"/>
    <w:rsid w:val="00C63E98"/>
    <w:rsid w:val="00C643E9"/>
    <w:rsid w:val="00C64AE1"/>
    <w:rsid w:val="00C64E7D"/>
    <w:rsid w:val="00C66141"/>
    <w:rsid w:val="00C66D67"/>
    <w:rsid w:val="00C7053A"/>
    <w:rsid w:val="00C70BD9"/>
    <w:rsid w:val="00C70BE2"/>
    <w:rsid w:val="00C72248"/>
    <w:rsid w:val="00C7328F"/>
    <w:rsid w:val="00C73E9F"/>
    <w:rsid w:val="00C768C9"/>
    <w:rsid w:val="00C77CFB"/>
    <w:rsid w:val="00C8017F"/>
    <w:rsid w:val="00C803F3"/>
    <w:rsid w:val="00C80B9A"/>
    <w:rsid w:val="00C81611"/>
    <w:rsid w:val="00C818CC"/>
    <w:rsid w:val="00C82C0A"/>
    <w:rsid w:val="00C8452B"/>
    <w:rsid w:val="00C85363"/>
    <w:rsid w:val="00C855F2"/>
    <w:rsid w:val="00C857BD"/>
    <w:rsid w:val="00C86A50"/>
    <w:rsid w:val="00C874E4"/>
    <w:rsid w:val="00C87C1E"/>
    <w:rsid w:val="00C90A50"/>
    <w:rsid w:val="00C91610"/>
    <w:rsid w:val="00C92C9B"/>
    <w:rsid w:val="00C92F7B"/>
    <w:rsid w:val="00C936EA"/>
    <w:rsid w:val="00C93A57"/>
    <w:rsid w:val="00C96B74"/>
    <w:rsid w:val="00C96E7E"/>
    <w:rsid w:val="00CA00F9"/>
    <w:rsid w:val="00CA03AC"/>
    <w:rsid w:val="00CA162D"/>
    <w:rsid w:val="00CA1F03"/>
    <w:rsid w:val="00CA3934"/>
    <w:rsid w:val="00CA3B6B"/>
    <w:rsid w:val="00CA3D70"/>
    <w:rsid w:val="00CA4D57"/>
    <w:rsid w:val="00CA4ECE"/>
    <w:rsid w:val="00CA5C90"/>
    <w:rsid w:val="00CA63B8"/>
    <w:rsid w:val="00CB002D"/>
    <w:rsid w:val="00CB0095"/>
    <w:rsid w:val="00CB0EAD"/>
    <w:rsid w:val="00CB13B6"/>
    <w:rsid w:val="00CB43CA"/>
    <w:rsid w:val="00CB5253"/>
    <w:rsid w:val="00CB5D31"/>
    <w:rsid w:val="00CB6566"/>
    <w:rsid w:val="00CB7516"/>
    <w:rsid w:val="00CB7651"/>
    <w:rsid w:val="00CC02A0"/>
    <w:rsid w:val="00CC0C60"/>
    <w:rsid w:val="00CC211B"/>
    <w:rsid w:val="00CC38DC"/>
    <w:rsid w:val="00CC394A"/>
    <w:rsid w:val="00CC3EAB"/>
    <w:rsid w:val="00CC43CD"/>
    <w:rsid w:val="00CC65B0"/>
    <w:rsid w:val="00CC6C90"/>
    <w:rsid w:val="00CC7A52"/>
    <w:rsid w:val="00CC7C44"/>
    <w:rsid w:val="00CC7D80"/>
    <w:rsid w:val="00CD00C2"/>
    <w:rsid w:val="00CD0700"/>
    <w:rsid w:val="00CD3B71"/>
    <w:rsid w:val="00CD3BF9"/>
    <w:rsid w:val="00CD3D70"/>
    <w:rsid w:val="00CD4079"/>
    <w:rsid w:val="00CD476F"/>
    <w:rsid w:val="00CD49E7"/>
    <w:rsid w:val="00CD5632"/>
    <w:rsid w:val="00CD5925"/>
    <w:rsid w:val="00CD6498"/>
    <w:rsid w:val="00CD73FE"/>
    <w:rsid w:val="00CD7DA0"/>
    <w:rsid w:val="00CE001D"/>
    <w:rsid w:val="00CE08DC"/>
    <w:rsid w:val="00CE0EE4"/>
    <w:rsid w:val="00CE2D57"/>
    <w:rsid w:val="00CE32F1"/>
    <w:rsid w:val="00CE3847"/>
    <w:rsid w:val="00CE3BBC"/>
    <w:rsid w:val="00CE43A4"/>
    <w:rsid w:val="00CE4CE5"/>
    <w:rsid w:val="00CE4FC6"/>
    <w:rsid w:val="00CE557A"/>
    <w:rsid w:val="00CE5738"/>
    <w:rsid w:val="00CE6132"/>
    <w:rsid w:val="00CE681A"/>
    <w:rsid w:val="00CF1040"/>
    <w:rsid w:val="00CF2143"/>
    <w:rsid w:val="00CF2346"/>
    <w:rsid w:val="00CF3222"/>
    <w:rsid w:val="00CF3B39"/>
    <w:rsid w:val="00CF4710"/>
    <w:rsid w:val="00CF773D"/>
    <w:rsid w:val="00CF77F5"/>
    <w:rsid w:val="00D00000"/>
    <w:rsid w:val="00D0198F"/>
    <w:rsid w:val="00D01AE0"/>
    <w:rsid w:val="00D01C2E"/>
    <w:rsid w:val="00D01DB8"/>
    <w:rsid w:val="00D02F43"/>
    <w:rsid w:val="00D035C8"/>
    <w:rsid w:val="00D03E17"/>
    <w:rsid w:val="00D04A49"/>
    <w:rsid w:val="00D05312"/>
    <w:rsid w:val="00D06C37"/>
    <w:rsid w:val="00D0708C"/>
    <w:rsid w:val="00D10D7F"/>
    <w:rsid w:val="00D120EC"/>
    <w:rsid w:val="00D1228A"/>
    <w:rsid w:val="00D136E6"/>
    <w:rsid w:val="00D137D6"/>
    <w:rsid w:val="00D1410C"/>
    <w:rsid w:val="00D145FA"/>
    <w:rsid w:val="00D1465B"/>
    <w:rsid w:val="00D15F6E"/>
    <w:rsid w:val="00D17496"/>
    <w:rsid w:val="00D17A54"/>
    <w:rsid w:val="00D17D19"/>
    <w:rsid w:val="00D20101"/>
    <w:rsid w:val="00D209D0"/>
    <w:rsid w:val="00D210C7"/>
    <w:rsid w:val="00D21401"/>
    <w:rsid w:val="00D21ABC"/>
    <w:rsid w:val="00D229B8"/>
    <w:rsid w:val="00D2487F"/>
    <w:rsid w:val="00D24F47"/>
    <w:rsid w:val="00D26681"/>
    <w:rsid w:val="00D26D95"/>
    <w:rsid w:val="00D27A88"/>
    <w:rsid w:val="00D30807"/>
    <w:rsid w:val="00D30AFE"/>
    <w:rsid w:val="00D31245"/>
    <w:rsid w:val="00D31B29"/>
    <w:rsid w:val="00D31C32"/>
    <w:rsid w:val="00D32B96"/>
    <w:rsid w:val="00D33A42"/>
    <w:rsid w:val="00D34371"/>
    <w:rsid w:val="00D40D83"/>
    <w:rsid w:val="00D4154B"/>
    <w:rsid w:val="00D42B39"/>
    <w:rsid w:val="00D42E98"/>
    <w:rsid w:val="00D4443C"/>
    <w:rsid w:val="00D45E3E"/>
    <w:rsid w:val="00D4620B"/>
    <w:rsid w:val="00D46AE5"/>
    <w:rsid w:val="00D47FB3"/>
    <w:rsid w:val="00D51127"/>
    <w:rsid w:val="00D529AE"/>
    <w:rsid w:val="00D53B1D"/>
    <w:rsid w:val="00D5452B"/>
    <w:rsid w:val="00D54A3A"/>
    <w:rsid w:val="00D54B5C"/>
    <w:rsid w:val="00D553D1"/>
    <w:rsid w:val="00D55BDF"/>
    <w:rsid w:val="00D5611A"/>
    <w:rsid w:val="00D57799"/>
    <w:rsid w:val="00D57F79"/>
    <w:rsid w:val="00D601C8"/>
    <w:rsid w:val="00D6033F"/>
    <w:rsid w:val="00D60852"/>
    <w:rsid w:val="00D60964"/>
    <w:rsid w:val="00D6306F"/>
    <w:rsid w:val="00D630CD"/>
    <w:rsid w:val="00D65621"/>
    <w:rsid w:val="00D66583"/>
    <w:rsid w:val="00D66784"/>
    <w:rsid w:val="00D66A5B"/>
    <w:rsid w:val="00D66D37"/>
    <w:rsid w:val="00D66E71"/>
    <w:rsid w:val="00D67329"/>
    <w:rsid w:val="00D67D11"/>
    <w:rsid w:val="00D70A8D"/>
    <w:rsid w:val="00D70E67"/>
    <w:rsid w:val="00D72F2F"/>
    <w:rsid w:val="00D736D3"/>
    <w:rsid w:val="00D738EC"/>
    <w:rsid w:val="00D739DF"/>
    <w:rsid w:val="00D7477A"/>
    <w:rsid w:val="00D74A71"/>
    <w:rsid w:val="00D75156"/>
    <w:rsid w:val="00D7526E"/>
    <w:rsid w:val="00D76259"/>
    <w:rsid w:val="00D7799C"/>
    <w:rsid w:val="00D800A0"/>
    <w:rsid w:val="00D805AB"/>
    <w:rsid w:val="00D81884"/>
    <w:rsid w:val="00D81D0B"/>
    <w:rsid w:val="00D82B9E"/>
    <w:rsid w:val="00D82CED"/>
    <w:rsid w:val="00D830DD"/>
    <w:rsid w:val="00D832CC"/>
    <w:rsid w:val="00D8333A"/>
    <w:rsid w:val="00D834EC"/>
    <w:rsid w:val="00D90363"/>
    <w:rsid w:val="00D904F0"/>
    <w:rsid w:val="00D91378"/>
    <w:rsid w:val="00D91D4C"/>
    <w:rsid w:val="00D922F4"/>
    <w:rsid w:val="00D92D74"/>
    <w:rsid w:val="00D93637"/>
    <w:rsid w:val="00D938DD"/>
    <w:rsid w:val="00D94423"/>
    <w:rsid w:val="00D9543E"/>
    <w:rsid w:val="00D95948"/>
    <w:rsid w:val="00D95F5E"/>
    <w:rsid w:val="00D96CDD"/>
    <w:rsid w:val="00D97F4D"/>
    <w:rsid w:val="00DA0147"/>
    <w:rsid w:val="00DA091B"/>
    <w:rsid w:val="00DA21B5"/>
    <w:rsid w:val="00DA23A9"/>
    <w:rsid w:val="00DA3E86"/>
    <w:rsid w:val="00DA47DC"/>
    <w:rsid w:val="00DA6D9A"/>
    <w:rsid w:val="00DA7B3F"/>
    <w:rsid w:val="00DB0364"/>
    <w:rsid w:val="00DB1C4B"/>
    <w:rsid w:val="00DB1F82"/>
    <w:rsid w:val="00DB1FDB"/>
    <w:rsid w:val="00DB2290"/>
    <w:rsid w:val="00DB255A"/>
    <w:rsid w:val="00DB282A"/>
    <w:rsid w:val="00DB2A05"/>
    <w:rsid w:val="00DB2DB4"/>
    <w:rsid w:val="00DB44F7"/>
    <w:rsid w:val="00DB45A6"/>
    <w:rsid w:val="00DB4DCF"/>
    <w:rsid w:val="00DB4E63"/>
    <w:rsid w:val="00DB64A1"/>
    <w:rsid w:val="00DB65B2"/>
    <w:rsid w:val="00DB6C3C"/>
    <w:rsid w:val="00DC0905"/>
    <w:rsid w:val="00DC1EC2"/>
    <w:rsid w:val="00DC2B2F"/>
    <w:rsid w:val="00DC2F74"/>
    <w:rsid w:val="00DC35B9"/>
    <w:rsid w:val="00DC39F9"/>
    <w:rsid w:val="00DC3F88"/>
    <w:rsid w:val="00DC4270"/>
    <w:rsid w:val="00DC4758"/>
    <w:rsid w:val="00DC4D5B"/>
    <w:rsid w:val="00DC4DBC"/>
    <w:rsid w:val="00DC65BE"/>
    <w:rsid w:val="00DC68A2"/>
    <w:rsid w:val="00DC7909"/>
    <w:rsid w:val="00DC7DC8"/>
    <w:rsid w:val="00DD0AC3"/>
    <w:rsid w:val="00DD0D9D"/>
    <w:rsid w:val="00DD111A"/>
    <w:rsid w:val="00DD1408"/>
    <w:rsid w:val="00DD17CA"/>
    <w:rsid w:val="00DD1D60"/>
    <w:rsid w:val="00DD356D"/>
    <w:rsid w:val="00DD3754"/>
    <w:rsid w:val="00DD471C"/>
    <w:rsid w:val="00DD4F8B"/>
    <w:rsid w:val="00DD56FD"/>
    <w:rsid w:val="00DD6D8C"/>
    <w:rsid w:val="00DD7BE0"/>
    <w:rsid w:val="00DE06B1"/>
    <w:rsid w:val="00DE1F0A"/>
    <w:rsid w:val="00DE232F"/>
    <w:rsid w:val="00DE2FCC"/>
    <w:rsid w:val="00DE3CDF"/>
    <w:rsid w:val="00DE4374"/>
    <w:rsid w:val="00DE4675"/>
    <w:rsid w:val="00DE49A7"/>
    <w:rsid w:val="00DE4B90"/>
    <w:rsid w:val="00DE4F92"/>
    <w:rsid w:val="00DE5A97"/>
    <w:rsid w:val="00DE627E"/>
    <w:rsid w:val="00DE6933"/>
    <w:rsid w:val="00DE7850"/>
    <w:rsid w:val="00DE7BAC"/>
    <w:rsid w:val="00DF011F"/>
    <w:rsid w:val="00DF24B9"/>
    <w:rsid w:val="00DF2EBD"/>
    <w:rsid w:val="00DF31A6"/>
    <w:rsid w:val="00DF3AA9"/>
    <w:rsid w:val="00DF43AF"/>
    <w:rsid w:val="00DF5D5A"/>
    <w:rsid w:val="00DF6326"/>
    <w:rsid w:val="00DF6F02"/>
    <w:rsid w:val="00E0099A"/>
    <w:rsid w:val="00E012BD"/>
    <w:rsid w:val="00E0157C"/>
    <w:rsid w:val="00E018DD"/>
    <w:rsid w:val="00E026BC"/>
    <w:rsid w:val="00E03A88"/>
    <w:rsid w:val="00E04B06"/>
    <w:rsid w:val="00E06428"/>
    <w:rsid w:val="00E1027E"/>
    <w:rsid w:val="00E10A90"/>
    <w:rsid w:val="00E13808"/>
    <w:rsid w:val="00E13933"/>
    <w:rsid w:val="00E14AC9"/>
    <w:rsid w:val="00E2006E"/>
    <w:rsid w:val="00E209A9"/>
    <w:rsid w:val="00E20EE1"/>
    <w:rsid w:val="00E212F6"/>
    <w:rsid w:val="00E21CE2"/>
    <w:rsid w:val="00E2280F"/>
    <w:rsid w:val="00E22B6F"/>
    <w:rsid w:val="00E25AB7"/>
    <w:rsid w:val="00E2695F"/>
    <w:rsid w:val="00E270B1"/>
    <w:rsid w:val="00E27AEE"/>
    <w:rsid w:val="00E27B35"/>
    <w:rsid w:val="00E30010"/>
    <w:rsid w:val="00E303DD"/>
    <w:rsid w:val="00E31364"/>
    <w:rsid w:val="00E31F5C"/>
    <w:rsid w:val="00E325E7"/>
    <w:rsid w:val="00E341E2"/>
    <w:rsid w:val="00E3489E"/>
    <w:rsid w:val="00E354C8"/>
    <w:rsid w:val="00E355FD"/>
    <w:rsid w:val="00E35B0E"/>
    <w:rsid w:val="00E35CF8"/>
    <w:rsid w:val="00E36EE2"/>
    <w:rsid w:val="00E4027E"/>
    <w:rsid w:val="00E406FF"/>
    <w:rsid w:val="00E409B0"/>
    <w:rsid w:val="00E41191"/>
    <w:rsid w:val="00E412EE"/>
    <w:rsid w:val="00E41A2A"/>
    <w:rsid w:val="00E438F6"/>
    <w:rsid w:val="00E43F73"/>
    <w:rsid w:val="00E44654"/>
    <w:rsid w:val="00E44D69"/>
    <w:rsid w:val="00E44F5A"/>
    <w:rsid w:val="00E46BF9"/>
    <w:rsid w:val="00E53C8B"/>
    <w:rsid w:val="00E54030"/>
    <w:rsid w:val="00E546A3"/>
    <w:rsid w:val="00E547B5"/>
    <w:rsid w:val="00E56C49"/>
    <w:rsid w:val="00E57BD5"/>
    <w:rsid w:val="00E60923"/>
    <w:rsid w:val="00E6102D"/>
    <w:rsid w:val="00E6172A"/>
    <w:rsid w:val="00E626B9"/>
    <w:rsid w:val="00E63043"/>
    <w:rsid w:val="00E63AC8"/>
    <w:rsid w:val="00E63BB8"/>
    <w:rsid w:val="00E64020"/>
    <w:rsid w:val="00E64021"/>
    <w:rsid w:val="00E653EC"/>
    <w:rsid w:val="00E66C41"/>
    <w:rsid w:val="00E67BFD"/>
    <w:rsid w:val="00E67E25"/>
    <w:rsid w:val="00E70D5F"/>
    <w:rsid w:val="00E714F6"/>
    <w:rsid w:val="00E71A07"/>
    <w:rsid w:val="00E7359D"/>
    <w:rsid w:val="00E73743"/>
    <w:rsid w:val="00E737AC"/>
    <w:rsid w:val="00E75935"/>
    <w:rsid w:val="00E767CD"/>
    <w:rsid w:val="00E7708C"/>
    <w:rsid w:val="00E77279"/>
    <w:rsid w:val="00E8023D"/>
    <w:rsid w:val="00E80E63"/>
    <w:rsid w:val="00E81083"/>
    <w:rsid w:val="00E81416"/>
    <w:rsid w:val="00E8359B"/>
    <w:rsid w:val="00E83834"/>
    <w:rsid w:val="00E83907"/>
    <w:rsid w:val="00E84012"/>
    <w:rsid w:val="00E84B88"/>
    <w:rsid w:val="00E85651"/>
    <w:rsid w:val="00E90219"/>
    <w:rsid w:val="00E90260"/>
    <w:rsid w:val="00E9046C"/>
    <w:rsid w:val="00E905B3"/>
    <w:rsid w:val="00E90B87"/>
    <w:rsid w:val="00E90EED"/>
    <w:rsid w:val="00E91218"/>
    <w:rsid w:val="00E919B9"/>
    <w:rsid w:val="00E9263B"/>
    <w:rsid w:val="00E92E2B"/>
    <w:rsid w:val="00E937E8"/>
    <w:rsid w:val="00E94096"/>
    <w:rsid w:val="00E942C2"/>
    <w:rsid w:val="00EA0724"/>
    <w:rsid w:val="00EA1E6E"/>
    <w:rsid w:val="00EA3773"/>
    <w:rsid w:val="00EA4E7F"/>
    <w:rsid w:val="00EA51D2"/>
    <w:rsid w:val="00EA565D"/>
    <w:rsid w:val="00EA6754"/>
    <w:rsid w:val="00EB0196"/>
    <w:rsid w:val="00EB0322"/>
    <w:rsid w:val="00EB28F3"/>
    <w:rsid w:val="00EB3A91"/>
    <w:rsid w:val="00EB3B44"/>
    <w:rsid w:val="00EB408B"/>
    <w:rsid w:val="00EB43F3"/>
    <w:rsid w:val="00EB4D24"/>
    <w:rsid w:val="00EB517D"/>
    <w:rsid w:val="00EB59B6"/>
    <w:rsid w:val="00EB6414"/>
    <w:rsid w:val="00EC25B4"/>
    <w:rsid w:val="00EC306B"/>
    <w:rsid w:val="00EC4BC8"/>
    <w:rsid w:val="00EC59B4"/>
    <w:rsid w:val="00EC59B6"/>
    <w:rsid w:val="00EC6C09"/>
    <w:rsid w:val="00EC7390"/>
    <w:rsid w:val="00ED0663"/>
    <w:rsid w:val="00ED229A"/>
    <w:rsid w:val="00ED2488"/>
    <w:rsid w:val="00ED27A7"/>
    <w:rsid w:val="00ED3895"/>
    <w:rsid w:val="00ED3982"/>
    <w:rsid w:val="00ED51D8"/>
    <w:rsid w:val="00ED6FD8"/>
    <w:rsid w:val="00ED75CF"/>
    <w:rsid w:val="00EE13B1"/>
    <w:rsid w:val="00EE1658"/>
    <w:rsid w:val="00EE1D12"/>
    <w:rsid w:val="00EE1D90"/>
    <w:rsid w:val="00EE2116"/>
    <w:rsid w:val="00EE44F5"/>
    <w:rsid w:val="00EE5630"/>
    <w:rsid w:val="00EE640B"/>
    <w:rsid w:val="00EE66E6"/>
    <w:rsid w:val="00EE67AA"/>
    <w:rsid w:val="00EE76E9"/>
    <w:rsid w:val="00EF013D"/>
    <w:rsid w:val="00EF0712"/>
    <w:rsid w:val="00EF12DD"/>
    <w:rsid w:val="00EF1520"/>
    <w:rsid w:val="00EF26FC"/>
    <w:rsid w:val="00EF281F"/>
    <w:rsid w:val="00EF2BB0"/>
    <w:rsid w:val="00EF2CAD"/>
    <w:rsid w:val="00EF2DDE"/>
    <w:rsid w:val="00EF3C00"/>
    <w:rsid w:val="00EF5150"/>
    <w:rsid w:val="00EF6C57"/>
    <w:rsid w:val="00EF791F"/>
    <w:rsid w:val="00EF79F8"/>
    <w:rsid w:val="00EF7B3B"/>
    <w:rsid w:val="00F0002C"/>
    <w:rsid w:val="00F00AE7"/>
    <w:rsid w:val="00F00CB3"/>
    <w:rsid w:val="00F013E2"/>
    <w:rsid w:val="00F02B72"/>
    <w:rsid w:val="00F03E7B"/>
    <w:rsid w:val="00F0408A"/>
    <w:rsid w:val="00F04093"/>
    <w:rsid w:val="00F056AE"/>
    <w:rsid w:val="00F05719"/>
    <w:rsid w:val="00F058DC"/>
    <w:rsid w:val="00F05BA1"/>
    <w:rsid w:val="00F06EEA"/>
    <w:rsid w:val="00F0733B"/>
    <w:rsid w:val="00F07FB4"/>
    <w:rsid w:val="00F10554"/>
    <w:rsid w:val="00F1317B"/>
    <w:rsid w:val="00F1348D"/>
    <w:rsid w:val="00F136B4"/>
    <w:rsid w:val="00F14C32"/>
    <w:rsid w:val="00F15A6F"/>
    <w:rsid w:val="00F200EB"/>
    <w:rsid w:val="00F20195"/>
    <w:rsid w:val="00F20290"/>
    <w:rsid w:val="00F20959"/>
    <w:rsid w:val="00F20A24"/>
    <w:rsid w:val="00F211F4"/>
    <w:rsid w:val="00F22296"/>
    <w:rsid w:val="00F223F1"/>
    <w:rsid w:val="00F22523"/>
    <w:rsid w:val="00F251CD"/>
    <w:rsid w:val="00F2561C"/>
    <w:rsid w:val="00F258DE"/>
    <w:rsid w:val="00F25D39"/>
    <w:rsid w:val="00F2612C"/>
    <w:rsid w:val="00F26565"/>
    <w:rsid w:val="00F27673"/>
    <w:rsid w:val="00F27E07"/>
    <w:rsid w:val="00F27EDD"/>
    <w:rsid w:val="00F321CF"/>
    <w:rsid w:val="00F34813"/>
    <w:rsid w:val="00F34F7A"/>
    <w:rsid w:val="00F35DD2"/>
    <w:rsid w:val="00F36459"/>
    <w:rsid w:val="00F36C34"/>
    <w:rsid w:val="00F36F74"/>
    <w:rsid w:val="00F37525"/>
    <w:rsid w:val="00F37741"/>
    <w:rsid w:val="00F411AC"/>
    <w:rsid w:val="00F43A86"/>
    <w:rsid w:val="00F43D3B"/>
    <w:rsid w:val="00F45C8F"/>
    <w:rsid w:val="00F46928"/>
    <w:rsid w:val="00F4708E"/>
    <w:rsid w:val="00F47C18"/>
    <w:rsid w:val="00F50478"/>
    <w:rsid w:val="00F50BCC"/>
    <w:rsid w:val="00F51815"/>
    <w:rsid w:val="00F5341C"/>
    <w:rsid w:val="00F53A5B"/>
    <w:rsid w:val="00F53DF4"/>
    <w:rsid w:val="00F5455C"/>
    <w:rsid w:val="00F55C19"/>
    <w:rsid w:val="00F5791E"/>
    <w:rsid w:val="00F60A21"/>
    <w:rsid w:val="00F657A1"/>
    <w:rsid w:val="00F65DB5"/>
    <w:rsid w:val="00F67FF6"/>
    <w:rsid w:val="00F70D4C"/>
    <w:rsid w:val="00F72E8E"/>
    <w:rsid w:val="00F73057"/>
    <w:rsid w:val="00F73265"/>
    <w:rsid w:val="00F73509"/>
    <w:rsid w:val="00F74B80"/>
    <w:rsid w:val="00F74B9B"/>
    <w:rsid w:val="00F75535"/>
    <w:rsid w:val="00F7557A"/>
    <w:rsid w:val="00F767E8"/>
    <w:rsid w:val="00F7752A"/>
    <w:rsid w:val="00F7760E"/>
    <w:rsid w:val="00F80478"/>
    <w:rsid w:val="00F81564"/>
    <w:rsid w:val="00F833CE"/>
    <w:rsid w:val="00F8426C"/>
    <w:rsid w:val="00F843CD"/>
    <w:rsid w:val="00F8461E"/>
    <w:rsid w:val="00F84A10"/>
    <w:rsid w:val="00F853F8"/>
    <w:rsid w:val="00F85A76"/>
    <w:rsid w:val="00F86B3D"/>
    <w:rsid w:val="00F8709A"/>
    <w:rsid w:val="00F90327"/>
    <w:rsid w:val="00F918BC"/>
    <w:rsid w:val="00F91D9B"/>
    <w:rsid w:val="00F91FE6"/>
    <w:rsid w:val="00F930EE"/>
    <w:rsid w:val="00F94481"/>
    <w:rsid w:val="00F95761"/>
    <w:rsid w:val="00F9760A"/>
    <w:rsid w:val="00F97B25"/>
    <w:rsid w:val="00FA0531"/>
    <w:rsid w:val="00FA21AC"/>
    <w:rsid w:val="00FA4774"/>
    <w:rsid w:val="00FA5A7B"/>
    <w:rsid w:val="00FA7745"/>
    <w:rsid w:val="00FA780B"/>
    <w:rsid w:val="00FB05F0"/>
    <w:rsid w:val="00FB0A5C"/>
    <w:rsid w:val="00FB0D1B"/>
    <w:rsid w:val="00FB16F5"/>
    <w:rsid w:val="00FB23A5"/>
    <w:rsid w:val="00FB3311"/>
    <w:rsid w:val="00FB386C"/>
    <w:rsid w:val="00FB6166"/>
    <w:rsid w:val="00FB77FB"/>
    <w:rsid w:val="00FB7CF0"/>
    <w:rsid w:val="00FB7D33"/>
    <w:rsid w:val="00FC154C"/>
    <w:rsid w:val="00FC18B5"/>
    <w:rsid w:val="00FC1D4F"/>
    <w:rsid w:val="00FC2B4A"/>
    <w:rsid w:val="00FC38B5"/>
    <w:rsid w:val="00FC5F0A"/>
    <w:rsid w:val="00FC68DA"/>
    <w:rsid w:val="00FD08CC"/>
    <w:rsid w:val="00FD1138"/>
    <w:rsid w:val="00FD1B5A"/>
    <w:rsid w:val="00FD1D57"/>
    <w:rsid w:val="00FD2383"/>
    <w:rsid w:val="00FD2593"/>
    <w:rsid w:val="00FD2FD1"/>
    <w:rsid w:val="00FD35CB"/>
    <w:rsid w:val="00FD4945"/>
    <w:rsid w:val="00FD59B9"/>
    <w:rsid w:val="00FD622C"/>
    <w:rsid w:val="00FD6B56"/>
    <w:rsid w:val="00FD7305"/>
    <w:rsid w:val="00FE20F7"/>
    <w:rsid w:val="00FE2B50"/>
    <w:rsid w:val="00FE2F03"/>
    <w:rsid w:val="00FE34C2"/>
    <w:rsid w:val="00FE3E11"/>
    <w:rsid w:val="00FE427A"/>
    <w:rsid w:val="00FE44F5"/>
    <w:rsid w:val="00FE4CB8"/>
    <w:rsid w:val="00FE633F"/>
    <w:rsid w:val="00FE6403"/>
    <w:rsid w:val="00FE6578"/>
    <w:rsid w:val="00FE6DE5"/>
    <w:rsid w:val="00FF059B"/>
    <w:rsid w:val="00FF1121"/>
    <w:rsid w:val="00FF16A8"/>
    <w:rsid w:val="00FF1CAF"/>
    <w:rsid w:val="00FF28AC"/>
    <w:rsid w:val="00FF29CE"/>
    <w:rsid w:val="00FF2D52"/>
    <w:rsid w:val="00FF57F0"/>
    <w:rsid w:val="00FF5AD6"/>
    <w:rsid w:val="00FF5BCB"/>
    <w:rsid w:val="00FF6A39"/>
    <w:rsid w:val="00FF6E1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346094"/>
  <w15:docId w15:val="{F9B7A380-DB9D-4EFB-A9E8-5D794281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3" w:unhideWhenUsed="1" w:qFormat="1"/>
    <w:lsdException w:name="annotation text" w:semiHidden="1" w:unhideWhenUsed="1"/>
    <w:lsdException w:name="header" w:uiPriority="49" w:unhideWhenUsed="1"/>
    <w:lsdException w:name="footer" w:uiPriority="49" w:unhideWhenUsed="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iPriority="44"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6"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37" w:qFormat="1"/>
    <w:lsdException w:name="Salutation" w:semiHidden="1" w:unhideWhenUsed="1"/>
    <w:lsdException w:name="Date" w:semiHidden="1" w:uiPriority="3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316"/>
    <w:pPr>
      <w:spacing w:before="140" w:line="240" w:lineRule="atLeast"/>
    </w:pPr>
    <w:rPr>
      <w:rFonts w:ascii="Calibri" w:hAnsi="Calibri"/>
      <w:color w:val="000000" w:themeColor="text1"/>
      <w:sz w:val="22"/>
    </w:rPr>
  </w:style>
  <w:style w:type="paragraph" w:styleId="Heading1">
    <w:name w:val="heading 1"/>
    <w:next w:val="BodyText"/>
    <w:link w:val="Heading1Char"/>
    <w:uiPriority w:val="4"/>
    <w:semiHidden/>
    <w:qFormat/>
    <w:rsid w:val="003B02DD"/>
    <w:pPr>
      <w:keepNext/>
      <w:keepLines/>
      <w:spacing w:line="600" w:lineRule="exact"/>
      <w:outlineLvl w:val="0"/>
    </w:pPr>
    <w:rPr>
      <w:rFonts w:asciiTheme="majorHAnsi" w:eastAsiaTheme="majorEastAsia" w:hAnsiTheme="majorHAnsi" w:cstheme="majorBidi"/>
      <w:bCs/>
      <w:color w:val="0F979B" w:themeColor="accent1"/>
      <w:spacing w:val="-10"/>
      <w:sz w:val="56"/>
      <w:szCs w:val="28"/>
    </w:rPr>
  </w:style>
  <w:style w:type="paragraph" w:styleId="Heading2">
    <w:name w:val="heading 2"/>
    <w:next w:val="BodyText"/>
    <w:link w:val="Heading2Char"/>
    <w:uiPriority w:val="4"/>
    <w:semiHidden/>
    <w:qFormat/>
    <w:rsid w:val="00CA00F9"/>
    <w:pPr>
      <w:keepNext/>
      <w:keepLines/>
      <w:spacing w:before="400" w:line="460" w:lineRule="exact"/>
      <w:outlineLvl w:val="1"/>
    </w:pPr>
    <w:rPr>
      <w:rFonts w:asciiTheme="majorHAnsi" w:eastAsiaTheme="majorEastAsia" w:hAnsiTheme="majorHAnsi" w:cstheme="majorBidi"/>
      <w:bCs/>
      <w:color w:val="4D4D4D"/>
      <w:sz w:val="42"/>
      <w:szCs w:val="26"/>
    </w:rPr>
  </w:style>
  <w:style w:type="paragraph" w:styleId="Heading3">
    <w:name w:val="heading 3"/>
    <w:next w:val="BodyText"/>
    <w:link w:val="Heading3Char"/>
    <w:uiPriority w:val="4"/>
    <w:semiHidden/>
    <w:qFormat/>
    <w:rsid w:val="00FD2383"/>
    <w:pPr>
      <w:keepNext/>
      <w:keepLines/>
      <w:spacing w:before="400" w:line="380" w:lineRule="exact"/>
      <w:outlineLvl w:val="2"/>
    </w:pPr>
    <w:rPr>
      <w:rFonts w:asciiTheme="majorHAnsi" w:eastAsiaTheme="majorEastAsia" w:hAnsiTheme="majorHAnsi" w:cstheme="majorBidi"/>
      <w:bCs/>
      <w:color w:val="54969C"/>
      <w:sz w:val="34"/>
    </w:rPr>
  </w:style>
  <w:style w:type="paragraph" w:styleId="Heading4">
    <w:name w:val="heading 4"/>
    <w:next w:val="BodyText"/>
    <w:link w:val="Heading4Char"/>
    <w:uiPriority w:val="4"/>
    <w:semiHidden/>
    <w:qFormat/>
    <w:rsid w:val="00D21ABC"/>
    <w:pPr>
      <w:keepNext/>
      <w:keepLines/>
      <w:spacing w:before="400" w:line="300" w:lineRule="exact"/>
      <w:outlineLvl w:val="3"/>
    </w:pPr>
    <w:rPr>
      <w:rFonts w:asciiTheme="majorHAnsi" w:eastAsiaTheme="majorEastAsia" w:hAnsiTheme="majorHAnsi" w:cstheme="majorBidi"/>
      <w:b/>
      <w:bCs/>
      <w:iCs/>
      <w:color w:val="2B3054" w:themeColor="background2"/>
      <w:sz w:val="26"/>
    </w:rPr>
  </w:style>
  <w:style w:type="paragraph" w:styleId="Heading5">
    <w:name w:val="heading 5"/>
    <w:next w:val="BodyText"/>
    <w:link w:val="Heading5Char"/>
    <w:uiPriority w:val="4"/>
    <w:semiHidden/>
    <w:qFormat/>
    <w:rsid w:val="00B670EF"/>
    <w:pPr>
      <w:keepNext/>
      <w:keepLines/>
      <w:spacing w:before="200"/>
      <w:outlineLvl w:val="4"/>
    </w:pPr>
    <w:rPr>
      <w:rFonts w:asciiTheme="majorHAnsi" w:eastAsiaTheme="majorEastAsia" w:hAnsiTheme="majorHAnsi" w:cstheme="majorBidi"/>
      <w:color w:val="074A4D" w:themeColor="accent1" w:themeShade="7F"/>
    </w:rPr>
  </w:style>
  <w:style w:type="paragraph" w:styleId="Heading6">
    <w:name w:val="heading 6"/>
    <w:next w:val="BodyText"/>
    <w:link w:val="Heading6Char"/>
    <w:uiPriority w:val="4"/>
    <w:semiHidden/>
    <w:qFormat/>
    <w:rsid w:val="00B670EF"/>
    <w:pPr>
      <w:keepNext/>
      <w:keepLines/>
      <w:spacing w:before="200"/>
      <w:outlineLvl w:val="5"/>
    </w:pPr>
    <w:rPr>
      <w:rFonts w:asciiTheme="majorHAnsi" w:eastAsiaTheme="majorEastAsia" w:hAnsiTheme="majorHAnsi" w:cstheme="majorBidi"/>
      <w:i/>
      <w:iCs/>
      <w:color w:val="074A4D" w:themeColor="accent1" w:themeShade="7F"/>
    </w:rPr>
  </w:style>
  <w:style w:type="paragraph" w:styleId="Heading7">
    <w:name w:val="heading 7"/>
    <w:next w:val="BodyText"/>
    <w:link w:val="Heading7Char"/>
    <w:uiPriority w:val="4"/>
    <w:semiHidden/>
    <w:qFormat/>
    <w:rsid w:val="00B670E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B670EF"/>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B670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670EF"/>
    <w:rPr>
      <w:rFonts w:ascii="Tahoma" w:hAnsi="Tahoma" w:cs="Tahoma"/>
      <w:sz w:val="16"/>
      <w:szCs w:val="16"/>
    </w:rPr>
  </w:style>
  <w:style w:type="character" w:customStyle="1" w:styleId="BalloonTextChar">
    <w:name w:val="Balloon Text Char"/>
    <w:basedOn w:val="DefaultParagraphFont"/>
    <w:link w:val="BalloonText"/>
    <w:uiPriority w:val="99"/>
    <w:semiHidden/>
    <w:rsid w:val="00B670EF"/>
    <w:rPr>
      <w:rFonts w:ascii="Tahoma" w:hAnsi="Tahoma" w:cs="Tahoma"/>
      <w:color w:val="000000" w:themeColor="text1"/>
      <w:sz w:val="16"/>
      <w:szCs w:val="16"/>
    </w:rPr>
  </w:style>
  <w:style w:type="table" w:styleId="TableGrid">
    <w:name w:val="Table Grid"/>
    <w:basedOn w:val="TableNormal"/>
    <w:uiPriority w:val="59"/>
    <w:rsid w:val="00B670EF"/>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3B02DD"/>
    <w:rPr>
      <w:rFonts w:asciiTheme="majorHAnsi" w:eastAsiaTheme="majorEastAsia" w:hAnsiTheme="majorHAnsi" w:cstheme="majorBidi"/>
      <w:bCs/>
      <w:color w:val="0F979B" w:themeColor="accent1"/>
      <w:spacing w:val="-10"/>
      <w:sz w:val="56"/>
      <w:szCs w:val="28"/>
    </w:rPr>
  </w:style>
  <w:style w:type="paragraph" w:styleId="Footer">
    <w:name w:val="footer"/>
    <w:link w:val="FooterChar"/>
    <w:uiPriority w:val="49"/>
    <w:semiHidden/>
    <w:rsid w:val="004F244C"/>
    <w:pPr>
      <w:tabs>
        <w:tab w:val="center" w:pos="4513"/>
        <w:tab w:val="right" w:pos="9026"/>
      </w:tabs>
      <w:spacing w:line="200" w:lineRule="exact"/>
      <w:ind w:left="-851"/>
    </w:pPr>
    <w:rPr>
      <w:rFonts w:asciiTheme="minorHAnsi" w:hAnsiTheme="minorHAnsi"/>
      <w:caps/>
      <w:color w:val="666666"/>
      <w:sz w:val="16"/>
    </w:rPr>
  </w:style>
  <w:style w:type="character" w:customStyle="1" w:styleId="FooterChar">
    <w:name w:val="Footer Char"/>
    <w:basedOn w:val="DefaultParagraphFont"/>
    <w:link w:val="Footer"/>
    <w:uiPriority w:val="49"/>
    <w:semiHidden/>
    <w:rsid w:val="004F244C"/>
    <w:rPr>
      <w:rFonts w:asciiTheme="minorHAnsi" w:hAnsiTheme="minorHAnsi"/>
      <w:caps/>
      <w:color w:val="666666"/>
      <w:sz w:val="16"/>
    </w:rPr>
  </w:style>
  <w:style w:type="paragraph" w:styleId="Header">
    <w:name w:val="header"/>
    <w:link w:val="HeaderChar"/>
    <w:uiPriority w:val="49"/>
    <w:semiHidden/>
    <w:rsid w:val="00B670EF"/>
    <w:pPr>
      <w:tabs>
        <w:tab w:val="center" w:pos="4513"/>
        <w:tab w:val="right" w:pos="9026"/>
      </w:tabs>
      <w:spacing w:line="300" w:lineRule="atLeast"/>
    </w:pPr>
    <w:rPr>
      <w:rFonts w:asciiTheme="majorHAnsi" w:hAnsiTheme="majorHAnsi"/>
      <w:color w:val="656263"/>
    </w:rPr>
  </w:style>
  <w:style w:type="character" w:customStyle="1" w:styleId="HeaderChar">
    <w:name w:val="Header Char"/>
    <w:basedOn w:val="DefaultParagraphFont"/>
    <w:link w:val="Header"/>
    <w:uiPriority w:val="49"/>
    <w:semiHidden/>
    <w:rsid w:val="00B670EF"/>
    <w:rPr>
      <w:rFonts w:asciiTheme="majorHAnsi" w:hAnsiTheme="majorHAnsi"/>
      <w:color w:val="656263"/>
    </w:rPr>
  </w:style>
  <w:style w:type="character" w:customStyle="1" w:styleId="Heading2Char">
    <w:name w:val="Heading 2 Char"/>
    <w:basedOn w:val="DefaultParagraphFont"/>
    <w:link w:val="Heading2"/>
    <w:uiPriority w:val="4"/>
    <w:semiHidden/>
    <w:rsid w:val="00C33E7D"/>
    <w:rPr>
      <w:rFonts w:asciiTheme="majorHAnsi" w:eastAsiaTheme="majorEastAsia" w:hAnsiTheme="majorHAnsi" w:cstheme="majorBidi"/>
      <w:bCs/>
      <w:color w:val="4D4D4D"/>
      <w:sz w:val="42"/>
      <w:szCs w:val="26"/>
    </w:rPr>
  </w:style>
  <w:style w:type="paragraph" w:styleId="BodyText">
    <w:name w:val="Body Text"/>
    <w:basedOn w:val="Normal"/>
    <w:link w:val="BodyTextChar"/>
    <w:semiHidden/>
    <w:qFormat/>
    <w:rsid w:val="00B670EF"/>
  </w:style>
  <w:style w:type="character" w:customStyle="1" w:styleId="BodyTextChar">
    <w:name w:val="Body Text Char"/>
    <w:basedOn w:val="DefaultParagraphFont"/>
    <w:link w:val="BodyText"/>
    <w:semiHidden/>
    <w:rsid w:val="00CA00F9"/>
    <w:rPr>
      <w:rFonts w:asciiTheme="minorHAnsi" w:hAnsiTheme="minorHAnsi"/>
      <w:color w:val="000000" w:themeColor="text1"/>
    </w:rPr>
  </w:style>
  <w:style w:type="character" w:customStyle="1" w:styleId="Heading3Char">
    <w:name w:val="Heading 3 Char"/>
    <w:basedOn w:val="DefaultParagraphFont"/>
    <w:link w:val="Heading3"/>
    <w:uiPriority w:val="4"/>
    <w:semiHidden/>
    <w:rsid w:val="00C33E7D"/>
    <w:rPr>
      <w:rFonts w:asciiTheme="majorHAnsi" w:eastAsiaTheme="majorEastAsia" w:hAnsiTheme="majorHAnsi" w:cstheme="majorBidi"/>
      <w:bCs/>
      <w:color w:val="54969C"/>
      <w:sz w:val="34"/>
    </w:rPr>
  </w:style>
  <w:style w:type="character" w:customStyle="1" w:styleId="Heading4Char">
    <w:name w:val="Heading 4 Char"/>
    <w:basedOn w:val="DefaultParagraphFont"/>
    <w:link w:val="Heading4"/>
    <w:uiPriority w:val="4"/>
    <w:semiHidden/>
    <w:rsid w:val="00C33E7D"/>
    <w:rPr>
      <w:rFonts w:asciiTheme="majorHAnsi" w:eastAsiaTheme="majorEastAsia" w:hAnsiTheme="majorHAnsi" w:cstheme="majorBidi"/>
      <w:b/>
      <w:bCs/>
      <w:iCs/>
      <w:color w:val="2B3054" w:themeColor="background2"/>
      <w:sz w:val="26"/>
    </w:rPr>
  </w:style>
  <w:style w:type="paragraph" w:styleId="Subtitle">
    <w:name w:val="Subtitle"/>
    <w:link w:val="SubtitleChar"/>
    <w:uiPriority w:val="37"/>
    <w:semiHidden/>
    <w:qFormat/>
    <w:rsid w:val="00B670EF"/>
    <w:pPr>
      <w:numPr>
        <w:ilvl w:val="1"/>
      </w:numPr>
      <w:spacing w:line="800" w:lineRule="atLeast"/>
    </w:pPr>
    <w:rPr>
      <w:rFonts w:asciiTheme="minorHAnsi" w:eastAsiaTheme="majorEastAsia" w:hAnsiTheme="minorHAnsi" w:cstheme="majorBidi"/>
      <w:iCs/>
      <w:color w:val="999999" w:themeColor="accent4"/>
      <w:sz w:val="84"/>
      <w:szCs w:val="24"/>
    </w:rPr>
  </w:style>
  <w:style w:type="character" w:customStyle="1" w:styleId="SubtitleChar">
    <w:name w:val="Subtitle Char"/>
    <w:basedOn w:val="DefaultParagraphFont"/>
    <w:link w:val="Subtitle"/>
    <w:uiPriority w:val="37"/>
    <w:semiHidden/>
    <w:rsid w:val="00B670EF"/>
    <w:rPr>
      <w:rFonts w:asciiTheme="minorHAnsi" w:eastAsiaTheme="majorEastAsia" w:hAnsiTheme="minorHAnsi" w:cstheme="majorBidi"/>
      <w:iCs/>
      <w:color w:val="999999" w:themeColor="accent4"/>
      <w:sz w:val="84"/>
      <w:szCs w:val="24"/>
    </w:rPr>
  </w:style>
  <w:style w:type="paragraph" w:styleId="Title">
    <w:name w:val="Title"/>
    <w:link w:val="TitleChar"/>
    <w:uiPriority w:val="36"/>
    <w:semiHidden/>
    <w:qFormat/>
    <w:rsid w:val="00B670EF"/>
    <w:pPr>
      <w:framePr w:w="15309" w:wrap="around" w:vAnchor="page" w:hAnchor="page" w:x="852" w:y="426"/>
      <w:spacing w:line="600" w:lineRule="exact"/>
    </w:pPr>
    <w:rPr>
      <w:rFonts w:asciiTheme="minorHAnsi" w:eastAsiaTheme="majorEastAsia" w:hAnsiTheme="minorHAnsi" w:cstheme="majorBidi"/>
      <w:color w:val="FFFFFF" w:themeColor="background1"/>
      <w:spacing w:val="-10"/>
      <w:kern w:val="28"/>
      <w:sz w:val="56"/>
      <w:szCs w:val="52"/>
    </w:rPr>
  </w:style>
  <w:style w:type="character" w:customStyle="1" w:styleId="TitleChar">
    <w:name w:val="Title Char"/>
    <w:basedOn w:val="DefaultParagraphFont"/>
    <w:link w:val="Title"/>
    <w:uiPriority w:val="36"/>
    <w:semiHidden/>
    <w:rsid w:val="00B670EF"/>
    <w:rPr>
      <w:rFonts w:asciiTheme="minorHAnsi" w:eastAsiaTheme="majorEastAsia" w:hAnsiTheme="minorHAnsi" w:cstheme="majorBidi"/>
      <w:color w:val="FFFFFF" w:themeColor="background1"/>
      <w:spacing w:val="-10"/>
      <w:kern w:val="28"/>
      <w:sz w:val="56"/>
      <w:szCs w:val="52"/>
    </w:rPr>
  </w:style>
  <w:style w:type="paragraph" w:styleId="Caption">
    <w:name w:val="caption"/>
    <w:next w:val="Normal"/>
    <w:link w:val="CaptionChar"/>
    <w:uiPriority w:val="14"/>
    <w:semiHidden/>
    <w:qFormat/>
    <w:rsid w:val="00B670EF"/>
    <w:pPr>
      <w:keepNext/>
      <w:keepLines/>
      <w:spacing w:before="400" w:after="200" w:line="300" w:lineRule="exact"/>
    </w:pPr>
    <w:rPr>
      <w:rFonts w:asciiTheme="majorHAnsi" w:hAnsiTheme="majorHAnsi"/>
      <w:b/>
      <w:bCs/>
      <w:color w:val="666666"/>
      <w:sz w:val="26"/>
      <w:szCs w:val="18"/>
    </w:rPr>
  </w:style>
  <w:style w:type="paragraph" w:styleId="Date">
    <w:name w:val="Date"/>
    <w:link w:val="DateChar"/>
    <w:uiPriority w:val="38"/>
    <w:semiHidden/>
    <w:rsid w:val="00B670EF"/>
    <w:rPr>
      <w:rFonts w:asciiTheme="minorHAnsi" w:hAnsiTheme="minorHAnsi"/>
    </w:rPr>
  </w:style>
  <w:style w:type="character" w:customStyle="1" w:styleId="DateChar">
    <w:name w:val="Date Char"/>
    <w:basedOn w:val="DefaultParagraphFont"/>
    <w:link w:val="Date"/>
    <w:uiPriority w:val="38"/>
    <w:semiHidden/>
    <w:rsid w:val="00B670EF"/>
    <w:rPr>
      <w:rFonts w:asciiTheme="minorHAnsi" w:hAnsiTheme="minorHAnsi"/>
    </w:rPr>
  </w:style>
  <w:style w:type="paragraph" w:styleId="EndnoteText">
    <w:name w:val="endnote text"/>
    <w:basedOn w:val="BodyText"/>
    <w:link w:val="EndnoteTextChar"/>
    <w:uiPriority w:val="44"/>
    <w:semiHidden/>
    <w:rsid w:val="00B670EF"/>
  </w:style>
  <w:style w:type="character" w:customStyle="1" w:styleId="EndnoteTextChar">
    <w:name w:val="Endnote Text Char"/>
    <w:basedOn w:val="DefaultParagraphFont"/>
    <w:link w:val="EndnoteText"/>
    <w:uiPriority w:val="44"/>
    <w:semiHidden/>
    <w:rsid w:val="00B670EF"/>
    <w:rPr>
      <w:rFonts w:asciiTheme="minorHAnsi" w:hAnsiTheme="minorHAnsi"/>
      <w:color w:val="000000" w:themeColor="text1"/>
    </w:rPr>
  </w:style>
  <w:style w:type="paragraph" w:styleId="FootnoteText">
    <w:name w:val="footnote text"/>
    <w:link w:val="FootnoteTextChar"/>
    <w:uiPriority w:val="13"/>
    <w:semiHidden/>
    <w:qFormat/>
    <w:rsid w:val="00B670EF"/>
    <w:pPr>
      <w:spacing w:before="142" w:line="200" w:lineRule="atLeas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13"/>
    <w:semiHidden/>
    <w:rsid w:val="00C33E7D"/>
    <w:rPr>
      <w:rFonts w:asciiTheme="minorHAnsi" w:hAnsiTheme="minorHAnsi"/>
      <w:color w:val="000000" w:themeColor="text1"/>
      <w:sz w:val="16"/>
    </w:rPr>
  </w:style>
  <w:style w:type="paragraph" w:styleId="Quote">
    <w:name w:val="Quote"/>
    <w:link w:val="QuoteChar"/>
    <w:uiPriority w:val="9"/>
    <w:semiHidden/>
    <w:qFormat/>
    <w:rsid w:val="00B670EF"/>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B670EF"/>
    <w:rPr>
      <w:rFonts w:asciiTheme="minorHAnsi" w:hAnsiTheme="minorHAnsi"/>
      <w:i/>
      <w:iCs/>
      <w:color w:val="000000" w:themeColor="text1"/>
    </w:rPr>
  </w:style>
  <w:style w:type="paragraph" w:styleId="TableofFigures">
    <w:name w:val="table of figures"/>
    <w:uiPriority w:val="99"/>
    <w:semiHidden/>
    <w:rsid w:val="00B670EF"/>
    <w:rPr>
      <w:rFonts w:asciiTheme="minorHAnsi" w:hAnsiTheme="minorHAnsi"/>
    </w:rPr>
  </w:style>
  <w:style w:type="paragraph" w:styleId="TOC1">
    <w:name w:val="toc 1"/>
    <w:uiPriority w:val="39"/>
    <w:semiHidden/>
    <w:rsid w:val="00B670EF"/>
    <w:pPr>
      <w:spacing w:after="100"/>
    </w:pPr>
    <w:rPr>
      <w:rFonts w:asciiTheme="minorHAnsi" w:hAnsiTheme="minorHAnsi"/>
    </w:rPr>
  </w:style>
  <w:style w:type="paragraph" w:styleId="TOC2">
    <w:name w:val="toc 2"/>
    <w:autoRedefine/>
    <w:uiPriority w:val="39"/>
    <w:semiHidden/>
    <w:rsid w:val="00B670EF"/>
    <w:pPr>
      <w:spacing w:after="100"/>
      <w:ind w:left="200"/>
    </w:pPr>
    <w:rPr>
      <w:rFonts w:asciiTheme="minorHAnsi" w:hAnsiTheme="minorHAnsi"/>
    </w:rPr>
  </w:style>
  <w:style w:type="paragraph" w:styleId="TOC3">
    <w:name w:val="toc 3"/>
    <w:autoRedefine/>
    <w:uiPriority w:val="39"/>
    <w:semiHidden/>
    <w:rsid w:val="00B670EF"/>
    <w:pPr>
      <w:spacing w:after="100"/>
      <w:ind w:left="400"/>
    </w:pPr>
    <w:rPr>
      <w:rFonts w:asciiTheme="minorHAnsi" w:hAnsiTheme="minorHAnsi"/>
    </w:rPr>
  </w:style>
  <w:style w:type="paragraph" w:styleId="TOCHeading">
    <w:name w:val="TOC Heading"/>
    <w:basedOn w:val="Heading1"/>
    <w:next w:val="BodyText"/>
    <w:uiPriority w:val="39"/>
    <w:semiHidden/>
    <w:qFormat/>
    <w:rsid w:val="00B670EF"/>
    <w:pPr>
      <w:framePr w:w="22113" w:wrap="notBeside" w:hAnchor="text"/>
      <w:spacing w:line="660" w:lineRule="exact"/>
      <w:outlineLvl w:val="9"/>
    </w:pPr>
    <w:rPr>
      <w:sz w:val="60"/>
    </w:rPr>
  </w:style>
  <w:style w:type="character" w:customStyle="1" w:styleId="Heading5Char">
    <w:name w:val="Heading 5 Char"/>
    <w:basedOn w:val="DefaultParagraphFont"/>
    <w:link w:val="Heading5"/>
    <w:uiPriority w:val="4"/>
    <w:semiHidden/>
    <w:rsid w:val="00B670EF"/>
    <w:rPr>
      <w:rFonts w:asciiTheme="majorHAnsi" w:eastAsiaTheme="majorEastAsia" w:hAnsiTheme="majorHAnsi" w:cstheme="majorBidi"/>
      <w:color w:val="074A4D" w:themeColor="accent1" w:themeShade="7F"/>
    </w:rPr>
  </w:style>
  <w:style w:type="character" w:customStyle="1" w:styleId="Heading6Char">
    <w:name w:val="Heading 6 Char"/>
    <w:basedOn w:val="DefaultParagraphFont"/>
    <w:link w:val="Heading6"/>
    <w:uiPriority w:val="4"/>
    <w:semiHidden/>
    <w:rsid w:val="00B670EF"/>
    <w:rPr>
      <w:rFonts w:asciiTheme="majorHAnsi" w:eastAsiaTheme="majorEastAsia" w:hAnsiTheme="majorHAnsi" w:cstheme="majorBidi"/>
      <w:i/>
      <w:iCs/>
      <w:color w:val="074A4D" w:themeColor="accent1" w:themeShade="7F"/>
    </w:rPr>
  </w:style>
  <w:style w:type="character" w:customStyle="1" w:styleId="Heading7Char">
    <w:name w:val="Heading 7 Char"/>
    <w:basedOn w:val="DefaultParagraphFont"/>
    <w:link w:val="Heading7"/>
    <w:uiPriority w:val="4"/>
    <w:semiHidden/>
    <w:rsid w:val="00B670E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B670E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B670EF"/>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B670EF"/>
    <w:pPr>
      <w:numPr>
        <w:numId w:val="1"/>
      </w:numPr>
    </w:pPr>
  </w:style>
  <w:style w:type="numbering" w:customStyle="1" w:styleId="Bullets">
    <w:name w:val="Bullets"/>
    <w:basedOn w:val="NoList"/>
    <w:uiPriority w:val="99"/>
    <w:rsid w:val="00E546A3"/>
    <w:pPr>
      <w:numPr>
        <w:numId w:val="2"/>
      </w:numPr>
    </w:pPr>
  </w:style>
  <w:style w:type="paragraph" w:customStyle="1" w:styleId="Introtext">
    <w:name w:val="Intro text"/>
    <w:basedOn w:val="Heading2"/>
    <w:uiPriority w:val="9"/>
    <w:semiHidden/>
    <w:qFormat/>
    <w:rsid w:val="004F244C"/>
    <w:pPr>
      <w:framePr w:w="9072" w:wrap="notBeside" w:vAnchor="text" w:hAnchor="text" w:y="1"/>
      <w:spacing w:before="120"/>
    </w:pPr>
  </w:style>
  <w:style w:type="table" w:customStyle="1" w:styleId="ATOTable">
    <w:name w:val="ATO Table"/>
    <w:basedOn w:val="TableNormal"/>
    <w:uiPriority w:val="99"/>
    <w:rsid w:val="00071322"/>
    <w:tblPr>
      <w:tblBorders>
        <w:top w:val="single" w:sz="4" w:space="0" w:color="666666"/>
        <w:bottom w:val="single" w:sz="4" w:space="0" w:color="666666"/>
        <w:insideH w:val="single" w:sz="4" w:space="0" w:color="666666"/>
      </w:tblBorders>
      <w:tblCellMar>
        <w:top w:w="57" w:type="dxa"/>
        <w:left w:w="0" w:type="dxa"/>
        <w:bottom w:w="170" w:type="dxa"/>
        <w:right w:w="0" w:type="dxa"/>
      </w:tblCellMar>
    </w:tblPr>
    <w:tblStylePr w:type="firstRow">
      <w:tblPr/>
      <w:tcPr>
        <w:shd w:val="clear" w:color="auto" w:fill="04545D"/>
      </w:tcPr>
    </w:tblStylePr>
  </w:style>
  <w:style w:type="character" w:customStyle="1" w:styleId="CaptionChar">
    <w:name w:val="Caption Char"/>
    <w:basedOn w:val="DefaultParagraphFont"/>
    <w:link w:val="Caption"/>
    <w:uiPriority w:val="14"/>
    <w:semiHidden/>
    <w:rsid w:val="00C33E7D"/>
    <w:rPr>
      <w:rFonts w:asciiTheme="majorHAnsi" w:hAnsiTheme="majorHAnsi"/>
      <w:b/>
      <w:bCs/>
      <w:color w:val="666666"/>
      <w:sz w:val="26"/>
      <w:szCs w:val="18"/>
    </w:rPr>
  </w:style>
  <w:style w:type="character" w:styleId="PlaceholderText">
    <w:name w:val="Placeholder Text"/>
    <w:basedOn w:val="DefaultParagraphFont"/>
    <w:uiPriority w:val="99"/>
    <w:semiHidden/>
    <w:rsid w:val="00B670EF"/>
    <w:rPr>
      <w:color w:val="808080"/>
    </w:rPr>
  </w:style>
  <w:style w:type="table" w:customStyle="1" w:styleId="ATOBox">
    <w:name w:val="ATO Box"/>
    <w:basedOn w:val="TableNormal"/>
    <w:uiPriority w:val="99"/>
    <w:rsid w:val="00B670EF"/>
    <w:tblPr>
      <w:tblCellMar>
        <w:top w:w="170" w:type="dxa"/>
        <w:left w:w="0" w:type="dxa"/>
        <w:bottom w:w="340" w:type="dxa"/>
        <w:right w:w="0" w:type="dxa"/>
      </w:tblCellMar>
    </w:tblPr>
    <w:tcPr>
      <w:shd w:val="clear" w:color="auto" w:fill="F0F2F8"/>
    </w:tcPr>
  </w:style>
  <w:style w:type="paragraph" w:customStyle="1" w:styleId="Boxtext">
    <w:name w:val="Box text"/>
    <w:basedOn w:val="Normal"/>
    <w:link w:val="BoxtextChar"/>
    <w:uiPriority w:val="24"/>
    <w:semiHidden/>
    <w:qFormat/>
    <w:rsid w:val="00B670EF"/>
    <w:pPr>
      <w:ind w:left="340" w:right="340"/>
    </w:pPr>
  </w:style>
  <w:style w:type="character" w:customStyle="1" w:styleId="BoxtextChar">
    <w:name w:val="Box text Char"/>
    <w:basedOn w:val="BodyTextChar"/>
    <w:link w:val="Boxtext"/>
    <w:uiPriority w:val="24"/>
    <w:semiHidden/>
    <w:rsid w:val="001A2C0C"/>
    <w:rPr>
      <w:rFonts w:asciiTheme="minorHAnsi" w:hAnsiTheme="minorHAnsi"/>
      <w:color w:val="000000" w:themeColor="text1"/>
    </w:rPr>
  </w:style>
  <w:style w:type="paragraph" w:customStyle="1" w:styleId="Boxbulletedlist1">
    <w:name w:val="Box bulleted list 1"/>
    <w:basedOn w:val="Boxtext"/>
    <w:uiPriority w:val="25"/>
    <w:semiHidden/>
    <w:qFormat/>
    <w:rsid w:val="00E546A3"/>
    <w:pPr>
      <w:numPr>
        <w:ilvl w:val="3"/>
        <w:numId w:val="3"/>
      </w:numPr>
    </w:pPr>
  </w:style>
  <w:style w:type="paragraph" w:customStyle="1" w:styleId="Boxbulletedlist2">
    <w:name w:val="Box bulleted list 2"/>
    <w:basedOn w:val="Boxtext"/>
    <w:uiPriority w:val="25"/>
    <w:semiHidden/>
    <w:qFormat/>
    <w:rsid w:val="00E546A3"/>
    <w:pPr>
      <w:numPr>
        <w:ilvl w:val="4"/>
        <w:numId w:val="3"/>
      </w:numPr>
    </w:pPr>
  </w:style>
  <w:style w:type="paragraph" w:customStyle="1" w:styleId="Boxbulletedlist3">
    <w:name w:val="Box bulleted list 3"/>
    <w:basedOn w:val="Boxtext"/>
    <w:uiPriority w:val="25"/>
    <w:semiHidden/>
    <w:qFormat/>
    <w:rsid w:val="00E546A3"/>
    <w:pPr>
      <w:numPr>
        <w:ilvl w:val="5"/>
        <w:numId w:val="3"/>
      </w:numPr>
    </w:pPr>
  </w:style>
  <w:style w:type="paragraph" w:customStyle="1" w:styleId="Boxheading">
    <w:name w:val="Box heading"/>
    <w:basedOn w:val="Caption"/>
    <w:next w:val="Boxtext"/>
    <w:link w:val="BoxheadingChar"/>
    <w:uiPriority w:val="27"/>
    <w:semiHidden/>
    <w:qFormat/>
    <w:rsid w:val="00B670EF"/>
    <w:pPr>
      <w:keepNext w:val="0"/>
      <w:keepLines w:val="0"/>
      <w:spacing w:before="142" w:after="0"/>
      <w:ind w:left="340" w:right="340"/>
    </w:pPr>
  </w:style>
  <w:style w:type="character" w:customStyle="1" w:styleId="BoxheadingChar">
    <w:name w:val="Box heading Char"/>
    <w:basedOn w:val="CaptionChar"/>
    <w:link w:val="Boxheading"/>
    <w:uiPriority w:val="27"/>
    <w:semiHidden/>
    <w:rsid w:val="001A2C0C"/>
    <w:rPr>
      <w:rFonts w:asciiTheme="majorHAnsi" w:hAnsiTheme="majorHAnsi"/>
      <w:b/>
      <w:bCs/>
      <w:color w:val="666666"/>
      <w:sz w:val="26"/>
      <w:szCs w:val="18"/>
    </w:rPr>
  </w:style>
  <w:style w:type="paragraph" w:customStyle="1" w:styleId="Bulletedlist1">
    <w:name w:val="Bulleted list 1"/>
    <w:basedOn w:val="Normal"/>
    <w:uiPriority w:val="1"/>
    <w:qFormat/>
    <w:rsid w:val="00E546A3"/>
    <w:pPr>
      <w:numPr>
        <w:numId w:val="3"/>
      </w:numPr>
      <w:spacing w:before="85"/>
    </w:pPr>
  </w:style>
  <w:style w:type="paragraph" w:customStyle="1" w:styleId="Bulletedlist2">
    <w:name w:val="Bulleted list 2"/>
    <w:basedOn w:val="Normal"/>
    <w:uiPriority w:val="1"/>
    <w:qFormat/>
    <w:rsid w:val="00E546A3"/>
    <w:pPr>
      <w:numPr>
        <w:ilvl w:val="1"/>
        <w:numId w:val="3"/>
      </w:numPr>
      <w:spacing w:before="85"/>
    </w:pPr>
  </w:style>
  <w:style w:type="paragraph" w:customStyle="1" w:styleId="Bulletedlist3">
    <w:name w:val="Bulleted list 3"/>
    <w:basedOn w:val="Normal"/>
    <w:uiPriority w:val="1"/>
    <w:qFormat/>
    <w:rsid w:val="00E546A3"/>
    <w:pPr>
      <w:numPr>
        <w:ilvl w:val="2"/>
        <w:numId w:val="3"/>
      </w:numPr>
      <w:spacing w:before="57"/>
    </w:pPr>
  </w:style>
  <w:style w:type="paragraph" w:customStyle="1" w:styleId="Calloutheading">
    <w:name w:val="Callout heading"/>
    <w:basedOn w:val="Normal"/>
    <w:next w:val="Normal"/>
    <w:link w:val="CalloutheadingChar"/>
    <w:uiPriority w:val="30"/>
    <w:semiHidden/>
    <w:qFormat/>
    <w:rsid w:val="00B670EF"/>
    <w:pPr>
      <w:keepNext/>
      <w:spacing w:before="227" w:line="300" w:lineRule="exact"/>
      <w:ind w:left="510" w:hanging="510"/>
    </w:pPr>
    <w:rPr>
      <w:b/>
      <w:sz w:val="26"/>
    </w:rPr>
  </w:style>
  <w:style w:type="character" w:customStyle="1" w:styleId="CalloutheadingChar">
    <w:name w:val="Callout heading Char"/>
    <w:basedOn w:val="BodyTextChar"/>
    <w:link w:val="Calloutheading"/>
    <w:uiPriority w:val="30"/>
    <w:semiHidden/>
    <w:rsid w:val="001A2C0C"/>
    <w:rPr>
      <w:rFonts w:asciiTheme="minorHAnsi" w:hAnsiTheme="minorHAnsi"/>
      <w:b/>
      <w:color w:val="000000" w:themeColor="text1"/>
      <w:sz w:val="26"/>
    </w:rPr>
  </w:style>
  <w:style w:type="paragraph" w:customStyle="1" w:styleId="Callouttext">
    <w:name w:val="Callout text"/>
    <w:basedOn w:val="BodyText"/>
    <w:link w:val="CallouttextChar"/>
    <w:uiPriority w:val="29"/>
    <w:qFormat/>
    <w:rsid w:val="00984584"/>
    <w:pPr>
      <w:ind w:left="397" w:hanging="397"/>
    </w:pPr>
  </w:style>
  <w:style w:type="character" w:customStyle="1" w:styleId="CallouttextChar">
    <w:name w:val="Callout text Char"/>
    <w:basedOn w:val="BodyTextChar"/>
    <w:link w:val="Callouttext"/>
    <w:uiPriority w:val="29"/>
    <w:rsid w:val="00BF427A"/>
    <w:rPr>
      <w:rFonts w:asciiTheme="minorHAnsi" w:hAnsiTheme="minorHAnsi"/>
      <w:color w:val="000000" w:themeColor="text1"/>
    </w:rPr>
  </w:style>
  <w:style w:type="character" w:customStyle="1" w:styleId="Navy">
    <w:name w:val="Navy"/>
    <w:uiPriority w:val="99"/>
    <w:semiHidden/>
    <w:qFormat/>
    <w:rsid w:val="00B670EF"/>
    <w:rPr>
      <w:color w:val="2B3054" w:themeColor="background2"/>
    </w:rPr>
  </w:style>
  <w:style w:type="paragraph" w:customStyle="1" w:styleId="PageTitle">
    <w:name w:val="Page Title"/>
    <w:basedOn w:val="Title"/>
    <w:uiPriority w:val="36"/>
    <w:semiHidden/>
    <w:qFormat/>
    <w:rsid w:val="00B670EF"/>
    <w:pPr>
      <w:framePr w:wrap="around"/>
      <w:jc w:val="both"/>
    </w:pPr>
    <w:rPr>
      <w:rFonts w:asciiTheme="majorHAnsi" w:hAnsiTheme="majorHAnsi"/>
    </w:rPr>
  </w:style>
  <w:style w:type="paragraph" w:customStyle="1" w:styleId="Tabletext">
    <w:name w:val="Table text"/>
    <w:basedOn w:val="Normal"/>
    <w:uiPriority w:val="19"/>
    <w:semiHidden/>
    <w:qFormat/>
    <w:rsid w:val="00B670EF"/>
    <w:pPr>
      <w:spacing w:before="120"/>
      <w:ind w:left="227" w:right="227"/>
    </w:pPr>
  </w:style>
  <w:style w:type="paragraph" w:customStyle="1" w:styleId="Tablebulletedlist1">
    <w:name w:val="Table bulleted list 1"/>
    <w:basedOn w:val="Tabletext"/>
    <w:uiPriority w:val="20"/>
    <w:semiHidden/>
    <w:qFormat/>
    <w:rsid w:val="00E546A3"/>
    <w:pPr>
      <w:numPr>
        <w:ilvl w:val="6"/>
        <w:numId w:val="3"/>
      </w:numPr>
      <w:spacing w:before="85"/>
    </w:pPr>
  </w:style>
  <w:style w:type="paragraph" w:customStyle="1" w:styleId="Tablebulletedlist2">
    <w:name w:val="Table bulleted list 2"/>
    <w:basedOn w:val="Tabletext"/>
    <w:uiPriority w:val="20"/>
    <w:semiHidden/>
    <w:qFormat/>
    <w:rsid w:val="00E546A3"/>
    <w:pPr>
      <w:numPr>
        <w:ilvl w:val="7"/>
        <w:numId w:val="3"/>
      </w:numPr>
      <w:spacing w:before="85"/>
    </w:pPr>
  </w:style>
  <w:style w:type="paragraph" w:customStyle="1" w:styleId="Tablebulletedlist3">
    <w:name w:val="Table bulleted list 3"/>
    <w:basedOn w:val="Tabletext"/>
    <w:uiPriority w:val="20"/>
    <w:semiHidden/>
    <w:qFormat/>
    <w:rsid w:val="00E546A3"/>
    <w:pPr>
      <w:numPr>
        <w:ilvl w:val="8"/>
        <w:numId w:val="3"/>
      </w:numPr>
      <w:spacing w:before="57"/>
    </w:pPr>
  </w:style>
  <w:style w:type="paragraph" w:customStyle="1" w:styleId="Tablecaption">
    <w:name w:val="Table caption"/>
    <w:basedOn w:val="Caption"/>
    <w:next w:val="Normal"/>
    <w:uiPriority w:val="14"/>
    <w:semiHidden/>
    <w:qFormat/>
    <w:rsid w:val="00B670EF"/>
  </w:style>
  <w:style w:type="paragraph" w:customStyle="1" w:styleId="Tableheading">
    <w:name w:val="Table heading"/>
    <w:basedOn w:val="Tabletext"/>
    <w:uiPriority w:val="23"/>
    <w:semiHidden/>
    <w:qFormat/>
    <w:rsid w:val="00B670EF"/>
    <w:pPr>
      <w:keepNext/>
      <w:keepLines/>
    </w:pPr>
    <w:rPr>
      <w:b/>
      <w:color w:val="FFFFFF" w:themeColor="background1"/>
    </w:rPr>
  </w:style>
  <w:style w:type="table" w:customStyle="1" w:styleId="InfoTable">
    <w:name w:val="Info Table"/>
    <w:basedOn w:val="TableNormal"/>
    <w:uiPriority w:val="99"/>
    <w:rsid w:val="00CD5632"/>
    <w:tblP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180" w:type="dxa"/>
        <w:left w:w="0" w:type="dxa"/>
        <w:bottom w:w="170" w:type="dxa"/>
        <w:right w:w="0" w:type="dxa"/>
      </w:tblCellMar>
    </w:tblPr>
    <w:tblStylePr w:type="firstRow">
      <w:tblPr/>
      <w:tcPr>
        <w:tcBorders>
          <w:top w:val="nil"/>
          <w:left w:val="nil"/>
          <w:bottom w:val="single" w:sz="4" w:space="0" w:color="666666"/>
          <w:right w:val="nil"/>
          <w:insideH w:val="nil"/>
          <w:insideV w:val="nil"/>
          <w:tl2br w:val="nil"/>
          <w:tr2bl w:val="nil"/>
        </w:tcBorders>
        <w:tcMar>
          <w:top w:w="240" w:type="dxa"/>
          <w:left w:w="0" w:type="nil"/>
          <w:bottom w:w="80" w:type="dxa"/>
          <w:right w:w="0" w:type="nil"/>
        </w:tcMar>
      </w:tcPr>
    </w:tblStylePr>
  </w:style>
  <w:style w:type="paragraph" w:customStyle="1" w:styleId="InfoText">
    <w:name w:val="Info Text"/>
    <w:basedOn w:val="Normal"/>
    <w:uiPriority w:val="34"/>
    <w:qFormat/>
    <w:rsid w:val="004053F7"/>
    <w:pPr>
      <w:spacing w:before="0"/>
      <w:ind w:left="227" w:right="227"/>
    </w:pPr>
  </w:style>
  <w:style w:type="paragraph" w:customStyle="1" w:styleId="InfoHeading">
    <w:name w:val="Info Heading"/>
    <w:basedOn w:val="InfoText"/>
    <w:uiPriority w:val="35"/>
    <w:qFormat/>
    <w:rsid w:val="00381857"/>
    <w:rPr>
      <w:b/>
    </w:rPr>
  </w:style>
  <w:style w:type="paragraph" w:customStyle="1" w:styleId="Normalnospace">
    <w:name w:val="Normal (no space)"/>
    <w:basedOn w:val="Normal"/>
    <w:rsid w:val="00FA7745"/>
    <w:pPr>
      <w:spacing w:before="0"/>
    </w:pPr>
  </w:style>
  <w:style w:type="paragraph" w:customStyle="1" w:styleId="Docref">
    <w:name w:val="Doc ref"/>
    <w:uiPriority w:val="36"/>
    <w:qFormat/>
    <w:rsid w:val="00A039E8"/>
    <w:pPr>
      <w:spacing w:after="80"/>
      <w:jc w:val="right"/>
    </w:pPr>
    <w:rPr>
      <w:rFonts w:asciiTheme="minorHAnsi" w:hAnsiTheme="minorHAnsi"/>
      <w:b/>
      <w:color w:val="000000" w:themeColor="text1"/>
      <w:sz w:val="22"/>
    </w:rPr>
  </w:style>
  <w:style w:type="paragraph" w:customStyle="1" w:styleId="ItemNumber">
    <w:name w:val="Item Number"/>
    <w:basedOn w:val="Tabletext"/>
    <w:semiHidden/>
    <w:qFormat/>
    <w:rsid w:val="000341F6"/>
    <w:pPr>
      <w:numPr>
        <w:numId w:val="4"/>
      </w:numPr>
      <w:ind w:left="454" w:hanging="227"/>
    </w:pPr>
  </w:style>
  <w:style w:type="paragraph" w:customStyle="1" w:styleId="Subheading">
    <w:name w:val="Subheading"/>
    <w:basedOn w:val="Heading4"/>
    <w:next w:val="Normal"/>
    <w:uiPriority w:val="4"/>
    <w:qFormat/>
    <w:rsid w:val="00E303DD"/>
    <w:rPr>
      <w:color w:val="15565F"/>
    </w:rPr>
  </w:style>
  <w:style w:type="character" w:customStyle="1" w:styleId="Classification">
    <w:name w:val="Classification"/>
    <w:uiPriority w:val="49"/>
    <w:qFormat/>
    <w:rsid w:val="00583683"/>
    <w:rPr>
      <w:b/>
      <w:bCs w:val="0"/>
      <w:color w:val="666666"/>
      <w:sz w:val="22"/>
      <w:lang w:val="en-US"/>
    </w:rPr>
  </w:style>
  <w:style w:type="paragraph" w:customStyle="1" w:styleId="ClassificationInfo">
    <w:name w:val="Classification Info"/>
    <w:basedOn w:val="Docref"/>
    <w:uiPriority w:val="37"/>
    <w:qFormat/>
    <w:rsid w:val="00545360"/>
    <w:pPr>
      <w:spacing w:after="0"/>
    </w:pPr>
    <w:rPr>
      <w:b w:val="0"/>
    </w:rPr>
  </w:style>
  <w:style w:type="character" w:customStyle="1" w:styleId="ClassificationBody">
    <w:name w:val="Classification Body"/>
    <w:basedOn w:val="DefaultParagraphFont"/>
    <w:uiPriority w:val="38"/>
    <w:rsid w:val="009269F6"/>
    <w:rPr>
      <w:rFonts w:asciiTheme="minorHAnsi" w:hAnsiTheme="minorHAnsi"/>
      <w:b/>
      <w:caps/>
      <w:smallCaps w:val="0"/>
      <w:sz w:val="22"/>
    </w:rPr>
  </w:style>
  <w:style w:type="paragraph" w:styleId="ListParagraph">
    <w:name w:val="List Paragraph"/>
    <w:basedOn w:val="Normal"/>
    <w:uiPriority w:val="34"/>
    <w:qFormat/>
    <w:rsid w:val="009757F6"/>
    <w:pPr>
      <w:ind w:left="720"/>
      <w:contextualSpacing/>
    </w:pPr>
  </w:style>
  <w:style w:type="paragraph" w:customStyle="1" w:styleId="Default">
    <w:name w:val="Default"/>
    <w:rsid w:val="00735656"/>
    <w:pPr>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226853"/>
    <w:pPr>
      <w:spacing w:before="100" w:beforeAutospacing="1" w:after="100" w:afterAutospacing="1" w:line="240" w:lineRule="auto"/>
    </w:pPr>
    <w:rPr>
      <w:rFonts w:ascii="Arial" w:eastAsia="Times New Roman" w:hAnsi="Arial" w:cs="Arial"/>
      <w:color w:val="auto"/>
      <w:szCs w:val="22"/>
      <w:lang w:eastAsia="en-AU"/>
    </w:rPr>
  </w:style>
  <w:style w:type="character" w:styleId="FootnoteReference">
    <w:name w:val="footnote reference"/>
    <w:basedOn w:val="DefaultParagraphFont"/>
    <w:uiPriority w:val="99"/>
    <w:semiHidden/>
    <w:rsid w:val="00B90B6E"/>
    <w:rPr>
      <w:vertAlign w:val="superscript"/>
    </w:rPr>
  </w:style>
  <w:style w:type="character" w:styleId="Hyperlink">
    <w:name w:val="Hyperlink"/>
    <w:basedOn w:val="DefaultParagraphFont"/>
    <w:uiPriority w:val="99"/>
    <w:rsid w:val="00B90B6E"/>
    <w:rPr>
      <w:color w:val="0000FC" w:themeColor="hyperlink"/>
      <w:u w:val="single"/>
    </w:rPr>
  </w:style>
  <w:style w:type="character" w:styleId="EndnoteReference">
    <w:name w:val="endnote reference"/>
    <w:basedOn w:val="DefaultParagraphFont"/>
    <w:uiPriority w:val="99"/>
    <w:semiHidden/>
    <w:rsid w:val="00F53A5B"/>
    <w:rPr>
      <w:vertAlign w:val="superscript"/>
    </w:rPr>
  </w:style>
  <w:style w:type="character" w:styleId="CommentReference">
    <w:name w:val="annotation reference"/>
    <w:basedOn w:val="DefaultParagraphFont"/>
    <w:uiPriority w:val="99"/>
    <w:semiHidden/>
    <w:rsid w:val="00BC14EE"/>
    <w:rPr>
      <w:sz w:val="16"/>
      <w:szCs w:val="16"/>
    </w:rPr>
  </w:style>
  <w:style w:type="paragraph" w:styleId="CommentText">
    <w:name w:val="annotation text"/>
    <w:basedOn w:val="Normal"/>
    <w:link w:val="CommentTextChar"/>
    <w:uiPriority w:val="99"/>
    <w:semiHidden/>
    <w:rsid w:val="00BC14EE"/>
    <w:pPr>
      <w:spacing w:line="240" w:lineRule="auto"/>
    </w:pPr>
    <w:rPr>
      <w:sz w:val="20"/>
    </w:rPr>
  </w:style>
  <w:style w:type="character" w:customStyle="1" w:styleId="CommentTextChar">
    <w:name w:val="Comment Text Char"/>
    <w:basedOn w:val="DefaultParagraphFont"/>
    <w:link w:val="CommentText"/>
    <w:uiPriority w:val="99"/>
    <w:semiHidden/>
    <w:rsid w:val="00BC14EE"/>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rsid w:val="00BC14EE"/>
    <w:rPr>
      <w:b/>
      <w:bCs/>
    </w:rPr>
  </w:style>
  <w:style w:type="character" w:customStyle="1" w:styleId="CommentSubjectChar">
    <w:name w:val="Comment Subject Char"/>
    <w:basedOn w:val="CommentTextChar"/>
    <w:link w:val="CommentSubject"/>
    <w:uiPriority w:val="99"/>
    <w:semiHidden/>
    <w:rsid w:val="00BC14EE"/>
    <w:rPr>
      <w:rFonts w:asciiTheme="minorHAnsi" w:hAnsiTheme="minorHAnsi"/>
      <w:b/>
      <w:bCs/>
      <w:color w:val="000000" w:themeColor="text1"/>
    </w:rPr>
  </w:style>
  <w:style w:type="paragraph" w:styleId="Revision">
    <w:name w:val="Revision"/>
    <w:hidden/>
    <w:uiPriority w:val="99"/>
    <w:semiHidden/>
    <w:rsid w:val="00BC14EE"/>
    <w:rPr>
      <w:rFonts w:asciiTheme="minorHAnsi" w:hAnsiTheme="minorHAnsi"/>
      <w:color w:val="000000" w:themeColor="text1"/>
      <w:sz w:val="22"/>
    </w:rPr>
  </w:style>
  <w:style w:type="character" w:styleId="FollowedHyperlink">
    <w:name w:val="FollowedHyperlink"/>
    <w:basedOn w:val="DefaultParagraphFont"/>
    <w:uiPriority w:val="99"/>
    <w:semiHidden/>
    <w:rsid w:val="00C07E83"/>
    <w:rPr>
      <w:color w:val="7030A0" w:themeColor="followedHyperlink"/>
      <w:u w:val="single"/>
    </w:rPr>
  </w:style>
  <w:style w:type="table" w:styleId="LightList-Accent1">
    <w:name w:val="Light List Accent 1"/>
    <w:basedOn w:val="TableNormal"/>
    <w:uiPriority w:val="61"/>
    <w:rsid w:val="00323064"/>
    <w:tblPr>
      <w:tblStyleRowBandSize w:val="1"/>
      <w:tblStyleColBandSize w:val="1"/>
      <w:tblBorders>
        <w:top w:val="single" w:sz="8" w:space="0" w:color="0F979B" w:themeColor="accent1"/>
        <w:left w:val="single" w:sz="8" w:space="0" w:color="0F979B" w:themeColor="accent1"/>
        <w:bottom w:val="single" w:sz="8" w:space="0" w:color="0F979B" w:themeColor="accent1"/>
        <w:right w:val="single" w:sz="8" w:space="0" w:color="0F979B" w:themeColor="accent1"/>
      </w:tblBorders>
    </w:tblPr>
    <w:tblStylePr w:type="firstRow">
      <w:pPr>
        <w:spacing w:before="0" w:after="0" w:line="240" w:lineRule="auto"/>
      </w:pPr>
      <w:rPr>
        <w:b/>
        <w:bCs/>
        <w:color w:val="FFFFFF" w:themeColor="background1"/>
      </w:rPr>
      <w:tblPr/>
      <w:tcPr>
        <w:shd w:val="clear" w:color="auto" w:fill="0F979B" w:themeFill="accent1"/>
      </w:tcPr>
    </w:tblStylePr>
    <w:tblStylePr w:type="lastRow">
      <w:pPr>
        <w:spacing w:before="0" w:after="0" w:line="240" w:lineRule="auto"/>
      </w:pPr>
      <w:rPr>
        <w:b/>
        <w:bCs/>
      </w:rPr>
      <w:tblPr/>
      <w:tcPr>
        <w:tcBorders>
          <w:top w:val="double" w:sz="6" w:space="0" w:color="0F979B" w:themeColor="accent1"/>
          <w:left w:val="single" w:sz="8" w:space="0" w:color="0F979B" w:themeColor="accent1"/>
          <w:bottom w:val="single" w:sz="8" w:space="0" w:color="0F979B" w:themeColor="accent1"/>
          <w:right w:val="single" w:sz="8" w:space="0" w:color="0F979B" w:themeColor="accent1"/>
        </w:tcBorders>
      </w:tcPr>
    </w:tblStylePr>
    <w:tblStylePr w:type="firstCol">
      <w:rPr>
        <w:b/>
        <w:bCs/>
      </w:rPr>
    </w:tblStylePr>
    <w:tblStylePr w:type="lastCol">
      <w:rPr>
        <w:b/>
        <w:bCs/>
      </w:rPr>
    </w:tblStylePr>
    <w:tblStylePr w:type="band1Vert">
      <w:tblPr/>
      <w:tcPr>
        <w:tcBorders>
          <w:top w:val="single" w:sz="8" w:space="0" w:color="0F979B" w:themeColor="accent1"/>
          <w:left w:val="single" w:sz="8" w:space="0" w:color="0F979B" w:themeColor="accent1"/>
          <w:bottom w:val="single" w:sz="8" w:space="0" w:color="0F979B" w:themeColor="accent1"/>
          <w:right w:val="single" w:sz="8" w:space="0" w:color="0F979B" w:themeColor="accent1"/>
        </w:tcBorders>
      </w:tcPr>
    </w:tblStylePr>
    <w:tblStylePr w:type="band1Horz">
      <w:tblPr/>
      <w:tcPr>
        <w:tcBorders>
          <w:top w:val="single" w:sz="8" w:space="0" w:color="0F979B" w:themeColor="accent1"/>
          <w:left w:val="single" w:sz="8" w:space="0" w:color="0F979B" w:themeColor="accent1"/>
          <w:bottom w:val="single" w:sz="8" w:space="0" w:color="0F979B" w:themeColor="accent1"/>
          <w:right w:val="single" w:sz="8" w:space="0" w:color="0F979B" w:themeColor="accent1"/>
        </w:tcBorders>
      </w:tcPr>
    </w:tblStylePr>
  </w:style>
  <w:style w:type="character" w:styleId="Strong">
    <w:name w:val="Strong"/>
    <w:basedOn w:val="DefaultParagraphFont"/>
    <w:uiPriority w:val="22"/>
    <w:qFormat/>
    <w:rsid w:val="000E0639"/>
    <w:rPr>
      <w:b/>
      <w:bCs/>
    </w:rPr>
  </w:style>
  <w:style w:type="table" w:customStyle="1" w:styleId="MediumList1-Accent51">
    <w:name w:val="Medium List 1 - Accent 51"/>
    <w:basedOn w:val="TableNormal"/>
    <w:next w:val="MediumList1-Accent5"/>
    <w:uiPriority w:val="65"/>
    <w:rsid w:val="005B410E"/>
    <w:rPr>
      <w:rFonts w:ascii="Times New Roman" w:eastAsia="Times New Roman" w:hAnsi="Times New Roman"/>
      <w:color w:val="000000"/>
      <w:lang w:eastAsia="en-AU"/>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5">
    <w:name w:val="Medium List 1 Accent 5"/>
    <w:basedOn w:val="TableNormal"/>
    <w:uiPriority w:val="65"/>
    <w:rsid w:val="005B410E"/>
    <w:rPr>
      <w:color w:val="000000" w:themeColor="text1"/>
    </w:rPr>
    <w:tblPr>
      <w:tblStyleRowBandSize w:val="1"/>
      <w:tblStyleColBandSize w:val="1"/>
      <w:tblBorders>
        <w:top w:val="single" w:sz="8" w:space="0" w:color="344653" w:themeColor="accent5"/>
        <w:bottom w:val="single" w:sz="8" w:space="0" w:color="344653" w:themeColor="accent5"/>
      </w:tblBorders>
    </w:tblPr>
    <w:tblStylePr w:type="firstRow">
      <w:rPr>
        <w:rFonts w:asciiTheme="majorHAnsi" w:eastAsiaTheme="majorEastAsia" w:hAnsiTheme="majorHAnsi" w:cstheme="majorBidi"/>
      </w:rPr>
      <w:tblPr/>
      <w:tcPr>
        <w:tcBorders>
          <w:top w:val="nil"/>
          <w:bottom w:val="single" w:sz="8" w:space="0" w:color="344653" w:themeColor="accent5"/>
        </w:tcBorders>
      </w:tcPr>
    </w:tblStylePr>
    <w:tblStylePr w:type="lastRow">
      <w:rPr>
        <w:b/>
        <w:bCs/>
        <w:color w:val="D9D9D9" w:themeColor="text2"/>
      </w:rPr>
      <w:tblPr/>
      <w:tcPr>
        <w:tcBorders>
          <w:top w:val="single" w:sz="8" w:space="0" w:color="344653" w:themeColor="accent5"/>
          <w:bottom w:val="single" w:sz="8" w:space="0" w:color="344653" w:themeColor="accent5"/>
        </w:tcBorders>
      </w:tcPr>
    </w:tblStylePr>
    <w:tblStylePr w:type="firstCol">
      <w:rPr>
        <w:b/>
        <w:bCs/>
      </w:rPr>
    </w:tblStylePr>
    <w:tblStylePr w:type="lastCol">
      <w:rPr>
        <w:b/>
        <w:bCs/>
      </w:rPr>
      <w:tblPr/>
      <w:tcPr>
        <w:tcBorders>
          <w:top w:val="single" w:sz="8" w:space="0" w:color="344653" w:themeColor="accent5"/>
          <w:bottom w:val="single" w:sz="8" w:space="0" w:color="344653" w:themeColor="accent5"/>
        </w:tcBorders>
      </w:tcPr>
    </w:tblStylePr>
    <w:tblStylePr w:type="band1Vert">
      <w:tblPr/>
      <w:tcPr>
        <w:shd w:val="clear" w:color="auto" w:fill="C6D2DB" w:themeFill="accent5" w:themeFillTint="3F"/>
      </w:tcPr>
    </w:tblStylePr>
    <w:tblStylePr w:type="band1Horz">
      <w:tblPr/>
      <w:tcPr>
        <w:shd w:val="clear" w:color="auto" w:fill="C6D2DB" w:themeFill="accent5" w:themeFillTint="3F"/>
      </w:tcPr>
    </w:tblStylePr>
  </w:style>
  <w:style w:type="character" w:styleId="UnresolvedMention">
    <w:name w:val="Unresolved Mention"/>
    <w:basedOn w:val="DefaultParagraphFont"/>
    <w:uiPriority w:val="99"/>
    <w:semiHidden/>
    <w:unhideWhenUsed/>
    <w:rsid w:val="008F0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43899">
      <w:bodyDiv w:val="1"/>
      <w:marLeft w:val="0"/>
      <w:marRight w:val="0"/>
      <w:marTop w:val="0"/>
      <w:marBottom w:val="0"/>
      <w:divBdr>
        <w:top w:val="none" w:sz="0" w:space="0" w:color="auto"/>
        <w:left w:val="none" w:sz="0" w:space="0" w:color="auto"/>
        <w:bottom w:val="none" w:sz="0" w:space="0" w:color="auto"/>
        <w:right w:val="none" w:sz="0" w:space="0" w:color="auto"/>
      </w:divBdr>
      <w:divsChild>
        <w:div w:id="501238199">
          <w:marLeft w:val="0"/>
          <w:marRight w:val="0"/>
          <w:marTop w:val="0"/>
          <w:marBottom w:val="0"/>
          <w:divBdr>
            <w:top w:val="none" w:sz="0" w:space="0" w:color="auto"/>
            <w:left w:val="none" w:sz="0" w:space="0" w:color="auto"/>
            <w:bottom w:val="none" w:sz="0" w:space="0" w:color="auto"/>
            <w:right w:val="none" w:sz="0" w:space="0" w:color="auto"/>
          </w:divBdr>
        </w:div>
        <w:div w:id="363989633">
          <w:marLeft w:val="0"/>
          <w:marRight w:val="0"/>
          <w:marTop w:val="0"/>
          <w:marBottom w:val="0"/>
          <w:divBdr>
            <w:top w:val="none" w:sz="0" w:space="0" w:color="auto"/>
            <w:left w:val="none" w:sz="0" w:space="0" w:color="auto"/>
            <w:bottom w:val="none" w:sz="0" w:space="0" w:color="auto"/>
            <w:right w:val="none" w:sz="0" w:space="0" w:color="auto"/>
          </w:divBdr>
        </w:div>
        <w:div w:id="321548707">
          <w:marLeft w:val="0"/>
          <w:marRight w:val="0"/>
          <w:marTop w:val="0"/>
          <w:marBottom w:val="0"/>
          <w:divBdr>
            <w:top w:val="none" w:sz="0" w:space="0" w:color="auto"/>
            <w:left w:val="none" w:sz="0" w:space="0" w:color="auto"/>
            <w:bottom w:val="none" w:sz="0" w:space="0" w:color="auto"/>
            <w:right w:val="none" w:sz="0" w:space="0" w:color="auto"/>
          </w:divBdr>
        </w:div>
        <w:div w:id="700980355">
          <w:marLeft w:val="0"/>
          <w:marRight w:val="0"/>
          <w:marTop w:val="0"/>
          <w:marBottom w:val="0"/>
          <w:divBdr>
            <w:top w:val="none" w:sz="0" w:space="0" w:color="auto"/>
            <w:left w:val="none" w:sz="0" w:space="0" w:color="auto"/>
            <w:bottom w:val="none" w:sz="0" w:space="0" w:color="auto"/>
            <w:right w:val="none" w:sz="0" w:space="0" w:color="auto"/>
          </w:divBdr>
        </w:div>
        <w:div w:id="1562595113">
          <w:marLeft w:val="0"/>
          <w:marRight w:val="0"/>
          <w:marTop w:val="0"/>
          <w:marBottom w:val="0"/>
          <w:divBdr>
            <w:top w:val="none" w:sz="0" w:space="0" w:color="auto"/>
            <w:left w:val="none" w:sz="0" w:space="0" w:color="auto"/>
            <w:bottom w:val="none" w:sz="0" w:space="0" w:color="auto"/>
            <w:right w:val="none" w:sz="0" w:space="0" w:color="auto"/>
          </w:divBdr>
        </w:div>
        <w:div w:id="1797600890">
          <w:marLeft w:val="0"/>
          <w:marRight w:val="0"/>
          <w:marTop w:val="0"/>
          <w:marBottom w:val="0"/>
          <w:divBdr>
            <w:top w:val="none" w:sz="0" w:space="0" w:color="auto"/>
            <w:left w:val="none" w:sz="0" w:space="0" w:color="auto"/>
            <w:bottom w:val="none" w:sz="0" w:space="0" w:color="auto"/>
            <w:right w:val="none" w:sz="0" w:space="0" w:color="auto"/>
          </w:divBdr>
        </w:div>
        <w:div w:id="85228840">
          <w:marLeft w:val="0"/>
          <w:marRight w:val="0"/>
          <w:marTop w:val="0"/>
          <w:marBottom w:val="0"/>
          <w:divBdr>
            <w:top w:val="none" w:sz="0" w:space="0" w:color="auto"/>
            <w:left w:val="none" w:sz="0" w:space="0" w:color="auto"/>
            <w:bottom w:val="none" w:sz="0" w:space="0" w:color="auto"/>
            <w:right w:val="none" w:sz="0" w:space="0" w:color="auto"/>
          </w:divBdr>
        </w:div>
        <w:div w:id="262537898">
          <w:marLeft w:val="0"/>
          <w:marRight w:val="0"/>
          <w:marTop w:val="0"/>
          <w:marBottom w:val="0"/>
          <w:divBdr>
            <w:top w:val="none" w:sz="0" w:space="0" w:color="auto"/>
            <w:left w:val="none" w:sz="0" w:space="0" w:color="auto"/>
            <w:bottom w:val="none" w:sz="0" w:space="0" w:color="auto"/>
            <w:right w:val="none" w:sz="0" w:space="0" w:color="auto"/>
          </w:divBdr>
        </w:div>
        <w:div w:id="997267250">
          <w:marLeft w:val="0"/>
          <w:marRight w:val="0"/>
          <w:marTop w:val="0"/>
          <w:marBottom w:val="0"/>
          <w:divBdr>
            <w:top w:val="none" w:sz="0" w:space="0" w:color="auto"/>
            <w:left w:val="none" w:sz="0" w:space="0" w:color="auto"/>
            <w:bottom w:val="none" w:sz="0" w:space="0" w:color="auto"/>
            <w:right w:val="none" w:sz="0" w:space="0" w:color="auto"/>
          </w:divBdr>
        </w:div>
        <w:div w:id="2026059246">
          <w:marLeft w:val="0"/>
          <w:marRight w:val="0"/>
          <w:marTop w:val="0"/>
          <w:marBottom w:val="0"/>
          <w:divBdr>
            <w:top w:val="none" w:sz="0" w:space="0" w:color="auto"/>
            <w:left w:val="none" w:sz="0" w:space="0" w:color="auto"/>
            <w:bottom w:val="none" w:sz="0" w:space="0" w:color="auto"/>
            <w:right w:val="none" w:sz="0" w:space="0" w:color="auto"/>
          </w:divBdr>
        </w:div>
        <w:div w:id="92017920">
          <w:marLeft w:val="0"/>
          <w:marRight w:val="0"/>
          <w:marTop w:val="0"/>
          <w:marBottom w:val="0"/>
          <w:divBdr>
            <w:top w:val="none" w:sz="0" w:space="0" w:color="auto"/>
            <w:left w:val="none" w:sz="0" w:space="0" w:color="auto"/>
            <w:bottom w:val="none" w:sz="0" w:space="0" w:color="auto"/>
            <w:right w:val="none" w:sz="0" w:space="0" w:color="auto"/>
          </w:divBdr>
        </w:div>
        <w:div w:id="1106726898">
          <w:marLeft w:val="0"/>
          <w:marRight w:val="0"/>
          <w:marTop w:val="0"/>
          <w:marBottom w:val="0"/>
          <w:divBdr>
            <w:top w:val="none" w:sz="0" w:space="0" w:color="auto"/>
            <w:left w:val="none" w:sz="0" w:space="0" w:color="auto"/>
            <w:bottom w:val="none" w:sz="0" w:space="0" w:color="auto"/>
            <w:right w:val="none" w:sz="0" w:space="0" w:color="auto"/>
          </w:divBdr>
        </w:div>
        <w:div w:id="171915117">
          <w:marLeft w:val="0"/>
          <w:marRight w:val="0"/>
          <w:marTop w:val="0"/>
          <w:marBottom w:val="0"/>
          <w:divBdr>
            <w:top w:val="none" w:sz="0" w:space="0" w:color="auto"/>
            <w:left w:val="none" w:sz="0" w:space="0" w:color="auto"/>
            <w:bottom w:val="none" w:sz="0" w:space="0" w:color="auto"/>
            <w:right w:val="none" w:sz="0" w:space="0" w:color="auto"/>
          </w:divBdr>
        </w:div>
        <w:div w:id="1646856403">
          <w:marLeft w:val="0"/>
          <w:marRight w:val="0"/>
          <w:marTop w:val="0"/>
          <w:marBottom w:val="0"/>
          <w:divBdr>
            <w:top w:val="none" w:sz="0" w:space="0" w:color="auto"/>
            <w:left w:val="none" w:sz="0" w:space="0" w:color="auto"/>
            <w:bottom w:val="none" w:sz="0" w:space="0" w:color="auto"/>
            <w:right w:val="none" w:sz="0" w:space="0" w:color="auto"/>
          </w:divBdr>
        </w:div>
        <w:div w:id="370037360">
          <w:marLeft w:val="0"/>
          <w:marRight w:val="0"/>
          <w:marTop w:val="0"/>
          <w:marBottom w:val="0"/>
          <w:divBdr>
            <w:top w:val="none" w:sz="0" w:space="0" w:color="auto"/>
            <w:left w:val="none" w:sz="0" w:space="0" w:color="auto"/>
            <w:bottom w:val="none" w:sz="0" w:space="0" w:color="auto"/>
            <w:right w:val="none" w:sz="0" w:space="0" w:color="auto"/>
          </w:divBdr>
        </w:div>
        <w:div w:id="1139037664">
          <w:marLeft w:val="0"/>
          <w:marRight w:val="0"/>
          <w:marTop w:val="0"/>
          <w:marBottom w:val="0"/>
          <w:divBdr>
            <w:top w:val="none" w:sz="0" w:space="0" w:color="auto"/>
            <w:left w:val="none" w:sz="0" w:space="0" w:color="auto"/>
            <w:bottom w:val="none" w:sz="0" w:space="0" w:color="auto"/>
            <w:right w:val="none" w:sz="0" w:space="0" w:color="auto"/>
          </w:divBdr>
        </w:div>
      </w:divsChild>
    </w:div>
    <w:div w:id="371660966">
      <w:bodyDiv w:val="1"/>
      <w:marLeft w:val="0"/>
      <w:marRight w:val="0"/>
      <w:marTop w:val="0"/>
      <w:marBottom w:val="0"/>
      <w:divBdr>
        <w:top w:val="none" w:sz="0" w:space="0" w:color="auto"/>
        <w:left w:val="none" w:sz="0" w:space="0" w:color="auto"/>
        <w:bottom w:val="none" w:sz="0" w:space="0" w:color="auto"/>
        <w:right w:val="none" w:sz="0" w:space="0" w:color="auto"/>
      </w:divBdr>
    </w:div>
    <w:div w:id="372657507">
      <w:bodyDiv w:val="1"/>
      <w:marLeft w:val="0"/>
      <w:marRight w:val="0"/>
      <w:marTop w:val="0"/>
      <w:marBottom w:val="0"/>
      <w:divBdr>
        <w:top w:val="none" w:sz="0" w:space="0" w:color="auto"/>
        <w:left w:val="none" w:sz="0" w:space="0" w:color="auto"/>
        <w:bottom w:val="none" w:sz="0" w:space="0" w:color="auto"/>
        <w:right w:val="none" w:sz="0" w:space="0" w:color="auto"/>
      </w:divBdr>
    </w:div>
    <w:div w:id="578179197">
      <w:bodyDiv w:val="1"/>
      <w:marLeft w:val="0"/>
      <w:marRight w:val="0"/>
      <w:marTop w:val="0"/>
      <w:marBottom w:val="0"/>
      <w:divBdr>
        <w:top w:val="none" w:sz="0" w:space="0" w:color="auto"/>
        <w:left w:val="none" w:sz="0" w:space="0" w:color="auto"/>
        <w:bottom w:val="none" w:sz="0" w:space="0" w:color="auto"/>
        <w:right w:val="none" w:sz="0" w:space="0" w:color="auto"/>
      </w:divBdr>
      <w:divsChild>
        <w:div w:id="1131707328">
          <w:marLeft w:val="0"/>
          <w:marRight w:val="0"/>
          <w:marTop w:val="0"/>
          <w:marBottom w:val="0"/>
          <w:divBdr>
            <w:top w:val="none" w:sz="0" w:space="0" w:color="auto"/>
            <w:left w:val="none" w:sz="0" w:space="0" w:color="auto"/>
            <w:bottom w:val="none" w:sz="0" w:space="0" w:color="auto"/>
            <w:right w:val="none" w:sz="0" w:space="0" w:color="auto"/>
          </w:divBdr>
        </w:div>
        <w:div w:id="665010706">
          <w:marLeft w:val="0"/>
          <w:marRight w:val="0"/>
          <w:marTop w:val="0"/>
          <w:marBottom w:val="0"/>
          <w:divBdr>
            <w:top w:val="none" w:sz="0" w:space="0" w:color="auto"/>
            <w:left w:val="none" w:sz="0" w:space="0" w:color="auto"/>
            <w:bottom w:val="none" w:sz="0" w:space="0" w:color="auto"/>
            <w:right w:val="none" w:sz="0" w:space="0" w:color="auto"/>
          </w:divBdr>
        </w:div>
        <w:div w:id="910426506">
          <w:marLeft w:val="0"/>
          <w:marRight w:val="0"/>
          <w:marTop w:val="0"/>
          <w:marBottom w:val="0"/>
          <w:divBdr>
            <w:top w:val="none" w:sz="0" w:space="0" w:color="auto"/>
            <w:left w:val="none" w:sz="0" w:space="0" w:color="auto"/>
            <w:bottom w:val="none" w:sz="0" w:space="0" w:color="auto"/>
            <w:right w:val="none" w:sz="0" w:space="0" w:color="auto"/>
          </w:divBdr>
        </w:div>
        <w:div w:id="452022843">
          <w:marLeft w:val="0"/>
          <w:marRight w:val="0"/>
          <w:marTop w:val="0"/>
          <w:marBottom w:val="0"/>
          <w:divBdr>
            <w:top w:val="none" w:sz="0" w:space="0" w:color="auto"/>
            <w:left w:val="none" w:sz="0" w:space="0" w:color="auto"/>
            <w:bottom w:val="none" w:sz="0" w:space="0" w:color="auto"/>
            <w:right w:val="none" w:sz="0" w:space="0" w:color="auto"/>
          </w:divBdr>
        </w:div>
        <w:div w:id="1252469738">
          <w:marLeft w:val="0"/>
          <w:marRight w:val="0"/>
          <w:marTop w:val="0"/>
          <w:marBottom w:val="0"/>
          <w:divBdr>
            <w:top w:val="none" w:sz="0" w:space="0" w:color="auto"/>
            <w:left w:val="none" w:sz="0" w:space="0" w:color="auto"/>
            <w:bottom w:val="none" w:sz="0" w:space="0" w:color="auto"/>
            <w:right w:val="none" w:sz="0" w:space="0" w:color="auto"/>
          </w:divBdr>
        </w:div>
        <w:div w:id="1135100846">
          <w:marLeft w:val="0"/>
          <w:marRight w:val="0"/>
          <w:marTop w:val="0"/>
          <w:marBottom w:val="0"/>
          <w:divBdr>
            <w:top w:val="none" w:sz="0" w:space="0" w:color="auto"/>
            <w:left w:val="none" w:sz="0" w:space="0" w:color="auto"/>
            <w:bottom w:val="none" w:sz="0" w:space="0" w:color="auto"/>
            <w:right w:val="none" w:sz="0" w:space="0" w:color="auto"/>
          </w:divBdr>
        </w:div>
        <w:div w:id="2140757057">
          <w:marLeft w:val="0"/>
          <w:marRight w:val="0"/>
          <w:marTop w:val="0"/>
          <w:marBottom w:val="0"/>
          <w:divBdr>
            <w:top w:val="none" w:sz="0" w:space="0" w:color="auto"/>
            <w:left w:val="none" w:sz="0" w:space="0" w:color="auto"/>
            <w:bottom w:val="none" w:sz="0" w:space="0" w:color="auto"/>
            <w:right w:val="none" w:sz="0" w:space="0" w:color="auto"/>
          </w:divBdr>
        </w:div>
        <w:div w:id="1147821588">
          <w:marLeft w:val="0"/>
          <w:marRight w:val="0"/>
          <w:marTop w:val="0"/>
          <w:marBottom w:val="0"/>
          <w:divBdr>
            <w:top w:val="none" w:sz="0" w:space="0" w:color="auto"/>
            <w:left w:val="none" w:sz="0" w:space="0" w:color="auto"/>
            <w:bottom w:val="none" w:sz="0" w:space="0" w:color="auto"/>
            <w:right w:val="none" w:sz="0" w:space="0" w:color="auto"/>
          </w:divBdr>
        </w:div>
        <w:div w:id="1448088244">
          <w:marLeft w:val="0"/>
          <w:marRight w:val="0"/>
          <w:marTop w:val="0"/>
          <w:marBottom w:val="0"/>
          <w:divBdr>
            <w:top w:val="none" w:sz="0" w:space="0" w:color="auto"/>
            <w:left w:val="none" w:sz="0" w:space="0" w:color="auto"/>
            <w:bottom w:val="none" w:sz="0" w:space="0" w:color="auto"/>
            <w:right w:val="none" w:sz="0" w:space="0" w:color="auto"/>
          </w:divBdr>
        </w:div>
        <w:div w:id="547568260">
          <w:marLeft w:val="0"/>
          <w:marRight w:val="0"/>
          <w:marTop w:val="0"/>
          <w:marBottom w:val="0"/>
          <w:divBdr>
            <w:top w:val="none" w:sz="0" w:space="0" w:color="auto"/>
            <w:left w:val="none" w:sz="0" w:space="0" w:color="auto"/>
            <w:bottom w:val="none" w:sz="0" w:space="0" w:color="auto"/>
            <w:right w:val="none" w:sz="0" w:space="0" w:color="auto"/>
          </w:divBdr>
        </w:div>
        <w:div w:id="1822892381">
          <w:marLeft w:val="0"/>
          <w:marRight w:val="0"/>
          <w:marTop w:val="0"/>
          <w:marBottom w:val="0"/>
          <w:divBdr>
            <w:top w:val="none" w:sz="0" w:space="0" w:color="auto"/>
            <w:left w:val="none" w:sz="0" w:space="0" w:color="auto"/>
            <w:bottom w:val="none" w:sz="0" w:space="0" w:color="auto"/>
            <w:right w:val="none" w:sz="0" w:space="0" w:color="auto"/>
          </w:divBdr>
        </w:div>
        <w:div w:id="1955482487">
          <w:marLeft w:val="0"/>
          <w:marRight w:val="0"/>
          <w:marTop w:val="0"/>
          <w:marBottom w:val="0"/>
          <w:divBdr>
            <w:top w:val="none" w:sz="0" w:space="0" w:color="auto"/>
            <w:left w:val="none" w:sz="0" w:space="0" w:color="auto"/>
            <w:bottom w:val="none" w:sz="0" w:space="0" w:color="auto"/>
            <w:right w:val="none" w:sz="0" w:space="0" w:color="auto"/>
          </w:divBdr>
        </w:div>
        <w:div w:id="1133713320">
          <w:marLeft w:val="0"/>
          <w:marRight w:val="0"/>
          <w:marTop w:val="0"/>
          <w:marBottom w:val="0"/>
          <w:divBdr>
            <w:top w:val="none" w:sz="0" w:space="0" w:color="auto"/>
            <w:left w:val="none" w:sz="0" w:space="0" w:color="auto"/>
            <w:bottom w:val="none" w:sz="0" w:space="0" w:color="auto"/>
            <w:right w:val="none" w:sz="0" w:space="0" w:color="auto"/>
          </w:divBdr>
        </w:div>
        <w:div w:id="561722211">
          <w:marLeft w:val="0"/>
          <w:marRight w:val="0"/>
          <w:marTop w:val="0"/>
          <w:marBottom w:val="0"/>
          <w:divBdr>
            <w:top w:val="none" w:sz="0" w:space="0" w:color="auto"/>
            <w:left w:val="none" w:sz="0" w:space="0" w:color="auto"/>
            <w:bottom w:val="none" w:sz="0" w:space="0" w:color="auto"/>
            <w:right w:val="none" w:sz="0" w:space="0" w:color="auto"/>
          </w:divBdr>
        </w:div>
        <w:div w:id="34627242">
          <w:marLeft w:val="0"/>
          <w:marRight w:val="0"/>
          <w:marTop w:val="0"/>
          <w:marBottom w:val="0"/>
          <w:divBdr>
            <w:top w:val="none" w:sz="0" w:space="0" w:color="auto"/>
            <w:left w:val="none" w:sz="0" w:space="0" w:color="auto"/>
            <w:bottom w:val="none" w:sz="0" w:space="0" w:color="auto"/>
            <w:right w:val="none" w:sz="0" w:space="0" w:color="auto"/>
          </w:divBdr>
        </w:div>
        <w:div w:id="1303315201">
          <w:marLeft w:val="0"/>
          <w:marRight w:val="0"/>
          <w:marTop w:val="0"/>
          <w:marBottom w:val="0"/>
          <w:divBdr>
            <w:top w:val="none" w:sz="0" w:space="0" w:color="auto"/>
            <w:left w:val="none" w:sz="0" w:space="0" w:color="auto"/>
            <w:bottom w:val="none" w:sz="0" w:space="0" w:color="auto"/>
            <w:right w:val="none" w:sz="0" w:space="0" w:color="auto"/>
          </w:divBdr>
        </w:div>
        <w:div w:id="1349330653">
          <w:marLeft w:val="0"/>
          <w:marRight w:val="0"/>
          <w:marTop w:val="0"/>
          <w:marBottom w:val="0"/>
          <w:divBdr>
            <w:top w:val="none" w:sz="0" w:space="0" w:color="auto"/>
            <w:left w:val="none" w:sz="0" w:space="0" w:color="auto"/>
            <w:bottom w:val="none" w:sz="0" w:space="0" w:color="auto"/>
            <w:right w:val="none" w:sz="0" w:space="0" w:color="auto"/>
          </w:divBdr>
        </w:div>
        <w:div w:id="77337281">
          <w:marLeft w:val="0"/>
          <w:marRight w:val="0"/>
          <w:marTop w:val="0"/>
          <w:marBottom w:val="0"/>
          <w:divBdr>
            <w:top w:val="none" w:sz="0" w:space="0" w:color="auto"/>
            <w:left w:val="none" w:sz="0" w:space="0" w:color="auto"/>
            <w:bottom w:val="none" w:sz="0" w:space="0" w:color="auto"/>
            <w:right w:val="none" w:sz="0" w:space="0" w:color="auto"/>
          </w:divBdr>
        </w:div>
        <w:div w:id="2133933802">
          <w:marLeft w:val="0"/>
          <w:marRight w:val="0"/>
          <w:marTop w:val="0"/>
          <w:marBottom w:val="0"/>
          <w:divBdr>
            <w:top w:val="none" w:sz="0" w:space="0" w:color="auto"/>
            <w:left w:val="none" w:sz="0" w:space="0" w:color="auto"/>
            <w:bottom w:val="none" w:sz="0" w:space="0" w:color="auto"/>
            <w:right w:val="none" w:sz="0" w:space="0" w:color="auto"/>
          </w:divBdr>
        </w:div>
        <w:div w:id="563029339">
          <w:marLeft w:val="0"/>
          <w:marRight w:val="0"/>
          <w:marTop w:val="0"/>
          <w:marBottom w:val="0"/>
          <w:divBdr>
            <w:top w:val="none" w:sz="0" w:space="0" w:color="auto"/>
            <w:left w:val="none" w:sz="0" w:space="0" w:color="auto"/>
            <w:bottom w:val="none" w:sz="0" w:space="0" w:color="auto"/>
            <w:right w:val="none" w:sz="0" w:space="0" w:color="auto"/>
          </w:divBdr>
        </w:div>
        <w:div w:id="826629839">
          <w:marLeft w:val="0"/>
          <w:marRight w:val="0"/>
          <w:marTop w:val="0"/>
          <w:marBottom w:val="0"/>
          <w:divBdr>
            <w:top w:val="none" w:sz="0" w:space="0" w:color="auto"/>
            <w:left w:val="none" w:sz="0" w:space="0" w:color="auto"/>
            <w:bottom w:val="none" w:sz="0" w:space="0" w:color="auto"/>
            <w:right w:val="none" w:sz="0" w:space="0" w:color="auto"/>
          </w:divBdr>
        </w:div>
        <w:div w:id="1636520777">
          <w:marLeft w:val="0"/>
          <w:marRight w:val="0"/>
          <w:marTop w:val="0"/>
          <w:marBottom w:val="0"/>
          <w:divBdr>
            <w:top w:val="none" w:sz="0" w:space="0" w:color="auto"/>
            <w:left w:val="none" w:sz="0" w:space="0" w:color="auto"/>
            <w:bottom w:val="none" w:sz="0" w:space="0" w:color="auto"/>
            <w:right w:val="none" w:sz="0" w:space="0" w:color="auto"/>
          </w:divBdr>
        </w:div>
        <w:div w:id="906768635">
          <w:marLeft w:val="0"/>
          <w:marRight w:val="0"/>
          <w:marTop w:val="0"/>
          <w:marBottom w:val="0"/>
          <w:divBdr>
            <w:top w:val="none" w:sz="0" w:space="0" w:color="auto"/>
            <w:left w:val="none" w:sz="0" w:space="0" w:color="auto"/>
            <w:bottom w:val="none" w:sz="0" w:space="0" w:color="auto"/>
            <w:right w:val="none" w:sz="0" w:space="0" w:color="auto"/>
          </w:divBdr>
        </w:div>
        <w:div w:id="685791525">
          <w:marLeft w:val="0"/>
          <w:marRight w:val="0"/>
          <w:marTop w:val="0"/>
          <w:marBottom w:val="0"/>
          <w:divBdr>
            <w:top w:val="none" w:sz="0" w:space="0" w:color="auto"/>
            <w:left w:val="none" w:sz="0" w:space="0" w:color="auto"/>
            <w:bottom w:val="none" w:sz="0" w:space="0" w:color="auto"/>
            <w:right w:val="none" w:sz="0" w:space="0" w:color="auto"/>
          </w:divBdr>
        </w:div>
        <w:div w:id="19362270">
          <w:marLeft w:val="0"/>
          <w:marRight w:val="0"/>
          <w:marTop w:val="0"/>
          <w:marBottom w:val="0"/>
          <w:divBdr>
            <w:top w:val="none" w:sz="0" w:space="0" w:color="auto"/>
            <w:left w:val="none" w:sz="0" w:space="0" w:color="auto"/>
            <w:bottom w:val="none" w:sz="0" w:space="0" w:color="auto"/>
            <w:right w:val="none" w:sz="0" w:space="0" w:color="auto"/>
          </w:divBdr>
        </w:div>
        <w:div w:id="1908416299">
          <w:marLeft w:val="0"/>
          <w:marRight w:val="0"/>
          <w:marTop w:val="0"/>
          <w:marBottom w:val="0"/>
          <w:divBdr>
            <w:top w:val="none" w:sz="0" w:space="0" w:color="auto"/>
            <w:left w:val="none" w:sz="0" w:space="0" w:color="auto"/>
            <w:bottom w:val="none" w:sz="0" w:space="0" w:color="auto"/>
            <w:right w:val="none" w:sz="0" w:space="0" w:color="auto"/>
          </w:divBdr>
        </w:div>
        <w:div w:id="998576373">
          <w:marLeft w:val="0"/>
          <w:marRight w:val="0"/>
          <w:marTop w:val="0"/>
          <w:marBottom w:val="0"/>
          <w:divBdr>
            <w:top w:val="none" w:sz="0" w:space="0" w:color="auto"/>
            <w:left w:val="none" w:sz="0" w:space="0" w:color="auto"/>
            <w:bottom w:val="none" w:sz="0" w:space="0" w:color="auto"/>
            <w:right w:val="none" w:sz="0" w:space="0" w:color="auto"/>
          </w:divBdr>
        </w:div>
        <w:div w:id="356659266">
          <w:marLeft w:val="0"/>
          <w:marRight w:val="0"/>
          <w:marTop w:val="0"/>
          <w:marBottom w:val="0"/>
          <w:divBdr>
            <w:top w:val="none" w:sz="0" w:space="0" w:color="auto"/>
            <w:left w:val="none" w:sz="0" w:space="0" w:color="auto"/>
            <w:bottom w:val="none" w:sz="0" w:space="0" w:color="auto"/>
            <w:right w:val="none" w:sz="0" w:space="0" w:color="auto"/>
          </w:divBdr>
        </w:div>
        <w:div w:id="1697467002">
          <w:marLeft w:val="0"/>
          <w:marRight w:val="0"/>
          <w:marTop w:val="0"/>
          <w:marBottom w:val="0"/>
          <w:divBdr>
            <w:top w:val="none" w:sz="0" w:space="0" w:color="auto"/>
            <w:left w:val="none" w:sz="0" w:space="0" w:color="auto"/>
            <w:bottom w:val="none" w:sz="0" w:space="0" w:color="auto"/>
            <w:right w:val="none" w:sz="0" w:space="0" w:color="auto"/>
          </w:divBdr>
        </w:div>
        <w:div w:id="1125275883">
          <w:marLeft w:val="0"/>
          <w:marRight w:val="0"/>
          <w:marTop w:val="0"/>
          <w:marBottom w:val="0"/>
          <w:divBdr>
            <w:top w:val="none" w:sz="0" w:space="0" w:color="auto"/>
            <w:left w:val="none" w:sz="0" w:space="0" w:color="auto"/>
            <w:bottom w:val="none" w:sz="0" w:space="0" w:color="auto"/>
            <w:right w:val="none" w:sz="0" w:space="0" w:color="auto"/>
          </w:divBdr>
        </w:div>
        <w:div w:id="1164781858">
          <w:marLeft w:val="0"/>
          <w:marRight w:val="0"/>
          <w:marTop w:val="0"/>
          <w:marBottom w:val="0"/>
          <w:divBdr>
            <w:top w:val="none" w:sz="0" w:space="0" w:color="auto"/>
            <w:left w:val="none" w:sz="0" w:space="0" w:color="auto"/>
            <w:bottom w:val="none" w:sz="0" w:space="0" w:color="auto"/>
            <w:right w:val="none" w:sz="0" w:space="0" w:color="auto"/>
          </w:divBdr>
        </w:div>
        <w:div w:id="495919401">
          <w:marLeft w:val="0"/>
          <w:marRight w:val="0"/>
          <w:marTop w:val="0"/>
          <w:marBottom w:val="0"/>
          <w:divBdr>
            <w:top w:val="none" w:sz="0" w:space="0" w:color="auto"/>
            <w:left w:val="none" w:sz="0" w:space="0" w:color="auto"/>
            <w:bottom w:val="none" w:sz="0" w:space="0" w:color="auto"/>
            <w:right w:val="none" w:sz="0" w:space="0" w:color="auto"/>
          </w:divBdr>
        </w:div>
        <w:div w:id="1097750627">
          <w:marLeft w:val="0"/>
          <w:marRight w:val="0"/>
          <w:marTop w:val="0"/>
          <w:marBottom w:val="0"/>
          <w:divBdr>
            <w:top w:val="none" w:sz="0" w:space="0" w:color="auto"/>
            <w:left w:val="none" w:sz="0" w:space="0" w:color="auto"/>
            <w:bottom w:val="none" w:sz="0" w:space="0" w:color="auto"/>
            <w:right w:val="none" w:sz="0" w:space="0" w:color="auto"/>
          </w:divBdr>
        </w:div>
        <w:div w:id="1622613238">
          <w:marLeft w:val="0"/>
          <w:marRight w:val="0"/>
          <w:marTop w:val="0"/>
          <w:marBottom w:val="0"/>
          <w:divBdr>
            <w:top w:val="none" w:sz="0" w:space="0" w:color="auto"/>
            <w:left w:val="none" w:sz="0" w:space="0" w:color="auto"/>
            <w:bottom w:val="none" w:sz="0" w:space="0" w:color="auto"/>
            <w:right w:val="none" w:sz="0" w:space="0" w:color="auto"/>
          </w:divBdr>
        </w:div>
      </w:divsChild>
    </w:div>
    <w:div w:id="584917613">
      <w:bodyDiv w:val="1"/>
      <w:marLeft w:val="0"/>
      <w:marRight w:val="0"/>
      <w:marTop w:val="0"/>
      <w:marBottom w:val="0"/>
      <w:divBdr>
        <w:top w:val="none" w:sz="0" w:space="0" w:color="auto"/>
        <w:left w:val="none" w:sz="0" w:space="0" w:color="auto"/>
        <w:bottom w:val="none" w:sz="0" w:space="0" w:color="auto"/>
        <w:right w:val="none" w:sz="0" w:space="0" w:color="auto"/>
      </w:divBdr>
    </w:div>
    <w:div w:id="754664584">
      <w:bodyDiv w:val="1"/>
      <w:marLeft w:val="0"/>
      <w:marRight w:val="0"/>
      <w:marTop w:val="0"/>
      <w:marBottom w:val="0"/>
      <w:divBdr>
        <w:top w:val="none" w:sz="0" w:space="0" w:color="auto"/>
        <w:left w:val="none" w:sz="0" w:space="0" w:color="auto"/>
        <w:bottom w:val="none" w:sz="0" w:space="0" w:color="auto"/>
        <w:right w:val="none" w:sz="0" w:space="0" w:color="auto"/>
      </w:divBdr>
      <w:divsChild>
        <w:div w:id="1858155553">
          <w:marLeft w:val="0"/>
          <w:marRight w:val="0"/>
          <w:marTop w:val="0"/>
          <w:marBottom w:val="0"/>
          <w:divBdr>
            <w:top w:val="none" w:sz="0" w:space="0" w:color="auto"/>
            <w:left w:val="none" w:sz="0" w:space="0" w:color="auto"/>
            <w:bottom w:val="none" w:sz="0" w:space="0" w:color="auto"/>
            <w:right w:val="none" w:sz="0" w:space="0" w:color="auto"/>
          </w:divBdr>
        </w:div>
        <w:div w:id="2037922749">
          <w:marLeft w:val="0"/>
          <w:marRight w:val="0"/>
          <w:marTop w:val="0"/>
          <w:marBottom w:val="0"/>
          <w:divBdr>
            <w:top w:val="none" w:sz="0" w:space="0" w:color="auto"/>
            <w:left w:val="none" w:sz="0" w:space="0" w:color="auto"/>
            <w:bottom w:val="none" w:sz="0" w:space="0" w:color="auto"/>
            <w:right w:val="none" w:sz="0" w:space="0" w:color="auto"/>
          </w:divBdr>
        </w:div>
        <w:div w:id="1395276759">
          <w:marLeft w:val="0"/>
          <w:marRight w:val="0"/>
          <w:marTop w:val="0"/>
          <w:marBottom w:val="0"/>
          <w:divBdr>
            <w:top w:val="none" w:sz="0" w:space="0" w:color="auto"/>
            <w:left w:val="none" w:sz="0" w:space="0" w:color="auto"/>
            <w:bottom w:val="none" w:sz="0" w:space="0" w:color="auto"/>
            <w:right w:val="none" w:sz="0" w:space="0" w:color="auto"/>
          </w:divBdr>
        </w:div>
        <w:div w:id="853762367">
          <w:marLeft w:val="0"/>
          <w:marRight w:val="0"/>
          <w:marTop w:val="0"/>
          <w:marBottom w:val="0"/>
          <w:divBdr>
            <w:top w:val="none" w:sz="0" w:space="0" w:color="auto"/>
            <w:left w:val="none" w:sz="0" w:space="0" w:color="auto"/>
            <w:bottom w:val="none" w:sz="0" w:space="0" w:color="auto"/>
            <w:right w:val="none" w:sz="0" w:space="0" w:color="auto"/>
          </w:divBdr>
        </w:div>
        <w:div w:id="1198472566">
          <w:marLeft w:val="0"/>
          <w:marRight w:val="0"/>
          <w:marTop w:val="0"/>
          <w:marBottom w:val="0"/>
          <w:divBdr>
            <w:top w:val="none" w:sz="0" w:space="0" w:color="auto"/>
            <w:left w:val="none" w:sz="0" w:space="0" w:color="auto"/>
            <w:bottom w:val="none" w:sz="0" w:space="0" w:color="auto"/>
            <w:right w:val="none" w:sz="0" w:space="0" w:color="auto"/>
          </w:divBdr>
        </w:div>
        <w:div w:id="1916816365">
          <w:marLeft w:val="0"/>
          <w:marRight w:val="0"/>
          <w:marTop w:val="0"/>
          <w:marBottom w:val="0"/>
          <w:divBdr>
            <w:top w:val="none" w:sz="0" w:space="0" w:color="auto"/>
            <w:left w:val="none" w:sz="0" w:space="0" w:color="auto"/>
            <w:bottom w:val="none" w:sz="0" w:space="0" w:color="auto"/>
            <w:right w:val="none" w:sz="0" w:space="0" w:color="auto"/>
          </w:divBdr>
        </w:div>
        <w:div w:id="1331955324">
          <w:marLeft w:val="0"/>
          <w:marRight w:val="0"/>
          <w:marTop w:val="0"/>
          <w:marBottom w:val="0"/>
          <w:divBdr>
            <w:top w:val="none" w:sz="0" w:space="0" w:color="auto"/>
            <w:left w:val="none" w:sz="0" w:space="0" w:color="auto"/>
            <w:bottom w:val="none" w:sz="0" w:space="0" w:color="auto"/>
            <w:right w:val="none" w:sz="0" w:space="0" w:color="auto"/>
          </w:divBdr>
        </w:div>
        <w:div w:id="1236936329">
          <w:marLeft w:val="0"/>
          <w:marRight w:val="0"/>
          <w:marTop w:val="0"/>
          <w:marBottom w:val="0"/>
          <w:divBdr>
            <w:top w:val="none" w:sz="0" w:space="0" w:color="auto"/>
            <w:left w:val="none" w:sz="0" w:space="0" w:color="auto"/>
            <w:bottom w:val="none" w:sz="0" w:space="0" w:color="auto"/>
            <w:right w:val="none" w:sz="0" w:space="0" w:color="auto"/>
          </w:divBdr>
        </w:div>
        <w:div w:id="1524440965">
          <w:marLeft w:val="0"/>
          <w:marRight w:val="0"/>
          <w:marTop w:val="0"/>
          <w:marBottom w:val="0"/>
          <w:divBdr>
            <w:top w:val="none" w:sz="0" w:space="0" w:color="auto"/>
            <w:left w:val="none" w:sz="0" w:space="0" w:color="auto"/>
            <w:bottom w:val="none" w:sz="0" w:space="0" w:color="auto"/>
            <w:right w:val="none" w:sz="0" w:space="0" w:color="auto"/>
          </w:divBdr>
        </w:div>
        <w:div w:id="853111479">
          <w:marLeft w:val="0"/>
          <w:marRight w:val="0"/>
          <w:marTop w:val="0"/>
          <w:marBottom w:val="0"/>
          <w:divBdr>
            <w:top w:val="none" w:sz="0" w:space="0" w:color="auto"/>
            <w:left w:val="none" w:sz="0" w:space="0" w:color="auto"/>
            <w:bottom w:val="none" w:sz="0" w:space="0" w:color="auto"/>
            <w:right w:val="none" w:sz="0" w:space="0" w:color="auto"/>
          </w:divBdr>
        </w:div>
        <w:div w:id="209802088">
          <w:marLeft w:val="0"/>
          <w:marRight w:val="0"/>
          <w:marTop w:val="0"/>
          <w:marBottom w:val="0"/>
          <w:divBdr>
            <w:top w:val="none" w:sz="0" w:space="0" w:color="auto"/>
            <w:left w:val="none" w:sz="0" w:space="0" w:color="auto"/>
            <w:bottom w:val="none" w:sz="0" w:space="0" w:color="auto"/>
            <w:right w:val="none" w:sz="0" w:space="0" w:color="auto"/>
          </w:divBdr>
        </w:div>
        <w:div w:id="1491828325">
          <w:marLeft w:val="0"/>
          <w:marRight w:val="0"/>
          <w:marTop w:val="0"/>
          <w:marBottom w:val="0"/>
          <w:divBdr>
            <w:top w:val="none" w:sz="0" w:space="0" w:color="auto"/>
            <w:left w:val="none" w:sz="0" w:space="0" w:color="auto"/>
            <w:bottom w:val="none" w:sz="0" w:space="0" w:color="auto"/>
            <w:right w:val="none" w:sz="0" w:space="0" w:color="auto"/>
          </w:divBdr>
        </w:div>
        <w:div w:id="270553362">
          <w:marLeft w:val="0"/>
          <w:marRight w:val="0"/>
          <w:marTop w:val="0"/>
          <w:marBottom w:val="0"/>
          <w:divBdr>
            <w:top w:val="none" w:sz="0" w:space="0" w:color="auto"/>
            <w:left w:val="none" w:sz="0" w:space="0" w:color="auto"/>
            <w:bottom w:val="none" w:sz="0" w:space="0" w:color="auto"/>
            <w:right w:val="none" w:sz="0" w:space="0" w:color="auto"/>
          </w:divBdr>
        </w:div>
      </w:divsChild>
    </w:div>
    <w:div w:id="1374382970">
      <w:bodyDiv w:val="1"/>
      <w:marLeft w:val="0"/>
      <w:marRight w:val="0"/>
      <w:marTop w:val="0"/>
      <w:marBottom w:val="0"/>
      <w:divBdr>
        <w:top w:val="none" w:sz="0" w:space="0" w:color="auto"/>
        <w:left w:val="none" w:sz="0" w:space="0" w:color="auto"/>
        <w:bottom w:val="none" w:sz="0" w:space="0" w:color="auto"/>
        <w:right w:val="none" w:sz="0" w:space="0" w:color="auto"/>
      </w:divBdr>
      <w:divsChild>
        <w:div w:id="192311843">
          <w:marLeft w:val="0"/>
          <w:marRight w:val="0"/>
          <w:marTop w:val="0"/>
          <w:marBottom w:val="0"/>
          <w:divBdr>
            <w:top w:val="none" w:sz="0" w:space="0" w:color="auto"/>
            <w:left w:val="none" w:sz="0" w:space="0" w:color="auto"/>
            <w:bottom w:val="none" w:sz="0" w:space="0" w:color="auto"/>
            <w:right w:val="none" w:sz="0" w:space="0" w:color="auto"/>
          </w:divBdr>
          <w:divsChild>
            <w:div w:id="271666045">
              <w:marLeft w:val="-225"/>
              <w:marRight w:val="-225"/>
              <w:marTop w:val="0"/>
              <w:marBottom w:val="0"/>
              <w:divBdr>
                <w:top w:val="none" w:sz="0" w:space="0" w:color="auto"/>
                <w:left w:val="none" w:sz="0" w:space="0" w:color="auto"/>
                <w:bottom w:val="none" w:sz="0" w:space="0" w:color="auto"/>
                <w:right w:val="none" w:sz="0" w:space="0" w:color="auto"/>
              </w:divBdr>
              <w:divsChild>
                <w:div w:id="12923471">
                  <w:marLeft w:val="0"/>
                  <w:marRight w:val="0"/>
                  <w:marTop w:val="0"/>
                  <w:marBottom w:val="0"/>
                  <w:divBdr>
                    <w:top w:val="none" w:sz="0" w:space="0" w:color="auto"/>
                    <w:left w:val="none" w:sz="0" w:space="0" w:color="auto"/>
                    <w:bottom w:val="none" w:sz="0" w:space="0" w:color="auto"/>
                    <w:right w:val="none" w:sz="0" w:space="0" w:color="auto"/>
                  </w:divBdr>
                  <w:divsChild>
                    <w:div w:id="167491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84071">
      <w:bodyDiv w:val="1"/>
      <w:marLeft w:val="0"/>
      <w:marRight w:val="0"/>
      <w:marTop w:val="0"/>
      <w:marBottom w:val="0"/>
      <w:divBdr>
        <w:top w:val="none" w:sz="0" w:space="0" w:color="auto"/>
        <w:left w:val="none" w:sz="0" w:space="0" w:color="auto"/>
        <w:bottom w:val="none" w:sz="0" w:space="0" w:color="auto"/>
        <w:right w:val="none" w:sz="0" w:space="0" w:color="auto"/>
      </w:divBdr>
    </w:div>
    <w:div w:id="1691758871">
      <w:bodyDiv w:val="1"/>
      <w:marLeft w:val="0"/>
      <w:marRight w:val="0"/>
      <w:marTop w:val="0"/>
      <w:marBottom w:val="0"/>
      <w:divBdr>
        <w:top w:val="none" w:sz="0" w:space="0" w:color="auto"/>
        <w:left w:val="none" w:sz="0" w:space="0" w:color="auto"/>
        <w:bottom w:val="none" w:sz="0" w:space="0" w:color="auto"/>
        <w:right w:val="none" w:sz="0" w:space="0" w:color="auto"/>
      </w:divBdr>
    </w:div>
    <w:div w:id="1851681012">
      <w:bodyDiv w:val="1"/>
      <w:marLeft w:val="0"/>
      <w:marRight w:val="0"/>
      <w:marTop w:val="0"/>
      <w:marBottom w:val="0"/>
      <w:divBdr>
        <w:top w:val="none" w:sz="0" w:space="0" w:color="auto"/>
        <w:left w:val="none" w:sz="0" w:space="0" w:color="auto"/>
        <w:bottom w:val="none" w:sz="0" w:space="0" w:color="auto"/>
        <w:right w:val="none" w:sz="0" w:space="0" w:color="auto"/>
      </w:divBdr>
    </w:div>
    <w:div w:id="1995526801">
      <w:bodyDiv w:val="1"/>
      <w:marLeft w:val="0"/>
      <w:marRight w:val="0"/>
      <w:marTop w:val="0"/>
      <w:marBottom w:val="0"/>
      <w:divBdr>
        <w:top w:val="none" w:sz="0" w:space="0" w:color="auto"/>
        <w:left w:val="none" w:sz="0" w:space="0" w:color="auto"/>
        <w:bottom w:val="none" w:sz="0" w:space="0" w:color="auto"/>
        <w:right w:val="none" w:sz="0" w:space="0" w:color="auto"/>
      </w:divBdr>
      <w:divsChild>
        <w:div w:id="1697272280">
          <w:marLeft w:val="0"/>
          <w:marRight w:val="0"/>
          <w:marTop w:val="83"/>
          <w:marBottom w:val="0"/>
          <w:divBdr>
            <w:top w:val="none" w:sz="0" w:space="0" w:color="auto"/>
            <w:left w:val="none" w:sz="0" w:space="0" w:color="auto"/>
            <w:bottom w:val="none" w:sz="0" w:space="0" w:color="auto"/>
            <w:right w:val="none" w:sz="0" w:space="0" w:color="auto"/>
          </w:divBdr>
        </w:div>
        <w:div w:id="2064014429">
          <w:marLeft w:val="0"/>
          <w:marRight w:val="0"/>
          <w:marTop w:val="83"/>
          <w:marBottom w:val="0"/>
          <w:divBdr>
            <w:top w:val="none" w:sz="0" w:space="0" w:color="auto"/>
            <w:left w:val="none" w:sz="0" w:space="0" w:color="auto"/>
            <w:bottom w:val="none" w:sz="0" w:space="0" w:color="auto"/>
            <w:right w:val="none" w:sz="0" w:space="0" w:color="auto"/>
          </w:divBdr>
        </w:div>
      </w:divsChild>
    </w:div>
    <w:div w:id="2011636758">
      <w:bodyDiv w:val="1"/>
      <w:marLeft w:val="0"/>
      <w:marRight w:val="0"/>
      <w:marTop w:val="0"/>
      <w:marBottom w:val="0"/>
      <w:divBdr>
        <w:top w:val="none" w:sz="0" w:space="0" w:color="auto"/>
        <w:left w:val="none" w:sz="0" w:space="0" w:color="auto"/>
        <w:bottom w:val="none" w:sz="0" w:space="0" w:color="auto"/>
        <w:right w:val="none" w:sz="0" w:space="0" w:color="auto"/>
      </w:divBdr>
    </w:div>
    <w:div w:id="2107727577">
      <w:bodyDiv w:val="1"/>
      <w:marLeft w:val="0"/>
      <w:marRight w:val="0"/>
      <w:marTop w:val="0"/>
      <w:marBottom w:val="0"/>
      <w:divBdr>
        <w:top w:val="none" w:sz="0" w:space="0" w:color="auto"/>
        <w:left w:val="none" w:sz="0" w:space="0" w:color="auto"/>
        <w:bottom w:val="none" w:sz="0" w:space="0" w:color="auto"/>
        <w:right w:val="none" w:sz="0" w:space="0" w:color="auto"/>
      </w:divBdr>
    </w:div>
    <w:div w:id="2141990520">
      <w:bodyDiv w:val="1"/>
      <w:marLeft w:val="0"/>
      <w:marRight w:val="0"/>
      <w:marTop w:val="0"/>
      <w:marBottom w:val="0"/>
      <w:divBdr>
        <w:top w:val="none" w:sz="0" w:space="0" w:color="auto"/>
        <w:left w:val="none" w:sz="0" w:space="0" w:color="auto"/>
        <w:bottom w:val="none" w:sz="0" w:space="0" w:color="auto"/>
        <w:right w:val="none" w:sz="0" w:space="0" w:color="auto"/>
      </w:divBdr>
      <w:divsChild>
        <w:div w:id="2143769152">
          <w:marLeft w:val="0"/>
          <w:marRight w:val="0"/>
          <w:marTop w:val="0"/>
          <w:marBottom w:val="0"/>
          <w:divBdr>
            <w:top w:val="none" w:sz="0" w:space="0" w:color="auto"/>
            <w:left w:val="none" w:sz="0" w:space="0" w:color="auto"/>
            <w:bottom w:val="none" w:sz="0" w:space="0" w:color="auto"/>
            <w:right w:val="none" w:sz="0" w:space="0" w:color="auto"/>
          </w:divBdr>
          <w:divsChild>
            <w:div w:id="21332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xpolicy.ird.govt.nz/tax-treaties/australia"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ATO">
      <a:dk1>
        <a:sysClr val="windowText" lastClr="000000"/>
      </a:dk1>
      <a:lt1>
        <a:sysClr val="window" lastClr="FFFFFF"/>
      </a:lt1>
      <a:dk2>
        <a:srgbClr val="D9D9D9"/>
      </a:dk2>
      <a:lt2>
        <a:srgbClr val="2B3054"/>
      </a:lt2>
      <a:accent1>
        <a:srgbClr val="0F979B"/>
      </a:accent1>
      <a:accent2>
        <a:srgbClr val="2B3054"/>
      </a:accent2>
      <a:accent3>
        <a:srgbClr val="6679BA"/>
      </a:accent3>
      <a:accent4>
        <a:srgbClr val="999999"/>
      </a:accent4>
      <a:accent5>
        <a:srgbClr val="344653"/>
      </a:accent5>
      <a:accent6>
        <a:srgbClr val="2B3054"/>
      </a:accent6>
      <a:hlink>
        <a:srgbClr val="0000FC"/>
      </a:hlink>
      <a:folHlink>
        <a:srgbClr val="7030A0"/>
      </a:folHlink>
    </a:clrScheme>
    <a:fontScheme name="ATO">
      <a:majorFont>
        <a:latin typeface="Calibr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ct:contentTypeSchema xmlns:ct="http://schemas.microsoft.com/office/2006/metadata/contentType" xmlns:ma="http://schemas.microsoft.com/office/2006/metadata/properties/metaAttributes" ct:_="" ma:_="" ma:contentTypeName="IRNZDocument" ma:contentTypeID="0x0101000B461733DE48CC4985E239AAFC9C41590100670D0BD9AB7101418FC69E4F42B3A5BC" ma:contentTypeVersion="21" ma:contentTypeDescription="Inland Revenue NZ Document" ma:contentTypeScope="" ma:versionID="83451699188243122320bf49e4528b44">
  <xsd:schema xmlns:xsd="http://www.w3.org/2001/XMLSchema" xmlns:xs="http://www.w3.org/2001/XMLSchema" xmlns:p="http://schemas.microsoft.com/office/2006/metadata/properties" xmlns:ns1="http://schemas.microsoft.com/sharepoint/v3" xmlns:ns2="http://schemas.microsoft.com/sharepoint/v3/fields" xmlns:ns3="a4a9dc13-bb31-46d7-b689-a0a4d48a0c28" xmlns:ns4="86f2116b-51b8-4a6f-8648-0c472a1911ee" targetNamespace="http://schemas.microsoft.com/office/2006/metadata/properties" ma:root="true" ma:fieldsID="1b8c0e8719c34f135125ee3b33ab9a7d" ns1:_="" ns2:_="" ns3:_="" ns4:_="">
    <xsd:import namespace="http://schemas.microsoft.com/sharepoint/v3"/>
    <xsd:import namespace="http://schemas.microsoft.com/sharepoint/v3/fields"/>
    <xsd:import namespace="a4a9dc13-bb31-46d7-b689-a0a4d48a0c28"/>
    <xsd:import namespace="86f2116b-51b8-4a6f-8648-0c472a1911ee"/>
    <xsd:element name="properties">
      <xsd:complexType>
        <xsd:sequence>
          <xsd:element name="documentManagement">
            <xsd:complexType>
              <xsd:all>
                <xsd:element ref="ns2:_Version" minOccurs="0"/>
                <xsd:element ref="ns2:wic_System_Copyright" minOccurs="0"/>
                <xsd:element ref="ns1:SecurityClassificationTaxHTField" minOccurs="0"/>
                <xsd:element ref="ns3:TaxCatchAll" minOccurs="0"/>
                <xsd:element ref="ns3:TaxCatchAllLabel" minOccurs="0"/>
                <xsd:element ref="ns1:InformationTypeTaxHTField" minOccurs="0"/>
                <xsd:element ref="ns1:BusinessUnitTaxHTField" minOccurs="0"/>
                <xsd:element ref="ns1:BusinessActivityTaxHTField" minOccurs="0"/>
                <xsd:element ref="ns1:DocumentStatusTaxHTFiel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element ref="ns4:MediaLengthInSeconds"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ClassificationTaxHTField" ma:index="11" nillable="true" ma:taxonomy="true" ma:internalName="SecurityClassificationTaxHTField" ma:taxonomyFieldName="SecurityClassification" ma:displayName="Security Classification" ma:default="3;#In Confidence|5fccf67f-7cb1-4561-8450-fe0d2ea19178" ma:fieldId="{76bda448-5a77-4130-b8de-8185dcd65a91}" ma:sspId="5927ce2a-d703-4d88-aeb0-762fc977e677" ma:termSetId="8ca4c15b-f438-4b25-aeeb-6af3186238a8" ma:anchorId="00000000-0000-0000-0000-000000000000" ma:open="false" ma:isKeyword="false">
      <xsd:complexType>
        <xsd:sequence>
          <xsd:element ref="pc:Terms" minOccurs="0" maxOccurs="1"/>
        </xsd:sequence>
      </xsd:complexType>
    </xsd:element>
    <xsd:element name="InformationTypeTaxHTField" ma:index="16" nillable="true" ma:taxonomy="true" ma:internalName="InformationTypeTaxHTField" ma:taxonomyFieldName="InformationType" ma:displayName="Information Type" ma:default="" ma:fieldId="{938aad21-cff7-4dca-833b-a1bbb338d354}" ma:sspId="5927ce2a-d703-4d88-aeb0-762fc977e677" ma:termSetId="fb36316d-ed76-4880-8cc4-a796bc5567d4" ma:anchorId="00000000-0000-0000-0000-000000000000" ma:open="false" ma:isKeyword="false">
      <xsd:complexType>
        <xsd:sequence>
          <xsd:element ref="pc:Terms" minOccurs="0" maxOccurs="1"/>
        </xsd:sequence>
      </xsd:complexType>
    </xsd:element>
    <xsd:element name="BusinessUnitTaxHTField" ma:index="18" nillable="true" ma:taxonomy="true" ma:internalName="BusinessUnitTaxHTField" ma:taxonomyFieldName="BusinessUnit" ma:displayName="Business Unit" ma:default="2;#Policy ＆ Regulatory Stewardship|5c6da56c-2219-46c1-9c7b-c15fc3fd45a5" ma:fieldId="{f80a1294-b2e7-4a71-b7be-d61534866804}" ma:sspId="5927ce2a-d703-4d88-aeb0-762fc977e677" ma:termSetId="8ed8c9ea-7052-4c1d-a4d7-b9c10bffea6f" ma:anchorId="00000000-0000-0000-0000-000000000000" ma:open="false" ma:isKeyword="false">
      <xsd:complexType>
        <xsd:sequence>
          <xsd:element ref="pc:Terms" minOccurs="0" maxOccurs="1"/>
        </xsd:sequence>
      </xsd:complexType>
    </xsd:element>
    <xsd:element name="BusinessActivityTaxHTField" ma:index="20" nillable="true" ma:taxonomy="true" ma:internalName="BusinessActivityTaxHTField" ma:taxonomyFieldName="BusinessActivity" ma:displayName="Business Activity" ma:default="1;#Tax policy work|c05dfd7c-a5ba-47bf-969f-3422104229d3" ma:fieldId="{0ec16b58-d5fd-4253-84ca-dff6b1381633}" ma:sspId="5927ce2a-d703-4d88-aeb0-762fc977e677" ma:termSetId="27f16461-a9a1-4d80-ad53-ffc6708317a7" ma:anchorId="00000000-0000-0000-0000-000000000000" ma:open="false" ma:isKeyword="false">
      <xsd:complexType>
        <xsd:sequence>
          <xsd:element ref="pc:Terms" minOccurs="0" maxOccurs="1"/>
        </xsd:sequence>
      </xsd:complexType>
    </xsd:element>
    <xsd:element name="DocumentStatusTaxHTField" ma:index="22" nillable="true" ma:taxonomy="true" ma:internalName="DocumentStatusTaxHTField" ma:taxonomyFieldName="DocumentStatus" ma:displayName="Document Status" ma:default="" ma:fieldId="{7abcd88e-0ab1-49ca-a7fa-11100397ec8e}" ma:sspId="5927ce2a-d703-4d88-aeb0-762fc977e677" ma:termSetId="3358e485-0f01-450b-a1f2-018b96e592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element name="wic_System_Copyright" ma:index="10" nillable="true" ma:displayName="Copyright" ma:default="Inland Revenue NZ"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9dc13-bb31-46d7-b689-a0a4d48a0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7e08482-66f5-478b-ac74-405b7b291969}" ma:internalName="TaxCatchAll" ma:showField="CatchAllData"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e08482-66f5-478b-ac74-405b7b291969}" ma:internalName="TaxCatchAllLabel" ma:readOnly="true" ma:showField="CatchAllDataLabel"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f2116b-51b8-4a6f-8648-0c472a1911e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element name="_Flow_SignoffStatus" ma:index="37"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86f2116b-51b8-4a6f-8648-0c472a1911ee" xsi:nil="true"/>
    <InformationTypeTaxHTField xmlns="http://schemas.microsoft.com/sharepoint/v3">
      <Terms xmlns="http://schemas.microsoft.com/office/infopath/2007/PartnerControls"/>
    </InformationTypeTaxHTField>
    <DocumentStatusTaxHTField xmlns="http://schemas.microsoft.com/sharepoint/v3">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19719ecb-d76d-49d5-9752-b8d5c7b40498</TermId>
        </TermInfo>
      </Terms>
    </DocumentStatusTaxHTField>
    <TaxCatchAllLabel xmlns="a4a9dc13-bb31-46d7-b689-a0a4d48a0c28" xsi:nil="true"/>
    <BusinessUnitTaxHTField xmlns="http://schemas.microsoft.com/sharepoint/v3">
      <Terms xmlns="http://schemas.microsoft.com/office/infopath/2007/PartnerControls">
        <TermInfo xmlns="http://schemas.microsoft.com/office/infopath/2007/PartnerControls">
          <TermName xmlns="http://schemas.microsoft.com/office/infopath/2007/PartnerControls">Policy ＆ Regulatory Stewardship</TermName>
          <TermId xmlns="http://schemas.microsoft.com/office/infopath/2007/PartnerControls">5c6da56c-2219-46c1-9c7b-c15fc3fd45a5</TermId>
        </TermInfo>
      </Terms>
    </BusinessUnitTaxHTField>
    <SecurityClassificationTaxHTField xmlns="http://schemas.microsoft.com/sharepoint/v3">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2013ea80-d4ee-48a9-af40-ffa34c6065cd</TermId>
        </TermInfo>
      </Terms>
    </SecurityClassificationTaxHTField>
    <BusinessActivityTaxHTField xmlns="http://schemas.microsoft.com/sharepoint/v3">
      <Terms xmlns="http://schemas.microsoft.com/office/infopath/2007/PartnerControls">
        <TermInfo xmlns="http://schemas.microsoft.com/office/infopath/2007/PartnerControls">
          <TermName xmlns="http://schemas.microsoft.com/office/infopath/2007/PartnerControls">International taxation</TermName>
          <TermId xmlns="http://schemas.microsoft.com/office/infopath/2007/PartnerControls">f2f12abd-6966-4fac-a456-9cca2ec40f7e</TermId>
        </TermInfo>
      </Terms>
    </BusinessActivityTaxHTField>
    <wic_System_Copyright xmlns="http://schemas.microsoft.com/sharepoint/v3/fields">Inland Revenue NZ</wic_System_Copyright>
    <_Version xmlns="http://schemas.microsoft.com/sharepoint/v3/fields" xsi:nil="true"/>
    <lcf76f155ced4ddcb4097134ff3c332f xmlns="86f2116b-51b8-4a6f-8648-0c472a1911ee">
      <Terms xmlns="http://schemas.microsoft.com/office/infopath/2007/PartnerControls"/>
    </lcf76f155ced4ddcb4097134ff3c332f>
    <TaxCatchAll xmlns="a4a9dc13-bb31-46d7-b689-a0a4d48a0c28">
      <Value>76</Value>
      <Value>4</Value>
      <Value>10</Value>
      <Value>2</Value>
    </TaxCatchAll>
  </documentManagement>
</p:properties>
</file>

<file path=customXml/itemProps1.xml><?xml version="1.0" encoding="utf-8"?>
<ds:datastoreItem xmlns:ds="http://schemas.openxmlformats.org/officeDocument/2006/customXml" ds:itemID="{69A8EFF8-F81D-4FE2-827B-7A30FCA690C2}">
  <ds:schemaRefs>
    <ds:schemaRef ds:uri="http://schemas.openxmlformats.org/officeDocument/2006/bibliography"/>
  </ds:schemaRefs>
</ds:datastoreItem>
</file>

<file path=customXml/itemProps2.xml><?xml version="1.0" encoding="utf-8"?>
<ds:datastoreItem xmlns:ds="http://schemas.openxmlformats.org/officeDocument/2006/customXml" ds:itemID="{F9195FC5-CDAA-40B0-AA24-98099CC2FB0E}"/>
</file>

<file path=customXml/itemProps3.xml><?xml version="1.0" encoding="utf-8"?>
<ds:datastoreItem xmlns:ds="http://schemas.openxmlformats.org/officeDocument/2006/customXml" ds:itemID="{9182CCAE-F152-4836-AD7A-09E4CD8DB445}"/>
</file>

<file path=customXml/itemProps4.xml><?xml version="1.0" encoding="utf-8"?>
<ds:datastoreItem xmlns:ds="http://schemas.openxmlformats.org/officeDocument/2006/customXml" ds:itemID="{F048FE91-A311-4814-827C-0DC89A794FDE}"/>
</file>

<file path=docProps/app.xml><?xml version="1.0" encoding="utf-8"?>
<Properties xmlns="http://schemas.openxmlformats.org/officeDocument/2006/extended-properties" xmlns:vt="http://schemas.openxmlformats.org/officeDocument/2006/docPropsVTypes">
  <Template>Normal</Template>
  <TotalTime>1</TotalTime>
  <Pages>4</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Australia and New Zealand's administrative apporach to MLI Article 4(1) (October 2022)</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and New Zealand's administrative apporach to MLI Article 4(1) (October 2022)</dc:title>
  <dc:subject/>
  <dc:creator>Wendy Watkin</dc:creator>
  <cp:keywords/>
  <dcterms:created xsi:type="dcterms:W3CDTF">2022-11-02T20:44:00Z</dcterms:created>
  <dcterms:modified xsi:type="dcterms:W3CDTF">2022-11-02T20:44:00Z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MSIP_Label_993bc26a-ca06-4f83-a49a-54da0c892e4f_Enabled">
    <vt:lpwstr>true</vt:lpwstr>
  </property>
  <property fmtid="{D5CDD505-2E9C-101B-9397-08002B2CF9AE}" pid="4" name="MSIP_Label_993bc26a-ca06-4f83-a49a-54da0c892e4f_SetDate">
    <vt:lpwstr>2022-11-02T20:44:10Z</vt:lpwstr>
  </property>
  <property fmtid="{D5CDD505-2E9C-101B-9397-08002B2CF9AE}" pid="5" name="MSIP_Label_993bc26a-ca06-4f83-a49a-54da0c892e4f_Method">
    <vt:lpwstr>Privileged</vt:lpwstr>
  </property>
  <property fmtid="{D5CDD505-2E9C-101B-9397-08002B2CF9AE}" pid="6" name="MSIP_Label_993bc26a-ca06-4f83-a49a-54da0c892e4f_Name">
    <vt:lpwstr>993bc26a-ca06-4f83-a49a-54da0c892e4f</vt:lpwstr>
  </property>
  <property fmtid="{D5CDD505-2E9C-101B-9397-08002B2CF9AE}" pid="7" name="MSIP_Label_993bc26a-ca06-4f83-a49a-54da0c892e4f_SiteId">
    <vt:lpwstr>fb39e3e9-23a9-404e-93a2-b42a87d94f35</vt:lpwstr>
  </property>
  <property fmtid="{D5CDD505-2E9C-101B-9397-08002B2CF9AE}" pid="8" name="MSIP_Label_993bc26a-ca06-4f83-a49a-54da0c892e4f_ActionId">
    <vt:lpwstr>57beacd9-09d5-4a03-848d-4f940e5c7766</vt:lpwstr>
  </property>
  <property fmtid="{D5CDD505-2E9C-101B-9397-08002B2CF9AE}" pid="9" name="MSIP_Label_993bc26a-ca06-4f83-a49a-54da0c892e4f_ContentBits">
    <vt:lpwstr>0</vt:lpwstr>
  </property>
  <property fmtid="{D5CDD505-2E9C-101B-9397-08002B2CF9AE}" pid="10" name="InformationType">
    <vt:lpwstr/>
  </property>
  <property fmtid="{D5CDD505-2E9C-101B-9397-08002B2CF9AE}" pid="11" name="Jurisdiction">
    <vt:lpwstr>17;#Australia|68919cb8-0f2b-4599-87f4-c1d8920d8466</vt:lpwstr>
  </property>
  <property fmtid="{D5CDD505-2E9C-101B-9397-08002B2CF9AE}" pid="12" name="BusinessUnit">
    <vt:lpwstr>2;#Policy ＆ Regulatory Stewardship|5c6da56c-2219-46c1-9c7b-c15fc3fd45a5</vt:lpwstr>
  </property>
  <property fmtid="{D5CDD505-2E9C-101B-9397-08002B2CF9AE}" pid="13" name="MediaServiceImageTags">
    <vt:lpwstr/>
  </property>
  <property fmtid="{D5CDD505-2E9C-101B-9397-08002B2CF9AE}" pid="14" name="ContentTypeId">
    <vt:lpwstr>0x0101000B461733DE48CC4985E239AAFC9C41590100670D0BD9AB7101418FC69E4F42B3A5BC</vt:lpwstr>
  </property>
  <property fmtid="{D5CDD505-2E9C-101B-9397-08002B2CF9AE}" pid="15" name="SecurityClassification">
    <vt:lpwstr>4;#Sensitive|2013ea80-d4ee-48a9-af40-ffa34c6065cd</vt:lpwstr>
  </property>
  <property fmtid="{D5CDD505-2E9C-101B-9397-08002B2CF9AE}" pid="16" name="MSIP_Label_a4f106f2-aad1-42d5-aa61-96837420719b_ContentBits">
    <vt:lpwstr>1</vt:lpwstr>
  </property>
  <property fmtid="{D5CDD505-2E9C-101B-9397-08002B2CF9AE}" pid="17" name="MSIP_Label_a4f106f2-aad1-42d5-aa61-96837420719b_Enabled">
    <vt:lpwstr>true</vt:lpwstr>
  </property>
  <property fmtid="{D5CDD505-2E9C-101B-9397-08002B2CF9AE}" pid="18" name="MSIP_Label_a4f106f2-aad1-42d5-aa61-96837420719b_Name">
    <vt:lpwstr>a4f106f2-aad1-42d5-aa61-96837420719b</vt:lpwstr>
  </property>
  <property fmtid="{D5CDD505-2E9C-101B-9397-08002B2CF9AE}" pid="19" name="MSIP_Label_a4f106f2-aad1-42d5-aa61-96837420719b_Method">
    <vt:lpwstr>Privileged</vt:lpwstr>
  </property>
  <property fmtid="{D5CDD505-2E9C-101B-9397-08002B2CF9AE}" pid="20" name="MSIP_Label_a4f106f2-aad1-42d5-aa61-96837420719b_SiteId">
    <vt:lpwstr>fb39e3e9-23a9-404e-93a2-b42a87d94f35</vt:lpwstr>
  </property>
  <property fmtid="{D5CDD505-2E9C-101B-9397-08002B2CF9AE}" pid="21" name="MSIP_Label_a4f106f2-aad1-42d5-aa61-96837420719b_SetDate">
    <vt:lpwstr>2022-11-01T21:31:23Z</vt:lpwstr>
  </property>
  <property fmtid="{D5CDD505-2E9C-101B-9397-08002B2CF9AE}" pid="22" name="BusinessActivity">
    <vt:lpwstr>76;#International taxation|f2f12abd-6966-4fac-a456-9cca2ec40f7e</vt:lpwstr>
  </property>
  <property fmtid="{D5CDD505-2E9C-101B-9397-08002B2CF9AE}" pid="23" name="MSIP_Label_a4f106f2-aad1-42d5-aa61-96837420719b_ActionId">
    <vt:lpwstr>9d5ae3c5-b041-4590-acb1-9806b1efacf2</vt:lpwstr>
  </property>
  <property fmtid="{D5CDD505-2E9C-101B-9397-08002B2CF9AE}" pid="24" name="DocumentStatus">
    <vt:lpwstr>10;#Draft|19719ecb-d76d-49d5-9752-b8d5c7b40498</vt:lpwstr>
  </property>
  <property fmtid="{D5CDD505-2E9C-101B-9397-08002B2CF9AE}" pid="25" name="Organisation">
    <vt:lpwstr/>
  </property>
</Properties>
</file>