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3FF10" w14:textId="77777777" w:rsidR="00E00F10" w:rsidRDefault="00547224">
      <w:pPr>
        <w:spacing w:before="51"/>
        <w:ind w:left="2022" w:right="3779"/>
        <w:rPr>
          <w:rFonts w:ascii="Arial"/>
          <w:b/>
          <w:sz w:val="44"/>
        </w:rPr>
      </w:pPr>
      <w:bookmarkStart w:id="0" w:name="_GoBack"/>
      <w:bookmarkEnd w:id="0"/>
      <w:r>
        <w:rPr>
          <w:noProof/>
        </w:rPr>
        <w:drawing>
          <wp:anchor distT="0" distB="0" distL="0" distR="0" simplePos="0" relativeHeight="251660288" behindDoc="0" locked="0" layoutInCell="1" allowOverlap="1" wp14:anchorId="608400C1" wp14:editId="431DD790">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14:paraId="77FCECFD" w14:textId="77777777" w:rsidR="00E00F10" w:rsidRDefault="00547224">
      <w:pPr>
        <w:spacing w:before="322"/>
        <w:ind w:left="2022"/>
        <w:rPr>
          <w:rFonts w:ascii="Arial"/>
          <w:b/>
          <w:sz w:val="32"/>
        </w:rPr>
      </w:pPr>
      <w:r>
        <w:pict w14:anchorId="6AE374EB">
          <v:line id="_x0000_s1028" style="position:absolute;left:0;text-align:left;z-index:251659264;mso-position-horizontal-relative:page" from="51.3pt,42.8pt" to="544.1pt,42.8pt" strokecolor="#000001" strokeweight=".6pt">
            <w10:wrap anchorx="page"/>
          </v:line>
        </w:pict>
      </w:r>
      <w:r>
        <w:rPr>
          <w:rFonts w:ascii="Arial"/>
          <w:b/>
          <w:sz w:val="32"/>
        </w:rPr>
        <w:t>Minute of Decision</w:t>
      </w:r>
    </w:p>
    <w:p w14:paraId="3D1CA07E" w14:textId="77777777" w:rsidR="00E00F10" w:rsidRDefault="00E00F10">
      <w:pPr>
        <w:pStyle w:val="BodyText"/>
        <w:spacing w:before="11"/>
        <w:rPr>
          <w:rFonts w:ascii="Arial"/>
          <w:b/>
          <w:sz w:val="11"/>
        </w:rPr>
      </w:pPr>
    </w:p>
    <w:p w14:paraId="0E45E1E9" w14:textId="77777777" w:rsidR="00E00F10" w:rsidRDefault="00547224">
      <w:pPr>
        <w:spacing w:before="93"/>
        <w:ind w:left="115" w:right="23"/>
        <w:rPr>
          <w:rFonts w:ascii="Arial"/>
          <w:i/>
          <w:sz w:val="20"/>
        </w:rPr>
      </w:pPr>
      <w:r>
        <w:pict w14:anchorId="330951C2">
          <v:line id="_x0000_s1027" style="position:absolute;left:0;text-align:left;z-index:251658240;mso-position-horizontal-relative:page" from="51.3pt,42.45pt" to="544.1pt,42.45pt" strokecolor="#000001" strokeweight=".6pt">
            <w10:wrap anchorx="page"/>
          </v:line>
        </w:pict>
      </w:r>
      <w:r>
        <w:rPr>
          <w:rFonts w:ascii="Arial"/>
          <w:i/>
          <w:sz w:val="20"/>
        </w:rPr>
        <w:t xml:space="preserve">This document contains information for the New Zealand Cabinet. It must be treated in confidence and </w:t>
      </w:r>
      <w:r>
        <w:rPr>
          <w:rFonts w:ascii="Arial"/>
          <w:i/>
          <w:sz w:val="20"/>
        </w:rPr>
        <w:t>handled in accordance with any security classification, or other endorsement. The information can only be released, including under the Official Information Act 1982, by persons with the appropriate authority.</w:t>
      </w:r>
    </w:p>
    <w:p w14:paraId="29F85CD8" w14:textId="77777777" w:rsidR="00E00F10" w:rsidRDefault="00E00F10">
      <w:pPr>
        <w:pStyle w:val="BodyText"/>
        <w:rPr>
          <w:rFonts w:ascii="Arial"/>
          <w:i/>
          <w:sz w:val="22"/>
        </w:rPr>
      </w:pPr>
    </w:p>
    <w:p w14:paraId="380EA2F6" w14:textId="77777777" w:rsidR="00E00F10" w:rsidRDefault="00E00F10">
      <w:pPr>
        <w:pStyle w:val="BodyText"/>
        <w:spacing w:before="11"/>
        <w:rPr>
          <w:rFonts w:ascii="Arial"/>
          <w:i/>
          <w:sz w:val="25"/>
        </w:rPr>
      </w:pPr>
    </w:p>
    <w:p w14:paraId="248E7EB3" w14:textId="77777777" w:rsidR="00E00F10" w:rsidRDefault="00547224">
      <w:pPr>
        <w:ind w:left="115"/>
        <w:rPr>
          <w:rFonts w:ascii="Arial"/>
          <w:b/>
          <w:sz w:val="28"/>
        </w:rPr>
      </w:pPr>
      <w:r>
        <w:rPr>
          <w:rFonts w:ascii="Arial"/>
          <w:b/>
          <w:sz w:val="28"/>
        </w:rPr>
        <w:t xml:space="preserve">Income Tax (Fringe Benefit Tax, Interest on </w:t>
      </w:r>
      <w:r>
        <w:rPr>
          <w:rFonts w:ascii="Arial"/>
          <w:b/>
          <w:sz w:val="28"/>
        </w:rPr>
        <w:t>Loans) Amendment Regulations 2019</w:t>
      </w:r>
    </w:p>
    <w:p w14:paraId="099F6FDF" w14:textId="77777777" w:rsidR="00E00F10" w:rsidRDefault="00E00F10">
      <w:pPr>
        <w:pStyle w:val="BodyText"/>
        <w:spacing w:before="2"/>
        <w:rPr>
          <w:rFonts w:ascii="Arial"/>
          <w:b/>
          <w:sz w:val="31"/>
        </w:rPr>
      </w:pPr>
    </w:p>
    <w:p w14:paraId="4493857E" w14:textId="77777777" w:rsidR="00E00F10" w:rsidRDefault="00547224">
      <w:pPr>
        <w:tabs>
          <w:tab w:val="left" w:pos="2023"/>
        </w:tabs>
        <w:spacing w:before="1"/>
        <w:ind w:left="115"/>
        <w:rPr>
          <w:rFonts w:ascii="Arial"/>
          <w:b/>
          <w:sz w:val="20"/>
        </w:rPr>
      </w:pPr>
      <w:r>
        <w:rPr>
          <w:rFonts w:ascii="Arial"/>
          <w:b/>
          <w:sz w:val="20"/>
        </w:rPr>
        <w:t>Portfolio</w:t>
      </w:r>
      <w:r>
        <w:rPr>
          <w:rFonts w:ascii="Arial"/>
          <w:b/>
          <w:sz w:val="20"/>
        </w:rPr>
        <w:tab/>
        <w:t>Revenue</w:t>
      </w:r>
    </w:p>
    <w:p w14:paraId="6A75178D" w14:textId="77777777" w:rsidR="00E00F10" w:rsidRDefault="00E00F10">
      <w:pPr>
        <w:pStyle w:val="BodyText"/>
        <w:rPr>
          <w:rFonts w:ascii="Arial"/>
          <w:b/>
          <w:sz w:val="22"/>
        </w:rPr>
      </w:pPr>
    </w:p>
    <w:p w14:paraId="291561D4" w14:textId="77777777" w:rsidR="00E00F10" w:rsidRDefault="00E00F10">
      <w:pPr>
        <w:pStyle w:val="BodyText"/>
        <w:spacing w:before="9"/>
        <w:rPr>
          <w:rFonts w:ascii="Arial"/>
          <w:b/>
          <w:sz w:val="22"/>
        </w:rPr>
      </w:pPr>
    </w:p>
    <w:p w14:paraId="3456C12E" w14:textId="77777777" w:rsidR="00E00F10" w:rsidRDefault="00547224">
      <w:pPr>
        <w:pStyle w:val="BodyText"/>
        <w:ind w:left="115"/>
      </w:pPr>
      <w:r>
        <w:t>On 19 November 2019, the Cabinet Legislation Committee:</w:t>
      </w:r>
    </w:p>
    <w:p w14:paraId="7F3DE044" w14:textId="77777777" w:rsidR="00E00F10" w:rsidRDefault="00E00F10">
      <w:pPr>
        <w:pStyle w:val="BodyText"/>
      </w:pPr>
    </w:p>
    <w:p w14:paraId="03D199C0" w14:textId="77777777" w:rsidR="00E00F10" w:rsidRDefault="00547224">
      <w:pPr>
        <w:pStyle w:val="ListParagraph"/>
        <w:numPr>
          <w:ilvl w:val="0"/>
          <w:numId w:val="1"/>
        </w:numPr>
        <w:tabs>
          <w:tab w:val="left" w:pos="835"/>
          <w:tab w:val="left" w:pos="836"/>
        </w:tabs>
        <w:ind w:left="835" w:right="197"/>
        <w:rPr>
          <w:sz w:val="24"/>
        </w:rPr>
      </w:pPr>
      <w:r>
        <w:rPr>
          <w:b/>
          <w:sz w:val="24"/>
        </w:rPr>
        <w:t xml:space="preserve">noted </w:t>
      </w:r>
      <w:r>
        <w:rPr>
          <w:sz w:val="24"/>
        </w:rPr>
        <w:t>that the Income Tax (Fringe Benefit Tax, Interest on Loans) Amendment Regulations 2019 set the prescribed rate of interest for calculating</w:t>
      </w:r>
      <w:r>
        <w:rPr>
          <w:sz w:val="24"/>
        </w:rPr>
        <w:t xml:space="preserve"> the taxable benefit of low-interest, employment-related loans;</w:t>
      </w:r>
    </w:p>
    <w:p w14:paraId="1B0416C5" w14:textId="77777777" w:rsidR="00E00F10" w:rsidRDefault="00E00F10">
      <w:pPr>
        <w:pStyle w:val="BodyText"/>
        <w:spacing w:before="10"/>
        <w:rPr>
          <w:sz w:val="20"/>
        </w:rPr>
      </w:pPr>
    </w:p>
    <w:p w14:paraId="06EA4A01" w14:textId="77777777" w:rsidR="00E00F10" w:rsidRDefault="00547224">
      <w:pPr>
        <w:pStyle w:val="ListParagraph"/>
        <w:numPr>
          <w:ilvl w:val="0"/>
          <w:numId w:val="1"/>
        </w:numPr>
        <w:tabs>
          <w:tab w:val="left" w:pos="835"/>
          <w:tab w:val="left" w:pos="836"/>
        </w:tabs>
        <w:ind w:left="835" w:right="124"/>
        <w:rPr>
          <w:sz w:val="24"/>
        </w:rPr>
      </w:pPr>
      <w:r>
        <w:rPr>
          <w:b/>
          <w:sz w:val="24"/>
        </w:rPr>
        <w:t xml:space="preserve">noted </w:t>
      </w:r>
      <w:r>
        <w:rPr>
          <w:sz w:val="24"/>
        </w:rPr>
        <w:t>that, consistent with the latest results of the Reserve Bank’s survey, the Fringe</w:t>
      </w:r>
      <w:r>
        <w:rPr>
          <w:spacing w:val="-25"/>
          <w:sz w:val="24"/>
        </w:rPr>
        <w:t xml:space="preserve"> </w:t>
      </w:r>
      <w:r>
        <w:rPr>
          <w:sz w:val="24"/>
        </w:rPr>
        <w:t>Benefit Tax (FBT) prescribed rate of interest should be lowered from 5.77 per cent to 5.26 per cent for the quarter which commenced on 1 October</w:t>
      </w:r>
      <w:r>
        <w:rPr>
          <w:spacing w:val="2"/>
          <w:sz w:val="24"/>
        </w:rPr>
        <w:t xml:space="preserve"> </w:t>
      </w:r>
      <w:r>
        <w:rPr>
          <w:sz w:val="24"/>
        </w:rPr>
        <w:t>2019;</w:t>
      </w:r>
    </w:p>
    <w:p w14:paraId="6525B1F2" w14:textId="77777777" w:rsidR="00E00F10" w:rsidRDefault="00E00F10">
      <w:pPr>
        <w:pStyle w:val="BodyText"/>
        <w:spacing w:before="10"/>
        <w:rPr>
          <w:sz w:val="20"/>
        </w:rPr>
      </w:pPr>
    </w:p>
    <w:p w14:paraId="722889D8" w14:textId="77777777" w:rsidR="00E00F10" w:rsidRDefault="00547224">
      <w:pPr>
        <w:pStyle w:val="ListParagraph"/>
        <w:numPr>
          <w:ilvl w:val="0"/>
          <w:numId w:val="1"/>
        </w:numPr>
        <w:tabs>
          <w:tab w:val="left" w:pos="835"/>
          <w:tab w:val="left" w:pos="836"/>
        </w:tabs>
        <w:ind w:hanging="721"/>
        <w:rPr>
          <w:sz w:val="24"/>
        </w:rPr>
      </w:pPr>
      <w:r>
        <w:rPr>
          <w:b/>
          <w:sz w:val="24"/>
        </w:rPr>
        <w:t xml:space="preserve">noted </w:t>
      </w:r>
      <w:r>
        <w:rPr>
          <w:sz w:val="24"/>
        </w:rPr>
        <w:t>that lowering the prescribed rate will have the following impact on Crown</w:t>
      </w:r>
      <w:r>
        <w:rPr>
          <w:spacing w:val="-17"/>
          <w:sz w:val="24"/>
        </w:rPr>
        <w:t xml:space="preserve"> </w:t>
      </w:r>
      <w:r>
        <w:rPr>
          <w:sz w:val="24"/>
        </w:rPr>
        <w:t>Revenue:</w:t>
      </w:r>
    </w:p>
    <w:p w14:paraId="183D2A1E" w14:textId="77777777" w:rsidR="00E00F10" w:rsidRDefault="00E00F10">
      <w:pPr>
        <w:pStyle w:val="BodyText"/>
        <w:spacing w:before="10"/>
        <w:rPr>
          <w:sz w:val="20"/>
        </w:rPr>
      </w:pPr>
    </w:p>
    <w:tbl>
      <w:tblPr>
        <w:tblW w:w="0" w:type="auto"/>
        <w:tblInd w:w="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1276"/>
        <w:gridCol w:w="1276"/>
        <w:gridCol w:w="1276"/>
        <w:gridCol w:w="1418"/>
        <w:gridCol w:w="1400"/>
      </w:tblGrid>
      <w:tr w:rsidR="00E00F10" w14:paraId="13EAA94B" w14:textId="77777777">
        <w:trPr>
          <w:trHeight w:val="345"/>
        </w:trPr>
        <w:tc>
          <w:tcPr>
            <w:tcW w:w="2410" w:type="dxa"/>
            <w:tcBorders>
              <w:top w:val="nil"/>
              <w:left w:val="nil"/>
              <w:right w:val="single" w:sz="4" w:space="0" w:color="000000"/>
            </w:tcBorders>
          </w:tcPr>
          <w:p w14:paraId="7D85841B" w14:textId="77777777" w:rsidR="00E00F10" w:rsidRDefault="00E00F10">
            <w:pPr>
              <w:pStyle w:val="TableParagraph"/>
              <w:ind w:left="0"/>
            </w:pPr>
          </w:p>
        </w:tc>
        <w:tc>
          <w:tcPr>
            <w:tcW w:w="6646" w:type="dxa"/>
            <w:gridSpan w:val="5"/>
            <w:tcBorders>
              <w:left w:val="single" w:sz="4" w:space="0" w:color="000000"/>
              <w:right w:val="single" w:sz="4" w:space="0" w:color="000000"/>
            </w:tcBorders>
          </w:tcPr>
          <w:p w14:paraId="0629FD64" w14:textId="77777777" w:rsidR="00E00F10" w:rsidRDefault="00547224">
            <w:pPr>
              <w:pStyle w:val="TableParagraph"/>
              <w:spacing w:before="57"/>
              <w:ind w:left="2046"/>
              <w:rPr>
                <w:rFonts w:ascii="Arial"/>
                <w:sz w:val="20"/>
              </w:rPr>
            </w:pPr>
            <w:r>
              <w:rPr>
                <w:rFonts w:ascii="Arial"/>
                <w:sz w:val="20"/>
              </w:rPr>
              <w:t>$m decrease</w:t>
            </w:r>
          </w:p>
        </w:tc>
      </w:tr>
      <w:tr w:rsidR="00E00F10" w14:paraId="6A483971" w14:textId="77777777">
        <w:trPr>
          <w:trHeight w:val="577"/>
        </w:trPr>
        <w:tc>
          <w:tcPr>
            <w:tcW w:w="2410" w:type="dxa"/>
            <w:tcBorders>
              <w:left w:val="single" w:sz="4" w:space="0" w:color="000000"/>
              <w:right w:val="single" w:sz="4" w:space="0" w:color="000000"/>
            </w:tcBorders>
          </w:tcPr>
          <w:p w14:paraId="2C6D4C0F" w14:textId="77777777" w:rsidR="00E00F10" w:rsidRDefault="00547224">
            <w:pPr>
              <w:pStyle w:val="TableParagraph"/>
              <w:spacing w:line="227" w:lineRule="exact"/>
              <w:ind w:left="109"/>
              <w:rPr>
                <w:rFonts w:ascii="Arial"/>
                <w:b/>
                <w:sz w:val="20"/>
              </w:rPr>
            </w:pPr>
            <w:r>
              <w:rPr>
                <w:rFonts w:ascii="Arial"/>
                <w:b/>
                <w:sz w:val="20"/>
              </w:rPr>
              <w:t>Vote Revenue</w:t>
            </w:r>
          </w:p>
        </w:tc>
        <w:tc>
          <w:tcPr>
            <w:tcW w:w="1276" w:type="dxa"/>
            <w:tcBorders>
              <w:left w:val="single" w:sz="4" w:space="0" w:color="000000"/>
              <w:right w:val="single" w:sz="4" w:space="0" w:color="000000"/>
            </w:tcBorders>
          </w:tcPr>
          <w:p w14:paraId="780B9C8F" w14:textId="77777777" w:rsidR="00E00F10" w:rsidRDefault="00547224">
            <w:pPr>
              <w:pStyle w:val="TableParagraph"/>
              <w:spacing w:before="57"/>
              <w:ind w:left="256" w:right="244"/>
              <w:jc w:val="center"/>
              <w:rPr>
                <w:rFonts w:ascii="Arial"/>
                <w:b/>
                <w:sz w:val="20"/>
              </w:rPr>
            </w:pPr>
            <w:r>
              <w:rPr>
                <w:rFonts w:ascii="Arial"/>
                <w:b/>
                <w:sz w:val="20"/>
              </w:rPr>
              <w:t>2018/19</w:t>
            </w:r>
          </w:p>
        </w:tc>
        <w:tc>
          <w:tcPr>
            <w:tcW w:w="1276" w:type="dxa"/>
            <w:tcBorders>
              <w:left w:val="single" w:sz="4" w:space="0" w:color="000000"/>
              <w:right w:val="single" w:sz="4" w:space="0" w:color="000000"/>
            </w:tcBorders>
          </w:tcPr>
          <w:p w14:paraId="7082143B" w14:textId="77777777" w:rsidR="00E00F10" w:rsidRDefault="00547224">
            <w:pPr>
              <w:pStyle w:val="TableParagraph"/>
              <w:spacing w:before="57"/>
              <w:ind w:left="255" w:right="245"/>
              <w:jc w:val="center"/>
              <w:rPr>
                <w:rFonts w:ascii="Arial"/>
                <w:b/>
                <w:sz w:val="20"/>
              </w:rPr>
            </w:pPr>
            <w:r>
              <w:rPr>
                <w:rFonts w:ascii="Arial"/>
                <w:b/>
                <w:sz w:val="20"/>
              </w:rPr>
              <w:t>2019/20</w:t>
            </w:r>
          </w:p>
        </w:tc>
        <w:tc>
          <w:tcPr>
            <w:tcW w:w="1276" w:type="dxa"/>
            <w:tcBorders>
              <w:left w:val="single" w:sz="4" w:space="0" w:color="000000"/>
              <w:right w:val="single" w:sz="4" w:space="0" w:color="000000"/>
            </w:tcBorders>
          </w:tcPr>
          <w:p w14:paraId="494F060E" w14:textId="77777777" w:rsidR="00E00F10" w:rsidRDefault="00547224">
            <w:pPr>
              <w:pStyle w:val="TableParagraph"/>
              <w:spacing w:before="57"/>
              <w:ind w:left="255" w:right="245"/>
              <w:jc w:val="center"/>
              <w:rPr>
                <w:rFonts w:ascii="Arial"/>
                <w:b/>
                <w:sz w:val="20"/>
              </w:rPr>
            </w:pPr>
            <w:r>
              <w:rPr>
                <w:rFonts w:ascii="Arial"/>
                <w:b/>
                <w:sz w:val="20"/>
              </w:rPr>
              <w:t>2020/21</w:t>
            </w:r>
          </w:p>
        </w:tc>
        <w:tc>
          <w:tcPr>
            <w:tcW w:w="1418" w:type="dxa"/>
            <w:tcBorders>
              <w:left w:val="single" w:sz="4" w:space="0" w:color="000000"/>
              <w:right w:val="single" w:sz="4" w:space="0" w:color="000000"/>
            </w:tcBorders>
          </w:tcPr>
          <w:p w14:paraId="77A83334" w14:textId="77777777" w:rsidR="00E00F10" w:rsidRDefault="00547224">
            <w:pPr>
              <w:pStyle w:val="TableParagraph"/>
              <w:spacing w:before="57"/>
              <w:ind w:left="301" w:right="344"/>
              <w:jc w:val="center"/>
              <w:rPr>
                <w:rFonts w:ascii="Arial"/>
                <w:b/>
                <w:sz w:val="20"/>
              </w:rPr>
            </w:pPr>
            <w:r>
              <w:rPr>
                <w:rFonts w:ascii="Arial"/>
                <w:b/>
                <w:sz w:val="20"/>
              </w:rPr>
              <w:t>2021/22</w:t>
            </w:r>
          </w:p>
        </w:tc>
        <w:tc>
          <w:tcPr>
            <w:tcW w:w="1400" w:type="dxa"/>
            <w:tcBorders>
              <w:left w:val="single" w:sz="4" w:space="0" w:color="000000"/>
              <w:right w:val="single" w:sz="4" w:space="0" w:color="000000"/>
            </w:tcBorders>
          </w:tcPr>
          <w:p w14:paraId="0AC15638" w14:textId="77777777" w:rsidR="00E00F10" w:rsidRDefault="00547224">
            <w:pPr>
              <w:pStyle w:val="TableParagraph"/>
              <w:spacing w:before="57"/>
              <w:ind w:left="238"/>
              <w:rPr>
                <w:rFonts w:ascii="Arial"/>
                <w:b/>
                <w:sz w:val="20"/>
              </w:rPr>
            </w:pPr>
            <w:r>
              <w:rPr>
                <w:rFonts w:ascii="Arial"/>
                <w:b/>
                <w:sz w:val="20"/>
              </w:rPr>
              <w:t>2022/23</w:t>
            </w:r>
            <w:r>
              <w:rPr>
                <w:rFonts w:ascii="Arial"/>
                <w:b/>
                <w:spacing w:val="-6"/>
                <w:sz w:val="20"/>
              </w:rPr>
              <w:t xml:space="preserve"> </w:t>
            </w:r>
            <w:r>
              <w:rPr>
                <w:rFonts w:ascii="Arial"/>
                <w:b/>
                <w:sz w:val="20"/>
              </w:rPr>
              <w:t>&amp;</w:t>
            </w:r>
          </w:p>
          <w:p w14:paraId="36154D6E" w14:textId="77777777" w:rsidR="00E00F10" w:rsidRDefault="00547224">
            <w:pPr>
              <w:pStyle w:val="TableParagraph"/>
              <w:ind w:left="267"/>
              <w:rPr>
                <w:rFonts w:ascii="Arial"/>
                <w:b/>
                <w:sz w:val="20"/>
              </w:rPr>
            </w:pPr>
            <w:r>
              <w:rPr>
                <w:rFonts w:ascii="Arial"/>
                <w:b/>
                <w:sz w:val="20"/>
              </w:rPr>
              <w:t>Outyears</w:t>
            </w:r>
          </w:p>
        </w:tc>
      </w:tr>
      <w:tr w:rsidR="00E00F10" w14:paraId="0D3C6424" w14:textId="77777777">
        <w:trPr>
          <w:trHeight w:val="556"/>
        </w:trPr>
        <w:tc>
          <w:tcPr>
            <w:tcW w:w="2410" w:type="dxa"/>
            <w:tcBorders>
              <w:left w:val="single" w:sz="4" w:space="0" w:color="000000"/>
              <w:right w:val="single" w:sz="4" w:space="0" w:color="000000"/>
            </w:tcBorders>
          </w:tcPr>
          <w:p w14:paraId="6FD0A500" w14:textId="77777777" w:rsidR="00E00F10" w:rsidRDefault="00547224">
            <w:pPr>
              <w:pStyle w:val="TableParagraph"/>
              <w:spacing w:line="224" w:lineRule="exact"/>
              <w:ind w:left="109"/>
              <w:rPr>
                <w:rFonts w:ascii="Arial"/>
                <w:sz w:val="20"/>
              </w:rPr>
            </w:pPr>
            <w:r>
              <w:rPr>
                <w:rFonts w:ascii="Arial"/>
                <w:sz w:val="20"/>
              </w:rPr>
              <w:t>Decreased FBT revenue</w:t>
            </w:r>
          </w:p>
        </w:tc>
        <w:tc>
          <w:tcPr>
            <w:tcW w:w="1276" w:type="dxa"/>
            <w:tcBorders>
              <w:left w:val="single" w:sz="4" w:space="0" w:color="000000"/>
              <w:right w:val="single" w:sz="4" w:space="0" w:color="000000"/>
            </w:tcBorders>
          </w:tcPr>
          <w:p w14:paraId="3256E1FE" w14:textId="77777777" w:rsidR="00E00F10" w:rsidRDefault="00547224">
            <w:pPr>
              <w:pStyle w:val="TableParagraph"/>
              <w:spacing w:before="54"/>
              <w:ind w:left="256" w:right="242"/>
              <w:jc w:val="center"/>
              <w:rPr>
                <w:rFonts w:ascii="Arial"/>
                <w:sz w:val="20"/>
              </w:rPr>
            </w:pPr>
            <w:r>
              <w:rPr>
                <w:rFonts w:ascii="Arial"/>
                <w:sz w:val="20"/>
              </w:rPr>
              <w:t>(0.82)</w:t>
            </w:r>
          </w:p>
        </w:tc>
        <w:tc>
          <w:tcPr>
            <w:tcW w:w="1276" w:type="dxa"/>
            <w:tcBorders>
              <w:left w:val="single" w:sz="4" w:space="0" w:color="000000"/>
              <w:right w:val="single" w:sz="4" w:space="0" w:color="000000"/>
            </w:tcBorders>
          </w:tcPr>
          <w:p w14:paraId="4A28A3D1" w14:textId="77777777" w:rsidR="00E00F10" w:rsidRDefault="00547224">
            <w:pPr>
              <w:pStyle w:val="TableParagraph"/>
              <w:spacing w:before="54"/>
              <w:ind w:left="256" w:right="243"/>
              <w:jc w:val="center"/>
              <w:rPr>
                <w:rFonts w:ascii="Arial"/>
                <w:sz w:val="20"/>
              </w:rPr>
            </w:pPr>
            <w:r>
              <w:rPr>
                <w:rFonts w:ascii="Arial"/>
                <w:sz w:val="20"/>
              </w:rPr>
              <w:t>(1.09)</w:t>
            </w:r>
          </w:p>
        </w:tc>
        <w:tc>
          <w:tcPr>
            <w:tcW w:w="1276" w:type="dxa"/>
            <w:tcBorders>
              <w:left w:val="single" w:sz="4" w:space="0" w:color="000000"/>
              <w:right w:val="single" w:sz="4" w:space="0" w:color="000000"/>
            </w:tcBorders>
          </w:tcPr>
          <w:p w14:paraId="14215AE6" w14:textId="77777777" w:rsidR="00E00F10" w:rsidRDefault="00547224">
            <w:pPr>
              <w:pStyle w:val="TableParagraph"/>
              <w:spacing w:before="54"/>
              <w:ind w:left="254" w:right="245"/>
              <w:jc w:val="center"/>
              <w:rPr>
                <w:rFonts w:ascii="Arial"/>
                <w:sz w:val="20"/>
              </w:rPr>
            </w:pPr>
            <w:r>
              <w:rPr>
                <w:rFonts w:ascii="Arial"/>
                <w:sz w:val="20"/>
              </w:rPr>
              <w:t>(1.09)</w:t>
            </w:r>
          </w:p>
        </w:tc>
        <w:tc>
          <w:tcPr>
            <w:tcW w:w="1418" w:type="dxa"/>
            <w:tcBorders>
              <w:left w:val="single" w:sz="4" w:space="0" w:color="000000"/>
              <w:right w:val="single" w:sz="4" w:space="0" w:color="000000"/>
            </w:tcBorders>
          </w:tcPr>
          <w:p w14:paraId="5EA8F874" w14:textId="77777777" w:rsidR="00E00F10" w:rsidRDefault="00547224">
            <w:pPr>
              <w:pStyle w:val="TableParagraph"/>
              <w:spacing w:before="54"/>
              <w:ind w:left="301" w:right="290"/>
              <w:jc w:val="center"/>
              <w:rPr>
                <w:rFonts w:ascii="Arial"/>
                <w:sz w:val="20"/>
              </w:rPr>
            </w:pPr>
            <w:r>
              <w:rPr>
                <w:rFonts w:ascii="Arial"/>
                <w:sz w:val="20"/>
              </w:rPr>
              <w:t>(1.09)</w:t>
            </w:r>
          </w:p>
        </w:tc>
        <w:tc>
          <w:tcPr>
            <w:tcW w:w="1400" w:type="dxa"/>
            <w:tcBorders>
              <w:left w:val="single" w:sz="4" w:space="0" w:color="000000"/>
              <w:right w:val="single" w:sz="4" w:space="0" w:color="000000"/>
            </w:tcBorders>
          </w:tcPr>
          <w:p w14:paraId="13505E3F" w14:textId="77777777" w:rsidR="00E00F10" w:rsidRDefault="00547224">
            <w:pPr>
              <w:pStyle w:val="TableParagraph"/>
              <w:spacing w:before="54"/>
              <w:ind w:left="438"/>
              <w:rPr>
                <w:rFonts w:ascii="Arial"/>
                <w:sz w:val="20"/>
              </w:rPr>
            </w:pPr>
            <w:r>
              <w:rPr>
                <w:rFonts w:ascii="Arial"/>
                <w:sz w:val="20"/>
              </w:rPr>
              <w:t>(1.09)</w:t>
            </w:r>
          </w:p>
        </w:tc>
      </w:tr>
    </w:tbl>
    <w:p w14:paraId="60DA76F8" w14:textId="77777777" w:rsidR="00E00F10" w:rsidRDefault="00E00F10">
      <w:pPr>
        <w:pStyle w:val="BodyText"/>
        <w:spacing w:before="7"/>
        <w:rPr>
          <w:sz w:val="20"/>
        </w:rPr>
      </w:pPr>
    </w:p>
    <w:p w14:paraId="3812E348" w14:textId="77777777" w:rsidR="00E00F10" w:rsidRDefault="00547224">
      <w:pPr>
        <w:pStyle w:val="ListParagraph"/>
        <w:numPr>
          <w:ilvl w:val="0"/>
          <w:numId w:val="1"/>
        </w:numPr>
        <w:tabs>
          <w:tab w:val="left" w:pos="835"/>
          <w:tab w:val="left" w:pos="836"/>
        </w:tabs>
        <w:spacing w:before="1"/>
        <w:ind w:left="835" w:right="451"/>
        <w:rPr>
          <w:sz w:val="24"/>
        </w:rPr>
      </w:pPr>
      <w:r>
        <w:rPr>
          <w:b/>
          <w:sz w:val="24"/>
        </w:rPr>
        <w:t xml:space="preserve">noted </w:t>
      </w:r>
      <w:r>
        <w:rPr>
          <w:sz w:val="24"/>
        </w:rPr>
        <w:t>that the impact in paragraph 3 is a forecast change and does not have appropriation implications;</w:t>
      </w:r>
    </w:p>
    <w:p w14:paraId="47A61D2B" w14:textId="77777777" w:rsidR="00E00F10" w:rsidRDefault="00E00F10">
      <w:pPr>
        <w:pStyle w:val="BodyText"/>
        <w:spacing w:before="10"/>
        <w:rPr>
          <w:sz w:val="20"/>
        </w:rPr>
      </w:pPr>
    </w:p>
    <w:p w14:paraId="4AB9D68F" w14:textId="77777777" w:rsidR="00E00F10" w:rsidRDefault="00547224">
      <w:pPr>
        <w:pStyle w:val="ListParagraph"/>
        <w:numPr>
          <w:ilvl w:val="0"/>
          <w:numId w:val="1"/>
        </w:numPr>
        <w:tabs>
          <w:tab w:val="left" w:pos="835"/>
          <w:tab w:val="left" w:pos="836"/>
        </w:tabs>
        <w:ind w:left="835" w:right="165"/>
        <w:rPr>
          <w:sz w:val="24"/>
        </w:rPr>
      </w:pPr>
      <w:r>
        <w:rPr>
          <w:b/>
          <w:sz w:val="24"/>
        </w:rPr>
        <w:t xml:space="preserve">authorised </w:t>
      </w:r>
      <w:r>
        <w:rPr>
          <w:sz w:val="24"/>
        </w:rPr>
        <w:t>the submission to the Executive Council of the Income Tax (Fringe Benefit</w:t>
      </w:r>
      <w:r>
        <w:rPr>
          <w:spacing w:val="-25"/>
          <w:sz w:val="24"/>
        </w:rPr>
        <w:t xml:space="preserve"> </w:t>
      </w:r>
      <w:r>
        <w:rPr>
          <w:sz w:val="24"/>
        </w:rPr>
        <w:t>Tax, Interest on Loans) Amendment Regulations 2019 [PCO</w:t>
      </w:r>
      <w:r>
        <w:rPr>
          <w:spacing w:val="-2"/>
          <w:sz w:val="24"/>
        </w:rPr>
        <w:t xml:space="preserve"> </w:t>
      </w:r>
      <w:r>
        <w:rPr>
          <w:sz w:val="24"/>
        </w:rPr>
        <w:t>22508];</w:t>
      </w:r>
    </w:p>
    <w:p w14:paraId="566900EB" w14:textId="77777777" w:rsidR="00E00F10" w:rsidRDefault="00E00F10">
      <w:pPr>
        <w:pStyle w:val="BodyText"/>
        <w:spacing w:before="10"/>
        <w:rPr>
          <w:sz w:val="20"/>
        </w:rPr>
      </w:pPr>
    </w:p>
    <w:p w14:paraId="15551077" w14:textId="77777777" w:rsidR="00E00F10" w:rsidRDefault="00547224">
      <w:pPr>
        <w:pStyle w:val="ListParagraph"/>
        <w:numPr>
          <w:ilvl w:val="0"/>
          <w:numId w:val="1"/>
        </w:numPr>
        <w:tabs>
          <w:tab w:val="left" w:pos="835"/>
          <w:tab w:val="left" w:pos="836"/>
        </w:tabs>
        <w:ind w:left="835" w:right="126"/>
        <w:rPr>
          <w:sz w:val="24"/>
        </w:rPr>
      </w:pPr>
      <w:r>
        <w:rPr>
          <w:b/>
          <w:sz w:val="24"/>
        </w:rPr>
        <w:t xml:space="preserve">noted </w:t>
      </w:r>
      <w:r>
        <w:rPr>
          <w:sz w:val="24"/>
        </w:rPr>
        <w:t>t</w:t>
      </w:r>
      <w:r>
        <w:rPr>
          <w:sz w:val="24"/>
        </w:rPr>
        <w:t>hat a waiver of the 28-day rule is sought on the grounds that early commencement is necessary to enable the lower rate to apply from the start of the current quarter, and will only confer benefits on those</w:t>
      </w:r>
      <w:r>
        <w:rPr>
          <w:spacing w:val="1"/>
          <w:sz w:val="24"/>
        </w:rPr>
        <w:t xml:space="preserve"> </w:t>
      </w:r>
      <w:r>
        <w:rPr>
          <w:sz w:val="24"/>
        </w:rPr>
        <w:t>affected;</w:t>
      </w:r>
    </w:p>
    <w:p w14:paraId="7B655794" w14:textId="77777777" w:rsidR="00E00F10" w:rsidRDefault="00E00F10">
      <w:pPr>
        <w:pStyle w:val="BodyText"/>
        <w:spacing w:before="10"/>
        <w:rPr>
          <w:sz w:val="20"/>
        </w:rPr>
      </w:pPr>
    </w:p>
    <w:p w14:paraId="79DDCB5D" w14:textId="77777777" w:rsidR="00E00F10" w:rsidRDefault="00547224">
      <w:pPr>
        <w:pStyle w:val="ListParagraph"/>
        <w:numPr>
          <w:ilvl w:val="0"/>
          <w:numId w:val="1"/>
        </w:numPr>
        <w:tabs>
          <w:tab w:val="left" w:pos="835"/>
          <w:tab w:val="left" w:pos="836"/>
        </w:tabs>
        <w:ind w:hanging="721"/>
        <w:rPr>
          <w:sz w:val="24"/>
        </w:rPr>
      </w:pPr>
      <w:r>
        <w:rPr>
          <w:b/>
          <w:sz w:val="24"/>
        </w:rPr>
        <w:t xml:space="preserve">declined </w:t>
      </w:r>
      <w:r>
        <w:rPr>
          <w:sz w:val="24"/>
        </w:rPr>
        <w:t>a waiver of the 28-day</w:t>
      </w:r>
      <w:r>
        <w:rPr>
          <w:spacing w:val="-1"/>
          <w:sz w:val="24"/>
        </w:rPr>
        <w:t xml:space="preserve"> </w:t>
      </w:r>
      <w:r>
        <w:rPr>
          <w:sz w:val="24"/>
        </w:rPr>
        <w:t>rule;</w:t>
      </w:r>
    </w:p>
    <w:p w14:paraId="4CCF9FB4" w14:textId="77777777" w:rsidR="00E00F10" w:rsidRDefault="00E00F10">
      <w:pPr>
        <w:pStyle w:val="BodyText"/>
        <w:spacing w:before="10"/>
        <w:rPr>
          <w:sz w:val="20"/>
        </w:rPr>
      </w:pPr>
    </w:p>
    <w:p w14:paraId="542E8C0A" w14:textId="77777777" w:rsidR="00E00F10" w:rsidRDefault="00547224">
      <w:pPr>
        <w:pStyle w:val="ListParagraph"/>
        <w:numPr>
          <w:ilvl w:val="0"/>
          <w:numId w:val="1"/>
        </w:numPr>
        <w:tabs>
          <w:tab w:val="left" w:pos="835"/>
          <w:tab w:val="left" w:pos="836"/>
        </w:tabs>
        <w:ind w:left="835" w:right="924"/>
        <w:rPr>
          <w:sz w:val="24"/>
        </w:rPr>
      </w:pPr>
      <w:r>
        <w:rPr>
          <w:b/>
          <w:sz w:val="24"/>
        </w:rPr>
        <w:t xml:space="preserve">noted </w:t>
      </w:r>
      <w:r>
        <w:rPr>
          <w:sz w:val="24"/>
        </w:rPr>
        <w:t>that the Regulations will come into force 28 days after their notification in the Gazette;</w:t>
      </w:r>
    </w:p>
    <w:p w14:paraId="18BF38B2" w14:textId="77777777" w:rsidR="00E00F10" w:rsidRDefault="00E00F10">
      <w:pPr>
        <w:rPr>
          <w:sz w:val="24"/>
        </w:rPr>
        <w:sectPr w:rsidR="00E00F10">
          <w:headerReference w:type="default" r:id="rId8"/>
          <w:footerReference w:type="default" r:id="rId9"/>
          <w:type w:val="continuous"/>
          <w:pgSz w:w="11900" w:h="16840"/>
          <w:pgMar w:top="840" w:right="1000" w:bottom="780" w:left="1020" w:header="405" w:footer="582" w:gutter="0"/>
          <w:pgNumType w:start="1"/>
          <w:cols w:space="720"/>
        </w:sectPr>
      </w:pPr>
    </w:p>
    <w:p w14:paraId="7AEECF11" w14:textId="77777777" w:rsidR="00E00F10" w:rsidRDefault="00547224">
      <w:pPr>
        <w:pStyle w:val="ListParagraph"/>
        <w:numPr>
          <w:ilvl w:val="0"/>
          <w:numId w:val="1"/>
        </w:numPr>
        <w:tabs>
          <w:tab w:val="left" w:pos="835"/>
          <w:tab w:val="left" w:pos="836"/>
        </w:tabs>
        <w:spacing w:before="51"/>
        <w:ind w:left="835" w:right="572"/>
        <w:rPr>
          <w:sz w:val="24"/>
        </w:rPr>
      </w:pPr>
      <w:r>
        <w:rPr>
          <w:b/>
          <w:sz w:val="24"/>
        </w:rPr>
        <w:lastRenderedPageBreak/>
        <w:t xml:space="preserve">noted </w:t>
      </w:r>
      <w:r>
        <w:rPr>
          <w:sz w:val="24"/>
        </w:rPr>
        <w:t>that the Minister of Revenue will issue a press statement announcing the</w:t>
      </w:r>
      <w:r>
        <w:rPr>
          <w:spacing w:val="-25"/>
          <w:sz w:val="24"/>
        </w:rPr>
        <w:t xml:space="preserve"> </w:t>
      </w:r>
      <w:r>
        <w:rPr>
          <w:sz w:val="24"/>
        </w:rPr>
        <w:t>decrease once the Regulations are made.</w:t>
      </w:r>
    </w:p>
    <w:p w14:paraId="368AA72D" w14:textId="77777777" w:rsidR="00E00F10" w:rsidRDefault="00E00F10">
      <w:pPr>
        <w:pStyle w:val="BodyText"/>
        <w:rPr>
          <w:sz w:val="26"/>
        </w:rPr>
      </w:pPr>
    </w:p>
    <w:p w14:paraId="003C47B0" w14:textId="77777777" w:rsidR="00E00F10" w:rsidRDefault="00E00F10">
      <w:pPr>
        <w:pStyle w:val="BodyText"/>
        <w:rPr>
          <w:sz w:val="26"/>
        </w:rPr>
      </w:pPr>
    </w:p>
    <w:p w14:paraId="2396D25A" w14:textId="77777777" w:rsidR="00E00F10" w:rsidRDefault="00E00F10">
      <w:pPr>
        <w:pStyle w:val="BodyText"/>
        <w:rPr>
          <w:sz w:val="26"/>
        </w:rPr>
      </w:pPr>
    </w:p>
    <w:p w14:paraId="6C108F00" w14:textId="77777777" w:rsidR="00E00F10" w:rsidRDefault="00E00F10">
      <w:pPr>
        <w:pStyle w:val="BodyText"/>
        <w:rPr>
          <w:sz w:val="26"/>
        </w:rPr>
      </w:pPr>
    </w:p>
    <w:p w14:paraId="524AE617" w14:textId="77777777" w:rsidR="00E00F10" w:rsidRDefault="00E00F10">
      <w:pPr>
        <w:pStyle w:val="BodyText"/>
        <w:spacing w:before="10"/>
        <w:rPr>
          <w:sz w:val="36"/>
        </w:rPr>
      </w:pPr>
    </w:p>
    <w:p w14:paraId="1E69DA32" w14:textId="77777777" w:rsidR="00E00F10" w:rsidRDefault="00547224">
      <w:pPr>
        <w:pStyle w:val="BodyText"/>
        <w:spacing w:after="26"/>
        <w:ind w:left="115" w:right="7712"/>
      </w:pPr>
      <w:r>
        <w:pict w14:anchorId="07925905">
          <v:line id="_x0000_s1026" style="position:absolute;left:0;text-align:left;z-index:251661312;mso-position-horizontal-relative:page" from="56.7pt,28.85pt" to="538.5pt,28.85pt" strokecolor="#000001" strokeweight=".5pt">
            <w10:wrap anchorx="page"/>
          </v:line>
        </w:pict>
      </w:r>
      <w:r>
        <w:t>Gerrard Carter Committee Secretary</w:t>
      </w:r>
    </w:p>
    <w:tbl>
      <w:tblPr>
        <w:tblW w:w="0" w:type="auto"/>
        <w:tblInd w:w="121" w:type="dxa"/>
        <w:tblLayout w:type="fixed"/>
        <w:tblCellMar>
          <w:left w:w="0" w:type="dxa"/>
          <w:right w:w="0" w:type="dxa"/>
        </w:tblCellMar>
        <w:tblLook w:val="01E0" w:firstRow="1" w:lastRow="1" w:firstColumn="1" w:lastColumn="1" w:noHBand="0" w:noVBand="0"/>
      </w:tblPr>
      <w:tblGrid>
        <w:gridCol w:w="3535"/>
        <w:gridCol w:w="3954"/>
      </w:tblGrid>
      <w:tr w:rsidR="00E00F10" w14:paraId="1DF48183" w14:textId="77777777">
        <w:trPr>
          <w:trHeight w:val="744"/>
        </w:trPr>
        <w:tc>
          <w:tcPr>
            <w:tcW w:w="3535" w:type="dxa"/>
          </w:tcPr>
          <w:p w14:paraId="5DE481D6" w14:textId="77777777" w:rsidR="00E00F10" w:rsidRDefault="00E00F10">
            <w:pPr>
              <w:pStyle w:val="TableParagraph"/>
              <w:spacing w:before="5"/>
              <w:ind w:left="0"/>
              <w:rPr>
                <w:sz w:val="24"/>
              </w:rPr>
            </w:pPr>
          </w:p>
          <w:p w14:paraId="2255C822" w14:textId="77777777" w:rsidR="00E00F10" w:rsidRDefault="00547224">
            <w:pPr>
              <w:pStyle w:val="TableParagraph"/>
              <w:spacing w:line="229" w:lineRule="exact"/>
              <w:rPr>
                <w:rFonts w:ascii="Arial"/>
                <w:b/>
                <w:sz w:val="20"/>
              </w:rPr>
            </w:pPr>
            <w:r>
              <w:rPr>
                <w:rFonts w:ascii="Arial"/>
                <w:b/>
                <w:sz w:val="20"/>
              </w:rPr>
              <w:t>Present:</w:t>
            </w:r>
          </w:p>
          <w:p w14:paraId="4FEB8E93" w14:textId="77777777" w:rsidR="00E00F10" w:rsidRDefault="00547224">
            <w:pPr>
              <w:pStyle w:val="TableParagraph"/>
              <w:spacing w:line="214" w:lineRule="exact"/>
              <w:rPr>
                <w:sz w:val="20"/>
              </w:rPr>
            </w:pPr>
            <w:r>
              <w:rPr>
                <w:sz w:val="20"/>
              </w:rPr>
              <w:t xml:space="preserve">Hon Chris </w:t>
            </w:r>
            <w:proofErr w:type="spellStart"/>
            <w:r>
              <w:rPr>
                <w:sz w:val="20"/>
              </w:rPr>
              <w:t>Hipkins</w:t>
            </w:r>
            <w:proofErr w:type="spellEnd"/>
            <w:r>
              <w:rPr>
                <w:sz w:val="20"/>
              </w:rPr>
              <w:t xml:space="preserve"> (Chair)</w:t>
            </w:r>
          </w:p>
        </w:tc>
        <w:tc>
          <w:tcPr>
            <w:tcW w:w="3954" w:type="dxa"/>
          </w:tcPr>
          <w:p w14:paraId="1AC98F85" w14:textId="77777777" w:rsidR="00E00F10" w:rsidRDefault="00E00F10">
            <w:pPr>
              <w:pStyle w:val="TableParagraph"/>
              <w:spacing w:before="5"/>
              <w:ind w:left="0"/>
              <w:rPr>
                <w:sz w:val="24"/>
              </w:rPr>
            </w:pPr>
          </w:p>
          <w:p w14:paraId="4193AD4B" w14:textId="77777777" w:rsidR="00E00F10" w:rsidRDefault="00547224">
            <w:pPr>
              <w:pStyle w:val="TableParagraph"/>
              <w:spacing w:line="229" w:lineRule="exact"/>
              <w:ind w:left="1395"/>
              <w:rPr>
                <w:rFonts w:ascii="Arial"/>
                <w:b/>
                <w:sz w:val="20"/>
              </w:rPr>
            </w:pPr>
            <w:r>
              <w:rPr>
                <w:rFonts w:ascii="Arial"/>
                <w:b/>
                <w:sz w:val="20"/>
              </w:rPr>
              <w:t>Officials present from:</w:t>
            </w:r>
          </w:p>
          <w:p w14:paraId="596BF721" w14:textId="77777777" w:rsidR="00E00F10" w:rsidRDefault="00547224">
            <w:pPr>
              <w:pStyle w:val="TableParagraph"/>
              <w:spacing w:line="214" w:lineRule="exact"/>
              <w:ind w:left="1395"/>
              <w:rPr>
                <w:sz w:val="20"/>
              </w:rPr>
            </w:pPr>
            <w:r>
              <w:rPr>
                <w:sz w:val="20"/>
              </w:rPr>
              <w:t>Office of the Prime Minister</w:t>
            </w:r>
          </w:p>
        </w:tc>
      </w:tr>
      <w:tr w:rsidR="00E00F10" w14:paraId="1BDB3F59" w14:textId="77777777">
        <w:trPr>
          <w:trHeight w:val="229"/>
        </w:trPr>
        <w:tc>
          <w:tcPr>
            <w:tcW w:w="3535" w:type="dxa"/>
          </w:tcPr>
          <w:p w14:paraId="48192DDF" w14:textId="77777777" w:rsidR="00E00F10" w:rsidRDefault="00547224">
            <w:pPr>
              <w:pStyle w:val="TableParagraph"/>
              <w:spacing w:line="209" w:lineRule="exact"/>
              <w:rPr>
                <w:sz w:val="20"/>
              </w:rPr>
            </w:pPr>
            <w:r>
              <w:rPr>
                <w:sz w:val="20"/>
              </w:rPr>
              <w:t>Hon Andrew Little</w:t>
            </w:r>
          </w:p>
        </w:tc>
        <w:tc>
          <w:tcPr>
            <w:tcW w:w="3954" w:type="dxa"/>
          </w:tcPr>
          <w:p w14:paraId="09018F18" w14:textId="77777777" w:rsidR="00E00F10" w:rsidRDefault="00547224">
            <w:pPr>
              <w:pStyle w:val="TableParagraph"/>
              <w:spacing w:line="209" w:lineRule="exact"/>
              <w:ind w:left="1395"/>
              <w:rPr>
                <w:sz w:val="20"/>
              </w:rPr>
            </w:pPr>
            <w:r>
              <w:rPr>
                <w:sz w:val="20"/>
              </w:rPr>
              <w:t>Officials Committee for LEG</w:t>
            </w:r>
          </w:p>
        </w:tc>
      </w:tr>
      <w:tr w:rsidR="00E00F10" w14:paraId="1FA327FC" w14:textId="77777777">
        <w:trPr>
          <w:trHeight w:val="229"/>
        </w:trPr>
        <w:tc>
          <w:tcPr>
            <w:tcW w:w="3535" w:type="dxa"/>
          </w:tcPr>
          <w:p w14:paraId="4519F294" w14:textId="77777777" w:rsidR="00E00F10" w:rsidRDefault="00547224">
            <w:pPr>
              <w:pStyle w:val="TableParagraph"/>
              <w:spacing w:line="209" w:lineRule="exact"/>
              <w:rPr>
                <w:sz w:val="20"/>
              </w:rPr>
            </w:pPr>
            <w:r>
              <w:rPr>
                <w:sz w:val="20"/>
              </w:rPr>
              <w:t>Hon David Parker</w:t>
            </w:r>
          </w:p>
        </w:tc>
        <w:tc>
          <w:tcPr>
            <w:tcW w:w="3954" w:type="dxa"/>
          </w:tcPr>
          <w:p w14:paraId="0F7BE8EB" w14:textId="77777777" w:rsidR="00E00F10" w:rsidRDefault="00E00F10">
            <w:pPr>
              <w:pStyle w:val="TableParagraph"/>
              <w:ind w:left="0"/>
              <w:rPr>
                <w:sz w:val="16"/>
              </w:rPr>
            </w:pPr>
          </w:p>
        </w:tc>
      </w:tr>
      <w:tr w:rsidR="00E00F10" w14:paraId="2AB85470" w14:textId="77777777">
        <w:trPr>
          <w:trHeight w:val="229"/>
        </w:trPr>
        <w:tc>
          <w:tcPr>
            <w:tcW w:w="3535" w:type="dxa"/>
          </w:tcPr>
          <w:p w14:paraId="5141B341" w14:textId="77777777" w:rsidR="00E00F10" w:rsidRDefault="00547224">
            <w:pPr>
              <w:pStyle w:val="TableParagraph"/>
              <w:spacing w:line="209" w:lineRule="exact"/>
              <w:rPr>
                <w:sz w:val="20"/>
              </w:rPr>
            </w:pPr>
            <w:r>
              <w:rPr>
                <w:sz w:val="20"/>
              </w:rPr>
              <w:t>Hon Stuart Nash</w:t>
            </w:r>
          </w:p>
        </w:tc>
        <w:tc>
          <w:tcPr>
            <w:tcW w:w="3954" w:type="dxa"/>
          </w:tcPr>
          <w:p w14:paraId="6086B41B" w14:textId="77777777" w:rsidR="00E00F10" w:rsidRDefault="00E00F10">
            <w:pPr>
              <w:pStyle w:val="TableParagraph"/>
              <w:ind w:left="0"/>
              <w:rPr>
                <w:sz w:val="16"/>
              </w:rPr>
            </w:pPr>
          </w:p>
        </w:tc>
      </w:tr>
      <w:tr w:rsidR="00E00F10" w14:paraId="7C0F791D" w14:textId="77777777">
        <w:trPr>
          <w:trHeight w:val="228"/>
        </w:trPr>
        <w:tc>
          <w:tcPr>
            <w:tcW w:w="3535" w:type="dxa"/>
          </w:tcPr>
          <w:p w14:paraId="7C8C245A" w14:textId="77777777" w:rsidR="00E00F10" w:rsidRDefault="00547224">
            <w:pPr>
              <w:pStyle w:val="TableParagraph"/>
              <w:spacing w:line="209" w:lineRule="exact"/>
              <w:rPr>
                <w:sz w:val="20"/>
              </w:rPr>
            </w:pPr>
            <w:r>
              <w:rPr>
                <w:sz w:val="20"/>
              </w:rPr>
              <w:t>Hon Iain Lees-Galloway</w:t>
            </w:r>
          </w:p>
        </w:tc>
        <w:tc>
          <w:tcPr>
            <w:tcW w:w="3954" w:type="dxa"/>
          </w:tcPr>
          <w:p w14:paraId="275B7E78" w14:textId="77777777" w:rsidR="00E00F10" w:rsidRDefault="00E00F10">
            <w:pPr>
              <w:pStyle w:val="TableParagraph"/>
              <w:ind w:left="0"/>
              <w:rPr>
                <w:sz w:val="16"/>
              </w:rPr>
            </w:pPr>
          </w:p>
        </w:tc>
      </w:tr>
      <w:tr w:rsidR="00E00F10" w14:paraId="5DDF7FF9" w14:textId="77777777">
        <w:trPr>
          <w:trHeight w:val="228"/>
        </w:trPr>
        <w:tc>
          <w:tcPr>
            <w:tcW w:w="3535" w:type="dxa"/>
          </w:tcPr>
          <w:p w14:paraId="78A63E39" w14:textId="77777777" w:rsidR="00E00F10" w:rsidRDefault="00547224">
            <w:pPr>
              <w:pStyle w:val="TableParagraph"/>
              <w:spacing w:line="209" w:lineRule="exact"/>
              <w:rPr>
                <w:sz w:val="20"/>
              </w:rPr>
            </w:pPr>
            <w:r>
              <w:rPr>
                <w:sz w:val="20"/>
              </w:rPr>
              <w:t xml:space="preserve">Hon Jenny </w:t>
            </w:r>
            <w:proofErr w:type="spellStart"/>
            <w:r>
              <w:rPr>
                <w:sz w:val="20"/>
              </w:rPr>
              <w:t>Salesa</w:t>
            </w:r>
            <w:proofErr w:type="spellEnd"/>
          </w:p>
        </w:tc>
        <w:tc>
          <w:tcPr>
            <w:tcW w:w="3954" w:type="dxa"/>
          </w:tcPr>
          <w:p w14:paraId="1CAE181B" w14:textId="77777777" w:rsidR="00E00F10" w:rsidRDefault="00E00F10">
            <w:pPr>
              <w:pStyle w:val="TableParagraph"/>
              <w:ind w:left="0"/>
              <w:rPr>
                <w:sz w:val="16"/>
              </w:rPr>
            </w:pPr>
          </w:p>
        </w:tc>
      </w:tr>
      <w:tr w:rsidR="00E00F10" w14:paraId="7C7AEF8B" w14:textId="77777777">
        <w:trPr>
          <w:trHeight w:val="229"/>
        </w:trPr>
        <w:tc>
          <w:tcPr>
            <w:tcW w:w="3535" w:type="dxa"/>
          </w:tcPr>
          <w:p w14:paraId="623D6E30" w14:textId="77777777" w:rsidR="00E00F10" w:rsidRDefault="00547224">
            <w:pPr>
              <w:pStyle w:val="TableParagraph"/>
              <w:spacing w:line="209" w:lineRule="exact"/>
              <w:rPr>
                <w:sz w:val="20"/>
              </w:rPr>
            </w:pPr>
            <w:r>
              <w:rPr>
                <w:sz w:val="20"/>
              </w:rPr>
              <w:t>Hon Tracey Martin</w:t>
            </w:r>
          </w:p>
        </w:tc>
        <w:tc>
          <w:tcPr>
            <w:tcW w:w="3954" w:type="dxa"/>
          </w:tcPr>
          <w:p w14:paraId="69B91581" w14:textId="77777777" w:rsidR="00E00F10" w:rsidRDefault="00E00F10">
            <w:pPr>
              <w:pStyle w:val="TableParagraph"/>
              <w:ind w:left="0"/>
              <w:rPr>
                <w:sz w:val="16"/>
              </w:rPr>
            </w:pPr>
          </w:p>
        </w:tc>
      </w:tr>
      <w:tr w:rsidR="00E00F10" w14:paraId="51E7F029" w14:textId="77777777">
        <w:trPr>
          <w:trHeight w:val="229"/>
        </w:trPr>
        <w:tc>
          <w:tcPr>
            <w:tcW w:w="3535" w:type="dxa"/>
          </w:tcPr>
          <w:p w14:paraId="1344A71A" w14:textId="77777777" w:rsidR="00E00F10" w:rsidRDefault="00547224">
            <w:pPr>
              <w:pStyle w:val="TableParagraph"/>
              <w:spacing w:line="209" w:lineRule="exact"/>
              <w:rPr>
                <w:sz w:val="20"/>
              </w:rPr>
            </w:pPr>
            <w:r>
              <w:rPr>
                <w:sz w:val="20"/>
              </w:rPr>
              <w:t>Hon Eugenie Sage</w:t>
            </w:r>
          </w:p>
        </w:tc>
        <w:tc>
          <w:tcPr>
            <w:tcW w:w="3954" w:type="dxa"/>
          </w:tcPr>
          <w:p w14:paraId="4BCB50CF" w14:textId="77777777" w:rsidR="00E00F10" w:rsidRDefault="00E00F10">
            <w:pPr>
              <w:pStyle w:val="TableParagraph"/>
              <w:ind w:left="0"/>
              <w:rPr>
                <w:sz w:val="16"/>
              </w:rPr>
            </w:pPr>
          </w:p>
        </w:tc>
      </w:tr>
      <w:tr w:rsidR="00E00F10" w14:paraId="60FFD215" w14:textId="77777777">
        <w:trPr>
          <w:trHeight w:val="366"/>
        </w:trPr>
        <w:tc>
          <w:tcPr>
            <w:tcW w:w="7489" w:type="dxa"/>
            <w:gridSpan w:val="2"/>
          </w:tcPr>
          <w:p w14:paraId="49F5425D" w14:textId="77777777" w:rsidR="00E00F10" w:rsidRDefault="00547224">
            <w:pPr>
              <w:pStyle w:val="TableParagraph"/>
              <w:spacing w:line="225" w:lineRule="exact"/>
              <w:rPr>
                <w:sz w:val="20"/>
              </w:rPr>
            </w:pPr>
            <w:r>
              <w:rPr>
                <w:sz w:val="20"/>
              </w:rPr>
              <w:t>Michael Wood MP (Senior Government Whip)</w:t>
            </w:r>
          </w:p>
        </w:tc>
      </w:tr>
      <w:tr w:rsidR="00E00F10" w14:paraId="7C1AC289" w14:textId="77777777">
        <w:trPr>
          <w:trHeight w:val="594"/>
        </w:trPr>
        <w:tc>
          <w:tcPr>
            <w:tcW w:w="3535" w:type="dxa"/>
          </w:tcPr>
          <w:p w14:paraId="512B69D6" w14:textId="77777777" w:rsidR="00E00F10" w:rsidRDefault="00547224">
            <w:pPr>
              <w:pStyle w:val="TableParagraph"/>
              <w:spacing w:before="135" w:line="229" w:lineRule="exact"/>
              <w:rPr>
                <w:rFonts w:ascii="Arial"/>
                <w:b/>
                <w:sz w:val="20"/>
              </w:rPr>
            </w:pPr>
            <w:r>
              <w:rPr>
                <w:rFonts w:ascii="Arial"/>
                <w:b/>
                <w:sz w:val="20"/>
              </w:rPr>
              <w:t>Hard-copy distribution:</w:t>
            </w:r>
          </w:p>
          <w:p w14:paraId="09881A67" w14:textId="77777777" w:rsidR="00E00F10" w:rsidRDefault="00547224">
            <w:pPr>
              <w:pStyle w:val="TableParagraph"/>
              <w:spacing w:line="209" w:lineRule="exact"/>
              <w:rPr>
                <w:sz w:val="20"/>
              </w:rPr>
            </w:pPr>
            <w:r>
              <w:rPr>
                <w:sz w:val="20"/>
              </w:rPr>
              <w:t>Minister of Revenue</w:t>
            </w:r>
          </w:p>
        </w:tc>
        <w:tc>
          <w:tcPr>
            <w:tcW w:w="3954" w:type="dxa"/>
          </w:tcPr>
          <w:p w14:paraId="456984DC" w14:textId="77777777" w:rsidR="00E00F10" w:rsidRDefault="00E00F10">
            <w:pPr>
              <w:pStyle w:val="TableParagraph"/>
              <w:ind w:left="0"/>
              <w:rPr>
                <w:sz w:val="20"/>
              </w:rPr>
            </w:pPr>
          </w:p>
        </w:tc>
      </w:tr>
    </w:tbl>
    <w:p w14:paraId="29A60113" w14:textId="77777777" w:rsidR="00000000" w:rsidRDefault="00547224"/>
    <w:sectPr w:rsidR="00000000">
      <w:pgSz w:w="11900" w:h="16840"/>
      <w:pgMar w:top="840" w:right="100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155D" w14:textId="77777777" w:rsidR="00000000" w:rsidRDefault="00547224">
      <w:r>
        <w:separator/>
      </w:r>
    </w:p>
  </w:endnote>
  <w:endnote w:type="continuationSeparator" w:id="0">
    <w:p w14:paraId="17C2D7FA" w14:textId="77777777" w:rsidR="00000000" w:rsidRDefault="005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CFFC" w14:textId="5E863D8F" w:rsidR="00E00F10" w:rsidRDefault="00547224">
    <w:pPr>
      <w:pStyle w:val="BodyText"/>
      <w:spacing w:line="14" w:lineRule="auto"/>
      <w:rPr>
        <w:sz w:val="20"/>
      </w:rPr>
    </w:pPr>
    <w:r>
      <w:pict w14:anchorId="1A39EB06">
        <v:shapetype id="_x0000_t202" coordsize="21600,21600" o:spt="202" path="m,l,21600r21600,l21600,xe">
          <v:stroke joinstyle="miter"/>
          <v:path gradientshapeok="t" o:connecttype="rect"/>
        </v:shapetype>
        <v:shape id="_x0000_s2051" type="#_x0000_t202" style="position:absolute;margin-left:526.8pt;margin-top:801.9pt;width:12pt;height:15.3pt;z-index:-251873280;mso-position-horizontal-relative:page;mso-position-vertical-relative:page" filled="f" stroked="f">
          <v:textbox inset="0,0,0,0">
            <w:txbxContent>
              <w:p w14:paraId="564B0584" w14:textId="77777777" w:rsidR="00E00F10" w:rsidRDefault="00547224">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r>
      <w:pict w14:anchorId="3AF9F510">
        <v:shape id="_x0000_s2050" type="#_x0000_t202" style="position:absolute;margin-left:236.3pt;margin-top:815.55pt;width:116.75pt;height:13.2pt;z-index:-251872256;mso-position-horizontal-relative:page;mso-position-vertical-relative:page" filled="f" stroked="f">
          <v:textbox inset="0,0,0,0">
            <w:txbxContent>
              <w:p w14:paraId="2BD72F2E" w14:textId="4577860C" w:rsidR="00E00F10" w:rsidRDefault="00547224">
                <w:pPr>
                  <w:spacing w:before="13"/>
                  <w:ind w:left="20"/>
                  <w:rPr>
                    <w:rFonts w:ascii="Arial"/>
                    <w:b/>
                    <w:sz w:val="20"/>
                  </w:rPr>
                </w:pPr>
                <w:r>
                  <w:rPr>
                    <w:rFonts w:ascii="Arial"/>
                    <w:b/>
                    <w:sz w:val="20"/>
                  </w:rPr>
                  <w:t xml:space="preserve">I N </w:t>
                </w:r>
                <w:r w:rsidR="001F4EAE">
                  <w:rPr>
                    <w:rFonts w:ascii="Arial"/>
                    <w:b/>
                    <w:sz w:val="20"/>
                  </w:rPr>
                  <w:t xml:space="preserve"> </w:t>
                </w:r>
                <w:r>
                  <w:rPr>
                    <w:rFonts w:ascii="Arial"/>
                    <w:b/>
                    <w:sz w:val="20"/>
                  </w:rPr>
                  <w:t>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CA9E" w14:textId="77777777" w:rsidR="00000000" w:rsidRDefault="00547224">
      <w:r>
        <w:separator/>
      </w:r>
    </w:p>
  </w:footnote>
  <w:footnote w:type="continuationSeparator" w:id="0">
    <w:p w14:paraId="2E62015F" w14:textId="77777777" w:rsidR="00000000" w:rsidRDefault="0054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F460" w14:textId="77777777" w:rsidR="00E00F10" w:rsidRDefault="00547224">
    <w:pPr>
      <w:pStyle w:val="BodyText"/>
      <w:spacing w:line="14" w:lineRule="auto"/>
      <w:rPr>
        <w:sz w:val="20"/>
      </w:rPr>
    </w:pPr>
    <w:r>
      <w:pict w14:anchorId="4B11BBE8">
        <v:shapetype id="_x0000_t202" coordsize="21600,21600" o:spt="202" path="m,l,21600r21600,l21600,xe">
          <v:stroke joinstyle="miter"/>
          <v:path gradientshapeok="t" o:connecttype="rect"/>
        </v:shapetype>
        <v:shape id="_x0000_s2053" type="#_x0000_t202" style="position:absolute;margin-left:236.3pt;margin-top:19.25pt;width:116.75pt;height:13.2pt;z-index:-251875328;mso-position-horizontal-relative:page;mso-position-vertical-relative:page" filled="f" stroked="f">
          <v:textbox inset="0,0,0,0">
            <w:txbxContent>
              <w:p w14:paraId="54436E53" w14:textId="7BC4BC44" w:rsidR="00E00F10" w:rsidRDefault="00547224">
                <w:pPr>
                  <w:spacing w:before="13"/>
                  <w:ind w:left="20"/>
                  <w:rPr>
                    <w:rFonts w:ascii="Arial"/>
                    <w:b/>
                    <w:sz w:val="20"/>
                  </w:rPr>
                </w:pPr>
                <w:r>
                  <w:rPr>
                    <w:rFonts w:ascii="Arial"/>
                    <w:b/>
                    <w:sz w:val="20"/>
                  </w:rPr>
                  <w:t>I N</w:t>
                </w:r>
                <w:r w:rsidR="001F4EAE">
                  <w:rPr>
                    <w:rFonts w:ascii="Arial"/>
                    <w:b/>
                    <w:sz w:val="20"/>
                  </w:rPr>
                  <w:t xml:space="preserve"> </w:t>
                </w:r>
                <w:r>
                  <w:rPr>
                    <w:rFonts w:ascii="Arial"/>
                    <w:b/>
                    <w:sz w:val="20"/>
                  </w:rPr>
                  <w:t xml:space="preserve"> C O N F I D E N C E</w:t>
                </w:r>
              </w:p>
            </w:txbxContent>
          </v:textbox>
          <w10:wrap anchorx="page" anchory="page"/>
        </v:shape>
      </w:pict>
    </w:r>
    <w:r>
      <w:pict w14:anchorId="02628FF9">
        <v:shape id="_x0000_s2052" type="#_x0000_t202" style="position:absolute;margin-left:452.7pt;margin-top:30.75pt;width:84.2pt;height:13.2pt;z-index:-251874304;mso-position-horizontal-relative:page;mso-position-vertical-relative:page" filled="f" stroked="f">
          <v:textbox inset="0,0,0,0">
            <w:txbxContent>
              <w:p w14:paraId="38CFB464" w14:textId="77777777" w:rsidR="00E00F10" w:rsidRDefault="00547224">
                <w:pPr>
                  <w:spacing w:before="13"/>
                  <w:ind w:left="20"/>
                  <w:rPr>
                    <w:rFonts w:ascii="Arial"/>
                    <w:b/>
                    <w:sz w:val="20"/>
                  </w:rPr>
                </w:pPr>
                <w:r>
                  <w:rPr>
                    <w:rFonts w:ascii="Arial"/>
                    <w:b/>
                    <w:sz w:val="20"/>
                  </w:rPr>
                  <w:t>LEG-19-MIN-0180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319"/>
    <w:multiLevelType w:val="hybridMultilevel"/>
    <w:tmpl w:val="FCB0B5DE"/>
    <w:lvl w:ilvl="0" w:tplc="B6323ECE">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tplc="CC8A42E8">
      <w:numFmt w:val="bullet"/>
      <w:lvlText w:val="•"/>
      <w:lvlJc w:val="left"/>
      <w:pPr>
        <w:ind w:left="1744" w:hanging="720"/>
      </w:pPr>
      <w:rPr>
        <w:rFonts w:hint="default"/>
        <w:lang w:val="en-NZ" w:eastAsia="en-NZ" w:bidi="en-NZ"/>
      </w:rPr>
    </w:lvl>
    <w:lvl w:ilvl="2" w:tplc="1C2E6938">
      <w:numFmt w:val="bullet"/>
      <w:lvlText w:val="•"/>
      <w:lvlJc w:val="left"/>
      <w:pPr>
        <w:ind w:left="2648" w:hanging="720"/>
      </w:pPr>
      <w:rPr>
        <w:rFonts w:hint="default"/>
        <w:lang w:val="en-NZ" w:eastAsia="en-NZ" w:bidi="en-NZ"/>
      </w:rPr>
    </w:lvl>
    <w:lvl w:ilvl="3" w:tplc="15442FFE">
      <w:numFmt w:val="bullet"/>
      <w:lvlText w:val="•"/>
      <w:lvlJc w:val="left"/>
      <w:pPr>
        <w:ind w:left="3552" w:hanging="720"/>
      </w:pPr>
      <w:rPr>
        <w:rFonts w:hint="default"/>
        <w:lang w:val="en-NZ" w:eastAsia="en-NZ" w:bidi="en-NZ"/>
      </w:rPr>
    </w:lvl>
    <w:lvl w:ilvl="4" w:tplc="9E6E8492">
      <w:numFmt w:val="bullet"/>
      <w:lvlText w:val="•"/>
      <w:lvlJc w:val="left"/>
      <w:pPr>
        <w:ind w:left="4456" w:hanging="720"/>
      </w:pPr>
      <w:rPr>
        <w:rFonts w:hint="default"/>
        <w:lang w:val="en-NZ" w:eastAsia="en-NZ" w:bidi="en-NZ"/>
      </w:rPr>
    </w:lvl>
    <w:lvl w:ilvl="5" w:tplc="5F7800CA">
      <w:numFmt w:val="bullet"/>
      <w:lvlText w:val="•"/>
      <w:lvlJc w:val="left"/>
      <w:pPr>
        <w:ind w:left="5360" w:hanging="720"/>
      </w:pPr>
      <w:rPr>
        <w:rFonts w:hint="default"/>
        <w:lang w:val="en-NZ" w:eastAsia="en-NZ" w:bidi="en-NZ"/>
      </w:rPr>
    </w:lvl>
    <w:lvl w:ilvl="6" w:tplc="8F3EDB1A">
      <w:numFmt w:val="bullet"/>
      <w:lvlText w:val="•"/>
      <w:lvlJc w:val="left"/>
      <w:pPr>
        <w:ind w:left="6264" w:hanging="720"/>
      </w:pPr>
      <w:rPr>
        <w:rFonts w:hint="default"/>
        <w:lang w:val="en-NZ" w:eastAsia="en-NZ" w:bidi="en-NZ"/>
      </w:rPr>
    </w:lvl>
    <w:lvl w:ilvl="7" w:tplc="30408866">
      <w:numFmt w:val="bullet"/>
      <w:lvlText w:val="•"/>
      <w:lvlJc w:val="left"/>
      <w:pPr>
        <w:ind w:left="7168" w:hanging="720"/>
      </w:pPr>
      <w:rPr>
        <w:rFonts w:hint="default"/>
        <w:lang w:val="en-NZ" w:eastAsia="en-NZ" w:bidi="en-NZ"/>
      </w:rPr>
    </w:lvl>
    <w:lvl w:ilvl="8" w:tplc="598A7CA4">
      <w:numFmt w:val="bullet"/>
      <w:lvlText w:val="•"/>
      <w:lvlJc w:val="left"/>
      <w:pPr>
        <w:ind w:left="8072"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00F10"/>
    <w:rsid w:val="001F4EAE"/>
    <w:rsid w:val="00547224"/>
    <w:rsid w:val="00E00F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4C4B5BF"/>
  <w15:docId w15:val="{4B37B832-8770-40EE-A3D0-EBCD9632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5" w:hanging="720"/>
    </w:pPr>
  </w:style>
  <w:style w:type="paragraph" w:customStyle="1" w:styleId="TableParagraph">
    <w:name w:val="Table Paragraph"/>
    <w:basedOn w:val="Normal"/>
    <w:uiPriority w:val="1"/>
    <w:qFormat/>
    <w:pPr>
      <w:ind w:left="1"/>
    </w:pPr>
  </w:style>
  <w:style w:type="paragraph" w:styleId="Header">
    <w:name w:val="header"/>
    <w:basedOn w:val="Normal"/>
    <w:link w:val="HeaderChar"/>
    <w:uiPriority w:val="99"/>
    <w:unhideWhenUsed/>
    <w:rsid w:val="001F4EAE"/>
    <w:pPr>
      <w:tabs>
        <w:tab w:val="center" w:pos="4513"/>
        <w:tab w:val="right" w:pos="9026"/>
      </w:tabs>
    </w:pPr>
  </w:style>
  <w:style w:type="character" w:customStyle="1" w:styleId="HeaderChar">
    <w:name w:val="Header Char"/>
    <w:basedOn w:val="DefaultParagraphFont"/>
    <w:link w:val="Header"/>
    <w:uiPriority w:val="99"/>
    <w:rsid w:val="001F4EAE"/>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1F4EAE"/>
    <w:pPr>
      <w:tabs>
        <w:tab w:val="center" w:pos="4513"/>
        <w:tab w:val="right" w:pos="9026"/>
      </w:tabs>
    </w:pPr>
  </w:style>
  <w:style w:type="character" w:customStyle="1" w:styleId="FooterChar">
    <w:name w:val="Footer Char"/>
    <w:basedOn w:val="DefaultParagraphFont"/>
    <w:link w:val="Footer"/>
    <w:uiPriority w:val="99"/>
    <w:rsid w:val="001F4EAE"/>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3" ma:contentTypeDescription="Create a new document." ma:contentTypeScope="" ma:versionID="76f635da9bf806069a1d54b1db18a736">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5592dd94c59942fbf4907850876e8013"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FA513C0C-E4AF-49EA-84C7-EF77F0BD85FC}"/>
</file>

<file path=customXml/itemProps2.xml><?xml version="1.0" encoding="utf-8"?>
<ds:datastoreItem xmlns:ds="http://schemas.openxmlformats.org/officeDocument/2006/customXml" ds:itemID="{5AE9DD48-71C7-4933-BA80-D9FAE04126F5}"/>
</file>

<file path=customXml/itemProps3.xml><?xml version="1.0" encoding="utf-8"?>
<ds:datastoreItem xmlns:ds="http://schemas.openxmlformats.org/officeDocument/2006/customXml" ds:itemID="{FCF6EC5B-3B86-4F92-A89A-1C44479DF51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LEG-19-MIN-0180 – Minute: Income Tax (Fringe Benefit Tax, Interest on Loans) Amendment Regulations 2019 (19 November 2019)</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LEG-19-MIN-0180 – Minute: Income Tax (Fringe Benefit Tax, Interest on Loans) Amendment Regulations 2019 (19 November 2019)</dc:title>
  <dcterms:created xsi:type="dcterms:W3CDTF">2019-12-22T01:43:00Z</dcterms:created>
  <dcterms:modified xsi:type="dcterms:W3CDTF">2019-12-22T01:44:00Z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