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107" w:rsidRDefault="008A1A6A">
      <w:pPr>
        <w:spacing w:before="51"/>
        <w:ind w:left="2022" w:right="3779"/>
        <w:rPr>
          <w:rFonts w:ascii="Arial"/>
          <w:b/>
          <w:sz w:val="44"/>
        </w:rPr>
      </w:pPr>
      <w:r>
        <w:rPr>
          <w:noProof/>
        </w:rPr>
        <w:drawing>
          <wp:anchor distT="0" distB="0" distL="0" distR="0" simplePos="0" relativeHeight="1072" behindDoc="0" locked="0" layoutInCell="1" allowOverlap="1">
            <wp:simplePos x="0" y="0"/>
            <wp:positionH relativeFrom="page">
              <wp:posOffset>750569</wp:posOffset>
            </wp:positionH>
            <wp:positionV relativeFrom="paragraph">
              <wp:posOffset>32839</wp:posOffset>
            </wp:positionV>
            <wp:extent cx="976630" cy="9588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6630" cy="958850"/>
                    </a:xfrm>
                    <a:prstGeom prst="rect">
                      <a:avLst/>
                    </a:prstGeom>
                  </pic:spPr>
                </pic:pic>
              </a:graphicData>
            </a:graphic>
          </wp:anchor>
        </w:drawing>
      </w:r>
      <w:r>
        <w:rPr>
          <w:rFonts w:ascii="Arial"/>
          <w:b/>
          <w:sz w:val="44"/>
        </w:rPr>
        <w:t>Cabinet Legislation Committee</w:t>
      </w:r>
    </w:p>
    <w:p w:rsidR="00097107" w:rsidRDefault="00EA402E">
      <w:pPr>
        <w:spacing w:before="322"/>
        <w:ind w:left="2022"/>
        <w:rPr>
          <w:rFonts w:ascii="Arial"/>
          <w:b/>
          <w:sz w:val="32"/>
        </w:rPr>
      </w:pPr>
      <w:r>
        <w:rPr>
          <w:noProof/>
        </w:rPr>
        <mc:AlternateContent>
          <mc:Choice Requires="wps">
            <w:drawing>
              <wp:anchor distT="0" distB="0" distL="114300" distR="114300" simplePos="0" relativeHeight="1024" behindDoc="0" locked="0" layoutInCell="1" allowOverlap="1">
                <wp:simplePos x="0" y="0"/>
                <wp:positionH relativeFrom="page">
                  <wp:posOffset>651510</wp:posOffset>
                </wp:positionH>
                <wp:positionV relativeFrom="paragraph">
                  <wp:posOffset>543560</wp:posOffset>
                </wp:positionV>
                <wp:extent cx="6258560" cy="0"/>
                <wp:effectExtent l="13335" t="8890" r="5080" b="1016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6D960" id="Line 5"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3pt,42.8pt" to="544.1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cEgIAACk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" strokeweight=".6pt">
                <w10:wrap anchorx="page"/>
              </v:line>
            </w:pict>
          </mc:Fallback>
        </mc:AlternateContent>
      </w:r>
      <w:r w:rsidR="008A1A6A">
        <w:rPr>
          <w:rFonts w:ascii="Arial"/>
          <w:b/>
          <w:sz w:val="32"/>
        </w:rPr>
        <w:t>Minute of Decision</w:t>
      </w:r>
    </w:p>
    <w:p w:rsidR="00097107" w:rsidRDefault="00097107">
      <w:pPr>
        <w:pStyle w:val="BodyText"/>
        <w:spacing w:before="11"/>
        <w:rPr>
          <w:rFonts w:ascii="Arial"/>
          <w:b/>
          <w:sz w:val="11"/>
        </w:rPr>
      </w:pPr>
    </w:p>
    <w:p w:rsidR="00097107" w:rsidRDefault="00EA402E">
      <w:pPr>
        <w:spacing w:before="93"/>
        <w:ind w:left="115" w:right="23"/>
        <w:rPr>
          <w:rFonts w:ascii="Arial"/>
          <w:i/>
          <w:sz w:val="20"/>
        </w:rPr>
      </w:pPr>
      <w:r>
        <w:rPr>
          <w:noProof/>
        </w:rPr>
        <mc:AlternateContent>
          <mc:Choice Requires="wps">
            <w:drawing>
              <wp:anchor distT="0" distB="0" distL="114300" distR="114300" simplePos="0" relativeHeight="1048" behindDoc="0" locked="0" layoutInCell="1" allowOverlap="1">
                <wp:simplePos x="0" y="0"/>
                <wp:positionH relativeFrom="page">
                  <wp:posOffset>651510</wp:posOffset>
                </wp:positionH>
                <wp:positionV relativeFrom="paragraph">
                  <wp:posOffset>539115</wp:posOffset>
                </wp:positionV>
                <wp:extent cx="6258560" cy="0"/>
                <wp:effectExtent l="13335" t="5715" r="5080" b="1333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DCF77" id="Line 4"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3pt,42.45pt" to="544.1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i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" strokeweight=".6pt">
                <w10:wrap anchorx="page"/>
              </v:line>
            </w:pict>
          </mc:Fallback>
        </mc:AlternateContent>
      </w:r>
      <w:r w:rsidR="008A1A6A">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rsidR="00097107" w:rsidRDefault="00097107">
      <w:pPr>
        <w:pStyle w:val="BodyText"/>
        <w:rPr>
          <w:rFonts w:ascii="Arial"/>
          <w:i/>
          <w:sz w:val="22"/>
        </w:rPr>
      </w:pPr>
    </w:p>
    <w:p w:rsidR="00097107" w:rsidRDefault="00097107">
      <w:pPr>
        <w:pStyle w:val="BodyText"/>
        <w:spacing w:before="11"/>
        <w:rPr>
          <w:rFonts w:ascii="Arial"/>
          <w:i/>
          <w:sz w:val="25"/>
        </w:rPr>
      </w:pPr>
    </w:p>
    <w:p w:rsidR="00097107" w:rsidRDefault="008A1A6A">
      <w:pPr>
        <w:ind w:left="115"/>
        <w:rPr>
          <w:rFonts w:ascii="Arial"/>
          <w:b/>
          <w:sz w:val="28"/>
        </w:rPr>
      </w:pPr>
      <w:r>
        <w:rPr>
          <w:rFonts w:ascii="Arial"/>
          <w:b/>
          <w:sz w:val="28"/>
        </w:rPr>
        <w:t>Taxation (Use of Money Interest Rates) Amendment Regulations 2019</w:t>
      </w:r>
    </w:p>
    <w:p w:rsidR="00097107" w:rsidRDefault="00097107">
      <w:pPr>
        <w:pStyle w:val="BodyText"/>
        <w:spacing w:before="2"/>
        <w:rPr>
          <w:rFonts w:ascii="Arial"/>
          <w:b/>
          <w:sz w:val="31"/>
        </w:rPr>
      </w:pPr>
    </w:p>
    <w:p w:rsidR="00097107" w:rsidRDefault="008A1A6A">
      <w:pPr>
        <w:tabs>
          <w:tab w:val="left" w:pos="2023"/>
        </w:tabs>
        <w:spacing w:before="1"/>
        <w:ind w:left="115"/>
        <w:rPr>
          <w:rFonts w:ascii="Arial"/>
          <w:b/>
          <w:sz w:val="20"/>
        </w:rPr>
      </w:pPr>
      <w:r>
        <w:rPr>
          <w:rFonts w:ascii="Arial"/>
          <w:b/>
          <w:sz w:val="20"/>
        </w:rPr>
        <w:t>Portfolio</w:t>
      </w:r>
      <w:r>
        <w:rPr>
          <w:rFonts w:ascii="Arial"/>
          <w:b/>
          <w:sz w:val="20"/>
        </w:rPr>
        <w:tab/>
        <w:t>Revenue</w:t>
      </w:r>
    </w:p>
    <w:p w:rsidR="00097107" w:rsidRDefault="00097107">
      <w:pPr>
        <w:pStyle w:val="BodyText"/>
        <w:rPr>
          <w:rFonts w:ascii="Arial"/>
          <w:b/>
          <w:sz w:val="22"/>
        </w:rPr>
      </w:pPr>
    </w:p>
    <w:p w:rsidR="00097107" w:rsidRDefault="00097107">
      <w:pPr>
        <w:pStyle w:val="BodyText"/>
        <w:spacing w:before="9"/>
        <w:rPr>
          <w:rFonts w:ascii="Arial"/>
          <w:b/>
          <w:sz w:val="22"/>
        </w:rPr>
      </w:pPr>
    </w:p>
    <w:p w:rsidR="00097107" w:rsidRDefault="008A1A6A">
      <w:pPr>
        <w:pStyle w:val="BodyText"/>
        <w:ind w:left="115"/>
      </w:pPr>
      <w:r>
        <w:t>On 25 June 2019, the Cabinet Legislation Committee:</w:t>
      </w:r>
    </w:p>
    <w:p w:rsidR="00097107" w:rsidRDefault="00097107">
      <w:pPr>
        <w:pStyle w:val="BodyText"/>
        <w:rPr>
          <w:sz w:val="26"/>
        </w:rPr>
      </w:pPr>
    </w:p>
    <w:p w:rsidR="00097107" w:rsidRDefault="008A1A6A">
      <w:pPr>
        <w:pStyle w:val="ListParagraph"/>
        <w:numPr>
          <w:ilvl w:val="0"/>
          <w:numId w:val="1"/>
        </w:numPr>
        <w:tabs>
          <w:tab w:val="left" w:pos="835"/>
          <w:tab w:val="left" w:pos="836"/>
        </w:tabs>
        <w:spacing w:before="217"/>
        <w:rPr>
          <w:sz w:val="24"/>
        </w:rPr>
      </w:pPr>
      <w:r>
        <w:rPr>
          <w:b/>
          <w:sz w:val="24"/>
        </w:rPr>
        <w:t xml:space="preserve">agreed </w:t>
      </w:r>
      <w:r>
        <w:rPr>
          <w:sz w:val="24"/>
        </w:rPr>
        <w:t>that the use-of-money interest underpayment rate be changed to 8.35 percent</w:t>
      </w:r>
      <w:r>
        <w:rPr>
          <w:spacing w:val="-12"/>
          <w:sz w:val="24"/>
        </w:rPr>
        <w:t xml:space="preserve"> </w:t>
      </w:r>
      <w:r>
        <w:rPr>
          <w:sz w:val="24"/>
        </w:rPr>
        <w:t>from</w:t>
      </w:r>
    </w:p>
    <w:p w:rsidR="00097107" w:rsidRDefault="008A1A6A">
      <w:pPr>
        <w:pStyle w:val="BodyText"/>
        <w:ind w:left="836"/>
      </w:pPr>
      <w:r>
        <w:t>8.22 percent;</w:t>
      </w:r>
    </w:p>
    <w:p w:rsidR="00097107" w:rsidRDefault="00097107">
      <w:pPr>
        <w:pStyle w:val="BodyText"/>
        <w:spacing w:before="10"/>
        <w:rPr>
          <w:sz w:val="20"/>
        </w:rPr>
      </w:pPr>
    </w:p>
    <w:p w:rsidR="00097107" w:rsidRDefault="008A1A6A">
      <w:pPr>
        <w:pStyle w:val="ListParagraph"/>
        <w:numPr>
          <w:ilvl w:val="0"/>
          <w:numId w:val="1"/>
        </w:numPr>
        <w:tabs>
          <w:tab w:val="left" w:pos="835"/>
          <w:tab w:val="left" w:pos="836"/>
        </w:tabs>
        <w:rPr>
          <w:sz w:val="24"/>
        </w:rPr>
      </w:pPr>
      <w:r>
        <w:rPr>
          <w:b/>
          <w:sz w:val="24"/>
        </w:rPr>
        <w:t xml:space="preserve">agreed </w:t>
      </w:r>
      <w:r>
        <w:rPr>
          <w:sz w:val="24"/>
        </w:rPr>
        <w:t>that the use-of-money interest overpayment rate be changed to 0.81 percent</w:t>
      </w:r>
      <w:r>
        <w:rPr>
          <w:spacing w:val="-10"/>
          <w:sz w:val="24"/>
        </w:rPr>
        <w:t xml:space="preserve"> </w:t>
      </w:r>
      <w:r>
        <w:rPr>
          <w:sz w:val="24"/>
        </w:rPr>
        <w:t>from</w:t>
      </w:r>
    </w:p>
    <w:p w:rsidR="00097107" w:rsidRDefault="008A1A6A">
      <w:pPr>
        <w:pStyle w:val="BodyText"/>
        <w:ind w:left="836"/>
      </w:pPr>
      <w:r>
        <w:t>1.02 percent;</w:t>
      </w:r>
    </w:p>
    <w:p w:rsidR="00097107" w:rsidRDefault="00097107">
      <w:pPr>
        <w:pStyle w:val="BodyText"/>
        <w:spacing w:before="10"/>
        <w:rPr>
          <w:sz w:val="20"/>
        </w:rPr>
      </w:pPr>
    </w:p>
    <w:p w:rsidR="00097107" w:rsidRDefault="008A1A6A">
      <w:pPr>
        <w:pStyle w:val="ListParagraph"/>
        <w:numPr>
          <w:ilvl w:val="0"/>
          <w:numId w:val="1"/>
        </w:numPr>
        <w:tabs>
          <w:tab w:val="left" w:pos="835"/>
          <w:tab w:val="left" w:pos="836"/>
        </w:tabs>
        <w:ind w:right="232"/>
        <w:rPr>
          <w:sz w:val="24"/>
        </w:rPr>
      </w:pPr>
      <w:r>
        <w:rPr>
          <w:b/>
          <w:sz w:val="24"/>
        </w:rPr>
        <w:t xml:space="preserve">agreed </w:t>
      </w:r>
      <w:r>
        <w:rPr>
          <w:sz w:val="24"/>
        </w:rPr>
        <w:t>that the Taxation (Use of Money Interest Rates) Amendment Regulations 2019</w:t>
      </w:r>
      <w:r>
        <w:rPr>
          <w:spacing w:val="-25"/>
          <w:sz w:val="24"/>
        </w:rPr>
        <w:t xml:space="preserve"> </w:t>
      </w:r>
      <w:r>
        <w:rPr>
          <w:sz w:val="24"/>
        </w:rPr>
        <w:t>give effect to the new rates referred to in paragraphs 1 and 2</w:t>
      </w:r>
      <w:r>
        <w:rPr>
          <w:spacing w:val="-2"/>
          <w:sz w:val="24"/>
        </w:rPr>
        <w:t xml:space="preserve"> </w:t>
      </w:r>
      <w:r>
        <w:rPr>
          <w:sz w:val="24"/>
        </w:rPr>
        <w:t>above;</w:t>
      </w:r>
    </w:p>
    <w:p w:rsidR="00097107" w:rsidRDefault="00097107">
      <w:pPr>
        <w:pStyle w:val="BodyText"/>
        <w:spacing w:before="10"/>
        <w:rPr>
          <w:sz w:val="20"/>
        </w:rPr>
      </w:pPr>
    </w:p>
    <w:p w:rsidR="00097107" w:rsidRDefault="008A1A6A">
      <w:pPr>
        <w:pStyle w:val="ListParagraph"/>
        <w:numPr>
          <w:ilvl w:val="0"/>
          <w:numId w:val="1"/>
        </w:numPr>
        <w:tabs>
          <w:tab w:val="left" w:pos="835"/>
          <w:tab w:val="left" w:pos="836"/>
        </w:tabs>
        <w:ind w:right="126"/>
        <w:rPr>
          <w:sz w:val="24"/>
        </w:rPr>
      </w:pPr>
      <w:r>
        <w:rPr>
          <w:b/>
          <w:sz w:val="24"/>
        </w:rPr>
        <w:t xml:space="preserve">agreed </w:t>
      </w:r>
      <w:r>
        <w:rPr>
          <w:sz w:val="24"/>
        </w:rPr>
        <w:t>that the Taxation (Use of Money Interest Rates) Amendment Regulations 2019</w:t>
      </w:r>
      <w:r>
        <w:rPr>
          <w:spacing w:val="-26"/>
          <w:sz w:val="24"/>
        </w:rPr>
        <w:t xml:space="preserve"> </w:t>
      </w:r>
      <w:r>
        <w:rPr>
          <w:sz w:val="24"/>
        </w:rPr>
        <w:t>come into force on 29 August</w:t>
      </w:r>
      <w:r>
        <w:rPr>
          <w:spacing w:val="-2"/>
          <w:sz w:val="24"/>
        </w:rPr>
        <w:t xml:space="preserve"> </w:t>
      </w:r>
      <w:r>
        <w:rPr>
          <w:sz w:val="24"/>
        </w:rPr>
        <w:t>2019</w:t>
      </w:r>
      <w:r w:rsidR="001C47FC">
        <w:rPr>
          <w:sz w:val="24"/>
        </w:rPr>
        <w:t>;</w:t>
      </w:r>
      <w:bookmarkStart w:id="0" w:name="_GoBack"/>
      <w:bookmarkEnd w:id="0"/>
    </w:p>
    <w:p w:rsidR="00097107" w:rsidRDefault="00097107">
      <w:pPr>
        <w:pStyle w:val="BodyText"/>
        <w:spacing w:before="10"/>
        <w:rPr>
          <w:sz w:val="20"/>
        </w:rPr>
      </w:pPr>
    </w:p>
    <w:p w:rsidR="00097107" w:rsidRDefault="008A1A6A">
      <w:pPr>
        <w:pStyle w:val="ListParagraph"/>
        <w:numPr>
          <w:ilvl w:val="0"/>
          <w:numId w:val="1"/>
        </w:numPr>
        <w:tabs>
          <w:tab w:val="left" w:pos="835"/>
          <w:tab w:val="left" w:pos="836"/>
        </w:tabs>
        <w:ind w:right="323"/>
        <w:rPr>
          <w:sz w:val="24"/>
        </w:rPr>
      </w:pPr>
      <w:r>
        <w:rPr>
          <w:b/>
          <w:sz w:val="24"/>
        </w:rPr>
        <w:t xml:space="preserve">noted </w:t>
      </w:r>
      <w:r>
        <w:rPr>
          <w:sz w:val="24"/>
        </w:rPr>
        <w:t>the following changes as a result of the decision in paragraphs 1 and 2 above, with a corresponding impact on the operating balance:</w:t>
      </w:r>
    </w:p>
    <w:p w:rsidR="00097107" w:rsidRDefault="00097107">
      <w:pPr>
        <w:pStyle w:val="BodyText"/>
        <w:spacing w:before="10" w:after="1"/>
        <w:rPr>
          <w:sz w:val="20"/>
        </w:rPr>
      </w:pPr>
    </w:p>
    <w:tbl>
      <w:tblPr>
        <w:tblW w:w="0" w:type="auto"/>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04"/>
        <w:gridCol w:w="1254"/>
        <w:gridCol w:w="1472"/>
        <w:gridCol w:w="1354"/>
        <w:gridCol w:w="1660"/>
        <w:gridCol w:w="1546"/>
      </w:tblGrid>
      <w:tr w:rsidR="00097107">
        <w:trPr>
          <w:trHeight w:val="499"/>
        </w:trPr>
        <w:tc>
          <w:tcPr>
            <w:tcW w:w="1904" w:type="dxa"/>
            <w:tcBorders>
              <w:top w:val="nil"/>
              <w:left w:val="nil"/>
              <w:right w:val="single" w:sz="4" w:space="0" w:color="000000"/>
            </w:tcBorders>
          </w:tcPr>
          <w:p w:rsidR="00097107" w:rsidRDefault="00097107">
            <w:pPr>
              <w:pStyle w:val="TableParagraph"/>
              <w:rPr>
                <w:rFonts w:ascii="Times New Roman"/>
              </w:rPr>
            </w:pPr>
          </w:p>
        </w:tc>
        <w:tc>
          <w:tcPr>
            <w:tcW w:w="7286" w:type="dxa"/>
            <w:gridSpan w:val="5"/>
            <w:tcBorders>
              <w:left w:val="single" w:sz="4" w:space="0" w:color="000000"/>
              <w:right w:val="single" w:sz="4" w:space="0" w:color="000000"/>
            </w:tcBorders>
          </w:tcPr>
          <w:p w:rsidR="00097107" w:rsidRDefault="008A1A6A">
            <w:pPr>
              <w:pStyle w:val="TableParagraph"/>
              <w:spacing w:line="227" w:lineRule="exact"/>
              <w:ind w:left="2167"/>
              <w:rPr>
                <w:b/>
                <w:sz w:val="20"/>
              </w:rPr>
            </w:pPr>
            <w:r>
              <w:rPr>
                <w:b/>
                <w:sz w:val="20"/>
              </w:rPr>
              <w:t>$ millions increase / (decrease)</w:t>
            </w:r>
          </w:p>
        </w:tc>
      </w:tr>
      <w:tr w:rsidR="00097107">
        <w:trPr>
          <w:trHeight w:val="685"/>
        </w:trPr>
        <w:tc>
          <w:tcPr>
            <w:tcW w:w="1904" w:type="dxa"/>
            <w:tcBorders>
              <w:left w:val="single" w:sz="4" w:space="0" w:color="000000"/>
              <w:right w:val="single" w:sz="4" w:space="0" w:color="000000"/>
            </w:tcBorders>
          </w:tcPr>
          <w:p w:rsidR="00097107" w:rsidRDefault="008A1A6A">
            <w:pPr>
              <w:pStyle w:val="TableParagraph"/>
              <w:spacing w:line="230" w:lineRule="exact"/>
              <w:ind w:left="109" w:right="442"/>
              <w:rPr>
                <w:b/>
                <w:sz w:val="20"/>
              </w:rPr>
            </w:pPr>
            <w:r>
              <w:rPr>
                <w:b/>
                <w:sz w:val="20"/>
              </w:rPr>
              <w:t>Vote Revenue Minister of Revenue</w:t>
            </w:r>
          </w:p>
        </w:tc>
        <w:tc>
          <w:tcPr>
            <w:tcW w:w="1254" w:type="dxa"/>
            <w:tcBorders>
              <w:left w:val="single" w:sz="4" w:space="0" w:color="000000"/>
              <w:right w:val="single" w:sz="4" w:space="0" w:color="000000"/>
            </w:tcBorders>
          </w:tcPr>
          <w:p w:rsidR="00097107" w:rsidRDefault="008A1A6A">
            <w:pPr>
              <w:pStyle w:val="TableParagraph"/>
              <w:spacing w:line="227" w:lineRule="exact"/>
              <w:ind w:left="266"/>
              <w:rPr>
                <w:b/>
                <w:sz w:val="20"/>
              </w:rPr>
            </w:pPr>
            <w:r>
              <w:rPr>
                <w:b/>
                <w:sz w:val="20"/>
              </w:rPr>
              <w:t>2018/19</w:t>
            </w:r>
          </w:p>
        </w:tc>
        <w:tc>
          <w:tcPr>
            <w:tcW w:w="1472" w:type="dxa"/>
            <w:tcBorders>
              <w:left w:val="single" w:sz="4" w:space="0" w:color="000000"/>
              <w:right w:val="single" w:sz="4" w:space="0" w:color="000000"/>
            </w:tcBorders>
          </w:tcPr>
          <w:p w:rsidR="00097107" w:rsidRDefault="008A1A6A">
            <w:pPr>
              <w:pStyle w:val="TableParagraph"/>
              <w:spacing w:line="227" w:lineRule="exact"/>
              <w:ind w:left="376"/>
              <w:rPr>
                <w:b/>
                <w:sz w:val="20"/>
              </w:rPr>
            </w:pPr>
            <w:r>
              <w:rPr>
                <w:b/>
                <w:sz w:val="20"/>
              </w:rPr>
              <w:t>2019/20</w:t>
            </w:r>
          </w:p>
        </w:tc>
        <w:tc>
          <w:tcPr>
            <w:tcW w:w="1354" w:type="dxa"/>
            <w:tcBorders>
              <w:left w:val="single" w:sz="4" w:space="0" w:color="000000"/>
              <w:right w:val="single" w:sz="4" w:space="0" w:color="000000"/>
            </w:tcBorders>
          </w:tcPr>
          <w:p w:rsidR="00097107" w:rsidRDefault="008A1A6A">
            <w:pPr>
              <w:pStyle w:val="TableParagraph"/>
              <w:spacing w:line="227" w:lineRule="exact"/>
              <w:ind w:left="316"/>
              <w:rPr>
                <w:b/>
                <w:sz w:val="20"/>
              </w:rPr>
            </w:pPr>
            <w:r>
              <w:rPr>
                <w:b/>
                <w:sz w:val="20"/>
              </w:rPr>
              <w:t>2020/21</w:t>
            </w:r>
          </w:p>
        </w:tc>
        <w:tc>
          <w:tcPr>
            <w:tcW w:w="1660" w:type="dxa"/>
            <w:tcBorders>
              <w:left w:val="single" w:sz="4" w:space="0" w:color="000000"/>
              <w:right w:val="single" w:sz="4" w:space="0" w:color="000000"/>
            </w:tcBorders>
          </w:tcPr>
          <w:p w:rsidR="00097107" w:rsidRDefault="008A1A6A">
            <w:pPr>
              <w:pStyle w:val="TableParagraph"/>
              <w:spacing w:line="227" w:lineRule="exact"/>
              <w:ind w:left="470"/>
              <w:rPr>
                <w:b/>
                <w:sz w:val="20"/>
              </w:rPr>
            </w:pPr>
            <w:r>
              <w:rPr>
                <w:b/>
                <w:sz w:val="20"/>
              </w:rPr>
              <w:t>2021/22</w:t>
            </w:r>
          </w:p>
        </w:tc>
        <w:tc>
          <w:tcPr>
            <w:tcW w:w="1546" w:type="dxa"/>
            <w:tcBorders>
              <w:left w:val="single" w:sz="4" w:space="0" w:color="000000"/>
              <w:right w:val="single" w:sz="4" w:space="0" w:color="000000"/>
            </w:tcBorders>
          </w:tcPr>
          <w:p w:rsidR="00097107" w:rsidRDefault="008A1A6A">
            <w:pPr>
              <w:pStyle w:val="TableParagraph"/>
              <w:spacing w:line="227" w:lineRule="exact"/>
              <w:ind w:left="312"/>
              <w:rPr>
                <w:b/>
                <w:sz w:val="20"/>
              </w:rPr>
            </w:pPr>
            <w:r>
              <w:rPr>
                <w:b/>
                <w:sz w:val="20"/>
              </w:rPr>
              <w:t>2022/23</w:t>
            </w:r>
            <w:r>
              <w:rPr>
                <w:b/>
                <w:spacing w:val="-5"/>
                <w:sz w:val="20"/>
              </w:rPr>
              <w:t xml:space="preserve"> </w:t>
            </w:r>
            <w:r>
              <w:rPr>
                <w:b/>
                <w:sz w:val="20"/>
              </w:rPr>
              <w:t>&amp;</w:t>
            </w:r>
          </w:p>
          <w:p w:rsidR="00097107" w:rsidRDefault="008A1A6A">
            <w:pPr>
              <w:pStyle w:val="TableParagraph"/>
              <w:ind w:left="340"/>
              <w:rPr>
                <w:b/>
                <w:sz w:val="20"/>
              </w:rPr>
            </w:pPr>
            <w:r>
              <w:rPr>
                <w:b/>
                <w:sz w:val="20"/>
              </w:rPr>
              <w:t>Outyears</w:t>
            </w:r>
          </w:p>
        </w:tc>
      </w:tr>
      <w:tr w:rsidR="00097107">
        <w:trPr>
          <w:trHeight w:val="680"/>
        </w:trPr>
        <w:tc>
          <w:tcPr>
            <w:tcW w:w="1904" w:type="dxa"/>
            <w:tcBorders>
              <w:left w:val="single" w:sz="4" w:space="0" w:color="000000"/>
              <w:right w:val="single" w:sz="4" w:space="0" w:color="000000"/>
            </w:tcBorders>
          </w:tcPr>
          <w:p w:rsidR="00097107" w:rsidRDefault="008A1A6A">
            <w:pPr>
              <w:pStyle w:val="TableParagraph"/>
              <w:ind w:left="109" w:right="58"/>
              <w:rPr>
                <w:sz w:val="20"/>
              </w:rPr>
            </w:pPr>
            <w:r>
              <w:rPr>
                <w:sz w:val="20"/>
              </w:rPr>
              <w:t xml:space="preserve">Crown </w:t>
            </w:r>
            <w:r>
              <w:rPr>
                <w:spacing w:val="-3"/>
                <w:sz w:val="20"/>
              </w:rPr>
              <w:t xml:space="preserve">Revenue </w:t>
            </w:r>
            <w:r>
              <w:rPr>
                <w:sz w:val="20"/>
              </w:rPr>
              <w:t>and</w:t>
            </w:r>
            <w:r>
              <w:rPr>
                <w:spacing w:val="-2"/>
                <w:sz w:val="20"/>
              </w:rPr>
              <w:t xml:space="preserve"> </w:t>
            </w:r>
            <w:r>
              <w:rPr>
                <w:sz w:val="20"/>
              </w:rPr>
              <w:t>Receipts:</w:t>
            </w:r>
          </w:p>
          <w:p w:rsidR="00097107" w:rsidRDefault="008A1A6A">
            <w:pPr>
              <w:pStyle w:val="TableParagraph"/>
              <w:spacing w:line="208" w:lineRule="exact"/>
              <w:ind w:left="109"/>
              <w:rPr>
                <w:sz w:val="20"/>
              </w:rPr>
            </w:pPr>
            <w:r>
              <w:rPr>
                <w:sz w:val="20"/>
              </w:rPr>
              <w:t>Tax</w:t>
            </w:r>
            <w:r>
              <w:rPr>
                <w:spacing w:val="-6"/>
                <w:sz w:val="20"/>
              </w:rPr>
              <w:t xml:space="preserve"> </w:t>
            </w:r>
            <w:r>
              <w:rPr>
                <w:sz w:val="20"/>
              </w:rPr>
              <w:t>Revenue</w:t>
            </w:r>
          </w:p>
        </w:tc>
        <w:tc>
          <w:tcPr>
            <w:tcW w:w="1254" w:type="dxa"/>
            <w:tcBorders>
              <w:left w:val="single" w:sz="4" w:space="0" w:color="000000"/>
              <w:right w:val="single" w:sz="4" w:space="0" w:color="000000"/>
            </w:tcBorders>
          </w:tcPr>
          <w:p w:rsidR="00097107" w:rsidRDefault="008A1A6A">
            <w:pPr>
              <w:pStyle w:val="TableParagraph"/>
              <w:spacing w:line="222" w:lineRule="exact"/>
              <w:ind w:right="94"/>
              <w:jc w:val="right"/>
              <w:rPr>
                <w:sz w:val="20"/>
              </w:rPr>
            </w:pPr>
            <w:r>
              <w:rPr>
                <w:sz w:val="20"/>
              </w:rPr>
              <w:t>-</w:t>
            </w:r>
          </w:p>
        </w:tc>
        <w:tc>
          <w:tcPr>
            <w:tcW w:w="1472" w:type="dxa"/>
            <w:tcBorders>
              <w:left w:val="single" w:sz="4" w:space="0" w:color="000000"/>
              <w:right w:val="single" w:sz="4" w:space="0" w:color="000000"/>
            </w:tcBorders>
          </w:tcPr>
          <w:p w:rsidR="00097107" w:rsidRDefault="00097107">
            <w:pPr>
              <w:pStyle w:val="TableParagraph"/>
              <w:spacing w:before="3"/>
              <w:rPr>
                <w:rFonts w:ascii="Times New Roman"/>
                <w:sz w:val="19"/>
              </w:rPr>
            </w:pPr>
          </w:p>
          <w:p w:rsidR="00097107" w:rsidRDefault="008A1A6A">
            <w:pPr>
              <w:pStyle w:val="TableParagraph"/>
              <w:ind w:right="94"/>
              <w:jc w:val="right"/>
              <w:rPr>
                <w:sz w:val="20"/>
              </w:rPr>
            </w:pPr>
            <w:r>
              <w:rPr>
                <w:sz w:val="20"/>
              </w:rPr>
              <w:t>9.000</w:t>
            </w:r>
          </w:p>
        </w:tc>
        <w:tc>
          <w:tcPr>
            <w:tcW w:w="1354" w:type="dxa"/>
            <w:tcBorders>
              <w:left w:val="single" w:sz="4" w:space="0" w:color="000000"/>
              <w:right w:val="single" w:sz="4" w:space="0" w:color="000000"/>
            </w:tcBorders>
          </w:tcPr>
          <w:p w:rsidR="00097107" w:rsidRDefault="00097107">
            <w:pPr>
              <w:pStyle w:val="TableParagraph"/>
              <w:spacing w:before="3"/>
              <w:rPr>
                <w:rFonts w:ascii="Times New Roman"/>
                <w:sz w:val="19"/>
              </w:rPr>
            </w:pPr>
          </w:p>
          <w:p w:rsidR="00097107" w:rsidRDefault="008A1A6A">
            <w:pPr>
              <w:pStyle w:val="TableParagraph"/>
              <w:ind w:right="94"/>
              <w:jc w:val="right"/>
              <w:rPr>
                <w:sz w:val="20"/>
              </w:rPr>
            </w:pPr>
            <w:r>
              <w:rPr>
                <w:sz w:val="20"/>
              </w:rPr>
              <w:t>10.000</w:t>
            </w:r>
          </w:p>
        </w:tc>
        <w:tc>
          <w:tcPr>
            <w:tcW w:w="1660" w:type="dxa"/>
            <w:tcBorders>
              <w:left w:val="single" w:sz="4" w:space="0" w:color="000000"/>
              <w:right w:val="single" w:sz="4" w:space="0" w:color="000000"/>
            </w:tcBorders>
          </w:tcPr>
          <w:p w:rsidR="00097107" w:rsidRDefault="00097107">
            <w:pPr>
              <w:pStyle w:val="TableParagraph"/>
              <w:spacing w:before="3"/>
              <w:rPr>
                <w:rFonts w:ascii="Times New Roman"/>
                <w:sz w:val="19"/>
              </w:rPr>
            </w:pPr>
          </w:p>
          <w:p w:rsidR="00097107" w:rsidRDefault="008A1A6A">
            <w:pPr>
              <w:pStyle w:val="TableParagraph"/>
              <w:ind w:right="94"/>
              <w:jc w:val="right"/>
              <w:rPr>
                <w:sz w:val="20"/>
              </w:rPr>
            </w:pPr>
            <w:r>
              <w:rPr>
                <w:sz w:val="20"/>
              </w:rPr>
              <w:t>10.000</w:t>
            </w:r>
          </w:p>
        </w:tc>
        <w:tc>
          <w:tcPr>
            <w:tcW w:w="1546" w:type="dxa"/>
            <w:tcBorders>
              <w:left w:val="single" w:sz="4" w:space="0" w:color="000000"/>
              <w:right w:val="single" w:sz="4" w:space="0" w:color="000000"/>
            </w:tcBorders>
          </w:tcPr>
          <w:p w:rsidR="00097107" w:rsidRDefault="00097107">
            <w:pPr>
              <w:pStyle w:val="TableParagraph"/>
              <w:spacing w:before="3"/>
              <w:rPr>
                <w:rFonts w:ascii="Times New Roman"/>
                <w:sz w:val="19"/>
              </w:rPr>
            </w:pPr>
          </w:p>
          <w:p w:rsidR="00097107" w:rsidRDefault="008A1A6A">
            <w:pPr>
              <w:pStyle w:val="TableParagraph"/>
              <w:ind w:right="94"/>
              <w:jc w:val="right"/>
              <w:rPr>
                <w:sz w:val="20"/>
              </w:rPr>
            </w:pPr>
            <w:r>
              <w:rPr>
                <w:sz w:val="20"/>
              </w:rPr>
              <w:t>10.000</w:t>
            </w:r>
          </w:p>
        </w:tc>
      </w:tr>
      <w:tr w:rsidR="00097107">
        <w:trPr>
          <w:trHeight w:val="225"/>
        </w:trPr>
        <w:tc>
          <w:tcPr>
            <w:tcW w:w="1904" w:type="dxa"/>
            <w:tcBorders>
              <w:left w:val="single" w:sz="4" w:space="0" w:color="000000"/>
              <w:right w:val="single" w:sz="4" w:space="0" w:color="000000"/>
            </w:tcBorders>
          </w:tcPr>
          <w:p w:rsidR="00097107" w:rsidRDefault="008A1A6A">
            <w:pPr>
              <w:pStyle w:val="TableParagraph"/>
              <w:spacing w:line="205" w:lineRule="exact"/>
              <w:ind w:left="109"/>
              <w:rPr>
                <w:b/>
                <w:sz w:val="20"/>
              </w:rPr>
            </w:pPr>
            <w:r>
              <w:rPr>
                <w:b/>
                <w:sz w:val="20"/>
              </w:rPr>
              <w:t>Total Operating</w:t>
            </w:r>
          </w:p>
        </w:tc>
        <w:tc>
          <w:tcPr>
            <w:tcW w:w="1254" w:type="dxa"/>
            <w:tcBorders>
              <w:left w:val="single" w:sz="4" w:space="0" w:color="000000"/>
              <w:right w:val="single" w:sz="4" w:space="0" w:color="000000"/>
            </w:tcBorders>
          </w:tcPr>
          <w:p w:rsidR="00097107" w:rsidRDefault="008A1A6A">
            <w:pPr>
              <w:pStyle w:val="TableParagraph"/>
              <w:spacing w:line="205" w:lineRule="exact"/>
              <w:ind w:right="94"/>
              <w:jc w:val="right"/>
              <w:rPr>
                <w:sz w:val="20"/>
              </w:rPr>
            </w:pPr>
            <w:r>
              <w:rPr>
                <w:sz w:val="20"/>
              </w:rPr>
              <w:t>-</w:t>
            </w:r>
          </w:p>
        </w:tc>
        <w:tc>
          <w:tcPr>
            <w:tcW w:w="1472" w:type="dxa"/>
            <w:tcBorders>
              <w:left w:val="single" w:sz="4" w:space="0" w:color="000000"/>
              <w:right w:val="single" w:sz="4" w:space="0" w:color="000000"/>
            </w:tcBorders>
          </w:tcPr>
          <w:p w:rsidR="00097107" w:rsidRDefault="008A1A6A">
            <w:pPr>
              <w:pStyle w:val="TableParagraph"/>
              <w:spacing w:line="205" w:lineRule="exact"/>
              <w:ind w:right="94"/>
              <w:jc w:val="right"/>
              <w:rPr>
                <w:b/>
                <w:sz w:val="20"/>
              </w:rPr>
            </w:pPr>
            <w:r>
              <w:rPr>
                <w:b/>
                <w:sz w:val="20"/>
              </w:rPr>
              <w:t>9.000</w:t>
            </w:r>
          </w:p>
        </w:tc>
        <w:tc>
          <w:tcPr>
            <w:tcW w:w="1354" w:type="dxa"/>
            <w:tcBorders>
              <w:left w:val="single" w:sz="4" w:space="0" w:color="000000"/>
              <w:right w:val="single" w:sz="4" w:space="0" w:color="000000"/>
            </w:tcBorders>
          </w:tcPr>
          <w:p w:rsidR="00097107" w:rsidRDefault="008A1A6A">
            <w:pPr>
              <w:pStyle w:val="TableParagraph"/>
              <w:spacing w:line="205" w:lineRule="exact"/>
              <w:ind w:right="94"/>
              <w:jc w:val="right"/>
              <w:rPr>
                <w:b/>
                <w:sz w:val="20"/>
              </w:rPr>
            </w:pPr>
            <w:r>
              <w:rPr>
                <w:b/>
                <w:sz w:val="20"/>
              </w:rPr>
              <w:t>10.000</w:t>
            </w:r>
          </w:p>
        </w:tc>
        <w:tc>
          <w:tcPr>
            <w:tcW w:w="1660" w:type="dxa"/>
            <w:tcBorders>
              <w:left w:val="single" w:sz="4" w:space="0" w:color="000000"/>
              <w:right w:val="single" w:sz="4" w:space="0" w:color="000000"/>
            </w:tcBorders>
          </w:tcPr>
          <w:p w:rsidR="00097107" w:rsidRDefault="008A1A6A">
            <w:pPr>
              <w:pStyle w:val="TableParagraph"/>
              <w:spacing w:line="205" w:lineRule="exact"/>
              <w:ind w:right="94"/>
              <w:jc w:val="right"/>
              <w:rPr>
                <w:b/>
                <w:sz w:val="20"/>
              </w:rPr>
            </w:pPr>
            <w:r>
              <w:rPr>
                <w:b/>
                <w:sz w:val="20"/>
              </w:rPr>
              <w:t>10.000</w:t>
            </w:r>
          </w:p>
        </w:tc>
        <w:tc>
          <w:tcPr>
            <w:tcW w:w="1546" w:type="dxa"/>
            <w:tcBorders>
              <w:left w:val="single" w:sz="4" w:space="0" w:color="000000"/>
              <w:right w:val="single" w:sz="4" w:space="0" w:color="000000"/>
            </w:tcBorders>
          </w:tcPr>
          <w:p w:rsidR="00097107" w:rsidRDefault="008A1A6A">
            <w:pPr>
              <w:pStyle w:val="TableParagraph"/>
              <w:spacing w:line="205" w:lineRule="exact"/>
              <w:ind w:right="94"/>
              <w:jc w:val="right"/>
              <w:rPr>
                <w:b/>
                <w:sz w:val="20"/>
              </w:rPr>
            </w:pPr>
            <w:r>
              <w:rPr>
                <w:b/>
                <w:sz w:val="20"/>
              </w:rPr>
              <w:t>10.000</w:t>
            </w:r>
          </w:p>
        </w:tc>
      </w:tr>
    </w:tbl>
    <w:p w:rsidR="00097107" w:rsidRDefault="00097107">
      <w:pPr>
        <w:spacing w:line="205" w:lineRule="exact"/>
        <w:jc w:val="right"/>
        <w:rPr>
          <w:sz w:val="20"/>
        </w:rPr>
        <w:sectPr w:rsidR="00097107">
          <w:headerReference w:type="default" r:id="rId8"/>
          <w:footerReference w:type="default" r:id="rId9"/>
          <w:type w:val="continuous"/>
          <w:pgSz w:w="11900" w:h="16840"/>
          <w:pgMar w:top="840" w:right="1000" w:bottom="780" w:left="1020" w:header="405" w:footer="582" w:gutter="0"/>
          <w:pgNumType w:start="1"/>
          <w:cols w:space="720"/>
        </w:sectPr>
      </w:pPr>
    </w:p>
    <w:p w:rsidR="00097107" w:rsidRDefault="00097107">
      <w:pPr>
        <w:pStyle w:val="BodyText"/>
        <w:rPr>
          <w:sz w:val="20"/>
        </w:rPr>
      </w:pPr>
    </w:p>
    <w:p w:rsidR="00097107" w:rsidRDefault="00097107">
      <w:pPr>
        <w:pStyle w:val="BodyText"/>
        <w:spacing w:before="6"/>
        <w:rPr>
          <w:sz w:val="21"/>
        </w:rPr>
      </w:pPr>
    </w:p>
    <w:p w:rsidR="00097107" w:rsidRDefault="008A1A6A">
      <w:pPr>
        <w:pStyle w:val="ListParagraph"/>
        <w:numPr>
          <w:ilvl w:val="0"/>
          <w:numId w:val="1"/>
        </w:numPr>
        <w:tabs>
          <w:tab w:val="left" w:pos="835"/>
          <w:tab w:val="left" w:pos="836"/>
        </w:tabs>
        <w:spacing w:before="90"/>
        <w:ind w:right="298"/>
        <w:rPr>
          <w:sz w:val="24"/>
        </w:rPr>
      </w:pPr>
      <w:r>
        <w:rPr>
          <w:b/>
          <w:sz w:val="24"/>
        </w:rPr>
        <w:t xml:space="preserve">approved </w:t>
      </w:r>
      <w:r>
        <w:rPr>
          <w:sz w:val="24"/>
        </w:rPr>
        <w:t>the following forecast change in appropriations for Non-Departmental Other Expenses, as a result of the decision in paragraphs 1 and 2, with a corresponding impact</w:t>
      </w:r>
      <w:r>
        <w:rPr>
          <w:spacing w:val="-21"/>
          <w:sz w:val="24"/>
        </w:rPr>
        <w:t xml:space="preserve"> </w:t>
      </w:r>
      <w:r>
        <w:rPr>
          <w:sz w:val="24"/>
        </w:rPr>
        <w:t>on the operating balance:</w:t>
      </w:r>
    </w:p>
    <w:p w:rsidR="00097107" w:rsidRDefault="00097107">
      <w:pPr>
        <w:pStyle w:val="BodyText"/>
        <w:spacing w:before="10"/>
        <w:rPr>
          <w:sz w:val="20"/>
        </w:rPr>
      </w:pPr>
    </w:p>
    <w:tbl>
      <w:tblPr>
        <w:tblW w:w="0" w:type="auto"/>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28"/>
        <w:gridCol w:w="1226"/>
        <w:gridCol w:w="1450"/>
        <w:gridCol w:w="1338"/>
        <w:gridCol w:w="1634"/>
        <w:gridCol w:w="1514"/>
      </w:tblGrid>
      <w:tr w:rsidR="00097107">
        <w:trPr>
          <w:trHeight w:val="225"/>
        </w:trPr>
        <w:tc>
          <w:tcPr>
            <w:tcW w:w="2028" w:type="dxa"/>
            <w:tcBorders>
              <w:top w:val="nil"/>
              <w:left w:val="nil"/>
              <w:right w:val="single" w:sz="4" w:space="0" w:color="000000"/>
            </w:tcBorders>
          </w:tcPr>
          <w:p w:rsidR="00097107" w:rsidRDefault="00097107">
            <w:pPr>
              <w:pStyle w:val="TableParagraph"/>
              <w:rPr>
                <w:rFonts w:ascii="Times New Roman"/>
                <w:sz w:val="16"/>
              </w:rPr>
            </w:pPr>
          </w:p>
        </w:tc>
        <w:tc>
          <w:tcPr>
            <w:tcW w:w="7162" w:type="dxa"/>
            <w:gridSpan w:val="5"/>
            <w:tcBorders>
              <w:left w:val="single" w:sz="4" w:space="0" w:color="000000"/>
              <w:right w:val="single" w:sz="4" w:space="0" w:color="000000"/>
            </w:tcBorders>
          </w:tcPr>
          <w:p w:rsidR="00097107" w:rsidRDefault="008A1A6A">
            <w:pPr>
              <w:pStyle w:val="TableParagraph"/>
              <w:spacing w:line="205" w:lineRule="exact"/>
              <w:ind w:left="2105"/>
              <w:rPr>
                <w:b/>
                <w:sz w:val="20"/>
              </w:rPr>
            </w:pPr>
            <w:r>
              <w:rPr>
                <w:b/>
                <w:sz w:val="20"/>
              </w:rPr>
              <w:t>$ millions increase / (decrease)</w:t>
            </w:r>
          </w:p>
        </w:tc>
      </w:tr>
      <w:tr w:rsidR="00097107">
        <w:trPr>
          <w:trHeight w:val="685"/>
        </w:trPr>
        <w:tc>
          <w:tcPr>
            <w:tcW w:w="2028" w:type="dxa"/>
            <w:tcBorders>
              <w:left w:val="single" w:sz="4" w:space="0" w:color="000000"/>
              <w:right w:val="single" w:sz="4" w:space="0" w:color="000000"/>
            </w:tcBorders>
          </w:tcPr>
          <w:p w:rsidR="00097107" w:rsidRDefault="008A1A6A">
            <w:pPr>
              <w:pStyle w:val="TableParagraph"/>
              <w:spacing w:line="230" w:lineRule="exact"/>
              <w:ind w:left="109" w:right="566"/>
              <w:rPr>
                <w:b/>
                <w:sz w:val="20"/>
              </w:rPr>
            </w:pPr>
            <w:r>
              <w:rPr>
                <w:b/>
                <w:sz w:val="20"/>
              </w:rPr>
              <w:t>Vote Revenue Minister of Revenue</w:t>
            </w:r>
          </w:p>
        </w:tc>
        <w:tc>
          <w:tcPr>
            <w:tcW w:w="1226" w:type="dxa"/>
            <w:tcBorders>
              <w:left w:val="single" w:sz="4" w:space="0" w:color="000000"/>
              <w:right w:val="single" w:sz="4" w:space="0" w:color="000000"/>
            </w:tcBorders>
          </w:tcPr>
          <w:p w:rsidR="00097107" w:rsidRDefault="008A1A6A">
            <w:pPr>
              <w:pStyle w:val="TableParagraph"/>
              <w:spacing w:line="227" w:lineRule="exact"/>
              <w:ind w:left="252"/>
              <w:rPr>
                <w:b/>
                <w:sz w:val="20"/>
              </w:rPr>
            </w:pPr>
            <w:r>
              <w:rPr>
                <w:b/>
                <w:sz w:val="20"/>
              </w:rPr>
              <w:t>2018/19</w:t>
            </w:r>
          </w:p>
        </w:tc>
        <w:tc>
          <w:tcPr>
            <w:tcW w:w="1450" w:type="dxa"/>
            <w:tcBorders>
              <w:left w:val="single" w:sz="4" w:space="0" w:color="000000"/>
              <w:right w:val="single" w:sz="4" w:space="0" w:color="000000"/>
            </w:tcBorders>
          </w:tcPr>
          <w:p w:rsidR="00097107" w:rsidRDefault="008A1A6A">
            <w:pPr>
              <w:pStyle w:val="TableParagraph"/>
              <w:spacing w:line="227" w:lineRule="exact"/>
              <w:ind w:left="364"/>
              <w:rPr>
                <w:b/>
                <w:sz w:val="20"/>
              </w:rPr>
            </w:pPr>
            <w:r>
              <w:rPr>
                <w:b/>
                <w:sz w:val="20"/>
              </w:rPr>
              <w:t>2019/20</w:t>
            </w:r>
          </w:p>
        </w:tc>
        <w:tc>
          <w:tcPr>
            <w:tcW w:w="1338" w:type="dxa"/>
            <w:tcBorders>
              <w:left w:val="single" w:sz="4" w:space="0" w:color="000000"/>
              <w:right w:val="single" w:sz="4" w:space="0" w:color="000000"/>
            </w:tcBorders>
          </w:tcPr>
          <w:p w:rsidR="00097107" w:rsidRDefault="008A1A6A">
            <w:pPr>
              <w:pStyle w:val="TableParagraph"/>
              <w:spacing w:line="227" w:lineRule="exact"/>
              <w:ind w:left="308"/>
              <w:rPr>
                <w:b/>
                <w:sz w:val="20"/>
              </w:rPr>
            </w:pPr>
            <w:r>
              <w:rPr>
                <w:b/>
                <w:sz w:val="20"/>
              </w:rPr>
              <w:t>2020/21</w:t>
            </w:r>
          </w:p>
        </w:tc>
        <w:tc>
          <w:tcPr>
            <w:tcW w:w="1634" w:type="dxa"/>
            <w:tcBorders>
              <w:left w:val="single" w:sz="4" w:space="0" w:color="000000"/>
              <w:right w:val="single" w:sz="4" w:space="0" w:color="000000"/>
            </w:tcBorders>
          </w:tcPr>
          <w:p w:rsidR="00097107" w:rsidRDefault="008A1A6A">
            <w:pPr>
              <w:pStyle w:val="TableParagraph"/>
              <w:spacing w:line="227" w:lineRule="exact"/>
              <w:ind w:left="456"/>
              <w:rPr>
                <w:b/>
                <w:sz w:val="20"/>
              </w:rPr>
            </w:pPr>
            <w:r>
              <w:rPr>
                <w:b/>
                <w:sz w:val="20"/>
              </w:rPr>
              <w:t>2021/22</w:t>
            </w:r>
          </w:p>
        </w:tc>
        <w:tc>
          <w:tcPr>
            <w:tcW w:w="1514" w:type="dxa"/>
            <w:tcBorders>
              <w:left w:val="single" w:sz="4" w:space="0" w:color="000000"/>
              <w:right w:val="single" w:sz="4" w:space="0" w:color="000000"/>
            </w:tcBorders>
          </w:tcPr>
          <w:p w:rsidR="00097107" w:rsidRDefault="008A1A6A">
            <w:pPr>
              <w:pStyle w:val="TableParagraph"/>
              <w:spacing w:line="227" w:lineRule="exact"/>
              <w:ind w:left="296"/>
              <w:rPr>
                <w:b/>
                <w:sz w:val="20"/>
              </w:rPr>
            </w:pPr>
            <w:r>
              <w:rPr>
                <w:b/>
                <w:sz w:val="20"/>
              </w:rPr>
              <w:t>2022/23</w:t>
            </w:r>
            <w:r>
              <w:rPr>
                <w:b/>
                <w:spacing w:val="-6"/>
                <w:sz w:val="20"/>
              </w:rPr>
              <w:t xml:space="preserve"> </w:t>
            </w:r>
            <w:r>
              <w:rPr>
                <w:b/>
                <w:sz w:val="20"/>
              </w:rPr>
              <w:t>&amp;</w:t>
            </w:r>
          </w:p>
          <w:p w:rsidR="00097107" w:rsidRDefault="008A1A6A">
            <w:pPr>
              <w:pStyle w:val="TableParagraph"/>
              <w:ind w:left="324"/>
              <w:rPr>
                <w:b/>
                <w:sz w:val="20"/>
              </w:rPr>
            </w:pPr>
            <w:r>
              <w:rPr>
                <w:b/>
                <w:sz w:val="20"/>
              </w:rPr>
              <w:t>Outyears</w:t>
            </w:r>
          </w:p>
        </w:tc>
      </w:tr>
      <w:tr w:rsidR="00097107">
        <w:trPr>
          <w:trHeight w:val="1370"/>
        </w:trPr>
        <w:tc>
          <w:tcPr>
            <w:tcW w:w="2028" w:type="dxa"/>
            <w:tcBorders>
              <w:left w:val="single" w:sz="4" w:space="0" w:color="000000"/>
              <w:right w:val="single" w:sz="4" w:space="0" w:color="000000"/>
            </w:tcBorders>
          </w:tcPr>
          <w:p w:rsidR="00097107" w:rsidRDefault="008A1A6A">
            <w:pPr>
              <w:pStyle w:val="TableParagraph"/>
              <w:ind w:left="109" w:right="87"/>
              <w:rPr>
                <w:sz w:val="20"/>
              </w:rPr>
            </w:pPr>
            <w:r>
              <w:rPr>
                <w:sz w:val="20"/>
              </w:rPr>
              <w:t>Non-Departmental Other Expense: Impairment of debt and debt write-offs (funded by Revenue</w:t>
            </w:r>
          </w:p>
          <w:p w:rsidR="00097107" w:rsidRDefault="008A1A6A">
            <w:pPr>
              <w:pStyle w:val="TableParagraph"/>
              <w:spacing w:line="208" w:lineRule="exact"/>
              <w:ind w:left="109"/>
              <w:rPr>
                <w:sz w:val="20"/>
              </w:rPr>
            </w:pPr>
            <w:r>
              <w:rPr>
                <w:sz w:val="20"/>
              </w:rPr>
              <w:t>Crown)</w:t>
            </w:r>
          </w:p>
        </w:tc>
        <w:tc>
          <w:tcPr>
            <w:tcW w:w="1226" w:type="dxa"/>
            <w:tcBorders>
              <w:left w:val="single" w:sz="4" w:space="0" w:color="000000"/>
              <w:right w:val="single" w:sz="4" w:space="0" w:color="000000"/>
            </w:tcBorders>
          </w:tcPr>
          <w:p w:rsidR="00097107" w:rsidRDefault="008A1A6A">
            <w:pPr>
              <w:pStyle w:val="TableParagraph"/>
              <w:spacing w:line="222" w:lineRule="exact"/>
              <w:ind w:right="94"/>
              <w:jc w:val="right"/>
              <w:rPr>
                <w:sz w:val="20"/>
              </w:rPr>
            </w:pPr>
            <w:r>
              <w:rPr>
                <w:sz w:val="20"/>
              </w:rPr>
              <w:t>-</w:t>
            </w:r>
          </w:p>
        </w:tc>
        <w:tc>
          <w:tcPr>
            <w:tcW w:w="1450" w:type="dxa"/>
            <w:tcBorders>
              <w:left w:val="single" w:sz="4" w:space="0" w:color="000000"/>
              <w:right w:val="single" w:sz="4" w:space="0" w:color="000000"/>
            </w:tcBorders>
          </w:tcPr>
          <w:p w:rsidR="00097107" w:rsidRDefault="008A1A6A">
            <w:pPr>
              <w:pStyle w:val="TableParagraph"/>
              <w:spacing w:line="222" w:lineRule="exact"/>
              <w:ind w:right="94"/>
              <w:jc w:val="right"/>
              <w:rPr>
                <w:sz w:val="20"/>
              </w:rPr>
            </w:pPr>
            <w:r>
              <w:rPr>
                <w:sz w:val="20"/>
              </w:rPr>
              <w:t>3.000</w:t>
            </w:r>
          </w:p>
        </w:tc>
        <w:tc>
          <w:tcPr>
            <w:tcW w:w="1338" w:type="dxa"/>
            <w:tcBorders>
              <w:left w:val="single" w:sz="4" w:space="0" w:color="000000"/>
              <w:right w:val="single" w:sz="4" w:space="0" w:color="000000"/>
            </w:tcBorders>
          </w:tcPr>
          <w:p w:rsidR="00097107" w:rsidRDefault="008A1A6A">
            <w:pPr>
              <w:pStyle w:val="TableParagraph"/>
              <w:spacing w:line="222" w:lineRule="exact"/>
              <w:ind w:right="94"/>
              <w:jc w:val="right"/>
              <w:rPr>
                <w:sz w:val="20"/>
              </w:rPr>
            </w:pPr>
            <w:r>
              <w:rPr>
                <w:sz w:val="20"/>
              </w:rPr>
              <w:t>3.000</w:t>
            </w:r>
          </w:p>
        </w:tc>
        <w:tc>
          <w:tcPr>
            <w:tcW w:w="1634" w:type="dxa"/>
            <w:tcBorders>
              <w:left w:val="single" w:sz="4" w:space="0" w:color="000000"/>
              <w:right w:val="single" w:sz="4" w:space="0" w:color="000000"/>
            </w:tcBorders>
          </w:tcPr>
          <w:p w:rsidR="00097107" w:rsidRDefault="008A1A6A">
            <w:pPr>
              <w:pStyle w:val="TableParagraph"/>
              <w:spacing w:line="222" w:lineRule="exact"/>
              <w:ind w:right="96"/>
              <w:jc w:val="right"/>
              <w:rPr>
                <w:sz w:val="20"/>
              </w:rPr>
            </w:pPr>
            <w:r>
              <w:rPr>
                <w:sz w:val="20"/>
              </w:rPr>
              <w:t>3.000</w:t>
            </w:r>
          </w:p>
        </w:tc>
        <w:tc>
          <w:tcPr>
            <w:tcW w:w="1514" w:type="dxa"/>
            <w:tcBorders>
              <w:left w:val="single" w:sz="4" w:space="0" w:color="000000"/>
              <w:right w:val="single" w:sz="4" w:space="0" w:color="000000"/>
            </w:tcBorders>
          </w:tcPr>
          <w:p w:rsidR="00097107" w:rsidRDefault="008A1A6A">
            <w:pPr>
              <w:pStyle w:val="TableParagraph"/>
              <w:spacing w:line="222" w:lineRule="exact"/>
              <w:ind w:right="94"/>
              <w:jc w:val="right"/>
              <w:rPr>
                <w:sz w:val="20"/>
              </w:rPr>
            </w:pPr>
            <w:r>
              <w:rPr>
                <w:sz w:val="20"/>
              </w:rPr>
              <w:t>3.000</w:t>
            </w:r>
          </w:p>
        </w:tc>
      </w:tr>
      <w:tr w:rsidR="00097107">
        <w:trPr>
          <w:trHeight w:val="225"/>
        </w:trPr>
        <w:tc>
          <w:tcPr>
            <w:tcW w:w="2028" w:type="dxa"/>
            <w:tcBorders>
              <w:left w:val="single" w:sz="4" w:space="0" w:color="000000"/>
              <w:right w:val="single" w:sz="4" w:space="0" w:color="000000"/>
            </w:tcBorders>
          </w:tcPr>
          <w:p w:rsidR="00097107" w:rsidRDefault="008A1A6A">
            <w:pPr>
              <w:pStyle w:val="TableParagraph"/>
              <w:spacing w:line="205" w:lineRule="exact"/>
              <w:ind w:left="109"/>
              <w:rPr>
                <w:b/>
                <w:sz w:val="20"/>
              </w:rPr>
            </w:pPr>
            <w:r>
              <w:rPr>
                <w:b/>
                <w:sz w:val="20"/>
              </w:rPr>
              <w:t>Total Operating</w:t>
            </w:r>
          </w:p>
        </w:tc>
        <w:tc>
          <w:tcPr>
            <w:tcW w:w="1226" w:type="dxa"/>
            <w:tcBorders>
              <w:left w:val="single" w:sz="4" w:space="0" w:color="000000"/>
              <w:right w:val="single" w:sz="4" w:space="0" w:color="000000"/>
            </w:tcBorders>
          </w:tcPr>
          <w:p w:rsidR="00097107" w:rsidRDefault="008A1A6A">
            <w:pPr>
              <w:pStyle w:val="TableParagraph"/>
              <w:spacing w:line="205" w:lineRule="exact"/>
              <w:ind w:right="94"/>
              <w:jc w:val="right"/>
              <w:rPr>
                <w:sz w:val="20"/>
              </w:rPr>
            </w:pPr>
            <w:r>
              <w:rPr>
                <w:sz w:val="20"/>
              </w:rPr>
              <w:t>-</w:t>
            </w:r>
          </w:p>
        </w:tc>
        <w:tc>
          <w:tcPr>
            <w:tcW w:w="1450" w:type="dxa"/>
            <w:tcBorders>
              <w:left w:val="single" w:sz="4" w:space="0" w:color="000000"/>
              <w:right w:val="single" w:sz="4" w:space="0" w:color="000000"/>
            </w:tcBorders>
          </w:tcPr>
          <w:p w:rsidR="00097107" w:rsidRDefault="008A1A6A">
            <w:pPr>
              <w:pStyle w:val="TableParagraph"/>
              <w:spacing w:line="205" w:lineRule="exact"/>
              <w:ind w:right="94"/>
              <w:jc w:val="right"/>
              <w:rPr>
                <w:b/>
                <w:sz w:val="20"/>
              </w:rPr>
            </w:pPr>
            <w:r>
              <w:rPr>
                <w:b/>
                <w:sz w:val="20"/>
              </w:rPr>
              <w:t>3.000</w:t>
            </w:r>
          </w:p>
        </w:tc>
        <w:tc>
          <w:tcPr>
            <w:tcW w:w="1338" w:type="dxa"/>
            <w:tcBorders>
              <w:left w:val="single" w:sz="4" w:space="0" w:color="000000"/>
              <w:right w:val="single" w:sz="4" w:space="0" w:color="000000"/>
            </w:tcBorders>
          </w:tcPr>
          <w:p w:rsidR="00097107" w:rsidRDefault="008A1A6A">
            <w:pPr>
              <w:pStyle w:val="TableParagraph"/>
              <w:spacing w:line="205" w:lineRule="exact"/>
              <w:ind w:right="94"/>
              <w:jc w:val="right"/>
              <w:rPr>
                <w:b/>
                <w:sz w:val="20"/>
              </w:rPr>
            </w:pPr>
            <w:r>
              <w:rPr>
                <w:b/>
                <w:sz w:val="20"/>
              </w:rPr>
              <w:t>3.000</w:t>
            </w:r>
          </w:p>
        </w:tc>
        <w:tc>
          <w:tcPr>
            <w:tcW w:w="1634" w:type="dxa"/>
            <w:tcBorders>
              <w:left w:val="single" w:sz="4" w:space="0" w:color="000000"/>
              <w:right w:val="single" w:sz="4" w:space="0" w:color="000000"/>
            </w:tcBorders>
          </w:tcPr>
          <w:p w:rsidR="00097107" w:rsidRDefault="008A1A6A">
            <w:pPr>
              <w:pStyle w:val="TableParagraph"/>
              <w:spacing w:line="205" w:lineRule="exact"/>
              <w:ind w:right="96"/>
              <w:jc w:val="right"/>
              <w:rPr>
                <w:b/>
                <w:sz w:val="20"/>
              </w:rPr>
            </w:pPr>
            <w:r>
              <w:rPr>
                <w:b/>
                <w:sz w:val="20"/>
              </w:rPr>
              <w:t>3.000</w:t>
            </w:r>
          </w:p>
        </w:tc>
        <w:tc>
          <w:tcPr>
            <w:tcW w:w="1514" w:type="dxa"/>
            <w:tcBorders>
              <w:left w:val="single" w:sz="4" w:space="0" w:color="000000"/>
              <w:right w:val="single" w:sz="4" w:space="0" w:color="000000"/>
            </w:tcBorders>
          </w:tcPr>
          <w:p w:rsidR="00097107" w:rsidRDefault="008A1A6A">
            <w:pPr>
              <w:pStyle w:val="TableParagraph"/>
              <w:spacing w:line="205" w:lineRule="exact"/>
              <w:ind w:right="94"/>
              <w:jc w:val="right"/>
              <w:rPr>
                <w:b/>
                <w:sz w:val="20"/>
              </w:rPr>
            </w:pPr>
            <w:r>
              <w:rPr>
                <w:b/>
                <w:sz w:val="20"/>
              </w:rPr>
              <w:t>3.000</w:t>
            </w:r>
          </w:p>
        </w:tc>
      </w:tr>
    </w:tbl>
    <w:p w:rsidR="00097107" w:rsidRDefault="00097107">
      <w:pPr>
        <w:pStyle w:val="BodyText"/>
        <w:rPr>
          <w:sz w:val="26"/>
        </w:rPr>
      </w:pPr>
    </w:p>
    <w:p w:rsidR="00097107" w:rsidRDefault="008A1A6A">
      <w:pPr>
        <w:pStyle w:val="ListParagraph"/>
        <w:numPr>
          <w:ilvl w:val="0"/>
          <w:numId w:val="1"/>
        </w:numPr>
        <w:tabs>
          <w:tab w:val="left" w:pos="835"/>
          <w:tab w:val="left" w:pos="836"/>
        </w:tabs>
        <w:spacing w:before="215"/>
        <w:ind w:right="199"/>
        <w:rPr>
          <w:sz w:val="24"/>
        </w:rPr>
      </w:pPr>
      <w:r>
        <w:rPr>
          <w:b/>
          <w:sz w:val="24"/>
        </w:rPr>
        <w:t xml:space="preserve">authorised </w:t>
      </w:r>
      <w:r>
        <w:rPr>
          <w:sz w:val="24"/>
        </w:rPr>
        <w:t>the submission to the Executive Council of the Taxation (Use of Money</w:t>
      </w:r>
      <w:r>
        <w:rPr>
          <w:spacing w:val="-26"/>
          <w:sz w:val="24"/>
        </w:rPr>
        <w:t xml:space="preserve"> </w:t>
      </w:r>
      <w:r>
        <w:rPr>
          <w:sz w:val="24"/>
        </w:rPr>
        <w:t>Interest Rates) Amendment Regulations 2019 [PCO 22181/2.0].</w:t>
      </w:r>
    </w:p>
    <w:p w:rsidR="00097107" w:rsidRDefault="00097107">
      <w:pPr>
        <w:pStyle w:val="BodyText"/>
        <w:rPr>
          <w:sz w:val="26"/>
        </w:rPr>
      </w:pPr>
    </w:p>
    <w:p w:rsidR="00097107" w:rsidRDefault="00097107">
      <w:pPr>
        <w:pStyle w:val="BodyText"/>
        <w:rPr>
          <w:sz w:val="26"/>
        </w:rPr>
      </w:pPr>
    </w:p>
    <w:p w:rsidR="00097107" w:rsidRDefault="00097107">
      <w:pPr>
        <w:pStyle w:val="BodyText"/>
        <w:rPr>
          <w:sz w:val="26"/>
        </w:rPr>
      </w:pPr>
    </w:p>
    <w:p w:rsidR="00097107" w:rsidRDefault="00097107">
      <w:pPr>
        <w:pStyle w:val="BodyText"/>
        <w:rPr>
          <w:sz w:val="26"/>
        </w:rPr>
      </w:pPr>
    </w:p>
    <w:p w:rsidR="00097107" w:rsidRDefault="00097107">
      <w:pPr>
        <w:pStyle w:val="BodyText"/>
        <w:spacing w:before="10"/>
        <w:rPr>
          <w:sz w:val="36"/>
        </w:rPr>
      </w:pPr>
    </w:p>
    <w:p w:rsidR="00097107" w:rsidRDefault="008A1A6A">
      <w:pPr>
        <w:pStyle w:val="BodyText"/>
        <w:spacing w:after="19"/>
        <w:ind w:left="115" w:right="7712"/>
      </w:pPr>
      <w:r>
        <w:t>Vivien Meek Committee Secretary</w:t>
      </w:r>
    </w:p>
    <w:p w:rsidR="00097107" w:rsidRDefault="00EA402E">
      <w:pPr>
        <w:pStyle w:val="BodyText"/>
        <w:spacing w:line="20" w:lineRule="exact"/>
        <w:ind w:left="109"/>
        <w:rPr>
          <w:sz w:val="2"/>
        </w:rPr>
      </w:pPr>
      <w:r>
        <w:rPr>
          <w:noProof/>
          <w:sz w:val="2"/>
        </w:rPr>
        <mc:AlternateContent>
          <mc:Choice Requires="wpg">
            <w:drawing>
              <wp:inline distT="0" distB="0" distL="0" distR="0">
                <wp:extent cx="6118860" cy="6350"/>
                <wp:effectExtent l="12065" t="5080" r="12700" b="762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6350"/>
                          <a:chOff x="0" y="0"/>
                          <a:chExt cx="9636" cy="10"/>
                        </a:xfrm>
                      </wpg:grpSpPr>
                      <wps:wsp>
                        <wps:cNvPr id="8" name="Line 3"/>
                        <wps:cNvCnPr>
                          <a:cxnSpLocks noChangeShapeType="1"/>
                        </wps:cNvCnPr>
                        <wps:spPr bwMode="auto">
                          <a:xfrm>
                            <a:off x="0" y="5"/>
                            <a:ext cx="963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FFFFA8" id="Group 2" o:spid="_x0000_s1026" style="width:481.8pt;height:.5pt;mso-position-horizontal-relative:char;mso-position-vertical-relative:line" coordsize="96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">
                <v:line id="Line 3" o:spid="_x0000_s1027" style="position:absolute;visibility:visible;mso-wrap-style:square" from="0,5" to="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w10:anchorlock/>
              </v:group>
            </w:pict>
          </mc:Fallback>
        </mc:AlternateContent>
      </w:r>
    </w:p>
    <w:p w:rsidR="00097107" w:rsidRDefault="00097107">
      <w:pPr>
        <w:pStyle w:val="BodyText"/>
        <w:spacing w:before="1"/>
        <w:rPr>
          <w:sz w:val="23"/>
        </w:rPr>
      </w:pPr>
    </w:p>
    <w:p w:rsidR="00097107" w:rsidRDefault="008A1A6A">
      <w:pPr>
        <w:tabs>
          <w:tab w:val="left" w:pos="5043"/>
        </w:tabs>
        <w:spacing w:before="1"/>
        <w:ind w:left="115"/>
        <w:rPr>
          <w:rFonts w:ascii="Arial"/>
          <w:b/>
          <w:sz w:val="20"/>
        </w:rPr>
      </w:pPr>
      <w:r>
        <w:rPr>
          <w:rFonts w:ascii="Arial"/>
          <w:b/>
          <w:sz w:val="20"/>
        </w:rPr>
        <w:t>Present:</w:t>
      </w:r>
      <w:r>
        <w:rPr>
          <w:rFonts w:ascii="Arial"/>
          <w:b/>
          <w:sz w:val="20"/>
        </w:rPr>
        <w:tab/>
        <w:t>Officials present</w:t>
      </w:r>
      <w:r>
        <w:rPr>
          <w:rFonts w:ascii="Arial"/>
          <w:b/>
          <w:spacing w:val="-2"/>
          <w:sz w:val="20"/>
        </w:rPr>
        <w:t xml:space="preserve"> </w:t>
      </w:r>
      <w:r>
        <w:rPr>
          <w:rFonts w:ascii="Arial"/>
          <w:b/>
          <w:sz w:val="20"/>
        </w:rPr>
        <w:t>from:</w:t>
      </w:r>
    </w:p>
    <w:p w:rsidR="00097107" w:rsidRDefault="00097107">
      <w:pPr>
        <w:rPr>
          <w:rFonts w:ascii="Arial"/>
          <w:sz w:val="20"/>
        </w:rPr>
        <w:sectPr w:rsidR="00097107">
          <w:pgSz w:w="11900" w:h="16840"/>
          <w:pgMar w:top="840" w:right="1000" w:bottom="780" w:left="1020" w:header="405" w:footer="582" w:gutter="0"/>
          <w:cols w:space="720"/>
        </w:sectPr>
      </w:pPr>
    </w:p>
    <w:p w:rsidR="00097107" w:rsidRDefault="008A1A6A">
      <w:pPr>
        <w:ind w:left="115" w:right="1778"/>
        <w:rPr>
          <w:sz w:val="20"/>
        </w:rPr>
      </w:pPr>
      <w:r>
        <w:rPr>
          <w:sz w:val="20"/>
        </w:rPr>
        <w:t>Rt Hon Winston Peters Hon Andrew Little Hon Stuart Nash</w:t>
      </w:r>
    </w:p>
    <w:p w:rsidR="00097107" w:rsidRDefault="008A1A6A">
      <w:pPr>
        <w:ind w:left="115" w:right="1020"/>
        <w:rPr>
          <w:sz w:val="20"/>
        </w:rPr>
      </w:pPr>
      <w:r>
        <w:rPr>
          <w:sz w:val="20"/>
        </w:rPr>
        <w:t>Hon Iain Lees-Galloway (Chair) Hon Tracey Martin</w:t>
      </w:r>
    </w:p>
    <w:p w:rsidR="00097107" w:rsidRDefault="008A1A6A">
      <w:pPr>
        <w:spacing w:line="227" w:lineRule="exact"/>
        <w:ind w:left="115"/>
        <w:rPr>
          <w:sz w:val="20"/>
        </w:rPr>
      </w:pPr>
      <w:r>
        <w:rPr>
          <w:sz w:val="20"/>
        </w:rPr>
        <w:t>Hon Eugenie Sage</w:t>
      </w:r>
    </w:p>
    <w:p w:rsidR="00097107" w:rsidRDefault="008A1A6A">
      <w:pPr>
        <w:spacing w:line="229" w:lineRule="exact"/>
        <w:ind w:left="115"/>
        <w:rPr>
          <w:sz w:val="20"/>
        </w:rPr>
      </w:pPr>
      <w:r>
        <w:rPr>
          <w:sz w:val="20"/>
        </w:rPr>
        <w:t>Hon Ruth Dyson (Senior Government Whip)</w:t>
      </w:r>
    </w:p>
    <w:p w:rsidR="00097107" w:rsidRDefault="008A1A6A">
      <w:pPr>
        <w:ind w:left="116" w:right="2455"/>
        <w:rPr>
          <w:sz w:val="20"/>
        </w:rPr>
      </w:pPr>
      <w:r>
        <w:br w:type="column"/>
      </w:r>
      <w:r>
        <w:rPr>
          <w:sz w:val="20"/>
        </w:rPr>
        <w:t>Office of the Prime Minister Officials Committee for LEG</w:t>
      </w:r>
    </w:p>
    <w:p w:rsidR="00097107" w:rsidRDefault="00097107">
      <w:pPr>
        <w:rPr>
          <w:sz w:val="20"/>
        </w:rPr>
        <w:sectPr w:rsidR="00097107">
          <w:type w:val="continuous"/>
          <w:pgSz w:w="11900" w:h="16840"/>
          <w:pgMar w:top="840" w:right="1000" w:bottom="780" w:left="1020" w:header="720" w:footer="720" w:gutter="0"/>
          <w:cols w:num="2" w:space="720" w:equalWidth="0">
            <w:col w:w="3760" w:space="1168"/>
            <w:col w:w="4952"/>
          </w:cols>
        </w:sectPr>
      </w:pPr>
    </w:p>
    <w:p w:rsidR="00097107" w:rsidRDefault="00097107">
      <w:pPr>
        <w:pStyle w:val="BodyText"/>
        <w:spacing w:before="8"/>
        <w:rPr>
          <w:sz w:val="15"/>
        </w:rPr>
      </w:pPr>
    </w:p>
    <w:p w:rsidR="00097107" w:rsidRDefault="008A1A6A">
      <w:pPr>
        <w:spacing w:before="93" w:line="229" w:lineRule="exact"/>
        <w:ind w:left="115"/>
        <w:rPr>
          <w:rFonts w:ascii="Arial"/>
          <w:b/>
          <w:sz w:val="20"/>
        </w:rPr>
      </w:pPr>
      <w:r>
        <w:rPr>
          <w:rFonts w:ascii="Arial"/>
          <w:b/>
          <w:sz w:val="20"/>
        </w:rPr>
        <w:t>Hard-copy distribution:</w:t>
      </w:r>
    </w:p>
    <w:p w:rsidR="00097107" w:rsidRDefault="008A1A6A">
      <w:pPr>
        <w:spacing w:line="229" w:lineRule="exact"/>
        <w:ind w:left="115"/>
        <w:rPr>
          <w:sz w:val="20"/>
        </w:rPr>
      </w:pPr>
      <w:r>
        <w:rPr>
          <w:sz w:val="20"/>
        </w:rPr>
        <w:t>Minister of Revenue</w:t>
      </w:r>
    </w:p>
    <w:sectPr w:rsidR="00097107">
      <w:type w:val="continuous"/>
      <w:pgSz w:w="11900" w:h="16840"/>
      <w:pgMar w:top="840" w:right="1000" w:bottom="7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0CA" w:rsidRDefault="008A1A6A">
      <w:r>
        <w:separator/>
      </w:r>
    </w:p>
  </w:endnote>
  <w:endnote w:type="continuationSeparator" w:id="0">
    <w:p w:rsidR="000E40CA" w:rsidRDefault="008A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07" w:rsidRDefault="00EA402E">
    <w:pPr>
      <w:pStyle w:val="BodyText"/>
      <w:spacing w:line="14" w:lineRule="auto"/>
      <w:rPr>
        <w:sz w:val="20"/>
      </w:rPr>
    </w:pPr>
    <w:r>
      <w:rPr>
        <w:noProof/>
      </w:rPr>
      <mc:AlternateContent>
        <mc:Choice Requires="wps">
          <w:drawing>
            <wp:anchor distT="0" distB="0" distL="114300" distR="114300" simplePos="0" relativeHeight="503309312" behindDoc="1" locked="0" layoutInCell="1" allowOverlap="1">
              <wp:simplePos x="0" y="0"/>
              <wp:positionH relativeFrom="page">
                <wp:posOffset>6703060</wp:posOffset>
              </wp:positionH>
              <wp:positionV relativeFrom="page">
                <wp:posOffset>10184130</wp:posOffset>
              </wp:positionV>
              <wp:extent cx="127000" cy="194310"/>
              <wp:effectExtent l="0" t="1905"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107" w:rsidRDefault="008A1A6A">
                          <w:pPr>
                            <w:pStyle w:val="BodyText"/>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27.8pt;margin-top:801.9pt;width:10pt;height:15.3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E5tAIAAK8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" filled="f" stroked="f">
              <v:textbox inset="0,0,0,0">
                <w:txbxContent>
                  <w:p w:rsidR="00097107" w:rsidRDefault="008A1A6A">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9336" behindDoc="1" locked="0" layoutInCell="1" allowOverlap="1">
              <wp:simplePos x="0" y="0"/>
              <wp:positionH relativeFrom="page">
                <wp:posOffset>3001010</wp:posOffset>
              </wp:positionH>
              <wp:positionV relativeFrom="page">
                <wp:posOffset>10357485</wp:posOffset>
              </wp:positionV>
              <wp:extent cx="1482725" cy="167640"/>
              <wp:effectExtent l="635" t="381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107" w:rsidRDefault="008A1A6A">
                          <w:pPr>
                            <w:spacing w:before="13"/>
                            <w:ind w:left="20"/>
                            <w:rPr>
                              <w:rFonts w:ascii="Arial"/>
                              <w:b/>
                              <w:sz w:val="20"/>
                            </w:rPr>
                          </w:pPr>
                          <w:r>
                            <w:rPr>
                              <w:rFonts w:ascii="Arial"/>
                              <w:b/>
                              <w:sz w:val="20"/>
                            </w:rPr>
                            <w:t>I N  C O N F I D E N C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36.3pt;margin-top:815.55pt;width:116.75pt;height:13.2pt;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f+sQIAALA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" filled="f" stroked="f">
              <v:textbox inset="0,0,0,0">
                <w:txbxContent>
                  <w:p w:rsidR="00097107" w:rsidRDefault="008A1A6A">
                    <w:pPr>
                      <w:spacing w:before="13"/>
                      <w:ind w:left="20"/>
                      <w:rPr>
                        <w:rFonts w:ascii="Arial"/>
                        <w:b/>
                        <w:sz w:val="20"/>
                      </w:rPr>
                    </w:pPr>
                    <w:r>
                      <w:rPr>
                        <w:rFonts w:ascii="Arial"/>
                        <w:b/>
                        <w:sz w:val="20"/>
                      </w:rPr>
                      <w:t>I N  C O N F I D E N C E</w:t>
                    </w:r>
                  </w:p>
                </w:txbxContent>
              </v:textbox>
              <w10:wrap anchorx="page" anchory="page"/>
            </v:shape>
          </w:pict>
        </mc:Fallback>
      </mc:AlternateContent>
    </w:r>
    <w:r>
      <w:rPr>
        <w:noProof/>
      </w:rPr>
      <mc:AlternateContent>
        <mc:Choice Requires="wps">
          <w:drawing>
            <wp:anchor distT="0" distB="0" distL="114300" distR="114300" simplePos="0" relativeHeight="503309360" behindDoc="1" locked="0" layoutInCell="1" allowOverlap="1">
              <wp:simplePos x="0" y="0"/>
              <wp:positionH relativeFrom="page">
                <wp:posOffset>190500</wp:posOffset>
              </wp:positionH>
              <wp:positionV relativeFrom="page">
                <wp:posOffset>10373995</wp:posOffset>
              </wp:positionV>
              <wp:extent cx="1651635" cy="153670"/>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107" w:rsidRDefault="00097107">
                          <w:pPr>
                            <w:spacing w:before="14"/>
                            <w:ind w:left="20"/>
                            <w:rPr>
                              <w:rFonts w:asci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15pt;margin-top:816.85pt;width:130.05pt;height:12.1pt;z-index:-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" filled="f" stroked="f">
              <v:textbox inset="0,0,0,0">
                <w:txbxContent>
                  <w:p w:rsidR="00097107" w:rsidRDefault="00097107">
                    <w:pPr>
                      <w:spacing w:before="14"/>
                      <w:ind w:left="20"/>
                      <w:rPr>
                        <w:rFonts w:ascii="Arial"/>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0CA" w:rsidRDefault="008A1A6A">
      <w:r>
        <w:separator/>
      </w:r>
    </w:p>
  </w:footnote>
  <w:footnote w:type="continuationSeparator" w:id="0">
    <w:p w:rsidR="000E40CA" w:rsidRDefault="008A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07" w:rsidRDefault="00EA402E">
    <w:pPr>
      <w:pStyle w:val="BodyText"/>
      <w:spacing w:line="14" w:lineRule="auto"/>
      <w:rPr>
        <w:sz w:val="20"/>
      </w:rPr>
    </w:pPr>
    <w:r>
      <w:rPr>
        <w:noProof/>
      </w:rPr>
      <mc:AlternateContent>
        <mc:Choice Requires="wps">
          <w:drawing>
            <wp:anchor distT="0" distB="0" distL="114300" distR="114300" simplePos="0" relativeHeight="503309264" behindDoc="1" locked="0" layoutInCell="1" allowOverlap="1">
              <wp:simplePos x="0" y="0"/>
              <wp:positionH relativeFrom="page">
                <wp:posOffset>3001010</wp:posOffset>
              </wp:positionH>
              <wp:positionV relativeFrom="page">
                <wp:posOffset>244475</wp:posOffset>
              </wp:positionV>
              <wp:extent cx="1482725" cy="167640"/>
              <wp:effectExtent l="635" t="0" r="254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107" w:rsidRDefault="008A1A6A">
                          <w:pPr>
                            <w:spacing w:before="13"/>
                            <w:ind w:left="20"/>
                            <w:rPr>
                              <w:rFonts w:ascii="Arial"/>
                              <w:b/>
                              <w:sz w:val="20"/>
                            </w:rPr>
                          </w:pPr>
                          <w:r>
                            <w:rPr>
                              <w:rFonts w:ascii="Arial"/>
                              <w:b/>
                              <w:sz w:val="20"/>
                            </w:rPr>
                            <w:t>I N  C O N F I D E N C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6.3pt;margin-top:19.25pt;width:116.75pt;height:13.2pt;z-index:-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wQrgIAAKk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" filled="f" stroked="f">
              <v:textbox inset="0,0,0,0">
                <w:txbxContent>
                  <w:p w:rsidR="00097107" w:rsidRDefault="008A1A6A">
                    <w:pPr>
                      <w:spacing w:before="13"/>
                      <w:ind w:left="20"/>
                      <w:rPr>
                        <w:rFonts w:ascii="Arial"/>
                        <w:b/>
                        <w:sz w:val="20"/>
                      </w:rPr>
                    </w:pPr>
                    <w:r>
                      <w:rPr>
                        <w:rFonts w:ascii="Arial"/>
                        <w:b/>
                        <w:sz w:val="20"/>
                      </w:rPr>
                      <w:t>I N  C O N F I D E N C E</w:t>
                    </w:r>
                  </w:p>
                </w:txbxContent>
              </v:textbox>
              <w10:wrap anchorx="page" anchory="page"/>
            </v:shape>
          </w:pict>
        </mc:Fallback>
      </mc:AlternateContent>
    </w:r>
    <w:r>
      <w:rPr>
        <w:noProof/>
      </w:rPr>
      <mc:AlternateContent>
        <mc:Choice Requires="wps">
          <w:drawing>
            <wp:anchor distT="0" distB="0" distL="114300" distR="114300" simplePos="0" relativeHeight="503309288" behindDoc="1" locked="0" layoutInCell="1" allowOverlap="1">
              <wp:simplePos x="0" y="0"/>
              <wp:positionH relativeFrom="page">
                <wp:posOffset>5749290</wp:posOffset>
              </wp:positionH>
              <wp:positionV relativeFrom="page">
                <wp:posOffset>390525</wp:posOffset>
              </wp:positionV>
              <wp:extent cx="1069340" cy="167640"/>
              <wp:effectExtent l="0" t="0" r="127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107" w:rsidRDefault="008A1A6A">
                          <w:pPr>
                            <w:spacing w:before="13"/>
                            <w:ind w:left="20"/>
                            <w:rPr>
                              <w:rFonts w:ascii="Arial"/>
                              <w:b/>
                              <w:sz w:val="20"/>
                            </w:rPr>
                          </w:pPr>
                          <w:r>
                            <w:rPr>
                              <w:rFonts w:ascii="Arial"/>
                              <w:b/>
                              <w:sz w:val="20"/>
                            </w:rPr>
                            <w:t>LEG-19-MIN-0096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2.7pt;margin-top:30.75pt;width:84.2pt;height:13.2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NHrgIAALA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" filled="f" stroked="f">
              <v:textbox inset="0,0,0,0">
                <w:txbxContent>
                  <w:p w:rsidR="00097107" w:rsidRDefault="008A1A6A">
                    <w:pPr>
                      <w:spacing w:before="13"/>
                      <w:ind w:left="20"/>
                      <w:rPr>
                        <w:rFonts w:ascii="Arial"/>
                        <w:b/>
                        <w:sz w:val="20"/>
                      </w:rPr>
                    </w:pPr>
                    <w:r>
                      <w:rPr>
                        <w:rFonts w:ascii="Arial"/>
                        <w:b/>
                        <w:sz w:val="20"/>
                      </w:rPr>
                      <w:t>LEG-19-MIN-0096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4076"/>
    <w:multiLevelType w:val="hybridMultilevel"/>
    <w:tmpl w:val="41722460"/>
    <w:lvl w:ilvl="0" w:tplc="F27289D2">
      <w:start w:val="1"/>
      <w:numFmt w:val="decimal"/>
      <w:lvlText w:val="%1"/>
      <w:lvlJc w:val="left"/>
      <w:pPr>
        <w:ind w:left="836" w:hanging="720"/>
        <w:jc w:val="left"/>
      </w:pPr>
      <w:rPr>
        <w:rFonts w:ascii="Times New Roman" w:eastAsia="Times New Roman" w:hAnsi="Times New Roman" w:cs="Times New Roman" w:hint="default"/>
        <w:spacing w:val="-1"/>
        <w:w w:val="100"/>
        <w:sz w:val="24"/>
        <w:szCs w:val="24"/>
        <w:lang w:val="en-NZ" w:eastAsia="en-NZ" w:bidi="en-NZ"/>
      </w:rPr>
    </w:lvl>
    <w:lvl w:ilvl="1" w:tplc="B9A8F38C">
      <w:numFmt w:val="bullet"/>
      <w:lvlText w:val="•"/>
      <w:lvlJc w:val="left"/>
      <w:pPr>
        <w:ind w:left="1744" w:hanging="720"/>
      </w:pPr>
      <w:rPr>
        <w:rFonts w:hint="default"/>
        <w:lang w:val="en-NZ" w:eastAsia="en-NZ" w:bidi="en-NZ"/>
      </w:rPr>
    </w:lvl>
    <w:lvl w:ilvl="2" w:tplc="E78A374E">
      <w:numFmt w:val="bullet"/>
      <w:lvlText w:val="•"/>
      <w:lvlJc w:val="left"/>
      <w:pPr>
        <w:ind w:left="2648" w:hanging="720"/>
      </w:pPr>
      <w:rPr>
        <w:rFonts w:hint="default"/>
        <w:lang w:val="en-NZ" w:eastAsia="en-NZ" w:bidi="en-NZ"/>
      </w:rPr>
    </w:lvl>
    <w:lvl w:ilvl="3" w:tplc="232CCA2E">
      <w:numFmt w:val="bullet"/>
      <w:lvlText w:val="•"/>
      <w:lvlJc w:val="left"/>
      <w:pPr>
        <w:ind w:left="3552" w:hanging="720"/>
      </w:pPr>
      <w:rPr>
        <w:rFonts w:hint="default"/>
        <w:lang w:val="en-NZ" w:eastAsia="en-NZ" w:bidi="en-NZ"/>
      </w:rPr>
    </w:lvl>
    <w:lvl w:ilvl="4" w:tplc="05AAB712">
      <w:numFmt w:val="bullet"/>
      <w:lvlText w:val="•"/>
      <w:lvlJc w:val="left"/>
      <w:pPr>
        <w:ind w:left="4456" w:hanging="720"/>
      </w:pPr>
      <w:rPr>
        <w:rFonts w:hint="default"/>
        <w:lang w:val="en-NZ" w:eastAsia="en-NZ" w:bidi="en-NZ"/>
      </w:rPr>
    </w:lvl>
    <w:lvl w:ilvl="5" w:tplc="BA9470A8">
      <w:numFmt w:val="bullet"/>
      <w:lvlText w:val="•"/>
      <w:lvlJc w:val="left"/>
      <w:pPr>
        <w:ind w:left="5360" w:hanging="720"/>
      </w:pPr>
      <w:rPr>
        <w:rFonts w:hint="default"/>
        <w:lang w:val="en-NZ" w:eastAsia="en-NZ" w:bidi="en-NZ"/>
      </w:rPr>
    </w:lvl>
    <w:lvl w:ilvl="6" w:tplc="51A0D5E2">
      <w:numFmt w:val="bullet"/>
      <w:lvlText w:val="•"/>
      <w:lvlJc w:val="left"/>
      <w:pPr>
        <w:ind w:left="6264" w:hanging="720"/>
      </w:pPr>
      <w:rPr>
        <w:rFonts w:hint="default"/>
        <w:lang w:val="en-NZ" w:eastAsia="en-NZ" w:bidi="en-NZ"/>
      </w:rPr>
    </w:lvl>
    <w:lvl w:ilvl="7" w:tplc="F9AA953E">
      <w:numFmt w:val="bullet"/>
      <w:lvlText w:val="•"/>
      <w:lvlJc w:val="left"/>
      <w:pPr>
        <w:ind w:left="7168" w:hanging="720"/>
      </w:pPr>
      <w:rPr>
        <w:rFonts w:hint="default"/>
        <w:lang w:val="en-NZ" w:eastAsia="en-NZ" w:bidi="en-NZ"/>
      </w:rPr>
    </w:lvl>
    <w:lvl w:ilvl="8" w:tplc="FE60587E">
      <w:numFmt w:val="bullet"/>
      <w:lvlText w:val="•"/>
      <w:lvlJc w:val="left"/>
      <w:pPr>
        <w:ind w:left="8072"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07"/>
    <w:rsid w:val="00097107"/>
    <w:rsid w:val="000E40CA"/>
    <w:rsid w:val="001C47FC"/>
    <w:rsid w:val="00353EFD"/>
    <w:rsid w:val="004116DB"/>
    <w:rsid w:val="005E32D6"/>
    <w:rsid w:val="008A1A6A"/>
    <w:rsid w:val="008C5F97"/>
    <w:rsid w:val="00EA40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C30EE3"/>
  <w15:docId w15:val="{48F9C83B-2A36-4CE2-8073-B766CA15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72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8A1A6A"/>
    <w:pPr>
      <w:tabs>
        <w:tab w:val="center" w:pos="4513"/>
        <w:tab w:val="right" w:pos="9026"/>
      </w:tabs>
    </w:pPr>
  </w:style>
  <w:style w:type="character" w:customStyle="1" w:styleId="HeaderChar">
    <w:name w:val="Header Char"/>
    <w:basedOn w:val="DefaultParagraphFont"/>
    <w:link w:val="Header"/>
    <w:uiPriority w:val="99"/>
    <w:rsid w:val="008A1A6A"/>
    <w:rPr>
      <w:rFonts w:ascii="Times New Roman" w:eastAsia="Times New Roman" w:hAnsi="Times New Roman" w:cs="Times New Roman"/>
      <w:lang w:val="en-NZ" w:eastAsia="en-NZ" w:bidi="en-NZ"/>
    </w:rPr>
  </w:style>
  <w:style w:type="paragraph" w:styleId="Footer">
    <w:name w:val="footer"/>
    <w:basedOn w:val="Normal"/>
    <w:link w:val="FooterChar"/>
    <w:uiPriority w:val="99"/>
    <w:unhideWhenUsed/>
    <w:rsid w:val="008A1A6A"/>
    <w:pPr>
      <w:tabs>
        <w:tab w:val="center" w:pos="4513"/>
        <w:tab w:val="right" w:pos="9026"/>
      </w:tabs>
    </w:pPr>
  </w:style>
  <w:style w:type="character" w:customStyle="1" w:styleId="FooterChar">
    <w:name w:val="Footer Char"/>
    <w:basedOn w:val="DefaultParagraphFont"/>
    <w:link w:val="Footer"/>
    <w:uiPriority w:val="99"/>
    <w:rsid w:val="008A1A6A"/>
    <w:rPr>
      <w:rFonts w:ascii="Times New Roman" w:eastAsia="Times New Roman" w:hAnsi="Times New Roman" w:cs="Times New Roman"/>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LEG-19-MIN-0096 - Minute: Taxation (Use of Money Interest Rates) Amendment Regulations 2019 (25 June 2019)</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LEG-19-MIN-0096 - Minute: Taxation (Use of Money Interest Rates) Amendment Regulations 2019 (25 June 2019)</dc:title>
  <dc:creator/>
  <dcterms:created xsi:type="dcterms:W3CDTF">2019-07-16T00:11:00Z</dcterms:created>
  <dcterms:modified xsi:type="dcterms:W3CDTF">2019-07-22T04:54:00Z</dcterms:modified>
</cp:coreProperties>
</file>