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B3C" w:rsidRDefault="00996365">
      <w:pPr>
        <w:spacing w:before="51"/>
        <w:ind w:left="2022" w:right="3739"/>
        <w:rPr>
          <w:rFonts w:ascii="Arial"/>
          <w:b/>
          <w:sz w:val="44"/>
        </w:rPr>
      </w:pPr>
      <w:bookmarkStart w:id="0" w:name="_GoBack"/>
      <w:bookmarkEnd w:id="0"/>
      <w:r>
        <w:rPr>
          <w:noProof/>
        </w:rPr>
        <w:drawing>
          <wp:anchor distT="0" distB="0" distL="0" distR="0" simplePos="0" relativeHeight="1072"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descr="Cabinet Office crest - incldues New Zealand Government coat of arms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rsidR="00EA4B3C" w:rsidRDefault="006271C6">
      <w:pPr>
        <w:spacing w:before="322"/>
        <w:ind w:left="2022"/>
        <w:rPr>
          <w:rFonts w:ascii="Arial"/>
          <w:b/>
          <w:sz w:val="32"/>
        </w:rPr>
      </w:pPr>
      <w:r>
        <w:pict>
          <v:line id="_x0000_s1028" style="position:absolute;left:0;text-align:left;z-index:1048;mso-position-horizontal-relative:page" from="51.3pt,42.8pt" to="544.1pt,42.8pt" strokecolor="#000001" strokeweight=".6pt">
            <w10:wrap anchorx="page"/>
          </v:line>
        </w:pict>
      </w:r>
      <w:r w:rsidR="00996365">
        <w:rPr>
          <w:rFonts w:ascii="Arial"/>
          <w:b/>
          <w:sz w:val="32"/>
        </w:rPr>
        <w:t>Minute of Decision</w:t>
      </w:r>
    </w:p>
    <w:p w:rsidR="00EA4B3C" w:rsidRDefault="00EA4B3C">
      <w:pPr>
        <w:pStyle w:val="BodyText"/>
        <w:spacing w:before="11"/>
        <w:rPr>
          <w:rFonts w:ascii="Arial"/>
          <w:b/>
          <w:sz w:val="11"/>
        </w:rPr>
      </w:pPr>
    </w:p>
    <w:p w:rsidR="00EA4B3C" w:rsidRDefault="006271C6">
      <w:pPr>
        <w:spacing w:before="93"/>
        <w:ind w:left="115"/>
        <w:rPr>
          <w:rFonts w:ascii="Arial"/>
          <w:i/>
          <w:sz w:val="20"/>
        </w:rPr>
      </w:pPr>
      <w:r>
        <w:pict>
          <v:line id="_x0000_s1027" style="position:absolute;left:0;text-align:left;z-index:1024;mso-position-horizontal-relative:page" from="51.3pt,42.45pt" to="544.1pt,42.45pt" strokecolor="#000001" strokeweight=".6pt">
            <w10:wrap anchorx="page"/>
          </v:line>
        </w:pict>
      </w:r>
      <w:r w:rsidR="00996365">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EA4B3C" w:rsidRDefault="00EA4B3C">
      <w:pPr>
        <w:pStyle w:val="BodyText"/>
        <w:rPr>
          <w:rFonts w:ascii="Arial"/>
          <w:i/>
          <w:sz w:val="22"/>
        </w:rPr>
      </w:pPr>
    </w:p>
    <w:p w:rsidR="00EA4B3C" w:rsidRDefault="00EA4B3C">
      <w:pPr>
        <w:pStyle w:val="BodyText"/>
        <w:spacing w:before="11"/>
        <w:rPr>
          <w:rFonts w:ascii="Arial"/>
          <w:i/>
          <w:sz w:val="25"/>
        </w:rPr>
      </w:pPr>
    </w:p>
    <w:p w:rsidR="00EA4B3C" w:rsidRDefault="00996365">
      <w:pPr>
        <w:ind w:left="115" w:right="129"/>
        <w:rPr>
          <w:rFonts w:ascii="Arial" w:hAnsi="Arial"/>
          <w:b/>
          <w:sz w:val="28"/>
        </w:rPr>
      </w:pPr>
      <w:r>
        <w:rPr>
          <w:rFonts w:ascii="Arial" w:hAnsi="Arial"/>
          <w:b/>
          <w:sz w:val="28"/>
        </w:rPr>
        <w:t>Taxation (Annual Rates for 2019–20, GST Offshore Supplier Registration, and Remedial Matters) Bill: Approval for Release of Supplementary Order Paper</w:t>
      </w:r>
    </w:p>
    <w:p w:rsidR="00EA4B3C" w:rsidRDefault="00EA4B3C">
      <w:pPr>
        <w:pStyle w:val="BodyText"/>
        <w:spacing w:before="2"/>
        <w:rPr>
          <w:rFonts w:ascii="Arial"/>
          <w:b/>
          <w:sz w:val="31"/>
        </w:rPr>
      </w:pPr>
    </w:p>
    <w:p w:rsidR="00EA4B3C" w:rsidRDefault="00996365">
      <w:pPr>
        <w:tabs>
          <w:tab w:val="left" w:pos="2023"/>
        </w:tabs>
        <w:spacing w:before="1"/>
        <w:ind w:left="115"/>
        <w:rPr>
          <w:rFonts w:ascii="Arial"/>
          <w:b/>
          <w:sz w:val="20"/>
        </w:rPr>
      </w:pPr>
      <w:r>
        <w:rPr>
          <w:rFonts w:ascii="Arial"/>
          <w:b/>
          <w:sz w:val="20"/>
        </w:rPr>
        <w:t>Portfolio</w:t>
      </w:r>
      <w:r>
        <w:rPr>
          <w:rFonts w:ascii="Arial"/>
          <w:b/>
          <w:sz w:val="20"/>
        </w:rPr>
        <w:tab/>
        <w:t>Revenue</w:t>
      </w:r>
    </w:p>
    <w:p w:rsidR="00EA4B3C" w:rsidRDefault="00EA4B3C">
      <w:pPr>
        <w:pStyle w:val="BodyText"/>
        <w:rPr>
          <w:rFonts w:ascii="Arial"/>
          <w:b/>
          <w:sz w:val="22"/>
        </w:rPr>
      </w:pPr>
    </w:p>
    <w:p w:rsidR="00EA4B3C" w:rsidRDefault="00EA4B3C">
      <w:pPr>
        <w:pStyle w:val="BodyText"/>
        <w:spacing w:before="9"/>
        <w:rPr>
          <w:rFonts w:ascii="Arial"/>
          <w:b/>
          <w:sz w:val="22"/>
        </w:rPr>
      </w:pPr>
    </w:p>
    <w:p w:rsidR="00EA4B3C" w:rsidRDefault="00996365">
      <w:pPr>
        <w:pStyle w:val="BodyText"/>
        <w:ind w:left="115"/>
      </w:pPr>
      <w:r>
        <w:t>On 11 June 2019, the Cabinet Legislation Committee:</w:t>
      </w:r>
    </w:p>
    <w:p w:rsidR="00EA4B3C" w:rsidRDefault="00EA4B3C">
      <w:pPr>
        <w:pStyle w:val="BodyText"/>
      </w:pPr>
    </w:p>
    <w:p w:rsidR="00EA4B3C" w:rsidRDefault="00996365">
      <w:pPr>
        <w:pStyle w:val="ListParagraph"/>
        <w:numPr>
          <w:ilvl w:val="0"/>
          <w:numId w:val="1"/>
        </w:numPr>
        <w:tabs>
          <w:tab w:val="left" w:pos="835"/>
          <w:tab w:val="left" w:pos="836"/>
        </w:tabs>
        <w:ind w:right="111"/>
        <w:rPr>
          <w:sz w:val="24"/>
        </w:rPr>
      </w:pPr>
      <w:r>
        <w:rPr>
          <w:b/>
          <w:sz w:val="24"/>
        </w:rPr>
        <w:t xml:space="preserve">noted </w:t>
      </w:r>
      <w:r>
        <w:rPr>
          <w:sz w:val="24"/>
        </w:rPr>
        <w:t>that on 22 May 2019, the Cabinet Economic Development Committee (DEV) to improve property tax compliance and enforcement, agreed to remove an exemption from the requirement to provide a person’s IRD number or tax identification number (and jurisdiction of tax residence) when the transfer of property relates to the person’s main</w:t>
      </w:r>
      <w:r>
        <w:rPr>
          <w:spacing w:val="-6"/>
          <w:sz w:val="24"/>
        </w:rPr>
        <w:t xml:space="preserve"> </w:t>
      </w:r>
      <w:r>
        <w:rPr>
          <w:sz w:val="24"/>
        </w:rPr>
        <w:t>home</w:t>
      </w:r>
    </w:p>
    <w:p w:rsidR="00EA4B3C" w:rsidRDefault="00996365">
      <w:pPr>
        <w:pStyle w:val="BodyText"/>
        <w:ind w:left="835"/>
      </w:pPr>
      <w:r>
        <w:t>[DEV-19-MIN-0127];</w:t>
      </w:r>
    </w:p>
    <w:p w:rsidR="00EA4B3C" w:rsidRDefault="00EA4B3C">
      <w:pPr>
        <w:pStyle w:val="BodyText"/>
        <w:spacing w:before="10"/>
        <w:rPr>
          <w:sz w:val="20"/>
        </w:rPr>
      </w:pPr>
    </w:p>
    <w:p w:rsidR="00EA4B3C" w:rsidRDefault="00996365">
      <w:pPr>
        <w:pStyle w:val="ListParagraph"/>
        <w:numPr>
          <w:ilvl w:val="0"/>
          <w:numId w:val="1"/>
        </w:numPr>
        <w:tabs>
          <w:tab w:val="left" w:pos="835"/>
          <w:tab w:val="left" w:pos="836"/>
        </w:tabs>
        <w:ind w:right="484"/>
        <w:rPr>
          <w:sz w:val="24"/>
        </w:rPr>
      </w:pPr>
      <w:r>
        <w:rPr>
          <w:b/>
          <w:sz w:val="24"/>
        </w:rPr>
        <w:t xml:space="preserve">noted </w:t>
      </w:r>
      <w:r>
        <w:rPr>
          <w:sz w:val="24"/>
        </w:rPr>
        <w:t>that Cabinet has previously agreed to retain an indicator on the Land Transfer Tax Statement to identify where it is a person’s main</w:t>
      </w:r>
      <w:r>
        <w:rPr>
          <w:spacing w:val="-2"/>
          <w:sz w:val="24"/>
        </w:rPr>
        <w:t xml:space="preserve"> </w:t>
      </w:r>
      <w:r>
        <w:rPr>
          <w:sz w:val="24"/>
        </w:rPr>
        <w:t>home;</w:t>
      </w:r>
    </w:p>
    <w:p w:rsidR="00EA4B3C" w:rsidRDefault="00EA4B3C">
      <w:pPr>
        <w:pStyle w:val="BodyText"/>
        <w:spacing w:before="10"/>
        <w:rPr>
          <w:sz w:val="20"/>
        </w:rPr>
      </w:pPr>
    </w:p>
    <w:p w:rsidR="00EA4B3C" w:rsidRDefault="00996365">
      <w:pPr>
        <w:pStyle w:val="ListParagraph"/>
        <w:numPr>
          <w:ilvl w:val="0"/>
          <w:numId w:val="1"/>
        </w:numPr>
        <w:tabs>
          <w:tab w:val="left" w:pos="835"/>
          <w:tab w:val="left" w:pos="836"/>
        </w:tabs>
        <w:ind w:right="351"/>
        <w:rPr>
          <w:sz w:val="24"/>
        </w:rPr>
      </w:pPr>
      <w:r>
        <w:rPr>
          <w:b/>
          <w:sz w:val="24"/>
        </w:rPr>
        <w:t xml:space="preserve">agreed </w:t>
      </w:r>
      <w:r>
        <w:rPr>
          <w:sz w:val="24"/>
        </w:rPr>
        <w:t>that the main home indicator should apply to transfers by both natural persons and for transfers of property held in a</w:t>
      </w:r>
      <w:r>
        <w:rPr>
          <w:spacing w:val="-1"/>
          <w:sz w:val="24"/>
        </w:rPr>
        <w:t xml:space="preserve"> </w:t>
      </w:r>
      <w:r>
        <w:rPr>
          <w:sz w:val="24"/>
        </w:rPr>
        <w:t>trust;</w:t>
      </w:r>
    </w:p>
    <w:p w:rsidR="00EA4B3C" w:rsidRDefault="00EA4B3C">
      <w:pPr>
        <w:pStyle w:val="BodyText"/>
        <w:spacing w:before="10"/>
        <w:rPr>
          <w:sz w:val="20"/>
        </w:rPr>
      </w:pPr>
    </w:p>
    <w:p w:rsidR="00EA4B3C" w:rsidRDefault="00996365">
      <w:pPr>
        <w:pStyle w:val="ListParagraph"/>
        <w:numPr>
          <w:ilvl w:val="0"/>
          <w:numId w:val="1"/>
        </w:numPr>
        <w:tabs>
          <w:tab w:val="left" w:pos="835"/>
          <w:tab w:val="left" w:pos="836"/>
        </w:tabs>
        <w:ind w:right="219"/>
        <w:rPr>
          <w:sz w:val="24"/>
        </w:rPr>
      </w:pPr>
      <w:r>
        <w:rPr>
          <w:b/>
          <w:sz w:val="24"/>
        </w:rPr>
        <w:t xml:space="preserve">noted </w:t>
      </w:r>
      <w:r>
        <w:rPr>
          <w:sz w:val="24"/>
        </w:rPr>
        <w:t>that the attached Supplementary Order Paper (SOP) makes substantive, remedial</w:t>
      </w:r>
      <w:r>
        <w:rPr>
          <w:spacing w:val="-25"/>
          <w:sz w:val="24"/>
        </w:rPr>
        <w:t xml:space="preserve"> </w:t>
      </w:r>
      <w:r>
        <w:rPr>
          <w:sz w:val="24"/>
        </w:rPr>
        <w:t>and technical amendments</w:t>
      </w:r>
      <w:r>
        <w:rPr>
          <w:spacing w:val="-2"/>
          <w:sz w:val="24"/>
        </w:rPr>
        <w:t xml:space="preserve"> </w:t>
      </w:r>
      <w:r>
        <w:rPr>
          <w:sz w:val="24"/>
        </w:rPr>
        <w:t>to:</w:t>
      </w:r>
    </w:p>
    <w:p w:rsidR="00EA4B3C" w:rsidRDefault="00EA4B3C">
      <w:pPr>
        <w:pStyle w:val="BodyText"/>
        <w:spacing w:before="10"/>
        <w:rPr>
          <w:sz w:val="20"/>
        </w:rPr>
      </w:pPr>
    </w:p>
    <w:p w:rsidR="00EA4B3C" w:rsidRDefault="00996365">
      <w:pPr>
        <w:pStyle w:val="ListParagraph"/>
        <w:numPr>
          <w:ilvl w:val="1"/>
          <w:numId w:val="1"/>
        </w:numPr>
        <w:tabs>
          <w:tab w:val="left" w:pos="1555"/>
          <w:tab w:val="left" w:pos="1556"/>
        </w:tabs>
        <w:spacing w:before="1"/>
        <w:ind w:right="478"/>
        <w:rPr>
          <w:sz w:val="24"/>
        </w:rPr>
      </w:pPr>
      <w:r>
        <w:rPr>
          <w:sz w:val="24"/>
        </w:rPr>
        <w:t>the Land Transfer Act 2017, to remove an exemption from the requirement to provide a person’s IRD number and, if applicable, any tax identification</w:t>
      </w:r>
      <w:r>
        <w:rPr>
          <w:spacing w:val="-20"/>
          <w:sz w:val="24"/>
        </w:rPr>
        <w:t xml:space="preserve"> </w:t>
      </w:r>
      <w:r>
        <w:rPr>
          <w:sz w:val="24"/>
        </w:rPr>
        <w:t>numbers and jurisdictions of tax residence;</w:t>
      </w:r>
    </w:p>
    <w:p w:rsidR="00EA4B3C" w:rsidRDefault="00EA4B3C">
      <w:pPr>
        <w:pStyle w:val="BodyText"/>
        <w:spacing w:before="9"/>
        <w:rPr>
          <w:sz w:val="20"/>
        </w:rPr>
      </w:pPr>
    </w:p>
    <w:p w:rsidR="00EA4B3C" w:rsidRDefault="00996365">
      <w:pPr>
        <w:pStyle w:val="ListParagraph"/>
        <w:numPr>
          <w:ilvl w:val="1"/>
          <w:numId w:val="1"/>
        </w:numPr>
        <w:tabs>
          <w:tab w:val="left" w:pos="1555"/>
          <w:tab w:val="left" w:pos="1556"/>
        </w:tabs>
        <w:spacing w:before="1"/>
        <w:rPr>
          <w:sz w:val="24"/>
        </w:rPr>
      </w:pPr>
      <w:r>
        <w:rPr>
          <w:sz w:val="24"/>
        </w:rPr>
        <w:t>the Income Tax Act</w:t>
      </w:r>
      <w:r>
        <w:rPr>
          <w:spacing w:val="2"/>
          <w:sz w:val="24"/>
        </w:rPr>
        <w:t xml:space="preserve"> </w:t>
      </w:r>
      <w:r>
        <w:rPr>
          <w:sz w:val="24"/>
        </w:rPr>
        <w:t>2007;</w:t>
      </w:r>
    </w:p>
    <w:p w:rsidR="00EA4B3C" w:rsidRDefault="00EA4B3C">
      <w:pPr>
        <w:pStyle w:val="BodyText"/>
        <w:spacing w:before="9"/>
        <w:rPr>
          <w:sz w:val="20"/>
        </w:rPr>
      </w:pPr>
    </w:p>
    <w:p w:rsidR="00EA4B3C" w:rsidRDefault="00996365">
      <w:pPr>
        <w:pStyle w:val="ListParagraph"/>
        <w:numPr>
          <w:ilvl w:val="1"/>
          <w:numId w:val="1"/>
        </w:numPr>
        <w:tabs>
          <w:tab w:val="left" w:pos="1555"/>
          <w:tab w:val="left" w:pos="1556"/>
        </w:tabs>
        <w:spacing w:before="1"/>
        <w:rPr>
          <w:sz w:val="24"/>
        </w:rPr>
      </w:pPr>
      <w:r>
        <w:rPr>
          <w:sz w:val="24"/>
        </w:rPr>
        <w:t>the Goods and Services Tax Act</w:t>
      </w:r>
      <w:r>
        <w:rPr>
          <w:spacing w:val="2"/>
          <w:sz w:val="24"/>
        </w:rPr>
        <w:t xml:space="preserve"> </w:t>
      </w:r>
      <w:r>
        <w:rPr>
          <w:sz w:val="24"/>
        </w:rPr>
        <w:t>1985.</w:t>
      </w:r>
    </w:p>
    <w:p w:rsidR="00EA4B3C" w:rsidRDefault="00EA4B3C">
      <w:pPr>
        <w:pStyle w:val="BodyText"/>
        <w:spacing w:before="10"/>
        <w:rPr>
          <w:sz w:val="20"/>
        </w:rPr>
      </w:pPr>
    </w:p>
    <w:p w:rsidR="00EA4B3C" w:rsidRDefault="00996365">
      <w:pPr>
        <w:pStyle w:val="ListParagraph"/>
        <w:numPr>
          <w:ilvl w:val="0"/>
          <w:numId w:val="1"/>
        </w:numPr>
        <w:tabs>
          <w:tab w:val="left" w:pos="835"/>
          <w:tab w:val="left" w:pos="836"/>
        </w:tabs>
        <w:ind w:right="211"/>
        <w:rPr>
          <w:sz w:val="24"/>
        </w:rPr>
      </w:pPr>
      <w:r>
        <w:rPr>
          <w:b/>
          <w:sz w:val="24"/>
        </w:rPr>
        <w:t xml:space="preserve">approved </w:t>
      </w:r>
      <w:r>
        <w:rPr>
          <w:sz w:val="24"/>
        </w:rPr>
        <w:t>the attached SOP for release [IR</w:t>
      </w:r>
      <w:hyperlink r:id="rId8">
        <w:r>
          <w:rPr>
            <w:sz w:val="24"/>
          </w:rPr>
          <w:t>D 21621-2/</w:t>
        </w:r>
      </w:hyperlink>
      <w:r>
        <w:rPr>
          <w:sz w:val="24"/>
        </w:rPr>
        <w:t>1.12], subject to the final approval</w:t>
      </w:r>
      <w:r>
        <w:rPr>
          <w:spacing w:val="-20"/>
          <w:sz w:val="24"/>
        </w:rPr>
        <w:t xml:space="preserve"> </w:t>
      </w:r>
      <w:r>
        <w:rPr>
          <w:sz w:val="24"/>
        </w:rPr>
        <w:t>of the government caucuses and sufficient support in the House of</w:t>
      </w:r>
      <w:r>
        <w:rPr>
          <w:spacing w:val="-6"/>
          <w:sz w:val="24"/>
        </w:rPr>
        <w:t xml:space="preserve"> </w:t>
      </w:r>
      <w:r>
        <w:rPr>
          <w:sz w:val="24"/>
        </w:rPr>
        <w:t>Representatives;</w:t>
      </w:r>
    </w:p>
    <w:p w:rsidR="00EA4B3C" w:rsidRDefault="00EA4B3C">
      <w:pPr>
        <w:pStyle w:val="BodyText"/>
        <w:spacing w:before="10"/>
        <w:rPr>
          <w:sz w:val="20"/>
        </w:rPr>
      </w:pPr>
    </w:p>
    <w:p w:rsidR="00EA4B3C" w:rsidRDefault="00996365">
      <w:pPr>
        <w:pStyle w:val="ListParagraph"/>
        <w:numPr>
          <w:ilvl w:val="0"/>
          <w:numId w:val="1"/>
        </w:numPr>
        <w:tabs>
          <w:tab w:val="left" w:pos="835"/>
          <w:tab w:val="left" w:pos="836"/>
        </w:tabs>
        <w:ind w:right="178"/>
        <w:rPr>
          <w:sz w:val="24"/>
        </w:rPr>
      </w:pPr>
      <w:r>
        <w:rPr>
          <w:b/>
          <w:sz w:val="24"/>
        </w:rPr>
        <w:t xml:space="preserve">authorised </w:t>
      </w:r>
      <w:r>
        <w:rPr>
          <w:sz w:val="24"/>
        </w:rPr>
        <w:t>the Minister of Revenue to make minor amendments of a technical nature to</w:t>
      </w:r>
      <w:r>
        <w:rPr>
          <w:spacing w:val="-23"/>
          <w:sz w:val="24"/>
        </w:rPr>
        <w:t xml:space="preserve"> </w:t>
      </w:r>
      <w:r>
        <w:rPr>
          <w:sz w:val="24"/>
        </w:rPr>
        <w:t>the SOP in relation to the measures recommended in the paper under LEG-19-SUB-0078 without further reference to</w:t>
      </w:r>
      <w:r>
        <w:rPr>
          <w:spacing w:val="2"/>
          <w:sz w:val="24"/>
        </w:rPr>
        <w:t xml:space="preserve"> </w:t>
      </w:r>
      <w:r>
        <w:rPr>
          <w:sz w:val="24"/>
        </w:rPr>
        <w:t>Cabinet;</w:t>
      </w:r>
    </w:p>
    <w:p w:rsidR="00EA4B3C" w:rsidRDefault="00EA4B3C">
      <w:pPr>
        <w:rPr>
          <w:sz w:val="24"/>
        </w:rPr>
        <w:sectPr w:rsidR="00EA4B3C">
          <w:headerReference w:type="default" r:id="rId9"/>
          <w:footerReference w:type="default" r:id="rId10"/>
          <w:type w:val="continuous"/>
          <w:pgSz w:w="11900" w:h="16840"/>
          <w:pgMar w:top="840" w:right="1040" w:bottom="780" w:left="1020" w:header="405" w:footer="582" w:gutter="0"/>
          <w:pgNumType w:start="1"/>
          <w:cols w:space="720"/>
        </w:sectPr>
      </w:pPr>
    </w:p>
    <w:p w:rsidR="00EA4B3C" w:rsidRDefault="00EA4B3C">
      <w:pPr>
        <w:pStyle w:val="BodyText"/>
        <w:rPr>
          <w:sz w:val="20"/>
        </w:rPr>
      </w:pPr>
    </w:p>
    <w:p w:rsidR="00EA4B3C" w:rsidRDefault="00EA4B3C">
      <w:pPr>
        <w:pStyle w:val="BodyText"/>
        <w:spacing w:before="6"/>
        <w:rPr>
          <w:sz w:val="21"/>
        </w:rPr>
      </w:pPr>
    </w:p>
    <w:p w:rsidR="00EA4B3C" w:rsidRDefault="00996365">
      <w:pPr>
        <w:pStyle w:val="ListParagraph"/>
        <w:numPr>
          <w:ilvl w:val="0"/>
          <w:numId w:val="1"/>
        </w:numPr>
        <w:tabs>
          <w:tab w:val="left" w:pos="835"/>
          <w:tab w:val="left" w:pos="836"/>
        </w:tabs>
        <w:spacing w:before="90"/>
        <w:ind w:right="245"/>
        <w:jc w:val="both"/>
        <w:rPr>
          <w:sz w:val="24"/>
        </w:rPr>
      </w:pPr>
      <w:r>
        <w:rPr>
          <w:b/>
          <w:sz w:val="24"/>
        </w:rPr>
        <w:t xml:space="preserve">agreed </w:t>
      </w:r>
      <w:r>
        <w:rPr>
          <w:sz w:val="24"/>
        </w:rPr>
        <w:t>that the attached SOP should be released before the Committee of the whole House stage of the Taxation (Annual Rates for 2019–20, GST Offshore Supplier Registration,</w:t>
      </w:r>
      <w:r>
        <w:rPr>
          <w:spacing w:val="-22"/>
          <w:sz w:val="24"/>
        </w:rPr>
        <w:t xml:space="preserve"> </w:t>
      </w:r>
      <w:r>
        <w:rPr>
          <w:sz w:val="24"/>
        </w:rPr>
        <w:t>and Remedial Matters) Bill, which is expected to occur between 18-20 June</w:t>
      </w:r>
      <w:r>
        <w:rPr>
          <w:spacing w:val="-5"/>
          <w:sz w:val="24"/>
        </w:rPr>
        <w:t xml:space="preserve"> </w:t>
      </w:r>
      <w:r>
        <w:rPr>
          <w:sz w:val="24"/>
        </w:rPr>
        <w:t>2019.</w:t>
      </w:r>
    </w:p>
    <w:p w:rsidR="00EA4B3C" w:rsidRDefault="00EA4B3C">
      <w:pPr>
        <w:pStyle w:val="BodyText"/>
        <w:rPr>
          <w:sz w:val="26"/>
        </w:rPr>
      </w:pPr>
    </w:p>
    <w:p w:rsidR="00EA4B3C" w:rsidRDefault="00EA4B3C">
      <w:pPr>
        <w:pStyle w:val="BodyText"/>
        <w:rPr>
          <w:sz w:val="26"/>
        </w:rPr>
      </w:pPr>
    </w:p>
    <w:p w:rsidR="00EA4B3C" w:rsidRDefault="00EA4B3C">
      <w:pPr>
        <w:pStyle w:val="BodyText"/>
        <w:rPr>
          <w:sz w:val="26"/>
        </w:rPr>
      </w:pPr>
    </w:p>
    <w:p w:rsidR="00EA4B3C" w:rsidRDefault="00EA4B3C">
      <w:pPr>
        <w:pStyle w:val="BodyText"/>
        <w:rPr>
          <w:sz w:val="26"/>
        </w:rPr>
      </w:pPr>
    </w:p>
    <w:p w:rsidR="00EA4B3C" w:rsidRDefault="00EA4B3C">
      <w:pPr>
        <w:pStyle w:val="BodyText"/>
        <w:spacing w:before="10"/>
        <w:rPr>
          <w:sz w:val="36"/>
        </w:rPr>
      </w:pPr>
    </w:p>
    <w:p w:rsidR="00EA4B3C" w:rsidRDefault="006271C6">
      <w:pPr>
        <w:pStyle w:val="BodyText"/>
        <w:spacing w:after="25"/>
        <w:ind w:left="115" w:right="7672"/>
      </w:pPr>
      <w:r>
        <w:pict>
          <v:line id="_x0000_s1026" style="position:absolute;left:0;text-align:left;z-index:1096;mso-position-horizontal-relative:page" from="56.7pt,28.85pt" to="538.5pt,28.85pt" strokecolor="#000001" strokeweight=".5pt">
            <w10:wrap anchorx="page"/>
          </v:line>
        </w:pict>
      </w:r>
      <w:r w:rsidR="00996365">
        <w:t>Vivien Meek Committee Secretary</w:t>
      </w:r>
    </w:p>
    <w:tbl>
      <w:tblPr>
        <w:tblW w:w="0" w:type="auto"/>
        <w:tblInd w:w="121" w:type="dxa"/>
        <w:tblLayout w:type="fixed"/>
        <w:tblCellMar>
          <w:left w:w="0" w:type="dxa"/>
          <w:right w:w="0" w:type="dxa"/>
        </w:tblCellMar>
        <w:tblLook w:val="01E0" w:firstRow="1" w:lastRow="1" w:firstColumn="1" w:lastColumn="1" w:noHBand="0" w:noVBand="0"/>
      </w:tblPr>
      <w:tblGrid>
        <w:gridCol w:w="3390"/>
        <w:gridCol w:w="4097"/>
      </w:tblGrid>
      <w:tr w:rsidR="00EA4B3C">
        <w:trPr>
          <w:trHeight w:val="744"/>
        </w:trPr>
        <w:tc>
          <w:tcPr>
            <w:tcW w:w="3390" w:type="dxa"/>
          </w:tcPr>
          <w:p w:rsidR="00EA4B3C" w:rsidRDefault="00EA4B3C">
            <w:pPr>
              <w:pStyle w:val="TableParagraph"/>
              <w:spacing w:before="5"/>
              <w:ind w:left="0"/>
              <w:rPr>
                <w:sz w:val="24"/>
              </w:rPr>
            </w:pPr>
          </w:p>
          <w:p w:rsidR="00EA4B3C" w:rsidRDefault="00996365">
            <w:pPr>
              <w:pStyle w:val="TableParagraph"/>
              <w:spacing w:line="229" w:lineRule="exact"/>
              <w:rPr>
                <w:rFonts w:ascii="Arial"/>
                <w:b/>
                <w:sz w:val="20"/>
              </w:rPr>
            </w:pPr>
            <w:r>
              <w:rPr>
                <w:rFonts w:ascii="Arial"/>
                <w:b/>
                <w:sz w:val="20"/>
              </w:rPr>
              <w:t>Present:</w:t>
            </w:r>
          </w:p>
          <w:p w:rsidR="00EA4B3C" w:rsidRDefault="00996365">
            <w:pPr>
              <w:pStyle w:val="TableParagraph"/>
              <w:spacing w:line="214" w:lineRule="exact"/>
              <w:rPr>
                <w:sz w:val="20"/>
              </w:rPr>
            </w:pPr>
            <w:r>
              <w:rPr>
                <w:sz w:val="20"/>
              </w:rPr>
              <w:t>Rt Hon Winston Peters</w:t>
            </w:r>
          </w:p>
        </w:tc>
        <w:tc>
          <w:tcPr>
            <w:tcW w:w="4097" w:type="dxa"/>
          </w:tcPr>
          <w:p w:rsidR="00EA4B3C" w:rsidRDefault="00EA4B3C">
            <w:pPr>
              <w:pStyle w:val="TableParagraph"/>
              <w:spacing w:before="5"/>
              <w:ind w:left="0"/>
              <w:rPr>
                <w:sz w:val="24"/>
              </w:rPr>
            </w:pPr>
          </w:p>
          <w:p w:rsidR="00EA4B3C" w:rsidRDefault="00996365">
            <w:pPr>
              <w:pStyle w:val="TableParagraph"/>
              <w:spacing w:line="229" w:lineRule="exact"/>
              <w:ind w:left="1540"/>
              <w:rPr>
                <w:rFonts w:ascii="Arial"/>
                <w:b/>
                <w:sz w:val="20"/>
              </w:rPr>
            </w:pPr>
            <w:r>
              <w:rPr>
                <w:rFonts w:ascii="Arial"/>
                <w:b/>
                <w:sz w:val="20"/>
              </w:rPr>
              <w:t>Officials present from:</w:t>
            </w:r>
          </w:p>
          <w:p w:rsidR="00EA4B3C" w:rsidRDefault="00996365">
            <w:pPr>
              <w:pStyle w:val="TableParagraph"/>
              <w:spacing w:line="214" w:lineRule="exact"/>
              <w:ind w:left="1540"/>
              <w:rPr>
                <w:sz w:val="20"/>
              </w:rPr>
            </w:pPr>
            <w:r>
              <w:rPr>
                <w:sz w:val="20"/>
              </w:rPr>
              <w:t>Office of the Prime Minister</w:t>
            </w:r>
          </w:p>
        </w:tc>
      </w:tr>
      <w:tr w:rsidR="00EA4B3C">
        <w:trPr>
          <w:trHeight w:val="228"/>
        </w:trPr>
        <w:tc>
          <w:tcPr>
            <w:tcW w:w="3390" w:type="dxa"/>
          </w:tcPr>
          <w:p w:rsidR="00EA4B3C" w:rsidRDefault="00996365">
            <w:pPr>
              <w:pStyle w:val="TableParagraph"/>
              <w:spacing w:line="209" w:lineRule="exact"/>
              <w:rPr>
                <w:sz w:val="20"/>
              </w:rPr>
            </w:pPr>
            <w:r>
              <w:rPr>
                <w:sz w:val="20"/>
              </w:rPr>
              <w:t>Hon David Parker</w:t>
            </w:r>
          </w:p>
        </w:tc>
        <w:tc>
          <w:tcPr>
            <w:tcW w:w="4097" w:type="dxa"/>
          </w:tcPr>
          <w:p w:rsidR="00EA4B3C" w:rsidRDefault="00996365">
            <w:pPr>
              <w:pStyle w:val="TableParagraph"/>
              <w:spacing w:line="209" w:lineRule="exact"/>
              <w:ind w:left="1540"/>
              <w:rPr>
                <w:sz w:val="20"/>
              </w:rPr>
            </w:pPr>
            <w:r>
              <w:rPr>
                <w:sz w:val="20"/>
              </w:rPr>
              <w:t>Officials Committee for LEG</w:t>
            </w:r>
          </w:p>
        </w:tc>
      </w:tr>
      <w:tr w:rsidR="00EA4B3C">
        <w:trPr>
          <w:trHeight w:val="229"/>
        </w:trPr>
        <w:tc>
          <w:tcPr>
            <w:tcW w:w="3390" w:type="dxa"/>
          </w:tcPr>
          <w:p w:rsidR="00EA4B3C" w:rsidRDefault="00996365">
            <w:pPr>
              <w:pStyle w:val="TableParagraph"/>
              <w:spacing w:line="209" w:lineRule="exact"/>
              <w:rPr>
                <w:sz w:val="20"/>
              </w:rPr>
            </w:pPr>
            <w:r>
              <w:rPr>
                <w:sz w:val="20"/>
              </w:rPr>
              <w:t>Hon Stuart Nash</w:t>
            </w:r>
          </w:p>
        </w:tc>
        <w:tc>
          <w:tcPr>
            <w:tcW w:w="4097" w:type="dxa"/>
          </w:tcPr>
          <w:p w:rsidR="00EA4B3C" w:rsidRDefault="00EA4B3C">
            <w:pPr>
              <w:pStyle w:val="TableParagraph"/>
              <w:ind w:left="0"/>
              <w:rPr>
                <w:sz w:val="16"/>
              </w:rPr>
            </w:pPr>
          </w:p>
        </w:tc>
      </w:tr>
      <w:tr w:rsidR="00EA4B3C">
        <w:trPr>
          <w:trHeight w:val="229"/>
        </w:trPr>
        <w:tc>
          <w:tcPr>
            <w:tcW w:w="3390" w:type="dxa"/>
          </w:tcPr>
          <w:p w:rsidR="00EA4B3C" w:rsidRDefault="00996365">
            <w:pPr>
              <w:pStyle w:val="TableParagraph"/>
              <w:spacing w:line="209" w:lineRule="exact"/>
              <w:rPr>
                <w:sz w:val="20"/>
              </w:rPr>
            </w:pPr>
            <w:r>
              <w:rPr>
                <w:sz w:val="20"/>
              </w:rPr>
              <w:t>Hon Iain Lees-Galloway (Chair)</w:t>
            </w:r>
          </w:p>
        </w:tc>
        <w:tc>
          <w:tcPr>
            <w:tcW w:w="4097" w:type="dxa"/>
          </w:tcPr>
          <w:p w:rsidR="00EA4B3C" w:rsidRDefault="00EA4B3C">
            <w:pPr>
              <w:pStyle w:val="TableParagraph"/>
              <w:ind w:left="0"/>
              <w:rPr>
                <w:sz w:val="16"/>
              </w:rPr>
            </w:pPr>
          </w:p>
        </w:tc>
      </w:tr>
      <w:tr w:rsidR="00EA4B3C">
        <w:trPr>
          <w:trHeight w:val="229"/>
        </w:trPr>
        <w:tc>
          <w:tcPr>
            <w:tcW w:w="3390" w:type="dxa"/>
          </w:tcPr>
          <w:p w:rsidR="00EA4B3C" w:rsidRDefault="00996365">
            <w:pPr>
              <w:pStyle w:val="TableParagraph"/>
              <w:spacing w:line="209" w:lineRule="exact"/>
              <w:rPr>
                <w:sz w:val="20"/>
              </w:rPr>
            </w:pPr>
            <w:r>
              <w:rPr>
                <w:sz w:val="20"/>
              </w:rPr>
              <w:t xml:space="preserve">Hon Jenny </w:t>
            </w:r>
            <w:proofErr w:type="spellStart"/>
            <w:r>
              <w:rPr>
                <w:sz w:val="20"/>
              </w:rPr>
              <w:t>Salesa</w:t>
            </w:r>
            <w:proofErr w:type="spellEnd"/>
          </w:p>
        </w:tc>
        <w:tc>
          <w:tcPr>
            <w:tcW w:w="4097" w:type="dxa"/>
          </w:tcPr>
          <w:p w:rsidR="00EA4B3C" w:rsidRDefault="00EA4B3C">
            <w:pPr>
              <w:pStyle w:val="TableParagraph"/>
              <w:ind w:left="0"/>
              <w:rPr>
                <w:sz w:val="16"/>
              </w:rPr>
            </w:pPr>
          </w:p>
        </w:tc>
      </w:tr>
      <w:tr w:rsidR="00EA4B3C">
        <w:trPr>
          <w:trHeight w:val="229"/>
        </w:trPr>
        <w:tc>
          <w:tcPr>
            <w:tcW w:w="3390" w:type="dxa"/>
          </w:tcPr>
          <w:p w:rsidR="00EA4B3C" w:rsidRDefault="00996365">
            <w:pPr>
              <w:pStyle w:val="TableParagraph"/>
              <w:spacing w:line="209" w:lineRule="exact"/>
              <w:rPr>
                <w:sz w:val="20"/>
              </w:rPr>
            </w:pPr>
            <w:r>
              <w:rPr>
                <w:sz w:val="20"/>
              </w:rPr>
              <w:t>Hon Tracey Martin</w:t>
            </w:r>
          </w:p>
        </w:tc>
        <w:tc>
          <w:tcPr>
            <w:tcW w:w="4097" w:type="dxa"/>
          </w:tcPr>
          <w:p w:rsidR="00EA4B3C" w:rsidRDefault="00EA4B3C">
            <w:pPr>
              <w:pStyle w:val="TableParagraph"/>
              <w:ind w:left="0"/>
              <w:rPr>
                <w:sz w:val="16"/>
              </w:rPr>
            </w:pPr>
          </w:p>
        </w:tc>
      </w:tr>
      <w:tr w:rsidR="00EA4B3C">
        <w:trPr>
          <w:trHeight w:val="228"/>
        </w:trPr>
        <w:tc>
          <w:tcPr>
            <w:tcW w:w="3390" w:type="dxa"/>
          </w:tcPr>
          <w:p w:rsidR="00EA4B3C" w:rsidRDefault="00996365">
            <w:pPr>
              <w:pStyle w:val="TableParagraph"/>
              <w:spacing w:line="209" w:lineRule="exact"/>
              <w:rPr>
                <w:sz w:val="20"/>
              </w:rPr>
            </w:pPr>
            <w:r>
              <w:rPr>
                <w:sz w:val="20"/>
              </w:rPr>
              <w:t xml:space="preserve">Hon Julie Ann </w:t>
            </w:r>
            <w:proofErr w:type="spellStart"/>
            <w:r>
              <w:rPr>
                <w:sz w:val="20"/>
              </w:rPr>
              <w:t>Genter</w:t>
            </w:r>
            <w:proofErr w:type="spellEnd"/>
          </w:p>
        </w:tc>
        <w:tc>
          <w:tcPr>
            <w:tcW w:w="4097" w:type="dxa"/>
          </w:tcPr>
          <w:p w:rsidR="00EA4B3C" w:rsidRDefault="00EA4B3C">
            <w:pPr>
              <w:pStyle w:val="TableParagraph"/>
              <w:ind w:left="0"/>
              <w:rPr>
                <w:sz w:val="16"/>
              </w:rPr>
            </w:pPr>
          </w:p>
        </w:tc>
      </w:tr>
      <w:tr w:rsidR="00EA4B3C">
        <w:trPr>
          <w:trHeight w:val="228"/>
        </w:trPr>
        <w:tc>
          <w:tcPr>
            <w:tcW w:w="3390" w:type="dxa"/>
          </w:tcPr>
          <w:p w:rsidR="00EA4B3C" w:rsidRDefault="00996365">
            <w:pPr>
              <w:pStyle w:val="TableParagraph"/>
              <w:spacing w:line="209" w:lineRule="exact"/>
              <w:rPr>
                <w:sz w:val="20"/>
              </w:rPr>
            </w:pPr>
            <w:r>
              <w:rPr>
                <w:sz w:val="20"/>
              </w:rPr>
              <w:t>Hon Eugenie Sage</w:t>
            </w:r>
          </w:p>
        </w:tc>
        <w:tc>
          <w:tcPr>
            <w:tcW w:w="4097" w:type="dxa"/>
          </w:tcPr>
          <w:p w:rsidR="00EA4B3C" w:rsidRDefault="00EA4B3C">
            <w:pPr>
              <w:pStyle w:val="TableParagraph"/>
              <w:ind w:left="0"/>
              <w:rPr>
                <w:sz w:val="16"/>
              </w:rPr>
            </w:pPr>
          </w:p>
        </w:tc>
      </w:tr>
      <w:tr w:rsidR="00EA4B3C">
        <w:trPr>
          <w:trHeight w:val="366"/>
        </w:trPr>
        <w:tc>
          <w:tcPr>
            <w:tcW w:w="7487" w:type="dxa"/>
            <w:gridSpan w:val="2"/>
          </w:tcPr>
          <w:p w:rsidR="00EA4B3C" w:rsidRDefault="00996365">
            <w:pPr>
              <w:pStyle w:val="TableParagraph"/>
              <w:spacing w:line="225" w:lineRule="exact"/>
              <w:rPr>
                <w:sz w:val="20"/>
              </w:rPr>
            </w:pPr>
            <w:r>
              <w:rPr>
                <w:sz w:val="20"/>
              </w:rPr>
              <w:t>Hon Ruth Dyson (Senior Government Whip)</w:t>
            </w:r>
          </w:p>
        </w:tc>
      </w:tr>
      <w:tr w:rsidR="00EA4B3C">
        <w:trPr>
          <w:trHeight w:val="594"/>
        </w:trPr>
        <w:tc>
          <w:tcPr>
            <w:tcW w:w="3390" w:type="dxa"/>
          </w:tcPr>
          <w:p w:rsidR="00EA4B3C" w:rsidRDefault="00996365">
            <w:pPr>
              <w:pStyle w:val="TableParagraph"/>
              <w:spacing w:before="135" w:line="229" w:lineRule="exact"/>
              <w:rPr>
                <w:rFonts w:ascii="Arial"/>
                <w:b/>
                <w:sz w:val="20"/>
              </w:rPr>
            </w:pPr>
            <w:r>
              <w:rPr>
                <w:rFonts w:ascii="Arial"/>
                <w:b/>
                <w:sz w:val="20"/>
              </w:rPr>
              <w:t>Hard-copy distribution:</w:t>
            </w:r>
          </w:p>
          <w:p w:rsidR="00EA4B3C" w:rsidRDefault="00996365">
            <w:pPr>
              <w:pStyle w:val="TableParagraph"/>
              <w:spacing w:line="209" w:lineRule="exact"/>
              <w:rPr>
                <w:sz w:val="20"/>
              </w:rPr>
            </w:pPr>
            <w:r>
              <w:rPr>
                <w:sz w:val="20"/>
              </w:rPr>
              <w:t>Minister of Revenue</w:t>
            </w:r>
          </w:p>
        </w:tc>
        <w:tc>
          <w:tcPr>
            <w:tcW w:w="4097" w:type="dxa"/>
          </w:tcPr>
          <w:p w:rsidR="00EA4B3C" w:rsidRDefault="00EA4B3C">
            <w:pPr>
              <w:pStyle w:val="TableParagraph"/>
              <w:ind w:left="0"/>
              <w:rPr>
                <w:sz w:val="20"/>
              </w:rPr>
            </w:pPr>
          </w:p>
        </w:tc>
      </w:tr>
    </w:tbl>
    <w:p w:rsidR="00644135" w:rsidRDefault="00644135"/>
    <w:sectPr w:rsidR="00644135">
      <w:pgSz w:w="11900" w:h="16840"/>
      <w:pgMar w:top="840" w:right="1040" w:bottom="780" w:left="1020" w:header="405"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135" w:rsidRDefault="00996365">
      <w:r>
        <w:separator/>
      </w:r>
    </w:p>
  </w:endnote>
  <w:endnote w:type="continuationSeparator" w:id="0">
    <w:p w:rsidR="00644135" w:rsidRDefault="0099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B3C" w:rsidRDefault="006271C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4936;mso-position-horizontal-relative:page;mso-position-vertical-relative:page" filled="f" stroked="f">
          <v:textbox inset="0,0,0,0">
            <w:txbxContent>
              <w:p w:rsidR="00EA4B3C" w:rsidRDefault="00996365">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4912;mso-position-horizontal-relative:page;mso-position-vertical-relative:page" filled="f" stroked="f">
          <v:textbox inset="0,0,0,0">
            <w:txbxContent>
              <w:p w:rsidR="00EA4B3C" w:rsidRDefault="00996365">
                <w:pPr>
                  <w:spacing w:before="13"/>
                  <w:ind w:left="20"/>
                  <w:rPr>
                    <w:rFonts w:ascii="Arial"/>
                    <w:b/>
                    <w:sz w:val="20"/>
                  </w:rPr>
                </w:pPr>
                <w:r>
                  <w:rPr>
                    <w:rFonts w:ascii="Arial"/>
                    <w:b/>
                    <w:sz w:val="20"/>
                  </w:rPr>
                  <w:t>I N  C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135" w:rsidRDefault="00996365">
      <w:r>
        <w:separator/>
      </w:r>
    </w:p>
  </w:footnote>
  <w:footnote w:type="continuationSeparator" w:id="0">
    <w:p w:rsidR="00644135" w:rsidRDefault="0099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B3C" w:rsidRDefault="006271C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4984;mso-position-horizontal-relative:page;mso-position-vertical-relative:page" filled="f" stroked="f">
          <v:textbox inset="0,0,0,0">
            <w:txbxContent>
              <w:p w:rsidR="00EA4B3C" w:rsidRDefault="00996365">
                <w:pPr>
                  <w:spacing w:before="13"/>
                  <w:ind w:left="20"/>
                  <w:rPr>
                    <w:rFonts w:ascii="Arial"/>
                    <w:b/>
                    <w:sz w:val="20"/>
                  </w:rPr>
                </w:pPr>
                <w:r>
                  <w:rPr>
                    <w:rFonts w:ascii="Arial"/>
                    <w:b/>
                    <w:sz w:val="20"/>
                  </w:rPr>
                  <w:t>I N  C O N F I D E N C E</w:t>
                </w:r>
              </w:p>
            </w:txbxContent>
          </v:textbox>
          <w10:wrap anchorx="page" anchory="page"/>
        </v:shape>
      </w:pict>
    </w:r>
    <w:r>
      <w:pict>
        <v:shape id="_x0000_s2052" type="#_x0000_t202" style="position:absolute;margin-left:452.7pt;margin-top:30.75pt;width:84.2pt;height:13.2pt;z-index:-4960;mso-position-horizontal-relative:page;mso-position-vertical-relative:page" filled="f" stroked="f">
          <v:textbox inset="0,0,0,0">
            <w:txbxContent>
              <w:p w:rsidR="00EA4B3C" w:rsidRDefault="00996365">
                <w:pPr>
                  <w:spacing w:before="13"/>
                  <w:ind w:left="20"/>
                  <w:rPr>
                    <w:rFonts w:ascii="Arial"/>
                    <w:b/>
                    <w:sz w:val="20"/>
                  </w:rPr>
                </w:pPr>
                <w:r>
                  <w:rPr>
                    <w:rFonts w:ascii="Arial"/>
                    <w:b/>
                    <w:sz w:val="20"/>
                  </w:rPr>
                  <w:t>LEG-19-MIN-0078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7574"/>
    <w:multiLevelType w:val="multilevel"/>
    <w:tmpl w:val="E5BAC97A"/>
    <w:lvl w:ilvl="0">
      <w:start w:val="1"/>
      <w:numFmt w:val="decimal"/>
      <w:lvlText w:val="%1"/>
      <w:lvlJc w:val="left"/>
      <w:pPr>
        <w:ind w:left="836" w:hanging="720"/>
        <w:jc w:val="left"/>
      </w:pPr>
      <w:rPr>
        <w:rFonts w:ascii="Times New Roman" w:eastAsia="Times New Roman" w:hAnsi="Times New Roman" w:cs="Times New Roman" w:hint="default"/>
        <w:spacing w:val="-2"/>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2"/>
        <w:w w:val="100"/>
        <w:sz w:val="24"/>
        <w:szCs w:val="24"/>
        <w:lang w:val="en-NZ" w:eastAsia="en-NZ" w:bidi="en-NZ"/>
      </w:rPr>
    </w:lvl>
    <w:lvl w:ilvl="2">
      <w:numFmt w:val="bullet"/>
      <w:lvlText w:val="•"/>
      <w:lvlJc w:val="left"/>
      <w:pPr>
        <w:ind w:left="2480" w:hanging="720"/>
      </w:pPr>
      <w:rPr>
        <w:rFonts w:hint="default"/>
        <w:lang w:val="en-NZ" w:eastAsia="en-NZ" w:bidi="en-NZ"/>
      </w:rPr>
    </w:lvl>
    <w:lvl w:ilvl="3">
      <w:numFmt w:val="bullet"/>
      <w:lvlText w:val="•"/>
      <w:lvlJc w:val="left"/>
      <w:pPr>
        <w:ind w:left="3400" w:hanging="720"/>
      </w:pPr>
      <w:rPr>
        <w:rFonts w:hint="default"/>
        <w:lang w:val="en-NZ" w:eastAsia="en-NZ" w:bidi="en-NZ"/>
      </w:rPr>
    </w:lvl>
    <w:lvl w:ilvl="4">
      <w:numFmt w:val="bullet"/>
      <w:lvlText w:val="•"/>
      <w:lvlJc w:val="left"/>
      <w:pPr>
        <w:ind w:left="4320" w:hanging="720"/>
      </w:pPr>
      <w:rPr>
        <w:rFonts w:hint="default"/>
        <w:lang w:val="en-NZ" w:eastAsia="en-NZ" w:bidi="en-NZ"/>
      </w:rPr>
    </w:lvl>
    <w:lvl w:ilvl="5">
      <w:numFmt w:val="bullet"/>
      <w:lvlText w:val="•"/>
      <w:lvlJc w:val="left"/>
      <w:pPr>
        <w:ind w:left="5240" w:hanging="720"/>
      </w:pPr>
      <w:rPr>
        <w:rFonts w:hint="default"/>
        <w:lang w:val="en-NZ" w:eastAsia="en-NZ" w:bidi="en-NZ"/>
      </w:rPr>
    </w:lvl>
    <w:lvl w:ilvl="6">
      <w:numFmt w:val="bullet"/>
      <w:lvlText w:val="•"/>
      <w:lvlJc w:val="left"/>
      <w:pPr>
        <w:ind w:left="6160" w:hanging="720"/>
      </w:pPr>
      <w:rPr>
        <w:rFonts w:hint="default"/>
        <w:lang w:val="en-NZ" w:eastAsia="en-NZ" w:bidi="en-NZ"/>
      </w:rPr>
    </w:lvl>
    <w:lvl w:ilvl="7">
      <w:numFmt w:val="bullet"/>
      <w:lvlText w:val="•"/>
      <w:lvlJc w:val="left"/>
      <w:pPr>
        <w:ind w:left="7080" w:hanging="720"/>
      </w:pPr>
      <w:rPr>
        <w:rFonts w:hint="default"/>
        <w:lang w:val="en-NZ" w:eastAsia="en-NZ" w:bidi="en-NZ"/>
      </w:rPr>
    </w:lvl>
    <w:lvl w:ilvl="8">
      <w:numFmt w:val="bullet"/>
      <w:lvlText w:val="•"/>
      <w:lvlJc w:val="left"/>
      <w:pPr>
        <w:ind w:left="8000"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A4B3C"/>
    <w:rsid w:val="006271C6"/>
    <w:rsid w:val="00644135"/>
    <w:rsid w:val="00752F63"/>
    <w:rsid w:val="00996365"/>
    <w:rsid w:val="00EA4B3C"/>
    <w:rsid w:val="00ED70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0D113FC-C4B6-4C3C-B9D6-A337E989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pPr>
      <w:ind w:left="1"/>
    </w:pPr>
  </w:style>
  <w:style w:type="paragraph" w:styleId="Header">
    <w:name w:val="header"/>
    <w:basedOn w:val="Normal"/>
    <w:link w:val="HeaderChar"/>
    <w:uiPriority w:val="99"/>
    <w:unhideWhenUsed/>
    <w:rsid w:val="00996365"/>
    <w:pPr>
      <w:tabs>
        <w:tab w:val="center" w:pos="4513"/>
        <w:tab w:val="right" w:pos="9026"/>
      </w:tabs>
    </w:pPr>
  </w:style>
  <w:style w:type="character" w:customStyle="1" w:styleId="HeaderChar">
    <w:name w:val="Header Char"/>
    <w:basedOn w:val="DefaultParagraphFont"/>
    <w:link w:val="Header"/>
    <w:uiPriority w:val="99"/>
    <w:rsid w:val="00996365"/>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996365"/>
    <w:pPr>
      <w:tabs>
        <w:tab w:val="center" w:pos="4513"/>
        <w:tab w:val="right" w:pos="9026"/>
      </w:tabs>
    </w:pPr>
  </w:style>
  <w:style w:type="character" w:customStyle="1" w:styleId="FooterChar">
    <w:name w:val="Footer Char"/>
    <w:basedOn w:val="DefaultParagraphFont"/>
    <w:link w:val="Footer"/>
    <w:uiPriority w:val="99"/>
    <w:rsid w:val="00996365"/>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21621-2/1.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 - LEG-19-MIN-0078 - Taxation (Annual Rates for 2019–20, GST Offshore Supplier Registration, and Remedial Matters) Bill: Approval for release of Supplementary Order Paper (11 June 2019)</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 LEG-19-MIN-0078 - Taxation (Annual Rates for 2019–20, GST Offshore Supplier Registration, and Remedial Matters) Bill: Approval for release of Supplementary Order Paper (11 June 2019)</dc:title>
  <dc:creator/>
  <dcterms:created xsi:type="dcterms:W3CDTF">2019-07-02T22:59:00Z</dcterms:created>
  <dcterms:modified xsi:type="dcterms:W3CDTF">2019-07-03T02:04:00Z</dcterms:modified>
</cp:coreProperties>
</file>