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2DE" w:rsidRDefault="00925266">
      <w:pPr>
        <w:spacing w:before="51"/>
        <w:ind w:left="2022" w:right="3759"/>
        <w:rPr>
          <w:rFonts w:ascii="Arial"/>
          <w:b/>
          <w:sz w:val="44"/>
        </w:rPr>
      </w:pPr>
      <w:bookmarkStart w:id="0" w:name="_GoBack"/>
      <w:bookmarkEnd w:id="0"/>
      <w:r>
        <w:rPr>
          <w:noProof/>
        </w:rPr>
        <w:drawing>
          <wp:anchor distT="0" distB="0" distL="0" distR="0" simplePos="0" relativeHeight="1072" behindDoc="0" locked="0" layoutInCell="1" allowOverlap="1">
            <wp:simplePos x="0" y="0"/>
            <wp:positionH relativeFrom="page">
              <wp:posOffset>750569</wp:posOffset>
            </wp:positionH>
            <wp:positionV relativeFrom="paragraph">
              <wp:posOffset>32839</wp:posOffset>
            </wp:positionV>
            <wp:extent cx="976630" cy="958850"/>
            <wp:effectExtent l="0" t="0" r="0" b="0"/>
            <wp:wrapNone/>
            <wp:docPr id="1" name="image1.png" descr="Cabinet Office seal - includes New Zealand Government coat of arms in the cen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76630" cy="958850"/>
                    </a:xfrm>
                    <a:prstGeom prst="rect">
                      <a:avLst/>
                    </a:prstGeom>
                  </pic:spPr>
                </pic:pic>
              </a:graphicData>
            </a:graphic>
          </wp:anchor>
        </w:drawing>
      </w:r>
      <w:r>
        <w:rPr>
          <w:rFonts w:ascii="Arial"/>
          <w:b/>
          <w:sz w:val="44"/>
        </w:rPr>
        <w:t>Cabinet Legislation Committee</w:t>
      </w:r>
    </w:p>
    <w:p w:rsidR="000802DE" w:rsidRDefault="00EB2CAD">
      <w:pPr>
        <w:spacing w:before="322"/>
        <w:ind w:left="2022"/>
        <w:rPr>
          <w:rFonts w:ascii="Arial"/>
          <w:b/>
          <w:sz w:val="32"/>
        </w:rPr>
      </w:pPr>
      <w:r>
        <w:pict>
          <v:line id="_x0000_s1029" style="position:absolute;left:0;text-align:left;z-index:1048;mso-position-horizontal-relative:page" from="51.3pt,42.8pt" to="544.1pt,42.8pt" strokecolor="#000001" strokeweight=".6pt">
            <w10:wrap anchorx="page"/>
          </v:line>
        </w:pict>
      </w:r>
      <w:r w:rsidR="00925266">
        <w:rPr>
          <w:rFonts w:ascii="Arial"/>
          <w:b/>
          <w:sz w:val="32"/>
        </w:rPr>
        <w:t>Minute of Decision</w:t>
      </w:r>
    </w:p>
    <w:p w:rsidR="000802DE" w:rsidRDefault="000802DE">
      <w:pPr>
        <w:pStyle w:val="BodyText"/>
        <w:spacing w:before="11"/>
        <w:rPr>
          <w:rFonts w:ascii="Arial"/>
          <w:b/>
          <w:sz w:val="11"/>
        </w:rPr>
      </w:pPr>
    </w:p>
    <w:p w:rsidR="000802DE" w:rsidRDefault="00EB2CAD">
      <w:pPr>
        <w:spacing w:before="93"/>
        <w:ind w:left="115" w:right="3"/>
        <w:rPr>
          <w:rFonts w:ascii="Arial"/>
          <w:i/>
          <w:sz w:val="20"/>
        </w:rPr>
      </w:pPr>
      <w:r>
        <w:pict>
          <v:line id="_x0000_s1028" style="position:absolute;left:0;text-align:left;z-index:1024;mso-position-horizontal-relative:page" from="51.3pt,42.45pt" to="544.1pt,42.45pt" strokecolor="#000001" strokeweight=".6pt">
            <w10:wrap anchorx="page"/>
          </v:line>
        </w:pict>
      </w:r>
      <w:r w:rsidR="00925266">
        <w:rPr>
          <w:rFonts w:ascii="Arial"/>
          <w:i/>
          <w:sz w:val="20"/>
        </w:rPr>
        <w:t>This document contains information for the New Zealand Cabinet. It must be treated in confidence and handled</w:t>
      </w:r>
      <w:r w:rsidR="00925266">
        <w:rPr>
          <w:rFonts w:ascii="Arial"/>
          <w:i/>
          <w:spacing w:val="-4"/>
          <w:sz w:val="20"/>
        </w:rPr>
        <w:t xml:space="preserve"> </w:t>
      </w:r>
      <w:r w:rsidR="00925266">
        <w:rPr>
          <w:rFonts w:ascii="Arial"/>
          <w:i/>
          <w:sz w:val="20"/>
        </w:rPr>
        <w:t>in</w:t>
      </w:r>
      <w:r w:rsidR="00925266">
        <w:rPr>
          <w:rFonts w:ascii="Arial"/>
          <w:i/>
          <w:spacing w:val="-5"/>
          <w:sz w:val="20"/>
        </w:rPr>
        <w:t xml:space="preserve"> </w:t>
      </w:r>
      <w:r w:rsidR="00925266">
        <w:rPr>
          <w:rFonts w:ascii="Arial"/>
          <w:i/>
          <w:sz w:val="20"/>
        </w:rPr>
        <w:t>accordance</w:t>
      </w:r>
      <w:r w:rsidR="00925266">
        <w:rPr>
          <w:rFonts w:ascii="Arial"/>
          <w:i/>
          <w:spacing w:val="-3"/>
          <w:sz w:val="20"/>
        </w:rPr>
        <w:t xml:space="preserve"> </w:t>
      </w:r>
      <w:r w:rsidR="00925266">
        <w:rPr>
          <w:rFonts w:ascii="Arial"/>
          <w:i/>
          <w:sz w:val="20"/>
        </w:rPr>
        <w:t>with</w:t>
      </w:r>
      <w:r w:rsidR="00925266">
        <w:rPr>
          <w:rFonts w:ascii="Arial"/>
          <w:i/>
          <w:spacing w:val="-4"/>
          <w:sz w:val="20"/>
        </w:rPr>
        <w:t xml:space="preserve"> </w:t>
      </w:r>
      <w:r w:rsidR="00925266">
        <w:rPr>
          <w:rFonts w:ascii="Arial"/>
          <w:i/>
          <w:sz w:val="20"/>
        </w:rPr>
        <w:t>any</w:t>
      </w:r>
      <w:r w:rsidR="00925266">
        <w:rPr>
          <w:rFonts w:ascii="Arial"/>
          <w:i/>
          <w:spacing w:val="-5"/>
          <w:sz w:val="20"/>
        </w:rPr>
        <w:t xml:space="preserve"> </w:t>
      </w:r>
      <w:r w:rsidR="00925266">
        <w:rPr>
          <w:rFonts w:ascii="Arial"/>
          <w:i/>
          <w:sz w:val="20"/>
        </w:rPr>
        <w:t>security</w:t>
      </w:r>
      <w:r w:rsidR="00925266">
        <w:rPr>
          <w:rFonts w:ascii="Arial"/>
          <w:i/>
          <w:spacing w:val="-3"/>
          <w:sz w:val="20"/>
        </w:rPr>
        <w:t xml:space="preserve"> </w:t>
      </w:r>
      <w:r w:rsidR="00925266">
        <w:rPr>
          <w:rFonts w:ascii="Arial"/>
          <w:i/>
          <w:sz w:val="20"/>
        </w:rPr>
        <w:t>classification,</w:t>
      </w:r>
      <w:r w:rsidR="00925266">
        <w:rPr>
          <w:rFonts w:ascii="Arial"/>
          <w:i/>
          <w:spacing w:val="-4"/>
          <w:sz w:val="20"/>
        </w:rPr>
        <w:t xml:space="preserve"> </w:t>
      </w:r>
      <w:r w:rsidR="00925266">
        <w:rPr>
          <w:rFonts w:ascii="Arial"/>
          <w:i/>
          <w:sz w:val="20"/>
        </w:rPr>
        <w:t>or</w:t>
      </w:r>
      <w:r w:rsidR="00925266">
        <w:rPr>
          <w:rFonts w:ascii="Arial"/>
          <w:i/>
          <w:spacing w:val="-4"/>
          <w:sz w:val="20"/>
        </w:rPr>
        <w:t xml:space="preserve"> </w:t>
      </w:r>
      <w:r w:rsidR="00925266">
        <w:rPr>
          <w:rFonts w:ascii="Arial"/>
          <w:i/>
          <w:sz w:val="20"/>
        </w:rPr>
        <w:t>other</w:t>
      </w:r>
      <w:r w:rsidR="00925266">
        <w:rPr>
          <w:rFonts w:ascii="Arial"/>
          <w:i/>
          <w:spacing w:val="-4"/>
          <w:sz w:val="20"/>
        </w:rPr>
        <w:t xml:space="preserve"> </w:t>
      </w:r>
      <w:r w:rsidR="00925266">
        <w:rPr>
          <w:rFonts w:ascii="Arial"/>
          <w:i/>
          <w:sz w:val="20"/>
        </w:rPr>
        <w:t>endorsement.</w:t>
      </w:r>
      <w:r w:rsidR="00925266">
        <w:rPr>
          <w:rFonts w:ascii="Arial"/>
          <w:i/>
          <w:spacing w:val="-5"/>
          <w:sz w:val="20"/>
        </w:rPr>
        <w:t xml:space="preserve"> </w:t>
      </w:r>
      <w:r w:rsidR="00925266">
        <w:rPr>
          <w:rFonts w:ascii="Arial"/>
          <w:i/>
          <w:sz w:val="20"/>
        </w:rPr>
        <w:t>The</w:t>
      </w:r>
      <w:r w:rsidR="00925266">
        <w:rPr>
          <w:rFonts w:ascii="Arial"/>
          <w:i/>
          <w:spacing w:val="-6"/>
          <w:sz w:val="20"/>
        </w:rPr>
        <w:t xml:space="preserve"> </w:t>
      </w:r>
      <w:r w:rsidR="00925266">
        <w:rPr>
          <w:rFonts w:ascii="Arial"/>
          <w:i/>
          <w:sz w:val="20"/>
        </w:rPr>
        <w:t>information</w:t>
      </w:r>
      <w:r w:rsidR="00925266">
        <w:rPr>
          <w:rFonts w:ascii="Arial"/>
          <w:i/>
          <w:spacing w:val="-3"/>
          <w:sz w:val="20"/>
        </w:rPr>
        <w:t xml:space="preserve"> </w:t>
      </w:r>
      <w:r w:rsidR="00925266">
        <w:rPr>
          <w:rFonts w:ascii="Arial"/>
          <w:i/>
          <w:sz w:val="20"/>
        </w:rPr>
        <w:t>can</w:t>
      </w:r>
      <w:r w:rsidR="00925266">
        <w:rPr>
          <w:rFonts w:ascii="Arial"/>
          <w:i/>
          <w:spacing w:val="-3"/>
          <w:sz w:val="20"/>
        </w:rPr>
        <w:t xml:space="preserve"> </w:t>
      </w:r>
      <w:r w:rsidR="00925266">
        <w:rPr>
          <w:rFonts w:ascii="Arial"/>
          <w:i/>
          <w:sz w:val="20"/>
        </w:rPr>
        <w:t>only</w:t>
      </w:r>
      <w:r w:rsidR="00925266">
        <w:rPr>
          <w:rFonts w:ascii="Arial"/>
          <w:i/>
          <w:spacing w:val="-4"/>
          <w:sz w:val="20"/>
        </w:rPr>
        <w:t xml:space="preserve"> </w:t>
      </w:r>
      <w:r w:rsidR="00925266">
        <w:rPr>
          <w:rFonts w:ascii="Arial"/>
          <w:i/>
          <w:sz w:val="20"/>
        </w:rPr>
        <w:t>be released, including under the Official Information Act 1982, by persons with the appropriate</w:t>
      </w:r>
      <w:r w:rsidR="00925266">
        <w:rPr>
          <w:rFonts w:ascii="Arial"/>
          <w:i/>
          <w:spacing w:val="-41"/>
          <w:sz w:val="20"/>
        </w:rPr>
        <w:t xml:space="preserve"> </w:t>
      </w:r>
      <w:r w:rsidR="00925266">
        <w:rPr>
          <w:rFonts w:ascii="Arial"/>
          <w:i/>
          <w:sz w:val="20"/>
        </w:rPr>
        <w:t>authority.</w:t>
      </w:r>
    </w:p>
    <w:p w:rsidR="000802DE" w:rsidRDefault="000802DE">
      <w:pPr>
        <w:pStyle w:val="BodyText"/>
        <w:rPr>
          <w:rFonts w:ascii="Arial"/>
          <w:i/>
          <w:sz w:val="22"/>
        </w:rPr>
      </w:pPr>
    </w:p>
    <w:p w:rsidR="000802DE" w:rsidRDefault="000802DE">
      <w:pPr>
        <w:pStyle w:val="BodyText"/>
        <w:spacing w:before="11"/>
        <w:rPr>
          <w:rFonts w:ascii="Arial"/>
          <w:i/>
          <w:sz w:val="25"/>
        </w:rPr>
      </w:pPr>
    </w:p>
    <w:p w:rsidR="000802DE" w:rsidRDefault="00925266">
      <w:pPr>
        <w:ind w:left="115"/>
        <w:rPr>
          <w:rFonts w:ascii="Arial"/>
          <w:b/>
          <w:sz w:val="28"/>
        </w:rPr>
      </w:pPr>
      <w:r>
        <w:rPr>
          <w:rFonts w:ascii="Arial"/>
          <w:b/>
          <w:sz w:val="28"/>
        </w:rPr>
        <w:t>New Zealand Green Investment Finance Limited: Orders in</w:t>
      </w:r>
      <w:r>
        <w:rPr>
          <w:rFonts w:ascii="Arial"/>
          <w:b/>
          <w:spacing w:val="-39"/>
          <w:sz w:val="28"/>
        </w:rPr>
        <w:t xml:space="preserve"> </w:t>
      </w:r>
      <w:r>
        <w:rPr>
          <w:rFonts w:ascii="Arial"/>
          <w:b/>
          <w:sz w:val="28"/>
        </w:rPr>
        <w:t>Council</w:t>
      </w:r>
    </w:p>
    <w:p w:rsidR="000802DE" w:rsidRDefault="000802DE">
      <w:pPr>
        <w:pStyle w:val="BodyText"/>
        <w:spacing w:before="2"/>
        <w:rPr>
          <w:rFonts w:ascii="Arial"/>
          <w:b/>
          <w:sz w:val="31"/>
        </w:rPr>
      </w:pPr>
    </w:p>
    <w:p w:rsidR="000802DE" w:rsidRDefault="00925266">
      <w:pPr>
        <w:tabs>
          <w:tab w:val="left" w:pos="2023"/>
        </w:tabs>
        <w:spacing w:before="1"/>
        <w:ind w:left="115"/>
        <w:rPr>
          <w:rFonts w:ascii="Arial"/>
          <w:b/>
          <w:sz w:val="20"/>
        </w:rPr>
      </w:pPr>
      <w:r>
        <w:rPr>
          <w:rFonts w:ascii="Arial"/>
          <w:b/>
          <w:sz w:val="20"/>
        </w:rPr>
        <w:t>Portfolio</w:t>
      </w:r>
      <w:r>
        <w:rPr>
          <w:rFonts w:ascii="Arial"/>
          <w:b/>
          <w:sz w:val="20"/>
        </w:rPr>
        <w:tab/>
        <w:t>Revenue</w:t>
      </w:r>
    </w:p>
    <w:p w:rsidR="000802DE" w:rsidRDefault="000802DE">
      <w:pPr>
        <w:pStyle w:val="BodyText"/>
        <w:rPr>
          <w:rFonts w:ascii="Arial"/>
          <w:b/>
          <w:sz w:val="22"/>
        </w:rPr>
      </w:pPr>
    </w:p>
    <w:p w:rsidR="000802DE" w:rsidRDefault="000802DE">
      <w:pPr>
        <w:pStyle w:val="BodyText"/>
        <w:spacing w:before="9"/>
        <w:rPr>
          <w:rFonts w:ascii="Arial"/>
          <w:b/>
          <w:sz w:val="22"/>
        </w:rPr>
      </w:pPr>
    </w:p>
    <w:p w:rsidR="000802DE" w:rsidRDefault="00925266">
      <w:pPr>
        <w:pStyle w:val="BodyText"/>
        <w:ind w:left="115"/>
      </w:pPr>
      <w:r>
        <w:t>On 21 May 2019, the Cabinet Legislation Committee:</w:t>
      </w:r>
    </w:p>
    <w:p w:rsidR="000802DE" w:rsidRDefault="000802DE">
      <w:pPr>
        <w:pStyle w:val="BodyText"/>
      </w:pPr>
    </w:p>
    <w:p w:rsidR="000802DE" w:rsidRDefault="00925266">
      <w:pPr>
        <w:pStyle w:val="ListParagraph"/>
        <w:numPr>
          <w:ilvl w:val="0"/>
          <w:numId w:val="1"/>
        </w:numPr>
        <w:tabs>
          <w:tab w:val="left" w:pos="835"/>
          <w:tab w:val="left" w:pos="836"/>
        </w:tabs>
        <w:ind w:right="491"/>
        <w:rPr>
          <w:sz w:val="24"/>
        </w:rPr>
      </w:pPr>
      <w:r>
        <w:rPr>
          <w:b/>
          <w:sz w:val="24"/>
        </w:rPr>
        <w:t xml:space="preserve">noted </w:t>
      </w:r>
      <w:r>
        <w:rPr>
          <w:sz w:val="24"/>
        </w:rPr>
        <w:t>that on 7 November 2018, the Cabinet Economic Development Committee</w:t>
      </w:r>
      <w:r>
        <w:rPr>
          <w:spacing w:val="-22"/>
          <w:sz w:val="24"/>
        </w:rPr>
        <w:t xml:space="preserve"> </w:t>
      </w:r>
      <w:r>
        <w:rPr>
          <w:sz w:val="24"/>
        </w:rPr>
        <w:t>(DEV) agreed that the New Zealand Green Investment Fund (NZGIF) be established as an independent 100 percent Crown-owned company listed in Schedule 4A of the Public Finance Act 1989</w:t>
      </w:r>
      <w:r>
        <w:rPr>
          <w:spacing w:val="-3"/>
          <w:sz w:val="24"/>
        </w:rPr>
        <w:t xml:space="preserve"> </w:t>
      </w:r>
      <w:r>
        <w:rPr>
          <w:sz w:val="24"/>
        </w:rPr>
        <w:t>(DEV-18-MIN-0257);</w:t>
      </w:r>
    </w:p>
    <w:p w:rsidR="000802DE" w:rsidRDefault="000802DE">
      <w:pPr>
        <w:pStyle w:val="BodyText"/>
        <w:spacing w:before="10"/>
        <w:rPr>
          <w:sz w:val="20"/>
        </w:rPr>
      </w:pPr>
    </w:p>
    <w:p w:rsidR="000802DE" w:rsidRDefault="00925266">
      <w:pPr>
        <w:pStyle w:val="ListParagraph"/>
        <w:numPr>
          <w:ilvl w:val="0"/>
          <w:numId w:val="1"/>
        </w:numPr>
        <w:tabs>
          <w:tab w:val="left" w:pos="835"/>
          <w:tab w:val="left" w:pos="836"/>
        </w:tabs>
        <w:ind w:right="118"/>
        <w:rPr>
          <w:sz w:val="24"/>
        </w:rPr>
      </w:pPr>
      <w:r>
        <w:rPr>
          <w:b/>
          <w:sz w:val="24"/>
        </w:rPr>
        <w:t xml:space="preserve">noted </w:t>
      </w:r>
      <w:r>
        <w:rPr>
          <w:sz w:val="24"/>
        </w:rPr>
        <w:t xml:space="preserve">that NZGIF will initially be subject to the financial </w:t>
      </w:r>
      <w:proofErr w:type="gramStart"/>
      <w:r>
        <w:rPr>
          <w:sz w:val="24"/>
        </w:rPr>
        <w:t>powers</w:t>
      </w:r>
      <w:proofErr w:type="gramEnd"/>
      <w:r>
        <w:rPr>
          <w:sz w:val="24"/>
        </w:rPr>
        <w:t xml:space="preserve"> restrictions in sections</w:t>
      </w:r>
      <w:r>
        <w:rPr>
          <w:spacing w:val="-24"/>
          <w:sz w:val="24"/>
        </w:rPr>
        <w:t xml:space="preserve"> </w:t>
      </w:r>
      <w:r>
        <w:rPr>
          <w:sz w:val="24"/>
        </w:rPr>
        <w:t>161 to 164 of the Crown Entities Act 2004;</w:t>
      </w:r>
    </w:p>
    <w:p w:rsidR="000802DE" w:rsidRDefault="000802DE">
      <w:pPr>
        <w:pStyle w:val="BodyText"/>
        <w:spacing w:before="10"/>
        <w:rPr>
          <w:sz w:val="20"/>
        </w:rPr>
      </w:pPr>
    </w:p>
    <w:p w:rsidR="000802DE" w:rsidRDefault="00925266">
      <w:pPr>
        <w:pStyle w:val="ListParagraph"/>
        <w:numPr>
          <w:ilvl w:val="0"/>
          <w:numId w:val="1"/>
        </w:numPr>
        <w:tabs>
          <w:tab w:val="left" w:pos="835"/>
          <w:tab w:val="left" w:pos="836"/>
        </w:tabs>
        <w:ind w:right="550"/>
        <w:rPr>
          <w:sz w:val="24"/>
        </w:rPr>
      </w:pPr>
      <w:r>
        <w:rPr>
          <w:b/>
          <w:sz w:val="24"/>
        </w:rPr>
        <w:t xml:space="preserve">noted </w:t>
      </w:r>
      <w:r>
        <w:rPr>
          <w:sz w:val="24"/>
        </w:rPr>
        <w:t>that once NZGIF has established appropriate risk management frameworks it will apply to its shareholding Ministers for joint approval to exercise the financial powers it requires;</w:t>
      </w:r>
    </w:p>
    <w:p w:rsidR="000802DE" w:rsidRDefault="000802DE">
      <w:pPr>
        <w:pStyle w:val="BodyText"/>
        <w:spacing w:before="10"/>
        <w:rPr>
          <w:sz w:val="20"/>
        </w:rPr>
      </w:pPr>
    </w:p>
    <w:p w:rsidR="000802DE" w:rsidRDefault="00925266">
      <w:pPr>
        <w:pStyle w:val="ListParagraph"/>
        <w:numPr>
          <w:ilvl w:val="0"/>
          <w:numId w:val="1"/>
        </w:numPr>
        <w:tabs>
          <w:tab w:val="left" w:pos="835"/>
          <w:tab w:val="left" w:pos="836"/>
        </w:tabs>
        <w:ind w:right="105"/>
        <w:rPr>
          <w:sz w:val="24"/>
        </w:rPr>
      </w:pPr>
      <w:r>
        <w:rPr>
          <w:b/>
          <w:sz w:val="24"/>
        </w:rPr>
        <w:t xml:space="preserve">noted </w:t>
      </w:r>
      <w:r>
        <w:rPr>
          <w:sz w:val="24"/>
        </w:rPr>
        <w:t>that the Public Finance (New Zealand Green Investment Finance Limited) Order</w:t>
      </w:r>
      <w:r>
        <w:rPr>
          <w:spacing w:val="-22"/>
          <w:sz w:val="24"/>
        </w:rPr>
        <w:t xml:space="preserve"> </w:t>
      </w:r>
      <w:r>
        <w:rPr>
          <w:sz w:val="24"/>
        </w:rPr>
        <w:t>2019 gives effect to the decisions referred to in paragraphs 1 and 2 above;</w:t>
      </w:r>
    </w:p>
    <w:p w:rsidR="000802DE" w:rsidRDefault="000802DE">
      <w:pPr>
        <w:pStyle w:val="BodyText"/>
        <w:spacing w:before="10"/>
        <w:rPr>
          <w:sz w:val="20"/>
        </w:rPr>
      </w:pPr>
    </w:p>
    <w:p w:rsidR="000802DE" w:rsidRDefault="00925266">
      <w:pPr>
        <w:pStyle w:val="ListParagraph"/>
        <w:numPr>
          <w:ilvl w:val="0"/>
          <w:numId w:val="1"/>
        </w:numPr>
        <w:tabs>
          <w:tab w:val="left" w:pos="835"/>
          <w:tab w:val="left" w:pos="836"/>
        </w:tabs>
        <w:ind w:right="167"/>
        <w:rPr>
          <w:sz w:val="24"/>
        </w:rPr>
      </w:pPr>
      <w:r>
        <w:rPr>
          <w:b/>
          <w:sz w:val="24"/>
        </w:rPr>
        <w:t xml:space="preserve">noted </w:t>
      </w:r>
      <w:r>
        <w:rPr>
          <w:sz w:val="24"/>
        </w:rPr>
        <w:t>that section 3</w:t>
      </w:r>
      <w:proofErr w:type="gramStart"/>
      <w:r>
        <w:rPr>
          <w:sz w:val="24"/>
        </w:rPr>
        <w:t>AB(</w:t>
      </w:r>
      <w:proofErr w:type="gramEnd"/>
      <w:r>
        <w:rPr>
          <w:sz w:val="24"/>
        </w:rPr>
        <w:t>1) of the Public Finance Act 1989 provides that an Order in</w:t>
      </w:r>
      <w:r>
        <w:rPr>
          <w:spacing w:val="-26"/>
          <w:sz w:val="24"/>
        </w:rPr>
        <w:t xml:space="preserve"> </w:t>
      </w:r>
      <w:r>
        <w:rPr>
          <w:sz w:val="24"/>
        </w:rPr>
        <w:t>Council may be made under that section only if:</w:t>
      </w:r>
    </w:p>
    <w:p w:rsidR="000802DE" w:rsidRDefault="000802DE">
      <w:pPr>
        <w:pStyle w:val="BodyText"/>
        <w:spacing w:before="10"/>
        <w:rPr>
          <w:sz w:val="20"/>
        </w:rPr>
      </w:pPr>
    </w:p>
    <w:p w:rsidR="000802DE" w:rsidRDefault="00925266">
      <w:pPr>
        <w:pStyle w:val="ListParagraph"/>
        <w:numPr>
          <w:ilvl w:val="1"/>
          <w:numId w:val="1"/>
        </w:numPr>
        <w:tabs>
          <w:tab w:val="left" w:pos="1555"/>
          <w:tab w:val="left" w:pos="1556"/>
        </w:tabs>
        <w:spacing w:before="1"/>
        <w:ind w:right="285"/>
        <w:rPr>
          <w:sz w:val="24"/>
        </w:rPr>
      </w:pPr>
      <w:r>
        <w:rPr>
          <w:sz w:val="24"/>
        </w:rPr>
        <w:t>more than 50 percent of the issued ordinary shares in the capital of the company to which the Order relates are held by Ministers of the Crown on behalf of the</w:t>
      </w:r>
      <w:r>
        <w:rPr>
          <w:spacing w:val="-24"/>
          <w:sz w:val="24"/>
        </w:rPr>
        <w:t xml:space="preserve"> </w:t>
      </w:r>
      <w:r>
        <w:rPr>
          <w:sz w:val="24"/>
        </w:rPr>
        <w:t>Crown; shares in the company are not listed on a registered market (within the meaning of the Securities Markets Act 1988); and</w:t>
      </w:r>
    </w:p>
    <w:p w:rsidR="000802DE" w:rsidRDefault="000802DE">
      <w:pPr>
        <w:pStyle w:val="BodyText"/>
        <w:spacing w:before="9"/>
        <w:rPr>
          <w:sz w:val="20"/>
        </w:rPr>
      </w:pPr>
    </w:p>
    <w:p w:rsidR="000802DE" w:rsidRDefault="00925266">
      <w:pPr>
        <w:pStyle w:val="ListParagraph"/>
        <w:numPr>
          <w:ilvl w:val="1"/>
          <w:numId w:val="1"/>
        </w:numPr>
        <w:tabs>
          <w:tab w:val="left" w:pos="1555"/>
          <w:tab w:val="left" w:pos="1556"/>
        </w:tabs>
        <w:spacing w:before="1"/>
        <w:ind w:right="345"/>
        <w:rPr>
          <w:sz w:val="24"/>
        </w:rPr>
      </w:pPr>
      <w:r>
        <w:rPr>
          <w:sz w:val="24"/>
        </w:rPr>
        <w:t xml:space="preserve">the company is not a Crown </w:t>
      </w:r>
      <w:proofErr w:type="gramStart"/>
      <w:r>
        <w:rPr>
          <w:sz w:val="24"/>
        </w:rPr>
        <w:t>entity</w:t>
      </w:r>
      <w:proofErr w:type="gramEnd"/>
      <w:r>
        <w:rPr>
          <w:sz w:val="24"/>
        </w:rPr>
        <w:t xml:space="preserve"> or a State enterprise named in Schedule 1 of</w:t>
      </w:r>
      <w:r>
        <w:rPr>
          <w:spacing w:val="-21"/>
          <w:sz w:val="24"/>
        </w:rPr>
        <w:t xml:space="preserve"> </w:t>
      </w:r>
      <w:r>
        <w:rPr>
          <w:sz w:val="24"/>
        </w:rPr>
        <w:t>the State-Owned Enterprises Act</w:t>
      </w:r>
      <w:r>
        <w:rPr>
          <w:spacing w:val="-2"/>
          <w:sz w:val="24"/>
        </w:rPr>
        <w:t xml:space="preserve"> </w:t>
      </w:r>
      <w:r>
        <w:rPr>
          <w:sz w:val="24"/>
        </w:rPr>
        <w:t>1986;</w:t>
      </w:r>
    </w:p>
    <w:p w:rsidR="000802DE" w:rsidRDefault="000802DE">
      <w:pPr>
        <w:pStyle w:val="BodyText"/>
        <w:spacing w:before="10"/>
        <w:rPr>
          <w:sz w:val="20"/>
        </w:rPr>
      </w:pPr>
    </w:p>
    <w:p w:rsidR="000802DE" w:rsidRDefault="00925266">
      <w:pPr>
        <w:pStyle w:val="ListParagraph"/>
        <w:numPr>
          <w:ilvl w:val="0"/>
          <w:numId w:val="1"/>
        </w:numPr>
        <w:tabs>
          <w:tab w:val="left" w:pos="835"/>
          <w:tab w:val="left" w:pos="836"/>
        </w:tabs>
        <w:ind w:right="171"/>
        <w:jc w:val="both"/>
        <w:rPr>
          <w:sz w:val="24"/>
        </w:rPr>
      </w:pPr>
      <w:r>
        <w:rPr>
          <w:b/>
          <w:sz w:val="24"/>
        </w:rPr>
        <w:t xml:space="preserve">noted </w:t>
      </w:r>
      <w:r>
        <w:rPr>
          <w:sz w:val="24"/>
        </w:rPr>
        <w:t>that the requirements in paragraph 5 above have been met by NZGIF and accordingly the Minister of Finance has recommended that the company be added to schedule 4A of the Public Finance Act 1989;</w:t>
      </w:r>
    </w:p>
    <w:p w:rsidR="000802DE" w:rsidRDefault="000802DE">
      <w:pPr>
        <w:pStyle w:val="BodyText"/>
        <w:spacing w:before="10"/>
        <w:rPr>
          <w:sz w:val="20"/>
        </w:rPr>
      </w:pPr>
    </w:p>
    <w:p w:rsidR="000802DE" w:rsidRDefault="00925266">
      <w:pPr>
        <w:pStyle w:val="ListParagraph"/>
        <w:numPr>
          <w:ilvl w:val="0"/>
          <w:numId w:val="1"/>
        </w:numPr>
        <w:tabs>
          <w:tab w:val="left" w:pos="835"/>
          <w:tab w:val="left" w:pos="836"/>
        </w:tabs>
        <w:ind w:right="757"/>
        <w:rPr>
          <w:sz w:val="24"/>
        </w:rPr>
      </w:pPr>
      <w:r>
        <w:rPr>
          <w:b/>
          <w:sz w:val="24"/>
        </w:rPr>
        <w:t xml:space="preserve">noted </w:t>
      </w:r>
      <w:r>
        <w:rPr>
          <w:sz w:val="24"/>
        </w:rPr>
        <w:t>that Schedule 4A companies must comply with certain provisions of the</w:t>
      </w:r>
      <w:r>
        <w:rPr>
          <w:spacing w:val="-23"/>
          <w:sz w:val="24"/>
        </w:rPr>
        <w:t xml:space="preserve"> </w:t>
      </w:r>
      <w:r>
        <w:rPr>
          <w:sz w:val="24"/>
        </w:rPr>
        <w:t>Crown Entities Act 2004, the Official Information Act 1982 and the Ombudsmen Act</w:t>
      </w:r>
      <w:r>
        <w:rPr>
          <w:spacing w:val="-13"/>
          <w:sz w:val="24"/>
        </w:rPr>
        <w:t xml:space="preserve"> </w:t>
      </w:r>
      <w:r>
        <w:rPr>
          <w:sz w:val="24"/>
        </w:rPr>
        <w:t>1975;</w:t>
      </w:r>
    </w:p>
    <w:p w:rsidR="000802DE" w:rsidRDefault="000802DE">
      <w:pPr>
        <w:pStyle w:val="BodyText"/>
        <w:spacing w:before="10"/>
        <w:rPr>
          <w:sz w:val="20"/>
        </w:rPr>
      </w:pPr>
    </w:p>
    <w:p w:rsidR="000802DE" w:rsidRDefault="00925266">
      <w:pPr>
        <w:pStyle w:val="ListParagraph"/>
        <w:numPr>
          <w:ilvl w:val="0"/>
          <w:numId w:val="1"/>
        </w:numPr>
        <w:tabs>
          <w:tab w:val="left" w:pos="835"/>
          <w:tab w:val="left" w:pos="836"/>
        </w:tabs>
        <w:ind w:right="137"/>
        <w:rPr>
          <w:sz w:val="24"/>
        </w:rPr>
      </w:pPr>
      <w:r>
        <w:rPr>
          <w:b/>
          <w:w w:val="110"/>
          <w:sz w:val="24"/>
        </w:rPr>
        <w:t>a</w:t>
      </w:r>
      <w:r w:rsidR="00C52F82">
        <w:rPr>
          <w:b/>
          <w:w w:val="110"/>
          <w:sz w:val="24"/>
        </w:rPr>
        <w:t>u</w:t>
      </w:r>
      <w:r>
        <w:rPr>
          <w:b/>
          <w:sz w:val="24"/>
        </w:rPr>
        <w:t xml:space="preserve">thorised </w:t>
      </w:r>
      <w:r>
        <w:rPr>
          <w:sz w:val="24"/>
        </w:rPr>
        <w:t>the submission to the Executive Council of the Public Finance (New Zealand Green Investment Finance Limited) Order 2019 [PCO 22003/2.0] inserting the name of NZGIF into Schedule 4A of the Public Finance Act 1989 and applying sections</w:t>
      </w:r>
      <w:r>
        <w:rPr>
          <w:spacing w:val="-17"/>
          <w:sz w:val="24"/>
        </w:rPr>
        <w:t xml:space="preserve"> </w:t>
      </w:r>
      <w:r>
        <w:rPr>
          <w:sz w:val="24"/>
        </w:rPr>
        <w:t>161,162,163 and 164 of the Crown Entities Act 2004 to</w:t>
      </w:r>
      <w:r>
        <w:rPr>
          <w:spacing w:val="-1"/>
          <w:sz w:val="24"/>
        </w:rPr>
        <w:t xml:space="preserve"> </w:t>
      </w:r>
      <w:r>
        <w:rPr>
          <w:sz w:val="24"/>
        </w:rPr>
        <w:t>NZGIF;</w:t>
      </w:r>
    </w:p>
    <w:p w:rsidR="000802DE" w:rsidRDefault="000802DE">
      <w:pPr>
        <w:rPr>
          <w:sz w:val="24"/>
        </w:rPr>
        <w:sectPr w:rsidR="000802DE">
          <w:headerReference w:type="default" r:id="rId8"/>
          <w:footerReference w:type="default" r:id="rId9"/>
          <w:type w:val="continuous"/>
          <w:pgSz w:w="11900" w:h="16840"/>
          <w:pgMar w:top="840" w:right="1020" w:bottom="780" w:left="1020" w:header="405" w:footer="582" w:gutter="0"/>
          <w:pgNumType w:start="1"/>
          <w:cols w:space="720"/>
        </w:sectPr>
      </w:pPr>
    </w:p>
    <w:p w:rsidR="000802DE" w:rsidRDefault="000802DE">
      <w:pPr>
        <w:pStyle w:val="BodyText"/>
        <w:rPr>
          <w:sz w:val="20"/>
        </w:rPr>
      </w:pPr>
    </w:p>
    <w:p w:rsidR="000802DE" w:rsidRDefault="000802DE">
      <w:pPr>
        <w:pStyle w:val="BodyText"/>
        <w:spacing w:before="6"/>
        <w:rPr>
          <w:sz w:val="21"/>
        </w:rPr>
      </w:pPr>
    </w:p>
    <w:p w:rsidR="000802DE" w:rsidRDefault="00925266">
      <w:pPr>
        <w:pStyle w:val="ListParagraph"/>
        <w:numPr>
          <w:ilvl w:val="0"/>
          <w:numId w:val="1"/>
        </w:numPr>
        <w:tabs>
          <w:tab w:val="left" w:pos="835"/>
          <w:tab w:val="left" w:pos="836"/>
        </w:tabs>
        <w:spacing w:before="90"/>
        <w:ind w:right="250"/>
        <w:rPr>
          <w:sz w:val="24"/>
        </w:rPr>
      </w:pPr>
      <w:r>
        <w:rPr>
          <w:b/>
          <w:sz w:val="24"/>
        </w:rPr>
        <w:t xml:space="preserve">noted </w:t>
      </w:r>
      <w:r>
        <w:rPr>
          <w:sz w:val="24"/>
        </w:rPr>
        <w:t>that on 29 March 2019, the Minister of Revenue agreed that NZGIF should be added to Schedule 35 of the Income Tax Act 2007;</w:t>
      </w:r>
    </w:p>
    <w:p w:rsidR="000802DE" w:rsidRDefault="000802DE">
      <w:pPr>
        <w:pStyle w:val="BodyText"/>
        <w:spacing w:before="10"/>
        <w:rPr>
          <w:sz w:val="20"/>
        </w:rPr>
      </w:pPr>
    </w:p>
    <w:p w:rsidR="000802DE" w:rsidRDefault="00925266">
      <w:pPr>
        <w:pStyle w:val="ListParagraph"/>
        <w:numPr>
          <w:ilvl w:val="0"/>
          <w:numId w:val="1"/>
        </w:numPr>
        <w:tabs>
          <w:tab w:val="left" w:pos="835"/>
          <w:tab w:val="left" w:pos="836"/>
        </w:tabs>
        <w:ind w:right="384"/>
        <w:rPr>
          <w:sz w:val="24"/>
        </w:rPr>
      </w:pPr>
      <w:r>
        <w:rPr>
          <w:b/>
          <w:sz w:val="24"/>
        </w:rPr>
        <w:t xml:space="preserve">noted </w:t>
      </w:r>
      <w:r>
        <w:rPr>
          <w:sz w:val="24"/>
        </w:rPr>
        <w:t>that the Income Tax (New Zealand Green Investment Finance Limited) Order 2019 gives effect to the decision referred to in paragraph</w:t>
      </w:r>
      <w:r>
        <w:rPr>
          <w:spacing w:val="3"/>
          <w:sz w:val="24"/>
        </w:rPr>
        <w:t xml:space="preserve"> </w:t>
      </w:r>
      <w:r>
        <w:rPr>
          <w:sz w:val="24"/>
        </w:rPr>
        <w:t>9;</w:t>
      </w:r>
    </w:p>
    <w:p w:rsidR="000802DE" w:rsidRDefault="000802DE">
      <w:pPr>
        <w:pStyle w:val="BodyText"/>
        <w:spacing w:before="10"/>
        <w:rPr>
          <w:sz w:val="20"/>
        </w:rPr>
      </w:pPr>
    </w:p>
    <w:p w:rsidR="000802DE" w:rsidRDefault="00925266">
      <w:pPr>
        <w:pStyle w:val="ListParagraph"/>
        <w:numPr>
          <w:ilvl w:val="0"/>
          <w:numId w:val="1"/>
        </w:numPr>
        <w:tabs>
          <w:tab w:val="left" w:pos="835"/>
          <w:tab w:val="left" w:pos="836"/>
        </w:tabs>
        <w:ind w:right="172"/>
        <w:rPr>
          <w:sz w:val="24"/>
        </w:rPr>
      </w:pPr>
      <w:r>
        <w:rPr>
          <w:b/>
          <w:sz w:val="24"/>
        </w:rPr>
        <w:t xml:space="preserve">noted </w:t>
      </w:r>
      <w:r>
        <w:rPr>
          <w:sz w:val="24"/>
        </w:rPr>
        <w:t>that section CW 38B of Income Tax Act 2007 provides that an Order in Council may be made under that section only if: the company is listed in Schedule 4A or it is a</w:t>
      </w:r>
      <w:r>
        <w:rPr>
          <w:spacing w:val="-25"/>
          <w:sz w:val="24"/>
        </w:rPr>
        <w:t xml:space="preserve"> </w:t>
      </w:r>
      <w:r>
        <w:rPr>
          <w:sz w:val="24"/>
        </w:rPr>
        <w:t>subsidiary of a company listed in Schedule 4A; Ministers of the Crown hold, on behalf of the Crown, more than 50% of the voting interests in the company; all other voting interests, if any, in the company are held by local authorities; and the company's primary purpose is the carrying out of a public policy objective of the Government;</w:t>
      </w:r>
    </w:p>
    <w:p w:rsidR="000802DE" w:rsidRDefault="000802DE">
      <w:pPr>
        <w:pStyle w:val="BodyText"/>
        <w:spacing w:before="10"/>
        <w:rPr>
          <w:sz w:val="20"/>
        </w:rPr>
      </w:pPr>
    </w:p>
    <w:p w:rsidR="000802DE" w:rsidRDefault="00925266">
      <w:pPr>
        <w:pStyle w:val="ListParagraph"/>
        <w:numPr>
          <w:ilvl w:val="0"/>
          <w:numId w:val="1"/>
        </w:numPr>
        <w:tabs>
          <w:tab w:val="left" w:pos="835"/>
          <w:tab w:val="left" w:pos="836"/>
        </w:tabs>
        <w:rPr>
          <w:sz w:val="24"/>
        </w:rPr>
      </w:pPr>
      <w:r>
        <w:rPr>
          <w:b/>
          <w:sz w:val="24"/>
        </w:rPr>
        <w:t xml:space="preserve">noted </w:t>
      </w:r>
      <w:r>
        <w:rPr>
          <w:sz w:val="24"/>
        </w:rPr>
        <w:t>that NZGIF meets the criteria in paragraph</w:t>
      </w:r>
      <w:r>
        <w:rPr>
          <w:spacing w:val="-2"/>
          <w:sz w:val="24"/>
        </w:rPr>
        <w:t xml:space="preserve"> </w:t>
      </w:r>
      <w:r>
        <w:rPr>
          <w:sz w:val="24"/>
        </w:rPr>
        <w:t>11;</w:t>
      </w:r>
    </w:p>
    <w:p w:rsidR="000802DE" w:rsidRDefault="000802DE">
      <w:pPr>
        <w:pStyle w:val="BodyText"/>
        <w:spacing w:before="10"/>
        <w:rPr>
          <w:sz w:val="20"/>
        </w:rPr>
      </w:pPr>
    </w:p>
    <w:p w:rsidR="000802DE" w:rsidRDefault="00925266">
      <w:pPr>
        <w:pStyle w:val="ListParagraph"/>
        <w:numPr>
          <w:ilvl w:val="0"/>
          <w:numId w:val="1"/>
        </w:numPr>
        <w:tabs>
          <w:tab w:val="left" w:pos="835"/>
          <w:tab w:val="left" w:pos="836"/>
        </w:tabs>
        <w:ind w:right="625"/>
        <w:rPr>
          <w:sz w:val="24"/>
        </w:rPr>
      </w:pPr>
      <w:r>
        <w:rPr>
          <w:b/>
          <w:w w:val="110"/>
          <w:sz w:val="24"/>
        </w:rPr>
        <w:t>a</w:t>
      </w:r>
      <w:r w:rsidR="00C52F82">
        <w:rPr>
          <w:b/>
          <w:w w:val="110"/>
          <w:sz w:val="24"/>
        </w:rPr>
        <w:t>u</w:t>
      </w:r>
      <w:r>
        <w:rPr>
          <w:b/>
          <w:sz w:val="24"/>
        </w:rPr>
        <w:t xml:space="preserve">thorised </w:t>
      </w:r>
      <w:r>
        <w:rPr>
          <w:sz w:val="24"/>
        </w:rPr>
        <w:t>the submission to the Executive Council of the Income Tax (New Zealand Green Investment Finance Limited) Order 2019 [PCO 22050/4.0] inserting the name</w:t>
      </w:r>
      <w:r>
        <w:rPr>
          <w:spacing w:val="-18"/>
          <w:sz w:val="24"/>
        </w:rPr>
        <w:t xml:space="preserve"> </w:t>
      </w:r>
      <w:r>
        <w:rPr>
          <w:sz w:val="24"/>
        </w:rPr>
        <w:t>of NZGIF into Schedule 35 of the Income Tax Act</w:t>
      </w:r>
      <w:r>
        <w:rPr>
          <w:spacing w:val="-2"/>
          <w:sz w:val="24"/>
        </w:rPr>
        <w:t xml:space="preserve"> </w:t>
      </w:r>
      <w:r>
        <w:rPr>
          <w:sz w:val="24"/>
        </w:rPr>
        <w:t>2007;</w:t>
      </w:r>
    </w:p>
    <w:p w:rsidR="000802DE" w:rsidRDefault="000802DE">
      <w:pPr>
        <w:pStyle w:val="BodyText"/>
        <w:spacing w:before="10"/>
        <w:rPr>
          <w:sz w:val="20"/>
        </w:rPr>
      </w:pPr>
    </w:p>
    <w:p w:rsidR="000802DE" w:rsidRDefault="00925266">
      <w:pPr>
        <w:pStyle w:val="ListParagraph"/>
        <w:numPr>
          <w:ilvl w:val="0"/>
          <w:numId w:val="1"/>
        </w:numPr>
        <w:tabs>
          <w:tab w:val="left" w:pos="835"/>
          <w:tab w:val="left" w:pos="836"/>
        </w:tabs>
        <w:rPr>
          <w:sz w:val="24"/>
        </w:rPr>
      </w:pPr>
      <w:r>
        <w:rPr>
          <w:b/>
          <w:sz w:val="24"/>
        </w:rPr>
        <w:t xml:space="preserve">noted </w:t>
      </w:r>
      <w:r>
        <w:rPr>
          <w:sz w:val="24"/>
        </w:rPr>
        <w:t>that a waiver of the 28-day rule is</w:t>
      </w:r>
      <w:r>
        <w:rPr>
          <w:spacing w:val="-2"/>
          <w:sz w:val="24"/>
        </w:rPr>
        <w:t xml:space="preserve"> </w:t>
      </w:r>
      <w:r>
        <w:rPr>
          <w:sz w:val="24"/>
        </w:rPr>
        <w:t>sought:</w:t>
      </w:r>
    </w:p>
    <w:p w:rsidR="000802DE" w:rsidRDefault="000802DE">
      <w:pPr>
        <w:pStyle w:val="BodyText"/>
        <w:spacing w:before="10"/>
        <w:rPr>
          <w:sz w:val="20"/>
        </w:rPr>
      </w:pPr>
    </w:p>
    <w:p w:rsidR="000802DE" w:rsidRDefault="00925266">
      <w:pPr>
        <w:pStyle w:val="ListParagraph"/>
        <w:numPr>
          <w:ilvl w:val="1"/>
          <w:numId w:val="1"/>
        </w:numPr>
        <w:tabs>
          <w:tab w:val="left" w:pos="1555"/>
          <w:tab w:val="left" w:pos="1556"/>
        </w:tabs>
        <w:rPr>
          <w:sz w:val="24"/>
        </w:rPr>
      </w:pPr>
      <w:r>
        <w:rPr>
          <w:sz w:val="24"/>
        </w:rPr>
        <w:t>so that the Orders can come into force as soon as</w:t>
      </w:r>
      <w:r>
        <w:rPr>
          <w:spacing w:val="-3"/>
          <w:sz w:val="24"/>
        </w:rPr>
        <w:t xml:space="preserve"> </w:t>
      </w:r>
      <w:r>
        <w:rPr>
          <w:sz w:val="24"/>
        </w:rPr>
        <w:t>possible;</w:t>
      </w:r>
    </w:p>
    <w:p w:rsidR="000802DE" w:rsidRDefault="000802DE">
      <w:pPr>
        <w:pStyle w:val="BodyText"/>
        <w:spacing w:before="10"/>
        <w:rPr>
          <w:sz w:val="20"/>
        </w:rPr>
      </w:pPr>
    </w:p>
    <w:p w:rsidR="000802DE" w:rsidRDefault="00925266">
      <w:pPr>
        <w:pStyle w:val="ListParagraph"/>
        <w:numPr>
          <w:ilvl w:val="1"/>
          <w:numId w:val="1"/>
        </w:numPr>
        <w:tabs>
          <w:tab w:val="left" w:pos="1555"/>
          <w:tab w:val="left" w:pos="1556"/>
        </w:tabs>
        <w:rPr>
          <w:sz w:val="24"/>
        </w:rPr>
      </w:pPr>
      <w:r>
        <w:rPr>
          <w:sz w:val="24"/>
        </w:rPr>
        <w:t>on the grounds that the Orders have little or no effect on the public;</w:t>
      </w:r>
      <w:r>
        <w:rPr>
          <w:spacing w:val="-7"/>
          <w:sz w:val="24"/>
        </w:rPr>
        <w:t xml:space="preserve"> </w:t>
      </w:r>
      <w:r>
        <w:rPr>
          <w:sz w:val="24"/>
        </w:rPr>
        <w:t>and</w:t>
      </w:r>
    </w:p>
    <w:p w:rsidR="000802DE" w:rsidRDefault="000802DE">
      <w:pPr>
        <w:pStyle w:val="BodyText"/>
        <w:spacing w:before="10"/>
        <w:rPr>
          <w:sz w:val="20"/>
        </w:rPr>
      </w:pPr>
    </w:p>
    <w:p w:rsidR="000802DE" w:rsidRDefault="00925266">
      <w:pPr>
        <w:pStyle w:val="ListParagraph"/>
        <w:numPr>
          <w:ilvl w:val="0"/>
          <w:numId w:val="1"/>
        </w:numPr>
        <w:tabs>
          <w:tab w:val="left" w:pos="835"/>
          <w:tab w:val="left" w:pos="836"/>
        </w:tabs>
        <w:ind w:right="304"/>
        <w:rPr>
          <w:sz w:val="24"/>
        </w:rPr>
      </w:pPr>
      <w:r>
        <w:rPr>
          <w:b/>
          <w:sz w:val="24"/>
        </w:rPr>
        <w:t xml:space="preserve">agreed </w:t>
      </w:r>
      <w:r>
        <w:rPr>
          <w:sz w:val="24"/>
        </w:rPr>
        <w:t>to waive the 28-day rule so that the Orders can come into force on the day after the date of their notification in the</w:t>
      </w:r>
      <w:r>
        <w:rPr>
          <w:spacing w:val="-2"/>
          <w:sz w:val="24"/>
        </w:rPr>
        <w:t xml:space="preserve"> </w:t>
      </w:r>
      <w:r>
        <w:rPr>
          <w:sz w:val="24"/>
        </w:rPr>
        <w:t>Gazette.</w:t>
      </w:r>
    </w:p>
    <w:p w:rsidR="000802DE" w:rsidRDefault="000802DE">
      <w:pPr>
        <w:pStyle w:val="BodyText"/>
        <w:rPr>
          <w:sz w:val="26"/>
        </w:rPr>
      </w:pPr>
    </w:p>
    <w:p w:rsidR="000802DE" w:rsidRDefault="000802DE">
      <w:pPr>
        <w:pStyle w:val="BodyText"/>
        <w:rPr>
          <w:sz w:val="26"/>
        </w:rPr>
      </w:pPr>
    </w:p>
    <w:p w:rsidR="000802DE" w:rsidRDefault="000802DE">
      <w:pPr>
        <w:pStyle w:val="BodyText"/>
        <w:rPr>
          <w:sz w:val="26"/>
        </w:rPr>
      </w:pPr>
    </w:p>
    <w:p w:rsidR="000802DE" w:rsidRDefault="000802DE">
      <w:pPr>
        <w:pStyle w:val="BodyText"/>
        <w:rPr>
          <w:sz w:val="26"/>
        </w:rPr>
      </w:pPr>
    </w:p>
    <w:p w:rsidR="000802DE" w:rsidRDefault="000802DE">
      <w:pPr>
        <w:pStyle w:val="BodyText"/>
        <w:spacing w:before="10"/>
        <w:rPr>
          <w:sz w:val="36"/>
        </w:rPr>
      </w:pPr>
    </w:p>
    <w:p w:rsidR="000802DE" w:rsidRDefault="00925266">
      <w:pPr>
        <w:pStyle w:val="BodyText"/>
        <w:spacing w:before="1" w:after="19"/>
        <w:ind w:left="115" w:right="7692"/>
      </w:pPr>
      <w:r>
        <w:t>Vivien Meek Committee Secretary</w:t>
      </w:r>
    </w:p>
    <w:p w:rsidR="000802DE" w:rsidRDefault="00EB2CAD">
      <w:pPr>
        <w:pStyle w:val="BodyText"/>
        <w:spacing w:line="20" w:lineRule="exact"/>
        <w:ind w:left="109"/>
        <w:rPr>
          <w:sz w:val="2"/>
        </w:rPr>
      </w:pPr>
      <w:r>
        <w:rPr>
          <w:sz w:val="2"/>
        </w:rPr>
      </w:r>
      <w:r>
        <w:rPr>
          <w:sz w:val="2"/>
        </w:rPr>
        <w:pict>
          <v:group id="_x0000_s1026" style="width:481.8pt;height:.5pt;mso-position-horizontal-relative:char;mso-position-vertical-relative:line" coordsize="9636,10">
            <v:line id="_x0000_s1027" style="position:absolute" from="0,5" to="9636,5" strokecolor="#000001" strokeweight=".5pt"/>
            <w10:anchorlock/>
          </v:group>
        </w:pict>
      </w:r>
    </w:p>
    <w:p w:rsidR="000802DE" w:rsidRDefault="000802DE">
      <w:pPr>
        <w:pStyle w:val="BodyText"/>
        <w:rPr>
          <w:sz w:val="15"/>
        </w:rPr>
      </w:pPr>
    </w:p>
    <w:p w:rsidR="000802DE" w:rsidRDefault="000802DE">
      <w:pPr>
        <w:rPr>
          <w:sz w:val="15"/>
        </w:rPr>
        <w:sectPr w:rsidR="000802DE">
          <w:pgSz w:w="11900" w:h="16840"/>
          <w:pgMar w:top="840" w:right="1020" w:bottom="780" w:left="1020" w:header="405" w:footer="582" w:gutter="0"/>
          <w:cols w:space="720"/>
        </w:sectPr>
      </w:pPr>
    </w:p>
    <w:p w:rsidR="000802DE" w:rsidRDefault="00925266">
      <w:pPr>
        <w:spacing w:before="94" w:line="229" w:lineRule="exact"/>
        <w:ind w:left="115"/>
        <w:rPr>
          <w:rFonts w:ascii="Arial"/>
          <w:b/>
          <w:sz w:val="20"/>
        </w:rPr>
      </w:pPr>
      <w:r>
        <w:rPr>
          <w:rFonts w:ascii="Arial"/>
          <w:b/>
          <w:sz w:val="20"/>
        </w:rPr>
        <w:t>Present:</w:t>
      </w:r>
    </w:p>
    <w:p w:rsidR="000802DE" w:rsidRDefault="00925266">
      <w:pPr>
        <w:ind w:left="115" w:right="90"/>
        <w:rPr>
          <w:sz w:val="20"/>
        </w:rPr>
      </w:pPr>
      <w:r>
        <w:rPr>
          <w:sz w:val="20"/>
        </w:rPr>
        <w:t xml:space="preserve">Hon Chris </w:t>
      </w:r>
      <w:proofErr w:type="spellStart"/>
      <w:r>
        <w:rPr>
          <w:sz w:val="20"/>
        </w:rPr>
        <w:t>Hipkins</w:t>
      </w:r>
      <w:proofErr w:type="spellEnd"/>
      <w:r>
        <w:rPr>
          <w:sz w:val="20"/>
        </w:rPr>
        <w:t xml:space="preserve"> (Chair) Hon Stuart Nash</w:t>
      </w:r>
    </w:p>
    <w:p w:rsidR="000802DE" w:rsidRDefault="00925266">
      <w:pPr>
        <w:ind w:left="115" w:right="251"/>
        <w:rPr>
          <w:sz w:val="20"/>
        </w:rPr>
      </w:pPr>
      <w:r>
        <w:rPr>
          <w:sz w:val="20"/>
        </w:rPr>
        <w:t>Hon Iain Lees-Galloway Hon Tracey Martin</w:t>
      </w:r>
    </w:p>
    <w:p w:rsidR="000802DE" w:rsidRDefault="00925266">
      <w:pPr>
        <w:ind w:left="115" w:right="740"/>
        <w:rPr>
          <w:sz w:val="20"/>
        </w:rPr>
      </w:pPr>
      <w:r>
        <w:rPr>
          <w:sz w:val="20"/>
        </w:rPr>
        <w:t xml:space="preserve">Hon Kris </w:t>
      </w:r>
      <w:proofErr w:type="spellStart"/>
      <w:r>
        <w:rPr>
          <w:sz w:val="20"/>
        </w:rPr>
        <w:t>Faafoi</w:t>
      </w:r>
      <w:proofErr w:type="spellEnd"/>
      <w:r>
        <w:rPr>
          <w:sz w:val="20"/>
        </w:rPr>
        <w:t xml:space="preserve"> Hon Penni Henare Hon Eugenie Sage</w:t>
      </w:r>
    </w:p>
    <w:p w:rsidR="000802DE" w:rsidRDefault="000802DE">
      <w:pPr>
        <w:pStyle w:val="BodyText"/>
        <w:rPr>
          <w:sz w:val="22"/>
        </w:rPr>
      </w:pPr>
    </w:p>
    <w:p w:rsidR="000802DE" w:rsidRDefault="000802DE">
      <w:pPr>
        <w:pStyle w:val="BodyText"/>
        <w:spacing w:before="4"/>
        <w:rPr>
          <w:sz w:val="21"/>
        </w:rPr>
      </w:pPr>
    </w:p>
    <w:p w:rsidR="000802DE" w:rsidRDefault="00925266">
      <w:pPr>
        <w:spacing w:line="229" w:lineRule="exact"/>
        <w:ind w:left="115"/>
        <w:rPr>
          <w:rFonts w:ascii="Arial"/>
          <w:b/>
          <w:sz w:val="20"/>
        </w:rPr>
      </w:pPr>
      <w:r>
        <w:rPr>
          <w:rFonts w:ascii="Arial"/>
          <w:b/>
          <w:sz w:val="20"/>
        </w:rPr>
        <w:t>Hard-copy distribution:</w:t>
      </w:r>
    </w:p>
    <w:p w:rsidR="000802DE" w:rsidRDefault="00925266">
      <w:pPr>
        <w:spacing w:line="229" w:lineRule="exact"/>
        <w:ind w:left="115"/>
        <w:rPr>
          <w:sz w:val="20"/>
        </w:rPr>
      </w:pPr>
      <w:r>
        <w:rPr>
          <w:sz w:val="20"/>
        </w:rPr>
        <w:t>Minister of Revenue</w:t>
      </w:r>
    </w:p>
    <w:p w:rsidR="000802DE" w:rsidRDefault="00925266">
      <w:pPr>
        <w:spacing w:before="94"/>
        <w:ind w:left="116" w:right="2191"/>
        <w:rPr>
          <w:sz w:val="20"/>
        </w:rPr>
      </w:pPr>
      <w:r>
        <w:br w:type="column"/>
      </w:r>
      <w:r>
        <w:rPr>
          <w:rFonts w:ascii="Arial"/>
          <w:b/>
          <w:sz w:val="20"/>
        </w:rPr>
        <w:t xml:space="preserve">Officials present from: </w:t>
      </w:r>
      <w:r>
        <w:rPr>
          <w:sz w:val="20"/>
        </w:rPr>
        <w:t>Office of the Prime Minister Officials Committee for LEG</w:t>
      </w:r>
    </w:p>
    <w:sectPr w:rsidR="000802DE">
      <w:type w:val="continuous"/>
      <w:pgSz w:w="11900" w:h="16840"/>
      <w:pgMar w:top="840" w:right="1020" w:bottom="780" w:left="1020" w:header="720" w:footer="720" w:gutter="0"/>
      <w:cols w:num="2" w:space="720" w:equalWidth="0">
        <w:col w:w="2364" w:space="2564"/>
        <w:col w:w="49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559" w:rsidRDefault="00925266">
      <w:r>
        <w:separator/>
      </w:r>
    </w:p>
  </w:endnote>
  <w:endnote w:type="continuationSeparator" w:id="0">
    <w:p w:rsidR="00000559" w:rsidRDefault="0092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DE" w:rsidRDefault="00EB2CAD">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27.8pt;margin-top:801.9pt;width:10pt;height:15.3pt;z-index:-4096;mso-position-horizontal-relative:page;mso-position-vertical-relative:page" filled="f" stroked="f">
          <v:textbox inset="0,0,0,0">
            <w:txbxContent>
              <w:p w:rsidR="000802DE" w:rsidRDefault="00925266">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w:r>
    <w:r>
      <w:pict>
        <v:shape id="_x0000_s2050" type="#_x0000_t202" style="position:absolute;margin-left:236.3pt;margin-top:815.55pt;width:116.75pt;height:13.2pt;z-index:-4072;mso-position-horizontal-relative:page;mso-position-vertical-relative:page" filled="f" stroked="f">
          <v:textbox inset="0,0,0,0">
            <w:txbxContent>
              <w:p w:rsidR="000802DE" w:rsidRDefault="00925266">
                <w:pPr>
                  <w:spacing w:before="13"/>
                  <w:ind w:left="20"/>
                  <w:rPr>
                    <w:rFonts w:ascii="Arial"/>
                    <w:b/>
                    <w:sz w:val="20"/>
                  </w:rPr>
                </w:pPr>
                <w:r>
                  <w:rPr>
                    <w:rFonts w:ascii="Arial"/>
                    <w:b/>
                    <w:sz w:val="20"/>
                  </w:rPr>
                  <w:t xml:space="preserve">I </w:t>
                </w:r>
                <w:proofErr w:type="gramStart"/>
                <w:r>
                  <w:rPr>
                    <w:rFonts w:ascii="Arial"/>
                    <w:b/>
                    <w:sz w:val="20"/>
                  </w:rPr>
                  <w:t>N  C</w:t>
                </w:r>
                <w:proofErr w:type="gramEnd"/>
                <w:r>
                  <w:rPr>
                    <w:rFonts w:ascii="Arial"/>
                    <w:b/>
                    <w:sz w:val="20"/>
                  </w:rPr>
                  <w:t xml:space="preserve"> O N F I D E N C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559" w:rsidRDefault="00925266">
      <w:r>
        <w:separator/>
      </w:r>
    </w:p>
  </w:footnote>
  <w:footnote w:type="continuationSeparator" w:id="0">
    <w:p w:rsidR="00000559" w:rsidRDefault="00925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DE" w:rsidRDefault="00EB2CAD">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36.3pt;margin-top:19.25pt;width:116.75pt;height:13.2pt;z-index:-4144;mso-position-horizontal-relative:page;mso-position-vertical-relative:page" filled="f" stroked="f">
          <v:textbox inset="0,0,0,0">
            <w:txbxContent>
              <w:p w:rsidR="000802DE" w:rsidRDefault="00925266">
                <w:pPr>
                  <w:spacing w:before="13"/>
                  <w:ind w:left="20"/>
                  <w:rPr>
                    <w:rFonts w:ascii="Arial"/>
                    <w:b/>
                    <w:sz w:val="20"/>
                  </w:rPr>
                </w:pPr>
                <w:r>
                  <w:rPr>
                    <w:rFonts w:ascii="Arial"/>
                    <w:b/>
                    <w:sz w:val="20"/>
                  </w:rPr>
                  <w:t xml:space="preserve">I </w:t>
                </w:r>
                <w:proofErr w:type="gramStart"/>
                <w:r>
                  <w:rPr>
                    <w:rFonts w:ascii="Arial"/>
                    <w:b/>
                    <w:sz w:val="20"/>
                  </w:rPr>
                  <w:t>N  C</w:t>
                </w:r>
                <w:proofErr w:type="gramEnd"/>
                <w:r>
                  <w:rPr>
                    <w:rFonts w:ascii="Arial"/>
                    <w:b/>
                    <w:sz w:val="20"/>
                  </w:rPr>
                  <w:t xml:space="preserve"> O N F I D E N C E</w:t>
                </w:r>
              </w:p>
            </w:txbxContent>
          </v:textbox>
          <w10:wrap anchorx="page" anchory="page"/>
        </v:shape>
      </w:pict>
    </w:r>
    <w:r>
      <w:pict>
        <v:shape id="_x0000_s2052" type="#_x0000_t202" style="position:absolute;margin-left:452.7pt;margin-top:30.75pt;width:84.2pt;height:13.2pt;z-index:-4120;mso-position-horizontal-relative:page;mso-position-vertical-relative:page" filled="f" stroked="f">
          <v:textbox inset="0,0,0,0">
            <w:txbxContent>
              <w:p w:rsidR="000802DE" w:rsidRDefault="00925266">
                <w:pPr>
                  <w:spacing w:before="13"/>
                  <w:ind w:left="20"/>
                  <w:rPr>
                    <w:rFonts w:ascii="Arial"/>
                    <w:b/>
                    <w:sz w:val="20"/>
                  </w:rPr>
                </w:pPr>
                <w:r>
                  <w:rPr>
                    <w:rFonts w:ascii="Arial"/>
                    <w:b/>
                    <w:sz w:val="20"/>
                  </w:rPr>
                  <w:t>LEG-19-MIN-0066</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E294C"/>
    <w:multiLevelType w:val="multilevel"/>
    <w:tmpl w:val="A1F4ABF2"/>
    <w:lvl w:ilvl="0">
      <w:start w:val="1"/>
      <w:numFmt w:val="decimal"/>
      <w:lvlText w:val="%1"/>
      <w:lvlJc w:val="left"/>
      <w:pPr>
        <w:ind w:left="836" w:hanging="720"/>
        <w:jc w:val="left"/>
      </w:pPr>
      <w:rPr>
        <w:rFonts w:ascii="Times New Roman" w:eastAsia="Times New Roman" w:hAnsi="Times New Roman" w:cs="Times New Roman" w:hint="default"/>
        <w:spacing w:val="-3"/>
        <w:w w:val="100"/>
        <w:sz w:val="24"/>
        <w:szCs w:val="24"/>
        <w:lang w:val="en-NZ" w:eastAsia="en-NZ" w:bidi="en-NZ"/>
      </w:rPr>
    </w:lvl>
    <w:lvl w:ilvl="1">
      <w:start w:val="1"/>
      <w:numFmt w:val="decimal"/>
      <w:lvlText w:val="%1.%2"/>
      <w:lvlJc w:val="left"/>
      <w:pPr>
        <w:ind w:left="1556" w:hanging="720"/>
        <w:jc w:val="left"/>
      </w:pPr>
      <w:rPr>
        <w:rFonts w:ascii="Times New Roman" w:eastAsia="Times New Roman" w:hAnsi="Times New Roman" w:cs="Times New Roman" w:hint="default"/>
        <w:spacing w:val="-2"/>
        <w:w w:val="100"/>
        <w:sz w:val="24"/>
        <w:szCs w:val="24"/>
        <w:lang w:val="en-NZ" w:eastAsia="en-NZ" w:bidi="en-NZ"/>
      </w:rPr>
    </w:lvl>
    <w:lvl w:ilvl="2">
      <w:numFmt w:val="bullet"/>
      <w:lvlText w:val="•"/>
      <w:lvlJc w:val="left"/>
      <w:pPr>
        <w:ind w:left="2482" w:hanging="720"/>
      </w:pPr>
      <w:rPr>
        <w:rFonts w:hint="default"/>
        <w:lang w:val="en-NZ" w:eastAsia="en-NZ" w:bidi="en-NZ"/>
      </w:rPr>
    </w:lvl>
    <w:lvl w:ilvl="3">
      <w:numFmt w:val="bullet"/>
      <w:lvlText w:val="•"/>
      <w:lvlJc w:val="left"/>
      <w:pPr>
        <w:ind w:left="3404" w:hanging="720"/>
      </w:pPr>
      <w:rPr>
        <w:rFonts w:hint="default"/>
        <w:lang w:val="en-NZ" w:eastAsia="en-NZ" w:bidi="en-NZ"/>
      </w:rPr>
    </w:lvl>
    <w:lvl w:ilvl="4">
      <w:numFmt w:val="bullet"/>
      <w:lvlText w:val="•"/>
      <w:lvlJc w:val="left"/>
      <w:pPr>
        <w:ind w:left="4326" w:hanging="720"/>
      </w:pPr>
      <w:rPr>
        <w:rFonts w:hint="default"/>
        <w:lang w:val="en-NZ" w:eastAsia="en-NZ" w:bidi="en-NZ"/>
      </w:rPr>
    </w:lvl>
    <w:lvl w:ilvl="5">
      <w:numFmt w:val="bullet"/>
      <w:lvlText w:val="•"/>
      <w:lvlJc w:val="left"/>
      <w:pPr>
        <w:ind w:left="5248" w:hanging="720"/>
      </w:pPr>
      <w:rPr>
        <w:rFonts w:hint="default"/>
        <w:lang w:val="en-NZ" w:eastAsia="en-NZ" w:bidi="en-NZ"/>
      </w:rPr>
    </w:lvl>
    <w:lvl w:ilvl="6">
      <w:numFmt w:val="bullet"/>
      <w:lvlText w:val="•"/>
      <w:lvlJc w:val="left"/>
      <w:pPr>
        <w:ind w:left="6171" w:hanging="720"/>
      </w:pPr>
      <w:rPr>
        <w:rFonts w:hint="default"/>
        <w:lang w:val="en-NZ" w:eastAsia="en-NZ" w:bidi="en-NZ"/>
      </w:rPr>
    </w:lvl>
    <w:lvl w:ilvl="7">
      <w:numFmt w:val="bullet"/>
      <w:lvlText w:val="•"/>
      <w:lvlJc w:val="left"/>
      <w:pPr>
        <w:ind w:left="7093" w:hanging="720"/>
      </w:pPr>
      <w:rPr>
        <w:rFonts w:hint="default"/>
        <w:lang w:val="en-NZ" w:eastAsia="en-NZ" w:bidi="en-NZ"/>
      </w:rPr>
    </w:lvl>
    <w:lvl w:ilvl="8">
      <w:numFmt w:val="bullet"/>
      <w:lvlText w:val="•"/>
      <w:lvlJc w:val="left"/>
      <w:pPr>
        <w:ind w:left="8015" w:hanging="72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802DE"/>
    <w:rsid w:val="00000559"/>
    <w:rsid w:val="000802DE"/>
    <w:rsid w:val="00925266"/>
    <w:rsid w:val="00C52F82"/>
    <w:rsid w:val="00EB2C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BE284158-9538-49B2-8569-94A3AC3F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5266"/>
    <w:pPr>
      <w:tabs>
        <w:tab w:val="center" w:pos="4513"/>
        <w:tab w:val="right" w:pos="9026"/>
      </w:tabs>
    </w:pPr>
  </w:style>
  <w:style w:type="character" w:customStyle="1" w:styleId="HeaderChar">
    <w:name w:val="Header Char"/>
    <w:basedOn w:val="DefaultParagraphFont"/>
    <w:link w:val="Header"/>
    <w:uiPriority w:val="99"/>
    <w:rsid w:val="00925266"/>
    <w:rPr>
      <w:rFonts w:ascii="Times New Roman" w:eastAsia="Times New Roman" w:hAnsi="Times New Roman" w:cs="Times New Roman"/>
      <w:lang w:val="en-NZ" w:eastAsia="en-NZ" w:bidi="en-NZ"/>
    </w:rPr>
  </w:style>
  <w:style w:type="paragraph" w:styleId="Footer">
    <w:name w:val="footer"/>
    <w:basedOn w:val="Normal"/>
    <w:link w:val="FooterChar"/>
    <w:uiPriority w:val="99"/>
    <w:unhideWhenUsed/>
    <w:rsid w:val="00925266"/>
    <w:pPr>
      <w:tabs>
        <w:tab w:val="center" w:pos="4513"/>
        <w:tab w:val="right" w:pos="9026"/>
      </w:tabs>
    </w:pPr>
  </w:style>
  <w:style w:type="character" w:customStyle="1" w:styleId="FooterChar">
    <w:name w:val="Footer Char"/>
    <w:basedOn w:val="DefaultParagraphFont"/>
    <w:link w:val="Footer"/>
    <w:uiPriority w:val="99"/>
    <w:rsid w:val="00925266"/>
    <w:rPr>
      <w:rFonts w:ascii="Times New Roman" w:eastAsia="Times New Roman" w:hAnsi="Times New Roman" w:cs="Times New Roman"/>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 - LEG-19-MIN-0066 - New Zealand Green Investment Finance Limited: Orders in Council (21 May 2019)</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 - LEG-19-MIN-0066 - New Zealand Green Investment Finance Limited: Orders in Council (21 May 2019)</dc:title>
  <dcterms:created xsi:type="dcterms:W3CDTF">2019-06-19T01:25:00Z</dcterms:created>
  <dcterms:modified xsi:type="dcterms:W3CDTF">2019-06-19T01:25:00Z</dcterms:modified>
</cp:coreProperties>
</file>