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1D48" w:rsidRDefault="006D2713">
      <w:pPr>
        <w:spacing w:before="51"/>
        <w:ind w:left="2022" w:right="1526"/>
        <w:rPr>
          <w:rFonts w:ascii="Arial"/>
          <w:b/>
          <w:sz w:val="44"/>
        </w:rPr>
      </w:pPr>
      <w:bookmarkStart w:id="0" w:name="_GoBack"/>
      <w:bookmarkEnd w:id="0"/>
      <w:r>
        <w:rPr>
          <w:noProof/>
        </w:rPr>
        <w:drawing>
          <wp:anchor distT="0" distB="0" distL="0" distR="0" simplePos="0" relativeHeight="1072" behindDoc="0" locked="0" layoutInCell="1" allowOverlap="1">
            <wp:simplePos x="0" y="0"/>
            <wp:positionH relativeFrom="page">
              <wp:posOffset>748030</wp:posOffset>
            </wp:positionH>
            <wp:positionV relativeFrom="paragraph">
              <wp:posOffset>31569</wp:posOffset>
            </wp:positionV>
            <wp:extent cx="981709" cy="962659"/>
            <wp:effectExtent l="0" t="0" r="0" b="0"/>
            <wp:wrapNone/>
            <wp:docPr id="1" name="image1.png" descr="Cabinet Office Wellington Seal - with New Zealand Government coat of arms in the centr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981709" cy="962659"/>
                    </a:xfrm>
                    <a:prstGeom prst="rect">
                      <a:avLst/>
                    </a:prstGeom>
                  </pic:spPr>
                </pic:pic>
              </a:graphicData>
            </a:graphic>
          </wp:anchor>
        </w:drawing>
      </w:r>
      <w:r>
        <w:rPr>
          <w:rFonts w:ascii="Arial"/>
          <w:b/>
          <w:sz w:val="44"/>
        </w:rPr>
        <w:t>Cabinet Legislation Committee</w:t>
      </w:r>
    </w:p>
    <w:p w:rsidR="00F81D48" w:rsidRDefault="0044109C">
      <w:pPr>
        <w:spacing w:before="322"/>
        <w:ind w:left="2022"/>
        <w:rPr>
          <w:rFonts w:ascii="Arial"/>
          <w:b/>
          <w:sz w:val="32"/>
        </w:rPr>
      </w:pPr>
      <w:r>
        <w:pict>
          <v:line id="_x0000_s1030" style="position:absolute;left:0;text-align:left;z-index:1048;mso-position-horizontal-relative:page" from="51.3pt,42.8pt" to="544.1pt,42.8pt" strokecolor="#000001" strokeweight=".6pt">
            <w10:wrap anchorx="page"/>
          </v:line>
        </w:pict>
      </w:r>
      <w:r w:rsidR="006D2713">
        <w:rPr>
          <w:rFonts w:ascii="Arial"/>
          <w:b/>
          <w:sz w:val="32"/>
        </w:rPr>
        <w:t>Minute of Decision</w:t>
      </w:r>
    </w:p>
    <w:p w:rsidR="00F81D48" w:rsidRDefault="00F81D48">
      <w:pPr>
        <w:pStyle w:val="BodyText"/>
        <w:spacing w:before="11"/>
        <w:rPr>
          <w:rFonts w:ascii="Arial"/>
          <w:b/>
          <w:sz w:val="11"/>
        </w:rPr>
      </w:pPr>
    </w:p>
    <w:p w:rsidR="00F81D48" w:rsidRDefault="0044109C">
      <w:pPr>
        <w:spacing w:before="93"/>
        <w:ind w:left="115" w:right="3"/>
        <w:rPr>
          <w:rFonts w:ascii="Arial"/>
          <w:i/>
          <w:sz w:val="20"/>
        </w:rPr>
      </w:pPr>
      <w:r>
        <w:pict>
          <v:line id="_x0000_s1029" style="position:absolute;left:0;text-align:left;z-index:1024;mso-position-horizontal-relative:page" from="51.3pt,42.45pt" to="544.1pt,42.45pt" strokecolor="#000001" strokeweight=".6pt">
            <w10:wrap anchorx="page"/>
          </v:line>
        </w:pict>
      </w:r>
      <w:r w:rsidR="006D2713">
        <w:rPr>
          <w:rFonts w:ascii="Arial"/>
          <w:i/>
          <w:sz w:val="20"/>
        </w:rPr>
        <w:t>This document contains information for the New Zealand Cabinet. It must be treated in confidence and handled in accordance with any security classification, or other endorsement. The information can only be released, including under the Official Information Act 1982, by persons with the appropriate authority.</w:t>
      </w:r>
    </w:p>
    <w:p w:rsidR="00F81D48" w:rsidRDefault="00F81D48">
      <w:pPr>
        <w:pStyle w:val="BodyText"/>
        <w:rPr>
          <w:rFonts w:ascii="Arial"/>
          <w:i/>
          <w:sz w:val="22"/>
        </w:rPr>
      </w:pPr>
    </w:p>
    <w:p w:rsidR="00F81D48" w:rsidRDefault="00F81D48">
      <w:pPr>
        <w:pStyle w:val="BodyText"/>
        <w:spacing w:before="11"/>
        <w:rPr>
          <w:rFonts w:ascii="Arial"/>
          <w:i/>
          <w:sz w:val="25"/>
        </w:rPr>
      </w:pPr>
    </w:p>
    <w:p w:rsidR="00F81D48" w:rsidRDefault="006D2713">
      <w:pPr>
        <w:ind w:left="115"/>
        <w:rPr>
          <w:rFonts w:ascii="Arial"/>
          <w:b/>
          <w:sz w:val="28"/>
        </w:rPr>
      </w:pPr>
      <w:r>
        <w:rPr>
          <w:rFonts w:ascii="Arial"/>
          <w:b/>
          <w:sz w:val="28"/>
        </w:rPr>
        <w:t>Tax Administration (Correction of Errors in Employment Income Information) Regulations 2019</w:t>
      </w:r>
    </w:p>
    <w:p w:rsidR="00F81D48" w:rsidRDefault="00F81D48">
      <w:pPr>
        <w:pStyle w:val="BodyText"/>
        <w:spacing w:before="2"/>
        <w:rPr>
          <w:rFonts w:ascii="Arial"/>
          <w:b/>
          <w:sz w:val="31"/>
        </w:rPr>
      </w:pPr>
    </w:p>
    <w:p w:rsidR="00F81D48" w:rsidRDefault="006D2713">
      <w:pPr>
        <w:tabs>
          <w:tab w:val="left" w:pos="2021"/>
        </w:tabs>
        <w:spacing w:before="1"/>
        <w:ind w:left="115"/>
        <w:rPr>
          <w:rFonts w:ascii="Arial"/>
          <w:b/>
          <w:sz w:val="20"/>
        </w:rPr>
      </w:pPr>
      <w:r>
        <w:rPr>
          <w:rFonts w:ascii="Arial"/>
          <w:b/>
          <w:sz w:val="20"/>
        </w:rPr>
        <w:t>Portfolio</w:t>
      </w:r>
      <w:r>
        <w:rPr>
          <w:rFonts w:ascii="Arial"/>
          <w:b/>
          <w:sz w:val="20"/>
        </w:rPr>
        <w:tab/>
        <w:t>Revenue</w:t>
      </w:r>
    </w:p>
    <w:p w:rsidR="00F81D48" w:rsidRDefault="00F81D48">
      <w:pPr>
        <w:pStyle w:val="BodyText"/>
        <w:rPr>
          <w:rFonts w:ascii="Arial"/>
          <w:b/>
          <w:sz w:val="22"/>
        </w:rPr>
      </w:pPr>
    </w:p>
    <w:p w:rsidR="00F81D48" w:rsidRDefault="00F81D48">
      <w:pPr>
        <w:pStyle w:val="BodyText"/>
        <w:spacing w:before="9"/>
        <w:rPr>
          <w:rFonts w:ascii="Arial"/>
          <w:b/>
          <w:sz w:val="22"/>
        </w:rPr>
      </w:pPr>
    </w:p>
    <w:p w:rsidR="00F81D48" w:rsidRDefault="006D2713">
      <w:pPr>
        <w:pStyle w:val="BodyText"/>
        <w:ind w:left="115"/>
      </w:pPr>
      <w:r>
        <w:t>On 19 March 2019, the Cabinet Legislation Committee:</w:t>
      </w:r>
    </w:p>
    <w:p w:rsidR="00F81D48" w:rsidRDefault="00F81D48">
      <w:pPr>
        <w:pStyle w:val="BodyText"/>
      </w:pPr>
    </w:p>
    <w:p w:rsidR="00F81D48" w:rsidRDefault="006D2713">
      <w:pPr>
        <w:pStyle w:val="ListParagraph"/>
        <w:numPr>
          <w:ilvl w:val="0"/>
          <w:numId w:val="1"/>
        </w:numPr>
        <w:tabs>
          <w:tab w:val="left" w:pos="835"/>
          <w:tab w:val="left" w:pos="836"/>
        </w:tabs>
        <w:ind w:right="197"/>
        <w:rPr>
          <w:sz w:val="24"/>
        </w:rPr>
      </w:pPr>
      <w:r>
        <w:rPr>
          <w:b/>
          <w:sz w:val="24"/>
        </w:rPr>
        <w:t xml:space="preserve">noted </w:t>
      </w:r>
      <w:r>
        <w:rPr>
          <w:sz w:val="24"/>
        </w:rPr>
        <w:t>that on 28 March 2018, the Cabinet Economic Development Committee (DEV) agreed to the following decisions on which methods should be available to employers in the regulations:</w:t>
      </w:r>
    </w:p>
    <w:p w:rsidR="00F81D48" w:rsidRDefault="00F81D48">
      <w:pPr>
        <w:pStyle w:val="BodyText"/>
        <w:spacing w:before="10"/>
        <w:rPr>
          <w:sz w:val="20"/>
        </w:rPr>
      </w:pPr>
    </w:p>
    <w:p w:rsidR="00F81D48" w:rsidRDefault="006D2713">
      <w:pPr>
        <w:pStyle w:val="ListParagraph"/>
        <w:numPr>
          <w:ilvl w:val="1"/>
          <w:numId w:val="1"/>
        </w:numPr>
        <w:tabs>
          <w:tab w:val="left" w:pos="1555"/>
          <w:tab w:val="left" w:pos="1556"/>
        </w:tabs>
        <w:ind w:right="130"/>
        <w:rPr>
          <w:sz w:val="24"/>
        </w:rPr>
      </w:pPr>
      <w:r>
        <w:rPr>
          <w:sz w:val="24"/>
        </w:rPr>
        <w:t>employers should continue to be required to correct reporting errors by amending the original</w:t>
      </w:r>
      <w:r>
        <w:rPr>
          <w:spacing w:val="2"/>
          <w:sz w:val="24"/>
        </w:rPr>
        <w:t xml:space="preserve"> </w:t>
      </w:r>
      <w:r>
        <w:rPr>
          <w:sz w:val="24"/>
        </w:rPr>
        <w:t>returns;</w:t>
      </w:r>
    </w:p>
    <w:p w:rsidR="00F81D48" w:rsidRDefault="00F81D48">
      <w:pPr>
        <w:pStyle w:val="BodyText"/>
        <w:spacing w:before="10"/>
        <w:rPr>
          <w:sz w:val="20"/>
        </w:rPr>
      </w:pPr>
    </w:p>
    <w:p w:rsidR="00F81D48" w:rsidRDefault="006D2713">
      <w:pPr>
        <w:pStyle w:val="ListParagraph"/>
        <w:numPr>
          <w:ilvl w:val="1"/>
          <w:numId w:val="1"/>
        </w:numPr>
        <w:tabs>
          <w:tab w:val="left" w:pos="1555"/>
          <w:tab w:val="left" w:pos="1556"/>
        </w:tabs>
        <w:rPr>
          <w:sz w:val="24"/>
        </w:rPr>
      </w:pPr>
      <w:r>
        <w:rPr>
          <w:sz w:val="24"/>
        </w:rPr>
        <w:t>employers should be able to correct overpayment errors</w:t>
      </w:r>
      <w:r>
        <w:rPr>
          <w:spacing w:val="2"/>
          <w:sz w:val="24"/>
        </w:rPr>
        <w:t xml:space="preserve"> </w:t>
      </w:r>
      <w:r>
        <w:rPr>
          <w:sz w:val="24"/>
        </w:rPr>
        <w:t>by:</w:t>
      </w:r>
    </w:p>
    <w:p w:rsidR="00F81D48" w:rsidRDefault="00F81D48">
      <w:pPr>
        <w:pStyle w:val="BodyText"/>
        <w:spacing w:before="10"/>
        <w:rPr>
          <w:sz w:val="20"/>
        </w:rPr>
      </w:pPr>
    </w:p>
    <w:p w:rsidR="00F81D48" w:rsidRDefault="006D2713">
      <w:pPr>
        <w:pStyle w:val="ListParagraph"/>
        <w:numPr>
          <w:ilvl w:val="2"/>
          <w:numId w:val="1"/>
        </w:numPr>
        <w:tabs>
          <w:tab w:val="left" w:pos="2525"/>
          <w:tab w:val="left" w:pos="2526"/>
        </w:tabs>
        <w:rPr>
          <w:sz w:val="24"/>
        </w:rPr>
      </w:pPr>
      <w:r>
        <w:rPr>
          <w:sz w:val="24"/>
        </w:rPr>
        <w:t>amending the original returns in which the error occurred;</w:t>
      </w:r>
      <w:r>
        <w:rPr>
          <w:spacing w:val="2"/>
          <w:sz w:val="24"/>
        </w:rPr>
        <w:t xml:space="preserve"> </w:t>
      </w:r>
      <w:r>
        <w:rPr>
          <w:sz w:val="24"/>
        </w:rPr>
        <w:t>or</w:t>
      </w:r>
    </w:p>
    <w:p w:rsidR="00F81D48" w:rsidRDefault="00F81D48">
      <w:pPr>
        <w:pStyle w:val="BodyText"/>
        <w:spacing w:before="10"/>
        <w:rPr>
          <w:sz w:val="20"/>
        </w:rPr>
      </w:pPr>
    </w:p>
    <w:p w:rsidR="00F81D48" w:rsidRDefault="006D2713">
      <w:pPr>
        <w:pStyle w:val="ListParagraph"/>
        <w:numPr>
          <w:ilvl w:val="2"/>
          <w:numId w:val="1"/>
        </w:numPr>
        <w:tabs>
          <w:tab w:val="left" w:pos="2525"/>
          <w:tab w:val="left" w:pos="2526"/>
        </w:tabs>
        <w:ind w:right="114"/>
        <w:rPr>
          <w:sz w:val="24"/>
        </w:rPr>
      </w:pPr>
      <w:r>
        <w:rPr>
          <w:sz w:val="24"/>
        </w:rPr>
        <w:t>recalculating the original pays by netting off the changes against the values in a subsequent return. This option will be subject to a restriction preventing employers from lodging negative values until PAYE is entirely managed within Inland Revenue’s new computer system;</w:t>
      </w:r>
    </w:p>
    <w:p w:rsidR="00F81D48" w:rsidRDefault="00F81D48">
      <w:pPr>
        <w:pStyle w:val="BodyText"/>
        <w:spacing w:before="10"/>
        <w:rPr>
          <w:sz w:val="20"/>
        </w:rPr>
      </w:pPr>
    </w:p>
    <w:p w:rsidR="00F81D48" w:rsidRDefault="006D2713">
      <w:pPr>
        <w:pStyle w:val="ListParagraph"/>
        <w:numPr>
          <w:ilvl w:val="1"/>
          <w:numId w:val="1"/>
        </w:numPr>
        <w:tabs>
          <w:tab w:val="left" w:pos="1555"/>
          <w:tab w:val="left" w:pos="1556"/>
        </w:tabs>
        <w:spacing w:before="1"/>
        <w:ind w:right="119"/>
        <w:rPr>
          <w:sz w:val="24"/>
        </w:rPr>
      </w:pPr>
      <w:r>
        <w:rPr>
          <w:sz w:val="24"/>
        </w:rPr>
        <w:t>employers should have an option to correct interpretation errors in a subsequent period provided PAYE on the error is less than 10 percent of the relevant</w:t>
      </w:r>
      <w:r>
        <w:rPr>
          <w:spacing w:val="-21"/>
          <w:sz w:val="24"/>
        </w:rPr>
        <w:t xml:space="preserve"> </w:t>
      </w:r>
      <w:r>
        <w:rPr>
          <w:sz w:val="24"/>
        </w:rPr>
        <w:t>employee’s PAYE for the payday in which the correction is made;</w:t>
      </w:r>
    </w:p>
    <w:p w:rsidR="00F81D48" w:rsidRDefault="00F81D48">
      <w:pPr>
        <w:pStyle w:val="BodyText"/>
        <w:spacing w:before="9"/>
        <w:rPr>
          <w:sz w:val="20"/>
        </w:rPr>
      </w:pPr>
    </w:p>
    <w:p w:rsidR="00F81D48" w:rsidRDefault="006D2713">
      <w:pPr>
        <w:pStyle w:val="ListParagraph"/>
        <w:numPr>
          <w:ilvl w:val="1"/>
          <w:numId w:val="1"/>
        </w:numPr>
        <w:tabs>
          <w:tab w:val="left" w:pos="1555"/>
          <w:tab w:val="left" w:pos="1556"/>
        </w:tabs>
        <w:spacing w:before="1"/>
        <w:ind w:right="397"/>
        <w:rPr>
          <w:sz w:val="24"/>
        </w:rPr>
      </w:pPr>
      <w:r>
        <w:rPr>
          <w:sz w:val="24"/>
        </w:rPr>
        <w:t>employers should have the option to correct overpayment and interpretation errors (subject to the employee threshold) from a previous tax year in a subsequent</w:t>
      </w:r>
      <w:r>
        <w:rPr>
          <w:spacing w:val="-17"/>
          <w:sz w:val="24"/>
        </w:rPr>
        <w:t xml:space="preserve"> </w:t>
      </w:r>
      <w:r>
        <w:rPr>
          <w:sz w:val="24"/>
        </w:rPr>
        <w:t>year;</w:t>
      </w:r>
    </w:p>
    <w:p w:rsidR="00F81D48" w:rsidRDefault="00F81D48">
      <w:pPr>
        <w:pStyle w:val="BodyText"/>
        <w:spacing w:before="10"/>
        <w:rPr>
          <w:sz w:val="20"/>
        </w:rPr>
      </w:pPr>
    </w:p>
    <w:p w:rsidR="00F81D48" w:rsidRDefault="006D2713">
      <w:pPr>
        <w:pStyle w:val="ListParagraph"/>
        <w:numPr>
          <w:ilvl w:val="0"/>
          <w:numId w:val="1"/>
        </w:numPr>
        <w:tabs>
          <w:tab w:val="left" w:pos="835"/>
          <w:tab w:val="left" w:pos="836"/>
        </w:tabs>
        <w:ind w:right="326"/>
        <w:rPr>
          <w:sz w:val="24"/>
        </w:rPr>
      </w:pPr>
      <w:r>
        <w:rPr>
          <w:b/>
          <w:sz w:val="24"/>
        </w:rPr>
        <w:t xml:space="preserve">noted </w:t>
      </w:r>
      <w:r>
        <w:rPr>
          <w:sz w:val="24"/>
        </w:rPr>
        <w:t>that on 28 March 2018, the Cabinet Economic Development Committee also</w:t>
      </w:r>
      <w:r>
        <w:rPr>
          <w:spacing w:val="-22"/>
          <w:sz w:val="24"/>
        </w:rPr>
        <w:t xml:space="preserve"> </w:t>
      </w:r>
      <w:r>
        <w:rPr>
          <w:sz w:val="24"/>
        </w:rPr>
        <w:t>agreed to the amendment to primary legislation providing that overpaid PAYE income that is not repaid remains taxable as PAYE income should be included in the next taxation omnibus bill;</w:t>
      </w:r>
    </w:p>
    <w:p w:rsidR="00F81D48" w:rsidRDefault="00F81D48">
      <w:pPr>
        <w:pStyle w:val="BodyText"/>
        <w:spacing w:before="10"/>
        <w:rPr>
          <w:sz w:val="20"/>
        </w:rPr>
      </w:pPr>
    </w:p>
    <w:p w:rsidR="00F81D48" w:rsidRDefault="006D2713">
      <w:pPr>
        <w:pStyle w:val="BodyText"/>
        <w:ind w:left="836"/>
      </w:pPr>
      <w:r>
        <w:t>[DEV-18-MIN-0030]</w:t>
      </w:r>
    </w:p>
    <w:p w:rsidR="00F81D48" w:rsidRDefault="00F81D48">
      <w:pPr>
        <w:pStyle w:val="BodyText"/>
        <w:spacing w:before="10"/>
        <w:rPr>
          <w:sz w:val="20"/>
        </w:rPr>
      </w:pPr>
    </w:p>
    <w:p w:rsidR="00F81D48" w:rsidRDefault="006D2713">
      <w:pPr>
        <w:pStyle w:val="ListParagraph"/>
        <w:numPr>
          <w:ilvl w:val="0"/>
          <w:numId w:val="1"/>
        </w:numPr>
        <w:tabs>
          <w:tab w:val="left" w:pos="835"/>
          <w:tab w:val="left" w:pos="836"/>
        </w:tabs>
        <w:ind w:right="111"/>
        <w:rPr>
          <w:sz w:val="24"/>
        </w:rPr>
      </w:pPr>
      <w:r>
        <w:rPr>
          <w:b/>
          <w:sz w:val="24"/>
        </w:rPr>
        <w:t xml:space="preserve">noted </w:t>
      </w:r>
      <w:r>
        <w:rPr>
          <w:sz w:val="24"/>
        </w:rPr>
        <w:t>that the Tax Administration (Correction of Errors in Employment Income Information) Regulations 2019 will give effect to the decisions referred to in paragraph 1 above, and provides methods of correction to support the decision referred to in paragraph</w:t>
      </w:r>
      <w:r>
        <w:rPr>
          <w:spacing w:val="-21"/>
          <w:sz w:val="24"/>
        </w:rPr>
        <w:t xml:space="preserve"> </w:t>
      </w:r>
      <w:r>
        <w:rPr>
          <w:sz w:val="24"/>
        </w:rPr>
        <w:t>2;</w:t>
      </w:r>
    </w:p>
    <w:p w:rsidR="00F81D48" w:rsidRDefault="00F81D48">
      <w:pPr>
        <w:pStyle w:val="BodyText"/>
        <w:spacing w:before="10"/>
        <w:rPr>
          <w:sz w:val="20"/>
        </w:rPr>
      </w:pPr>
    </w:p>
    <w:p w:rsidR="00F81D48" w:rsidRDefault="006D2713">
      <w:pPr>
        <w:pStyle w:val="ListParagraph"/>
        <w:numPr>
          <w:ilvl w:val="0"/>
          <w:numId w:val="1"/>
        </w:numPr>
        <w:tabs>
          <w:tab w:val="left" w:pos="835"/>
          <w:tab w:val="left" w:pos="836"/>
        </w:tabs>
        <w:ind w:right="317"/>
        <w:rPr>
          <w:sz w:val="24"/>
        </w:rPr>
      </w:pPr>
      <w:r>
        <w:rPr>
          <w:b/>
          <w:sz w:val="24"/>
        </w:rPr>
        <w:t xml:space="preserve">noted </w:t>
      </w:r>
      <w:r>
        <w:rPr>
          <w:sz w:val="24"/>
        </w:rPr>
        <w:t>that the regulations include guidance material in the explanatory note to assist in the application of the provisions to relevant</w:t>
      </w:r>
      <w:r>
        <w:rPr>
          <w:spacing w:val="3"/>
          <w:sz w:val="24"/>
        </w:rPr>
        <w:t xml:space="preserve"> </w:t>
      </w:r>
      <w:r>
        <w:rPr>
          <w:sz w:val="24"/>
        </w:rPr>
        <w:t>errors;</w:t>
      </w:r>
    </w:p>
    <w:p w:rsidR="00F81D48" w:rsidRDefault="00F81D48">
      <w:pPr>
        <w:rPr>
          <w:sz w:val="24"/>
        </w:rPr>
        <w:sectPr w:rsidR="00F81D48">
          <w:headerReference w:type="default" r:id="rId8"/>
          <w:footerReference w:type="default" r:id="rId9"/>
          <w:type w:val="continuous"/>
          <w:pgSz w:w="11900" w:h="16840"/>
          <w:pgMar w:top="840" w:right="1020" w:bottom="780" w:left="1020" w:header="405" w:footer="582" w:gutter="0"/>
          <w:pgNumType w:start="1"/>
          <w:cols w:space="720"/>
        </w:sectPr>
      </w:pPr>
    </w:p>
    <w:p w:rsidR="00F81D48" w:rsidRDefault="006D2713">
      <w:pPr>
        <w:pStyle w:val="ListParagraph"/>
        <w:numPr>
          <w:ilvl w:val="0"/>
          <w:numId w:val="1"/>
        </w:numPr>
        <w:tabs>
          <w:tab w:val="left" w:pos="835"/>
          <w:tab w:val="left" w:pos="836"/>
        </w:tabs>
        <w:spacing w:before="51"/>
        <w:ind w:right="171"/>
        <w:rPr>
          <w:sz w:val="24"/>
        </w:rPr>
      </w:pPr>
      <w:r>
        <w:rPr>
          <w:b/>
          <w:sz w:val="24"/>
        </w:rPr>
        <w:lastRenderedPageBreak/>
        <w:t xml:space="preserve">noted </w:t>
      </w:r>
      <w:r>
        <w:rPr>
          <w:sz w:val="24"/>
        </w:rPr>
        <w:t>that section 23N(3) of the Tax Administration Act 1994 requires that the responsible Minister be satisfied that consultation that is appropriate and reasonable has occurred before recommending the making of an Order in Council under section 23N;</w:t>
      </w:r>
    </w:p>
    <w:p w:rsidR="00F81D48" w:rsidRDefault="00F81D48">
      <w:pPr>
        <w:pStyle w:val="BodyText"/>
        <w:spacing w:before="10"/>
        <w:rPr>
          <w:sz w:val="20"/>
        </w:rPr>
      </w:pPr>
    </w:p>
    <w:p w:rsidR="00F81D48" w:rsidRDefault="006D2713">
      <w:pPr>
        <w:pStyle w:val="ListParagraph"/>
        <w:numPr>
          <w:ilvl w:val="0"/>
          <w:numId w:val="1"/>
        </w:numPr>
        <w:tabs>
          <w:tab w:val="left" w:pos="835"/>
          <w:tab w:val="left" w:pos="836"/>
        </w:tabs>
        <w:rPr>
          <w:sz w:val="24"/>
        </w:rPr>
      </w:pPr>
      <w:r>
        <w:rPr>
          <w:b/>
          <w:sz w:val="24"/>
        </w:rPr>
        <w:t xml:space="preserve">noted </w:t>
      </w:r>
      <w:r>
        <w:rPr>
          <w:sz w:val="24"/>
        </w:rPr>
        <w:t>the advice of the Minister of Revenue that this requirement has been</w:t>
      </w:r>
      <w:r>
        <w:rPr>
          <w:spacing w:val="-3"/>
          <w:sz w:val="24"/>
        </w:rPr>
        <w:t xml:space="preserve"> </w:t>
      </w:r>
      <w:r>
        <w:rPr>
          <w:sz w:val="24"/>
        </w:rPr>
        <w:t>met;</w:t>
      </w:r>
    </w:p>
    <w:p w:rsidR="00F81D48" w:rsidRDefault="00F81D48">
      <w:pPr>
        <w:pStyle w:val="BodyText"/>
        <w:spacing w:before="10"/>
        <w:rPr>
          <w:sz w:val="20"/>
        </w:rPr>
      </w:pPr>
    </w:p>
    <w:p w:rsidR="00F81D48" w:rsidRDefault="006D2713">
      <w:pPr>
        <w:pStyle w:val="ListParagraph"/>
        <w:numPr>
          <w:ilvl w:val="0"/>
          <w:numId w:val="1"/>
        </w:numPr>
        <w:tabs>
          <w:tab w:val="left" w:pos="835"/>
          <w:tab w:val="left" w:pos="836"/>
        </w:tabs>
        <w:ind w:right="286"/>
        <w:rPr>
          <w:sz w:val="24"/>
        </w:rPr>
      </w:pPr>
      <w:r>
        <w:rPr>
          <w:b/>
          <w:sz w:val="24"/>
        </w:rPr>
        <w:t xml:space="preserve">noted </w:t>
      </w:r>
      <w:r>
        <w:rPr>
          <w:sz w:val="24"/>
        </w:rPr>
        <w:t>that regulatory impact analysis has been prepared by Inland Revenue and is</w:t>
      </w:r>
      <w:r>
        <w:rPr>
          <w:spacing w:val="-25"/>
          <w:sz w:val="24"/>
        </w:rPr>
        <w:t xml:space="preserve"> </w:t>
      </w:r>
      <w:r>
        <w:rPr>
          <w:sz w:val="24"/>
        </w:rPr>
        <w:t>attached to the paper under LEG-19-SUB-0027;</w:t>
      </w:r>
    </w:p>
    <w:p w:rsidR="00F81D48" w:rsidRDefault="00F81D48">
      <w:pPr>
        <w:pStyle w:val="BodyText"/>
        <w:spacing w:before="10"/>
        <w:rPr>
          <w:sz w:val="20"/>
        </w:rPr>
      </w:pPr>
    </w:p>
    <w:p w:rsidR="00F81D48" w:rsidRDefault="006D2713">
      <w:pPr>
        <w:pStyle w:val="ListParagraph"/>
        <w:numPr>
          <w:ilvl w:val="0"/>
          <w:numId w:val="1"/>
        </w:numPr>
        <w:tabs>
          <w:tab w:val="left" w:pos="835"/>
          <w:tab w:val="left" w:pos="836"/>
        </w:tabs>
        <w:ind w:right="273"/>
        <w:rPr>
          <w:sz w:val="24"/>
        </w:rPr>
      </w:pPr>
      <w:r>
        <w:rPr>
          <w:b/>
          <w:w w:val="110"/>
          <w:sz w:val="24"/>
        </w:rPr>
        <w:t>a</w:t>
      </w:r>
      <w:r w:rsidR="00ED14F5">
        <w:rPr>
          <w:b/>
          <w:w w:val="110"/>
          <w:sz w:val="24"/>
        </w:rPr>
        <w:t>u</w:t>
      </w:r>
      <w:r>
        <w:rPr>
          <w:b/>
          <w:sz w:val="24"/>
        </w:rPr>
        <w:t xml:space="preserve">thorised </w:t>
      </w:r>
      <w:r>
        <w:rPr>
          <w:sz w:val="24"/>
        </w:rPr>
        <w:t>the submission to the Executive Council of the Tax Administration (Correction of Errors in Employment Income Information) Regulations 2019 [PCO</w:t>
      </w:r>
      <w:r>
        <w:rPr>
          <w:spacing w:val="-2"/>
          <w:sz w:val="24"/>
        </w:rPr>
        <w:t xml:space="preserve"> </w:t>
      </w:r>
      <w:r>
        <w:rPr>
          <w:sz w:val="24"/>
        </w:rPr>
        <w:t>21535/6.0];</w:t>
      </w:r>
    </w:p>
    <w:p w:rsidR="00F81D48" w:rsidRDefault="00F81D48">
      <w:pPr>
        <w:pStyle w:val="BodyText"/>
        <w:spacing w:before="10"/>
        <w:rPr>
          <w:sz w:val="20"/>
        </w:rPr>
      </w:pPr>
    </w:p>
    <w:p w:rsidR="00F81D48" w:rsidRDefault="006D2713">
      <w:pPr>
        <w:pStyle w:val="ListParagraph"/>
        <w:numPr>
          <w:ilvl w:val="0"/>
          <w:numId w:val="1"/>
        </w:numPr>
        <w:tabs>
          <w:tab w:val="left" w:pos="835"/>
          <w:tab w:val="left" w:pos="836"/>
        </w:tabs>
        <w:spacing w:before="1"/>
        <w:rPr>
          <w:sz w:val="24"/>
        </w:rPr>
      </w:pPr>
      <w:r>
        <w:rPr>
          <w:b/>
          <w:sz w:val="24"/>
        </w:rPr>
        <w:t xml:space="preserve">noted </w:t>
      </w:r>
      <w:r>
        <w:rPr>
          <w:sz w:val="24"/>
        </w:rPr>
        <w:t>that a waiver of the 28-day rule is</w:t>
      </w:r>
      <w:r>
        <w:rPr>
          <w:spacing w:val="-1"/>
          <w:sz w:val="24"/>
        </w:rPr>
        <w:t xml:space="preserve"> </w:t>
      </w:r>
      <w:r>
        <w:rPr>
          <w:sz w:val="24"/>
        </w:rPr>
        <w:t>sought:</w:t>
      </w:r>
    </w:p>
    <w:p w:rsidR="00F81D48" w:rsidRDefault="00F81D48">
      <w:pPr>
        <w:pStyle w:val="BodyText"/>
        <w:spacing w:before="9"/>
        <w:rPr>
          <w:sz w:val="20"/>
        </w:rPr>
      </w:pPr>
    </w:p>
    <w:p w:rsidR="00F81D48" w:rsidRDefault="006D2713">
      <w:pPr>
        <w:pStyle w:val="ListParagraph"/>
        <w:numPr>
          <w:ilvl w:val="1"/>
          <w:numId w:val="1"/>
        </w:numPr>
        <w:tabs>
          <w:tab w:val="left" w:pos="1555"/>
          <w:tab w:val="left" w:pos="1556"/>
        </w:tabs>
        <w:spacing w:before="1"/>
        <w:ind w:right="203"/>
        <w:rPr>
          <w:sz w:val="24"/>
        </w:rPr>
      </w:pPr>
      <w:r>
        <w:rPr>
          <w:sz w:val="24"/>
        </w:rPr>
        <w:t>so that the regulations can come into force on 1 April 2019 coinciding with the requirement for payday reporting of employment income information and the commencement date of the provisions relating to the taxable status of overpayments of PAYE income payments in the Tax Administration Act 1994 and the Income Tax Act</w:t>
      </w:r>
      <w:r>
        <w:rPr>
          <w:spacing w:val="1"/>
          <w:sz w:val="24"/>
        </w:rPr>
        <w:t xml:space="preserve"> </w:t>
      </w:r>
      <w:r>
        <w:rPr>
          <w:sz w:val="24"/>
        </w:rPr>
        <w:t>2007;</w:t>
      </w:r>
    </w:p>
    <w:p w:rsidR="00F81D48" w:rsidRDefault="00F81D48">
      <w:pPr>
        <w:pStyle w:val="BodyText"/>
        <w:spacing w:before="10"/>
        <w:rPr>
          <w:sz w:val="20"/>
        </w:rPr>
      </w:pPr>
    </w:p>
    <w:p w:rsidR="00F81D48" w:rsidRDefault="006D2713">
      <w:pPr>
        <w:pStyle w:val="ListParagraph"/>
        <w:numPr>
          <w:ilvl w:val="1"/>
          <w:numId w:val="1"/>
        </w:numPr>
        <w:tabs>
          <w:tab w:val="left" w:pos="1555"/>
          <w:tab w:val="left" w:pos="1556"/>
        </w:tabs>
        <w:ind w:right="438"/>
        <w:rPr>
          <w:sz w:val="24"/>
        </w:rPr>
      </w:pPr>
      <w:r>
        <w:rPr>
          <w:sz w:val="24"/>
        </w:rPr>
        <w:t>on the grounds that it continues the status quo for how employers correct errors</w:t>
      </w:r>
      <w:r>
        <w:rPr>
          <w:spacing w:val="-16"/>
          <w:sz w:val="24"/>
        </w:rPr>
        <w:t xml:space="preserve"> </w:t>
      </w:r>
      <w:r>
        <w:rPr>
          <w:sz w:val="24"/>
        </w:rPr>
        <w:t>in employment income information, and provides additional options to reduce compliance costs;</w:t>
      </w:r>
    </w:p>
    <w:p w:rsidR="00F81D48" w:rsidRDefault="00F81D48">
      <w:pPr>
        <w:pStyle w:val="BodyText"/>
        <w:spacing w:before="10"/>
        <w:rPr>
          <w:sz w:val="20"/>
        </w:rPr>
      </w:pPr>
    </w:p>
    <w:p w:rsidR="00F81D48" w:rsidRDefault="006D2713">
      <w:pPr>
        <w:pStyle w:val="ListParagraph"/>
        <w:numPr>
          <w:ilvl w:val="0"/>
          <w:numId w:val="1"/>
        </w:numPr>
        <w:tabs>
          <w:tab w:val="left" w:pos="835"/>
          <w:tab w:val="left" w:pos="836"/>
        </w:tabs>
        <w:ind w:right="250"/>
        <w:rPr>
          <w:sz w:val="24"/>
        </w:rPr>
      </w:pPr>
      <w:r>
        <w:rPr>
          <w:b/>
          <w:sz w:val="24"/>
        </w:rPr>
        <w:t xml:space="preserve">agreed </w:t>
      </w:r>
      <w:r>
        <w:rPr>
          <w:sz w:val="24"/>
        </w:rPr>
        <w:t>to a waiver of the 28-day rule so that the regulations can come into force on 1 April 2019.</w:t>
      </w:r>
    </w:p>
    <w:p w:rsidR="00F81D48" w:rsidRDefault="00F81D48">
      <w:pPr>
        <w:pStyle w:val="BodyText"/>
        <w:rPr>
          <w:sz w:val="26"/>
        </w:rPr>
      </w:pPr>
    </w:p>
    <w:p w:rsidR="00F81D48" w:rsidRDefault="00F81D48">
      <w:pPr>
        <w:pStyle w:val="BodyText"/>
        <w:rPr>
          <w:sz w:val="26"/>
        </w:rPr>
      </w:pPr>
    </w:p>
    <w:p w:rsidR="00F81D48" w:rsidRDefault="00F81D48">
      <w:pPr>
        <w:pStyle w:val="BodyText"/>
        <w:rPr>
          <w:sz w:val="26"/>
        </w:rPr>
      </w:pPr>
    </w:p>
    <w:p w:rsidR="00F81D48" w:rsidRDefault="0044109C">
      <w:pPr>
        <w:pStyle w:val="BodyText"/>
        <w:spacing w:before="171" w:after="25"/>
        <w:ind w:left="115" w:right="7692"/>
      </w:pPr>
      <w:r>
        <w:pict>
          <v:group id="_x0000_s1026" style="position:absolute;left:0;text-align:left;margin-left:56.7pt;margin-top:37.15pt;width:481.8pt;height:.5pt;z-index:1096;mso-position-horizontal-relative:page" coordorigin="1134,743" coordsize="9636,10">
            <v:line id="_x0000_s1028" style="position:absolute" from="1134,748" to="10770,748" strokecolor="#000001" strokeweight=".5pt"/>
            <v:line id="_x0000_s1027" style="position:absolute" from="1134,748" to="10770,748" strokecolor="#000001" strokeweight=".5pt"/>
            <w10:wrap anchorx="page"/>
          </v:group>
        </w:pict>
      </w:r>
      <w:r w:rsidR="006D2713">
        <w:t>Vivien Meek Committee Secretary</w:t>
      </w:r>
    </w:p>
    <w:tbl>
      <w:tblPr>
        <w:tblW w:w="0" w:type="auto"/>
        <w:tblInd w:w="121" w:type="dxa"/>
        <w:tblLayout w:type="fixed"/>
        <w:tblCellMar>
          <w:left w:w="0" w:type="dxa"/>
          <w:right w:w="0" w:type="dxa"/>
        </w:tblCellMar>
        <w:tblLook w:val="01E0" w:firstRow="1" w:lastRow="1" w:firstColumn="1" w:lastColumn="1" w:noHBand="0" w:noVBand="0"/>
      </w:tblPr>
      <w:tblGrid>
        <w:gridCol w:w="3390"/>
        <w:gridCol w:w="4097"/>
      </w:tblGrid>
      <w:tr w:rsidR="00F81D48">
        <w:trPr>
          <w:trHeight w:val="744"/>
        </w:trPr>
        <w:tc>
          <w:tcPr>
            <w:tcW w:w="3390" w:type="dxa"/>
          </w:tcPr>
          <w:p w:rsidR="00F81D48" w:rsidRDefault="00F81D48">
            <w:pPr>
              <w:pStyle w:val="TableParagraph"/>
              <w:spacing w:before="5"/>
              <w:ind w:left="0"/>
              <w:rPr>
                <w:sz w:val="24"/>
              </w:rPr>
            </w:pPr>
          </w:p>
          <w:p w:rsidR="00F81D48" w:rsidRDefault="006D2713">
            <w:pPr>
              <w:pStyle w:val="TableParagraph"/>
              <w:spacing w:line="229" w:lineRule="exact"/>
              <w:rPr>
                <w:rFonts w:ascii="Arial"/>
                <w:b/>
                <w:sz w:val="20"/>
              </w:rPr>
            </w:pPr>
            <w:r>
              <w:rPr>
                <w:rFonts w:ascii="Arial"/>
                <w:b/>
                <w:sz w:val="20"/>
              </w:rPr>
              <w:t>Present:</w:t>
            </w:r>
          </w:p>
          <w:p w:rsidR="00F81D48" w:rsidRDefault="006D2713">
            <w:pPr>
              <w:pStyle w:val="TableParagraph"/>
              <w:spacing w:line="214" w:lineRule="exact"/>
              <w:rPr>
                <w:sz w:val="20"/>
              </w:rPr>
            </w:pPr>
            <w:r>
              <w:rPr>
                <w:sz w:val="20"/>
              </w:rPr>
              <w:t>Rt Hon Winston Peters</w:t>
            </w:r>
          </w:p>
        </w:tc>
        <w:tc>
          <w:tcPr>
            <w:tcW w:w="4097" w:type="dxa"/>
          </w:tcPr>
          <w:p w:rsidR="00F81D48" w:rsidRDefault="00F81D48">
            <w:pPr>
              <w:pStyle w:val="TableParagraph"/>
              <w:spacing w:before="5"/>
              <w:ind w:left="0"/>
              <w:rPr>
                <w:sz w:val="24"/>
              </w:rPr>
            </w:pPr>
          </w:p>
          <w:p w:rsidR="00F81D48" w:rsidRDefault="006D2713">
            <w:pPr>
              <w:pStyle w:val="TableParagraph"/>
              <w:spacing w:line="229" w:lineRule="exact"/>
              <w:ind w:left="1540"/>
              <w:rPr>
                <w:rFonts w:ascii="Arial"/>
                <w:b/>
                <w:sz w:val="20"/>
              </w:rPr>
            </w:pPr>
            <w:r>
              <w:rPr>
                <w:rFonts w:ascii="Arial"/>
                <w:b/>
                <w:sz w:val="20"/>
              </w:rPr>
              <w:t>Officials present from:</w:t>
            </w:r>
          </w:p>
          <w:p w:rsidR="00F81D48" w:rsidRDefault="006D2713">
            <w:pPr>
              <w:pStyle w:val="TableParagraph"/>
              <w:spacing w:line="214" w:lineRule="exact"/>
              <w:ind w:left="1540"/>
              <w:rPr>
                <w:sz w:val="20"/>
              </w:rPr>
            </w:pPr>
            <w:r>
              <w:rPr>
                <w:sz w:val="20"/>
              </w:rPr>
              <w:t>Officials Committee for LEG</w:t>
            </w:r>
          </w:p>
        </w:tc>
      </w:tr>
      <w:tr w:rsidR="00F81D48">
        <w:trPr>
          <w:trHeight w:val="229"/>
        </w:trPr>
        <w:tc>
          <w:tcPr>
            <w:tcW w:w="3390" w:type="dxa"/>
          </w:tcPr>
          <w:p w:rsidR="00F81D48" w:rsidRDefault="006D2713">
            <w:pPr>
              <w:pStyle w:val="TableParagraph"/>
              <w:spacing w:line="209" w:lineRule="exact"/>
              <w:rPr>
                <w:sz w:val="20"/>
              </w:rPr>
            </w:pPr>
            <w:r>
              <w:rPr>
                <w:sz w:val="20"/>
              </w:rPr>
              <w:t xml:space="preserve">Hon Chris </w:t>
            </w:r>
            <w:proofErr w:type="spellStart"/>
            <w:r>
              <w:rPr>
                <w:sz w:val="20"/>
              </w:rPr>
              <w:t>Hipkins</w:t>
            </w:r>
            <w:proofErr w:type="spellEnd"/>
            <w:r>
              <w:rPr>
                <w:sz w:val="20"/>
              </w:rPr>
              <w:t xml:space="preserve"> (Chair)</w:t>
            </w:r>
          </w:p>
        </w:tc>
        <w:tc>
          <w:tcPr>
            <w:tcW w:w="4097" w:type="dxa"/>
          </w:tcPr>
          <w:p w:rsidR="00F81D48" w:rsidRDefault="00F81D48">
            <w:pPr>
              <w:pStyle w:val="TableParagraph"/>
              <w:ind w:left="0"/>
              <w:rPr>
                <w:sz w:val="16"/>
              </w:rPr>
            </w:pPr>
          </w:p>
        </w:tc>
      </w:tr>
      <w:tr w:rsidR="00F81D48">
        <w:trPr>
          <w:trHeight w:val="228"/>
        </w:trPr>
        <w:tc>
          <w:tcPr>
            <w:tcW w:w="3390" w:type="dxa"/>
          </w:tcPr>
          <w:p w:rsidR="00F81D48" w:rsidRDefault="006D2713">
            <w:pPr>
              <w:pStyle w:val="TableParagraph"/>
              <w:spacing w:line="209" w:lineRule="exact"/>
              <w:rPr>
                <w:sz w:val="20"/>
              </w:rPr>
            </w:pPr>
            <w:r>
              <w:rPr>
                <w:sz w:val="20"/>
              </w:rPr>
              <w:t>Hon David Parker</w:t>
            </w:r>
          </w:p>
        </w:tc>
        <w:tc>
          <w:tcPr>
            <w:tcW w:w="4097" w:type="dxa"/>
          </w:tcPr>
          <w:p w:rsidR="00F81D48" w:rsidRDefault="00F81D48">
            <w:pPr>
              <w:pStyle w:val="TableParagraph"/>
              <w:ind w:left="0"/>
              <w:rPr>
                <w:sz w:val="16"/>
              </w:rPr>
            </w:pPr>
          </w:p>
        </w:tc>
      </w:tr>
      <w:tr w:rsidR="00F81D48">
        <w:trPr>
          <w:trHeight w:val="228"/>
        </w:trPr>
        <w:tc>
          <w:tcPr>
            <w:tcW w:w="3390" w:type="dxa"/>
          </w:tcPr>
          <w:p w:rsidR="00F81D48" w:rsidRDefault="006D2713">
            <w:pPr>
              <w:pStyle w:val="TableParagraph"/>
              <w:spacing w:line="209" w:lineRule="exact"/>
              <w:rPr>
                <w:sz w:val="20"/>
              </w:rPr>
            </w:pPr>
            <w:r>
              <w:rPr>
                <w:sz w:val="20"/>
              </w:rPr>
              <w:t>Hon Stuart Nash</w:t>
            </w:r>
          </w:p>
        </w:tc>
        <w:tc>
          <w:tcPr>
            <w:tcW w:w="4097" w:type="dxa"/>
          </w:tcPr>
          <w:p w:rsidR="00F81D48" w:rsidRDefault="00F81D48">
            <w:pPr>
              <w:pStyle w:val="TableParagraph"/>
              <w:ind w:left="0"/>
              <w:rPr>
                <w:sz w:val="16"/>
              </w:rPr>
            </w:pPr>
          </w:p>
        </w:tc>
      </w:tr>
      <w:tr w:rsidR="00F81D48">
        <w:trPr>
          <w:trHeight w:val="229"/>
        </w:trPr>
        <w:tc>
          <w:tcPr>
            <w:tcW w:w="3390" w:type="dxa"/>
          </w:tcPr>
          <w:p w:rsidR="00F81D48" w:rsidRDefault="006D2713">
            <w:pPr>
              <w:pStyle w:val="TableParagraph"/>
              <w:spacing w:line="209" w:lineRule="exact"/>
              <w:rPr>
                <w:sz w:val="20"/>
              </w:rPr>
            </w:pPr>
            <w:r>
              <w:rPr>
                <w:sz w:val="20"/>
              </w:rPr>
              <w:t>Hon Iain Lees-Galloway</w:t>
            </w:r>
          </w:p>
        </w:tc>
        <w:tc>
          <w:tcPr>
            <w:tcW w:w="4097" w:type="dxa"/>
          </w:tcPr>
          <w:p w:rsidR="00F81D48" w:rsidRDefault="00F81D48">
            <w:pPr>
              <w:pStyle w:val="TableParagraph"/>
              <w:ind w:left="0"/>
              <w:rPr>
                <w:sz w:val="16"/>
              </w:rPr>
            </w:pPr>
          </w:p>
        </w:tc>
      </w:tr>
      <w:tr w:rsidR="00F81D48">
        <w:trPr>
          <w:trHeight w:val="228"/>
        </w:trPr>
        <w:tc>
          <w:tcPr>
            <w:tcW w:w="3390" w:type="dxa"/>
          </w:tcPr>
          <w:p w:rsidR="00F81D48" w:rsidRDefault="006D2713">
            <w:pPr>
              <w:pStyle w:val="TableParagraph"/>
              <w:spacing w:line="209" w:lineRule="exact"/>
              <w:rPr>
                <w:sz w:val="20"/>
              </w:rPr>
            </w:pPr>
            <w:r>
              <w:rPr>
                <w:sz w:val="20"/>
              </w:rPr>
              <w:t>Hon Tracey Martin</w:t>
            </w:r>
          </w:p>
        </w:tc>
        <w:tc>
          <w:tcPr>
            <w:tcW w:w="4097" w:type="dxa"/>
          </w:tcPr>
          <w:p w:rsidR="00F81D48" w:rsidRDefault="00F81D48">
            <w:pPr>
              <w:pStyle w:val="TableParagraph"/>
              <w:ind w:left="0"/>
              <w:rPr>
                <w:sz w:val="16"/>
              </w:rPr>
            </w:pPr>
          </w:p>
        </w:tc>
      </w:tr>
      <w:tr w:rsidR="00F81D48">
        <w:trPr>
          <w:trHeight w:val="228"/>
        </w:trPr>
        <w:tc>
          <w:tcPr>
            <w:tcW w:w="3390" w:type="dxa"/>
          </w:tcPr>
          <w:p w:rsidR="00F81D48" w:rsidRDefault="006D2713">
            <w:pPr>
              <w:pStyle w:val="TableParagraph"/>
              <w:spacing w:line="209" w:lineRule="exact"/>
              <w:rPr>
                <w:sz w:val="20"/>
              </w:rPr>
            </w:pPr>
            <w:r>
              <w:rPr>
                <w:sz w:val="20"/>
              </w:rPr>
              <w:t xml:space="preserve">Hon Kris </w:t>
            </w:r>
            <w:proofErr w:type="spellStart"/>
            <w:r>
              <w:rPr>
                <w:sz w:val="20"/>
              </w:rPr>
              <w:t>Faafoi</w:t>
            </w:r>
            <w:proofErr w:type="spellEnd"/>
          </w:p>
        </w:tc>
        <w:tc>
          <w:tcPr>
            <w:tcW w:w="4097" w:type="dxa"/>
          </w:tcPr>
          <w:p w:rsidR="00F81D48" w:rsidRDefault="00F81D48">
            <w:pPr>
              <w:pStyle w:val="TableParagraph"/>
              <w:ind w:left="0"/>
              <w:rPr>
                <w:sz w:val="16"/>
              </w:rPr>
            </w:pPr>
          </w:p>
        </w:tc>
      </w:tr>
      <w:tr w:rsidR="00F81D48">
        <w:trPr>
          <w:trHeight w:val="228"/>
        </w:trPr>
        <w:tc>
          <w:tcPr>
            <w:tcW w:w="3390" w:type="dxa"/>
          </w:tcPr>
          <w:p w:rsidR="00F81D48" w:rsidRDefault="006D2713">
            <w:pPr>
              <w:pStyle w:val="TableParagraph"/>
              <w:spacing w:line="209" w:lineRule="exact"/>
              <w:rPr>
                <w:sz w:val="20"/>
              </w:rPr>
            </w:pPr>
            <w:r>
              <w:rPr>
                <w:sz w:val="20"/>
              </w:rPr>
              <w:t xml:space="preserve">Hon </w:t>
            </w:r>
            <w:proofErr w:type="spellStart"/>
            <w:r>
              <w:rPr>
                <w:sz w:val="20"/>
              </w:rPr>
              <w:t>Aupito</w:t>
            </w:r>
            <w:proofErr w:type="spellEnd"/>
            <w:r>
              <w:rPr>
                <w:sz w:val="20"/>
              </w:rPr>
              <w:t xml:space="preserve"> William </w:t>
            </w:r>
            <w:proofErr w:type="spellStart"/>
            <w:r>
              <w:rPr>
                <w:sz w:val="20"/>
              </w:rPr>
              <w:t>Sio</w:t>
            </w:r>
            <w:proofErr w:type="spellEnd"/>
          </w:p>
        </w:tc>
        <w:tc>
          <w:tcPr>
            <w:tcW w:w="4097" w:type="dxa"/>
          </w:tcPr>
          <w:p w:rsidR="00F81D48" w:rsidRDefault="00F81D48">
            <w:pPr>
              <w:pStyle w:val="TableParagraph"/>
              <w:ind w:left="0"/>
              <w:rPr>
                <w:sz w:val="16"/>
              </w:rPr>
            </w:pPr>
          </w:p>
        </w:tc>
      </w:tr>
      <w:tr w:rsidR="00F81D48">
        <w:trPr>
          <w:trHeight w:val="229"/>
        </w:trPr>
        <w:tc>
          <w:tcPr>
            <w:tcW w:w="3390" w:type="dxa"/>
          </w:tcPr>
          <w:p w:rsidR="00F81D48" w:rsidRDefault="006D2713">
            <w:pPr>
              <w:pStyle w:val="TableParagraph"/>
              <w:spacing w:line="209" w:lineRule="exact"/>
              <w:rPr>
                <w:sz w:val="20"/>
              </w:rPr>
            </w:pPr>
            <w:r>
              <w:rPr>
                <w:sz w:val="20"/>
              </w:rPr>
              <w:t>Hon Eugenie Sage</w:t>
            </w:r>
          </w:p>
        </w:tc>
        <w:tc>
          <w:tcPr>
            <w:tcW w:w="4097" w:type="dxa"/>
          </w:tcPr>
          <w:p w:rsidR="00F81D48" w:rsidRDefault="00F81D48">
            <w:pPr>
              <w:pStyle w:val="TableParagraph"/>
              <w:ind w:left="0"/>
              <w:rPr>
                <w:sz w:val="16"/>
              </w:rPr>
            </w:pPr>
          </w:p>
        </w:tc>
      </w:tr>
      <w:tr w:rsidR="00F81D48">
        <w:trPr>
          <w:trHeight w:val="366"/>
        </w:trPr>
        <w:tc>
          <w:tcPr>
            <w:tcW w:w="7487" w:type="dxa"/>
            <w:gridSpan w:val="2"/>
          </w:tcPr>
          <w:p w:rsidR="00F81D48" w:rsidRDefault="006D2713">
            <w:pPr>
              <w:pStyle w:val="TableParagraph"/>
              <w:spacing w:line="226" w:lineRule="exact"/>
              <w:rPr>
                <w:sz w:val="20"/>
              </w:rPr>
            </w:pPr>
            <w:r>
              <w:rPr>
                <w:sz w:val="20"/>
              </w:rPr>
              <w:t>Hon Ruth Dyson (Senior Government Whip</w:t>
            </w:r>
          </w:p>
        </w:tc>
      </w:tr>
      <w:tr w:rsidR="00F81D48">
        <w:trPr>
          <w:trHeight w:val="593"/>
        </w:trPr>
        <w:tc>
          <w:tcPr>
            <w:tcW w:w="3390" w:type="dxa"/>
          </w:tcPr>
          <w:p w:rsidR="00F81D48" w:rsidRDefault="006D2713">
            <w:pPr>
              <w:pStyle w:val="TableParagraph"/>
              <w:spacing w:before="134" w:line="229" w:lineRule="exact"/>
              <w:rPr>
                <w:rFonts w:ascii="Arial"/>
                <w:b/>
                <w:sz w:val="20"/>
              </w:rPr>
            </w:pPr>
            <w:r>
              <w:rPr>
                <w:rFonts w:ascii="Arial"/>
                <w:b/>
                <w:sz w:val="20"/>
              </w:rPr>
              <w:t>Hard-copy distribution:</w:t>
            </w:r>
          </w:p>
          <w:p w:rsidR="00F81D48" w:rsidRDefault="006D2713">
            <w:pPr>
              <w:pStyle w:val="TableParagraph"/>
              <w:spacing w:line="209" w:lineRule="exact"/>
              <w:rPr>
                <w:sz w:val="20"/>
              </w:rPr>
            </w:pPr>
            <w:r>
              <w:rPr>
                <w:sz w:val="20"/>
              </w:rPr>
              <w:t>Minister of Revenue</w:t>
            </w:r>
          </w:p>
        </w:tc>
        <w:tc>
          <w:tcPr>
            <w:tcW w:w="4097" w:type="dxa"/>
          </w:tcPr>
          <w:p w:rsidR="00F81D48" w:rsidRDefault="00F81D48">
            <w:pPr>
              <w:pStyle w:val="TableParagraph"/>
              <w:ind w:left="0"/>
            </w:pPr>
          </w:p>
        </w:tc>
      </w:tr>
    </w:tbl>
    <w:p w:rsidR="009F6E10" w:rsidRDefault="009F6E10"/>
    <w:sectPr w:rsidR="009F6E10">
      <w:pgSz w:w="11900" w:h="16840"/>
      <w:pgMar w:top="840" w:right="1020" w:bottom="780" w:left="1020" w:header="405" w:footer="58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6E10" w:rsidRDefault="006D2713">
      <w:r>
        <w:separator/>
      </w:r>
    </w:p>
  </w:endnote>
  <w:endnote w:type="continuationSeparator" w:id="0">
    <w:p w:rsidR="009F6E10" w:rsidRDefault="006D27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1D48" w:rsidRDefault="0044109C">
    <w:pPr>
      <w:pStyle w:val="BodyText"/>
      <w:spacing w:line="14" w:lineRule="auto"/>
      <w:rPr>
        <w:sz w:val="20"/>
      </w:rPr>
    </w:pPr>
    <w:r>
      <w:pict>
        <v:shapetype id="_x0000_t202" coordsize="21600,21600" o:spt="202" path="m,l,21600r21600,l21600,xe">
          <v:stroke joinstyle="miter"/>
          <v:path gradientshapeok="t" o:connecttype="rect"/>
        </v:shapetype>
        <v:shape id="_x0000_s2051" type="#_x0000_t202" style="position:absolute;margin-left:527.8pt;margin-top:801.9pt;width:10pt;height:15.3pt;z-index:-5416;mso-position-horizontal-relative:page;mso-position-vertical-relative:page" filled="f" stroked="f">
          <v:textbox inset="0,0,0,0">
            <w:txbxContent>
              <w:p w:rsidR="00F81D48" w:rsidRDefault="006D2713">
                <w:pPr>
                  <w:pStyle w:val="BodyText"/>
                  <w:spacing w:before="10"/>
                  <w:ind w:left="40"/>
                </w:pPr>
                <w:r>
                  <w:fldChar w:fldCharType="begin"/>
                </w:r>
                <w:r>
                  <w:instrText xml:space="preserve"> PAGE </w:instrText>
                </w:r>
                <w:r>
                  <w:fldChar w:fldCharType="separate"/>
                </w:r>
                <w:r>
                  <w:t>1</w:t>
                </w:r>
                <w:r>
                  <w:fldChar w:fldCharType="end"/>
                </w:r>
              </w:p>
            </w:txbxContent>
          </v:textbox>
          <w10:wrap anchorx="page" anchory="page"/>
        </v:shape>
      </w:pict>
    </w:r>
    <w:r>
      <w:pict>
        <v:shape id="_x0000_s2050" type="#_x0000_t202" style="position:absolute;margin-left:236.3pt;margin-top:815.55pt;width:116.75pt;height:13.2pt;z-index:-5392;mso-position-horizontal-relative:page;mso-position-vertical-relative:page" filled="f" stroked="f">
          <v:textbox inset="0,0,0,0">
            <w:txbxContent>
              <w:p w:rsidR="00F81D48" w:rsidRDefault="006D2713">
                <w:pPr>
                  <w:spacing w:before="13"/>
                  <w:ind w:left="20"/>
                  <w:rPr>
                    <w:rFonts w:ascii="Arial"/>
                    <w:b/>
                    <w:sz w:val="20"/>
                  </w:rPr>
                </w:pPr>
                <w:r>
                  <w:rPr>
                    <w:rFonts w:ascii="Arial"/>
                    <w:b/>
                    <w:sz w:val="20"/>
                  </w:rPr>
                  <w:t>I N  C O N F I D E N C E</w:t>
                </w:r>
              </w:p>
            </w:txbxContent>
          </v:textbox>
          <w10:wrap anchorx="page" anchory="page"/>
        </v:shape>
      </w:pict>
    </w:r>
    <w:r>
      <w:pict>
        <v:shape id="_x0000_s2049" type="#_x0000_t202" style="position:absolute;margin-left:15pt;margin-top:816.85pt;width:130.05pt;height:12.1pt;z-index:-5368;mso-position-horizontal-relative:page;mso-position-vertical-relative:page" filled="f" stroked="f">
          <v:textbox inset="0,0,0,0">
            <w:txbxContent>
              <w:p w:rsidR="00F81D48" w:rsidRDefault="006D2713">
                <w:pPr>
                  <w:spacing w:before="14"/>
                  <w:ind w:left="20"/>
                  <w:rPr>
                    <w:rFonts w:ascii="Arial"/>
                    <w:sz w:val="18"/>
                  </w:rPr>
                </w:pPr>
                <w:r>
                  <w:rPr>
                    <w:rFonts w:ascii="Arial"/>
                    <w:sz w:val="18"/>
                  </w:rPr>
                  <w:t>2r4hxlcklw 2019-03-25 16:32:13</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6E10" w:rsidRDefault="006D2713">
      <w:r>
        <w:separator/>
      </w:r>
    </w:p>
  </w:footnote>
  <w:footnote w:type="continuationSeparator" w:id="0">
    <w:p w:rsidR="009F6E10" w:rsidRDefault="006D27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1D48" w:rsidRDefault="0044109C">
    <w:pPr>
      <w:pStyle w:val="BodyText"/>
      <w:spacing w:line="14" w:lineRule="auto"/>
      <w:rPr>
        <w:sz w:val="20"/>
      </w:rPr>
    </w:pPr>
    <w:r>
      <w:pict>
        <v:shapetype id="_x0000_t202" coordsize="21600,21600" o:spt="202" path="m,l,21600r21600,l21600,xe">
          <v:stroke joinstyle="miter"/>
          <v:path gradientshapeok="t" o:connecttype="rect"/>
        </v:shapetype>
        <v:shape id="_x0000_s2053" type="#_x0000_t202" style="position:absolute;margin-left:236.3pt;margin-top:19.25pt;width:116.75pt;height:13.2pt;z-index:-5464;mso-position-horizontal-relative:page;mso-position-vertical-relative:page" filled="f" stroked="f">
          <v:textbox inset="0,0,0,0">
            <w:txbxContent>
              <w:p w:rsidR="00F81D48" w:rsidRDefault="006D2713">
                <w:pPr>
                  <w:spacing w:before="13"/>
                  <w:ind w:left="20"/>
                  <w:rPr>
                    <w:rFonts w:ascii="Arial"/>
                    <w:b/>
                    <w:sz w:val="20"/>
                  </w:rPr>
                </w:pPr>
                <w:r>
                  <w:rPr>
                    <w:rFonts w:ascii="Arial"/>
                    <w:b/>
                    <w:sz w:val="20"/>
                  </w:rPr>
                  <w:t>I N  C O N F I D E N C E</w:t>
                </w:r>
              </w:p>
            </w:txbxContent>
          </v:textbox>
          <w10:wrap anchorx="page" anchory="page"/>
        </v:shape>
      </w:pict>
    </w:r>
    <w:r>
      <w:pict>
        <v:shape id="_x0000_s2052" type="#_x0000_t202" style="position:absolute;margin-left:452.7pt;margin-top:30.75pt;width:84.2pt;height:13.2pt;z-index:-5440;mso-position-horizontal-relative:page;mso-position-vertical-relative:page" filled="f" stroked="f">
          <v:textbox inset="0,0,0,0">
            <w:txbxContent>
              <w:p w:rsidR="00F81D48" w:rsidRDefault="006D2713">
                <w:pPr>
                  <w:spacing w:before="13"/>
                  <w:ind w:left="20"/>
                  <w:rPr>
                    <w:rFonts w:ascii="Arial"/>
                    <w:b/>
                    <w:sz w:val="20"/>
                  </w:rPr>
                </w:pPr>
                <w:r>
                  <w:rPr>
                    <w:rFonts w:ascii="Arial"/>
                    <w:b/>
                    <w:sz w:val="20"/>
                  </w:rPr>
                  <w:t>LEG-19-MIN-0027</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EB5E07"/>
    <w:multiLevelType w:val="multilevel"/>
    <w:tmpl w:val="433A7A40"/>
    <w:lvl w:ilvl="0">
      <w:start w:val="1"/>
      <w:numFmt w:val="decimal"/>
      <w:lvlText w:val="%1"/>
      <w:lvlJc w:val="left"/>
      <w:pPr>
        <w:ind w:left="836" w:hanging="720"/>
        <w:jc w:val="left"/>
      </w:pPr>
      <w:rPr>
        <w:rFonts w:ascii="Times New Roman" w:eastAsia="Times New Roman" w:hAnsi="Times New Roman" w:cs="Times New Roman" w:hint="default"/>
        <w:spacing w:val="-1"/>
        <w:w w:val="100"/>
        <w:sz w:val="24"/>
        <w:szCs w:val="24"/>
        <w:lang w:val="en-NZ" w:eastAsia="en-NZ" w:bidi="en-NZ"/>
      </w:rPr>
    </w:lvl>
    <w:lvl w:ilvl="1">
      <w:start w:val="1"/>
      <w:numFmt w:val="decimal"/>
      <w:lvlText w:val="%1.%2"/>
      <w:lvlJc w:val="left"/>
      <w:pPr>
        <w:ind w:left="1556" w:hanging="720"/>
        <w:jc w:val="left"/>
      </w:pPr>
      <w:rPr>
        <w:rFonts w:ascii="Times New Roman" w:eastAsia="Times New Roman" w:hAnsi="Times New Roman" w:cs="Times New Roman" w:hint="default"/>
        <w:spacing w:val="-1"/>
        <w:w w:val="100"/>
        <w:sz w:val="24"/>
        <w:szCs w:val="24"/>
        <w:lang w:val="en-NZ" w:eastAsia="en-NZ" w:bidi="en-NZ"/>
      </w:rPr>
    </w:lvl>
    <w:lvl w:ilvl="2">
      <w:start w:val="1"/>
      <w:numFmt w:val="decimal"/>
      <w:lvlText w:val="%1.%2.%3"/>
      <w:lvlJc w:val="left"/>
      <w:pPr>
        <w:ind w:left="2526" w:hanging="970"/>
        <w:jc w:val="left"/>
      </w:pPr>
      <w:rPr>
        <w:rFonts w:ascii="Times New Roman" w:eastAsia="Times New Roman" w:hAnsi="Times New Roman" w:cs="Times New Roman" w:hint="default"/>
        <w:spacing w:val="-1"/>
        <w:w w:val="100"/>
        <w:sz w:val="24"/>
        <w:szCs w:val="24"/>
        <w:lang w:val="en-NZ" w:eastAsia="en-NZ" w:bidi="en-NZ"/>
      </w:rPr>
    </w:lvl>
    <w:lvl w:ilvl="3">
      <w:numFmt w:val="bullet"/>
      <w:lvlText w:val="•"/>
      <w:lvlJc w:val="left"/>
      <w:pPr>
        <w:ind w:left="3437" w:hanging="970"/>
      </w:pPr>
      <w:rPr>
        <w:rFonts w:hint="default"/>
        <w:lang w:val="en-NZ" w:eastAsia="en-NZ" w:bidi="en-NZ"/>
      </w:rPr>
    </w:lvl>
    <w:lvl w:ilvl="4">
      <w:numFmt w:val="bullet"/>
      <w:lvlText w:val="•"/>
      <w:lvlJc w:val="left"/>
      <w:pPr>
        <w:ind w:left="4355" w:hanging="970"/>
      </w:pPr>
      <w:rPr>
        <w:rFonts w:hint="default"/>
        <w:lang w:val="en-NZ" w:eastAsia="en-NZ" w:bidi="en-NZ"/>
      </w:rPr>
    </w:lvl>
    <w:lvl w:ilvl="5">
      <w:numFmt w:val="bullet"/>
      <w:lvlText w:val="•"/>
      <w:lvlJc w:val="left"/>
      <w:pPr>
        <w:ind w:left="5272" w:hanging="970"/>
      </w:pPr>
      <w:rPr>
        <w:rFonts w:hint="default"/>
        <w:lang w:val="en-NZ" w:eastAsia="en-NZ" w:bidi="en-NZ"/>
      </w:rPr>
    </w:lvl>
    <w:lvl w:ilvl="6">
      <w:numFmt w:val="bullet"/>
      <w:lvlText w:val="•"/>
      <w:lvlJc w:val="left"/>
      <w:pPr>
        <w:ind w:left="6190" w:hanging="970"/>
      </w:pPr>
      <w:rPr>
        <w:rFonts w:hint="default"/>
        <w:lang w:val="en-NZ" w:eastAsia="en-NZ" w:bidi="en-NZ"/>
      </w:rPr>
    </w:lvl>
    <w:lvl w:ilvl="7">
      <w:numFmt w:val="bullet"/>
      <w:lvlText w:val="•"/>
      <w:lvlJc w:val="left"/>
      <w:pPr>
        <w:ind w:left="7107" w:hanging="970"/>
      </w:pPr>
      <w:rPr>
        <w:rFonts w:hint="default"/>
        <w:lang w:val="en-NZ" w:eastAsia="en-NZ" w:bidi="en-NZ"/>
      </w:rPr>
    </w:lvl>
    <w:lvl w:ilvl="8">
      <w:numFmt w:val="bullet"/>
      <w:lvlText w:val="•"/>
      <w:lvlJc w:val="left"/>
      <w:pPr>
        <w:ind w:left="8025" w:hanging="970"/>
      </w:pPr>
      <w:rPr>
        <w:rFonts w:hint="default"/>
        <w:lang w:val="en-NZ" w:eastAsia="en-NZ" w:bidi="en-NZ"/>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rsids>
    <w:rsidRoot w:val="00F81D48"/>
    <w:rsid w:val="0044109C"/>
    <w:rsid w:val="006D2713"/>
    <w:rsid w:val="009F6E10"/>
    <w:rsid w:val="00B80952"/>
    <w:rsid w:val="00ED14F5"/>
    <w:rsid w:val="00F81D4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5:docId w15:val="{0ABE91A2-783F-41E9-AB8D-E3AAC5D9A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lang w:val="en-NZ" w:eastAsia="en-NZ" w:bidi="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36" w:hanging="720"/>
    </w:pPr>
  </w:style>
  <w:style w:type="paragraph" w:customStyle="1" w:styleId="TableParagraph">
    <w:name w:val="Table Paragraph"/>
    <w:basedOn w:val="Normal"/>
    <w:uiPriority w:val="1"/>
    <w:qFormat/>
    <w:pPr>
      <w:ind w:left="1"/>
    </w:pPr>
  </w:style>
  <w:style w:type="paragraph" w:styleId="Header">
    <w:name w:val="header"/>
    <w:basedOn w:val="Normal"/>
    <w:link w:val="HeaderChar"/>
    <w:uiPriority w:val="99"/>
    <w:unhideWhenUsed/>
    <w:rsid w:val="006D2713"/>
    <w:pPr>
      <w:tabs>
        <w:tab w:val="center" w:pos="4513"/>
        <w:tab w:val="right" w:pos="9026"/>
      </w:tabs>
    </w:pPr>
  </w:style>
  <w:style w:type="character" w:customStyle="1" w:styleId="HeaderChar">
    <w:name w:val="Header Char"/>
    <w:basedOn w:val="DefaultParagraphFont"/>
    <w:link w:val="Header"/>
    <w:uiPriority w:val="99"/>
    <w:rsid w:val="006D2713"/>
    <w:rPr>
      <w:rFonts w:ascii="Times New Roman" w:eastAsia="Times New Roman" w:hAnsi="Times New Roman" w:cs="Times New Roman"/>
      <w:lang w:val="en-NZ" w:eastAsia="en-NZ" w:bidi="en-NZ"/>
    </w:rPr>
  </w:style>
  <w:style w:type="paragraph" w:styleId="Footer">
    <w:name w:val="footer"/>
    <w:basedOn w:val="Normal"/>
    <w:link w:val="FooterChar"/>
    <w:uiPriority w:val="99"/>
    <w:unhideWhenUsed/>
    <w:rsid w:val="006D2713"/>
    <w:pPr>
      <w:tabs>
        <w:tab w:val="center" w:pos="4513"/>
        <w:tab w:val="right" w:pos="9026"/>
      </w:tabs>
    </w:pPr>
  </w:style>
  <w:style w:type="character" w:customStyle="1" w:styleId="FooterChar">
    <w:name w:val="Footer Char"/>
    <w:basedOn w:val="DefaultParagraphFont"/>
    <w:link w:val="Footer"/>
    <w:uiPriority w:val="99"/>
    <w:rsid w:val="006D2713"/>
    <w:rPr>
      <w:rFonts w:ascii="Times New Roman" w:eastAsia="Times New Roman" w:hAnsi="Times New Roman" w:cs="Times New Roman"/>
      <w:lang w:val="en-NZ" w:eastAsia="en-NZ" w:bidi="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590</Words>
  <Characters>3367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LEG-19-MIN-0027 – Minute: Tax Administration (Correction of Errors in Employment Income Information) Regulations 2019 (19 March 2019)</vt:lpstr>
    </vt:vector>
  </TitlesOfParts>
  <Company/>
  <LinksUpToDate>false</LinksUpToDate>
  <CharactersWithSpaces>3950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LEG-19-MIN-0027 – Minute: Tax Administration (Correction of Errors in Employment Income Information) Regulations 2019 (19 March 2019)</dc:title>
  <dcterms:created xsi:type="dcterms:W3CDTF">2019-04-10T00:07:00Z</dcterms:created>
  <dcterms:modified xsi:type="dcterms:W3CDTF">2019-07-21T00:48:00Z</dcterms:modified>
</cp:coreProperties>
</file>