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6B" w:rsidRDefault="00183FAA">
      <w:pPr>
        <w:spacing w:before="51"/>
        <w:ind w:left="2022" w:right="1506"/>
        <w:rPr>
          <w:rFonts w:ascii="Arial"/>
          <w:b/>
          <w:sz w:val="44"/>
        </w:rPr>
      </w:pPr>
      <w:r>
        <w:rPr>
          <w:noProof/>
        </w:rPr>
        <w:drawing>
          <wp:anchor distT="0" distB="0" distL="0" distR="0" simplePos="0" relativeHeight="1072" behindDoc="0" locked="0" layoutInCell="1" allowOverlap="1">
            <wp:simplePos x="0" y="0"/>
            <wp:positionH relativeFrom="page">
              <wp:posOffset>748030</wp:posOffset>
            </wp:positionH>
            <wp:positionV relativeFrom="paragraph">
              <wp:posOffset>31569</wp:posOffset>
            </wp:positionV>
            <wp:extent cx="981709" cy="962659"/>
            <wp:effectExtent l="0" t="0" r="0" b="0"/>
            <wp:wrapNone/>
            <wp:docPr id="1" name="image1.png" descr="Cabinet Office Wellington seal with New Zealand Government coat of ca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709" cy="962659"/>
                    </a:xfrm>
                    <a:prstGeom prst="rect">
                      <a:avLst/>
                    </a:prstGeom>
                  </pic:spPr>
                </pic:pic>
              </a:graphicData>
            </a:graphic>
          </wp:anchor>
        </w:drawing>
      </w:r>
      <w:r>
        <w:rPr>
          <w:rFonts w:ascii="Arial"/>
          <w:b/>
          <w:sz w:val="44"/>
        </w:rPr>
        <w:t>Cabinet Legislation Committee</w:t>
      </w:r>
    </w:p>
    <w:p w:rsidR="00AF306B" w:rsidRDefault="00183FAA">
      <w:pPr>
        <w:spacing w:before="322"/>
        <w:ind w:left="2022"/>
        <w:rPr>
          <w:rFonts w:ascii="Arial"/>
          <w:b/>
          <w:sz w:val="32"/>
        </w:rPr>
      </w:pPr>
      <w:r>
        <w:pict>
          <v:line id="_x0000_s1030" style="position:absolute;left:0;text-align:left;z-index:1048;mso-position-horizontal-relative:page" from="51.3pt,42.8pt" to="544.1pt,42.8pt" strokecolor="#000001" strokeweight=".6pt">
            <w10:wrap anchorx="page"/>
          </v:line>
        </w:pict>
      </w:r>
      <w:r>
        <w:rPr>
          <w:rFonts w:ascii="Arial"/>
          <w:b/>
          <w:sz w:val="32"/>
        </w:rPr>
        <w:t>Minute of Decision</w:t>
      </w:r>
    </w:p>
    <w:p w:rsidR="00AF306B" w:rsidRDefault="00AF306B">
      <w:pPr>
        <w:pStyle w:val="BodyText"/>
        <w:spacing w:before="11"/>
        <w:rPr>
          <w:rFonts w:ascii="Arial"/>
          <w:b/>
          <w:sz w:val="11"/>
        </w:rPr>
      </w:pPr>
    </w:p>
    <w:p w:rsidR="00AF306B" w:rsidRDefault="00183FAA">
      <w:pPr>
        <w:spacing w:before="93"/>
        <w:ind w:left="115"/>
        <w:rPr>
          <w:rFonts w:ascii="Arial"/>
          <w:i/>
          <w:sz w:val="20"/>
        </w:rPr>
      </w:pPr>
      <w:r>
        <w:pict>
          <v:line id="_x0000_s1029" style="position:absolute;left:0;text-align:left;z-index:1024;mso-position-horizontal-relative:page" from="51.3pt,42.45pt" to="544.1pt,42.45pt" strokecolor="#000001" strokeweight=".6pt">
            <w10:wrap anchorx="page"/>
          </v:line>
        </w:pict>
      </w:r>
      <w:r>
        <w:rPr>
          <w:rFonts w:ascii="Arial"/>
          <w:i/>
          <w:sz w:val="20"/>
        </w:rPr>
        <w:t xml:space="preserve">This document contains information for the New Zealand Cabinet. It must be treated in confidence and </w:t>
      </w:r>
      <w:r>
        <w:rPr>
          <w:rFonts w:ascii="Arial"/>
          <w:i/>
          <w:sz w:val="20"/>
        </w:rPr>
        <w:t>handled in accordance with any security classification, or other endorsement. The information can only be released, including under the Official Information Act 1982, by persons with the appropriate authority.</w:t>
      </w:r>
    </w:p>
    <w:p w:rsidR="00AF306B" w:rsidRDefault="00AF306B">
      <w:pPr>
        <w:pStyle w:val="BodyText"/>
        <w:rPr>
          <w:rFonts w:ascii="Arial"/>
          <w:i/>
          <w:sz w:val="22"/>
        </w:rPr>
      </w:pPr>
    </w:p>
    <w:p w:rsidR="00AF306B" w:rsidRDefault="00AF306B">
      <w:pPr>
        <w:pStyle w:val="BodyText"/>
        <w:spacing w:before="11"/>
        <w:rPr>
          <w:rFonts w:ascii="Arial"/>
          <w:i/>
          <w:sz w:val="25"/>
        </w:rPr>
      </w:pPr>
    </w:p>
    <w:p w:rsidR="00AF306B" w:rsidRDefault="00183FAA">
      <w:pPr>
        <w:ind w:left="115" w:right="1506"/>
        <w:rPr>
          <w:rFonts w:ascii="Arial"/>
          <w:b/>
          <w:sz w:val="28"/>
        </w:rPr>
      </w:pPr>
      <w:r>
        <w:rPr>
          <w:rFonts w:ascii="Arial"/>
          <w:b/>
          <w:sz w:val="28"/>
        </w:rPr>
        <w:t>Extending the Commissioner of Inland Revenue</w:t>
      </w:r>
      <w:r>
        <w:rPr>
          <w:rFonts w:ascii="Arial"/>
          <w:b/>
          <w:sz w:val="28"/>
        </w:rPr>
        <w:t>'s Care and Management Role: Supplementary Order Paper</w:t>
      </w:r>
    </w:p>
    <w:p w:rsidR="00AF306B" w:rsidRDefault="00AF306B">
      <w:pPr>
        <w:pStyle w:val="BodyText"/>
        <w:spacing w:before="2"/>
        <w:rPr>
          <w:rFonts w:ascii="Arial"/>
          <w:b/>
          <w:sz w:val="31"/>
        </w:rPr>
      </w:pPr>
    </w:p>
    <w:p w:rsidR="00AF306B" w:rsidRDefault="00183FAA">
      <w:pPr>
        <w:tabs>
          <w:tab w:val="left" w:pos="2021"/>
        </w:tabs>
        <w:spacing w:before="1"/>
        <w:ind w:left="115"/>
        <w:rPr>
          <w:rFonts w:ascii="Arial"/>
          <w:b/>
          <w:sz w:val="20"/>
        </w:rPr>
      </w:pPr>
      <w:r>
        <w:rPr>
          <w:rFonts w:ascii="Arial"/>
          <w:b/>
          <w:sz w:val="20"/>
        </w:rPr>
        <w:t>Portfolio</w:t>
      </w:r>
      <w:r>
        <w:rPr>
          <w:rFonts w:ascii="Arial"/>
          <w:b/>
          <w:sz w:val="20"/>
        </w:rPr>
        <w:tab/>
        <w:t>Revenue</w:t>
      </w:r>
    </w:p>
    <w:p w:rsidR="00AF306B" w:rsidRDefault="00AF306B">
      <w:pPr>
        <w:pStyle w:val="BodyText"/>
        <w:rPr>
          <w:rFonts w:ascii="Arial"/>
          <w:b/>
          <w:sz w:val="22"/>
        </w:rPr>
      </w:pPr>
    </w:p>
    <w:p w:rsidR="00AF306B" w:rsidRDefault="00AF306B">
      <w:pPr>
        <w:pStyle w:val="BodyText"/>
        <w:spacing w:before="9"/>
        <w:rPr>
          <w:rFonts w:ascii="Arial"/>
          <w:b/>
          <w:sz w:val="22"/>
        </w:rPr>
      </w:pPr>
    </w:p>
    <w:p w:rsidR="00AF306B" w:rsidRDefault="00183FAA">
      <w:pPr>
        <w:pStyle w:val="BodyText"/>
        <w:ind w:left="115"/>
      </w:pPr>
      <w:r>
        <w:t>On 19 February 2019, the Cabinet Legislation Committee:</w:t>
      </w:r>
    </w:p>
    <w:p w:rsidR="00AF306B" w:rsidRDefault="00AF306B">
      <w:pPr>
        <w:pStyle w:val="BodyText"/>
      </w:pPr>
    </w:p>
    <w:p w:rsidR="00AF306B" w:rsidRDefault="00183FAA">
      <w:pPr>
        <w:pStyle w:val="ListParagraph"/>
        <w:numPr>
          <w:ilvl w:val="0"/>
          <w:numId w:val="1"/>
        </w:numPr>
        <w:tabs>
          <w:tab w:val="left" w:pos="835"/>
          <w:tab w:val="left" w:pos="836"/>
        </w:tabs>
        <w:ind w:right="464"/>
        <w:rPr>
          <w:sz w:val="24"/>
        </w:rPr>
      </w:pPr>
      <w:r>
        <w:rPr>
          <w:b/>
          <w:sz w:val="24"/>
        </w:rPr>
        <w:t xml:space="preserve">noted </w:t>
      </w:r>
      <w:r>
        <w:rPr>
          <w:sz w:val="24"/>
        </w:rPr>
        <w:t xml:space="preserve">that on 21 March 2018, the Cabinet Economic Development Committee (DEV) agreed to a proposal to enable new processes </w:t>
      </w:r>
      <w:r>
        <w:rPr>
          <w:sz w:val="24"/>
        </w:rPr>
        <w:t>to allow exemptions to be issued to address legislative anomalies, either by way of an Order in Council, a determination or an administrative power of the Commissioner</w:t>
      </w:r>
      <w:r>
        <w:rPr>
          <w:spacing w:val="1"/>
          <w:sz w:val="24"/>
        </w:rPr>
        <w:t xml:space="preserve"> </w:t>
      </w:r>
      <w:r>
        <w:rPr>
          <w:sz w:val="24"/>
        </w:rPr>
        <w:t>[DEV-18-MIN-0019];</w:t>
      </w:r>
    </w:p>
    <w:p w:rsidR="00AF306B" w:rsidRDefault="00AF306B">
      <w:pPr>
        <w:pStyle w:val="BodyText"/>
        <w:spacing w:before="10"/>
        <w:rPr>
          <w:sz w:val="20"/>
        </w:rPr>
      </w:pPr>
    </w:p>
    <w:p w:rsidR="00AF306B" w:rsidRDefault="00183FAA">
      <w:pPr>
        <w:pStyle w:val="ListParagraph"/>
        <w:numPr>
          <w:ilvl w:val="0"/>
          <w:numId w:val="1"/>
        </w:numPr>
        <w:tabs>
          <w:tab w:val="left" w:pos="835"/>
          <w:tab w:val="left" w:pos="836"/>
        </w:tabs>
        <w:ind w:right="269"/>
        <w:rPr>
          <w:sz w:val="24"/>
        </w:rPr>
      </w:pPr>
      <w:r>
        <w:rPr>
          <w:b/>
          <w:sz w:val="24"/>
        </w:rPr>
        <w:t>a</w:t>
      </w:r>
      <w:r w:rsidR="00D54303">
        <w:rPr>
          <w:b/>
          <w:sz w:val="24"/>
        </w:rPr>
        <w:t>g</w:t>
      </w:r>
      <w:bookmarkStart w:id="0" w:name="_GoBack"/>
      <w:bookmarkEnd w:id="0"/>
      <w:r>
        <w:rPr>
          <w:b/>
          <w:sz w:val="24"/>
        </w:rPr>
        <w:t xml:space="preserve">reed </w:t>
      </w:r>
      <w:r>
        <w:rPr>
          <w:sz w:val="24"/>
        </w:rPr>
        <w:t xml:space="preserve">to recommend that Cabinet agree to rescind the decision referred to in paragraph 1; and instead replace it with agreement to a proposal to enable new processes to allow the Commissioner of Inland Revenue to address legislative anomalies by way of an Order </w:t>
      </w:r>
      <w:r>
        <w:rPr>
          <w:sz w:val="24"/>
        </w:rPr>
        <w:t>in Council on the recommendation of the Minister of Revenue, or through the use of an exemption-making power;</w:t>
      </w:r>
    </w:p>
    <w:p w:rsidR="00AF306B" w:rsidRDefault="00AF306B">
      <w:pPr>
        <w:pStyle w:val="BodyText"/>
        <w:spacing w:before="10"/>
        <w:rPr>
          <w:sz w:val="20"/>
        </w:rPr>
      </w:pPr>
    </w:p>
    <w:p w:rsidR="00AF306B" w:rsidRDefault="00183FAA">
      <w:pPr>
        <w:pStyle w:val="ListParagraph"/>
        <w:numPr>
          <w:ilvl w:val="0"/>
          <w:numId w:val="1"/>
        </w:numPr>
        <w:tabs>
          <w:tab w:val="left" w:pos="835"/>
          <w:tab w:val="left" w:pos="836"/>
        </w:tabs>
        <w:ind w:right="403"/>
        <w:rPr>
          <w:sz w:val="24"/>
        </w:rPr>
      </w:pPr>
      <w:r>
        <w:rPr>
          <w:b/>
          <w:sz w:val="24"/>
        </w:rPr>
        <w:t>a</w:t>
      </w:r>
      <w:r w:rsidR="00D54303">
        <w:rPr>
          <w:b/>
          <w:sz w:val="24"/>
        </w:rPr>
        <w:t>g</w:t>
      </w:r>
      <w:r>
        <w:rPr>
          <w:b/>
          <w:sz w:val="24"/>
        </w:rPr>
        <w:t xml:space="preserve">reed </w:t>
      </w:r>
      <w:r>
        <w:rPr>
          <w:sz w:val="24"/>
        </w:rPr>
        <w:t>that exemptions issued by the Commissioner under the proposed power should be legislative instruments and disallowable instruments to ensure that these are subject to review by the Regulations Review Committee and can be disallowed by the House of Represen</w:t>
      </w:r>
      <w:r>
        <w:rPr>
          <w:sz w:val="24"/>
        </w:rPr>
        <w:t>tatives;</w:t>
      </w:r>
    </w:p>
    <w:p w:rsidR="00AF306B" w:rsidRDefault="00AF306B">
      <w:pPr>
        <w:pStyle w:val="BodyText"/>
        <w:spacing w:before="10"/>
        <w:rPr>
          <w:sz w:val="20"/>
        </w:rPr>
      </w:pPr>
    </w:p>
    <w:p w:rsidR="00AF306B" w:rsidRDefault="00183FAA">
      <w:pPr>
        <w:pStyle w:val="ListParagraph"/>
        <w:numPr>
          <w:ilvl w:val="0"/>
          <w:numId w:val="1"/>
        </w:numPr>
        <w:tabs>
          <w:tab w:val="left" w:pos="835"/>
          <w:tab w:val="left" w:pos="836"/>
        </w:tabs>
        <w:spacing w:before="1"/>
        <w:ind w:right="898"/>
        <w:rPr>
          <w:sz w:val="24"/>
        </w:rPr>
      </w:pPr>
      <w:r>
        <w:rPr>
          <w:b/>
          <w:sz w:val="24"/>
        </w:rPr>
        <w:t>a</w:t>
      </w:r>
      <w:r w:rsidR="00D54303">
        <w:rPr>
          <w:b/>
          <w:sz w:val="24"/>
        </w:rPr>
        <w:t>g</w:t>
      </w:r>
      <w:r>
        <w:rPr>
          <w:b/>
          <w:sz w:val="24"/>
        </w:rPr>
        <w:t xml:space="preserve">reed </w:t>
      </w:r>
      <w:r>
        <w:rPr>
          <w:sz w:val="24"/>
        </w:rPr>
        <w:t>that modifications made by an Order in Council can, depending on the circumstances, apply to taxpayers for a period including up to the most four</w:t>
      </w:r>
      <w:r>
        <w:rPr>
          <w:spacing w:val="-21"/>
          <w:sz w:val="24"/>
        </w:rPr>
        <w:t xml:space="preserve"> </w:t>
      </w:r>
      <w:r>
        <w:rPr>
          <w:sz w:val="24"/>
        </w:rPr>
        <w:t>recently completed income years from when the modification comes into</w:t>
      </w:r>
      <w:r>
        <w:rPr>
          <w:spacing w:val="-1"/>
          <w:sz w:val="24"/>
        </w:rPr>
        <w:t xml:space="preserve"> </w:t>
      </w:r>
      <w:r>
        <w:rPr>
          <w:sz w:val="24"/>
        </w:rPr>
        <w:t>force;</w:t>
      </w:r>
    </w:p>
    <w:p w:rsidR="00AF306B" w:rsidRDefault="00AF306B">
      <w:pPr>
        <w:pStyle w:val="BodyText"/>
        <w:spacing w:before="9"/>
        <w:rPr>
          <w:sz w:val="20"/>
        </w:rPr>
      </w:pPr>
    </w:p>
    <w:p w:rsidR="00AF306B" w:rsidRDefault="00183FAA">
      <w:pPr>
        <w:pStyle w:val="ListParagraph"/>
        <w:numPr>
          <w:ilvl w:val="0"/>
          <w:numId w:val="1"/>
        </w:numPr>
        <w:tabs>
          <w:tab w:val="left" w:pos="835"/>
          <w:tab w:val="left" w:pos="836"/>
        </w:tabs>
        <w:spacing w:before="1"/>
        <w:ind w:right="657"/>
        <w:rPr>
          <w:sz w:val="24"/>
        </w:rPr>
      </w:pPr>
      <w:r>
        <w:rPr>
          <w:b/>
          <w:sz w:val="24"/>
        </w:rPr>
        <w:t xml:space="preserve">noted </w:t>
      </w:r>
      <w:r>
        <w:rPr>
          <w:sz w:val="24"/>
        </w:rPr>
        <w:t xml:space="preserve">that the </w:t>
      </w:r>
      <w:r>
        <w:rPr>
          <w:sz w:val="24"/>
        </w:rPr>
        <w:t>attached Supplementary Order Paper is proposed to be released and considered by the Finance and Expenditure Committee as part of the Taxation (Annual Rates for 2019-20, GST Offshore Supplier Registration, and Remedial Matters)</w:t>
      </w:r>
      <w:r>
        <w:rPr>
          <w:spacing w:val="-17"/>
          <w:sz w:val="24"/>
        </w:rPr>
        <w:t xml:space="preserve"> </w:t>
      </w:r>
      <w:r>
        <w:rPr>
          <w:sz w:val="24"/>
        </w:rPr>
        <w:t>Bill;</w:t>
      </w:r>
    </w:p>
    <w:p w:rsidR="00AF306B" w:rsidRDefault="00AF306B">
      <w:pPr>
        <w:pStyle w:val="BodyText"/>
        <w:spacing w:before="10"/>
        <w:rPr>
          <w:sz w:val="20"/>
        </w:rPr>
      </w:pPr>
    </w:p>
    <w:p w:rsidR="00AF306B" w:rsidRDefault="00183FAA">
      <w:pPr>
        <w:pStyle w:val="ListParagraph"/>
        <w:numPr>
          <w:ilvl w:val="0"/>
          <w:numId w:val="1"/>
        </w:numPr>
        <w:tabs>
          <w:tab w:val="left" w:pos="835"/>
          <w:tab w:val="left" w:pos="836"/>
        </w:tabs>
        <w:ind w:right="797"/>
        <w:rPr>
          <w:sz w:val="24"/>
        </w:rPr>
      </w:pPr>
      <w:r>
        <w:rPr>
          <w:b/>
          <w:sz w:val="24"/>
        </w:rPr>
        <w:t xml:space="preserve">noted </w:t>
      </w:r>
      <w:r>
        <w:rPr>
          <w:sz w:val="24"/>
        </w:rPr>
        <w:t>that the Supplem</w:t>
      </w:r>
      <w:r>
        <w:rPr>
          <w:sz w:val="24"/>
        </w:rPr>
        <w:t>entary Order Paper makes substantive amendments to the Tax Administration Act</w:t>
      </w:r>
      <w:r>
        <w:rPr>
          <w:spacing w:val="1"/>
          <w:sz w:val="24"/>
        </w:rPr>
        <w:t xml:space="preserve"> </w:t>
      </w:r>
      <w:r>
        <w:rPr>
          <w:sz w:val="24"/>
        </w:rPr>
        <w:t>1994;</w:t>
      </w:r>
    </w:p>
    <w:p w:rsidR="00AF306B" w:rsidRDefault="00AF306B">
      <w:pPr>
        <w:pStyle w:val="BodyText"/>
        <w:spacing w:before="10"/>
        <w:rPr>
          <w:sz w:val="20"/>
        </w:rPr>
      </w:pPr>
    </w:p>
    <w:p w:rsidR="00AF306B" w:rsidRDefault="00183FAA">
      <w:pPr>
        <w:pStyle w:val="ListParagraph"/>
        <w:numPr>
          <w:ilvl w:val="0"/>
          <w:numId w:val="1"/>
        </w:numPr>
        <w:tabs>
          <w:tab w:val="left" w:pos="835"/>
          <w:tab w:val="left" w:pos="836"/>
        </w:tabs>
        <w:rPr>
          <w:sz w:val="24"/>
        </w:rPr>
      </w:pPr>
      <w:r>
        <w:rPr>
          <w:b/>
          <w:sz w:val="24"/>
        </w:rPr>
        <w:t xml:space="preserve">approved </w:t>
      </w:r>
      <w:r>
        <w:rPr>
          <w:sz w:val="24"/>
        </w:rPr>
        <w:t>the Supplementary Order Paper [IRD 21621-1/4.0] for release, subject to the final approval of the government caucuses and sufficient support in the House of</w:t>
      </w:r>
      <w:r>
        <w:rPr>
          <w:spacing w:val="-22"/>
          <w:sz w:val="24"/>
        </w:rPr>
        <w:t xml:space="preserve"> </w:t>
      </w:r>
      <w:r>
        <w:rPr>
          <w:sz w:val="24"/>
        </w:rPr>
        <w:t>Repre</w:t>
      </w:r>
      <w:r>
        <w:rPr>
          <w:sz w:val="24"/>
        </w:rPr>
        <w:t>sentatives;</w:t>
      </w:r>
    </w:p>
    <w:p w:rsidR="00AF306B" w:rsidRDefault="00AF306B">
      <w:pPr>
        <w:pStyle w:val="BodyText"/>
        <w:spacing w:before="10"/>
        <w:rPr>
          <w:sz w:val="20"/>
        </w:rPr>
      </w:pPr>
    </w:p>
    <w:p w:rsidR="00AF306B" w:rsidRDefault="00183FAA">
      <w:pPr>
        <w:pStyle w:val="ListParagraph"/>
        <w:numPr>
          <w:ilvl w:val="0"/>
          <w:numId w:val="1"/>
        </w:numPr>
        <w:tabs>
          <w:tab w:val="left" w:pos="835"/>
          <w:tab w:val="left" w:pos="836"/>
        </w:tabs>
        <w:ind w:right="176"/>
        <w:rPr>
          <w:sz w:val="24"/>
        </w:rPr>
      </w:pPr>
      <w:r>
        <w:rPr>
          <w:b/>
          <w:sz w:val="24"/>
        </w:rPr>
        <w:t>dele</w:t>
      </w:r>
      <w:r w:rsidR="00D54303">
        <w:rPr>
          <w:b/>
          <w:sz w:val="24"/>
        </w:rPr>
        <w:t>g</w:t>
      </w:r>
      <w:r>
        <w:rPr>
          <w:b/>
          <w:sz w:val="24"/>
        </w:rPr>
        <w:t xml:space="preserve">ated </w:t>
      </w:r>
      <w:r>
        <w:rPr>
          <w:sz w:val="24"/>
        </w:rPr>
        <w:t>the Minister of Revenue authority to make minor amendments of a technical nature to the measures recommended in the paper under LEG-18-SUB-0012 without</w:t>
      </w:r>
      <w:r>
        <w:rPr>
          <w:spacing w:val="-26"/>
          <w:sz w:val="24"/>
        </w:rPr>
        <w:t xml:space="preserve"> </w:t>
      </w:r>
      <w:r>
        <w:rPr>
          <w:sz w:val="24"/>
        </w:rPr>
        <w:t>further reference to</w:t>
      </w:r>
      <w:r>
        <w:rPr>
          <w:spacing w:val="2"/>
          <w:sz w:val="24"/>
        </w:rPr>
        <w:t xml:space="preserve"> </w:t>
      </w:r>
      <w:r>
        <w:rPr>
          <w:sz w:val="24"/>
        </w:rPr>
        <w:t>Cabinet;</w:t>
      </w:r>
    </w:p>
    <w:p w:rsidR="00AF306B" w:rsidRDefault="00AF306B">
      <w:pPr>
        <w:rPr>
          <w:sz w:val="24"/>
        </w:rPr>
        <w:sectPr w:rsidR="00AF306B">
          <w:headerReference w:type="default" r:id="rId8"/>
          <w:footerReference w:type="default" r:id="rId9"/>
          <w:type w:val="continuous"/>
          <w:pgSz w:w="11900" w:h="16840"/>
          <w:pgMar w:top="840" w:right="1040" w:bottom="780" w:left="1020" w:header="405" w:footer="582" w:gutter="0"/>
          <w:pgNumType w:start="1"/>
          <w:cols w:space="720"/>
        </w:sectPr>
      </w:pPr>
    </w:p>
    <w:p w:rsidR="00AF306B" w:rsidRDefault="00AF306B">
      <w:pPr>
        <w:pStyle w:val="BodyText"/>
        <w:rPr>
          <w:sz w:val="20"/>
        </w:rPr>
      </w:pPr>
    </w:p>
    <w:p w:rsidR="00AF306B" w:rsidRDefault="00AF306B">
      <w:pPr>
        <w:pStyle w:val="BodyText"/>
        <w:spacing w:before="6"/>
        <w:rPr>
          <w:sz w:val="21"/>
        </w:rPr>
      </w:pPr>
    </w:p>
    <w:p w:rsidR="00AF306B" w:rsidRDefault="00183FAA">
      <w:pPr>
        <w:pStyle w:val="ListParagraph"/>
        <w:numPr>
          <w:ilvl w:val="0"/>
          <w:numId w:val="1"/>
        </w:numPr>
        <w:tabs>
          <w:tab w:val="left" w:pos="835"/>
          <w:tab w:val="left" w:pos="836"/>
        </w:tabs>
        <w:spacing w:before="90"/>
        <w:ind w:right="820"/>
        <w:rPr>
          <w:sz w:val="24"/>
        </w:rPr>
      </w:pPr>
      <w:r>
        <w:rPr>
          <w:b/>
          <w:sz w:val="24"/>
        </w:rPr>
        <w:t>a</w:t>
      </w:r>
      <w:r w:rsidR="00D54303">
        <w:rPr>
          <w:b/>
          <w:sz w:val="24"/>
        </w:rPr>
        <w:t>g</w:t>
      </w:r>
      <w:r>
        <w:rPr>
          <w:b/>
          <w:sz w:val="24"/>
        </w:rPr>
        <w:t xml:space="preserve">reed </w:t>
      </w:r>
      <w:r>
        <w:rPr>
          <w:sz w:val="24"/>
        </w:rPr>
        <w:t>that the Supplementary Order Paper should be released as soon as practicable following Cabinet agreement, and at the latest before 6 March 2019.</w:t>
      </w:r>
    </w:p>
    <w:p w:rsidR="00AF306B" w:rsidRDefault="00AF306B">
      <w:pPr>
        <w:pStyle w:val="BodyText"/>
        <w:rPr>
          <w:sz w:val="26"/>
        </w:rPr>
      </w:pPr>
    </w:p>
    <w:p w:rsidR="00AF306B" w:rsidRDefault="00AF306B">
      <w:pPr>
        <w:pStyle w:val="BodyText"/>
        <w:rPr>
          <w:sz w:val="26"/>
        </w:rPr>
      </w:pPr>
    </w:p>
    <w:p w:rsidR="00AF306B" w:rsidRDefault="00AF306B">
      <w:pPr>
        <w:pStyle w:val="BodyText"/>
        <w:rPr>
          <w:sz w:val="26"/>
        </w:rPr>
      </w:pPr>
    </w:p>
    <w:p w:rsidR="00AF306B" w:rsidRDefault="00AF306B">
      <w:pPr>
        <w:pStyle w:val="BodyText"/>
        <w:rPr>
          <w:sz w:val="26"/>
        </w:rPr>
      </w:pPr>
    </w:p>
    <w:p w:rsidR="00AF306B" w:rsidRDefault="00AF306B">
      <w:pPr>
        <w:pStyle w:val="BodyText"/>
        <w:spacing w:before="10"/>
        <w:rPr>
          <w:sz w:val="36"/>
        </w:rPr>
      </w:pPr>
    </w:p>
    <w:p w:rsidR="00AF306B" w:rsidRDefault="00183FAA">
      <w:pPr>
        <w:pStyle w:val="BodyText"/>
        <w:spacing w:after="25"/>
        <w:ind w:left="115" w:right="7672"/>
      </w:pPr>
      <w:r>
        <w:pict>
          <v:group id="_x0000_s1026" style="position:absolute;left:0;text-align:left;margin-left:56.7pt;margin-top:28.6pt;width:481.8pt;height:.5pt;z-index:1096;mso-position-horizontal-relative:page" coordorigin="1134,572" coordsize="9636,10">
            <v:line id="_x0000_s1028" style="position:absolute" from="1134,577" to="10770,577" strokecolor="#000001" strokeweight=".5pt"/>
            <v:line id="_x0000_s1027" style="position:absolute" from="1134,577" to="10770,577" strokecolor="#000001" strokeweight=".5pt"/>
            <w10:wrap anchorx="page"/>
          </v:group>
        </w:pict>
      </w:r>
      <w:r>
        <w:t>Vivien Meek Committee Secretary</w:t>
      </w:r>
    </w:p>
    <w:tbl>
      <w:tblPr>
        <w:tblW w:w="0" w:type="auto"/>
        <w:tblInd w:w="121" w:type="dxa"/>
        <w:tblLayout w:type="fixed"/>
        <w:tblCellMar>
          <w:left w:w="0" w:type="dxa"/>
          <w:right w:w="0" w:type="dxa"/>
        </w:tblCellMar>
        <w:tblLook w:val="01E0" w:firstRow="1" w:lastRow="1" w:firstColumn="1" w:lastColumn="1" w:noHBand="0" w:noVBand="0"/>
      </w:tblPr>
      <w:tblGrid>
        <w:gridCol w:w="3535"/>
        <w:gridCol w:w="3954"/>
      </w:tblGrid>
      <w:tr w:rsidR="00AF306B">
        <w:trPr>
          <w:trHeight w:val="744"/>
        </w:trPr>
        <w:tc>
          <w:tcPr>
            <w:tcW w:w="3535" w:type="dxa"/>
          </w:tcPr>
          <w:p w:rsidR="00AF306B" w:rsidRDefault="00AF306B">
            <w:pPr>
              <w:pStyle w:val="TableParagraph"/>
              <w:spacing w:before="5"/>
              <w:ind w:left="0"/>
              <w:rPr>
                <w:sz w:val="24"/>
              </w:rPr>
            </w:pPr>
          </w:p>
          <w:p w:rsidR="00AF306B" w:rsidRDefault="00183FAA">
            <w:pPr>
              <w:pStyle w:val="TableParagraph"/>
              <w:spacing w:line="229" w:lineRule="exact"/>
              <w:rPr>
                <w:rFonts w:ascii="Arial"/>
                <w:b/>
                <w:sz w:val="20"/>
              </w:rPr>
            </w:pPr>
            <w:r>
              <w:rPr>
                <w:rFonts w:ascii="Arial"/>
                <w:b/>
                <w:sz w:val="20"/>
              </w:rPr>
              <w:t>Present:</w:t>
            </w:r>
          </w:p>
          <w:p w:rsidR="00AF306B" w:rsidRDefault="00183FAA">
            <w:pPr>
              <w:pStyle w:val="TableParagraph"/>
              <w:spacing w:line="214" w:lineRule="exact"/>
              <w:rPr>
                <w:sz w:val="20"/>
              </w:rPr>
            </w:pPr>
            <w:r>
              <w:rPr>
                <w:sz w:val="20"/>
              </w:rPr>
              <w:t xml:space="preserve">Hon Chris </w:t>
            </w:r>
            <w:proofErr w:type="spellStart"/>
            <w:r>
              <w:rPr>
                <w:sz w:val="20"/>
              </w:rPr>
              <w:t>Hipkins</w:t>
            </w:r>
            <w:proofErr w:type="spellEnd"/>
            <w:r>
              <w:rPr>
                <w:sz w:val="20"/>
              </w:rPr>
              <w:t xml:space="preserve"> (Chair)</w:t>
            </w:r>
          </w:p>
        </w:tc>
        <w:tc>
          <w:tcPr>
            <w:tcW w:w="3954" w:type="dxa"/>
          </w:tcPr>
          <w:p w:rsidR="00AF306B" w:rsidRDefault="00AF306B">
            <w:pPr>
              <w:pStyle w:val="TableParagraph"/>
              <w:spacing w:before="5"/>
              <w:ind w:left="0"/>
              <w:rPr>
                <w:sz w:val="24"/>
              </w:rPr>
            </w:pPr>
          </w:p>
          <w:p w:rsidR="00AF306B" w:rsidRDefault="00183FAA">
            <w:pPr>
              <w:pStyle w:val="TableParagraph"/>
              <w:spacing w:line="229" w:lineRule="exact"/>
              <w:ind w:left="1395"/>
              <w:rPr>
                <w:rFonts w:ascii="Arial"/>
                <w:b/>
                <w:sz w:val="20"/>
              </w:rPr>
            </w:pPr>
            <w:r>
              <w:rPr>
                <w:rFonts w:ascii="Arial"/>
                <w:b/>
                <w:sz w:val="20"/>
              </w:rPr>
              <w:t>Officials present from:</w:t>
            </w:r>
          </w:p>
          <w:p w:rsidR="00AF306B" w:rsidRDefault="00183FAA">
            <w:pPr>
              <w:pStyle w:val="TableParagraph"/>
              <w:spacing w:line="214" w:lineRule="exact"/>
              <w:ind w:left="1395"/>
              <w:rPr>
                <w:sz w:val="20"/>
              </w:rPr>
            </w:pPr>
            <w:r>
              <w:rPr>
                <w:sz w:val="20"/>
              </w:rPr>
              <w:t>Officials Committee for LEG</w:t>
            </w:r>
          </w:p>
        </w:tc>
      </w:tr>
      <w:tr w:rsidR="00AF306B">
        <w:trPr>
          <w:trHeight w:val="228"/>
        </w:trPr>
        <w:tc>
          <w:tcPr>
            <w:tcW w:w="3535" w:type="dxa"/>
          </w:tcPr>
          <w:p w:rsidR="00AF306B" w:rsidRDefault="00183FAA">
            <w:pPr>
              <w:pStyle w:val="TableParagraph"/>
              <w:spacing w:line="209" w:lineRule="exact"/>
              <w:rPr>
                <w:sz w:val="20"/>
              </w:rPr>
            </w:pPr>
            <w:r>
              <w:rPr>
                <w:sz w:val="20"/>
              </w:rPr>
              <w:t>Hon Andrew Little</w:t>
            </w:r>
          </w:p>
        </w:tc>
        <w:tc>
          <w:tcPr>
            <w:tcW w:w="3954" w:type="dxa"/>
          </w:tcPr>
          <w:p w:rsidR="00AF306B" w:rsidRDefault="00AF306B">
            <w:pPr>
              <w:pStyle w:val="TableParagraph"/>
              <w:ind w:left="0"/>
              <w:rPr>
                <w:sz w:val="16"/>
              </w:rPr>
            </w:pPr>
          </w:p>
        </w:tc>
      </w:tr>
      <w:tr w:rsidR="00AF306B">
        <w:trPr>
          <w:trHeight w:val="229"/>
        </w:trPr>
        <w:tc>
          <w:tcPr>
            <w:tcW w:w="3535" w:type="dxa"/>
          </w:tcPr>
          <w:p w:rsidR="00AF306B" w:rsidRDefault="00183FAA">
            <w:pPr>
              <w:pStyle w:val="TableParagraph"/>
              <w:spacing w:line="209" w:lineRule="exact"/>
              <w:rPr>
                <w:sz w:val="20"/>
              </w:rPr>
            </w:pPr>
            <w:r>
              <w:rPr>
                <w:sz w:val="20"/>
              </w:rPr>
              <w:t>Hon David Parker</w:t>
            </w:r>
          </w:p>
        </w:tc>
        <w:tc>
          <w:tcPr>
            <w:tcW w:w="3954" w:type="dxa"/>
          </w:tcPr>
          <w:p w:rsidR="00AF306B" w:rsidRDefault="00AF306B">
            <w:pPr>
              <w:pStyle w:val="TableParagraph"/>
              <w:ind w:left="0"/>
              <w:rPr>
                <w:sz w:val="16"/>
              </w:rPr>
            </w:pPr>
          </w:p>
        </w:tc>
      </w:tr>
      <w:tr w:rsidR="00AF306B">
        <w:trPr>
          <w:trHeight w:val="229"/>
        </w:trPr>
        <w:tc>
          <w:tcPr>
            <w:tcW w:w="3535" w:type="dxa"/>
          </w:tcPr>
          <w:p w:rsidR="00AF306B" w:rsidRDefault="00183FAA">
            <w:pPr>
              <w:pStyle w:val="TableParagraph"/>
              <w:spacing w:line="209" w:lineRule="exact"/>
              <w:rPr>
                <w:sz w:val="20"/>
              </w:rPr>
            </w:pPr>
            <w:r>
              <w:rPr>
                <w:sz w:val="20"/>
              </w:rPr>
              <w:t xml:space="preserve">Hon </w:t>
            </w:r>
            <w:proofErr w:type="spellStart"/>
            <w:r>
              <w:rPr>
                <w:sz w:val="20"/>
              </w:rPr>
              <w:t>Nanaia</w:t>
            </w:r>
            <w:proofErr w:type="spellEnd"/>
            <w:r>
              <w:rPr>
                <w:sz w:val="20"/>
              </w:rPr>
              <w:t xml:space="preserve"> </w:t>
            </w:r>
            <w:proofErr w:type="spellStart"/>
            <w:r>
              <w:rPr>
                <w:sz w:val="20"/>
              </w:rPr>
              <w:t>Mahuta</w:t>
            </w:r>
            <w:proofErr w:type="spellEnd"/>
          </w:p>
        </w:tc>
        <w:tc>
          <w:tcPr>
            <w:tcW w:w="3954" w:type="dxa"/>
          </w:tcPr>
          <w:p w:rsidR="00AF306B" w:rsidRDefault="00AF306B">
            <w:pPr>
              <w:pStyle w:val="TableParagraph"/>
              <w:ind w:left="0"/>
              <w:rPr>
                <w:sz w:val="16"/>
              </w:rPr>
            </w:pPr>
          </w:p>
        </w:tc>
      </w:tr>
      <w:tr w:rsidR="00AF306B">
        <w:trPr>
          <w:trHeight w:val="228"/>
        </w:trPr>
        <w:tc>
          <w:tcPr>
            <w:tcW w:w="3535" w:type="dxa"/>
          </w:tcPr>
          <w:p w:rsidR="00AF306B" w:rsidRDefault="00183FAA">
            <w:pPr>
              <w:pStyle w:val="TableParagraph"/>
              <w:spacing w:line="209" w:lineRule="exact"/>
              <w:rPr>
                <w:sz w:val="20"/>
              </w:rPr>
            </w:pPr>
            <w:r>
              <w:rPr>
                <w:sz w:val="20"/>
              </w:rPr>
              <w:t>Hon Stuart Nash</w:t>
            </w:r>
          </w:p>
        </w:tc>
        <w:tc>
          <w:tcPr>
            <w:tcW w:w="3954" w:type="dxa"/>
          </w:tcPr>
          <w:p w:rsidR="00AF306B" w:rsidRDefault="00AF306B">
            <w:pPr>
              <w:pStyle w:val="TableParagraph"/>
              <w:ind w:left="0"/>
              <w:rPr>
                <w:sz w:val="16"/>
              </w:rPr>
            </w:pPr>
          </w:p>
        </w:tc>
      </w:tr>
      <w:tr w:rsidR="00AF306B">
        <w:trPr>
          <w:trHeight w:val="228"/>
        </w:trPr>
        <w:tc>
          <w:tcPr>
            <w:tcW w:w="3535" w:type="dxa"/>
          </w:tcPr>
          <w:p w:rsidR="00AF306B" w:rsidRDefault="00183FAA">
            <w:pPr>
              <w:pStyle w:val="TableParagraph"/>
              <w:spacing w:line="209" w:lineRule="exact"/>
              <w:rPr>
                <w:sz w:val="20"/>
              </w:rPr>
            </w:pPr>
            <w:r>
              <w:rPr>
                <w:sz w:val="20"/>
              </w:rPr>
              <w:t>Hon Iain Lees-Galloway</w:t>
            </w:r>
          </w:p>
        </w:tc>
        <w:tc>
          <w:tcPr>
            <w:tcW w:w="3954" w:type="dxa"/>
          </w:tcPr>
          <w:p w:rsidR="00AF306B" w:rsidRDefault="00AF306B">
            <w:pPr>
              <w:pStyle w:val="TableParagraph"/>
              <w:ind w:left="0"/>
              <w:rPr>
                <w:sz w:val="16"/>
              </w:rPr>
            </w:pPr>
          </w:p>
        </w:tc>
      </w:tr>
      <w:tr w:rsidR="00AF306B">
        <w:trPr>
          <w:trHeight w:val="229"/>
        </w:trPr>
        <w:tc>
          <w:tcPr>
            <w:tcW w:w="3535" w:type="dxa"/>
          </w:tcPr>
          <w:p w:rsidR="00AF306B" w:rsidRDefault="00183FAA">
            <w:pPr>
              <w:pStyle w:val="TableParagraph"/>
              <w:spacing w:line="209" w:lineRule="exact"/>
              <w:rPr>
                <w:sz w:val="20"/>
              </w:rPr>
            </w:pPr>
            <w:r>
              <w:rPr>
                <w:sz w:val="20"/>
              </w:rPr>
              <w:t>Hon Tracey Martin</w:t>
            </w:r>
          </w:p>
        </w:tc>
        <w:tc>
          <w:tcPr>
            <w:tcW w:w="3954" w:type="dxa"/>
          </w:tcPr>
          <w:p w:rsidR="00AF306B" w:rsidRDefault="00AF306B">
            <w:pPr>
              <w:pStyle w:val="TableParagraph"/>
              <w:ind w:left="0"/>
              <w:rPr>
                <w:sz w:val="16"/>
              </w:rPr>
            </w:pPr>
          </w:p>
        </w:tc>
      </w:tr>
      <w:tr w:rsidR="00AF306B">
        <w:trPr>
          <w:trHeight w:val="229"/>
        </w:trPr>
        <w:tc>
          <w:tcPr>
            <w:tcW w:w="3535" w:type="dxa"/>
          </w:tcPr>
          <w:p w:rsidR="00AF306B" w:rsidRDefault="00183FAA">
            <w:pPr>
              <w:pStyle w:val="TableParagraph"/>
              <w:spacing w:line="209" w:lineRule="exact"/>
              <w:rPr>
                <w:sz w:val="20"/>
              </w:rPr>
            </w:pPr>
            <w:r>
              <w:rPr>
                <w:sz w:val="20"/>
              </w:rPr>
              <w:t>Hon Ron Mark</w:t>
            </w:r>
          </w:p>
        </w:tc>
        <w:tc>
          <w:tcPr>
            <w:tcW w:w="3954" w:type="dxa"/>
          </w:tcPr>
          <w:p w:rsidR="00AF306B" w:rsidRDefault="00AF306B">
            <w:pPr>
              <w:pStyle w:val="TableParagraph"/>
              <w:ind w:left="0"/>
              <w:rPr>
                <w:sz w:val="16"/>
              </w:rPr>
            </w:pPr>
          </w:p>
        </w:tc>
      </w:tr>
      <w:tr w:rsidR="00AF306B">
        <w:trPr>
          <w:trHeight w:val="228"/>
        </w:trPr>
        <w:tc>
          <w:tcPr>
            <w:tcW w:w="3535" w:type="dxa"/>
          </w:tcPr>
          <w:p w:rsidR="00AF306B" w:rsidRDefault="00183FAA">
            <w:pPr>
              <w:pStyle w:val="TableParagraph"/>
              <w:spacing w:line="209" w:lineRule="exact"/>
              <w:rPr>
                <w:sz w:val="20"/>
              </w:rPr>
            </w:pPr>
            <w:r>
              <w:rPr>
                <w:sz w:val="20"/>
              </w:rPr>
              <w:t xml:space="preserve">Hon Kris </w:t>
            </w:r>
            <w:proofErr w:type="spellStart"/>
            <w:r>
              <w:rPr>
                <w:sz w:val="20"/>
              </w:rPr>
              <w:t>Faafoi</w:t>
            </w:r>
            <w:proofErr w:type="spellEnd"/>
          </w:p>
        </w:tc>
        <w:tc>
          <w:tcPr>
            <w:tcW w:w="3954" w:type="dxa"/>
          </w:tcPr>
          <w:p w:rsidR="00AF306B" w:rsidRDefault="00AF306B">
            <w:pPr>
              <w:pStyle w:val="TableParagraph"/>
              <w:ind w:left="0"/>
              <w:rPr>
                <w:sz w:val="16"/>
              </w:rPr>
            </w:pPr>
          </w:p>
        </w:tc>
      </w:tr>
      <w:tr w:rsidR="00AF306B">
        <w:trPr>
          <w:trHeight w:val="481"/>
        </w:trPr>
        <w:tc>
          <w:tcPr>
            <w:tcW w:w="7489" w:type="dxa"/>
            <w:gridSpan w:val="2"/>
          </w:tcPr>
          <w:p w:rsidR="00AF306B" w:rsidRDefault="00183FAA">
            <w:pPr>
              <w:pStyle w:val="TableParagraph"/>
              <w:spacing w:line="226" w:lineRule="exact"/>
              <w:rPr>
                <w:sz w:val="20"/>
              </w:rPr>
            </w:pPr>
            <w:r>
              <w:rPr>
                <w:sz w:val="20"/>
              </w:rPr>
              <w:t>Hon Ruth Dyson (Senior Government Whip)</w:t>
            </w:r>
          </w:p>
        </w:tc>
      </w:tr>
      <w:tr w:rsidR="00AF306B">
        <w:trPr>
          <w:trHeight w:val="708"/>
        </w:trPr>
        <w:tc>
          <w:tcPr>
            <w:tcW w:w="3535" w:type="dxa"/>
          </w:tcPr>
          <w:p w:rsidR="00AF306B" w:rsidRDefault="00AF306B">
            <w:pPr>
              <w:pStyle w:val="TableParagraph"/>
              <w:spacing w:before="7"/>
              <w:ind w:left="0"/>
              <w:rPr>
                <w:sz w:val="21"/>
              </w:rPr>
            </w:pPr>
          </w:p>
          <w:p w:rsidR="00AF306B" w:rsidRDefault="00183FAA">
            <w:pPr>
              <w:pStyle w:val="TableParagraph"/>
              <w:spacing w:before="1" w:line="229" w:lineRule="exact"/>
              <w:rPr>
                <w:rFonts w:ascii="Arial"/>
                <w:b/>
                <w:sz w:val="20"/>
              </w:rPr>
            </w:pPr>
            <w:r>
              <w:rPr>
                <w:rFonts w:ascii="Arial"/>
                <w:b/>
                <w:sz w:val="20"/>
              </w:rPr>
              <w:t>Hard-copy distribution:</w:t>
            </w:r>
          </w:p>
          <w:p w:rsidR="00AF306B" w:rsidRDefault="00183FAA">
            <w:pPr>
              <w:pStyle w:val="TableParagraph"/>
              <w:spacing w:line="209" w:lineRule="exact"/>
              <w:rPr>
                <w:sz w:val="20"/>
              </w:rPr>
            </w:pPr>
            <w:r>
              <w:rPr>
                <w:sz w:val="20"/>
              </w:rPr>
              <w:t>Minister of Revenue</w:t>
            </w:r>
          </w:p>
        </w:tc>
        <w:tc>
          <w:tcPr>
            <w:tcW w:w="3954" w:type="dxa"/>
          </w:tcPr>
          <w:p w:rsidR="00AF306B" w:rsidRDefault="00AF306B">
            <w:pPr>
              <w:pStyle w:val="TableParagraph"/>
              <w:ind w:left="0"/>
              <w:rPr>
                <w:sz w:val="20"/>
              </w:rPr>
            </w:pPr>
          </w:p>
        </w:tc>
      </w:tr>
    </w:tbl>
    <w:p w:rsidR="00000000" w:rsidRDefault="00183FAA"/>
    <w:sectPr w:rsidR="00000000">
      <w:pgSz w:w="11900" w:h="16840"/>
      <w:pgMar w:top="840" w:right="1040" w:bottom="780" w:left="1020" w:header="405"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83FAA">
      <w:r>
        <w:separator/>
      </w:r>
    </w:p>
  </w:endnote>
  <w:endnote w:type="continuationSeparator" w:id="0">
    <w:p w:rsidR="00000000" w:rsidRDefault="0018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6B" w:rsidRDefault="00183FAA">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5056;mso-position-horizontal-relative:page;mso-position-vertical-relative:page" filled="f" stroked="f">
          <v:textbox inset="0,0,0,0">
            <w:txbxContent>
              <w:p w:rsidR="00AF306B" w:rsidRDefault="00183FAA">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5032;mso-position-horizontal-relative:page;mso-position-vertical-relative:page" filled="f" stroked="f">
          <v:textbox inset="0,0,0,0">
            <w:txbxContent>
              <w:p w:rsidR="00AF306B" w:rsidRDefault="00183FAA">
                <w:pPr>
                  <w:spacing w:before="13"/>
                  <w:ind w:left="20"/>
                  <w:rPr>
                    <w:rFonts w:ascii="Arial"/>
                    <w:b/>
                    <w:sz w:val="20"/>
                  </w:rPr>
                </w:pPr>
                <w:r>
                  <w:rPr>
                    <w:rFonts w:ascii="Arial"/>
                    <w:b/>
                    <w:sz w:val="20"/>
                  </w:rPr>
                  <w:t>I N C O N F I D E N C E</w:t>
                </w:r>
              </w:p>
            </w:txbxContent>
          </v:textbox>
          <w10:wrap anchorx="page" anchory="page"/>
        </v:shape>
      </w:pict>
    </w:r>
    <w:r>
      <w:pict>
        <v:shape id="_x0000_s2049" type="#_x0000_t202" style="position:absolute;margin-left:15pt;margin-top:816.85pt;width:130.05pt;height:12.1pt;z-index:-5008;mso-position-horizontal-relative:page;mso-position-vertical-relative:page" filled="f" stroked="f">
          <v:textbox inset="0,0,0,0">
            <w:txbxContent>
              <w:p w:rsidR="00AF306B" w:rsidRDefault="00183FAA">
                <w:pPr>
                  <w:spacing w:before="14"/>
                  <w:ind w:left="20"/>
                  <w:rPr>
                    <w:rFonts w:ascii="Arial"/>
                    <w:sz w:val="18"/>
                  </w:rPr>
                </w:pPr>
                <w:r>
                  <w:rPr>
                    <w:rFonts w:ascii="Arial"/>
                    <w:sz w:val="18"/>
                  </w:rPr>
                  <w:t>2r4hxlcklw 2019-03-05 10:40:50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83FAA">
      <w:r>
        <w:separator/>
      </w:r>
    </w:p>
  </w:footnote>
  <w:footnote w:type="continuationSeparator" w:id="0">
    <w:p w:rsidR="00000000" w:rsidRDefault="0018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06B" w:rsidRDefault="00183FAA">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5104;mso-position-horizontal-relative:page;mso-position-vertical-relative:page" filled="f" stroked="f">
          <v:textbox inset="0,0,0,0">
            <w:txbxContent>
              <w:p w:rsidR="00AF306B" w:rsidRDefault="00183FAA">
                <w:pPr>
                  <w:spacing w:before="13"/>
                  <w:ind w:left="20"/>
                  <w:rPr>
                    <w:rFonts w:ascii="Arial"/>
                    <w:b/>
                    <w:sz w:val="20"/>
                  </w:rPr>
                </w:pPr>
                <w:r>
                  <w:rPr>
                    <w:rFonts w:ascii="Arial"/>
                    <w:b/>
                    <w:sz w:val="20"/>
                  </w:rPr>
                  <w:t>I N C O N F I D E N C E</w:t>
                </w:r>
              </w:p>
            </w:txbxContent>
          </v:textbox>
          <w10:wrap anchorx="page" anchory="page"/>
        </v:shape>
      </w:pict>
    </w:r>
    <w:r>
      <w:pict>
        <v:shape id="_x0000_s2052" type="#_x0000_t202" style="position:absolute;margin-left:452.7pt;margin-top:30.75pt;width:84.2pt;height:13.2pt;z-index:-5080;mso-position-horizontal-relative:page;mso-position-vertical-relative:page" filled="f" stroked="f">
          <v:textbox inset="0,0,0,0">
            <w:txbxContent>
              <w:p w:rsidR="00AF306B" w:rsidRDefault="00183FAA">
                <w:pPr>
                  <w:spacing w:before="13"/>
                  <w:ind w:left="20"/>
                  <w:rPr>
                    <w:rFonts w:ascii="Arial"/>
                    <w:b/>
                    <w:sz w:val="20"/>
                  </w:rPr>
                </w:pPr>
                <w:r>
                  <w:rPr>
                    <w:rFonts w:ascii="Arial"/>
                    <w:b/>
                    <w:sz w:val="20"/>
                  </w:rPr>
                  <w:t>LEG-19-MIN-0012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3C24"/>
    <w:multiLevelType w:val="hybridMultilevel"/>
    <w:tmpl w:val="FD66C122"/>
    <w:lvl w:ilvl="0" w:tplc="D500E412">
      <w:start w:val="1"/>
      <w:numFmt w:val="decimal"/>
      <w:lvlText w:val="%1"/>
      <w:lvlJc w:val="left"/>
      <w:pPr>
        <w:ind w:left="836" w:hanging="720"/>
        <w:jc w:val="left"/>
      </w:pPr>
      <w:rPr>
        <w:rFonts w:ascii="Times New Roman" w:eastAsia="Times New Roman" w:hAnsi="Times New Roman" w:cs="Times New Roman" w:hint="default"/>
        <w:spacing w:val="-2"/>
        <w:w w:val="100"/>
        <w:sz w:val="24"/>
        <w:szCs w:val="24"/>
        <w:lang w:val="en-NZ" w:eastAsia="en-NZ" w:bidi="en-NZ"/>
      </w:rPr>
    </w:lvl>
    <w:lvl w:ilvl="1" w:tplc="3DE02FC0">
      <w:numFmt w:val="bullet"/>
      <w:lvlText w:val="•"/>
      <w:lvlJc w:val="left"/>
      <w:pPr>
        <w:ind w:left="1740" w:hanging="720"/>
      </w:pPr>
      <w:rPr>
        <w:rFonts w:hint="default"/>
        <w:lang w:val="en-NZ" w:eastAsia="en-NZ" w:bidi="en-NZ"/>
      </w:rPr>
    </w:lvl>
    <w:lvl w:ilvl="2" w:tplc="3724EC20">
      <w:numFmt w:val="bullet"/>
      <w:lvlText w:val="•"/>
      <w:lvlJc w:val="left"/>
      <w:pPr>
        <w:ind w:left="2640" w:hanging="720"/>
      </w:pPr>
      <w:rPr>
        <w:rFonts w:hint="default"/>
        <w:lang w:val="en-NZ" w:eastAsia="en-NZ" w:bidi="en-NZ"/>
      </w:rPr>
    </w:lvl>
    <w:lvl w:ilvl="3" w:tplc="3834B3C2">
      <w:numFmt w:val="bullet"/>
      <w:lvlText w:val="•"/>
      <w:lvlJc w:val="left"/>
      <w:pPr>
        <w:ind w:left="3540" w:hanging="720"/>
      </w:pPr>
      <w:rPr>
        <w:rFonts w:hint="default"/>
        <w:lang w:val="en-NZ" w:eastAsia="en-NZ" w:bidi="en-NZ"/>
      </w:rPr>
    </w:lvl>
    <w:lvl w:ilvl="4" w:tplc="8A7E93EE">
      <w:numFmt w:val="bullet"/>
      <w:lvlText w:val="•"/>
      <w:lvlJc w:val="left"/>
      <w:pPr>
        <w:ind w:left="4440" w:hanging="720"/>
      </w:pPr>
      <w:rPr>
        <w:rFonts w:hint="default"/>
        <w:lang w:val="en-NZ" w:eastAsia="en-NZ" w:bidi="en-NZ"/>
      </w:rPr>
    </w:lvl>
    <w:lvl w:ilvl="5" w:tplc="92D8CE3A">
      <w:numFmt w:val="bullet"/>
      <w:lvlText w:val="•"/>
      <w:lvlJc w:val="left"/>
      <w:pPr>
        <w:ind w:left="5340" w:hanging="720"/>
      </w:pPr>
      <w:rPr>
        <w:rFonts w:hint="default"/>
        <w:lang w:val="en-NZ" w:eastAsia="en-NZ" w:bidi="en-NZ"/>
      </w:rPr>
    </w:lvl>
    <w:lvl w:ilvl="6" w:tplc="417E0690">
      <w:numFmt w:val="bullet"/>
      <w:lvlText w:val="•"/>
      <w:lvlJc w:val="left"/>
      <w:pPr>
        <w:ind w:left="6240" w:hanging="720"/>
      </w:pPr>
      <w:rPr>
        <w:rFonts w:hint="default"/>
        <w:lang w:val="en-NZ" w:eastAsia="en-NZ" w:bidi="en-NZ"/>
      </w:rPr>
    </w:lvl>
    <w:lvl w:ilvl="7" w:tplc="091AABC0">
      <w:numFmt w:val="bullet"/>
      <w:lvlText w:val="•"/>
      <w:lvlJc w:val="left"/>
      <w:pPr>
        <w:ind w:left="7140" w:hanging="720"/>
      </w:pPr>
      <w:rPr>
        <w:rFonts w:hint="default"/>
        <w:lang w:val="en-NZ" w:eastAsia="en-NZ" w:bidi="en-NZ"/>
      </w:rPr>
    </w:lvl>
    <w:lvl w:ilvl="8" w:tplc="934C5234">
      <w:numFmt w:val="bullet"/>
      <w:lvlText w:val="•"/>
      <w:lvlJc w:val="left"/>
      <w:pPr>
        <w:ind w:left="8040"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F306B"/>
    <w:rsid w:val="00183FAA"/>
    <w:rsid w:val="00AF306B"/>
    <w:rsid w:val="00D543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3551564"/>
  <w15:docId w15:val="{6B9D0316-76BF-4641-B2AE-E32F992E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right="99" w:hanging="720"/>
    </w:pPr>
  </w:style>
  <w:style w:type="paragraph" w:customStyle="1" w:styleId="TableParagraph">
    <w:name w:val="Table Paragraph"/>
    <w:basedOn w:val="Normal"/>
    <w:uiPriority w:val="1"/>
    <w:qFormat/>
    <w:pPr>
      <w:ind w:left="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Cabinet Legislation Committee Minute - LEG-19-MIN-0012 - Extending the Commissioner of Inland Revenue's care and management role: Supplementary Order Paper (March 2019)</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Legislation Committee Minute - LEG-19-MIN-0012 - Extending the Commissioner of Inland Revenue's care and management role: Supplementary Order Paper (March 2019)</dc:title>
  <dc:description>Word version extracted from Cabinet Committee Minute PDF.</dc:description>
  <dcterms:created xsi:type="dcterms:W3CDTF">2019-03-13T23:49:00Z</dcterms:created>
  <dcterms:modified xsi:type="dcterms:W3CDTF">2019-03-13T23:50:00Z</dcterms:modified>
</cp:coreProperties>
</file>