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B5E" w:rsidRDefault="00725555">
      <w:pPr>
        <w:spacing w:before="78"/>
        <w:ind w:left="4526"/>
        <w:rPr>
          <w:rFonts w:ascii="Arial"/>
          <w:b/>
          <w:sz w:val="20"/>
        </w:rPr>
      </w:pPr>
      <w:r>
        <w:rPr>
          <w:rFonts w:ascii="Arial"/>
          <w:b/>
          <w:sz w:val="20"/>
        </w:rPr>
        <w:t xml:space="preserve">I N </w:t>
      </w:r>
      <w:r w:rsidR="009A1880">
        <w:rPr>
          <w:rFonts w:ascii="Arial"/>
          <w:b/>
          <w:sz w:val="20"/>
        </w:rPr>
        <w:t xml:space="preserve"> </w:t>
      </w:r>
      <w:r>
        <w:rPr>
          <w:rFonts w:ascii="Arial"/>
          <w:b/>
          <w:sz w:val="20"/>
        </w:rPr>
        <w:t>C O N F I D E N C E</w:t>
      </w:r>
    </w:p>
    <w:p w:rsidR="00D52B5E" w:rsidRDefault="00D52B5E">
      <w:pPr>
        <w:pStyle w:val="BodyText"/>
        <w:spacing w:before="5"/>
        <w:rPr>
          <w:rFonts w:ascii="Arial"/>
          <w:b/>
        </w:rPr>
      </w:pPr>
    </w:p>
    <w:p w:rsidR="00D52B5E" w:rsidRDefault="00725555">
      <w:pPr>
        <w:ind w:left="2822" w:right="17"/>
        <w:rPr>
          <w:rFonts w:ascii="Arial"/>
          <w:b/>
          <w:sz w:val="44"/>
        </w:rPr>
      </w:pPr>
      <w:r>
        <w:rPr>
          <w:noProof/>
        </w:rPr>
        <w:drawing>
          <wp:anchor distT="0" distB="0" distL="0" distR="0" simplePos="0" relativeHeight="1096" behindDoc="0" locked="0" layoutInCell="1" allowOverlap="1">
            <wp:simplePos x="0" y="0"/>
            <wp:positionH relativeFrom="page">
              <wp:posOffset>748030</wp:posOffset>
            </wp:positionH>
            <wp:positionV relativeFrom="paragraph">
              <wp:posOffset>-815</wp:posOffset>
            </wp:positionV>
            <wp:extent cx="981709" cy="9626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81709" cy="962659"/>
                    </a:xfrm>
                    <a:prstGeom prst="rect">
                      <a:avLst/>
                    </a:prstGeom>
                  </pic:spPr>
                </pic:pic>
              </a:graphicData>
            </a:graphic>
          </wp:anchor>
        </w:drawing>
      </w:r>
      <w:r>
        <w:rPr>
          <w:rFonts w:ascii="Arial"/>
          <w:b/>
          <w:sz w:val="44"/>
        </w:rPr>
        <w:t>Cabinet Legislation Committee</w:t>
      </w:r>
    </w:p>
    <w:p w:rsidR="00D52B5E" w:rsidRDefault="008C48F7">
      <w:pPr>
        <w:spacing w:before="323"/>
        <w:ind w:left="2822"/>
        <w:rPr>
          <w:rFonts w:ascii="Arial"/>
          <w:b/>
          <w:sz w:val="32"/>
        </w:rPr>
      </w:pPr>
      <w:r>
        <w:pict>
          <v:line id="_x0000_s1030" style="position:absolute;left:0;text-align:left;z-index:1048;mso-position-horizontal-relative:page" from="51.3pt,42.85pt" to="544.1pt,42.85pt" strokeweight=".6pt">
            <w10:wrap anchorx="page"/>
          </v:line>
        </w:pict>
      </w:r>
      <w:r w:rsidR="00725555">
        <w:rPr>
          <w:rFonts w:ascii="Arial"/>
          <w:b/>
          <w:sz w:val="32"/>
        </w:rPr>
        <w:t>Minute of Decision</w:t>
      </w:r>
    </w:p>
    <w:p w:rsidR="00D52B5E" w:rsidRDefault="00725555">
      <w:pPr>
        <w:pStyle w:val="BodyText"/>
        <w:spacing w:before="9"/>
        <w:rPr>
          <w:rFonts w:ascii="Arial"/>
          <w:b/>
          <w:sz w:val="26"/>
        </w:rPr>
      </w:pPr>
      <w:r>
        <w:br w:type="column"/>
      </w:r>
    </w:p>
    <w:p w:rsidR="00D52B5E" w:rsidRDefault="00725555">
      <w:pPr>
        <w:ind w:left="957"/>
        <w:rPr>
          <w:rFonts w:ascii="Arial"/>
          <w:b/>
          <w:sz w:val="20"/>
        </w:rPr>
      </w:pPr>
      <w:r>
        <w:rPr>
          <w:rFonts w:ascii="Arial"/>
          <w:b/>
          <w:sz w:val="20"/>
        </w:rPr>
        <w:t>LEG-19-MIN-0011</w:t>
      </w:r>
    </w:p>
    <w:p w:rsidR="00D52B5E" w:rsidRDefault="00D52B5E">
      <w:pPr>
        <w:rPr>
          <w:rFonts w:ascii="Arial"/>
          <w:sz w:val="20"/>
        </w:rPr>
        <w:sectPr w:rsidR="00D52B5E">
          <w:type w:val="continuous"/>
          <w:pgSz w:w="11900" w:h="16840"/>
          <w:pgMar w:top="320" w:right="1020" w:bottom="0" w:left="220" w:header="720" w:footer="720" w:gutter="0"/>
          <w:cols w:num="2" w:space="720" w:equalWidth="0">
            <w:col w:w="6918" w:space="978"/>
            <w:col w:w="2764"/>
          </w:cols>
        </w:sectPr>
      </w:pPr>
    </w:p>
    <w:p w:rsidR="00D52B5E" w:rsidRDefault="00D52B5E">
      <w:pPr>
        <w:pStyle w:val="BodyText"/>
        <w:spacing w:before="10"/>
        <w:rPr>
          <w:rFonts w:ascii="Arial"/>
          <w:b/>
          <w:sz w:val="11"/>
        </w:rPr>
      </w:pPr>
    </w:p>
    <w:p w:rsidR="00D52B5E" w:rsidRDefault="008C48F7">
      <w:pPr>
        <w:spacing w:before="94"/>
        <w:ind w:left="916" w:right="2"/>
        <w:rPr>
          <w:rFonts w:ascii="Arial"/>
          <w:i/>
          <w:sz w:val="20"/>
        </w:rPr>
      </w:pPr>
      <w:r>
        <w:pict>
          <v:line id="_x0000_s1029" style="position:absolute;left:0;text-align:left;z-index:1072;mso-position-horizontal-relative:page" from="51.3pt,42.5pt" to="544.1pt,42.5pt" strokeweight=".6pt">
            <w10:wrap anchorx="page"/>
          </v:line>
        </w:pict>
      </w:r>
      <w:r w:rsidR="00725555">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rsidR="00D52B5E" w:rsidRDefault="00D52B5E">
      <w:pPr>
        <w:pStyle w:val="BodyText"/>
        <w:spacing w:before="10"/>
        <w:rPr>
          <w:rFonts w:ascii="Arial"/>
          <w:i/>
          <w:sz w:val="26"/>
        </w:rPr>
      </w:pPr>
    </w:p>
    <w:p w:rsidR="00D52B5E" w:rsidRDefault="00725555">
      <w:pPr>
        <w:ind w:left="916" w:right="2"/>
        <w:rPr>
          <w:rFonts w:ascii="Arial"/>
          <w:b/>
          <w:sz w:val="28"/>
        </w:rPr>
      </w:pPr>
      <w:r>
        <w:rPr>
          <w:rFonts w:ascii="Arial"/>
          <w:b/>
          <w:sz w:val="28"/>
        </w:rPr>
        <w:t>Tax Administration (Direct Credit on Income Tax and Gaming Machine Duty Refunds) Order 2019</w:t>
      </w:r>
    </w:p>
    <w:p w:rsidR="00D52B5E" w:rsidRDefault="00725555">
      <w:pPr>
        <w:tabs>
          <w:tab w:val="left" w:pos="2821"/>
        </w:tabs>
        <w:spacing w:before="241"/>
        <w:ind w:left="916"/>
        <w:rPr>
          <w:rFonts w:ascii="Arial"/>
          <w:b/>
          <w:sz w:val="20"/>
        </w:rPr>
      </w:pPr>
      <w:r>
        <w:rPr>
          <w:rFonts w:ascii="Arial"/>
          <w:b/>
          <w:sz w:val="20"/>
        </w:rPr>
        <w:t>Portfolio</w:t>
      </w:r>
      <w:r>
        <w:rPr>
          <w:rFonts w:ascii="Arial"/>
          <w:b/>
          <w:sz w:val="20"/>
        </w:rPr>
        <w:tab/>
        <w:t>Revenue</w:t>
      </w:r>
    </w:p>
    <w:p w:rsidR="00D52B5E" w:rsidRDefault="00D52B5E">
      <w:pPr>
        <w:pStyle w:val="BodyText"/>
        <w:rPr>
          <w:rFonts w:ascii="Arial"/>
          <w:b/>
          <w:sz w:val="22"/>
        </w:rPr>
      </w:pPr>
    </w:p>
    <w:p w:rsidR="00D52B5E" w:rsidRDefault="00725555">
      <w:pPr>
        <w:pStyle w:val="BodyText"/>
        <w:spacing w:before="142"/>
        <w:ind w:left="916"/>
      </w:pPr>
      <w:r>
        <w:t>On 19 February 2019, the Cabinet Legislation Committee:</w:t>
      </w:r>
    </w:p>
    <w:p w:rsidR="00D52B5E" w:rsidRDefault="00D52B5E">
      <w:pPr>
        <w:pStyle w:val="BodyText"/>
      </w:pPr>
    </w:p>
    <w:p w:rsidR="00D52B5E" w:rsidRDefault="00725555">
      <w:pPr>
        <w:pStyle w:val="ListParagraph"/>
        <w:numPr>
          <w:ilvl w:val="0"/>
          <w:numId w:val="1"/>
        </w:numPr>
        <w:tabs>
          <w:tab w:val="left" w:pos="1635"/>
          <w:tab w:val="left" w:pos="1636"/>
        </w:tabs>
        <w:spacing w:before="1"/>
        <w:ind w:right="171"/>
        <w:rPr>
          <w:sz w:val="24"/>
        </w:rPr>
      </w:pPr>
      <w:r>
        <w:rPr>
          <w:b/>
          <w:sz w:val="24"/>
        </w:rPr>
        <w:t xml:space="preserve">noted </w:t>
      </w:r>
      <w:r>
        <w:rPr>
          <w:sz w:val="24"/>
        </w:rPr>
        <w:t>that on 3 April 2018, the Cabinet agreed that Inland Revenue should issue income</w:t>
      </w:r>
      <w:r>
        <w:rPr>
          <w:spacing w:val="-22"/>
          <w:sz w:val="24"/>
        </w:rPr>
        <w:t xml:space="preserve"> </w:t>
      </w:r>
      <w:r>
        <w:rPr>
          <w:sz w:val="24"/>
        </w:rPr>
        <w:t>tax refunds by direct credit, unless that would result in undue hardship or is not practicable (CAB-18-MIN-0122.01);</w:t>
      </w:r>
    </w:p>
    <w:p w:rsidR="00D52B5E" w:rsidRDefault="00D52B5E">
      <w:pPr>
        <w:pStyle w:val="BodyText"/>
        <w:spacing w:before="9"/>
        <w:rPr>
          <w:sz w:val="20"/>
        </w:rPr>
      </w:pPr>
    </w:p>
    <w:p w:rsidR="00D52B5E" w:rsidRDefault="00725555">
      <w:pPr>
        <w:pStyle w:val="ListParagraph"/>
        <w:numPr>
          <w:ilvl w:val="0"/>
          <w:numId w:val="1"/>
        </w:numPr>
        <w:tabs>
          <w:tab w:val="left" w:pos="1635"/>
          <w:tab w:val="left" w:pos="1636"/>
        </w:tabs>
        <w:spacing w:before="1"/>
        <w:ind w:right="604"/>
        <w:rPr>
          <w:sz w:val="24"/>
        </w:rPr>
      </w:pPr>
      <w:r>
        <w:rPr>
          <w:b/>
          <w:sz w:val="24"/>
        </w:rPr>
        <w:t xml:space="preserve">agreed </w:t>
      </w:r>
      <w:r>
        <w:rPr>
          <w:sz w:val="24"/>
        </w:rPr>
        <w:t>that Inland Revenue should issue gaming machine duty refunds by direct credit, unless that would result in undue hardship or is not</w:t>
      </w:r>
      <w:r>
        <w:rPr>
          <w:spacing w:val="-3"/>
          <w:sz w:val="24"/>
        </w:rPr>
        <w:t xml:space="preserve"> </w:t>
      </w:r>
      <w:r>
        <w:rPr>
          <w:sz w:val="24"/>
        </w:rPr>
        <w:t>practicable;</w:t>
      </w:r>
    </w:p>
    <w:p w:rsidR="00D52B5E" w:rsidRDefault="00D52B5E">
      <w:pPr>
        <w:pStyle w:val="BodyText"/>
        <w:spacing w:before="10"/>
        <w:rPr>
          <w:sz w:val="20"/>
        </w:rPr>
      </w:pPr>
    </w:p>
    <w:p w:rsidR="00D52B5E" w:rsidRDefault="00725555">
      <w:pPr>
        <w:pStyle w:val="ListParagraph"/>
        <w:numPr>
          <w:ilvl w:val="0"/>
          <w:numId w:val="1"/>
        </w:numPr>
        <w:tabs>
          <w:tab w:val="left" w:pos="1635"/>
          <w:tab w:val="left" w:pos="1636"/>
        </w:tabs>
        <w:rPr>
          <w:sz w:val="24"/>
        </w:rPr>
      </w:pPr>
      <w:r>
        <w:rPr>
          <w:b/>
          <w:sz w:val="24"/>
        </w:rPr>
        <w:t xml:space="preserve">noted </w:t>
      </w:r>
      <w:r>
        <w:rPr>
          <w:sz w:val="24"/>
        </w:rPr>
        <w:t>that the Tax Administration (Direct Credit of Income Tax and Gaming Machine Duty Refunds) Order 2019 will give effect to the decision referred to in paragraphs 1 and 2</w:t>
      </w:r>
      <w:r>
        <w:rPr>
          <w:spacing w:val="-22"/>
          <w:sz w:val="24"/>
        </w:rPr>
        <w:t xml:space="preserve"> </w:t>
      </w:r>
      <w:r>
        <w:rPr>
          <w:sz w:val="24"/>
        </w:rPr>
        <w:t>above;</w:t>
      </w:r>
    </w:p>
    <w:p w:rsidR="00D52B5E" w:rsidRDefault="00D52B5E">
      <w:pPr>
        <w:pStyle w:val="BodyText"/>
        <w:spacing w:before="10"/>
        <w:rPr>
          <w:sz w:val="20"/>
        </w:rPr>
      </w:pPr>
    </w:p>
    <w:p w:rsidR="00D52B5E" w:rsidRDefault="00725555">
      <w:pPr>
        <w:pStyle w:val="ListParagraph"/>
        <w:numPr>
          <w:ilvl w:val="0"/>
          <w:numId w:val="1"/>
        </w:numPr>
        <w:tabs>
          <w:tab w:val="left" w:pos="1635"/>
          <w:tab w:val="left" w:pos="1636"/>
        </w:tabs>
        <w:ind w:right="393"/>
        <w:rPr>
          <w:sz w:val="24"/>
        </w:rPr>
      </w:pPr>
      <w:r>
        <w:rPr>
          <w:b/>
          <w:sz w:val="24"/>
        </w:rPr>
        <w:t xml:space="preserve">authorised </w:t>
      </w:r>
      <w:r>
        <w:rPr>
          <w:sz w:val="24"/>
        </w:rPr>
        <w:t>the submission to the Executive Council of the Tax Administration (Direct Credit of Income Tax and Gaming Machine Duty Refunds) Order 2019 [PCO</w:t>
      </w:r>
      <w:r>
        <w:rPr>
          <w:spacing w:val="-19"/>
          <w:sz w:val="24"/>
        </w:rPr>
        <w:t xml:space="preserve"> </w:t>
      </w:r>
      <w:r>
        <w:rPr>
          <w:sz w:val="24"/>
        </w:rPr>
        <w:t>21761/2.0];</w:t>
      </w:r>
    </w:p>
    <w:p w:rsidR="00D52B5E" w:rsidRDefault="00D52B5E">
      <w:pPr>
        <w:pStyle w:val="BodyText"/>
        <w:spacing w:before="10"/>
        <w:rPr>
          <w:sz w:val="20"/>
        </w:rPr>
      </w:pPr>
    </w:p>
    <w:p w:rsidR="00D52B5E" w:rsidRDefault="00725555">
      <w:pPr>
        <w:pStyle w:val="ListParagraph"/>
        <w:numPr>
          <w:ilvl w:val="0"/>
          <w:numId w:val="1"/>
        </w:numPr>
        <w:tabs>
          <w:tab w:val="left" w:pos="1635"/>
          <w:tab w:val="left" w:pos="1636"/>
        </w:tabs>
        <w:ind w:right="565"/>
        <w:rPr>
          <w:sz w:val="24"/>
        </w:rPr>
      </w:pPr>
      <w:r>
        <w:rPr>
          <w:b/>
          <w:sz w:val="24"/>
        </w:rPr>
        <w:t xml:space="preserve">noted </w:t>
      </w:r>
      <w:r>
        <w:rPr>
          <w:sz w:val="24"/>
        </w:rPr>
        <w:t>that the (Direct Credit of Income Tax and Gaming Machine Duty Refunds)</w:t>
      </w:r>
      <w:r>
        <w:rPr>
          <w:spacing w:val="-23"/>
          <w:sz w:val="24"/>
        </w:rPr>
        <w:t xml:space="preserve"> </w:t>
      </w:r>
      <w:r>
        <w:rPr>
          <w:sz w:val="24"/>
        </w:rPr>
        <w:t>Order 2019 will come into force on 1 April</w:t>
      </w:r>
      <w:r>
        <w:rPr>
          <w:spacing w:val="1"/>
          <w:sz w:val="24"/>
        </w:rPr>
        <w:t xml:space="preserve"> </w:t>
      </w:r>
      <w:r>
        <w:rPr>
          <w:sz w:val="24"/>
        </w:rPr>
        <w:t>2019.</w:t>
      </w:r>
    </w:p>
    <w:p w:rsidR="00D52B5E" w:rsidRDefault="00D52B5E">
      <w:pPr>
        <w:pStyle w:val="BodyText"/>
        <w:rPr>
          <w:sz w:val="26"/>
        </w:rPr>
      </w:pPr>
    </w:p>
    <w:p w:rsidR="00D52B5E" w:rsidRDefault="00D52B5E">
      <w:pPr>
        <w:pStyle w:val="BodyText"/>
        <w:rPr>
          <w:sz w:val="26"/>
        </w:rPr>
      </w:pPr>
    </w:p>
    <w:p w:rsidR="00D52B5E" w:rsidRDefault="00D52B5E">
      <w:pPr>
        <w:pStyle w:val="BodyText"/>
        <w:rPr>
          <w:sz w:val="26"/>
        </w:rPr>
      </w:pPr>
    </w:p>
    <w:p w:rsidR="00D52B5E" w:rsidRDefault="00D52B5E">
      <w:pPr>
        <w:pStyle w:val="BodyText"/>
        <w:spacing w:before="10"/>
        <w:rPr>
          <w:sz w:val="38"/>
        </w:rPr>
      </w:pPr>
    </w:p>
    <w:p w:rsidR="00D52B5E" w:rsidRDefault="00725555">
      <w:pPr>
        <w:pStyle w:val="BodyText"/>
        <w:spacing w:after="19"/>
        <w:ind w:left="916" w:right="7691"/>
      </w:pPr>
      <w:r>
        <w:t>Vivien Meek Committee Secretary</w:t>
      </w:r>
    </w:p>
    <w:p w:rsidR="00D52B5E" w:rsidRDefault="008C48F7">
      <w:pPr>
        <w:pStyle w:val="BodyText"/>
        <w:spacing w:line="20" w:lineRule="exact"/>
        <w:ind w:left="909"/>
        <w:rPr>
          <w:sz w:val="2"/>
        </w:rPr>
      </w:pPr>
      <w:r>
        <w:rPr>
          <w:sz w:val="2"/>
        </w:rPr>
      </w:r>
      <w:r>
        <w:rPr>
          <w:sz w:val="2"/>
        </w:rPr>
        <w:pict>
          <v:group id="_x0000_s1026" style="width:481.8pt;height:.5pt;mso-position-horizontal-relative:char;mso-position-vertical-relative:line" coordsize="9636,10">
            <v:line id="_x0000_s1028" style="position:absolute" from="0,5" to="9636,5" strokeweight=".5pt"/>
            <v:line id="_x0000_s1027" style="position:absolute" from="0,5" to="9636,5" strokeweight=".5pt"/>
            <w10:anchorlock/>
          </v:group>
        </w:pict>
      </w:r>
    </w:p>
    <w:p w:rsidR="00D52B5E" w:rsidRDefault="00725555">
      <w:pPr>
        <w:tabs>
          <w:tab w:val="left" w:pos="5843"/>
        </w:tabs>
        <w:spacing w:before="110"/>
        <w:ind w:left="916"/>
        <w:rPr>
          <w:rFonts w:ascii="Arial"/>
          <w:b/>
          <w:sz w:val="20"/>
        </w:rPr>
      </w:pPr>
      <w:r>
        <w:rPr>
          <w:rFonts w:ascii="Arial"/>
          <w:b/>
          <w:sz w:val="20"/>
        </w:rPr>
        <w:t>Present:</w:t>
      </w:r>
      <w:r>
        <w:rPr>
          <w:rFonts w:ascii="Arial"/>
          <w:b/>
          <w:sz w:val="20"/>
        </w:rPr>
        <w:tab/>
        <w:t>Officials present</w:t>
      </w:r>
      <w:r>
        <w:rPr>
          <w:rFonts w:ascii="Arial"/>
          <w:b/>
          <w:spacing w:val="-2"/>
          <w:sz w:val="20"/>
        </w:rPr>
        <w:t xml:space="preserve"> </w:t>
      </w:r>
      <w:r>
        <w:rPr>
          <w:rFonts w:ascii="Arial"/>
          <w:b/>
          <w:sz w:val="20"/>
        </w:rPr>
        <w:t>from:</w:t>
      </w:r>
    </w:p>
    <w:p w:rsidR="00D52B5E" w:rsidRDefault="00D52B5E">
      <w:pPr>
        <w:rPr>
          <w:rFonts w:ascii="Arial"/>
          <w:sz w:val="20"/>
        </w:rPr>
        <w:sectPr w:rsidR="00D52B5E">
          <w:type w:val="continuous"/>
          <w:pgSz w:w="11900" w:h="16840"/>
          <w:pgMar w:top="320" w:right="1020" w:bottom="0" w:left="220" w:header="720" w:footer="720" w:gutter="0"/>
          <w:cols w:space="720"/>
        </w:sectPr>
      </w:pPr>
    </w:p>
    <w:p w:rsidR="00D52B5E" w:rsidRDefault="00725555">
      <w:pPr>
        <w:ind w:left="916" w:right="19"/>
        <w:rPr>
          <w:sz w:val="20"/>
        </w:rPr>
      </w:pPr>
      <w:r>
        <w:rPr>
          <w:sz w:val="20"/>
        </w:rPr>
        <w:t xml:space="preserve">Hon Chris </w:t>
      </w:r>
      <w:proofErr w:type="spellStart"/>
      <w:r>
        <w:rPr>
          <w:sz w:val="20"/>
        </w:rPr>
        <w:t>Hipkins</w:t>
      </w:r>
      <w:proofErr w:type="spellEnd"/>
      <w:r>
        <w:rPr>
          <w:sz w:val="20"/>
        </w:rPr>
        <w:t xml:space="preserve"> (Chair) Hon Andrew Little</w:t>
      </w:r>
    </w:p>
    <w:p w:rsidR="00D52B5E" w:rsidRDefault="00725555">
      <w:pPr>
        <w:ind w:left="916" w:right="536"/>
        <w:rPr>
          <w:sz w:val="20"/>
        </w:rPr>
      </w:pPr>
      <w:r>
        <w:rPr>
          <w:sz w:val="20"/>
        </w:rPr>
        <w:t xml:space="preserve">Hon David Parker Hon </w:t>
      </w:r>
      <w:proofErr w:type="spellStart"/>
      <w:r>
        <w:rPr>
          <w:sz w:val="20"/>
        </w:rPr>
        <w:t>Nanaia</w:t>
      </w:r>
      <w:proofErr w:type="spellEnd"/>
      <w:r>
        <w:rPr>
          <w:sz w:val="20"/>
        </w:rPr>
        <w:t xml:space="preserve"> </w:t>
      </w:r>
      <w:proofErr w:type="spellStart"/>
      <w:r>
        <w:rPr>
          <w:sz w:val="20"/>
        </w:rPr>
        <w:t>Mahuta</w:t>
      </w:r>
      <w:proofErr w:type="spellEnd"/>
      <w:r>
        <w:rPr>
          <w:sz w:val="20"/>
        </w:rPr>
        <w:t xml:space="preserve"> Hon Stuart Nash</w:t>
      </w:r>
    </w:p>
    <w:p w:rsidR="00D52B5E" w:rsidRDefault="00725555">
      <w:pPr>
        <w:ind w:left="916" w:right="180"/>
        <w:rPr>
          <w:sz w:val="20"/>
        </w:rPr>
      </w:pPr>
      <w:r>
        <w:rPr>
          <w:sz w:val="20"/>
        </w:rPr>
        <w:t>Hon Iain Lees-Galloway Hon Tracey Martin</w:t>
      </w:r>
    </w:p>
    <w:p w:rsidR="00D52B5E" w:rsidRDefault="00725555">
      <w:pPr>
        <w:ind w:left="916" w:right="858"/>
        <w:rPr>
          <w:sz w:val="20"/>
        </w:rPr>
      </w:pPr>
      <w:r>
        <w:rPr>
          <w:sz w:val="20"/>
        </w:rPr>
        <w:t xml:space="preserve">Hon Ron Mark Hon Kris </w:t>
      </w:r>
      <w:proofErr w:type="spellStart"/>
      <w:r>
        <w:rPr>
          <w:sz w:val="20"/>
        </w:rPr>
        <w:t>Faafoi</w:t>
      </w:r>
      <w:proofErr w:type="spellEnd"/>
    </w:p>
    <w:p w:rsidR="00D52B5E" w:rsidRDefault="00725555">
      <w:pPr>
        <w:spacing w:line="229" w:lineRule="exact"/>
        <w:ind w:left="916"/>
        <w:rPr>
          <w:sz w:val="20"/>
        </w:rPr>
      </w:pPr>
      <w:r>
        <w:br w:type="column"/>
      </w:r>
      <w:r>
        <w:rPr>
          <w:sz w:val="20"/>
        </w:rPr>
        <w:t>Officials Committee for LEG</w:t>
      </w:r>
    </w:p>
    <w:p w:rsidR="00D52B5E" w:rsidRDefault="00D52B5E">
      <w:pPr>
        <w:spacing w:line="229" w:lineRule="exact"/>
        <w:rPr>
          <w:sz w:val="20"/>
        </w:rPr>
        <w:sectPr w:rsidR="00D52B5E">
          <w:type w:val="continuous"/>
          <w:pgSz w:w="11900" w:h="16840"/>
          <w:pgMar w:top="320" w:right="1020" w:bottom="0" w:left="220" w:header="720" w:footer="720" w:gutter="0"/>
          <w:cols w:num="2" w:space="720" w:equalWidth="0">
            <w:col w:w="3094" w:space="1834"/>
            <w:col w:w="5732"/>
          </w:cols>
        </w:sectPr>
      </w:pPr>
    </w:p>
    <w:p w:rsidR="00D52B5E" w:rsidRDefault="00D52B5E">
      <w:pPr>
        <w:pStyle w:val="BodyText"/>
        <w:rPr>
          <w:sz w:val="15"/>
        </w:rPr>
      </w:pPr>
    </w:p>
    <w:p w:rsidR="00D52B5E" w:rsidRDefault="00725555">
      <w:pPr>
        <w:spacing w:before="94" w:line="229" w:lineRule="exact"/>
        <w:ind w:left="916"/>
        <w:rPr>
          <w:rFonts w:ascii="Arial"/>
          <w:b/>
          <w:sz w:val="20"/>
        </w:rPr>
      </w:pPr>
      <w:r>
        <w:rPr>
          <w:rFonts w:ascii="Arial"/>
          <w:b/>
          <w:sz w:val="20"/>
        </w:rPr>
        <w:t>Hard-copy distribution:</w:t>
      </w:r>
    </w:p>
    <w:p w:rsidR="00D52B5E" w:rsidRDefault="00725555">
      <w:pPr>
        <w:spacing w:line="229" w:lineRule="exact"/>
        <w:ind w:left="916"/>
        <w:rPr>
          <w:sz w:val="20"/>
        </w:rPr>
      </w:pPr>
      <w:r>
        <w:rPr>
          <w:sz w:val="20"/>
        </w:rPr>
        <w:t>Minister of Revenue</w:t>
      </w:r>
    </w:p>
    <w:p w:rsidR="00D52B5E" w:rsidRDefault="00D52B5E">
      <w:pPr>
        <w:pStyle w:val="BodyText"/>
        <w:rPr>
          <w:sz w:val="20"/>
        </w:rPr>
      </w:pPr>
    </w:p>
    <w:p w:rsidR="00D52B5E" w:rsidRDefault="00D52B5E">
      <w:pPr>
        <w:pStyle w:val="BodyText"/>
        <w:rPr>
          <w:sz w:val="20"/>
        </w:rPr>
      </w:pPr>
    </w:p>
    <w:p w:rsidR="00D52B5E" w:rsidRDefault="00D52B5E">
      <w:pPr>
        <w:pStyle w:val="BodyText"/>
        <w:rPr>
          <w:sz w:val="20"/>
        </w:rPr>
      </w:pPr>
    </w:p>
    <w:p w:rsidR="00D52B5E" w:rsidRDefault="00D52B5E">
      <w:pPr>
        <w:pStyle w:val="BodyText"/>
        <w:spacing w:before="9"/>
        <w:rPr>
          <w:sz w:val="25"/>
        </w:rPr>
      </w:pPr>
    </w:p>
    <w:p w:rsidR="00D52B5E" w:rsidRDefault="00D52B5E">
      <w:pPr>
        <w:rPr>
          <w:sz w:val="25"/>
        </w:rPr>
        <w:sectPr w:rsidR="00D52B5E">
          <w:type w:val="continuous"/>
          <w:pgSz w:w="11900" w:h="16840"/>
          <w:pgMar w:top="320" w:right="1020" w:bottom="0" w:left="220" w:header="720" w:footer="720" w:gutter="0"/>
          <w:cols w:space="720"/>
        </w:sectPr>
      </w:pPr>
    </w:p>
    <w:p w:rsidR="00D52B5E" w:rsidRDefault="00D52B5E">
      <w:pPr>
        <w:pStyle w:val="BodyText"/>
        <w:rPr>
          <w:sz w:val="20"/>
        </w:rPr>
      </w:pPr>
    </w:p>
    <w:p w:rsidR="00D52B5E" w:rsidRDefault="00725555">
      <w:pPr>
        <w:spacing w:before="90"/>
        <w:ind w:right="163"/>
        <w:jc w:val="right"/>
        <w:rPr>
          <w:sz w:val="24"/>
        </w:rPr>
      </w:pPr>
      <w:bookmarkStart w:id="0" w:name="_GoBack"/>
      <w:bookmarkEnd w:id="0"/>
      <w:r>
        <w:br w:type="column"/>
      </w:r>
      <w:r>
        <w:rPr>
          <w:sz w:val="24"/>
        </w:rPr>
        <w:t>1</w:t>
      </w:r>
    </w:p>
    <w:p w:rsidR="00D52B5E" w:rsidRDefault="00725555">
      <w:pPr>
        <w:spacing w:before="1"/>
        <w:ind w:left="100"/>
        <w:rPr>
          <w:rFonts w:ascii="Arial"/>
          <w:b/>
          <w:sz w:val="20"/>
        </w:rPr>
      </w:pPr>
      <w:r>
        <w:rPr>
          <w:rFonts w:ascii="Arial"/>
          <w:b/>
          <w:sz w:val="20"/>
        </w:rPr>
        <w:t xml:space="preserve">I N </w:t>
      </w:r>
      <w:r w:rsidR="009A1880">
        <w:rPr>
          <w:rFonts w:ascii="Arial"/>
          <w:b/>
          <w:sz w:val="20"/>
        </w:rPr>
        <w:t xml:space="preserve"> </w:t>
      </w:r>
      <w:r>
        <w:rPr>
          <w:rFonts w:ascii="Arial"/>
          <w:b/>
          <w:sz w:val="20"/>
        </w:rPr>
        <w:t>C O N F I D E N C E</w:t>
      </w:r>
    </w:p>
    <w:sectPr w:rsidR="00D52B5E">
      <w:type w:val="continuous"/>
      <w:pgSz w:w="11900" w:h="16840"/>
      <w:pgMar w:top="320" w:right="1020" w:bottom="0" w:left="220" w:header="720" w:footer="720" w:gutter="0"/>
      <w:cols w:num="2" w:space="720" w:equalWidth="0">
        <w:col w:w="2701" w:space="1725"/>
        <w:col w:w="623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555" w:rsidRDefault="00725555" w:rsidP="00725555">
      <w:r>
        <w:separator/>
      </w:r>
    </w:p>
  </w:endnote>
  <w:endnote w:type="continuationSeparator" w:id="0">
    <w:p w:rsidR="00725555" w:rsidRDefault="00725555" w:rsidP="0072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555" w:rsidRDefault="00725555" w:rsidP="00725555">
      <w:r>
        <w:separator/>
      </w:r>
    </w:p>
  </w:footnote>
  <w:footnote w:type="continuationSeparator" w:id="0">
    <w:p w:rsidR="00725555" w:rsidRDefault="00725555" w:rsidP="00725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27441"/>
    <w:multiLevelType w:val="hybridMultilevel"/>
    <w:tmpl w:val="71507B92"/>
    <w:lvl w:ilvl="0" w:tplc="F18E6446">
      <w:start w:val="1"/>
      <w:numFmt w:val="decimal"/>
      <w:lvlText w:val="%1"/>
      <w:lvlJc w:val="left"/>
      <w:pPr>
        <w:ind w:left="1636" w:hanging="720"/>
        <w:jc w:val="left"/>
      </w:pPr>
      <w:rPr>
        <w:rFonts w:ascii="Times New Roman" w:eastAsia="Times New Roman" w:hAnsi="Times New Roman" w:cs="Times New Roman" w:hint="default"/>
        <w:spacing w:val="-2"/>
        <w:w w:val="100"/>
        <w:sz w:val="24"/>
        <w:szCs w:val="24"/>
        <w:lang w:val="en-NZ" w:eastAsia="en-NZ" w:bidi="en-NZ"/>
      </w:rPr>
    </w:lvl>
    <w:lvl w:ilvl="1" w:tplc="4A02A84A">
      <w:numFmt w:val="bullet"/>
      <w:lvlText w:val="•"/>
      <w:lvlJc w:val="left"/>
      <w:pPr>
        <w:ind w:left="2542" w:hanging="720"/>
      </w:pPr>
      <w:rPr>
        <w:rFonts w:hint="default"/>
        <w:lang w:val="en-NZ" w:eastAsia="en-NZ" w:bidi="en-NZ"/>
      </w:rPr>
    </w:lvl>
    <w:lvl w:ilvl="2" w:tplc="9646820C">
      <w:numFmt w:val="bullet"/>
      <w:lvlText w:val="•"/>
      <w:lvlJc w:val="left"/>
      <w:pPr>
        <w:ind w:left="3444" w:hanging="720"/>
      </w:pPr>
      <w:rPr>
        <w:rFonts w:hint="default"/>
        <w:lang w:val="en-NZ" w:eastAsia="en-NZ" w:bidi="en-NZ"/>
      </w:rPr>
    </w:lvl>
    <w:lvl w:ilvl="3" w:tplc="6EFE8894">
      <w:numFmt w:val="bullet"/>
      <w:lvlText w:val="•"/>
      <w:lvlJc w:val="left"/>
      <w:pPr>
        <w:ind w:left="4346" w:hanging="720"/>
      </w:pPr>
      <w:rPr>
        <w:rFonts w:hint="default"/>
        <w:lang w:val="en-NZ" w:eastAsia="en-NZ" w:bidi="en-NZ"/>
      </w:rPr>
    </w:lvl>
    <w:lvl w:ilvl="4" w:tplc="11BE2D42">
      <w:numFmt w:val="bullet"/>
      <w:lvlText w:val="•"/>
      <w:lvlJc w:val="left"/>
      <w:pPr>
        <w:ind w:left="5248" w:hanging="720"/>
      </w:pPr>
      <w:rPr>
        <w:rFonts w:hint="default"/>
        <w:lang w:val="en-NZ" w:eastAsia="en-NZ" w:bidi="en-NZ"/>
      </w:rPr>
    </w:lvl>
    <w:lvl w:ilvl="5" w:tplc="BEAEC830">
      <w:numFmt w:val="bullet"/>
      <w:lvlText w:val="•"/>
      <w:lvlJc w:val="left"/>
      <w:pPr>
        <w:ind w:left="6150" w:hanging="720"/>
      </w:pPr>
      <w:rPr>
        <w:rFonts w:hint="default"/>
        <w:lang w:val="en-NZ" w:eastAsia="en-NZ" w:bidi="en-NZ"/>
      </w:rPr>
    </w:lvl>
    <w:lvl w:ilvl="6" w:tplc="90F461B2">
      <w:numFmt w:val="bullet"/>
      <w:lvlText w:val="•"/>
      <w:lvlJc w:val="left"/>
      <w:pPr>
        <w:ind w:left="7052" w:hanging="720"/>
      </w:pPr>
      <w:rPr>
        <w:rFonts w:hint="default"/>
        <w:lang w:val="en-NZ" w:eastAsia="en-NZ" w:bidi="en-NZ"/>
      </w:rPr>
    </w:lvl>
    <w:lvl w:ilvl="7" w:tplc="5E3C8A7E">
      <w:numFmt w:val="bullet"/>
      <w:lvlText w:val="•"/>
      <w:lvlJc w:val="left"/>
      <w:pPr>
        <w:ind w:left="7954" w:hanging="720"/>
      </w:pPr>
      <w:rPr>
        <w:rFonts w:hint="default"/>
        <w:lang w:val="en-NZ" w:eastAsia="en-NZ" w:bidi="en-NZ"/>
      </w:rPr>
    </w:lvl>
    <w:lvl w:ilvl="8" w:tplc="96C8095A">
      <w:numFmt w:val="bullet"/>
      <w:lvlText w:val="•"/>
      <w:lvlJc w:val="left"/>
      <w:pPr>
        <w:ind w:left="8856"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52B5E"/>
    <w:rsid w:val="000B29C8"/>
    <w:rsid w:val="00725555"/>
    <w:rsid w:val="008C48F7"/>
    <w:rsid w:val="009A1880"/>
    <w:rsid w:val="00D52B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5509C"/>
  <w15:docId w15:val="{BF5F3AA7-0393-421C-BED1-7D980CA2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36" w:right="119"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Minute - LEG-19-MIN-0011 - Tax Administration (Direct Credit of Income Tax and Gaming Machine Duty Refunds) Order 2019 (March 2019)</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 LEG-19-MIN-0011 - Tax Administration (Direct Credit of Income Tax and Gaming Machine Duty Refunds) Order 2019 (March 2019)</dc:title>
  <dc:creator/>
  <dcterms:created xsi:type="dcterms:W3CDTF">2019-07-08T04:26:00Z</dcterms:created>
  <dcterms:modified xsi:type="dcterms:W3CDTF">2019-07-08T04:26:00Z</dcterms:modified>
</cp:coreProperties>
</file>