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D6" w:rsidRDefault="00991BBB">
      <w:pPr>
        <w:spacing w:before="51"/>
        <w:ind w:left="2022" w:right="1526"/>
        <w:rPr>
          <w:rFonts w:ascii="Arial"/>
          <w:b/>
          <w:sz w:val="44"/>
        </w:rPr>
      </w:pPr>
      <w:bookmarkStart w:id="0" w:name="_GoBack"/>
      <w:bookmarkEnd w:id="0"/>
      <w:r>
        <w:rPr>
          <w:noProof/>
        </w:rPr>
        <w:drawing>
          <wp:anchor distT="0" distB="0" distL="0" distR="0" simplePos="0" relativeHeight="1096" behindDoc="0" locked="0" layoutInCell="1" allowOverlap="1">
            <wp:simplePos x="0" y="0"/>
            <wp:positionH relativeFrom="page">
              <wp:posOffset>748030</wp:posOffset>
            </wp:positionH>
            <wp:positionV relativeFrom="paragraph">
              <wp:posOffset>31569</wp:posOffset>
            </wp:positionV>
            <wp:extent cx="981709" cy="9626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81709" cy="962659"/>
                    </a:xfrm>
                    <a:prstGeom prst="rect">
                      <a:avLst/>
                    </a:prstGeom>
                  </pic:spPr>
                </pic:pic>
              </a:graphicData>
            </a:graphic>
          </wp:anchor>
        </w:drawing>
      </w:r>
      <w:r>
        <w:rPr>
          <w:rFonts w:ascii="Arial"/>
          <w:b/>
          <w:sz w:val="44"/>
        </w:rPr>
        <w:t>Cabinet Legislation Committee</w:t>
      </w:r>
    </w:p>
    <w:p w:rsidR="004B2CD6" w:rsidRDefault="003F2B3E">
      <w:pPr>
        <w:spacing w:before="322"/>
        <w:ind w:left="2022"/>
        <w:rPr>
          <w:rFonts w:ascii="Arial"/>
          <w:b/>
          <w:sz w:val="32"/>
        </w:rPr>
      </w:pPr>
      <w:r>
        <w:pict>
          <v:line id="_x0000_s1030" style="position:absolute;left:0;text-align:left;z-index:1048;mso-position-horizontal-relative:page" from="51.3pt,42.8pt" to="544.1pt,42.8pt" strokeweight=".6pt">
            <w10:wrap anchorx="page"/>
          </v:line>
        </w:pict>
      </w:r>
      <w:r w:rsidR="00991BBB">
        <w:rPr>
          <w:rFonts w:ascii="Arial"/>
          <w:b/>
          <w:sz w:val="32"/>
        </w:rPr>
        <w:t>Minute of Decision</w:t>
      </w:r>
    </w:p>
    <w:p w:rsidR="004B2CD6" w:rsidRDefault="004B2CD6">
      <w:pPr>
        <w:pStyle w:val="BodyText"/>
        <w:spacing w:before="11"/>
        <w:rPr>
          <w:rFonts w:ascii="Arial"/>
          <w:b/>
          <w:sz w:val="11"/>
        </w:rPr>
      </w:pPr>
    </w:p>
    <w:p w:rsidR="004B2CD6" w:rsidRDefault="003F2B3E">
      <w:pPr>
        <w:spacing w:before="93"/>
        <w:ind w:left="115" w:right="3"/>
        <w:rPr>
          <w:rFonts w:ascii="Arial"/>
          <w:i/>
          <w:sz w:val="20"/>
        </w:rPr>
      </w:pPr>
      <w:r>
        <w:pict>
          <v:line id="_x0000_s1029" style="position:absolute;left:0;text-align:left;z-index:1072;mso-position-horizontal-relative:page" from="51.3pt,42.45pt" to="544.1pt,42.45pt" strokeweight=".6pt">
            <w10:wrap anchorx="page"/>
          </v:line>
        </w:pict>
      </w:r>
      <w:r w:rsidR="00991BBB">
        <w:rPr>
          <w:rFonts w:ascii="Arial"/>
          <w:i/>
          <w:sz w:val="20"/>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rsidR="004B2CD6" w:rsidRDefault="004B2CD6">
      <w:pPr>
        <w:pStyle w:val="BodyText"/>
        <w:rPr>
          <w:rFonts w:ascii="Arial"/>
          <w:i/>
          <w:sz w:val="22"/>
        </w:rPr>
      </w:pPr>
    </w:p>
    <w:p w:rsidR="004B2CD6" w:rsidRDefault="004B2CD6">
      <w:pPr>
        <w:pStyle w:val="BodyText"/>
        <w:rPr>
          <w:rFonts w:ascii="Arial"/>
          <w:i/>
          <w:sz w:val="22"/>
        </w:rPr>
      </w:pPr>
    </w:p>
    <w:p w:rsidR="004B2CD6" w:rsidRDefault="004B2CD6">
      <w:pPr>
        <w:pStyle w:val="BodyText"/>
        <w:spacing w:before="7"/>
        <w:rPr>
          <w:rFonts w:ascii="Arial"/>
          <w:i/>
        </w:rPr>
      </w:pPr>
    </w:p>
    <w:p w:rsidR="004B2CD6" w:rsidRDefault="00991BBB">
      <w:pPr>
        <w:ind w:left="115"/>
        <w:rPr>
          <w:rFonts w:ascii="Arial"/>
          <w:b/>
          <w:sz w:val="28"/>
        </w:rPr>
      </w:pPr>
      <w:r>
        <w:rPr>
          <w:rFonts w:ascii="Arial"/>
          <w:b/>
          <w:sz w:val="28"/>
        </w:rPr>
        <w:t>Tax Administration (Reportable Jurisdiction for Application of CRS Standard) Amendment Regulations 2019</w:t>
      </w:r>
    </w:p>
    <w:p w:rsidR="004B2CD6" w:rsidRDefault="004B2CD6">
      <w:pPr>
        <w:pStyle w:val="BodyText"/>
        <w:spacing w:before="3"/>
        <w:rPr>
          <w:rFonts w:ascii="Arial"/>
          <w:b/>
          <w:sz w:val="31"/>
        </w:rPr>
      </w:pPr>
    </w:p>
    <w:p w:rsidR="004B2CD6" w:rsidRDefault="00991BBB">
      <w:pPr>
        <w:tabs>
          <w:tab w:val="left" w:pos="2021"/>
        </w:tabs>
        <w:ind w:left="115"/>
        <w:rPr>
          <w:rFonts w:ascii="Arial"/>
          <w:b/>
          <w:sz w:val="20"/>
        </w:rPr>
      </w:pPr>
      <w:r>
        <w:rPr>
          <w:rFonts w:ascii="Arial"/>
          <w:b/>
          <w:sz w:val="20"/>
        </w:rPr>
        <w:t>Portfolio</w:t>
      </w:r>
      <w:r>
        <w:rPr>
          <w:rFonts w:ascii="Arial"/>
          <w:b/>
          <w:sz w:val="20"/>
        </w:rPr>
        <w:tab/>
        <w:t>Revenue</w:t>
      </w:r>
    </w:p>
    <w:p w:rsidR="004B2CD6" w:rsidRDefault="004B2CD6">
      <w:pPr>
        <w:pStyle w:val="BodyText"/>
        <w:rPr>
          <w:rFonts w:ascii="Arial"/>
          <w:b/>
          <w:sz w:val="22"/>
        </w:rPr>
      </w:pPr>
    </w:p>
    <w:p w:rsidR="004B2CD6" w:rsidRDefault="004B2CD6">
      <w:pPr>
        <w:pStyle w:val="BodyText"/>
        <w:spacing w:before="9"/>
        <w:rPr>
          <w:rFonts w:ascii="Arial"/>
          <w:b/>
          <w:sz w:val="22"/>
        </w:rPr>
      </w:pPr>
    </w:p>
    <w:p w:rsidR="004B2CD6" w:rsidRDefault="00991BBB">
      <w:pPr>
        <w:pStyle w:val="BodyText"/>
        <w:spacing w:before="1"/>
        <w:ind w:left="115"/>
      </w:pPr>
      <w:r>
        <w:t>On 19 February 2019, the Cabinet Legislation Committee:</w:t>
      </w:r>
    </w:p>
    <w:p w:rsidR="004B2CD6" w:rsidRDefault="004B2CD6">
      <w:pPr>
        <w:pStyle w:val="BodyText"/>
      </w:pPr>
    </w:p>
    <w:p w:rsidR="004B2CD6" w:rsidRDefault="00991BBB">
      <w:pPr>
        <w:pStyle w:val="ListParagraph"/>
        <w:numPr>
          <w:ilvl w:val="0"/>
          <w:numId w:val="1"/>
        </w:numPr>
        <w:tabs>
          <w:tab w:val="left" w:pos="835"/>
          <w:tab w:val="left" w:pos="836"/>
        </w:tabs>
        <w:ind w:right="220"/>
        <w:rPr>
          <w:sz w:val="24"/>
        </w:rPr>
      </w:pPr>
      <w:r>
        <w:rPr>
          <w:b/>
          <w:sz w:val="24"/>
        </w:rPr>
        <w:t xml:space="preserve">noted </w:t>
      </w:r>
      <w:r>
        <w:rPr>
          <w:sz w:val="24"/>
        </w:rPr>
        <w:t>that the New Zealand legislation incorporating the G20/OECD Standard for Automatic Exchange of Financial Account Information in Tax Matters (the AEOI</w:t>
      </w:r>
      <w:r>
        <w:rPr>
          <w:spacing w:val="-21"/>
          <w:sz w:val="24"/>
        </w:rPr>
        <w:t xml:space="preserve"> </w:t>
      </w:r>
      <w:r>
        <w:rPr>
          <w:sz w:val="24"/>
        </w:rPr>
        <w:t>standard) requires that a list of reportable jurisdictions be maintained, and amended as needed by Order in Council;</w:t>
      </w:r>
    </w:p>
    <w:p w:rsidR="004B2CD6" w:rsidRDefault="004B2CD6">
      <w:pPr>
        <w:pStyle w:val="BodyText"/>
        <w:spacing w:before="10"/>
        <w:rPr>
          <w:sz w:val="20"/>
        </w:rPr>
      </w:pPr>
    </w:p>
    <w:p w:rsidR="004B2CD6" w:rsidRDefault="00991BBB">
      <w:pPr>
        <w:pStyle w:val="ListParagraph"/>
        <w:numPr>
          <w:ilvl w:val="0"/>
          <w:numId w:val="1"/>
        </w:numPr>
        <w:tabs>
          <w:tab w:val="left" w:pos="835"/>
          <w:tab w:val="left" w:pos="836"/>
        </w:tabs>
        <w:ind w:right="396"/>
        <w:rPr>
          <w:sz w:val="24"/>
        </w:rPr>
      </w:pPr>
      <w:r>
        <w:rPr>
          <w:b/>
          <w:sz w:val="24"/>
        </w:rPr>
        <w:t xml:space="preserve">noted </w:t>
      </w:r>
      <w:r>
        <w:rPr>
          <w:sz w:val="24"/>
        </w:rPr>
        <w:t>that, pursuant to section 226D of the Tax Administration Act 1994, additions to the reportable jurisdictions list must be made by Order in Council;</w:t>
      </w:r>
    </w:p>
    <w:p w:rsidR="004B2CD6" w:rsidRDefault="004B2CD6">
      <w:pPr>
        <w:pStyle w:val="BodyText"/>
        <w:spacing w:before="10"/>
        <w:rPr>
          <w:sz w:val="20"/>
        </w:rPr>
      </w:pPr>
    </w:p>
    <w:p w:rsidR="004B2CD6" w:rsidRDefault="00991BBB">
      <w:pPr>
        <w:pStyle w:val="ListParagraph"/>
        <w:numPr>
          <w:ilvl w:val="0"/>
          <w:numId w:val="1"/>
        </w:numPr>
        <w:tabs>
          <w:tab w:val="left" w:pos="835"/>
          <w:tab w:val="left" w:pos="836"/>
        </w:tabs>
        <w:rPr>
          <w:sz w:val="24"/>
        </w:rPr>
      </w:pPr>
      <w:r>
        <w:rPr>
          <w:b/>
          <w:sz w:val="24"/>
        </w:rPr>
        <w:t xml:space="preserve">noted </w:t>
      </w:r>
      <w:r>
        <w:rPr>
          <w:sz w:val="24"/>
        </w:rPr>
        <w:t>that New Zealand’s existing list of reportable jurisdictions comprises 60</w:t>
      </w:r>
      <w:r>
        <w:rPr>
          <w:spacing w:val="-18"/>
          <w:sz w:val="24"/>
        </w:rPr>
        <w:t xml:space="preserve"> </w:t>
      </w:r>
      <w:r>
        <w:rPr>
          <w:sz w:val="24"/>
        </w:rPr>
        <w:t>jurisdictions;</w:t>
      </w:r>
    </w:p>
    <w:p w:rsidR="004B2CD6" w:rsidRDefault="004B2CD6">
      <w:pPr>
        <w:pStyle w:val="BodyText"/>
        <w:spacing w:before="10"/>
        <w:rPr>
          <w:sz w:val="20"/>
        </w:rPr>
      </w:pPr>
    </w:p>
    <w:p w:rsidR="004B2CD6" w:rsidRDefault="00991BBB">
      <w:pPr>
        <w:pStyle w:val="ListParagraph"/>
        <w:numPr>
          <w:ilvl w:val="0"/>
          <w:numId w:val="1"/>
        </w:numPr>
        <w:tabs>
          <w:tab w:val="left" w:pos="835"/>
          <w:tab w:val="left" w:pos="836"/>
        </w:tabs>
        <w:ind w:right="564"/>
        <w:rPr>
          <w:sz w:val="24"/>
        </w:rPr>
      </w:pPr>
      <w:r>
        <w:rPr>
          <w:b/>
          <w:sz w:val="24"/>
        </w:rPr>
        <w:t xml:space="preserve">noted </w:t>
      </w:r>
      <w:r>
        <w:rPr>
          <w:sz w:val="24"/>
        </w:rPr>
        <w:t>that 30 additional jurisdictions now need to be added, for the exchanges that New Zealand will need to make in September</w:t>
      </w:r>
      <w:r>
        <w:rPr>
          <w:spacing w:val="5"/>
          <w:sz w:val="24"/>
        </w:rPr>
        <w:t xml:space="preserve"> </w:t>
      </w:r>
      <w:r>
        <w:rPr>
          <w:sz w:val="24"/>
        </w:rPr>
        <w:t>2019;</w:t>
      </w:r>
    </w:p>
    <w:p w:rsidR="004B2CD6" w:rsidRDefault="004B2CD6">
      <w:pPr>
        <w:pStyle w:val="BodyText"/>
        <w:spacing w:before="10"/>
        <w:rPr>
          <w:sz w:val="20"/>
        </w:rPr>
      </w:pPr>
    </w:p>
    <w:p w:rsidR="004B2CD6" w:rsidRDefault="00991BBB">
      <w:pPr>
        <w:pStyle w:val="ListParagraph"/>
        <w:numPr>
          <w:ilvl w:val="0"/>
          <w:numId w:val="1"/>
        </w:numPr>
        <w:tabs>
          <w:tab w:val="left" w:pos="835"/>
          <w:tab w:val="left" w:pos="836"/>
        </w:tabs>
        <w:ind w:right="246"/>
        <w:rPr>
          <w:sz w:val="24"/>
        </w:rPr>
      </w:pPr>
      <w:r>
        <w:rPr>
          <w:b/>
          <w:sz w:val="24"/>
        </w:rPr>
        <w:t xml:space="preserve">authorised </w:t>
      </w:r>
      <w:r>
        <w:rPr>
          <w:sz w:val="24"/>
        </w:rPr>
        <w:t>the submission to the Executive Council of the Tax Administration</w:t>
      </w:r>
      <w:r>
        <w:rPr>
          <w:spacing w:val="-26"/>
          <w:sz w:val="24"/>
        </w:rPr>
        <w:t xml:space="preserve"> </w:t>
      </w:r>
      <w:r>
        <w:rPr>
          <w:sz w:val="24"/>
        </w:rPr>
        <w:t>(Reportable Jurisdictions for Application of CRS Standard) Amendment Regulations</w:t>
      </w:r>
      <w:r>
        <w:rPr>
          <w:spacing w:val="-1"/>
          <w:sz w:val="24"/>
        </w:rPr>
        <w:t xml:space="preserve"> </w:t>
      </w:r>
      <w:r>
        <w:rPr>
          <w:sz w:val="24"/>
        </w:rPr>
        <w:t>2019</w:t>
      </w:r>
    </w:p>
    <w:p w:rsidR="004B2CD6" w:rsidRDefault="00991BBB">
      <w:pPr>
        <w:pStyle w:val="BodyText"/>
        <w:ind w:left="836"/>
      </w:pPr>
      <w:r>
        <w:t>[PCO 21812/2.0];</w:t>
      </w:r>
    </w:p>
    <w:p w:rsidR="004B2CD6" w:rsidRDefault="004B2CD6">
      <w:pPr>
        <w:pStyle w:val="BodyText"/>
        <w:spacing w:before="10"/>
        <w:rPr>
          <w:sz w:val="20"/>
        </w:rPr>
      </w:pPr>
    </w:p>
    <w:p w:rsidR="004B2CD6" w:rsidRDefault="00991BBB">
      <w:pPr>
        <w:pStyle w:val="ListParagraph"/>
        <w:numPr>
          <w:ilvl w:val="0"/>
          <w:numId w:val="1"/>
        </w:numPr>
        <w:tabs>
          <w:tab w:val="left" w:pos="835"/>
          <w:tab w:val="left" w:pos="836"/>
        </w:tabs>
        <w:ind w:right="757"/>
        <w:rPr>
          <w:sz w:val="24"/>
        </w:rPr>
      </w:pPr>
      <w:r>
        <w:rPr>
          <w:b/>
          <w:sz w:val="24"/>
        </w:rPr>
        <w:t xml:space="preserve">noted </w:t>
      </w:r>
      <w:r>
        <w:rPr>
          <w:sz w:val="24"/>
        </w:rPr>
        <w:t>that the Amendment Regulations will come into force on the 28</w:t>
      </w:r>
      <w:proofErr w:type="spellStart"/>
      <w:r>
        <w:rPr>
          <w:position w:val="9"/>
          <w:sz w:val="14"/>
        </w:rPr>
        <w:t>th</w:t>
      </w:r>
      <w:proofErr w:type="spellEnd"/>
      <w:r>
        <w:rPr>
          <w:position w:val="9"/>
          <w:sz w:val="14"/>
        </w:rPr>
        <w:t xml:space="preserve"> </w:t>
      </w:r>
      <w:r>
        <w:rPr>
          <w:sz w:val="24"/>
        </w:rPr>
        <w:t>day after their notification in the Gazette.</w:t>
      </w:r>
    </w:p>
    <w:p w:rsidR="004B2CD6" w:rsidRDefault="004B2CD6">
      <w:pPr>
        <w:pStyle w:val="BodyText"/>
        <w:rPr>
          <w:sz w:val="26"/>
        </w:rPr>
      </w:pPr>
    </w:p>
    <w:p w:rsidR="004B2CD6" w:rsidRDefault="004B2CD6">
      <w:pPr>
        <w:pStyle w:val="BodyText"/>
        <w:rPr>
          <w:sz w:val="26"/>
        </w:rPr>
      </w:pPr>
    </w:p>
    <w:p w:rsidR="004B2CD6" w:rsidRDefault="004B2CD6">
      <w:pPr>
        <w:pStyle w:val="BodyText"/>
        <w:rPr>
          <w:sz w:val="26"/>
        </w:rPr>
      </w:pPr>
    </w:p>
    <w:p w:rsidR="004B2CD6" w:rsidRDefault="004B2CD6">
      <w:pPr>
        <w:pStyle w:val="BodyText"/>
        <w:spacing w:before="10"/>
        <w:rPr>
          <w:sz w:val="38"/>
        </w:rPr>
      </w:pPr>
    </w:p>
    <w:p w:rsidR="004B2CD6" w:rsidRDefault="00991BBB">
      <w:pPr>
        <w:pStyle w:val="BodyText"/>
        <w:spacing w:after="19"/>
        <w:ind w:left="115" w:right="7692"/>
      </w:pPr>
      <w:r>
        <w:t>Vivien Meek Committee Secretary</w:t>
      </w:r>
    </w:p>
    <w:p w:rsidR="004B2CD6" w:rsidRDefault="003F2B3E">
      <w:pPr>
        <w:pStyle w:val="BodyText"/>
        <w:spacing w:line="20" w:lineRule="exact"/>
        <w:ind w:left="109"/>
        <w:rPr>
          <w:sz w:val="2"/>
        </w:rPr>
      </w:pPr>
      <w:r>
        <w:rPr>
          <w:sz w:val="2"/>
        </w:rPr>
      </w:r>
      <w:r>
        <w:rPr>
          <w:sz w:val="2"/>
        </w:rPr>
        <w:pict>
          <v:group id="_x0000_s1026" style="width:481.8pt;height:.5pt;mso-position-horizontal-relative:char;mso-position-vertical-relative:line" coordsize="9636,10">
            <v:line id="_x0000_s1028" style="position:absolute" from="0,5" to="9636,5" strokeweight=".5pt"/>
            <v:line id="_x0000_s1027" style="position:absolute" from="0,5" to="9636,5" strokeweight=".5pt"/>
            <w10:anchorlock/>
          </v:group>
        </w:pict>
      </w:r>
    </w:p>
    <w:p w:rsidR="004B2CD6" w:rsidRDefault="00991BBB">
      <w:pPr>
        <w:spacing w:before="110"/>
        <w:ind w:left="115"/>
        <w:rPr>
          <w:rFonts w:ascii="Arial"/>
          <w:b/>
          <w:sz w:val="20"/>
        </w:rPr>
      </w:pPr>
      <w:r>
        <w:rPr>
          <w:rFonts w:ascii="Arial"/>
          <w:b/>
          <w:sz w:val="20"/>
        </w:rPr>
        <w:t>Hard-copy distribution (see over)</w:t>
      </w:r>
    </w:p>
    <w:p w:rsidR="004B2CD6" w:rsidRDefault="004B2CD6">
      <w:pPr>
        <w:rPr>
          <w:rFonts w:ascii="Arial"/>
          <w:sz w:val="20"/>
        </w:rPr>
        <w:sectPr w:rsidR="004B2CD6">
          <w:headerReference w:type="default" r:id="rId8"/>
          <w:footerReference w:type="default" r:id="rId9"/>
          <w:type w:val="continuous"/>
          <w:pgSz w:w="11900" w:h="16840"/>
          <w:pgMar w:top="840" w:right="1020" w:bottom="780" w:left="1020" w:header="405" w:footer="582" w:gutter="0"/>
          <w:pgNumType w:start="1"/>
          <w:cols w:space="720"/>
        </w:sectPr>
      </w:pPr>
    </w:p>
    <w:p w:rsidR="004B2CD6" w:rsidRDefault="004B2CD6">
      <w:pPr>
        <w:pStyle w:val="BodyText"/>
        <w:spacing w:before="4"/>
        <w:rPr>
          <w:rFonts w:ascii="Arial"/>
          <w:b/>
          <w:sz w:val="20"/>
        </w:rPr>
      </w:pPr>
    </w:p>
    <w:p w:rsidR="004B2CD6" w:rsidRDefault="00991BBB">
      <w:pPr>
        <w:tabs>
          <w:tab w:val="left" w:pos="5043"/>
        </w:tabs>
        <w:spacing w:before="94"/>
        <w:ind w:left="115"/>
        <w:rPr>
          <w:rFonts w:ascii="Arial"/>
          <w:b/>
          <w:sz w:val="20"/>
        </w:rPr>
      </w:pPr>
      <w:r>
        <w:rPr>
          <w:rFonts w:ascii="Arial"/>
          <w:b/>
          <w:sz w:val="20"/>
        </w:rPr>
        <w:t>Present:</w:t>
      </w:r>
      <w:r>
        <w:rPr>
          <w:rFonts w:ascii="Arial"/>
          <w:b/>
          <w:sz w:val="20"/>
        </w:rPr>
        <w:tab/>
        <w:t>Officials present</w:t>
      </w:r>
      <w:r>
        <w:rPr>
          <w:rFonts w:ascii="Arial"/>
          <w:b/>
          <w:spacing w:val="-2"/>
          <w:sz w:val="20"/>
        </w:rPr>
        <w:t xml:space="preserve"> </w:t>
      </w:r>
      <w:r>
        <w:rPr>
          <w:rFonts w:ascii="Arial"/>
          <w:b/>
          <w:sz w:val="20"/>
        </w:rPr>
        <w:t>from:</w:t>
      </w:r>
    </w:p>
    <w:p w:rsidR="004B2CD6" w:rsidRDefault="004B2CD6">
      <w:pPr>
        <w:rPr>
          <w:rFonts w:ascii="Arial"/>
          <w:sz w:val="20"/>
        </w:rPr>
        <w:sectPr w:rsidR="004B2CD6">
          <w:pgSz w:w="11900" w:h="16840"/>
          <w:pgMar w:top="840" w:right="1020" w:bottom="780" w:left="1020" w:header="405" w:footer="582" w:gutter="0"/>
          <w:cols w:space="720"/>
        </w:sectPr>
      </w:pPr>
    </w:p>
    <w:p w:rsidR="004B2CD6" w:rsidRDefault="00991BBB">
      <w:pPr>
        <w:ind w:left="115" w:right="1486"/>
        <w:rPr>
          <w:sz w:val="20"/>
        </w:rPr>
      </w:pPr>
      <w:r>
        <w:rPr>
          <w:sz w:val="20"/>
        </w:rPr>
        <w:t xml:space="preserve">Hon Chris </w:t>
      </w:r>
      <w:proofErr w:type="spellStart"/>
      <w:r>
        <w:rPr>
          <w:sz w:val="20"/>
        </w:rPr>
        <w:t>Hipkins</w:t>
      </w:r>
      <w:proofErr w:type="spellEnd"/>
      <w:r>
        <w:rPr>
          <w:sz w:val="20"/>
        </w:rPr>
        <w:t xml:space="preserve"> (Chair) Hon Andrew Little</w:t>
      </w:r>
    </w:p>
    <w:p w:rsidR="004B2CD6" w:rsidRDefault="00991BBB">
      <w:pPr>
        <w:ind w:left="115" w:right="2003"/>
        <w:rPr>
          <w:sz w:val="20"/>
        </w:rPr>
      </w:pPr>
      <w:r>
        <w:rPr>
          <w:sz w:val="20"/>
        </w:rPr>
        <w:t xml:space="preserve">Hon David Parker Hon </w:t>
      </w:r>
      <w:proofErr w:type="spellStart"/>
      <w:r>
        <w:rPr>
          <w:sz w:val="20"/>
        </w:rPr>
        <w:t>Nanaia</w:t>
      </w:r>
      <w:proofErr w:type="spellEnd"/>
      <w:r>
        <w:rPr>
          <w:sz w:val="20"/>
        </w:rPr>
        <w:t xml:space="preserve"> </w:t>
      </w:r>
      <w:proofErr w:type="spellStart"/>
      <w:r>
        <w:rPr>
          <w:sz w:val="20"/>
        </w:rPr>
        <w:t>Mahuta</w:t>
      </w:r>
      <w:proofErr w:type="spellEnd"/>
      <w:r>
        <w:rPr>
          <w:sz w:val="20"/>
        </w:rPr>
        <w:t xml:space="preserve"> Hon Stuart Nash</w:t>
      </w:r>
    </w:p>
    <w:p w:rsidR="004B2CD6" w:rsidRDefault="00991BBB">
      <w:pPr>
        <w:ind w:left="115" w:right="1647"/>
        <w:rPr>
          <w:sz w:val="20"/>
        </w:rPr>
      </w:pPr>
      <w:r>
        <w:rPr>
          <w:sz w:val="20"/>
        </w:rPr>
        <w:t>Hon Iain Lees-Galloway Hon Tracey Martin</w:t>
      </w:r>
    </w:p>
    <w:p w:rsidR="004B2CD6" w:rsidRDefault="00991BBB">
      <w:pPr>
        <w:ind w:left="115" w:right="2325"/>
        <w:rPr>
          <w:sz w:val="20"/>
        </w:rPr>
      </w:pPr>
      <w:r>
        <w:rPr>
          <w:sz w:val="20"/>
        </w:rPr>
        <w:t xml:space="preserve">Hon Ron Mark Hon Kris </w:t>
      </w:r>
      <w:proofErr w:type="spellStart"/>
      <w:r>
        <w:rPr>
          <w:sz w:val="20"/>
        </w:rPr>
        <w:t>Faafoi</w:t>
      </w:r>
      <w:proofErr w:type="spellEnd"/>
    </w:p>
    <w:p w:rsidR="004B2CD6" w:rsidRDefault="00991BBB">
      <w:pPr>
        <w:spacing w:line="228" w:lineRule="exact"/>
        <w:ind w:left="115"/>
        <w:rPr>
          <w:sz w:val="20"/>
        </w:rPr>
      </w:pPr>
      <w:r>
        <w:rPr>
          <w:sz w:val="20"/>
        </w:rPr>
        <w:t>Hon Ruth Dyson (Senior Government Whip)</w:t>
      </w:r>
    </w:p>
    <w:p w:rsidR="004B2CD6" w:rsidRDefault="00991BBB">
      <w:pPr>
        <w:spacing w:line="229" w:lineRule="exact"/>
        <w:ind w:left="116"/>
        <w:rPr>
          <w:sz w:val="20"/>
        </w:rPr>
      </w:pPr>
      <w:r>
        <w:br w:type="column"/>
      </w:r>
      <w:r>
        <w:rPr>
          <w:sz w:val="20"/>
        </w:rPr>
        <w:t>Officials Committee for LEG</w:t>
      </w:r>
    </w:p>
    <w:p w:rsidR="004B2CD6" w:rsidRDefault="004B2CD6">
      <w:pPr>
        <w:spacing w:line="229" w:lineRule="exact"/>
        <w:rPr>
          <w:sz w:val="20"/>
        </w:rPr>
        <w:sectPr w:rsidR="004B2CD6">
          <w:type w:val="continuous"/>
          <w:pgSz w:w="11900" w:h="16840"/>
          <w:pgMar w:top="840" w:right="1020" w:bottom="780" w:left="1020" w:header="720" w:footer="720" w:gutter="0"/>
          <w:cols w:num="2" w:space="720" w:equalWidth="0">
            <w:col w:w="3760" w:space="1168"/>
            <w:col w:w="4932"/>
          </w:cols>
        </w:sectPr>
      </w:pPr>
    </w:p>
    <w:p w:rsidR="004B2CD6" w:rsidRDefault="004B2CD6">
      <w:pPr>
        <w:pStyle w:val="BodyText"/>
        <w:rPr>
          <w:sz w:val="20"/>
        </w:rPr>
      </w:pPr>
    </w:p>
    <w:p w:rsidR="004B2CD6" w:rsidRDefault="004B2CD6">
      <w:pPr>
        <w:pStyle w:val="BodyText"/>
        <w:spacing w:before="3"/>
        <w:rPr>
          <w:sz w:val="23"/>
        </w:rPr>
      </w:pPr>
    </w:p>
    <w:p w:rsidR="004B2CD6" w:rsidRDefault="00991BBB">
      <w:pPr>
        <w:spacing w:line="229" w:lineRule="exact"/>
        <w:ind w:left="115"/>
        <w:rPr>
          <w:rFonts w:ascii="Arial"/>
          <w:b/>
          <w:sz w:val="20"/>
        </w:rPr>
      </w:pPr>
      <w:r>
        <w:rPr>
          <w:rFonts w:ascii="Arial"/>
          <w:b/>
          <w:sz w:val="20"/>
        </w:rPr>
        <w:t>Hard-copy distribution:</w:t>
      </w:r>
    </w:p>
    <w:p w:rsidR="004B2CD6" w:rsidRDefault="00991BBB">
      <w:pPr>
        <w:spacing w:line="229" w:lineRule="exact"/>
        <w:ind w:left="115"/>
        <w:rPr>
          <w:sz w:val="20"/>
        </w:rPr>
      </w:pPr>
      <w:r>
        <w:rPr>
          <w:sz w:val="20"/>
        </w:rPr>
        <w:t>Minister of Revenue</w:t>
      </w:r>
    </w:p>
    <w:sectPr w:rsidR="004B2CD6">
      <w:type w:val="continuous"/>
      <w:pgSz w:w="11900" w:h="16840"/>
      <w:pgMar w:top="840" w:right="1020" w:bottom="7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D6" w:rsidRDefault="00991BBB">
      <w:r>
        <w:separator/>
      </w:r>
    </w:p>
  </w:endnote>
  <w:endnote w:type="continuationSeparator" w:id="0">
    <w:p w:rsidR="00B402D6" w:rsidRDefault="0099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CD6" w:rsidRDefault="003F2B3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7.8pt;margin-top:801.9pt;width:10pt;height:15.3pt;z-index:-3616;mso-position-horizontal-relative:page;mso-position-vertical-relative:page" filled="f" stroked="f">
          <v:textbox inset="0,0,0,0">
            <w:txbxContent>
              <w:p w:rsidR="004B2CD6" w:rsidRDefault="00991BBB">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w:r>
    <w:r>
      <w:pict>
        <v:shape id="_x0000_s2050" type="#_x0000_t202" style="position:absolute;margin-left:255.7pt;margin-top:815.55pt;width:78.1pt;height:13.2pt;z-index:-3592;mso-position-horizontal-relative:page;mso-position-vertical-relative:page" filled="f" stroked="f">
          <v:textbox inset="0,0,0,0">
            <w:txbxContent>
              <w:p w:rsidR="004B2CD6" w:rsidRDefault="00991BBB">
                <w:pPr>
                  <w:spacing w:before="13"/>
                  <w:ind w:left="20"/>
                  <w:rPr>
                    <w:rFonts w:ascii="Arial"/>
                    <w:b/>
                    <w:sz w:val="20"/>
                  </w:rPr>
                </w:pPr>
                <w:r>
                  <w:rPr>
                    <w:rFonts w:ascii="Arial"/>
                    <w:b/>
                    <w:sz w:val="20"/>
                  </w:rPr>
                  <w:t>S E N S I T I V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D6" w:rsidRDefault="00991BBB">
      <w:r>
        <w:separator/>
      </w:r>
    </w:p>
  </w:footnote>
  <w:footnote w:type="continuationSeparator" w:id="0">
    <w:p w:rsidR="00B402D6" w:rsidRDefault="0099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CD6" w:rsidRDefault="003F2B3E">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55.7pt;margin-top:19.25pt;width:78.1pt;height:13.2pt;z-index:-3664;mso-position-horizontal-relative:page;mso-position-vertical-relative:page" filled="f" stroked="f">
          <v:textbox inset="0,0,0,0">
            <w:txbxContent>
              <w:p w:rsidR="004B2CD6" w:rsidRDefault="00991BBB">
                <w:pPr>
                  <w:spacing w:before="13"/>
                  <w:ind w:left="20"/>
                  <w:rPr>
                    <w:rFonts w:ascii="Arial"/>
                    <w:b/>
                    <w:sz w:val="20"/>
                  </w:rPr>
                </w:pPr>
                <w:r>
                  <w:rPr>
                    <w:rFonts w:ascii="Arial"/>
                    <w:b/>
                    <w:sz w:val="20"/>
                  </w:rPr>
                  <w:t>S E N S I T I V E</w:t>
                </w:r>
              </w:p>
            </w:txbxContent>
          </v:textbox>
          <w10:wrap anchorx="page" anchory="page"/>
        </v:shape>
      </w:pict>
    </w:r>
    <w:r>
      <w:pict>
        <v:shape id="_x0000_s2052" type="#_x0000_t202" style="position:absolute;margin-left:452.7pt;margin-top:30.75pt;width:84.2pt;height:13.2pt;z-index:-3640;mso-position-horizontal-relative:page;mso-position-vertical-relative:page" filled="f" stroked="f">
          <v:textbox inset="0,0,0,0">
            <w:txbxContent>
              <w:p w:rsidR="004B2CD6" w:rsidRDefault="00991BBB">
                <w:pPr>
                  <w:spacing w:before="13"/>
                  <w:ind w:left="20"/>
                  <w:rPr>
                    <w:rFonts w:ascii="Arial"/>
                    <w:b/>
                    <w:sz w:val="20"/>
                  </w:rPr>
                </w:pPr>
                <w:r>
                  <w:rPr>
                    <w:rFonts w:ascii="Arial"/>
                    <w:b/>
                    <w:sz w:val="20"/>
                  </w:rPr>
                  <w:t>LEG-19-MIN-0010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8FE"/>
    <w:multiLevelType w:val="hybridMultilevel"/>
    <w:tmpl w:val="5AB41F20"/>
    <w:lvl w:ilvl="0" w:tplc="51BC0E2A">
      <w:start w:val="1"/>
      <w:numFmt w:val="decimal"/>
      <w:lvlText w:val="%1"/>
      <w:lvlJc w:val="left"/>
      <w:pPr>
        <w:ind w:left="836" w:hanging="720"/>
        <w:jc w:val="left"/>
      </w:pPr>
      <w:rPr>
        <w:rFonts w:ascii="Times New Roman" w:eastAsia="Times New Roman" w:hAnsi="Times New Roman" w:cs="Times New Roman" w:hint="default"/>
        <w:spacing w:val="-3"/>
        <w:w w:val="100"/>
        <w:sz w:val="24"/>
        <w:szCs w:val="24"/>
        <w:lang w:val="en-NZ" w:eastAsia="en-NZ" w:bidi="en-NZ"/>
      </w:rPr>
    </w:lvl>
    <w:lvl w:ilvl="1" w:tplc="B77A3C16">
      <w:numFmt w:val="bullet"/>
      <w:lvlText w:val="•"/>
      <w:lvlJc w:val="left"/>
      <w:pPr>
        <w:ind w:left="1742" w:hanging="720"/>
      </w:pPr>
      <w:rPr>
        <w:rFonts w:hint="default"/>
        <w:lang w:val="en-NZ" w:eastAsia="en-NZ" w:bidi="en-NZ"/>
      </w:rPr>
    </w:lvl>
    <w:lvl w:ilvl="2" w:tplc="64D6C6AA">
      <w:numFmt w:val="bullet"/>
      <w:lvlText w:val="•"/>
      <w:lvlJc w:val="left"/>
      <w:pPr>
        <w:ind w:left="2644" w:hanging="720"/>
      </w:pPr>
      <w:rPr>
        <w:rFonts w:hint="default"/>
        <w:lang w:val="en-NZ" w:eastAsia="en-NZ" w:bidi="en-NZ"/>
      </w:rPr>
    </w:lvl>
    <w:lvl w:ilvl="3" w:tplc="D97AB0BC">
      <w:numFmt w:val="bullet"/>
      <w:lvlText w:val="•"/>
      <w:lvlJc w:val="left"/>
      <w:pPr>
        <w:ind w:left="3546" w:hanging="720"/>
      </w:pPr>
      <w:rPr>
        <w:rFonts w:hint="default"/>
        <w:lang w:val="en-NZ" w:eastAsia="en-NZ" w:bidi="en-NZ"/>
      </w:rPr>
    </w:lvl>
    <w:lvl w:ilvl="4" w:tplc="87985546">
      <w:numFmt w:val="bullet"/>
      <w:lvlText w:val="•"/>
      <w:lvlJc w:val="left"/>
      <w:pPr>
        <w:ind w:left="4448" w:hanging="720"/>
      </w:pPr>
      <w:rPr>
        <w:rFonts w:hint="default"/>
        <w:lang w:val="en-NZ" w:eastAsia="en-NZ" w:bidi="en-NZ"/>
      </w:rPr>
    </w:lvl>
    <w:lvl w:ilvl="5" w:tplc="C0FE6130">
      <w:numFmt w:val="bullet"/>
      <w:lvlText w:val="•"/>
      <w:lvlJc w:val="left"/>
      <w:pPr>
        <w:ind w:left="5350" w:hanging="720"/>
      </w:pPr>
      <w:rPr>
        <w:rFonts w:hint="default"/>
        <w:lang w:val="en-NZ" w:eastAsia="en-NZ" w:bidi="en-NZ"/>
      </w:rPr>
    </w:lvl>
    <w:lvl w:ilvl="6" w:tplc="D8BEB494">
      <w:numFmt w:val="bullet"/>
      <w:lvlText w:val="•"/>
      <w:lvlJc w:val="left"/>
      <w:pPr>
        <w:ind w:left="6252" w:hanging="720"/>
      </w:pPr>
      <w:rPr>
        <w:rFonts w:hint="default"/>
        <w:lang w:val="en-NZ" w:eastAsia="en-NZ" w:bidi="en-NZ"/>
      </w:rPr>
    </w:lvl>
    <w:lvl w:ilvl="7" w:tplc="078CDD4E">
      <w:numFmt w:val="bullet"/>
      <w:lvlText w:val="•"/>
      <w:lvlJc w:val="left"/>
      <w:pPr>
        <w:ind w:left="7154" w:hanging="720"/>
      </w:pPr>
      <w:rPr>
        <w:rFonts w:hint="default"/>
        <w:lang w:val="en-NZ" w:eastAsia="en-NZ" w:bidi="en-NZ"/>
      </w:rPr>
    </w:lvl>
    <w:lvl w:ilvl="8" w:tplc="913C5330">
      <w:numFmt w:val="bullet"/>
      <w:lvlText w:val="•"/>
      <w:lvlJc w:val="left"/>
      <w:pPr>
        <w:ind w:left="8056" w:hanging="720"/>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B2CD6"/>
    <w:rsid w:val="002F7A72"/>
    <w:rsid w:val="003F2B3E"/>
    <w:rsid w:val="004B2CD6"/>
    <w:rsid w:val="00991BBB"/>
    <w:rsid w:val="00B402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403382C-F9D2-4A39-9111-401DAE0C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7A72"/>
    <w:pPr>
      <w:tabs>
        <w:tab w:val="center" w:pos="4513"/>
        <w:tab w:val="right" w:pos="9026"/>
      </w:tabs>
    </w:pPr>
  </w:style>
  <w:style w:type="character" w:customStyle="1" w:styleId="HeaderChar">
    <w:name w:val="Header Char"/>
    <w:basedOn w:val="DefaultParagraphFont"/>
    <w:link w:val="Header"/>
    <w:uiPriority w:val="99"/>
    <w:rsid w:val="002F7A72"/>
    <w:rPr>
      <w:rFonts w:ascii="Times New Roman" w:eastAsia="Times New Roman" w:hAnsi="Times New Roman" w:cs="Times New Roman"/>
      <w:lang w:val="en-NZ" w:eastAsia="en-NZ" w:bidi="en-NZ"/>
    </w:rPr>
  </w:style>
  <w:style w:type="paragraph" w:styleId="Footer">
    <w:name w:val="footer"/>
    <w:basedOn w:val="Normal"/>
    <w:link w:val="FooterChar"/>
    <w:uiPriority w:val="99"/>
    <w:unhideWhenUsed/>
    <w:rsid w:val="002F7A72"/>
    <w:pPr>
      <w:tabs>
        <w:tab w:val="center" w:pos="4513"/>
        <w:tab w:val="right" w:pos="9026"/>
      </w:tabs>
    </w:pPr>
  </w:style>
  <w:style w:type="character" w:customStyle="1" w:styleId="FooterChar">
    <w:name w:val="Footer Char"/>
    <w:basedOn w:val="DefaultParagraphFont"/>
    <w:link w:val="Footer"/>
    <w:uiPriority w:val="99"/>
    <w:rsid w:val="002F7A72"/>
    <w:rPr>
      <w:rFonts w:ascii="Times New Roman" w:eastAsia="Times New Roman" w:hAnsi="Times New Roman" w:cs="Times New Roman"/>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1638</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LEG-19-MIN-0010 – Minute: Tax Administration (Reportable Jurisdiction for Application of CRS Standard) Amendment Regulations 2019 (19 February 2019)</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LEG-19-MIN-0010 – Minute: Tax Administration (Reportable Jurisdiction for Application of CRS Standard) Amendment Regulations 2019 (19 February 2019)</dc:title>
  <dc:creator/>
  <dcterms:created xsi:type="dcterms:W3CDTF">2019-07-17T02:50:00Z</dcterms:created>
  <dcterms:modified xsi:type="dcterms:W3CDTF">2019-07-17T02:51:00Z</dcterms:modified>
</cp:coreProperties>
</file>