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1B2" w:rsidRDefault="004830B5">
      <w:pPr>
        <w:spacing w:before="78"/>
        <w:ind w:left="4526"/>
        <w:rPr>
          <w:rFonts w:ascii="Arial"/>
          <w:b/>
          <w:sz w:val="20"/>
        </w:rPr>
      </w:pPr>
      <w:r>
        <w:rPr>
          <w:rFonts w:ascii="Arial"/>
          <w:b/>
          <w:sz w:val="20"/>
        </w:rPr>
        <w:t xml:space="preserve">I N </w:t>
      </w:r>
      <w:r w:rsidR="007B0249">
        <w:rPr>
          <w:rFonts w:ascii="Arial"/>
          <w:b/>
          <w:sz w:val="20"/>
        </w:rPr>
        <w:t xml:space="preserve"> </w:t>
      </w:r>
      <w:r>
        <w:rPr>
          <w:rFonts w:ascii="Arial"/>
          <w:b/>
          <w:sz w:val="20"/>
        </w:rPr>
        <w:t>C O N F I D E N C E</w:t>
      </w:r>
    </w:p>
    <w:p w:rsidR="006E31B2" w:rsidRDefault="006E31B2">
      <w:pPr>
        <w:pStyle w:val="BodyText"/>
        <w:spacing w:before="5"/>
        <w:rPr>
          <w:rFonts w:ascii="Arial"/>
          <w:b/>
        </w:rPr>
      </w:pPr>
    </w:p>
    <w:p w:rsidR="006E31B2" w:rsidRDefault="004830B5">
      <w:pPr>
        <w:ind w:left="2822" w:right="18"/>
        <w:rPr>
          <w:rFonts w:ascii="Arial"/>
          <w:b/>
          <w:sz w:val="44"/>
        </w:rPr>
      </w:pPr>
      <w:r>
        <w:rPr>
          <w:noProof/>
        </w:rPr>
        <w:drawing>
          <wp:anchor distT="0" distB="0" distL="0" distR="0" simplePos="0" relativeHeight="1096" behindDoc="0" locked="0" layoutInCell="1" allowOverlap="1">
            <wp:simplePos x="0" y="0"/>
            <wp:positionH relativeFrom="page">
              <wp:posOffset>750569</wp:posOffset>
            </wp:positionH>
            <wp:positionV relativeFrom="paragraph">
              <wp:posOffset>454</wp:posOffset>
            </wp:positionV>
            <wp:extent cx="976630" cy="958850"/>
            <wp:effectExtent l="0" t="0" r="0" b="0"/>
            <wp:wrapNone/>
            <wp:docPr id="1" name="image1.png" descr="Cabinet Office Wellington Seal with New Zealand Government coat of arms in the cen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6630" cy="958850"/>
                    </a:xfrm>
                    <a:prstGeom prst="rect">
                      <a:avLst/>
                    </a:prstGeom>
                  </pic:spPr>
                </pic:pic>
              </a:graphicData>
            </a:graphic>
          </wp:anchor>
        </w:drawing>
      </w:r>
      <w:r>
        <w:rPr>
          <w:rFonts w:ascii="Arial"/>
          <w:b/>
          <w:sz w:val="44"/>
        </w:rPr>
        <w:t>Cabinet Legislation Committee</w:t>
      </w:r>
    </w:p>
    <w:p w:rsidR="006E31B2" w:rsidRDefault="007B0249">
      <w:pPr>
        <w:spacing w:before="323"/>
        <w:ind w:left="2822"/>
        <w:rPr>
          <w:rFonts w:ascii="Arial"/>
          <w:b/>
          <w:sz w:val="32"/>
        </w:rPr>
      </w:pPr>
      <w:r>
        <w:pict>
          <v:line id="_x0000_s1029" style="position:absolute;left:0;text-align:left;z-index:1072;mso-position-horizontal-relative:page" from="51.3pt,42.85pt" to="544.1pt,42.85pt" strokecolor="#000001" strokeweight=".6pt">
            <w10:wrap anchorx="page"/>
          </v:line>
        </w:pict>
      </w:r>
      <w:r w:rsidR="004830B5">
        <w:rPr>
          <w:rFonts w:ascii="Arial"/>
          <w:b/>
          <w:sz w:val="32"/>
        </w:rPr>
        <w:t>Minute of Decision</w:t>
      </w:r>
    </w:p>
    <w:p w:rsidR="006E31B2" w:rsidRDefault="004830B5">
      <w:pPr>
        <w:pStyle w:val="BodyText"/>
        <w:spacing w:before="9"/>
        <w:rPr>
          <w:rFonts w:ascii="Arial"/>
          <w:b/>
          <w:sz w:val="26"/>
        </w:rPr>
      </w:pPr>
      <w:r>
        <w:br w:type="column"/>
      </w:r>
    </w:p>
    <w:p w:rsidR="006E31B2" w:rsidRDefault="004830B5">
      <w:pPr>
        <w:ind w:left="962"/>
        <w:rPr>
          <w:rFonts w:ascii="Arial"/>
          <w:b/>
          <w:sz w:val="20"/>
        </w:rPr>
      </w:pPr>
      <w:r>
        <w:rPr>
          <w:rFonts w:ascii="Arial"/>
          <w:b/>
          <w:sz w:val="20"/>
        </w:rPr>
        <w:t>LEG-19-MIN-0005</w:t>
      </w:r>
    </w:p>
    <w:p w:rsidR="006E31B2" w:rsidRDefault="006E31B2">
      <w:pPr>
        <w:rPr>
          <w:rFonts w:ascii="Arial"/>
          <w:sz w:val="20"/>
        </w:rPr>
        <w:sectPr w:rsidR="006E31B2">
          <w:type w:val="continuous"/>
          <w:pgSz w:w="11900" w:h="16840"/>
          <w:pgMar w:top="320" w:right="1020" w:bottom="0" w:left="220" w:header="720" w:footer="720" w:gutter="0"/>
          <w:cols w:num="2" w:space="720" w:equalWidth="0">
            <w:col w:w="6919" w:space="973"/>
            <w:col w:w="2768"/>
          </w:cols>
        </w:sectPr>
      </w:pPr>
    </w:p>
    <w:p w:rsidR="006E31B2" w:rsidRDefault="006E31B2">
      <w:pPr>
        <w:pStyle w:val="BodyText"/>
        <w:spacing w:before="10"/>
        <w:rPr>
          <w:rFonts w:ascii="Arial"/>
          <w:b/>
          <w:sz w:val="11"/>
        </w:rPr>
      </w:pPr>
    </w:p>
    <w:p w:rsidR="006E31B2" w:rsidRDefault="007B0249">
      <w:pPr>
        <w:spacing w:before="94"/>
        <w:ind w:left="916" w:right="2"/>
        <w:rPr>
          <w:rFonts w:ascii="Arial"/>
          <w:i/>
          <w:sz w:val="20"/>
        </w:rPr>
      </w:pPr>
      <w:r>
        <w:pict>
          <v:line id="_x0000_s1028" style="position:absolute;left:0;text-align:left;z-index:1048;mso-position-horizontal-relative:page" from="51.3pt,42.5pt" to="544.1pt,42.5pt" strokecolor="#000001" strokeweight=".6pt">
            <w10:wrap anchorx="page"/>
          </v:line>
        </w:pict>
      </w:r>
      <w:r w:rsidR="004830B5">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rsidR="006E31B2" w:rsidRDefault="006E31B2">
      <w:pPr>
        <w:pStyle w:val="BodyText"/>
        <w:rPr>
          <w:rFonts w:ascii="Arial"/>
          <w:i/>
          <w:sz w:val="22"/>
        </w:rPr>
      </w:pPr>
    </w:p>
    <w:p w:rsidR="006E31B2" w:rsidRDefault="006E31B2">
      <w:pPr>
        <w:pStyle w:val="BodyText"/>
        <w:spacing w:before="10"/>
        <w:rPr>
          <w:rFonts w:ascii="Arial"/>
          <w:i/>
          <w:sz w:val="25"/>
        </w:rPr>
      </w:pPr>
    </w:p>
    <w:p w:rsidR="006E31B2" w:rsidRDefault="004830B5">
      <w:pPr>
        <w:ind w:left="916" w:right="2"/>
        <w:rPr>
          <w:rFonts w:ascii="Arial"/>
          <w:b/>
          <w:sz w:val="28"/>
        </w:rPr>
      </w:pPr>
      <w:r>
        <w:rPr>
          <w:rFonts w:ascii="Arial"/>
          <w:b/>
          <w:sz w:val="28"/>
        </w:rPr>
        <w:t>Taxation (New Due Date for New and Increased Assessments) Commencement Order 2019</w:t>
      </w:r>
    </w:p>
    <w:p w:rsidR="006E31B2" w:rsidRDefault="006E31B2">
      <w:pPr>
        <w:pStyle w:val="BodyText"/>
        <w:spacing w:before="3"/>
        <w:rPr>
          <w:rFonts w:ascii="Arial"/>
          <w:b/>
          <w:sz w:val="31"/>
        </w:rPr>
      </w:pPr>
    </w:p>
    <w:p w:rsidR="006E31B2" w:rsidRDefault="004830B5">
      <w:pPr>
        <w:tabs>
          <w:tab w:val="left" w:pos="2823"/>
        </w:tabs>
        <w:ind w:left="916"/>
        <w:rPr>
          <w:rFonts w:ascii="Arial"/>
          <w:b/>
          <w:sz w:val="20"/>
        </w:rPr>
      </w:pPr>
      <w:r>
        <w:rPr>
          <w:rFonts w:ascii="Arial"/>
          <w:b/>
          <w:sz w:val="20"/>
        </w:rPr>
        <w:t>Portfolio</w:t>
      </w:r>
      <w:r>
        <w:rPr>
          <w:rFonts w:ascii="Arial"/>
          <w:b/>
          <w:sz w:val="20"/>
        </w:rPr>
        <w:tab/>
        <w:t>Revenue</w:t>
      </w:r>
    </w:p>
    <w:p w:rsidR="006E31B2" w:rsidRDefault="006E31B2">
      <w:pPr>
        <w:pStyle w:val="BodyText"/>
        <w:rPr>
          <w:rFonts w:ascii="Arial"/>
          <w:b/>
          <w:sz w:val="22"/>
        </w:rPr>
      </w:pPr>
    </w:p>
    <w:p w:rsidR="006E31B2" w:rsidRDefault="006E31B2">
      <w:pPr>
        <w:pStyle w:val="BodyText"/>
        <w:spacing w:before="9"/>
        <w:rPr>
          <w:rFonts w:ascii="Arial"/>
          <w:b/>
          <w:sz w:val="22"/>
        </w:rPr>
      </w:pPr>
    </w:p>
    <w:p w:rsidR="006E31B2" w:rsidRDefault="004830B5">
      <w:pPr>
        <w:pStyle w:val="BodyText"/>
        <w:spacing w:before="1"/>
        <w:ind w:left="916"/>
      </w:pPr>
      <w:r>
        <w:t>On 12 February 2019, the Cabinet Legislation Committee:</w:t>
      </w:r>
    </w:p>
    <w:p w:rsidR="006E31B2" w:rsidRDefault="006E31B2">
      <w:pPr>
        <w:pStyle w:val="BodyText"/>
        <w:rPr>
          <w:sz w:val="26"/>
        </w:rPr>
      </w:pPr>
    </w:p>
    <w:p w:rsidR="006E31B2" w:rsidRDefault="006E31B2">
      <w:pPr>
        <w:pStyle w:val="BodyText"/>
        <w:spacing w:before="11"/>
        <w:rPr>
          <w:sz w:val="21"/>
        </w:rPr>
      </w:pPr>
    </w:p>
    <w:p w:rsidR="006E31B2" w:rsidRDefault="004830B5">
      <w:pPr>
        <w:pStyle w:val="ListParagraph"/>
        <w:numPr>
          <w:ilvl w:val="0"/>
          <w:numId w:val="1"/>
        </w:numPr>
        <w:tabs>
          <w:tab w:val="left" w:pos="1635"/>
          <w:tab w:val="left" w:pos="1636"/>
        </w:tabs>
        <w:ind w:right="980"/>
        <w:rPr>
          <w:sz w:val="24"/>
        </w:rPr>
      </w:pPr>
      <w:r>
        <w:rPr>
          <w:b/>
          <w:sz w:val="24"/>
        </w:rPr>
        <w:t xml:space="preserve">noted </w:t>
      </w:r>
      <w:r>
        <w:rPr>
          <w:sz w:val="24"/>
        </w:rPr>
        <w:t>that the attached Order in Council prescribes when section 142AB of the</w:t>
      </w:r>
      <w:r>
        <w:rPr>
          <w:spacing w:val="-26"/>
          <w:sz w:val="24"/>
        </w:rPr>
        <w:t xml:space="preserve"> </w:t>
      </w:r>
      <w:r>
        <w:rPr>
          <w:sz w:val="24"/>
        </w:rPr>
        <w:t>Tax Administration Act 1994 in respect of income tax comes into force, on 8 July</w:t>
      </w:r>
      <w:r>
        <w:rPr>
          <w:spacing w:val="-21"/>
          <w:sz w:val="24"/>
        </w:rPr>
        <w:t xml:space="preserve"> </w:t>
      </w:r>
      <w:r>
        <w:rPr>
          <w:sz w:val="24"/>
        </w:rPr>
        <w:t>2019;</w:t>
      </w:r>
    </w:p>
    <w:p w:rsidR="006E31B2" w:rsidRDefault="006E31B2">
      <w:pPr>
        <w:pStyle w:val="BodyText"/>
        <w:spacing w:before="10"/>
        <w:rPr>
          <w:sz w:val="20"/>
        </w:rPr>
      </w:pPr>
    </w:p>
    <w:p w:rsidR="006E31B2" w:rsidRDefault="004830B5">
      <w:pPr>
        <w:pStyle w:val="ListParagraph"/>
        <w:numPr>
          <w:ilvl w:val="0"/>
          <w:numId w:val="1"/>
        </w:numPr>
        <w:tabs>
          <w:tab w:val="left" w:pos="1635"/>
          <w:tab w:val="left" w:pos="1636"/>
        </w:tabs>
        <w:rPr>
          <w:sz w:val="24"/>
        </w:rPr>
      </w:pPr>
      <w:r>
        <w:rPr>
          <w:b/>
          <w:w w:val="110"/>
          <w:sz w:val="24"/>
        </w:rPr>
        <w:t>a</w:t>
      </w:r>
      <w:r w:rsidR="00EC6B67">
        <w:rPr>
          <w:b/>
          <w:w w:val="110"/>
          <w:sz w:val="24"/>
        </w:rPr>
        <w:t>u</w:t>
      </w:r>
      <w:r>
        <w:rPr>
          <w:b/>
          <w:sz w:val="24"/>
        </w:rPr>
        <w:t xml:space="preserve">thorised </w:t>
      </w:r>
      <w:r>
        <w:rPr>
          <w:sz w:val="24"/>
        </w:rPr>
        <w:t>the submission to the Executive Council of the attached Taxation (New Due Date for New and Increased Assessments) Commencement Order 2019 [PCO</w:t>
      </w:r>
      <w:r>
        <w:rPr>
          <w:spacing w:val="-24"/>
          <w:sz w:val="24"/>
        </w:rPr>
        <w:t xml:space="preserve"> </w:t>
      </w:r>
      <w:r>
        <w:rPr>
          <w:sz w:val="24"/>
        </w:rPr>
        <w:t>21714/2.0].</w:t>
      </w:r>
    </w:p>
    <w:p w:rsidR="006E31B2" w:rsidRDefault="006E31B2">
      <w:pPr>
        <w:pStyle w:val="BodyText"/>
        <w:rPr>
          <w:sz w:val="26"/>
        </w:rPr>
      </w:pPr>
    </w:p>
    <w:p w:rsidR="006E31B2" w:rsidRDefault="006E31B2">
      <w:pPr>
        <w:pStyle w:val="BodyText"/>
        <w:rPr>
          <w:sz w:val="26"/>
        </w:rPr>
      </w:pPr>
    </w:p>
    <w:p w:rsidR="006E31B2" w:rsidRDefault="006E31B2">
      <w:pPr>
        <w:pStyle w:val="BodyText"/>
        <w:rPr>
          <w:sz w:val="26"/>
        </w:rPr>
      </w:pPr>
    </w:p>
    <w:p w:rsidR="006E31B2" w:rsidRDefault="006E31B2">
      <w:pPr>
        <w:pStyle w:val="BodyText"/>
        <w:spacing w:before="10"/>
        <w:rPr>
          <w:sz w:val="38"/>
        </w:rPr>
      </w:pPr>
    </w:p>
    <w:p w:rsidR="006E31B2" w:rsidRDefault="004830B5">
      <w:pPr>
        <w:pStyle w:val="BodyText"/>
        <w:spacing w:after="19"/>
        <w:ind w:left="916" w:right="7691"/>
      </w:pPr>
      <w:r>
        <w:t>Vivien Meek Committee Secretary</w:t>
      </w:r>
    </w:p>
    <w:p w:rsidR="006E31B2" w:rsidRDefault="007B0249">
      <w:pPr>
        <w:pStyle w:val="BodyText"/>
        <w:spacing w:line="20" w:lineRule="exact"/>
        <w:ind w:left="909"/>
        <w:rPr>
          <w:sz w:val="2"/>
        </w:rPr>
      </w:pPr>
      <w:r>
        <w:rPr>
          <w:sz w:val="2"/>
        </w:rPr>
      </w:r>
      <w:r>
        <w:rPr>
          <w:sz w:val="2"/>
        </w:rPr>
        <w:pict>
          <v:group id="_x0000_s1026" style="width:481.8pt;height:.5pt;mso-position-horizontal-relative:char;mso-position-vertical-relative:line" coordsize="9636,10">
            <v:line id="_x0000_s1027" style="position:absolute" from="0,5" to="9636,5" strokecolor="#000001" strokeweight=".5pt"/>
            <w10:anchorlock/>
          </v:group>
        </w:pict>
      </w:r>
    </w:p>
    <w:p w:rsidR="006E31B2" w:rsidRDefault="006E31B2">
      <w:pPr>
        <w:pStyle w:val="BodyText"/>
        <w:rPr>
          <w:sz w:val="15"/>
        </w:rPr>
      </w:pPr>
    </w:p>
    <w:p w:rsidR="006E31B2" w:rsidRDefault="006E31B2">
      <w:pPr>
        <w:rPr>
          <w:sz w:val="15"/>
        </w:rPr>
        <w:sectPr w:rsidR="006E31B2">
          <w:type w:val="continuous"/>
          <w:pgSz w:w="11900" w:h="16840"/>
          <w:pgMar w:top="320" w:right="1020" w:bottom="0" w:left="220" w:header="720" w:footer="720" w:gutter="0"/>
          <w:cols w:space="720"/>
        </w:sectPr>
      </w:pPr>
    </w:p>
    <w:p w:rsidR="006E31B2" w:rsidRDefault="004830B5">
      <w:pPr>
        <w:spacing w:before="94" w:line="229" w:lineRule="exact"/>
        <w:ind w:left="916"/>
        <w:rPr>
          <w:rFonts w:ascii="Arial"/>
          <w:b/>
          <w:sz w:val="20"/>
        </w:rPr>
      </w:pPr>
      <w:r>
        <w:rPr>
          <w:rFonts w:ascii="Arial"/>
          <w:b/>
          <w:sz w:val="20"/>
        </w:rPr>
        <w:t>Present:</w:t>
      </w:r>
    </w:p>
    <w:p w:rsidR="006E31B2" w:rsidRDefault="004830B5">
      <w:pPr>
        <w:ind w:left="916" w:right="1469"/>
        <w:rPr>
          <w:sz w:val="20"/>
        </w:rPr>
      </w:pPr>
      <w:r>
        <w:rPr>
          <w:sz w:val="20"/>
        </w:rPr>
        <w:t xml:space="preserve">Rt Hon Winston Peters Hon Chris </w:t>
      </w:r>
      <w:proofErr w:type="spellStart"/>
      <w:r>
        <w:rPr>
          <w:sz w:val="20"/>
        </w:rPr>
        <w:t>Hipkins</w:t>
      </w:r>
      <w:proofErr w:type="spellEnd"/>
      <w:r>
        <w:rPr>
          <w:sz w:val="20"/>
        </w:rPr>
        <w:t xml:space="preserve"> </w:t>
      </w:r>
      <w:r>
        <w:rPr>
          <w:spacing w:val="-3"/>
          <w:sz w:val="20"/>
        </w:rPr>
        <w:t xml:space="preserve">(Chair) </w:t>
      </w:r>
      <w:r>
        <w:rPr>
          <w:sz w:val="20"/>
        </w:rPr>
        <w:t>Hon Andrew</w:t>
      </w:r>
      <w:r>
        <w:rPr>
          <w:spacing w:val="1"/>
          <w:sz w:val="20"/>
        </w:rPr>
        <w:t xml:space="preserve"> </w:t>
      </w:r>
      <w:r>
        <w:rPr>
          <w:sz w:val="20"/>
        </w:rPr>
        <w:t>Little</w:t>
      </w:r>
    </w:p>
    <w:p w:rsidR="006E31B2" w:rsidRDefault="004830B5">
      <w:pPr>
        <w:ind w:left="916" w:right="1986"/>
        <w:rPr>
          <w:sz w:val="20"/>
        </w:rPr>
      </w:pPr>
      <w:r>
        <w:rPr>
          <w:sz w:val="20"/>
        </w:rPr>
        <w:t xml:space="preserve">Hon Dr David </w:t>
      </w:r>
      <w:r>
        <w:rPr>
          <w:spacing w:val="-5"/>
          <w:sz w:val="20"/>
        </w:rPr>
        <w:t xml:space="preserve">Clark </w:t>
      </w:r>
      <w:r>
        <w:rPr>
          <w:sz w:val="20"/>
        </w:rPr>
        <w:t>Hon David Parker Hon Stuart Nash Hon Tracey</w:t>
      </w:r>
      <w:r>
        <w:rPr>
          <w:spacing w:val="-3"/>
          <w:sz w:val="20"/>
        </w:rPr>
        <w:t xml:space="preserve"> </w:t>
      </w:r>
      <w:r>
        <w:rPr>
          <w:sz w:val="20"/>
        </w:rPr>
        <w:t>Martin</w:t>
      </w:r>
    </w:p>
    <w:p w:rsidR="006E31B2" w:rsidRDefault="004830B5">
      <w:pPr>
        <w:ind w:left="916" w:right="1863"/>
        <w:rPr>
          <w:sz w:val="20"/>
        </w:rPr>
      </w:pPr>
      <w:r>
        <w:rPr>
          <w:sz w:val="20"/>
        </w:rPr>
        <w:t xml:space="preserve">Hon Julie Ann </w:t>
      </w:r>
      <w:proofErr w:type="spellStart"/>
      <w:r>
        <w:rPr>
          <w:sz w:val="20"/>
        </w:rPr>
        <w:t>Genter</w:t>
      </w:r>
      <w:proofErr w:type="spellEnd"/>
      <w:r>
        <w:rPr>
          <w:sz w:val="20"/>
        </w:rPr>
        <w:t xml:space="preserve"> Hon Eugenie Sage</w:t>
      </w:r>
    </w:p>
    <w:p w:rsidR="006E31B2" w:rsidRDefault="004830B5">
      <w:pPr>
        <w:spacing w:line="228" w:lineRule="exact"/>
        <w:ind w:left="916"/>
        <w:rPr>
          <w:sz w:val="20"/>
        </w:rPr>
      </w:pPr>
      <w:r>
        <w:rPr>
          <w:sz w:val="20"/>
        </w:rPr>
        <w:t>Hon Ruth Dyson (Senior Government Whip)</w:t>
      </w:r>
    </w:p>
    <w:p w:rsidR="006E31B2" w:rsidRDefault="006E31B2">
      <w:pPr>
        <w:pStyle w:val="BodyText"/>
        <w:rPr>
          <w:sz w:val="22"/>
        </w:rPr>
      </w:pPr>
    </w:p>
    <w:p w:rsidR="006E31B2" w:rsidRDefault="006E31B2">
      <w:pPr>
        <w:pStyle w:val="BodyText"/>
        <w:spacing w:before="2"/>
        <w:rPr>
          <w:sz w:val="21"/>
        </w:rPr>
      </w:pPr>
    </w:p>
    <w:p w:rsidR="006E31B2" w:rsidRDefault="004830B5">
      <w:pPr>
        <w:spacing w:line="229" w:lineRule="exact"/>
        <w:ind w:left="916"/>
        <w:rPr>
          <w:rFonts w:ascii="Arial"/>
          <w:b/>
          <w:sz w:val="20"/>
        </w:rPr>
      </w:pPr>
      <w:r>
        <w:rPr>
          <w:rFonts w:ascii="Arial"/>
          <w:b/>
          <w:sz w:val="20"/>
        </w:rPr>
        <w:t>Hard-copy distribution:</w:t>
      </w:r>
    </w:p>
    <w:p w:rsidR="006E31B2" w:rsidRDefault="004830B5">
      <w:pPr>
        <w:spacing w:line="229" w:lineRule="exact"/>
        <w:ind w:left="916"/>
        <w:rPr>
          <w:sz w:val="20"/>
        </w:rPr>
      </w:pPr>
      <w:r>
        <w:rPr>
          <w:sz w:val="20"/>
        </w:rPr>
        <w:t>Minister of Revenue</w:t>
      </w:r>
    </w:p>
    <w:p w:rsidR="006E31B2" w:rsidRDefault="004830B5">
      <w:pPr>
        <w:spacing w:before="94" w:line="229" w:lineRule="exact"/>
        <w:ind w:left="916"/>
        <w:rPr>
          <w:rFonts w:ascii="Arial"/>
          <w:b/>
          <w:sz w:val="20"/>
        </w:rPr>
      </w:pPr>
      <w:r>
        <w:br w:type="column"/>
      </w:r>
      <w:r>
        <w:rPr>
          <w:rFonts w:ascii="Arial"/>
          <w:b/>
          <w:sz w:val="20"/>
        </w:rPr>
        <w:t>Officials present from:</w:t>
      </w:r>
    </w:p>
    <w:p w:rsidR="006E31B2" w:rsidRDefault="004830B5">
      <w:pPr>
        <w:spacing w:line="229" w:lineRule="exact"/>
        <w:ind w:left="916"/>
        <w:rPr>
          <w:sz w:val="20"/>
        </w:rPr>
      </w:pPr>
      <w:r>
        <w:rPr>
          <w:sz w:val="20"/>
        </w:rPr>
        <w:t>Officials Committee for LEG</w:t>
      </w:r>
    </w:p>
    <w:p w:rsidR="006E31B2" w:rsidRDefault="006E31B2">
      <w:pPr>
        <w:spacing w:line="229" w:lineRule="exact"/>
        <w:rPr>
          <w:sz w:val="20"/>
        </w:rPr>
        <w:sectPr w:rsidR="006E31B2">
          <w:type w:val="continuous"/>
          <w:pgSz w:w="11900" w:h="16840"/>
          <w:pgMar w:top="320" w:right="1020" w:bottom="0" w:left="220" w:header="720" w:footer="720" w:gutter="0"/>
          <w:cols w:num="2" w:space="720" w:equalWidth="0">
            <w:col w:w="4560" w:space="368"/>
            <w:col w:w="5732"/>
          </w:cols>
        </w:sectPr>
      </w:pPr>
    </w:p>
    <w:p w:rsidR="006E31B2" w:rsidRDefault="006E31B2">
      <w:pPr>
        <w:pStyle w:val="BodyText"/>
        <w:rPr>
          <w:sz w:val="20"/>
        </w:rPr>
      </w:pPr>
    </w:p>
    <w:p w:rsidR="006E31B2" w:rsidRDefault="006E31B2">
      <w:pPr>
        <w:pStyle w:val="BodyText"/>
        <w:rPr>
          <w:sz w:val="20"/>
        </w:rPr>
      </w:pPr>
    </w:p>
    <w:p w:rsidR="006E31B2" w:rsidRDefault="006E31B2">
      <w:pPr>
        <w:pStyle w:val="BodyText"/>
        <w:rPr>
          <w:sz w:val="20"/>
        </w:rPr>
      </w:pPr>
    </w:p>
    <w:p w:rsidR="006E31B2" w:rsidRDefault="006E31B2">
      <w:pPr>
        <w:pStyle w:val="BodyText"/>
        <w:rPr>
          <w:sz w:val="20"/>
        </w:rPr>
      </w:pPr>
    </w:p>
    <w:p w:rsidR="006E31B2" w:rsidRDefault="006E31B2">
      <w:pPr>
        <w:pStyle w:val="BodyText"/>
        <w:rPr>
          <w:sz w:val="20"/>
        </w:rPr>
      </w:pPr>
    </w:p>
    <w:p w:rsidR="006E31B2" w:rsidRDefault="006E31B2">
      <w:pPr>
        <w:pStyle w:val="BodyText"/>
        <w:rPr>
          <w:sz w:val="20"/>
        </w:rPr>
      </w:pPr>
    </w:p>
    <w:p w:rsidR="006E31B2" w:rsidRDefault="006E31B2">
      <w:pPr>
        <w:pStyle w:val="BodyText"/>
        <w:rPr>
          <w:sz w:val="20"/>
        </w:rPr>
      </w:pPr>
    </w:p>
    <w:p w:rsidR="006E31B2" w:rsidRDefault="006E31B2">
      <w:pPr>
        <w:pStyle w:val="BodyText"/>
        <w:rPr>
          <w:sz w:val="20"/>
        </w:rPr>
      </w:pPr>
    </w:p>
    <w:p w:rsidR="006E31B2" w:rsidRDefault="006E31B2">
      <w:pPr>
        <w:pStyle w:val="BodyText"/>
        <w:rPr>
          <w:sz w:val="20"/>
        </w:rPr>
      </w:pPr>
    </w:p>
    <w:p w:rsidR="006E31B2" w:rsidRDefault="006E31B2">
      <w:pPr>
        <w:pStyle w:val="BodyText"/>
        <w:spacing w:before="3"/>
        <w:rPr>
          <w:sz w:val="17"/>
        </w:rPr>
      </w:pPr>
    </w:p>
    <w:p w:rsidR="006E31B2" w:rsidRDefault="004830B5">
      <w:pPr>
        <w:pStyle w:val="BodyText"/>
        <w:spacing w:before="90" w:line="275" w:lineRule="exact"/>
        <w:ind w:right="163"/>
        <w:jc w:val="right"/>
      </w:pPr>
      <w:r>
        <w:t>1</w:t>
      </w:r>
    </w:p>
    <w:p w:rsidR="006E31B2" w:rsidRDefault="004830B5">
      <w:pPr>
        <w:tabs>
          <w:tab w:val="left" w:pos="4525"/>
        </w:tabs>
        <w:spacing w:line="235" w:lineRule="exact"/>
        <w:ind w:left="100"/>
        <w:rPr>
          <w:rFonts w:ascii="Arial"/>
          <w:b/>
          <w:sz w:val="20"/>
        </w:rPr>
      </w:pPr>
      <w:bookmarkStart w:id="0" w:name="_GoBack"/>
      <w:bookmarkEnd w:id="0"/>
      <w:r>
        <w:rPr>
          <w:rFonts w:ascii="Arial"/>
          <w:sz w:val="18"/>
        </w:rPr>
        <w:tab/>
      </w:r>
      <w:r>
        <w:rPr>
          <w:rFonts w:ascii="Arial"/>
          <w:b/>
          <w:position w:val="1"/>
          <w:sz w:val="20"/>
        </w:rPr>
        <w:t xml:space="preserve">I N </w:t>
      </w:r>
      <w:r w:rsidR="007B0249">
        <w:rPr>
          <w:rFonts w:ascii="Arial"/>
          <w:b/>
          <w:position w:val="1"/>
          <w:sz w:val="20"/>
        </w:rPr>
        <w:t xml:space="preserve"> </w:t>
      </w:r>
      <w:r>
        <w:rPr>
          <w:rFonts w:ascii="Arial"/>
          <w:b/>
          <w:position w:val="1"/>
          <w:sz w:val="20"/>
        </w:rPr>
        <w:t>C O N F I D E N C</w:t>
      </w:r>
      <w:r>
        <w:rPr>
          <w:rFonts w:ascii="Arial"/>
          <w:b/>
          <w:spacing w:val="43"/>
          <w:position w:val="1"/>
          <w:sz w:val="20"/>
        </w:rPr>
        <w:t xml:space="preserve"> </w:t>
      </w:r>
      <w:r>
        <w:rPr>
          <w:rFonts w:ascii="Arial"/>
          <w:b/>
          <w:position w:val="1"/>
          <w:sz w:val="20"/>
        </w:rPr>
        <w:t>E</w:t>
      </w:r>
    </w:p>
    <w:sectPr w:rsidR="006E31B2">
      <w:type w:val="continuous"/>
      <w:pgSz w:w="11900" w:h="16840"/>
      <w:pgMar w:top="320" w:right="1020" w:bottom="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0B5" w:rsidRDefault="004830B5" w:rsidP="004830B5">
      <w:r>
        <w:separator/>
      </w:r>
    </w:p>
  </w:endnote>
  <w:endnote w:type="continuationSeparator" w:id="0">
    <w:p w:rsidR="004830B5" w:rsidRDefault="004830B5" w:rsidP="0048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0B5" w:rsidRDefault="004830B5" w:rsidP="004830B5">
      <w:r>
        <w:separator/>
      </w:r>
    </w:p>
  </w:footnote>
  <w:footnote w:type="continuationSeparator" w:id="0">
    <w:p w:rsidR="004830B5" w:rsidRDefault="004830B5" w:rsidP="00483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E18"/>
    <w:multiLevelType w:val="hybridMultilevel"/>
    <w:tmpl w:val="B9B4E4C8"/>
    <w:lvl w:ilvl="0" w:tplc="488C821C">
      <w:start w:val="1"/>
      <w:numFmt w:val="decimal"/>
      <w:lvlText w:val="%1"/>
      <w:lvlJc w:val="left"/>
      <w:pPr>
        <w:ind w:left="1636" w:hanging="720"/>
        <w:jc w:val="left"/>
      </w:pPr>
      <w:rPr>
        <w:rFonts w:ascii="Times New Roman" w:eastAsia="Times New Roman" w:hAnsi="Times New Roman" w:cs="Times New Roman" w:hint="default"/>
        <w:spacing w:val="-2"/>
        <w:w w:val="100"/>
        <w:sz w:val="24"/>
        <w:szCs w:val="24"/>
        <w:lang w:val="en-NZ" w:eastAsia="en-NZ" w:bidi="en-NZ"/>
      </w:rPr>
    </w:lvl>
    <w:lvl w:ilvl="1" w:tplc="01DCBC84">
      <w:numFmt w:val="bullet"/>
      <w:lvlText w:val="•"/>
      <w:lvlJc w:val="left"/>
      <w:pPr>
        <w:ind w:left="2542" w:hanging="720"/>
      </w:pPr>
      <w:rPr>
        <w:rFonts w:hint="default"/>
        <w:lang w:val="en-NZ" w:eastAsia="en-NZ" w:bidi="en-NZ"/>
      </w:rPr>
    </w:lvl>
    <w:lvl w:ilvl="2" w:tplc="C2A01B04">
      <w:numFmt w:val="bullet"/>
      <w:lvlText w:val="•"/>
      <w:lvlJc w:val="left"/>
      <w:pPr>
        <w:ind w:left="3444" w:hanging="720"/>
      </w:pPr>
      <w:rPr>
        <w:rFonts w:hint="default"/>
        <w:lang w:val="en-NZ" w:eastAsia="en-NZ" w:bidi="en-NZ"/>
      </w:rPr>
    </w:lvl>
    <w:lvl w:ilvl="3" w:tplc="AEA220CA">
      <w:numFmt w:val="bullet"/>
      <w:lvlText w:val="•"/>
      <w:lvlJc w:val="left"/>
      <w:pPr>
        <w:ind w:left="4346" w:hanging="720"/>
      </w:pPr>
      <w:rPr>
        <w:rFonts w:hint="default"/>
        <w:lang w:val="en-NZ" w:eastAsia="en-NZ" w:bidi="en-NZ"/>
      </w:rPr>
    </w:lvl>
    <w:lvl w:ilvl="4" w:tplc="4530C7AA">
      <w:numFmt w:val="bullet"/>
      <w:lvlText w:val="•"/>
      <w:lvlJc w:val="left"/>
      <w:pPr>
        <w:ind w:left="5248" w:hanging="720"/>
      </w:pPr>
      <w:rPr>
        <w:rFonts w:hint="default"/>
        <w:lang w:val="en-NZ" w:eastAsia="en-NZ" w:bidi="en-NZ"/>
      </w:rPr>
    </w:lvl>
    <w:lvl w:ilvl="5" w:tplc="7ECCBF40">
      <w:numFmt w:val="bullet"/>
      <w:lvlText w:val="•"/>
      <w:lvlJc w:val="left"/>
      <w:pPr>
        <w:ind w:left="6150" w:hanging="720"/>
      </w:pPr>
      <w:rPr>
        <w:rFonts w:hint="default"/>
        <w:lang w:val="en-NZ" w:eastAsia="en-NZ" w:bidi="en-NZ"/>
      </w:rPr>
    </w:lvl>
    <w:lvl w:ilvl="6" w:tplc="75744818">
      <w:numFmt w:val="bullet"/>
      <w:lvlText w:val="•"/>
      <w:lvlJc w:val="left"/>
      <w:pPr>
        <w:ind w:left="7052" w:hanging="720"/>
      </w:pPr>
      <w:rPr>
        <w:rFonts w:hint="default"/>
        <w:lang w:val="en-NZ" w:eastAsia="en-NZ" w:bidi="en-NZ"/>
      </w:rPr>
    </w:lvl>
    <w:lvl w:ilvl="7" w:tplc="3A5AF88E">
      <w:numFmt w:val="bullet"/>
      <w:lvlText w:val="•"/>
      <w:lvlJc w:val="left"/>
      <w:pPr>
        <w:ind w:left="7954" w:hanging="720"/>
      </w:pPr>
      <w:rPr>
        <w:rFonts w:hint="default"/>
        <w:lang w:val="en-NZ" w:eastAsia="en-NZ" w:bidi="en-NZ"/>
      </w:rPr>
    </w:lvl>
    <w:lvl w:ilvl="8" w:tplc="048A8086">
      <w:numFmt w:val="bullet"/>
      <w:lvlText w:val="•"/>
      <w:lvlJc w:val="left"/>
      <w:pPr>
        <w:ind w:left="8856"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E31B2"/>
    <w:rsid w:val="00055D80"/>
    <w:rsid w:val="004830B5"/>
    <w:rsid w:val="006E31B2"/>
    <w:rsid w:val="007B0249"/>
    <w:rsid w:val="00EC6B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7A324"/>
  <w15:docId w15:val="{53852E34-85BB-48EF-BF13-1BB22F18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36" w:right="402"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Minute - LEG-19-MIN-0005 – Taxation (New Due Date for New and Increased Assessments) Commencement Order 2019 (March 2019)</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 LEG-19-MIN-0005 – Taxation (New Due Date for New and Increased Assessments) Commencement Order 2019 (March 2019)</dc:title>
  <dcterms:created xsi:type="dcterms:W3CDTF">2019-03-25T05:34:00Z</dcterms:created>
  <dcterms:modified xsi:type="dcterms:W3CDTF">2019-07-08T04:15:00Z</dcterms:modified>
</cp:coreProperties>
</file>